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D13" w:rsidRPr="00893EE9" w:rsidRDefault="00184D13" w:rsidP="00893EE9">
      <w:pPr>
        <w:rPr>
          <w:rFonts w:cs="Arial"/>
        </w:rPr>
      </w:pPr>
    </w:p>
    <w:p w:rsidR="00052B47" w:rsidRDefault="00052B47" w:rsidP="00893EE9">
      <w:pPr>
        <w:rPr>
          <w:rFonts w:cs="Arial"/>
        </w:rPr>
      </w:pPr>
    </w:p>
    <w:p w:rsidR="009A2690" w:rsidRPr="00893EE9" w:rsidRDefault="00C300C4" w:rsidP="00893EE9">
      <w:pPr>
        <w:rPr>
          <w:rFonts w:cs="Arial"/>
        </w:rPr>
      </w:pPr>
      <w:r>
        <w:rPr>
          <w:rFonts w:cs="Arial"/>
        </w:rPr>
        <w:t>1</w:t>
      </w:r>
      <w:r w:rsidR="00D77B2D">
        <w:rPr>
          <w:rFonts w:cs="Arial"/>
        </w:rPr>
        <w:t>6</w:t>
      </w:r>
      <w:bookmarkStart w:id="0" w:name="_GoBack"/>
      <w:bookmarkEnd w:id="0"/>
      <w:r w:rsidR="00177880">
        <w:rPr>
          <w:rFonts w:cs="Arial"/>
        </w:rPr>
        <w:t xml:space="preserve"> October </w:t>
      </w:r>
      <w:r w:rsidR="00AD0A4E">
        <w:rPr>
          <w:rFonts w:cs="Arial"/>
        </w:rPr>
        <w:t xml:space="preserve">2016 </w:t>
      </w:r>
      <w:r w:rsidR="009A2690" w:rsidRPr="00893EE9">
        <w:rPr>
          <w:rFonts w:cs="Arial"/>
        </w:rPr>
        <w:t xml:space="preserve"> </w:t>
      </w:r>
    </w:p>
    <w:p w:rsidR="009A2690" w:rsidRPr="00893EE9" w:rsidRDefault="009A2690" w:rsidP="00893EE9">
      <w:pPr>
        <w:pStyle w:val="ResearchTitle"/>
        <w:rPr>
          <w:rFonts w:cs="Arial"/>
        </w:rPr>
      </w:pPr>
    </w:p>
    <w:p w:rsidR="00052B47" w:rsidRPr="00E22056" w:rsidRDefault="00260B4F" w:rsidP="0099420E">
      <w:pPr>
        <w:pStyle w:val="Title"/>
        <w:ind w:left="720" w:firstLine="720"/>
      </w:pPr>
      <w:r>
        <w:t xml:space="preserve">Government pensions administration agency </w:t>
      </w:r>
    </w:p>
    <w:p w:rsidR="009E0C94" w:rsidRDefault="009E0C94" w:rsidP="00893EE9">
      <w:pPr>
        <w:pStyle w:val="ResearchTitle"/>
        <w:rPr>
          <w:rFonts w:cs="Arial"/>
        </w:rPr>
      </w:pPr>
    </w:p>
    <w:tbl>
      <w:tblPr>
        <w:tblStyle w:val="TableGrid"/>
        <w:tblW w:w="9351" w:type="dxa"/>
        <w:tblBorders>
          <w:top w:val="single" w:sz="8" w:space="0" w:color="538135" w:themeColor="accent6" w:themeShade="BF"/>
          <w:left w:val="none" w:sz="0" w:space="0" w:color="auto"/>
          <w:bottom w:val="single" w:sz="6" w:space="0" w:color="538135" w:themeColor="accent6" w:themeShade="BF"/>
          <w:right w:val="none" w:sz="0" w:space="0" w:color="auto"/>
          <w:insideH w:val="none" w:sz="0" w:space="0" w:color="auto"/>
          <w:insideV w:val="none" w:sz="0" w:space="0" w:color="auto"/>
        </w:tblBorders>
        <w:tblLook w:val="04A0"/>
      </w:tblPr>
      <w:tblGrid>
        <w:gridCol w:w="9351"/>
      </w:tblGrid>
      <w:tr w:rsidR="009E0C94" w:rsidTr="005028B1">
        <w:tc>
          <w:tcPr>
            <w:tcW w:w="9351" w:type="dxa"/>
          </w:tcPr>
          <w:p w:rsidR="009E0C94" w:rsidRPr="00893EE9" w:rsidRDefault="009E0C94" w:rsidP="009E0C94">
            <w:pPr>
              <w:pStyle w:val="ReseachMainHeading"/>
              <w:rPr>
                <w:rFonts w:cs="Arial"/>
              </w:rPr>
            </w:pPr>
          </w:p>
          <w:sdt>
            <w:sdtPr>
              <w:rPr>
                <w:color w:val="auto"/>
              </w:rPr>
              <w:id w:val="-1945920670"/>
              <w:docPartObj>
                <w:docPartGallery w:val="Table of Contents"/>
                <w:docPartUnique/>
              </w:docPartObj>
            </w:sdtPr>
            <w:sdtEndPr>
              <w:rPr>
                <w:rFonts w:cs="Arial"/>
                <w:bCs/>
                <w:noProof/>
                <w:color w:val="538135" w:themeColor="accent6" w:themeShade="BF"/>
              </w:rPr>
            </w:sdtEndPr>
            <w:sdtContent>
              <w:p w:rsidR="009E0C94" w:rsidRPr="00052B47" w:rsidRDefault="009E0C94" w:rsidP="009E0C94">
                <w:pPr>
                  <w:pStyle w:val="TOC1"/>
                  <w:rPr>
                    <w:color w:val="ED7D31" w:themeColor="accent2"/>
                  </w:rPr>
                </w:pPr>
                <w:r w:rsidRPr="00052B47">
                  <w:rPr>
                    <w:color w:val="ED7D31" w:themeColor="accent2"/>
                  </w:rPr>
                  <w:t>Table of Contents</w:t>
                </w:r>
              </w:p>
              <w:p w:rsidR="005644CF" w:rsidRDefault="00100865">
                <w:pPr>
                  <w:pStyle w:val="TOC1"/>
                  <w:tabs>
                    <w:tab w:val="left" w:pos="442"/>
                    <w:tab w:val="right" w:leader="dot" w:pos="9016"/>
                  </w:tabs>
                  <w:rPr>
                    <w:rFonts w:asciiTheme="minorHAnsi" w:eastAsiaTheme="minorEastAsia" w:hAnsiTheme="minorHAnsi"/>
                    <w:b w:val="0"/>
                    <w:caps w:val="0"/>
                    <w:noProof/>
                    <w:color w:val="auto"/>
                    <w:sz w:val="22"/>
                    <w:lang w:val="en-US"/>
                  </w:rPr>
                </w:pPr>
                <w:r w:rsidRPr="00100865">
                  <w:rPr>
                    <w:rFonts w:cs="Arial"/>
                  </w:rPr>
                  <w:fldChar w:fldCharType="begin"/>
                </w:r>
                <w:r w:rsidR="009E0C94">
                  <w:rPr>
                    <w:rFonts w:cs="Arial"/>
                  </w:rPr>
                  <w:instrText xml:space="preserve"> TOC \o "1-3" \h \z \u </w:instrText>
                </w:r>
                <w:r w:rsidRPr="00100865">
                  <w:rPr>
                    <w:rFonts w:cs="Arial"/>
                  </w:rPr>
                  <w:fldChar w:fldCharType="separate"/>
                </w:r>
                <w:hyperlink w:anchor="_Toc464370138" w:history="1">
                  <w:r w:rsidR="005644CF" w:rsidRPr="00BE4C76">
                    <w:rPr>
                      <w:rStyle w:val="Hyperlink"/>
                      <w:noProof/>
                    </w:rPr>
                    <w:t>1.</w:t>
                  </w:r>
                  <w:r w:rsidR="005644CF">
                    <w:rPr>
                      <w:rFonts w:asciiTheme="minorHAnsi" w:eastAsiaTheme="minorEastAsia" w:hAnsiTheme="minorHAnsi"/>
                      <w:b w:val="0"/>
                      <w:caps w:val="0"/>
                      <w:noProof/>
                      <w:color w:val="auto"/>
                      <w:sz w:val="22"/>
                      <w:lang w:val="en-US"/>
                    </w:rPr>
                    <w:tab/>
                  </w:r>
                  <w:r w:rsidR="005644CF" w:rsidRPr="00BE4C76">
                    <w:rPr>
                      <w:rStyle w:val="Hyperlink"/>
                      <w:noProof/>
                    </w:rPr>
                    <w:t>Introduction</w:t>
                  </w:r>
                  <w:r w:rsidR="005644CF">
                    <w:rPr>
                      <w:noProof/>
                      <w:webHidden/>
                    </w:rPr>
                    <w:tab/>
                  </w:r>
                  <w:r>
                    <w:rPr>
                      <w:noProof/>
                      <w:webHidden/>
                    </w:rPr>
                    <w:fldChar w:fldCharType="begin"/>
                  </w:r>
                  <w:r w:rsidR="005644CF">
                    <w:rPr>
                      <w:noProof/>
                      <w:webHidden/>
                    </w:rPr>
                    <w:instrText xml:space="preserve"> PAGEREF _Toc464370138 \h </w:instrText>
                  </w:r>
                  <w:r>
                    <w:rPr>
                      <w:noProof/>
                      <w:webHidden/>
                    </w:rPr>
                  </w:r>
                  <w:r>
                    <w:rPr>
                      <w:noProof/>
                      <w:webHidden/>
                    </w:rPr>
                    <w:fldChar w:fldCharType="separate"/>
                  </w:r>
                  <w:r w:rsidR="005644CF">
                    <w:rPr>
                      <w:noProof/>
                      <w:webHidden/>
                    </w:rPr>
                    <w:t>1</w:t>
                  </w:r>
                  <w:r>
                    <w:rPr>
                      <w:noProof/>
                      <w:webHidden/>
                    </w:rPr>
                    <w:fldChar w:fldCharType="end"/>
                  </w:r>
                </w:hyperlink>
              </w:p>
              <w:p w:rsidR="005644CF" w:rsidRDefault="00100865">
                <w:pPr>
                  <w:pStyle w:val="TOC1"/>
                  <w:tabs>
                    <w:tab w:val="left" w:pos="442"/>
                    <w:tab w:val="right" w:leader="dot" w:pos="9016"/>
                  </w:tabs>
                  <w:rPr>
                    <w:rFonts w:asciiTheme="minorHAnsi" w:eastAsiaTheme="minorEastAsia" w:hAnsiTheme="minorHAnsi"/>
                    <w:b w:val="0"/>
                    <w:caps w:val="0"/>
                    <w:noProof/>
                    <w:color w:val="auto"/>
                    <w:sz w:val="22"/>
                    <w:lang w:val="en-US"/>
                  </w:rPr>
                </w:pPr>
                <w:hyperlink w:anchor="_Toc464370139" w:history="1">
                  <w:r w:rsidR="005644CF" w:rsidRPr="00BE4C76">
                    <w:rPr>
                      <w:rStyle w:val="Hyperlink"/>
                      <w:noProof/>
                    </w:rPr>
                    <w:t>2.</w:t>
                  </w:r>
                  <w:r w:rsidR="005644CF">
                    <w:rPr>
                      <w:rFonts w:asciiTheme="minorHAnsi" w:eastAsiaTheme="minorEastAsia" w:hAnsiTheme="minorHAnsi"/>
                      <w:b w:val="0"/>
                      <w:caps w:val="0"/>
                      <w:noProof/>
                      <w:color w:val="auto"/>
                      <w:sz w:val="22"/>
                      <w:lang w:val="en-US"/>
                    </w:rPr>
                    <w:tab/>
                  </w:r>
                  <w:r w:rsidR="005644CF" w:rsidRPr="00BE4C76">
                    <w:rPr>
                      <w:rStyle w:val="Hyperlink"/>
                      <w:noProof/>
                    </w:rPr>
                    <w:t>Overview of the 2015/16 financial year\</w:t>
                  </w:r>
                  <w:r w:rsidR="005644CF">
                    <w:rPr>
                      <w:noProof/>
                      <w:webHidden/>
                    </w:rPr>
                    <w:tab/>
                  </w:r>
                  <w:r>
                    <w:rPr>
                      <w:noProof/>
                      <w:webHidden/>
                    </w:rPr>
                    <w:fldChar w:fldCharType="begin"/>
                  </w:r>
                  <w:r w:rsidR="005644CF">
                    <w:rPr>
                      <w:noProof/>
                      <w:webHidden/>
                    </w:rPr>
                    <w:instrText xml:space="preserve"> PAGEREF _Toc464370139 \h </w:instrText>
                  </w:r>
                  <w:r>
                    <w:rPr>
                      <w:noProof/>
                      <w:webHidden/>
                    </w:rPr>
                  </w:r>
                  <w:r>
                    <w:rPr>
                      <w:noProof/>
                      <w:webHidden/>
                    </w:rPr>
                    <w:fldChar w:fldCharType="separate"/>
                  </w:r>
                  <w:r w:rsidR="005644CF">
                    <w:rPr>
                      <w:noProof/>
                      <w:webHidden/>
                    </w:rPr>
                    <w:t>1</w:t>
                  </w:r>
                  <w:r>
                    <w:rPr>
                      <w:noProof/>
                      <w:webHidden/>
                    </w:rPr>
                    <w:fldChar w:fldCharType="end"/>
                  </w:r>
                </w:hyperlink>
              </w:p>
              <w:p w:rsidR="005644CF" w:rsidRDefault="00100865">
                <w:pPr>
                  <w:pStyle w:val="TOC1"/>
                  <w:tabs>
                    <w:tab w:val="left" w:pos="442"/>
                    <w:tab w:val="right" w:leader="dot" w:pos="9016"/>
                  </w:tabs>
                  <w:rPr>
                    <w:rFonts w:asciiTheme="minorHAnsi" w:eastAsiaTheme="minorEastAsia" w:hAnsiTheme="minorHAnsi"/>
                    <w:b w:val="0"/>
                    <w:caps w:val="0"/>
                    <w:noProof/>
                    <w:color w:val="auto"/>
                    <w:sz w:val="22"/>
                    <w:lang w:val="en-US"/>
                  </w:rPr>
                </w:pPr>
                <w:hyperlink w:anchor="_Toc464370140" w:history="1">
                  <w:r w:rsidR="005644CF" w:rsidRPr="00BE4C76">
                    <w:rPr>
                      <w:rStyle w:val="Hyperlink"/>
                      <w:noProof/>
                    </w:rPr>
                    <w:t>3.</w:t>
                  </w:r>
                  <w:r w:rsidR="005644CF">
                    <w:rPr>
                      <w:rFonts w:asciiTheme="minorHAnsi" w:eastAsiaTheme="minorEastAsia" w:hAnsiTheme="minorHAnsi"/>
                      <w:b w:val="0"/>
                      <w:caps w:val="0"/>
                      <w:noProof/>
                      <w:color w:val="auto"/>
                      <w:sz w:val="22"/>
                      <w:lang w:val="en-US"/>
                    </w:rPr>
                    <w:tab/>
                  </w:r>
                  <w:r w:rsidR="005644CF" w:rsidRPr="00BE4C76">
                    <w:rPr>
                      <w:rStyle w:val="Hyperlink"/>
                      <w:noProof/>
                    </w:rPr>
                    <w:t>budget Analysis</w:t>
                  </w:r>
                  <w:r w:rsidR="005644CF">
                    <w:rPr>
                      <w:noProof/>
                      <w:webHidden/>
                    </w:rPr>
                    <w:tab/>
                  </w:r>
                  <w:r>
                    <w:rPr>
                      <w:noProof/>
                      <w:webHidden/>
                    </w:rPr>
                    <w:fldChar w:fldCharType="begin"/>
                  </w:r>
                  <w:r w:rsidR="005644CF">
                    <w:rPr>
                      <w:noProof/>
                      <w:webHidden/>
                    </w:rPr>
                    <w:instrText xml:space="preserve"> PAGEREF _Toc464370140 \h </w:instrText>
                  </w:r>
                  <w:r>
                    <w:rPr>
                      <w:noProof/>
                      <w:webHidden/>
                    </w:rPr>
                  </w:r>
                  <w:r>
                    <w:rPr>
                      <w:noProof/>
                      <w:webHidden/>
                    </w:rPr>
                    <w:fldChar w:fldCharType="separate"/>
                  </w:r>
                  <w:r w:rsidR="005644CF">
                    <w:rPr>
                      <w:noProof/>
                      <w:webHidden/>
                    </w:rPr>
                    <w:t>3</w:t>
                  </w:r>
                  <w:r>
                    <w:rPr>
                      <w:noProof/>
                      <w:webHidden/>
                    </w:rPr>
                    <w:fldChar w:fldCharType="end"/>
                  </w:r>
                </w:hyperlink>
              </w:p>
              <w:p w:rsidR="005644CF" w:rsidRDefault="00100865">
                <w:pPr>
                  <w:pStyle w:val="TOC2"/>
                  <w:tabs>
                    <w:tab w:val="left" w:pos="880"/>
                    <w:tab w:val="right" w:leader="dot" w:pos="9016"/>
                  </w:tabs>
                  <w:rPr>
                    <w:rFonts w:asciiTheme="minorHAnsi" w:eastAsiaTheme="minorEastAsia" w:hAnsiTheme="minorHAnsi"/>
                    <w:noProof/>
                    <w:lang w:val="en-US"/>
                  </w:rPr>
                </w:pPr>
                <w:hyperlink w:anchor="_Toc464370141" w:history="1">
                  <w:r w:rsidR="005644CF" w:rsidRPr="00BE4C76">
                    <w:rPr>
                      <w:rStyle w:val="Hyperlink"/>
                      <w:noProof/>
                    </w:rPr>
                    <w:t>3.1.</w:t>
                  </w:r>
                  <w:r w:rsidR="005644CF">
                    <w:rPr>
                      <w:rFonts w:asciiTheme="minorHAnsi" w:eastAsiaTheme="minorEastAsia" w:hAnsiTheme="minorHAnsi"/>
                      <w:noProof/>
                      <w:lang w:val="en-US"/>
                    </w:rPr>
                    <w:tab/>
                  </w:r>
                  <w:r w:rsidR="005644CF" w:rsidRPr="00BE4C76">
                    <w:rPr>
                      <w:rStyle w:val="Hyperlink"/>
                      <w:noProof/>
                    </w:rPr>
                    <w:t>Performance Information</w:t>
                  </w:r>
                  <w:r w:rsidR="005644CF">
                    <w:rPr>
                      <w:noProof/>
                      <w:webHidden/>
                    </w:rPr>
                    <w:tab/>
                  </w:r>
                  <w:r>
                    <w:rPr>
                      <w:noProof/>
                      <w:webHidden/>
                    </w:rPr>
                    <w:fldChar w:fldCharType="begin"/>
                  </w:r>
                  <w:r w:rsidR="005644CF">
                    <w:rPr>
                      <w:noProof/>
                      <w:webHidden/>
                    </w:rPr>
                    <w:instrText xml:space="preserve"> PAGEREF _Toc464370141 \h </w:instrText>
                  </w:r>
                  <w:r>
                    <w:rPr>
                      <w:noProof/>
                      <w:webHidden/>
                    </w:rPr>
                  </w:r>
                  <w:r>
                    <w:rPr>
                      <w:noProof/>
                      <w:webHidden/>
                    </w:rPr>
                    <w:fldChar w:fldCharType="separate"/>
                  </w:r>
                  <w:r w:rsidR="005644CF">
                    <w:rPr>
                      <w:noProof/>
                      <w:webHidden/>
                    </w:rPr>
                    <w:t>3</w:t>
                  </w:r>
                  <w:r>
                    <w:rPr>
                      <w:noProof/>
                      <w:webHidden/>
                    </w:rPr>
                    <w:fldChar w:fldCharType="end"/>
                  </w:r>
                </w:hyperlink>
              </w:p>
              <w:p w:rsidR="005644CF" w:rsidRDefault="00100865">
                <w:pPr>
                  <w:pStyle w:val="TOC2"/>
                  <w:tabs>
                    <w:tab w:val="right" w:leader="dot" w:pos="9016"/>
                  </w:tabs>
                  <w:rPr>
                    <w:rFonts w:asciiTheme="minorHAnsi" w:eastAsiaTheme="minorEastAsia" w:hAnsiTheme="minorHAnsi"/>
                    <w:noProof/>
                    <w:lang w:val="en-US"/>
                  </w:rPr>
                </w:pPr>
                <w:hyperlink w:anchor="_Toc464370142" w:history="1">
                  <w:r w:rsidR="005644CF" w:rsidRPr="00BE4C76">
                    <w:rPr>
                      <w:rStyle w:val="Hyperlink"/>
                      <w:noProof/>
                    </w:rPr>
                    <w:t>Table 1: High Level Performance Dashboard: Corporate Scorecard</w:t>
                  </w:r>
                  <w:r w:rsidR="005644CF">
                    <w:rPr>
                      <w:noProof/>
                      <w:webHidden/>
                    </w:rPr>
                    <w:tab/>
                  </w:r>
                  <w:r>
                    <w:rPr>
                      <w:noProof/>
                      <w:webHidden/>
                    </w:rPr>
                    <w:fldChar w:fldCharType="begin"/>
                  </w:r>
                  <w:r w:rsidR="005644CF">
                    <w:rPr>
                      <w:noProof/>
                      <w:webHidden/>
                    </w:rPr>
                    <w:instrText xml:space="preserve"> PAGEREF _Toc464370142 \h </w:instrText>
                  </w:r>
                  <w:r>
                    <w:rPr>
                      <w:noProof/>
                      <w:webHidden/>
                    </w:rPr>
                  </w:r>
                  <w:r>
                    <w:rPr>
                      <w:noProof/>
                      <w:webHidden/>
                    </w:rPr>
                    <w:fldChar w:fldCharType="separate"/>
                  </w:r>
                  <w:r w:rsidR="005644CF">
                    <w:rPr>
                      <w:noProof/>
                      <w:webHidden/>
                    </w:rPr>
                    <w:t>3</w:t>
                  </w:r>
                  <w:r>
                    <w:rPr>
                      <w:noProof/>
                      <w:webHidden/>
                    </w:rPr>
                    <w:fldChar w:fldCharType="end"/>
                  </w:r>
                </w:hyperlink>
              </w:p>
              <w:p w:rsidR="005644CF" w:rsidRDefault="00100865">
                <w:pPr>
                  <w:pStyle w:val="TOC2"/>
                  <w:tabs>
                    <w:tab w:val="left" w:pos="880"/>
                    <w:tab w:val="right" w:leader="dot" w:pos="9016"/>
                  </w:tabs>
                  <w:rPr>
                    <w:rFonts w:asciiTheme="minorHAnsi" w:eastAsiaTheme="minorEastAsia" w:hAnsiTheme="minorHAnsi"/>
                    <w:noProof/>
                    <w:lang w:val="en-US"/>
                  </w:rPr>
                </w:pPr>
                <w:hyperlink w:anchor="_Toc464370143" w:history="1">
                  <w:r w:rsidR="005644CF" w:rsidRPr="00BE4C76">
                    <w:rPr>
                      <w:rStyle w:val="Hyperlink"/>
                      <w:noProof/>
                    </w:rPr>
                    <w:t>3.2</w:t>
                  </w:r>
                  <w:r w:rsidR="005644CF">
                    <w:rPr>
                      <w:rFonts w:asciiTheme="minorHAnsi" w:eastAsiaTheme="minorEastAsia" w:hAnsiTheme="minorHAnsi"/>
                      <w:noProof/>
                      <w:lang w:val="en-US"/>
                    </w:rPr>
                    <w:tab/>
                  </w:r>
                  <w:r w:rsidR="005644CF" w:rsidRPr="00BE4C76">
                    <w:rPr>
                      <w:rStyle w:val="Hyperlink"/>
                      <w:noProof/>
                    </w:rPr>
                    <w:t>Financial Analysis</w:t>
                  </w:r>
                  <w:r w:rsidR="005644CF">
                    <w:rPr>
                      <w:noProof/>
                      <w:webHidden/>
                    </w:rPr>
                    <w:tab/>
                  </w:r>
                  <w:r>
                    <w:rPr>
                      <w:noProof/>
                      <w:webHidden/>
                    </w:rPr>
                    <w:fldChar w:fldCharType="begin"/>
                  </w:r>
                  <w:r w:rsidR="005644CF">
                    <w:rPr>
                      <w:noProof/>
                      <w:webHidden/>
                    </w:rPr>
                    <w:instrText xml:space="preserve"> PAGEREF _Toc464370143 \h </w:instrText>
                  </w:r>
                  <w:r>
                    <w:rPr>
                      <w:noProof/>
                      <w:webHidden/>
                    </w:rPr>
                  </w:r>
                  <w:r>
                    <w:rPr>
                      <w:noProof/>
                      <w:webHidden/>
                    </w:rPr>
                    <w:fldChar w:fldCharType="separate"/>
                  </w:r>
                  <w:r w:rsidR="005644CF">
                    <w:rPr>
                      <w:noProof/>
                      <w:webHidden/>
                    </w:rPr>
                    <w:t>4</w:t>
                  </w:r>
                  <w:r>
                    <w:rPr>
                      <w:noProof/>
                      <w:webHidden/>
                    </w:rPr>
                    <w:fldChar w:fldCharType="end"/>
                  </w:r>
                </w:hyperlink>
              </w:p>
              <w:p w:rsidR="005644CF" w:rsidRDefault="00100865">
                <w:pPr>
                  <w:pStyle w:val="TOC2"/>
                  <w:tabs>
                    <w:tab w:val="right" w:leader="dot" w:pos="9016"/>
                  </w:tabs>
                  <w:rPr>
                    <w:rFonts w:asciiTheme="minorHAnsi" w:eastAsiaTheme="minorEastAsia" w:hAnsiTheme="minorHAnsi"/>
                    <w:noProof/>
                    <w:lang w:val="en-US"/>
                  </w:rPr>
                </w:pPr>
                <w:hyperlink w:anchor="_Toc464370144" w:history="1">
                  <w:r w:rsidR="005644CF" w:rsidRPr="00BE4C76">
                    <w:rPr>
                      <w:rStyle w:val="Hyperlink"/>
                      <w:noProof/>
                    </w:rPr>
                    <w:t>Table 2: Summary of key figures</w:t>
                  </w:r>
                  <w:r w:rsidR="005644CF">
                    <w:rPr>
                      <w:noProof/>
                      <w:webHidden/>
                    </w:rPr>
                    <w:tab/>
                  </w:r>
                  <w:r>
                    <w:rPr>
                      <w:noProof/>
                      <w:webHidden/>
                    </w:rPr>
                    <w:fldChar w:fldCharType="begin"/>
                  </w:r>
                  <w:r w:rsidR="005644CF">
                    <w:rPr>
                      <w:noProof/>
                      <w:webHidden/>
                    </w:rPr>
                    <w:instrText xml:space="preserve"> PAGEREF _Toc464370144 \h </w:instrText>
                  </w:r>
                  <w:r>
                    <w:rPr>
                      <w:noProof/>
                      <w:webHidden/>
                    </w:rPr>
                  </w:r>
                  <w:r>
                    <w:rPr>
                      <w:noProof/>
                      <w:webHidden/>
                    </w:rPr>
                    <w:fldChar w:fldCharType="separate"/>
                  </w:r>
                  <w:r w:rsidR="005644CF">
                    <w:rPr>
                      <w:noProof/>
                      <w:webHidden/>
                    </w:rPr>
                    <w:t>4</w:t>
                  </w:r>
                  <w:r>
                    <w:rPr>
                      <w:noProof/>
                      <w:webHidden/>
                    </w:rPr>
                    <w:fldChar w:fldCharType="end"/>
                  </w:r>
                </w:hyperlink>
              </w:p>
              <w:p w:rsidR="005644CF" w:rsidRDefault="00100865">
                <w:pPr>
                  <w:pStyle w:val="TOC2"/>
                  <w:tabs>
                    <w:tab w:val="left" w:pos="880"/>
                    <w:tab w:val="right" w:leader="dot" w:pos="9016"/>
                  </w:tabs>
                  <w:rPr>
                    <w:rFonts w:asciiTheme="minorHAnsi" w:eastAsiaTheme="minorEastAsia" w:hAnsiTheme="minorHAnsi"/>
                    <w:noProof/>
                    <w:lang w:val="en-US"/>
                  </w:rPr>
                </w:pPr>
                <w:hyperlink w:anchor="_Toc464370145" w:history="1">
                  <w:r w:rsidR="005644CF" w:rsidRPr="00BE4C76">
                    <w:rPr>
                      <w:rStyle w:val="Hyperlink"/>
                      <w:noProof/>
                    </w:rPr>
                    <w:t>3.3</w:t>
                  </w:r>
                  <w:r w:rsidR="005644CF">
                    <w:rPr>
                      <w:rFonts w:asciiTheme="minorHAnsi" w:eastAsiaTheme="minorEastAsia" w:hAnsiTheme="minorHAnsi"/>
                      <w:noProof/>
                      <w:lang w:val="en-US"/>
                    </w:rPr>
                    <w:tab/>
                  </w:r>
                  <w:r w:rsidR="005644CF" w:rsidRPr="00BE4C76">
                    <w:rPr>
                      <w:rStyle w:val="Hyperlink"/>
                      <w:noProof/>
                    </w:rPr>
                    <w:t>Auditor-General’s Report</w:t>
                  </w:r>
                  <w:r w:rsidR="005644CF">
                    <w:rPr>
                      <w:noProof/>
                      <w:webHidden/>
                    </w:rPr>
                    <w:tab/>
                  </w:r>
                  <w:r>
                    <w:rPr>
                      <w:noProof/>
                      <w:webHidden/>
                    </w:rPr>
                    <w:fldChar w:fldCharType="begin"/>
                  </w:r>
                  <w:r w:rsidR="005644CF">
                    <w:rPr>
                      <w:noProof/>
                      <w:webHidden/>
                    </w:rPr>
                    <w:instrText xml:space="preserve"> PAGEREF _Toc464370145 \h </w:instrText>
                  </w:r>
                  <w:r>
                    <w:rPr>
                      <w:noProof/>
                      <w:webHidden/>
                    </w:rPr>
                  </w:r>
                  <w:r>
                    <w:rPr>
                      <w:noProof/>
                      <w:webHidden/>
                    </w:rPr>
                    <w:fldChar w:fldCharType="separate"/>
                  </w:r>
                  <w:r w:rsidR="005644CF">
                    <w:rPr>
                      <w:noProof/>
                      <w:webHidden/>
                    </w:rPr>
                    <w:t>4</w:t>
                  </w:r>
                  <w:r>
                    <w:rPr>
                      <w:noProof/>
                      <w:webHidden/>
                    </w:rPr>
                    <w:fldChar w:fldCharType="end"/>
                  </w:r>
                </w:hyperlink>
              </w:p>
              <w:p w:rsidR="005644CF" w:rsidRDefault="00100865">
                <w:pPr>
                  <w:pStyle w:val="TOC1"/>
                  <w:tabs>
                    <w:tab w:val="left" w:pos="442"/>
                    <w:tab w:val="right" w:leader="dot" w:pos="9016"/>
                  </w:tabs>
                  <w:rPr>
                    <w:rFonts w:asciiTheme="minorHAnsi" w:eastAsiaTheme="minorEastAsia" w:hAnsiTheme="minorHAnsi"/>
                    <w:b w:val="0"/>
                    <w:caps w:val="0"/>
                    <w:noProof/>
                    <w:color w:val="auto"/>
                    <w:sz w:val="22"/>
                    <w:lang w:val="en-US"/>
                  </w:rPr>
                </w:pPr>
                <w:hyperlink w:anchor="_Toc464370146" w:history="1">
                  <w:r w:rsidR="005644CF" w:rsidRPr="00BE4C76">
                    <w:rPr>
                      <w:rStyle w:val="Hyperlink"/>
                      <w:noProof/>
                    </w:rPr>
                    <w:t>4</w:t>
                  </w:r>
                  <w:r w:rsidR="005644CF">
                    <w:rPr>
                      <w:rFonts w:asciiTheme="minorHAnsi" w:eastAsiaTheme="minorEastAsia" w:hAnsiTheme="minorHAnsi"/>
                      <w:b w:val="0"/>
                      <w:caps w:val="0"/>
                      <w:noProof/>
                      <w:color w:val="auto"/>
                      <w:sz w:val="22"/>
                      <w:lang w:val="en-US"/>
                    </w:rPr>
                    <w:tab/>
                  </w:r>
                  <w:r w:rsidR="005644CF" w:rsidRPr="00BE4C76">
                    <w:rPr>
                      <w:rStyle w:val="Hyperlink"/>
                      <w:noProof/>
                    </w:rPr>
                    <w:t>Key Issues for Consideration by Parliament</w:t>
                  </w:r>
                  <w:r w:rsidR="005644CF">
                    <w:rPr>
                      <w:noProof/>
                      <w:webHidden/>
                    </w:rPr>
                    <w:tab/>
                  </w:r>
                  <w:r>
                    <w:rPr>
                      <w:noProof/>
                      <w:webHidden/>
                    </w:rPr>
                    <w:fldChar w:fldCharType="begin"/>
                  </w:r>
                  <w:r w:rsidR="005644CF">
                    <w:rPr>
                      <w:noProof/>
                      <w:webHidden/>
                    </w:rPr>
                    <w:instrText xml:space="preserve"> PAGEREF _Toc464370146 \h </w:instrText>
                  </w:r>
                  <w:r>
                    <w:rPr>
                      <w:noProof/>
                      <w:webHidden/>
                    </w:rPr>
                  </w:r>
                  <w:r>
                    <w:rPr>
                      <w:noProof/>
                      <w:webHidden/>
                    </w:rPr>
                    <w:fldChar w:fldCharType="separate"/>
                  </w:r>
                  <w:r w:rsidR="005644CF">
                    <w:rPr>
                      <w:noProof/>
                      <w:webHidden/>
                    </w:rPr>
                    <w:t>5</w:t>
                  </w:r>
                  <w:r>
                    <w:rPr>
                      <w:noProof/>
                      <w:webHidden/>
                    </w:rPr>
                    <w:fldChar w:fldCharType="end"/>
                  </w:r>
                </w:hyperlink>
              </w:p>
              <w:p w:rsidR="005644CF" w:rsidRDefault="00100865">
                <w:pPr>
                  <w:pStyle w:val="TOC1"/>
                  <w:tabs>
                    <w:tab w:val="left" w:pos="442"/>
                    <w:tab w:val="right" w:leader="dot" w:pos="9016"/>
                  </w:tabs>
                  <w:rPr>
                    <w:rFonts w:asciiTheme="minorHAnsi" w:eastAsiaTheme="minorEastAsia" w:hAnsiTheme="minorHAnsi"/>
                    <w:b w:val="0"/>
                    <w:caps w:val="0"/>
                    <w:noProof/>
                    <w:color w:val="auto"/>
                    <w:sz w:val="22"/>
                    <w:lang w:val="en-US"/>
                  </w:rPr>
                </w:pPr>
                <w:hyperlink w:anchor="_Toc464370147" w:history="1">
                  <w:r w:rsidR="005644CF" w:rsidRPr="00BE4C76">
                    <w:rPr>
                      <w:rStyle w:val="Hyperlink"/>
                      <w:noProof/>
                    </w:rPr>
                    <w:t>5</w:t>
                  </w:r>
                  <w:r w:rsidR="005644CF">
                    <w:rPr>
                      <w:rFonts w:asciiTheme="minorHAnsi" w:eastAsiaTheme="minorEastAsia" w:hAnsiTheme="minorHAnsi"/>
                      <w:b w:val="0"/>
                      <w:caps w:val="0"/>
                      <w:noProof/>
                      <w:color w:val="auto"/>
                      <w:sz w:val="22"/>
                      <w:lang w:val="en-US"/>
                    </w:rPr>
                    <w:tab/>
                  </w:r>
                  <w:r w:rsidR="005644CF" w:rsidRPr="00BE4C76">
                    <w:rPr>
                      <w:rStyle w:val="Hyperlink"/>
                      <w:noProof/>
                    </w:rPr>
                    <w:t>References</w:t>
                  </w:r>
                  <w:r w:rsidR="005644CF">
                    <w:rPr>
                      <w:noProof/>
                      <w:webHidden/>
                    </w:rPr>
                    <w:tab/>
                  </w:r>
                  <w:r>
                    <w:rPr>
                      <w:noProof/>
                      <w:webHidden/>
                    </w:rPr>
                    <w:fldChar w:fldCharType="begin"/>
                  </w:r>
                  <w:r w:rsidR="005644CF">
                    <w:rPr>
                      <w:noProof/>
                      <w:webHidden/>
                    </w:rPr>
                    <w:instrText xml:space="preserve"> PAGEREF _Toc464370147 \h </w:instrText>
                  </w:r>
                  <w:r>
                    <w:rPr>
                      <w:noProof/>
                      <w:webHidden/>
                    </w:rPr>
                  </w:r>
                  <w:r>
                    <w:rPr>
                      <w:noProof/>
                      <w:webHidden/>
                    </w:rPr>
                    <w:fldChar w:fldCharType="separate"/>
                  </w:r>
                  <w:r w:rsidR="005644CF">
                    <w:rPr>
                      <w:noProof/>
                      <w:webHidden/>
                    </w:rPr>
                    <w:t>6</w:t>
                  </w:r>
                  <w:r>
                    <w:rPr>
                      <w:noProof/>
                      <w:webHidden/>
                    </w:rPr>
                    <w:fldChar w:fldCharType="end"/>
                  </w:r>
                </w:hyperlink>
              </w:p>
              <w:p w:rsidR="009E0C94" w:rsidRDefault="00100865" w:rsidP="00893EE9">
                <w:pPr>
                  <w:pStyle w:val="ResearchTitle"/>
                  <w:rPr>
                    <w:rFonts w:cs="Arial"/>
                  </w:rPr>
                </w:pPr>
                <w:r>
                  <w:rPr>
                    <w:rFonts w:cs="Arial"/>
                  </w:rPr>
                  <w:fldChar w:fldCharType="end"/>
                </w:r>
              </w:p>
            </w:sdtContent>
          </w:sdt>
        </w:tc>
      </w:tr>
    </w:tbl>
    <w:p w:rsidR="009A2690" w:rsidRPr="00893EE9" w:rsidRDefault="009A2690" w:rsidP="00893EE9">
      <w:pPr>
        <w:pStyle w:val="Heading1"/>
        <w:spacing w:before="0"/>
        <w:rPr>
          <w:rFonts w:cs="Arial"/>
        </w:rPr>
      </w:pPr>
    </w:p>
    <w:p w:rsidR="00052B47" w:rsidRPr="00052B47" w:rsidRDefault="002D6EE7" w:rsidP="00052B47">
      <w:pPr>
        <w:pStyle w:val="Heading1"/>
        <w:numPr>
          <w:ilvl w:val="0"/>
          <w:numId w:val="6"/>
        </w:numPr>
      </w:pPr>
      <w:bookmarkStart w:id="1" w:name="_Toc464370138"/>
      <w:r>
        <w:t>Introduction</w:t>
      </w:r>
      <w:bookmarkEnd w:id="1"/>
    </w:p>
    <w:p w:rsidR="009E0C94" w:rsidRDefault="009E0C94" w:rsidP="009E0C94"/>
    <w:p w:rsidR="00702501" w:rsidRDefault="00FE0F4F" w:rsidP="000B648B">
      <w:r>
        <w:t xml:space="preserve">The Government Pensions Administration Agency </w:t>
      </w:r>
      <w:r w:rsidR="00C82930">
        <w:t xml:space="preserve">(GPAA) </w:t>
      </w:r>
      <w:r>
        <w:t xml:space="preserve">is a government </w:t>
      </w:r>
      <w:r w:rsidR="00C82930">
        <w:t xml:space="preserve">entity </w:t>
      </w:r>
      <w:r>
        <w:t>which reports to the Minister of Finance to administer pensions on behalf of the Government Employee Pension Fund</w:t>
      </w:r>
      <w:r w:rsidR="00305BA1">
        <w:t xml:space="preserve"> (GEPF)</w:t>
      </w:r>
      <w:r>
        <w:t xml:space="preserve"> and National Trea</w:t>
      </w:r>
      <w:r w:rsidR="00C82930">
        <w:t>sur</w:t>
      </w:r>
      <w:r>
        <w:t>y</w:t>
      </w:r>
      <w:r w:rsidR="005644CF">
        <w:t xml:space="preserve"> </w:t>
      </w:r>
      <w:r w:rsidR="00305BA1">
        <w:t>(NT)</w:t>
      </w:r>
      <w:r>
        <w:t xml:space="preserve"> in respect of Post-Retirement Medical Subsidies, Military Pensions and Special Pensions. G</w:t>
      </w:r>
      <w:r w:rsidR="00C82930">
        <w:t>P</w:t>
      </w:r>
      <w:r>
        <w:t xml:space="preserve">AA derives its mandate from </w:t>
      </w:r>
      <w:r w:rsidR="00770DF1">
        <w:t>the two customers</w:t>
      </w:r>
      <w:r w:rsidR="00305BA1">
        <w:t xml:space="preserve">- NT and GEPF </w:t>
      </w:r>
      <w:r w:rsidR="00770DF1">
        <w:t>and is responsible for contributing towards Outcome 12</w:t>
      </w:r>
      <w:r w:rsidR="00BD207C">
        <w:rPr>
          <w:rStyle w:val="FootnoteReference"/>
        </w:rPr>
        <w:footnoteReference w:id="1"/>
      </w:r>
      <w:r w:rsidR="00770DF1">
        <w:t xml:space="preserve"> of the 14 Government priority outcomes. The GPAA aims to deliver on its mandate through strategic goals and objectives within specific performance areas </w:t>
      </w:r>
      <w:r w:rsidR="00C82930">
        <w:t>i</w:t>
      </w:r>
      <w:r w:rsidR="00770DF1">
        <w:t xml:space="preserve">n accordance with its operating model. </w:t>
      </w:r>
      <w:r w:rsidR="005644CF">
        <w:t xml:space="preserve">The strategic </w:t>
      </w:r>
      <w:r w:rsidR="004D7FE9">
        <w:t xml:space="preserve">goals of this outcome include: service delivery quality and access, human resource management and development, business processes, systems, decision rights and accountability and reducing corruption in the public service. </w:t>
      </w:r>
      <w:r w:rsidR="00770DF1">
        <w:t>The goal is to ensure that all government employees and their beneficiaries are serviced fully by adhering to industry best practice</w:t>
      </w:r>
      <w:r w:rsidR="00C82930">
        <w:t>.</w:t>
      </w:r>
    </w:p>
    <w:p w:rsidR="00052B47" w:rsidRPr="00E22056" w:rsidRDefault="00052B47" w:rsidP="00052B47">
      <w:pPr>
        <w:pStyle w:val="Heading1"/>
        <w:numPr>
          <w:ilvl w:val="0"/>
          <w:numId w:val="6"/>
        </w:numPr>
      </w:pPr>
      <w:bookmarkStart w:id="2" w:name="_Toc464370139"/>
      <w:r>
        <w:t>Overview of the 2015/16 financial year</w:t>
      </w:r>
      <w:bookmarkEnd w:id="2"/>
    </w:p>
    <w:p w:rsidR="00052B47" w:rsidRDefault="00052B47" w:rsidP="00052B47">
      <w:pPr>
        <w:rPr>
          <w:rFonts w:cs="Arial"/>
          <w:bCs/>
        </w:rPr>
      </w:pPr>
    </w:p>
    <w:p w:rsidR="00C82930" w:rsidRDefault="00770DF1" w:rsidP="00052B47">
      <w:pPr>
        <w:rPr>
          <w:rFonts w:cs="Arial"/>
          <w:bCs/>
        </w:rPr>
      </w:pPr>
      <w:r>
        <w:rPr>
          <w:rFonts w:cs="Arial"/>
          <w:bCs/>
        </w:rPr>
        <w:t>T</w:t>
      </w:r>
      <w:r w:rsidR="00C82930">
        <w:rPr>
          <w:rFonts w:cs="Arial"/>
          <w:bCs/>
        </w:rPr>
        <w:t>he</w:t>
      </w:r>
      <w:r>
        <w:rPr>
          <w:rFonts w:cs="Arial"/>
          <w:bCs/>
        </w:rPr>
        <w:t xml:space="preserve"> GPAA </w:t>
      </w:r>
      <w:r w:rsidR="00367844">
        <w:rPr>
          <w:rFonts w:cs="Arial"/>
          <w:bCs/>
        </w:rPr>
        <w:t xml:space="preserve">has </w:t>
      </w:r>
      <w:r>
        <w:rPr>
          <w:rFonts w:cs="Arial"/>
          <w:bCs/>
        </w:rPr>
        <w:t>successfully continue</w:t>
      </w:r>
      <w:r w:rsidR="00C82930">
        <w:rPr>
          <w:rFonts w:cs="Arial"/>
          <w:bCs/>
        </w:rPr>
        <w:t>d</w:t>
      </w:r>
      <w:r>
        <w:rPr>
          <w:rFonts w:cs="Arial"/>
          <w:bCs/>
        </w:rPr>
        <w:t xml:space="preserve"> to stay the course. It has faced many challenges</w:t>
      </w:r>
      <w:r w:rsidR="004D7FE9">
        <w:rPr>
          <w:rFonts w:cs="Arial"/>
          <w:bCs/>
        </w:rPr>
        <w:t xml:space="preserve"> such performance efficiency, non-compliance to supply chain irregularities</w:t>
      </w:r>
      <w:r>
        <w:rPr>
          <w:rFonts w:cs="Arial"/>
          <w:bCs/>
        </w:rPr>
        <w:t xml:space="preserve"> in its strategic goals to be a leading, people-centric benefits administrator in </w:t>
      </w:r>
      <w:r w:rsidR="00C82930">
        <w:rPr>
          <w:rFonts w:cs="Arial"/>
          <w:bCs/>
        </w:rPr>
        <w:t>G</w:t>
      </w:r>
      <w:r>
        <w:rPr>
          <w:rFonts w:cs="Arial"/>
          <w:bCs/>
        </w:rPr>
        <w:t xml:space="preserve">overnment. In the current financial year, there were several initiatives that were high on the agenda including the </w:t>
      </w:r>
      <w:r>
        <w:rPr>
          <w:rFonts w:cs="Arial"/>
          <w:bCs/>
        </w:rPr>
        <w:lastRenderedPageBreak/>
        <w:t>implementation of the Modernisation Programmme which seeks to address technology, system and process improvements, as well as human capital development.</w:t>
      </w:r>
      <w:r w:rsidR="0051589B">
        <w:rPr>
          <w:rFonts w:cs="Arial"/>
          <w:bCs/>
        </w:rPr>
        <w:t xml:space="preserve"> The Modernisation Programme further aims to automate the process of</w:t>
      </w:r>
      <w:r w:rsidR="00C82930">
        <w:rPr>
          <w:rFonts w:cs="Arial"/>
          <w:bCs/>
        </w:rPr>
        <w:t xml:space="preserve"> </w:t>
      </w:r>
      <w:r w:rsidR="0051589B">
        <w:rPr>
          <w:rFonts w:cs="Arial"/>
          <w:bCs/>
        </w:rPr>
        <w:t>build</w:t>
      </w:r>
      <w:r w:rsidR="00C82930">
        <w:rPr>
          <w:rFonts w:cs="Arial"/>
          <w:bCs/>
        </w:rPr>
        <w:t>ing a</w:t>
      </w:r>
      <w:r w:rsidR="0051589B">
        <w:rPr>
          <w:rFonts w:cs="Arial"/>
          <w:bCs/>
        </w:rPr>
        <w:t xml:space="preserve"> competent workforce and increas</w:t>
      </w:r>
      <w:r w:rsidR="00C82930">
        <w:rPr>
          <w:rFonts w:cs="Arial"/>
          <w:bCs/>
        </w:rPr>
        <w:t>ing</w:t>
      </w:r>
      <w:r w:rsidR="0051589B">
        <w:rPr>
          <w:rFonts w:cs="Arial"/>
          <w:bCs/>
        </w:rPr>
        <w:t xml:space="preserve"> its interaction with employer departments and </w:t>
      </w:r>
      <w:r w:rsidR="00C82930">
        <w:rPr>
          <w:rFonts w:cs="Arial"/>
          <w:bCs/>
        </w:rPr>
        <w:t>to locate</w:t>
      </w:r>
      <w:r w:rsidR="0051589B">
        <w:rPr>
          <w:rFonts w:cs="Arial"/>
          <w:bCs/>
        </w:rPr>
        <w:t xml:space="preserve"> members so as to pay exit benefits.  The GPAA has a number of highlights </w:t>
      </w:r>
      <w:r w:rsidR="00C82930">
        <w:rPr>
          <w:rFonts w:cs="Arial"/>
          <w:bCs/>
        </w:rPr>
        <w:t>including:</w:t>
      </w:r>
    </w:p>
    <w:p w:rsidR="00C82930" w:rsidRDefault="0051589B" w:rsidP="005644CF">
      <w:pPr>
        <w:pStyle w:val="ListParagraph"/>
        <w:numPr>
          <w:ilvl w:val="0"/>
          <w:numId w:val="28"/>
        </w:numPr>
        <w:rPr>
          <w:rFonts w:cs="Arial"/>
          <w:bCs/>
        </w:rPr>
      </w:pPr>
      <w:r w:rsidRPr="00C82930">
        <w:rPr>
          <w:rFonts w:cs="Arial"/>
          <w:bCs/>
        </w:rPr>
        <w:t>100% of benefits were paid accurately</w:t>
      </w:r>
    </w:p>
    <w:p w:rsidR="004D4471" w:rsidRDefault="0051589B" w:rsidP="005644CF">
      <w:pPr>
        <w:pStyle w:val="ListParagraph"/>
        <w:numPr>
          <w:ilvl w:val="0"/>
          <w:numId w:val="28"/>
        </w:numPr>
        <w:rPr>
          <w:rFonts w:cs="Arial"/>
          <w:bCs/>
        </w:rPr>
      </w:pPr>
      <w:r w:rsidRPr="00C82930">
        <w:rPr>
          <w:rFonts w:cs="Arial"/>
          <w:bCs/>
        </w:rPr>
        <w:t xml:space="preserve">84% were paid on time after receipt of duly completed documentation </w:t>
      </w:r>
    </w:p>
    <w:p w:rsidR="0051589B" w:rsidRPr="00520450" w:rsidRDefault="004D4471" w:rsidP="005644CF">
      <w:pPr>
        <w:pStyle w:val="ListParagraph"/>
        <w:numPr>
          <w:ilvl w:val="0"/>
          <w:numId w:val="28"/>
        </w:numPr>
        <w:rPr>
          <w:rFonts w:cs="Arial"/>
          <w:bCs/>
        </w:rPr>
      </w:pPr>
      <w:r>
        <w:rPr>
          <w:rFonts w:cs="Arial"/>
          <w:bCs/>
        </w:rPr>
        <w:t>D</w:t>
      </w:r>
      <w:r w:rsidR="0051589B" w:rsidRPr="004D4471">
        <w:rPr>
          <w:rFonts w:cs="Arial"/>
          <w:bCs/>
        </w:rPr>
        <w:t>eliver</w:t>
      </w:r>
      <w:r>
        <w:rPr>
          <w:rFonts w:cs="Arial"/>
          <w:bCs/>
        </w:rPr>
        <w:t>ing</w:t>
      </w:r>
      <w:r w:rsidR="0051589B" w:rsidRPr="004D4471">
        <w:rPr>
          <w:rFonts w:cs="Arial"/>
          <w:bCs/>
        </w:rPr>
        <w:t xml:space="preserve"> on its majority of predetermined objectives. The overall performance was 91% with 21 of the 23 performance targets being achieved.</w:t>
      </w:r>
    </w:p>
    <w:p w:rsidR="0051589B" w:rsidRDefault="0051589B" w:rsidP="00052B47">
      <w:pPr>
        <w:rPr>
          <w:rFonts w:cs="Arial"/>
          <w:bCs/>
        </w:rPr>
      </w:pPr>
    </w:p>
    <w:p w:rsidR="0051589B" w:rsidRDefault="007B5522" w:rsidP="00052B47">
      <w:pPr>
        <w:rPr>
          <w:rFonts w:cs="Arial"/>
          <w:bCs/>
        </w:rPr>
      </w:pPr>
      <w:r>
        <w:rPr>
          <w:rFonts w:cs="Arial"/>
          <w:bCs/>
        </w:rPr>
        <w:t>T</w:t>
      </w:r>
      <w:r w:rsidR="0051589B">
        <w:rPr>
          <w:rFonts w:cs="Arial"/>
          <w:bCs/>
        </w:rPr>
        <w:t>he significant audit concerns that were raised in the year under review</w:t>
      </w:r>
      <w:r>
        <w:rPr>
          <w:rFonts w:cs="Arial"/>
          <w:bCs/>
        </w:rPr>
        <w:t xml:space="preserve"> should also be noted</w:t>
      </w:r>
      <w:r w:rsidR="0051589B">
        <w:rPr>
          <w:rFonts w:cs="Arial"/>
          <w:bCs/>
        </w:rPr>
        <w:t xml:space="preserve">. </w:t>
      </w:r>
      <w:r>
        <w:rPr>
          <w:rFonts w:cs="Arial"/>
          <w:bCs/>
        </w:rPr>
        <w:t>A</w:t>
      </w:r>
      <w:r w:rsidR="0051589B">
        <w:rPr>
          <w:rFonts w:cs="Arial"/>
          <w:bCs/>
        </w:rPr>
        <w:t xml:space="preserve"> </w:t>
      </w:r>
      <w:r>
        <w:rPr>
          <w:rFonts w:cs="Arial"/>
          <w:bCs/>
        </w:rPr>
        <w:t>crucial</w:t>
      </w:r>
      <w:r w:rsidR="0051589B">
        <w:rPr>
          <w:rFonts w:cs="Arial"/>
          <w:bCs/>
        </w:rPr>
        <w:t xml:space="preserve"> weakness </w:t>
      </w:r>
      <w:r>
        <w:rPr>
          <w:rFonts w:cs="Arial"/>
          <w:bCs/>
        </w:rPr>
        <w:t xml:space="preserve">was </w:t>
      </w:r>
      <w:r w:rsidR="0051589B">
        <w:rPr>
          <w:rFonts w:cs="Arial"/>
          <w:bCs/>
        </w:rPr>
        <w:t xml:space="preserve">identified with management and a number of special investigations are underway. Despite some progress made, with the appointment of the Chief Executive Officer, there are </w:t>
      </w:r>
      <w:r w:rsidR="00997B70">
        <w:rPr>
          <w:rFonts w:cs="Arial"/>
          <w:bCs/>
        </w:rPr>
        <w:t>significant non-compliance and supply chain procedures still lagging behind.</w:t>
      </w:r>
    </w:p>
    <w:p w:rsidR="00055604" w:rsidRPr="00997B70" w:rsidRDefault="00AA2350" w:rsidP="00997B70">
      <w:pPr>
        <w:rPr>
          <w:rFonts w:cs="Arial"/>
          <w:b/>
          <w:bCs/>
        </w:rPr>
      </w:pPr>
      <w:r>
        <w:rPr>
          <w:rFonts w:cs="Arial"/>
          <w:bCs/>
        </w:rPr>
        <w:t xml:space="preserve">  </w:t>
      </w:r>
    </w:p>
    <w:p w:rsidR="00052B47" w:rsidRDefault="00052B47" w:rsidP="00052B47">
      <w:pPr>
        <w:rPr>
          <w:rFonts w:cs="Arial"/>
          <w:b/>
          <w:bCs/>
        </w:rPr>
      </w:pPr>
    </w:p>
    <w:p w:rsidR="00055604" w:rsidRDefault="00055604" w:rsidP="00052B47">
      <w:pPr>
        <w:rPr>
          <w:rFonts w:cs="Arial"/>
          <w:b/>
          <w:bCs/>
        </w:rPr>
      </w:pPr>
    </w:p>
    <w:p w:rsidR="00055604" w:rsidRDefault="00055604" w:rsidP="00052B47">
      <w:pPr>
        <w:rPr>
          <w:rFonts w:cs="Arial"/>
          <w:b/>
          <w:bCs/>
        </w:rPr>
      </w:pPr>
    </w:p>
    <w:p w:rsidR="00055604" w:rsidRDefault="00055604" w:rsidP="00052B47">
      <w:pPr>
        <w:rPr>
          <w:rFonts w:cs="Arial"/>
          <w:b/>
          <w:bCs/>
        </w:rPr>
      </w:pPr>
    </w:p>
    <w:p w:rsidR="00055604" w:rsidRDefault="00055604" w:rsidP="00052B47">
      <w:pPr>
        <w:rPr>
          <w:rFonts w:cs="Arial"/>
          <w:b/>
          <w:bCs/>
        </w:rPr>
      </w:pPr>
    </w:p>
    <w:p w:rsidR="00055604" w:rsidRDefault="00055604" w:rsidP="00052B47">
      <w:pPr>
        <w:rPr>
          <w:rFonts w:cs="Arial"/>
          <w:b/>
          <w:bCs/>
        </w:rPr>
      </w:pPr>
    </w:p>
    <w:p w:rsidR="00055604" w:rsidRDefault="00055604" w:rsidP="00052B47">
      <w:pPr>
        <w:rPr>
          <w:rFonts w:cs="Arial"/>
          <w:b/>
          <w:bCs/>
        </w:rPr>
      </w:pPr>
    </w:p>
    <w:p w:rsidR="00055604" w:rsidRDefault="00055604" w:rsidP="00052B47">
      <w:pPr>
        <w:rPr>
          <w:rFonts w:cs="Arial"/>
          <w:b/>
          <w:bCs/>
        </w:rPr>
      </w:pPr>
    </w:p>
    <w:p w:rsidR="00055604" w:rsidRDefault="00055604" w:rsidP="00052B47">
      <w:pPr>
        <w:rPr>
          <w:rFonts w:cs="Arial"/>
          <w:b/>
          <w:bCs/>
        </w:rPr>
      </w:pPr>
    </w:p>
    <w:p w:rsidR="00055604" w:rsidRDefault="00055604" w:rsidP="00052B47">
      <w:pPr>
        <w:rPr>
          <w:rFonts w:cs="Arial"/>
          <w:b/>
          <w:bCs/>
        </w:rPr>
      </w:pPr>
    </w:p>
    <w:p w:rsidR="00055604" w:rsidRDefault="00055604" w:rsidP="00052B47">
      <w:pPr>
        <w:rPr>
          <w:rFonts w:cs="Arial"/>
          <w:b/>
          <w:bCs/>
        </w:rPr>
      </w:pPr>
    </w:p>
    <w:p w:rsidR="00055604" w:rsidRDefault="00055604" w:rsidP="00052B47">
      <w:pPr>
        <w:rPr>
          <w:rFonts w:cs="Arial"/>
          <w:b/>
          <w:bCs/>
        </w:rPr>
      </w:pPr>
    </w:p>
    <w:p w:rsidR="00055604" w:rsidRDefault="00055604" w:rsidP="00052B47">
      <w:pPr>
        <w:rPr>
          <w:rFonts w:cs="Arial"/>
          <w:b/>
          <w:bCs/>
        </w:rPr>
      </w:pPr>
    </w:p>
    <w:p w:rsidR="00055604" w:rsidRDefault="00055604" w:rsidP="00052B47">
      <w:pPr>
        <w:rPr>
          <w:rFonts w:cs="Arial"/>
          <w:b/>
          <w:bCs/>
        </w:rPr>
      </w:pPr>
    </w:p>
    <w:p w:rsidR="00055604" w:rsidRDefault="00055604" w:rsidP="00052B47">
      <w:pPr>
        <w:rPr>
          <w:rFonts w:cs="Arial"/>
          <w:b/>
          <w:bCs/>
        </w:rPr>
      </w:pPr>
    </w:p>
    <w:p w:rsidR="00055604" w:rsidRDefault="00055604" w:rsidP="00052B47">
      <w:pPr>
        <w:rPr>
          <w:rFonts w:cs="Arial"/>
          <w:b/>
          <w:bCs/>
        </w:rPr>
      </w:pPr>
    </w:p>
    <w:p w:rsidR="00055604" w:rsidRDefault="00055604" w:rsidP="00052B47">
      <w:pPr>
        <w:rPr>
          <w:rFonts w:cs="Arial"/>
          <w:b/>
          <w:bCs/>
        </w:rPr>
      </w:pPr>
    </w:p>
    <w:p w:rsidR="00055604" w:rsidRDefault="00055604" w:rsidP="00052B47">
      <w:pPr>
        <w:rPr>
          <w:rFonts w:cs="Arial"/>
          <w:b/>
          <w:bCs/>
        </w:rPr>
      </w:pPr>
    </w:p>
    <w:p w:rsidR="00055604" w:rsidRDefault="00055604" w:rsidP="00052B47">
      <w:pPr>
        <w:rPr>
          <w:rFonts w:cs="Arial"/>
          <w:b/>
          <w:bCs/>
        </w:rPr>
      </w:pPr>
    </w:p>
    <w:p w:rsidR="00055604" w:rsidRDefault="00055604" w:rsidP="00052B47">
      <w:pPr>
        <w:rPr>
          <w:rFonts w:cs="Arial"/>
          <w:b/>
          <w:bCs/>
        </w:rPr>
      </w:pPr>
    </w:p>
    <w:p w:rsidR="00055604" w:rsidRDefault="00055604" w:rsidP="00052B47">
      <w:pPr>
        <w:rPr>
          <w:rFonts w:cs="Arial"/>
          <w:b/>
          <w:bCs/>
        </w:rPr>
      </w:pPr>
    </w:p>
    <w:p w:rsidR="00055604" w:rsidRPr="00E22056" w:rsidRDefault="00055604" w:rsidP="00052B47">
      <w:pPr>
        <w:rPr>
          <w:rFonts w:cs="Arial"/>
          <w:b/>
          <w:bCs/>
        </w:rPr>
      </w:pPr>
    </w:p>
    <w:p w:rsidR="00055604" w:rsidRDefault="00055604" w:rsidP="00055604">
      <w:pPr>
        <w:pStyle w:val="Heading1"/>
        <w:sectPr w:rsidR="00055604" w:rsidSect="008817A9">
          <w:headerReference w:type="default" r:id="rId8"/>
          <w:footerReference w:type="default" r:id="rId9"/>
          <w:headerReference w:type="first" r:id="rId10"/>
          <w:footerReference w:type="first" r:id="rId11"/>
          <w:pgSz w:w="11906" w:h="16838"/>
          <w:pgMar w:top="2002" w:right="1440" w:bottom="1440" w:left="1440" w:header="706" w:footer="706" w:gutter="0"/>
          <w:cols w:space="708"/>
          <w:titlePg/>
          <w:docGrid w:linePitch="360"/>
        </w:sectPr>
      </w:pPr>
    </w:p>
    <w:p w:rsidR="00055604" w:rsidRDefault="00055604" w:rsidP="00055604">
      <w:pPr>
        <w:pStyle w:val="Heading1"/>
        <w:ind w:left="360"/>
      </w:pPr>
    </w:p>
    <w:p w:rsidR="00052B47" w:rsidRDefault="00055604" w:rsidP="00067A47">
      <w:pPr>
        <w:pStyle w:val="Heading1"/>
        <w:numPr>
          <w:ilvl w:val="0"/>
          <w:numId w:val="6"/>
        </w:numPr>
      </w:pPr>
      <w:bookmarkStart w:id="3" w:name="_Toc464370140"/>
      <w:r>
        <w:t>bud</w:t>
      </w:r>
      <w:r w:rsidR="00052B47" w:rsidRPr="00E22056">
        <w:t>get Analysis</w:t>
      </w:r>
      <w:bookmarkEnd w:id="3"/>
    </w:p>
    <w:p w:rsidR="004C17E7" w:rsidRDefault="00CA59EA" w:rsidP="004C17E7">
      <w:pPr>
        <w:pStyle w:val="Heading2"/>
        <w:numPr>
          <w:ilvl w:val="1"/>
          <w:numId w:val="6"/>
        </w:numPr>
      </w:pPr>
      <w:bookmarkStart w:id="4" w:name="_Toc464370141"/>
      <w:r>
        <w:t>Performance Information</w:t>
      </w:r>
      <w:bookmarkEnd w:id="4"/>
    </w:p>
    <w:p w:rsidR="00CA59EA" w:rsidRDefault="00882C8E" w:rsidP="004C17E7">
      <w:pPr>
        <w:pStyle w:val="Heading2"/>
      </w:pPr>
      <w:bookmarkStart w:id="5" w:name="_Toc464370142"/>
      <w:r>
        <w:t>Table 1: High Level Performance Dashboard: Corporate Scorecard</w:t>
      </w:r>
      <w:bookmarkEnd w:id="5"/>
    </w:p>
    <w:tbl>
      <w:tblPr>
        <w:tblStyle w:val="TableGrid"/>
        <w:tblW w:w="16020" w:type="dxa"/>
        <w:tblInd w:w="-1085" w:type="dxa"/>
        <w:tblLayout w:type="fixed"/>
        <w:tblLook w:val="04A0"/>
      </w:tblPr>
      <w:tblGrid>
        <w:gridCol w:w="2070"/>
        <w:gridCol w:w="6300"/>
        <w:gridCol w:w="4590"/>
        <w:gridCol w:w="3060"/>
      </w:tblGrid>
      <w:tr w:rsidR="00055604" w:rsidTr="00055604">
        <w:trPr>
          <w:tblHeader/>
        </w:trPr>
        <w:tc>
          <w:tcPr>
            <w:tcW w:w="2070" w:type="dxa"/>
            <w:shd w:val="clear" w:color="auto" w:fill="7030A0"/>
          </w:tcPr>
          <w:p w:rsidR="006E0F0E" w:rsidRDefault="00052B47" w:rsidP="00255330">
            <w:pPr>
              <w:rPr>
                <w:rFonts w:cs="Arial"/>
                <w:b/>
                <w:bCs/>
              </w:rPr>
            </w:pPr>
            <w:r>
              <w:t xml:space="preserve"> </w:t>
            </w:r>
            <w:r w:rsidR="006E0F0E">
              <w:rPr>
                <w:rFonts w:cs="Arial"/>
                <w:b/>
                <w:bCs/>
              </w:rPr>
              <w:t>Programme</w:t>
            </w:r>
          </w:p>
        </w:tc>
        <w:tc>
          <w:tcPr>
            <w:tcW w:w="6300" w:type="dxa"/>
            <w:shd w:val="clear" w:color="auto" w:fill="7030A0"/>
          </w:tcPr>
          <w:p w:rsidR="006E0F0E" w:rsidRDefault="006E0F0E" w:rsidP="00255330">
            <w:pPr>
              <w:rPr>
                <w:rFonts w:cs="Arial"/>
                <w:b/>
                <w:bCs/>
              </w:rPr>
            </w:pPr>
            <w:r>
              <w:rPr>
                <w:rFonts w:cs="Arial"/>
                <w:b/>
                <w:bCs/>
              </w:rPr>
              <w:t>Achievements</w:t>
            </w:r>
          </w:p>
        </w:tc>
        <w:tc>
          <w:tcPr>
            <w:tcW w:w="4590" w:type="dxa"/>
            <w:shd w:val="clear" w:color="auto" w:fill="7030A0"/>
          </w:tcPr>
          <w:p w:rsidR="006E0F0E" w:rsidRDefault="006E0F0E" w:rsidP="00255330">
            <w:pPr>
              <w:rPr>
                <w:rFonts w:cs="Arial"/>
                <w:b/>
                <w:bCs/>
              </w:rPr>
            </w:pPr>
            <w:r>
              <w:rPr>
                <w:rFonts w:cs="Arial"/>
                <w:b/>
                <w:bCs/>
              </w:rPr>
              <w:t>Challenges</w:t>
            </w:r>
          </w:p>
        </w:tc>
        <w:tc>
          <w:tcPr>
            <w:tcW w:w="3060" w:type="dxa"/>
            <w:shd w:val="clear" w:color="auto" w:fill="7030A0"/>
          </w:tcPr>
          <w:p w:rsidR="006E0F0E" w:rsidRDefault="006E0F0E" w:rsidP="00255330">
            <w:pPr>
              <w:rPr>
                <w:rFonts w:cs="Arial"/>
                <w:b/>
                <w:bCs/>
              </w:rPr>
            </w:pPr>
            <w:r>
              <w:rPr>
                <w:rFonts w:cs="Arial"/>
                <w:b/>
                <w:bCs/>
              </w:rPr>
              <w:t>Comments</w:t>
            </w:r>
          </w:p>
        </w:tc>
      </w:tr>
      <w:tr w:rsidR="006E0F0E" w:rsidTr="00055604">
        <w:tc>
          <w:tcPr>
            <w:tcW w:w="2070" w:type="dxa"/>
            <w:shd w:val="clear" w:color="auto" w:fill="BFBFBF" w:themeFill="background1" w:themeFillShade="BF"/>
          </w:tcPr>
          <w:p w:rsidR="006E0F0E" w:rsidRPr="00E079AD" w:rsidRDefault="00C61BA5" w:rsidP="00E079AD">
            <w:pPr>
              <w:rPr>
                <w:rFonts w:cs="Arial"/>
                <w:b/>
                <w:bCs/>
              </w:rPr>
            </w:pPr>
            <w:r>
              <w:rPr>
                <w:rFonts w:cs="Arial"/>
                <w:b/>
                <w:bCs/>
              </w:rPr>
              <w:t>Programme 1: Corporate Services</w:t>
            </w:r>
            <w:r w:rsidR="006E0F0E" w:rsidRPr="00E079AD">
              <w:rPr>
                <w:rFonts w:cs="Arial"/>
                <w:b/>
                <w:bCs/>
              </w:rPr>
              <w:t xml:space="preserve"> </w:t>
            </w:r>
          </w:p>
        </w:tc>
        <w:tc>
          <w:tcPr>
            <w:tcW w:w="6300" w:type="dxa"/>
            <w:shd w:val="clear" w:color="auto" w:fill="BFBFBF" w:themeFill="background1" w:themeFillShade="BF"/>
          </w:tcPr>
          <w:p w:rsidR="00C61BA5" w:rsidRDefault="000A1AB7" w:rsidP="006E0F0E">
            <w:pPr>
              <w:pStyle w:val="ListParagraph"/>
              <w:numPr>
                <w:ilvl w:val="0"/>
                <w:numId w:val="19"/>
              </w:numPr>
              <w:rPr>
                <w:rFonts w:cs="Arial"/>
                <w:bCs/>
              </w:rPr>
            </w:pPr>
            <w:r>
              <w:rPr>
                <w:rFonts w:cs="Arial"/>
                <w:bCs/>
              </w:rPr>
              <w:t>14 v</w:t>
            </w:r>
            <w:r w:rsidR="00C61BA5">
              <w:rPr>
                <w:rFonts w:cs="Arial"/>
                <w:bCs/>
              </w:rPr>
              <w:t>arious policies were revised and approved</w:t>
            </w:r>
            <w:r>
              <w:rPr>
                <w:rFonts w:cs="Arial"/>
                <w:bCs/>
              </w:rPr>
              <w:t xml:space="preserve"> by EXCO</w:t>
            </w:r>
            <w:r w:rsidR="007B5522">
              <w:rPr>
                <w:rFonts w:cs="Arial"/>
                <w:bCs/>
              </w:rPr>
              <w:t xml:space="preserve"> including</w:t>
            </w:r>
            <w:r w:rsidR="00C61BA5">
              <w:rPr>
                <w:rFonts w:cs="Arial"/>
                <w:bCs/>
              </w:rPr>
              <w:t>:</w:t>
            </w:r>
          </w:p>
          <w:p w:rsidR="006E0F0E" w:rsidRDefault="007B5522" w:rsidP="00C61BA5">
            <w:pPr>
              <w:pStyle w:val="ListParagraph"/>
              <w:numPr>
                <w:ilvl w:val="0"/>
                <w:numId w:val="27"/>
              </w:numPr>
              <w:rPr>
                <w:rFonts w:cs="Arial"/>
                <w:bCs/>
              </w:rPr>
            </w:pPr>
            <w:r>
              <w:rPr>
                <w:rFonts w:cs="Arial"/>
                <w:bCs/>
              </w:rPr>
              <w:t xml:space="preserve">A </w:t>
            </w:r>
            <w:r w:rsidR="00C61BA5">
              <w:rPr>
                <w:rFonts w:cs="Arial"/>
                <w:bCs/>
              </w:rPr>
              <w:t>R</w:t>
            </w:r>
            <w:r w:rsidR="00C61BA5" w:rsidRPr="00C61BA5">
              <w:rPr>
                <w:rFonts w:cs="Arial"/>
                <w:bCs/>
              </w:rPr>
              <w:t xml:space="preserve">isk strategy and implementation framework </w:t>
            </w:r>
            <w:r>
              <w:rPr>
                <w:rFonts w:cs="Arial"/>
                <w:bCs/>
              </w:rPr>
              <w:t xml:space="preserve">was </w:t>
            </w:r>
            <w:r w:rsidR="00C61BA5" w:rsidRPr="00C61BA5">
              <w:rPr>
                <w:rFonts w:cs="Arial"/>
                <w:bCs/>
              </w:rPr>
              <w:t>developed</w:t>
            </w:r>
          </w:p>
          <w:p w:rsidR="00C61BA5" w:rsidRDefault="007B5522" w:rsidP="00C61BA5">
            <w:pPr>
              <w:pStyle w:val="ListParagraph"/>
              <w:numPr>
                <w:ilvl w:val="0"/>
                <w:numId w:val="27"/>
              </w:numPr>
              <w:rPr>
                <w:rFonts w:cs="Arial"/>
                <w:bCs/>
              </w:rPr>
            </w:pPr>
            <w:r>
              <w:rPr>
                <w:rFonts w:cs="Arial"/>
                <w:bCs/>
              </w:rPr>
              <w:t xml:space="preserve">A </w:t>
            </w:r>
            <w:r w:rsidR="00C61BA5">
              <w:rPr>
                <w:rFonts w:cs="Arial"/>
                <w:bCs/>
              </w:rPr>
              <w:t xml:space="preserve">Risk appetite and tolerance framework </w:t>
            </w:r>
            <w:r>
              <w:rPr>
                <w:rFonts w:cs="Arial"/>
                <w:bCs/>
              </w:rPr>
              <w:t>was approved</w:t>
            </w:r>
          </w:p>
          <w:p w:rsidR="00C61BA5" w:rsidRDefault="007B5522" w:rsidP="00C61BA5">
            <w:pPr>
              <w:pStyle w:val="ListParagraph"/>
              <w:numPr>
                <w:ilvl w:val="0"/>
                <w:numId w:val="27"/>
              </w:numPr>
              <w:rPr>
                <w:rFonts w:cs="Arial"/>
                <w:bCs/>
              </w:rPr>
            </w:pPr>
            <w:r>
              <w:rPr>
                <w:rFonts w:cs="Arial"/>
                <w:bCs/>
              </w:rPr>
              <w:t xml:space="preserve">A </w:t>
            </w:r>
            <w:r w:rsidR="00C61BA5">
              <w:rPr>
                <w:rFonts w:cs="Arial"/>
                <w:bCs/>
              </w:rPr>
              <w:t>Risk policy</w:t>
            </w:r>
          </w:p>
          <w:p w:rsidR="00C61BA5" w:rsidRDefault="007B5522" w:rsidP="00C61BA5">
            <w:pPr>
              <w:pStyle w:val="ListParagraph"/>
              <w:numPr>
                <w:ilvl w:val="0"/>
                <w:numId w:val="27"/>
              </w:numPr>
              <w:rPr>
                <w:rFonts w:cs="Arial"/>
                <w:bCs/>
              </w:rPr>
            </w:pPr>
            <w:r>
              <w:rPr>
                <w:rFonts w:cs="Arial"/>
                <w:bCs/>
              </w:rPr>
              <w:t xml:space="preserve">An </w:t>
            </w:r>
            <w:r w:rsidR="00C61BA5">
              <w:rPr>
                <w:rFonts w:cs="Arial"/>
                <w:bCs/>
              </w:rPr>
              <w:t>Anti-corruption policy was approved and fraud and ethics assessments were conducted</w:t>
            </w:r>
          </w:p>
          <w:p w:rsidR="00C61BA5" w:rsidRPr="00C61BA5" w:rsidRDefault="00C61BA5" w:rsidP="00C61BA5">
            <w:pPr>
              <w:pStyle w:val="ListParagraph"/>
              <w:numPr>
                <w:ilvl w:val="0"/>
                <w:numId w:val="27"/>
              </w:numPr>
              <w:rPr>
                <w:rFonts w:cs="Arial"/>
                <w:bCs/>
              </w:rPr>
            </w:pPr>
            <w:r>
              <w:rPr>
                <w:rFonts w:cs="Arial"/>
                <w:bCs/>
              </w:rPr>
              <w:t>Carbon footprint methodology was developed to support</w:t>
            </w:r>
            <w:r w:rsidR="007B5522">
              <w:rPr>
                <w:rFonts w:cs="Arial"/>
                <w:bCs/>
              </w:rPr>
              <w:t>:</w:t>
            </w:r>
            <w:r>
              <w:rPr>
                <w:rFonts w:cs="Arial"/>
                <w:bCs/>
              </w:rPr>
              <w:t xml:space="preserve"> </w:t>
            </w:r>
          </w:p>
          <w:p w:rsidR="00C61BA5" w:rsidRDefault="007B5522" w:rsidP="006E0F0E">
            <w:pPr>
              <w:pStyle w:val="ListParagraph"/>
              <w:numPr>
                <w:ilvl w:val="0"/>
                <w:numId w:val="19"/>
              </w:numPr>
              <w:rPr>
                <w:rFonts w:cs="Arial"/>
                <w:bCs/>
              </w:rPr>
            </w:pPr>
            <w:r>
              <w:rPr>
                <w:rFonts w:cs="Arial"/>
                <w:bCs/>
              </w:rPr>
              <w:t xml:space="preserve">Paying </w:t>
            </w:r>
            <w:r w:rsidR="000A1AB7">
              <w:rPr>
                <w:rFonts w:cs="Arial"/>
                <w:bCs/>
              </w:rPr>
              <w:t>suppliers within 30 days (93% target achieved)</w:t>
            </w:r>
          </w:p>
          <w:p w:rsidR="000A1AB7" w:rsidRDefault="000A1AB7" w:rsidP="006E0F0E">
            <w:pPr>
              <w:pStyle w:val="ListParagraph"/>
              <w:numPr>
                <w:ilvl w:val="0"/>
                <w:numId w:val="19"/>
              </w:numPr>
              <w:rPr>
                <w:rFonts w:cs="Arial"/>
                <w:bCs/>
              </w:rPr>
            </w:pPr>
            <w:r>
              <w:rPr>
                <w:rFonts w:cs="Arial"/>
                <w:bCs/>
              </w:rPr>
              <w:t xml:space="preserve">Building a modern and resilient ICT environment </w:t>
            </w:r>
          </w:p>
          <w:p w:rsidR="000A1AB7" w:rsidRPr="00E079AD" w:rsidRDefault="007B5522" w:rsidP="006E0F0E">
            <w:pPr>
              <w:pStyle w:val="ListParagraph"/>
              <w:numPr>
                <w:ilvl w:val="0"/>
                <w:numId w:val="19"/>
              </w:numPr>
              <w:rPr>
                <w:rFonts w:cs="Arial"/>
                <w:bCs/>
              </w:rPr>
            </w:pPr>
            <w:r>
              <w:rPr>
                <w:rFonts w:cs="Arial"/>
                <w:bCs/>
              </w:rPr>
              <w:t>I</w:t>
            </w:r>
            <w:r w:rsidR="000A1AB7">
              <w:rPr>
                <w:rFonts w:cs="Arial"/>
                <w:bCs/>
              </w:rPr>
              <w:t>nforming employees regarding the Tax Harmonisation law changes</w:t>
            </w:r>
          </w:p>
        </w:tc>
        <w:tc>
          <w:tcPr>
            <w:tcW w:w="4590" w:type="dxa"/>
            <w:shd w:val="clear" w:color="auto" w:fill="BFBFBF" w:themeFill="background1" w:themeFillShade="BF"/>
          </w:tcPr>
          <w:p w:rsidR="006E0F0E" w:rsidRPr="000A1AB7" w:rsidRDefault="000A1AB7" w:rsidP="000A1AB7">
            <w:pPr>
              <w:pStyle w:val="ListParagraph"/>
              <w:numPr>
                <w:ilvl w:val="0"/>
                <w:numId w:val="19"/>
              </w:numPr>
              <w:rPr>
                <w:rFonts w:cs="Arial"/>
                <w:bCs/>
              </w:rPr>
            </w:pPr>
            <w:r w:rsidRPr="000A1AB7">
              <w:rPr>
                <w:rFonts w:cs="Arial"/>
                <w:bCs/>
              </w:rPr>
              <w:t>The unavailability of ICT services due to system downtime</w:t>
            </w:r>
          </w:p>
          <w:p w:rsidR="000A1AB7" w:rsidRPr="000A1AB7" w:rsidRDefault="000A1AB7" w:rsidP="000A1AB7">
            <w:pPr>
              <w:pStyle w:val="ListParagraph"/>
              <w:numPr>
                <w:ilvl w:val="0"/>
                <w:numId w:val="19"/>
              </w:numPr>
              <w:rPr>
                <w:rFonts w:cs="Arial"/>
                <w:b/>
                <w:bCs/>
              </w:rPr>
            </w:pPr>
            <w:r w:rsidRPr="000A1AB7">
              <w:rPr>
                <w:rFonts w:cs="Arial"/>
                <w:bCs/>
              </w:rPr>
              <w:t>Delays due to supply chain processes which require strict compliance</w:t>
            </w:r>
          </w:p>
          <w:p w:rsidR="000A1AB7" w:rsidRPr="000A1AB7" w:rsidRDefault="000A1AB7" w:rsidP="000A1AB7">
            <w:pPr>
              <w:pStyle w:val="ListParagraph"/>
              <w:numPr>
                <w:ilvl w:val="0"/>
                <w:numId w:val="19"/>
              </w:numPr>
              <w:rPr>
                <w:rFonts w:cs="Arial"/>
                <w:b/>
                <w:bCs/>
              </w:rPr>
            </w:pPr>
            <w:r>
              <w:rPr>
                <w:rFonts w:cs="Arial"/>
                <w:bCs/>
              </w:rPr>
              <w:t xml:space="preserve">Lack of capacity, retention of key resources is hampering modernisation projects, high turnover in IT Audit </w:t>
            </w:r>
          </w:p>
          <w:p w:rsidR="000A1AB7" w:rsidRPr="000A1AB7" w:rsidRDefault="000A1AB7" w:rsidP="000A1AB7">
            <w:pPr>
              <w:pStyle w:val="ListParagraph"/>
              <w:numPr>
                <w:ilvl w:val="0"/>
                <w:numId w:val="19"/>
              </w:numPr>
              <w:rPr>
                <w:rFonts w:cs="Arial"/>
                <w:b/>
                <w:bCs/>
              </w:rPr>
            </w:pPr>
            <w:r>
              <w:rPr>
                <w:rFonts w:cs="Arial"/>
                <w:bCs/>
              </w:rPr>
              <w:t xml:space="preserve">Lack of automated processes </w:t>
            </w:r>
          </w:p>
          <w:p w:rsidR="000A1AB7" w:rsidRPr="000A1AB7" w:rsidRDefault="000A1AB7" w:rsidP="000A1AB7">
            <w:pPr>
              <w:pStyle w:val="ListParagraph"/>
              <w:numPr>
                <w:ilvl w:val="0"/>
                <w:numId w:val="19"/>
              </w:numPr>
              <w:rPr>
                <w:rFonts w:cs="Arial"/>
                <w:b/>
                <w:bCs/>
              </w:rPr>
            </w:pPr>
            <w:r w:rsidRPr="001841D6">
              <w:rPr>
                <w:rFonts w:cs="Arial"/>
                <w:bCs/>
              </w:rPr>
              <w:t>Low response rate to surveys</w:t>
            </w:r>
          </w:p>
        </w:tc>
        <w:tc>
          <w:tcPr>
            <w:tcW w:w="3060" w:type="dxa"/>
            <w:shd w:val="clear" w:color="auto" w:fill="BFBFBF" w:themeFill="background1" w:themeFillShade="BF"/>
          </w:tcPr>
          <w:p w:rsidR="006E0F0E" w:rsidRDefault="000A1AB7" w:rsidP="000A1AB7">
            <w:pPr>
              <w:rPr>
                <w:rFonts w:cs="Arial"/>
                <w:bCs/>
              </w:rPr>
            </w:pPr>
            <w:r>
              <w:rPr>
                <w:rFonts w:cs="Arial"/>
                <w:bCs/>
              </w:rPr>
              <w:t>It’s unfortunate that an entity faced with irregularities and weak internal controls has identified strict compliance as a stumbling block to good practise.</w:t>
            </w:r>
            <w:r w:rsidR="00253831">
              <w:rPr>
                <w:rFonts w:cs="Arial"/>
                <w:bCs/>
              </w:rPr>
              <w:t xml:space="preserve"> </w:t>
            </w:r>
            <w:r>
              <w:rPr>
                <w:rFonts w:cs="Arial"/>
                <w:bCs/>
              </w:rPr>
              <w:t>The entity should focus on improving their internal processes.</w:t>
            </w:r>
          </w:p>
          <w:p w:rsidR="000A1AB7" w:rsidRDefault="000A1AB7" w:rsidP="000A1AB7">
            <w:pPr>
              <w:rPr>
                <w:rFonts w:cs="Arial"/>
                <w:bCs/>
              </w:rPr>
            </w:pPr>
          </w:p>
          <w:p w:rsidR="000A1AB7" w:rsidRPr="00055604" w:rsidRDefault="000A1AB7" w:rsidP="00784706">
            <w:pPr>
              <w:rPr>
                <w:rFonts w:cs="Arial"/>
                <w:bCs/>
              </w:rPr>
            </w:pPr>
            <w:r>
              <w:rPr>
                <w:rFonts w:cs="Arial"/>
                <w:bCs/>
              </w:rPr>
              <w:t>There were significant number of GEPF employees that resigned to access their pensions.</w:t>
            </w:r>
            <w:r w:rsidR="00784706">
              <w:t xml:space="preserve"> </w:t>
            </w:r>
            <w:r w:rsidR="00784706" w:rsidRPr="00784706">
              <w:rPr>
                <w:rFonts w:cs="Arial"/>
                <w:bCs/>
              </w:rPr>
              <w:t xml:space="preserve">What did the marketing unit </w:t>
            </w:r>
            <w:r w:rsidR="00784706">
              <w:rPr>
                <w:rFonts w:cs="Arial"/>
                <w:bCs/>
              </w:rPr>
              <w:t>do to create awareness</w:t>
            </w:r>
            <w:r w:rsidR="00784706" w:rsidRPr="00784706">
              <w:rPr>
                <w:rFonts w:cs="Arial"/>
                <w:bCs/>
              </w:rPr>
              <w:t>?</w:t>
            </w:r>
          </w:p>
        </w:tc>
      </w:tr>
      <w:tr w:rsidR="006E0F0E" w:rsidTr="00055604">
        <w:tc>
          <w:tcPr>
            <w:tcW w:w="2070" w:type="dxa"/>
            <w:shd w:val="clear" w:color="auto" w:fill="BFBFBF" w:themeFill="background1" w:themeFillShade="BF"/>
          </w:tcPr>
          <w:p w:rsidR="006E0F0E" w:rsidRDefault="000A1AB7" w:rsidP="000A1AB7">
            <w:pPr>
              <w:rPr>
                <w:rFonts w:cs="Arial"/>
                <w:b/>
                <w:bCs/>
              </w:rPr>
            </w:pPr>
            <w:r>
              <w:rPr>
                <w:rFonts w:cs="Arial"/>
                <w:b/>
                <w:bCs/>
              </w:rPr>
              <w:t>Program 2: Special, Military and Other Benefits Administration</w:t>
            </w:r>
          </w:p>
        </w:tc>
        <w:tc>
          <w:tcPr>
            <w:tcW w:w="6300" w:type="dxa"/>
            <w:shd w:val="clear" w:color="auto" w:fill="BFBFBF" w:themeFill="background1" w:themeFillShade="BF"/>
          </w:tcPr>
          <w:p w:rsidR="002F1450" w:rsidRDefault="000A1AB7" w:rsidP="000A1AB7">
            <w:pPr>
              <w:pStyle w:val="ListParagraph"/>
              <w:numPr>
                <w:ilvl w:val="0"/>
                <w:numId w:val="19"/>
              </w:numPr>
              <w:rPr>
                <w:rFonts w:cs="Arial"/>
                <w:bCs/>
              </w:rPr>
            </w:pPr>
            <w:r>
              <w:rPr>
                <w:rFonts w:cs="Arial"/>
                <w:bCs/>
              </w:rPr>
              <w:t>91% client satisfaction level against target of 90%, as well as 100% of benefits paid accurately against target of 80%, by paying the right amount accurately.</w:t>
            </w:r>
          </w:p>
          <w:p w:rsidR="000A1AB7" w:rsidRPr="000A1AB7" w:rsidRDefault="000A1AB7" w:rsidP="000A1AB7">
            <w:pPr>
              <w:pStyle w:val="ListParagraph"/>
              <w:numPr>
                <w:ilvl w:val="0"/>
                <w:numId w:val="19"/>
              </w:numPr>
              <w:rPr>
                <w:rFonts w:cs="Arial"/>
                <w:bCs/>
              </w:rPr>
            </w:pPr>
          </w:p>
          <w:p w:rsidR="000A1AB7" w:rsidRPr="000A1AB7" w:rsidRDefault="000A1AB7" w:rsidP="00784706">
            <w:pPr>
              <w:pStyle w:val="ListParagraph"/>
              <w:numPr>
                <w:ilvl w:val="0"/>
                <w:numId w:val="19"/>
              </w:numPr>
              <w:rPr>
                <w:rFonts w:cs="Arial"/>
                <w:bCs/>
              </w:rPr>
            </w:pPr>
            <w:r w:rsidRPr="000A1AB7">
              <w:rPr>
                <w:rFonts w:cs="Arial"/>
                <w:bCs/>
              </w:rPr>
              <w:t>THE GPAA paid out pensions</w:t>
            </w:r>
            <w:r w:rsidR="00784706">
              <w:rPr>
                <w:rFonts w:cs="Arial"/>
                <w:bCs/>
              </w:rPr>
              <w:t xml:space="preserve"> and benefits of R3.</w:t>
            </w:r>
            <w:r w:rsidRPr="000A1AB7">
              <w:rPr>
                <w:rFonts w:cs="Arial"/>
                <w:bCs/>
              </w:rPr>
              <w:t>9</w:t>
            </w:r>
            <w:r w:rsidR="00784706">
              <w:rPr>
                <w:rFonts w:cs="Arial"/>
                <w:bCs/>
              </w:rPr>
              <w:t xml:space="preserve"> </w:t>
            </w:r>
            <w:r w:rsidRPr="000A1AB7">
              <w:rPr>
                <w:rFonts w:cs="Arial"/>
                <w:bCs/>
              </w:rPr>
              <w:t>billion in 2015/16 (2015:R3.7 billion).</w:t>
            </w:r>
          </w:p>
        </w:tc>
        <w:tc>
          <w:tcPr>
            <w:tcW w:w="4590" w:type="dxa"/>
            <w:shd w:val="clear" w:color="auto" w:fill="BFBFBF" w:themeFill="background1" w:themeFillShade="BF"/>
          </w:tcPr>
          <w:p w:rsidR="006E0F0E" w:rsidRPr="00253831" w:rsidRDefault="00253831" w:rsidP="00253831">
            <w:pPr>
              <w:pStyle w:val="ListParagraph"/>
              <w:numPr>
                <w:ilvl w:val="0"/>
                <w:numId w:val="19"/>
              </w:numPr>
              <w:rPr>
                <w:rFonts w:cs="Arial"/>
                <w:bCs/>
              </w:rPr>
            </w:pPr>
            <w:r w:rsidRPr="00253831">
              <w:rPr>
                <w:rFonts w:cs="Arial"/>
                <w:bCs/>
              </w:rPr>
              <w:t>Military medical account payments and access to medical treatment by pensioners remains a challenge. This function will be outsourced to a service provider in the new financial year.</w:t>
            </w:r>
          </w:p>
          <w:p w:rsidR="00253831" w:rsidRPr="00253831" w:rsidRDefault="00253831" w:rsidP="00253831">
            <w:pPr>
              <w:pStyle w:val="ListParagraph"/>
              <w:numPr>
                <w:ilvl w:val="0"/>
                <w:numId w:val="19"/>
              </w:numPr>
              <w:rPr>
                <w:rFonts w:cs="Arial"/>
                <w:b/>
                <w:bCs/>
              </w:rPr>
            </w:pPr>
            <w:r w:rsidRPr="00253831">
              <w:rPr>
                <w:rFonts w:cs="Arial"/>
                <w:bCs/>
              </w:rPr>
              <w:t>Need to intensify its communication to members</w:t>
            </w:r>
          </w:p>
        </w:tc>
        <w:tc>
          <w:tcPr>
            <w:tcW w:w="3060" w:type="dxa"/>
            <w:shd w:val="clear" w:color="auto" w:fill="BFBFBF" w:themeFill="background1" w:themeFillShade="BF"/>
          </w:tcPr>
          <w:p w:rsidR="006E0F0E" w:rsidRDefault="006E0F0E" w:rsidP="00255330">
            <w:pPr>
              <w:rPr>
                <w:rFonts w:cs="Arial"/>
                <w:b/>
                <w:bCs/>
              </w:rPr>
            </w:pPr>
          </w:p>
        </w:tc>
      </w:tr>
    </w:tbl>
    <w:p w:rsidR="00055604" w:rsidRPr="00784706" w:rsidRDefault="000A1AB7" w:rsidP="008817A9">
      <w:pPr>
        <w:rPr>
          <w:b/>
          <w:sz w:val="20"/>
          <w:szCs w:val="20"/>
        </w:rPr>
        <w:sectPr w:rsidR="00055604" w:rsidRPr="00784706" w:rsidSect="00055604">
          <w:pgSz w:w="16838" w:h="11906" w:orient="landscape"/>
          <w:pgMar w:top="1440" w:right="2002" w:bottom="1440" w:left="1440" w:header="706" w:footer="706" w:gutter="0"/>
          <w:cols w:space="708"/>
          <w:titlePg/>
          <w:docGrid w:linePitch="360"/>
        </w:sectPr>
      </w:pPr>
      <w:r w:rsidRPr="00784706">
        <w:rPr>
          <w:b/>
          <w:sz w:val="20"/>
          <w:szCs w:val="20"/>
        </w:rPr>
        <w:t>Source: GPAA Annual Report 2016</w:t>
      </w:r>
    </w:p>
    <w:p w:rsidR="008817A9" w:rsidRDefault="008817A9" w:rsidP="008817A9"/>
    <w:p w:rsidR="00052B47" w:rsidRDefault="00702501" w:rsidP="00810ACC">
      <w:pPr>
        <w:pStyle w:val="Heading2"/>
        <w:numPr>
          <w:ilvl w:val="1"/>
          <w:numId w:val="24"/>
        </w:numPr>
      </w:pPr>
      <w:bookmarkStart w:id="6" w:name="_Toc464370143"/>
      <w:r>
        <w:t>Fin</w:t>
      </w:r>
      <w:r w:rsidR="00EF36A1">
        <w:t>ancial Analysis</w:t>
      </w:r>
      <w:bookmarkEnd w:id="6"/>
    </w:p>
    <w:p w:rsidR="00EF36A1" w:rsidRDefault="00EF36A1" w:rsidP="00810ACC">
      <w:pPr>
        <w:pStyle w:val="Heading2"/>
      </w:pPr>
      <w:bookmarkStart w:id="7" w:name="_Toc286333630"/>
      <w:bookmarkStart w:id="8" w:name="_Toc371675521"/>
    </w:p>
    <w:p w:rsidR="00EF36A1" w:rsidRDefault="00EF36A1" w:rsidP="00EF36A1">
      <w:pPr>
        <w:pStyle w:val="Heading2"/>
      </w:pPr>
      <w:bookmarkStart w:id="9" w:name="_Toc464370144"/>
      <w:r>
        <w:t xml:space="preserve">Table 2: </w:t>
      </w:r>
      <w:r w:rsidRPr="0085671C">
        <w:t xml:space="preserve">Summary of key </w:t>
      </w:r>
      <w:bookmarkEnd w:id="7"/>
      <w:bookmarkEnd w:id="8"/>
      <w:r w:rsidR="00055604">
        <w:t>figures</w:t>
      </w:r>
      <w:bookmarkEnd w:id="9"/>
    </w:p>
    <w:tbl>
      <w:tblPr>
        <w:tblW w:w="18560" w:type="dxa"/>
        <w:tblInd w:w="98" w:type="dxa"/>
        <w:tblLook w:val="04A0"/>
      </w:tblPr>
      <w:tblGrid>
        <w:gridCol w:w="4392"/>
        <w:gridCol w:w="1530"/>
        <w:gridCol w:w="1980"/>
        <w:gridCol w:w="578"/>
        <w:gridCol w:w="2520"/>
        <w:gridCol w:w="2520"/>
        <w:gridCol w:w="2520"/>
        <w:gridCol w:w="2520"/>
      </w:tblGrid>
      <w:tr w:rsidR="002B08CF" w:rsidRPr="00507716" w:rsidTr="008817A9">
        <w:trPr>
          <w:trHeight w:val="249"/>
        </w:trPr>
        <w:tc>
          <w:tcPr>
            <w:tcW w:w="4392" w:type="dxa"/>
            <w:tcBorders>
              <w:top w:val="single" w:sz="8" w:space="0" w:color="auto"/>
              <w:left w:val="single" w:sz="8" w:space="0" w:color="auto"/>
              <w:bottom w:val="nil"/>
              <w:right w:val="single" w:sz="8" w:space="0" w:color="auto"/>
            </w:tcBorders>
            <w:shd w:val="clear" w:color="000000" w:fill="A5A5A5"/>
            <w:noWrap/>
            <w:vAlign w:val="bottom"/>
            <w:hideMark/>
          </w:tcPr>
          <w:p w:rsidR="002B08CF" w:rsidRPr="00507716" w:rsidRDefault="002B08CF" w:rsidP="00377ACD">
            <w:pPr>
              <w:spacing w:line="240" w:lineRule="auto"/>
              <w:jc w:val="left"/>
              <w:rPr>
                <w:rFonts w:ascii="Calibri" w:hAnsi="Calibri"/>
                <w:b/>
                <w:bCs/>
                <w:color w:val="000000"/>
                <w:szCs w:val="20"/>
                <w:lang w:val="en-US"/>
              </w:rPr>
            </w:pPr>
            <w:r w:rsidRPr="00507716">
              <w:rPr>
                <w:rFonts w:ascii="Calibri" w:hAnsi="Calibri"/>
                <w:b/>
                <w:bCs/>
                <w:color w:val="000000"/>
                <w:szCs w:val="20"/>
                <w:lang w:val="en-US"/>
              </w:rPr>
              <w:t> </w:t>
            </w:r>
          </w:p>
        </w:tc>
        <w:tc>
          <w:tcPr>
            <w:tcW w:w="1530" w:type="dxa"/>
            <w:vMerge w:val="restart"/>
            <w:tcBorders>
              <w:top w:val="single" w:sz="8" w:space="0" w:color="auto"/>
              <w:left w:val="nil"/>
              <w:right w:val="single" w:sz="8" w:space="0" w:color="000000"/>
            </w:tcBorders>
            <w:shd w:val="clear" w:color="000000" w:fill="A5A5A5"/>
            <w:noWrap/>
            <w:vAlign w:val="bottom"/>
            <w:hideMark/>
          </w:tcPr>
          <w:p w:rsidR="002B08CF" w:rsidRPr="00507716" w:rsidRDefault="002B08CF" w:rsidP="00377ACD">
            <w:pPr>
              <w:spacing w:line="240" w:lineRule="auto"/>
              <w:jc w:val="center"/>
              <w:rPr>
                <w:rFonts w:ascii="Calibri" w:hAnsi="Calibri"/>
                <w:b/>
                <w:bCs/>
                <w:color w:val="000000"/>
                <w:szCs w:val="20"/>
                <w:lang w:val="en-US"/>
              </w:rPr>
            </w:pPr>
            <w:r>
              <w:rPr>
                <w:rFonts w:ascii="Calibri" w:hAnsi="Calibri"/>
                <w:b/>
                <w:bCs/>
                <w:color w:val="000000"/>
                <w:szCs w:val="20"/>
                <w:lang w:val="en-US"/>
              </w:rPr>
              <w:t>2016</w:t>
            </w:r>
          </w:p>
        </w:tc>
        <w:tc>
          <w:tcPr>
            <w:tcW w:w="1980" w:type="dxa"/>
            <w:vMerge w:val="restart"/>
            <w:tcBorders>
              <w:top w:val="single" w:sz="8" w:space="0" w:color="auto"/>
              <w:left w:val="nil"/>
              <w:right w:val="single" w:sz="8" w:space="0" w:color="000000"/>
            </w:tcBorders>
            <w:shd w:val="clear" w:color="000000" w:fill="A5A5A5"/>
            <w:vAlign w:val="bottom"/>
          </w:tcPr>
          <w:p w:rsidR="002B08CF" w:rsidRPr="00507716" w:rsidRDefault="002B08CF" w:rsidP="00377ACD">
            <w:pPr>
              <w:spacing w:line="240" w:lineRule="auto"/>
              <w:jc w:val="center"/>
              <w:rPr>
                <w:rFonts w:ascii="Calibri" w:hAnsi="Calibri"/>
                <w:b/>
                <w:bCs/>
                <w:color w:val="000000"/>
                <w:szCs w:val="20"/>
                <w:lang w:val="en-US"/>
              </w:rPr>
            </w:pPr>
            <w:r>
              <w:rPr>
                <w:rFonts w:ascii="Calibri" w:hAnsi="Calibri"/>
                <w:b/>
                <w:bCs/>
                <w:color w:val="000000"/>
                <w:szCs w:val="20"/>
                <w:lang w:val="en-US"/>
              </w:rPr>
              <w:t>2015</w:t>
            </w:r>
          </w:p>
        </w:tc>
        <w:tc>
          <w:tcPr>
            <w:tcW w:w="578" w:type="dxa"/>
          </w:tcPr>
          <w:p w:rsidR="002B08CF" w:rsidRPr="00BD1633" w:rsidRDefault="002B08CF" w:rsidP="00377ACD">
            <w:pPr>
              <w:rPr>
                <w:rFonts w:cs="Arial"/>
                <w:sz w:val="20"/>
                <w:szCs w:val="20"/>
                <w:lang w:eastAsia="en-ZA"/>
              </w:rPr>
            </w:pPr>
          </w:p>
        </w:tc>
        <w:tc>
          <w:tcPr>
            <w:tcW w:w="2520" w:type="dxa"/>
            <w:vAlign w:val="bottom"/>
          </w:tcPr>
          <w:p w:rsidR="002B08CF" w:rsidRPr="00BD1633" w:rsidRDefault="002B08CF" w:rsidP="00377ACD">
            <w:pPr>
              <w:rPr>
                <w:rFonts w:cs="Arial"/>
                <w:sz w:val="20"/>
                <w:szCs w:val="20"/>
                <w:lang w:eastAsia="en-ZA"/>
              </w:rPr>
            </w:pPr>
          </w:p>
        </w:tc>
        <w:tc>
          <w:tcPr>
            <w:tcW w:w="2520" w:type="dxa"/>
            <w:vAlign w:val="bottom"/>
          </w:tcPr>
          <w:p w:rsidR="002B08CF" w:rsidRPr="00BD1633" w:rsidRDefault="002B08CF" w:rsidP="00377ACD">
            <w:pPr>
              <w:rPr>
                <w:rFonts w:cs="Arial"/>
                <w:sz w:val="20"/>
                <w:szCs w:val="20"/>
                <w:lang w:eastAsia="en-ZA"/>
              </w:rPr>
            </w:pPr>
          </w:p>
        </w:tc>
        <w:tc>
          <w:tcPr>
            <w:tcW w:w="2520" w:type="dxa"/>
            <w:vAlign w:val="bottom"/>
          </w:tcPr>
          <w:p w:rsidR="002B08CF" w:rsidRPr="00BD1633" w:rsidRDefault="002B08CF" w:rsidP="00377ACD">
            <w:pPr>
              <w:rPr>
                <w:rFonts w:cs="Arial"/>
                <w:sz w:val="20"/>
                <w:szCs w:val="20"/>
                <w:lang w:eastAsia="en-ZA"/>
              </w:rPr>
            </w:pPr>
          </w:p>
        </w:tc>
        <w:tc>
          <w:tcPr>
            <w:tcW w:w="2520" w:type="dxa"/>
            <w:vAlign w:val="bottom"/>
          </w:tcPr>
          <w:p w:rsidR="002B08CF" w:rsidRPr="00BD1633" w:rsidRDefault="002B08CF" w:rsidP="00377ACD">
            <w:pPr>
              <w:rPr>
                <w:rFonts w:cs="Arial"/>
                <w:sz w:val="20"/>
                <w:szCs w:val="20"/>
                <w:lang w:eastAsia="en-ZA"/>
              </w:rPr>
            </w:pPr>
          </w:p>
        </w:tc>
      </w:tr>
      <w:tr w:rsidR="002B08CF" w:rsidRPr="00507716" w:rsidTr="008817A9">
        <w:trPr>
          <w:trHeight w:val="249"/>
        </w:trPr>
        <w:tc>
          <w:tcPr>
            <w:tcW w:w="4392" w:type="dxa"/>
            <w:tcBorders>
              <w:top w:val="nil"/>
              <w:left w:val="single" w:sz="8" w:space="0" w:color="auto"/>
              <w:bottom w:val="single" w:sz="8" w:space="0" w:color="auto"/>
              <w:right w:val="single" w:sz="8" w:space="0" w:color="auto"/>
            </w:tcBorders>
            <w:shd w:val="clear" w:color="000000" w:fill="A5A5A5"/>
            <w:noWrap/>
            <w:vAlign w:val="bottom"/>
            <w:hideMark/>
          </w:tcPr>
          <w:p w:rsidR="002B08CF" w:rsidRPr="00507716" w:rsidRDefault="002B08CF" w:rsidP="00377ACD">
            <w:pPr>
              <w:spacing w:line="240" w:lineRule="auto"/>
              <w:jc w:val="center"/>
              <w:rPr>
                <w:rFonts w:ascii="Calibri" w:hAnsi="Calibri"/>
                <w:b/>
                <w:bCs/>
                <w:color w:val="000000"/>
                <w:szCs w:val="20"/>
                <w:lang w:val="en-US"/>
              </w:rPr>
            </w:pPr>
            <w:r w:rsidRPr="00507716">
              <w:rPr>
                <w:rFonts w:ascii="Calibri" w:hAnsi="Calibri"/>
                <w:b/>
                <w:bCs/>
                <w:color w:val="000000"/>
                <w:szCs w:val="20"/>
                <w:lang w:val="en-US"/>
              </w:rPr>
              <w:t>Income Statement</w:t>
            </w:r>
          </w:p>
        </w:tc>
        <w:tc>
          <w:tcPr>
            <w:tcW w:w="1530" w:type="dxa"/>
            <w:vMerge/>
            <w:tcBorders>
              <w:left w:val="nil"/>
              <w:bottom w:val="single" w:sz="8" w:space="0" w:color="auto"/>
              <w:right w:val="single" w:sz="8" w:space="0" w:color="000000"/>
            </w:tcBorders>
            <w:shd w:val="clear" w:color="000000" w:fill="A5A5A5"/>
            <w:noWrap/>
            <w:vAlign w:val="bottom"/>
            <w:hideMark/>
          </w:tcPr>
          <w:p w:rsidR="002B08CF" w:rsidRPr="00507716" w:rsidRDefault="002B08CF" w:rsidP="00377ACD">
            <w:pPr>
              <w:spacing w:line="240" w:lineRule="auto"/>
              <w:jc w:val="center"/>
              <w:rPr>
                <w:rFonts w:ascii="Calibri" w:hAnsi="Calibri"/>
                <w:b/>
                <w:bCs/>
                <w:color w:val="000000"/>
                <w:szCs w:val="20"/>
                <w:lang w:val="en-US"/>
              </w:rPr>
            </w:pPr>
          </w:p>
        </w:tc>
        <w:tc>
          <w:tcPr>
            <w:tcW w:w="1980" w:type="dxa"/>
            <w:vMerge/>
            <w:tcBorders>
              <w:left w:val="single" w:sz="8" w:space="0" w:color="000000"/>
              <w:bottom w:val="single" w:sz="8" w:space="0" w:color="auto"/>
              <w:right w:val="single" w:sz="8" w:space="0" w:color="000000"/>
            </w:tcBorders>
            <w:shd w:val="clear" w:color="000000" w:fill="A5A5A5"/>
            <w:noWrap/>
            <w:vAlign w:val="bottom"/>
            <w:hideMark/>
          </w:tcPr>
          <w:p w:rsidR="002B08CF" w:rsidRPr="00507716" w:rsidRDefault="002B08CF" w:rsidP="00377ACD">
            <w:pPr>
              <w:spacing w:line="240" w:lineRule="auto"/>
              <w:jc w:val="center"/>
              <w:rPr>
                <w:rFonts w:ascii="Calibri" w:hAnsi="Calibri"/>
                <w:b/>
                <w:bCs/>
                <w:color w:val="000000"/>
                <w:szCs w:val="20"/>
                <w:lang w:val="en-US"/>
              </w:rPr>
            </w:pPr>
          </w:p>
        </w:tc>
        <w:tc>
          <w:tcPr>
            <w:tcW w:w="578" w:type="dxa"/>
            <w:tcBorders>
              <w:left w:val="single" w:sz="8" w:space="0" w:color="000000"/>
            </w:tcBorders>
          </w:tcPr>
          <w:p w:rsidR="002B08CF" w:rsidRPr="00BD1633" w:rsidRDefault="002B08CF" w:rsidP="00377ACD">
            <w:pPr>
              <w:rPr>
                <w:rFonts w:cs="Arial"/>
                <w:sz w:val="20"/>
                <w:szCs w:val="20"/>
                <w:lang w:eastAsia="en-ZA"/>
              </w:rPr>
            </w:pPr>
          </w:p>
        </w:tc>
        <w:tc>
          <w:tcPr>
            <w:tcW w:w="2520" w:type="dxa"/>
            <w:vAlign w:val="bottom"/>
          </w:tcPr>
          <w:p w:rsidR="002B08CF" w:rsidRPr="00BD1633" w:rsidRDefault="002B08CF" w:rsidP="00377ACD">
            <w:pPr>
              <w:rPr>
                <w:rFonts w:cs="Arial"/>
                <w:sz w:val="20"/>
                <w:szCs w:val="20"/>
                <w:lang w:eastAsia="en-ZA"/>
              </w:rPr>
            </w:pPr>
          </w:p>
        </w:tc>
        <w:tc>
          <w:tcPr>
            <w:tcW w:w="2520" w:type="dxa"/>
            <w:vAlign w:val="bottom"/>
          </w:tcPr>
          <w:p w:rsidR="002B08CF" w:rsidRPr="00BD1633" w:rsidRDefault="002B08CF" w:rsidP="00377ACD">
            <w:pPr>
              <w:rPr>
                <w:rFonts w:cs="Arial"/>
                <w:sz w:val="20"/>
                <w:szCs w:val="20"/>
                <w:lang w:eastAsia="en-ZA"/>
              </w:rPr>
            </w:pPr>
          </w:p>
        </w:tc>
        <w:tc>
          <w:tcPr>
            <w:tcW w:w="2520" w:type="dxa"/>
            <w:vAlign w:val="bottom"/>
          </w:tcPr>
          <w:p w:rsidR="002B08CF" w:rsidRPr="00BD1633" w:rsidRDefault="002B08CF" w:rsidP="00377ACD">
            <w:pPr>
              <w:rPr>
                <w:rFonts w:cs="Arial"/>
                <w:sz w:val="20"/>
                <w:szCs w:val="20"/>
                <w:lang w:eastAsia="en-ZA"/>
              </w:rPr>
            </w:pPr>
          </w:p>
        </w:tc>
        <w:tc>
          <w:tcPr>
            <w:tcW w:w="2520" w:type="dxa"/>
            <w:vAlign w:val="bottom"/>
          </w:tcPr>
          <w:p w:rsidR="002B08CF" w:rsidRPr="00BD1633" w:rsidRDefault="002B08CF" w:rsidP="00377ACD">
            <w:pPr>
              <w:rPr>
                <w:rFonts w:cs="Arial"/>
                <w:sz w:val="20"/>
                <w:szCs w:val="20"/>
                <w:lang w:eastAsia="en-ZA"/>
              </w:rPr>
            </w:pPr>
          </w:p>
        </w:tc>
      </w:tr>
      <w:tr w:rsidR="00AE60E1" w:rsidRPr="00507716" w:rsidTr="00377228">
        <w:trPr>
          <w:trHeight w:val="228"/>
        </w:trPr>
        <w:tc>
          <w:tcPr>
            <w:tcW w:w="4392" w:type="dxa"/>
            <w:tcBorders>
              <w:top w:val="nil"/>
              <w:left w:val="single" w:sz="8" w:space="0" w:color="auto"/>
              <w:bottom w:val="nil"/>
              <w:right w:val="single" w:sz="8" w:space="0" w:color="auto"/>
            </w:tcBorders>
            <w:shd w:val="clear" w:color="000000" w:fill="DBEEF3"/>
            <w:noWrap/>
            <w:vAlign w:val="bottom"/>
            <w:hideMark/>
          </w:tcPr>
          <w:p w:rsidR="00AE60E1" w:rsidRPr="00067A47" w:rsidRDefault="00AE60E1" w:rsidP="008817A9">
            <w:pPr>
              <w:spacing w:line="240" w:lineRule="auto"/>
              <w:jc w:val="left"/>
              <w:rPr>
                <w:rFonts w:cs="Arial"/>
                <w:sz w:val="20"/>
                <w:szCs w:val="20"/>
                <w:lang w:eastAsia="en-ZA"/>
              </w:rPr>
            </w:pPr>
            <w:r w:rsidRPr="00067A47">
              <w:rPr>
                <w:rFonts w:cs="Arial"/>
                <w:sz w:val="20"/>
                <w:szCs w:val="20"/>
                <w:lang w:eastAsia="en-ZA"/>
              </w:rPr>
              <w:t>Total Revenue (R'</w:t>
            </w:r>
            <w:r>
              <w:rPr>
                <w:rFonts w:cs="Arial"/>
                <w:sz w:val="20"/>
                <w:szCs w:val="20"/>
                <w:lang w:eastAsia="en-ZA"/>
              </w:rPr>
              <w:t xml:space="preserve"> </w:t>
            </w:r>
            <w:r w:rsidRPr="00067A47">
              <w:rPr>
                <w:rFonts w:cs="Arial"/>
                <w:sz w:val="20"/>
                <w:szCs w:val="20"/>
                <w:lang w:eastAsia="en-ZA"/>
              </w:rPr>
              <w:t>thousand)</w:t>
            </w:r>
          </w:p>
        </w:tc>
        <w:tc>
          <w:tcPr>
            <w:tcW w:w="1530" w:type="dxa"/>
            <w:tcBorders>
              <w:top w:val="nil"/>
              <w:left w:val="nil"/>
              <w:bottom w:val="nil"/>
              <w:right w:val="single" w:sz="8" w:space="0" w:color="auto"/>
            </w:tcBorders>
            <w:shd w:val="clear" w:color="000000" w:fill="DBEEF3"/>
            <w:noWrap/>
            <w:vAlign w:val="bottom"/>
          </w:tcPr>
          <w:p w:rsidR="00AE60E1" w:rsidRPr="00507716" w:rsidRDefault="00377228" w:rsidP="00377ACD">
            <w:pPr>
              <w:spacing w:line="240" w:lineRule="auto"/>
              <w:jc w:val="center"/>
              <w:rPr>
                <w:rFonts w:ascii="Calibri" w:hAnsi="Calibri"/>
                <w:color w:val="000000"/>
                <w:szCs w:val="20"/>
                <w:lang w:val="en-US"/>
              </w:rPr>
            </w:pPr>
            <w:r>
              <w:rPr>
                <w:rFonts w:ascii="Calibri" w:hAnsi="Calibri"/>
                <w:color w:val="000000"/>
                <w:szCs w:val="20"/>
                <w:lang w:val="en-US"/>
              </w:rPr>
              <w:t>948 287</w:t>
            </w:r>
          </w:p>
        </w:tc>
        <w:tc>
          <w:tcPr>
            <w:tcW w:w="1980" w:type="dxa"/>
            <w:tcBorders>
              <w:top w:val="nil"/>
              <w:left w:val="nil"/>
              <w:bottom w:val="nil"/>
              <w:right w:val="single" w:sz="8" w:space="0" w:color="auto"/>
            </w:tcBorders>
            <w:shd w:val="clear" w:color="000000" w:fill="DBEEF3"/>
            <w:noWrap/>
            <w:vAlign w:val="bottom"/>
          </w:tcPr>
          <w:p w:rsidR="00AE60E1" w:rsidRPr="00507716" w:rsidRDefault="00377228" w:rsidP="00377ACD">
            <w:pPr>
              <w:spacing w:line="240" w:lineRule="auto"/>
              <w:jc w:val="center"/>
              <w:rPr>
                <w:rFonts w:ascii="Calibri" w:hAnsi="Calibri"/>
                <w:color w:val="000000"/>
                <w:szCs w:val="20"/>
                <w:lang w:val="en-US"/>
              </w:rPr>
            </w:pPr>
            <w:r>
              <w:rPr>
                <w:rFonts w:ascii="Calibri" w:hAnsi="Calibri"/>
                <w:color w:val="000000"/>
                <w:szCs w:val="20"/>
                <w:lang w:val="en-US"/>
              </w:rPr>
              <w:t>918 355</w:t>
            </w:r>
          </w:p>
        </w:tc>
        <w:tc>
          <w:tcPr>
            <w:tcW w:w="578" w:type="dxa"/>
          </w:tcPr>
          <w:p w:rsidR="00AE60E1" w:rsidRPr="00BD1633" w:rsidRDefault="00AE60E1" w:rsidP="00377ACD">
            <w:pPr>
              <w:rPr>
                <w:rFonts w:cs="Arial"/>
                <w:sz w:val="20"/>
                <w:szCs w:val="20"/>
                <w:lang w:eastAsia="en-ZA"/>
              </w:rPr>
            </w:pPr>
          </w:p>
        </w:tc>
        <w:tc>
          <w:tcPr>
            <w:tcW w:w="2520" w:type="dxa"/>
            <w:vAlign w:val="bottom"/>
          </w:tcPr>
          <w:p w:rsidR="00AE60E1" w:rsidRPr="00BD1633" w:rsidRDefault="00AE60E1" w:rsidP="00377ACD">
            <w:pPr>
              <w:rPr>
                <w:rFonts w:cs="Arial"/>
                <w:sz w:val="20"/>
                <w:szCs w:val="20"/>
                <w:lang w:eastAsia="en-ZA"/>
              </w:rPr>
            </w:pPr>
          </w:p>
        </w:tc>
        <w:tc>
          <w:tcPr>
            <w:tcW w:w="2520" w:type="dxa"/>
            <w:vAlign w:val="bottom"/>
          </w:tcPr>
          <w:p w:rsidR="00AE60E1" w:rsidRPr="00BD1633" w:rsidRDefault="00AE60E1" w:rsidP="00377ACD">
            <w:pPr>
              <w:rPr>
                <w:rFonts w:cs="Arial"/>
                <w:sz w:val="20"/>
                <w:szCs w:val="20"/>
                <w:lang w:eastAsia="en-ZA"/>
              </w:rPr>
            </w:pPr>
          </w:p>
        </w:tc>
        <w:tc>
          <w:tcPr>
            <w:tcW w:w="2520" w:type="dxa"/>
            <w:vAlign w:val="bottom"/>
          </w:tcPr>
          <w:p w:rsidR="00AE60E1" w:rsidRPr="00BD1633" w:rsidRDefault="00AE60E1" w:rsidP="00377ACD">
            <w:pPr>
              <w:rPr>
                <w:rFonts w:cs="Arial"/>
                <w:sz w:val="20"/>
                <w:szCs w:val="20"/>
                <w:lang w:eastAsia="en-ZA"/>
              </w:rPr>
            </w:pPr>
          </w:p>
        </w:tc>
        <w:tc>
          <w:tcPr>
            <w:tcW w:w="2520" w:type="dxa"/>
            <w:vAlign w:val="bottom"/>
          </w:tcPr>
          <w:p w:rsidR="00AE60E1" w:rsidRPr="00BD1633" w:rsidRDefault="00AE60E1" w:rsidP="00377ACD">
            <w:pPr>
              <w:rPr>
                <w:rFonts w:cs="Arial"/>
                <w:sz w:val="20"/>
                <w:szCs w:val="20"/>
                <w:lang w:eastAsia="en-ZA"/>
              </w:rPr>
            </w:pPr>
          </w:p>
        </w:tc>
      </w:tr>
      <w:tr w:rsidR="00AE60E1" w:rsidRPr="00507716" w:rsidTr="00377228">
        <w:trPr>
          <w:trHeight w:val="221"/>
        </w:trPr>
        <w:tc>
          <w:tcPr>
            <w:tcW w:w="4392" w:type="dxa"/>
            <w:tcBorders>
              <w:top w:val="nil"/>
              <w:left w:val="single" w:sz="8" w:space="0" w:color="auto"/>
              <w:bottom w:val="nil"/>
              <w:right w:val="single" w:sz="8" w:space="0" w:color="auto"/>
            </w:tcBorders>
            <w:shd w:val="clear" w:color="000000" w:fill="DBEEF3"/>
            <w:noWrap/>
            <w:vAlign w:val="bottom"/>
            <w:hideMark/>
          </w:tcPr>
          <w:p w:rsidR="00AE60E1" w:rsidRPr="00067A47" w:rsidRDefault="00AE60E1" w:rsidP="008817A9">
            <w:pPr>
              <w:spacing w:line="240" w:lineRule="auto"/>
              <w:jc w:val="left"/>
              <w:rPr>
                <w:rFonts w:cs="Arial"/>
                <w:sz w:val="20"/>
                <w:szCs w:val="20"/>
                <w:lang w:eastAsia="en-ZA"/>
              </w:rPr>
            </w:pPr>
            <w:r w:rsidRPr="00067A47">
              <w:rPr>
                <w:rFonts w:cs="Arial"/>
                <w:sz w:val="20"/>
                <w:szCs w:val="20"/>
                <w:lang w:eastAsia="en-ZA"/>
              </w:rPr>
              <w:t>Operating expenses</w:t>
            </w:r>
          </w:p>
        </w:tc>
        <w:tc>
          <w:tcPr>
            <w:tcW w:w="1530" w:type="dxa"/>
            <w:tcBorders>
              <w:top w:val="nil"/>
              <w:left w:val="nil"/>
              <w:bottom w:val="nil"/>
              <w:right w:val="single" w:sz="8" w:space="0" w:color="auto"/>
            </w:tcBorders>
            <w:shd w:val="clear" w:color="000000" w:fill="DBEEF3"/>
            <w:noWrap/>
            <w:vAlign w:val="bottom"/>
          </w:tcPr>
          <w:p w:rsidR="00AE60E1" w:rsidRPr="00507716" w:rsidRDefault="00377228" w:rsidP="00377ACD">
            <w:pPr>
              <w:spacing w:line="240" w:lineRule="auto"/>
              <w:jc w:val="center"/>
              <w:rPr>
                <w:rFonts w:ascii="Calibri" w:hAnsi="Calibri"/>
                <w:color w:val="000000"/>
                <w:szCs w:val="20"/>
                <w:lang w:val="en-US"/>
              </w:rPr>
            </w:pPr>
            <w:r>
              <w:rPr>
                <w:rFonts w:ascii="Calibri" w:hAnsi="Calibri"/>
                <w:color w:val="000000"/>
                <w:szCs w:val="20"/>
                <w:lang w:val="en-US"/>
              </w:rPr>
              <w:t>863 499</w:t>
            </w:r>
          </w:p>
        </w:tc>
        <w:tc>
          <w:tcPr>
            <w:tcW w:w="1980" w:type="dxa"/>
            <w:tcBorders>
              <w:top w:val="nil"/>
              <w:left w:val="nil"/>
              <w:bottom w:val="nil"/>
              <w:right w:val="single" w:sz="8" w:space="0" w:color="auto"/>
            </w:tcBorders>
            <w:shd w:val="clear" w:color="000000" w:fill="DBEEF3"/>
            <w:noWrap/>
            <w:vAlign w:val="bottom"/>
          </w:tcPr>
          <w:p w:rsidR="00AE60E1" w:rsidRPr="00507716" w:rsidRDefault="00377228" w:rsidP="00377ACD">
            <w:pPr>
              <w:spacing w:line="240" w:lineRule="auto"/>
              <w:jc w:val="center"/>
              <w:rPr>
                <w:rFonts w:ascii="Calibri" w:hAnsi="Calibri"/>
                <w:color w:val="000000"/>
                <w:szCs w:val="20"/>
                <w:lang w:val="en-US"/>
              </w:rPr>
            </w:pPr>
            <w:r>
              <w:rPr>
                <w:rFonts w:ascii="Calibri" w:hAnsi="Calibri"/>
                <w:color w:val="000000"/>
                <w:szCs w:val="20"/>
                <w:lang w:val="en-US"/>
              </w:rPr>
              <w:t>805 346</w:t>
            </w:r>
          </w:p>
        </w:tc>
        <w:tc>
          <w:tcPr>
            <w:tcW w:w="578" w:type="dxa"/>
          </w:tcPr>
          <w:p w:rsidR="00AE60E1" w:rsidRPr="00BD1633" w:rsidRDefault="00AE60E1" w:rsidP="00377ACD">
            <w:pPr>
              <w:rPr>
                <w:rFonts w:cs="Arial"/>
                <w:sz w:val="20"/>
                <w:szCs w:val="20"/>
                <w:lang w:eastAsia="en-ZA"/>
              </w:rPr>
            </w:pPr>
          </w:p>
        </w:tc>
        <w:tc>
          <w:tcPr>
            <w:tcW w:w="2520" w:type="dxa"/>
            <w:vAlign w:val="bottom"/>
          </w:tcPr>
          <w:p w:rsidR="00AE60E1" w:rsidRPr="00BD1633" w:rsidRDefault="00AE60E1" w:rsidP="00377ACD">
            <w:pPr>
              <w:rPr>
                <w:rFonts w:cs="Arial"/>
                <w:sz w:val="20"/>
                <w:szCs w:val="20"/>
                <w:lang w:eastAsia="en-ZA"/>
              </w:rPr>
            </w:pPr>
          </w:p>
        </w:tc>
        <w:tc>
          <w:tcPr>
            <w:tcW w:w="2520" w:type="dxa"/>
            <w:vAlign w:val="bottom"/>
          </w:tcPr>
          <w:p w:rsidR="00AE60E1" w:rsidRPr="00BD1633" w:rsidRDefault="00AE60E1" w:rsidP="00377ACD">
            <w:pPr>
              <w:rPr>
                <w:rFonts w:cs="Arial"/>
                <w:sz w:val="20"/>
                <w:szCs w:val="20"/>
                <w:lang w:eastAsia="en-ZA"/>
              </w:rPr>
            </w:pPr>
          </w:p>
        </w:tc>
        <w:tc>
          <w:tcPr>
            <w:tcW w:w="2520" w:type="dxa"/>
            <w:vAlign w:val="bottom"/>
          </w:tcPr>
          <w:p w:rsidR="00AE60E1" w:rsidRPr="00BD1633" w:rsidRDefault="00AE60E1" w:rsidP="00377ACD">
            <w:pPr>
              <w:rPr>
                <w:rFonts w:cs="Arial"/>
                <w:sz w:val="20"/>
                <w:szCs w:val="20"/>
                <w:lang w:eastAsia="en-ZA"/>
              </w:rPr>
            </w:pPr>
          </w:p>
        </w:tc>
        <w:tc>
          <w:tcPr>
            <w:tcW w:w="2520" w:type="dxa"/>
            <w:vAlign w:val="bottom"/>
          </w:tcPr>
          <w:p w:rsidR="00AE60E1" w:rsidRPr="00BD1633" w:rsidRDefault="00AE60E1" w:rsidP="00377ACD">
            <w:pPr>
              <w:rPr>
                <w:rFonts w:cs="Arial"/>
                <w:sz w:val="20"/>
                <w:szCs w:val="20"/>
                <w:lang w:eastAsia="en-ZA"/>
              </w:rPr>
            </w:pPr>
          </w:p>
        </w:tc>
      </w:tr>
      <w:tr w:rsidR="00AE60E1" w:rsidRPr="00507716" w:rsidTr="00377228">
        <w:trPr>
          <w:trHeight w:val="252"/>
        </w:trPr>
        <w:tc>
          <w:tcPr>
            <w:tcW w:w="4392" w:type="dxa"/>
            <w:tcBorders>
              <w:top w:val="nil"/>
              <w:left w:val="single" w:sz="8" w:space="0" w:color="auto"/>
              <w:bottom w:val="nil"/>
              <w:right w:val="single" w:sz="8" w:space="0" w:color="auto"/>
            </w:tcBorders>
            <w:shd w:val="clear" w:color="000000" w:fill="DBEEF3"/>
            <w:noWrap/>
            <w:vAlign w:val="bottom"/>
            <w:hideMark/>
          </w:tcPr>
          <w:p w:rsidR="00AE60E1" w:rsidRPr="00067A47" w:rsidRDefault="00AE60E1" w:rsidP="008817A9">
            <w:pPr>
              <w:spacing w:line="240" w:lineRule="auto"/>
              <w:jc w:val="left"/>
              <w:rPr>
                <w:rFonts w:cs="Arial"/>
                <w:sz w:val="20"/>
                <w:szCs w:val="20"/>
                <w:lang w:eastAsia="en-ZA"/>
              </w:rPr>
            </w:pPr>
            <w:r w:rsidRPr="00067A47">
              <w:rPr>
                <w:rFonts w:cs="Arial"/>
                <w:sz w:val="20"/>
                <w:szCs w:val="20"/>
                <w:lang w:eastAsia="en-ZA"/>
              </w:rPr>
              <w:t>Net Profit/Loss (R’ thousand)</w:t>
            </w:r>
          </w:p>
        </w:tc>
        <w:tc>
          <w:tcPr>
            <w:tcW w:w="1530" w:type="dxa"/>
            <w:tcBorders>
              <w:top w:val="nil"/>
              <w:left w:val="nil"/>
              <w:bottom w:val="nil"/>
              <w:right w:val="single" w:sz="8" w:space="0" w:color="auto"/>
            </w:tcBorders>
            <w:shd w:val="clear" w:color="000000" w:fill="DBEEF3"/>
            <w:noWrap/>
            <w:vAlign w:val="bottom"/>
          </w:tcPr>
          <w:p w:rsidR="00AE60E1" w:rsidRPr="00507716" w:rsidRDefault="00377228" w:rsidP="004F6E7C">
            <w:pPr>
              <w:spacing w:line="240" w:lineRule="auto"/>
              <w:jc w:val="center"/>
              <w:rPr>
                <w:rFonts w:ascii="Calibri" w:hAnsi="Calibri"/>
                <w:color w:val="000000"/>
                <w:szCs w:val="20"/>
                <w:lang w:val="en-US"/>
              </w:rPr>
            </w:pPr>
            <w:r>
              <w:rPr>
                <w:rFonts w:ascii="Calibri" w:hAnsi="Calibri"/>
                <w:color w:val="000000"/>
                <w:szCs w:val="20"/>
                <w:lang w:val="en-US"/>
              </w:rPr>
              <w:t>84 788</w:t>
            </w:r>
          </w:p>
        </w:tc>
        <w:tc>
          <w:tcPr>
            <w:tcW w:w="1980" w:type="dxa"/>
            <w:tcBorders>
              <w:top w:val="nil"/>
              <w:left w:val="nil"/>
              <w:bottom w:val="nil"/>
              <w:right w:val="single" w:sz="8" w:space="0" w:color="auto"/>
            </w:tcBorders>
            <w:shd w:val="clear" w:color="000000" w:fill="DBEEF3"/>
            <w:noWrap/>
            <w:vAlign w:val="bottom"/>
          </w:tcPr>
          <w:p w:rsidR="00AE60E1" w:rsidRPr="00507716" w:rsidRDefault="00377228" w:rsidP="004F6E7C">
            <w:pPr>
              <w:spacing w:line="240" w:lineRule="auto"/>
              <w:jc w:val="center"/>
              <w:rPr>
                <w:rFonts w:ascii="Calibri" w:hAnsi="Calibri"/>
                <w:color w:val="000000"/>
                <w:szCs w:val="20"/>
                <w:lang w:val="en-US"/>
              </w:rPr>
            </w:pPr>
            <w:r>
              <w:rPr>
                <w:rFonts w:ascii="Calibri" w:hAnsi="Calibri"/>
                <w:color w:val="000000"/>
                <w:szCs w:val="20"/>
                <w:lang w:val="en-US"/>
              </w:rPr>
              <w:t>110 009</w:t>
            </w:r>
          </w:p>
        </w:tc>
        <w:tc>
          <w:tcPr>
            <w:tcW w:w="578" w:type="dxa"/>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r>
      <w:tr w:rsidR="00AE60E1" w:rsidRPr="00507716" w:rsidTr="008817A9">
        <w:trPr>
          <w:trHeight w:val="243"/>
        </w:trPr>
        <w:tc>
          <w:tcPr>
            <w:tcW w:w="4392" w:type="dxa"/>
            <w:tcBorders>
              <w:top w:val="single" w:sz="8" w:space="0" w:color="auto"/>
              <w:left w:val="single" w:sz="8" w:space="0" w:color="auto"/>
              <w:bottom w:val="single" w:sz="8" w:space="0" w:color="auto"/>
              <w:right w:val="single" w:sz="8" w:space="0" w:color="auto"/>
            </w:tcBorders>
            <w:shd w:val="clear" w:color="000000" w:fill="A5A5A5"/>
            <w:noWrap/>
            <w:vAlign w:val="bottom"/>
            <w:hideMark/>
          </w:tcPr>
          <w:p w:rsidR="00AE60E1" w:rsidRPr="00067A47" w:rsidRDefault="00AE60E1" w:rsidP="004F6E7C">
            <w:pPr>
              <w:spacing w:line="240" w:lineRule="auto"/>
              <w:jc w:val="center"/>
              <w:rPr>
                <w:rFonts w:cs="Arial"/>
                <w:sz w:val="20"/>
                <w:szCs w:val="20"/>
                <w:lang w:eastAsia="en-ZA"/>
              </w:rPr>
            </w:pPr>
            <w:r w:rsidRPr="00067A47">
              <w:rPr>
                <w:rFonts w:cs="Arial"/>
                <w:sz w:val="20"/>
                <w:szCs w:val="20"/>
                <w:lang w:eastAsia="en-ZA"/>
              </w:rPr>
              <w:t> </w:t>
            </w:r>
          </w:p>
        </w:tc>
        <w:tc>
          <w:tcPr>
            <w:tcW w:w="1530" w:type="dxa"/>
            <w:tcBorders>
              <w:top w:val="nil"/>
              <w:left w:val="nil"/>
              <w:bottom w:val="single" w:sz="8" w:space="0" w:color="auto"/>
              <w:right w:val="single" w:sz="8" w:space="0" w:color="auto"/>
            </w:tcBorders>
            <w:shd w:val="clear" w:color="000000" w:fill="A5A5A5"/>
            <w:noWrap/>
            <w:vAlign w:val="bottom"/>
            <w:hideMark/>
          </w:tcPr>
          <w:p w:rsidR="00AE60E1" w:rsidRPr="00507716" w:rsidRDefault="00AE60E1" w:rsidP="004F6E7C">
            <w:pPr>
              <w:spacing w:line="240" w:lineRule="auto"/>
              <w:jc w:val="center"/>
              <w:rPr>
                <w:rFonts w:ascii="Calibri" w:hAnsi="Calibri"/>
                <w:color w:val="000000"/>
                <w:szCs w:val="20"/>
                <w:lang w:val="en-US"/>
              </w:rPr>
            </w:pPr>
            <w:r w:rsidRPr="00507716">
              <w:rPr>
                <w:rFonts w:ascii="Calibri" w:hAnsi="Calibri"/>
                <w:color w:val="000000"/>
                <w:szCs w:val="20"/>
                <w:lang w:val="en-US"/>
              </w:rPr>
              <w:t> </w:t>
            </w:r>
          </w:p>
        </w:tc>
        <w:tc>
          <w:tcPr>
            <w:tcW w:w="1980" w:type="dxa"/>
            <w:tcBorders>
              <w:top w:val="nil"/>
              <w:left w:val="nil"/>
              <w:bottom w:val="single" w:sz="8" w:space="0" w:color="auto"/>
              <w:right w:val="single" w:sz="8" w:space="0" w:color="auto"/>
            </w:tcBorders>
            <w:shd w:val="clear" w:color="000000" w:fill="A5A5A5"/>
            <w:noWrap/>
            <w:vAlign w:val="bottom"/>
            <w:hideMark/>
          </w:tcPr>
          <w:p w:rsidR="00AE60E1" w:rsidRPr="00507716" w:rsidRDefault="00AE60E1" w:rsidP="004F6E7C">
            <w:pPr>
              <w:spacing w:line="240" w:lineRule="auto"/>
              <w:jc w:val="center"/>
              <w:rPr>
                <w:rFonts w:ascii="Calibri" w:hAnsi="Calibri"/>
                <w:color w:val="000000"/>
                <w:szCs w:val="20"/>
                <w:lang w:val="en-US"/>
              </w:rPr>
            </w:pPr>
            <w:r w:rsidRPr="00507716">
              <w:rPr>
                <w:rFonts w:ascii="Calibri" w:hAnsi="Calibri"/>
                <w:color w:val="000000"/>
                <w:szCs w:val="20"/>
                <w:lang w:val="en-US"/>
              </w:rPr>
              <w:t> </w:t>
            </w:r>
          </w:p>
        </w:tc>
        <w:tc>
          <w:tcPr>
            <w:tcW w:w="578" w:type="dxa"/>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Default="00AE60E1" w:rsidP="004F6E7C">
            <w:pPr>
              <w:spacing w:line="240" w:lineRule="auto"/>
              <w:jc w:val="left"/>
              <w:rPr>
                <w:rFonts w:ascii="Calibri" w:hAnsi="Calibri"/>
                <w:color w:val="000000"/>
                <w:lang w:val="en-US"/>
              </w:rPr>
            </w:pPr>
          </w:p>
        </w:tc>
      </w:tr>
      <w:tr w:rsidR="00AE60E1" w:rsidRPr="00507716" w:rsidTr="008817A9">
        <w:trPr>
          <w:trHeight w:val="243"/>
        </w:trPr>
        <w:tc>
          <w:tcPr>
            <w:tcW w:w="4392" w:type="dxa"/>
            <w:tcBorders>
              <w:top w:val="single" w:sz="8" w:space="0" w:color="auto"/>
              <w:left w:val="single" w:sz="8" w:space="0" w:color="auto"/>
              <w:bottom w:val="single" w:sz="8" w:space="0" w:color="auto"/>
              <w:right w:val="single" w:sz="8" w:space="0" w:color="auto"/>
            </w:tcBorders>
            <w:shd w:val="clear" w:color="auto" w:fill="DEEAF6" w:themeFill="accent1" w:themeFillTint="33"/>
            <w:noWrap/>
            <w:vAlign w:val="bottom"/>
          </w:tcPr>
          <w:p w:rsidR="00AE60E1" w:rsidRPr="00067A47" w:rsidRDefault="00AE60E1" w:rsidP="008817A9">
            <w:pPr>
              <w:spacing w:line="240" w:lineRule="auto"/>
              <w:jc w:val="left"/>
              <w:rPr>
                <w:rFonts w:cs="Arial"/>
                <w:sz w:val="20"/>
                <w:szCs w:val="20"/>
                <w:lang w:eastAsia="en-ZA"/>
              </w:rPr>
            </w:pPr>
            <w:r>
              <w:rPr>
                <w:rFonts w:cs="Arial"/>
                <w:sz w:val="20"/>
                <w:szCs w:val="20"/>
                <w:lang w:eastAsia="en-ZA"/>
              </w:rPr>
              <w:t>Total Assets</w:t>
            </w:r>
          </w:p>
        </w:tc>
        <w:tc>
          <w:tcPr>
            <w:tcW w:w="1530" w:type="dxa"/>
            <w:tcBorders>
              <w:top w:val="nil"/>
              <w:left w:val="nil"/>
              <w:bottom w:val="single" w:sz="8" w:space="0" w:color="auto"/>
              <w:right w:val="single" w:sz="8" w:space="0" w:color="auto"/>
            </w:tcBorders>
            <w:shd w:val="clear" w:color="auto" w:fill="DEEAF6" w:themeFill="accent1" w:themeFillTint="33"/>
            <w:noWrap/>
            <w:vAlign w:val="bottom"/>
          </w:tcPr>
          <w:p w:rsidR="00AE60E1" w:rsidRPr="00507716" w:rsidRDefault="00377228" w:rsidP="004F6E7C">
            <w:pPr>
              <w:spacing w:line="240" w:lineRule="auto"/>
              <w:jc w:val="center"/>
              <w:rPr>
                <w:rFonts w:ascii="Calibri" w:hAnsi="Calibri"/>
                <w:color w:val="000000"/>
                <w:szCs w:val="20"/>
                <w:lang w:val="en-US"/>
              </w:rPr>
            </w:pPr>
            <w:r>
              <w:rPr>
                <w:rFonts w:ascii="Calibri" w:hAnsi="Calibri"/>
                <w:color w:val="000000"/>
                <w:szCs w:val="20"/>
                <w:lang w:val="en-US"/>
              </w:rPr>
              <w:t>505 338</w:t>
            </w:r>
          </w:p>
        </w:tc>
        <w:tc>
          <w:tcPr>
            <w:tcW w:w="1980" w:type="dxa"/>
            <w:tcBorders>
              <w:top w:val="nil"/>
              <w:left w:val="nil"/>
              <w:bottom w:val="single" w:sz="8" w:space="0" w:color="auto"/>
              <w:right w:val="single" w:sz="8" w:space="0" w:color="auto"/>
            </w:tcBorders>
            <w:shd w:val="clear" w:color="auto" w:fill="DEEAF6" w:themeFill="accent1" w:themeFillTint="33"/>
            <w:noWrap/>
            <w:vAlign w:val="bottom"/>
          </w:tcPr>
          <w:p w:rsidR="00AE60E1" w:rsidRPr="00507716" w:rsidRDefault="00377228" w:rsidP="004F6E7C">
            <w:pPr>
              <w:spacing w:line="240" w:lineRule="auto"/>
              <w:jc w:val="center"/>
              <w:rPr>
                <w:rFonts w:ascii="Calibri" w:hAnsi="Calibri"/>
                <w:color w:val="000000"/>
                <w:szCs w:val="20"/>
                <w:lang w:val="en-US"/>
              </w:rPr>
            </w:pPr>
            <w:r>
              <w:rPr>
                <w:rFonts w:ascii="Calibri" w:hAnsi="Calibri"/>
                <w:color w:val="000000"/>
                <w:szCs w:val="20"/>
                <w:lang w:val="en-US"/>
              </w:rPr>
              <w:t>369 822</w:t>
            </w:r>
          </w:p>
        </w:tc>
        <w:tc>
          <w:tcPr>
            <w:tcW w:w="578" w:type="dxa"/>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Default="00AE60E1" w:rsidP="004F6E7C">
            <w:pPr>
              <w:spacing w:line="240" w:lineRule="auto"/>
              <w:jc w:val="left"/>
              <w:rPr>
                <w:rFonts w:ascii="Calibri" w:hAnsi="Calibri"/>
                <w:color w:val="000000"/>
                <w:lang w:val="en-US"/>
              </w:rPr>
            </w:pPr>
          </w:p>
        </w:tc>
      </w:tr>
      <w:tr w:rsidR="00AE60E1" w:rsidRPr="00507716" w:rsidTr="008817A9">
        <w:trPr>
          <w:trHeight w:val="243"/>
        </w:trPr>
        <w:tc>
          <w:tcPr>
            <w:tcW w:w="4392" w:type="dxa"/>
            <w:tcBorders>
              <w:top w:val="single" w:sz="8" w:space="0" w:color="auto"/>
              <w:left w:val="single" w:sz="8" w:space="0" w:color="auto"/>
              <w:bottom w:val="single" w:sz="8" w:space="0" w:color="auto"/>
              <w:right w:val="single" w:sz="8" w:space="0" w:color="auto"/>
            </w:tcBorders>
            <w:shd w:val="clear" w:color="auto" w:fill="DEEAF6" w:themeFill="accent1" w:themeFillTint="33"/>
            <w:noWrap/>
            <w:vAlign w:val="bottom"/>
          </w:tcPr>
          <w:p w:rsidR="00AE60E1" w:rsidRDefault="00AE60E1" w:rsidP="008817A9">
            <w:pPr>
              <w:spacing w:line="240" w:lineRule="auto"/>
              <w:jc w:val="left"/>
              <w:rPr>
                <w:rFonts w:cs="Arial"/>
                <w:sz w:val="20"/>
                <w:szCs w:val="20"/>
                <w:lang w:eastAsia="en-ZA"/>
              </w:rPr>
            </w:pPr>
            <w:r>
              <w:rPr>
                <w:rFonts w:cs="Arial"/>
                <w:sz w:val="20"/>
                <w:szCs w:val="20"/>
                <w:lang w:eastAsia="en-ZA"/>
              </w:rPr>
              <w:t>Current Assets</w:t>
            </w:r>
          </w:p>
        </w:tc>
        <w:tc>
          <w:tcPr>
            <w:tcW w:w="1530" w:type="dxa"/>
            <w:tcBorders>
              <w:top w:val="nil"/>
              <w:left w:val="nil"/>
              <w:bottom w:val="single" w:sz="8" w:space="0" w:color="auto"/>
              <w:right w:val="single" w:sz="8" w:space="0" w:color="auto"/>
            </w:tcBorders>
            <w:shd w:val="clear" w:color="auto" w:fill="DEEAF6" w:themeFill="accent1" w:themeFillTint="33"/>
            <w:noWrap/>
            <w:vAlign w:val="bottom"/>
          </w:tcPr>
          <w:p w:rsidR="00AE60E1" w:rsidRDefault="004E2BA2" w:rsidP="004F6E7C">
            <w:pPr>
              <w:spacing w:line="240" w:lineRule="auto"/>
              <w:jc w:val="center"/>
              <w:rPr>
                <w:rFonts w:ascii="Calibri" w:hAnsi="Calibri"/>
                <w:color w:val="000000"/>
                <w:szCs w:val="20"/>
                <w:lang w:val="en-US"/>
              </w:rPr>
            </w:pPr>
            <w:r>
              <w:rPr>
                <w:rFonts w:ascii="Calibri" w:hAnsi="Calibri"/>
                <w:color w:val="000000"/>
                <w:szCs w:val="20"/>
                <w:lang w:val="en-US"/>
              </w:rPr>
              <w:t>158 369</w:t>
            </w:r>
          </w:p>
        </w:tc>
        <w:tc>
          <w:tcPr>
            <w:tcW w:w="1980" w:type="dxa"/>
            <w:tcBorders>
              <w:top w:val="nil"/>
              <w:left w:val="nil"/>
              <w:bottom w:val="single" w:sz="8" w:space="0" w:color="auto"/>
              <w:right w:val="single" w:sz="8" w:space="0" w:color="auto"/>
            </w:tcBorders>
            <w:shd w:val="clear" w:color="auto" w:fill="DEEAF6" w:themeFill="accent1" w:themeFillTint="33"/>
            <w:noWrap/>
            <w:vAlign w:val="bottom"/>
          </w:tcPr>
          <w:p w:rsidR="00AE60E1" w:rsidRDefault="004E2BA2" w:rsidP="004F6E7C">
            <w:pPr>
              <w:spacing w:line="240" w:lineRule="auto"/>
              <w:jc w:val="center"/>
              <w:rPr>
                <w:rFonts w:ascii="Calibri" w:hAnsi="Calibri"/>
                <w:color w:val="000000"/>
                <w:szCs w:val="20"/>
                <w:lang w:val="en-US"/>
              </w:rPr>
            </w:pPr>
            <w:r>
              <w:rPr>
                <w:rFonts w:ascii="Calibri" w:hAnsi="Calibri"/>
                <w:color w:val="000000"/>
                <w:szCs w:val="20"/>
                <w:lang w:val="en-US"/>
              </w:rPr>
              <w:t>119 174</w:t>
            </w:r>
          </w:p>
        </w:tc>
        <w:tc>
          <w:tcPr>
            <w:tcW w:w="578" w:type="dxa"/>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Default="00AE60E1" w:rsidP="004F6E7C">
            <w:pPr>
              <w:spacing w:line="240" w:lineRule="auto"/>
              <w:jc w:val="left"/>
              <w:rPr>
                <w:rFonts w:ascii="Calibri" w:hAnsi="Calibri"/>
                <w:color w:val="000000"/>
                <w:lang w:val="en-US"/>
              </w:rPr>
            </w:pPr>
          </w:p>
        </w:tc>
      </w:tr>
      <w:tr w:rsidR="00AE60E1" w:rsidRPr="00507716" w:rsidTr="008817A9">
        <w:trPr>
          <w:trHeight w:val="243"/>
        </w:trPr>
        <w:tc>
          <w:tcPr>
            <w:tcW w:w="4392" w:type="dxa"/>
            <w:tcBorders>
              <w:top w:val="single" w:sz="8" w:space="0" w:color="auto"/>
              <w:left w:val="single" w:sz="8" w:space="0" w:color="auto"/>
              <w:bottom w:val="single" w:sz="8" w:space="0" w:color="auto"/>
              <w:right w:val="single" w:sz="8" w:space="0" w:color="auto"/>
            </w:tcBorders>
            <w:shd w:val="clear" w:color="auto" w:fill="DEEAF6" w:themeFill="accent1" w:themeFillTint="33"/>
            <w:noWrap/>
            <w:vAlign w:val="bottom"/>
          </w:tcPr>
          <w:p w:rsidR="00AE60E1" w:rsidRDefault="00AE60E1" w:rsidP="008817A9">
            <w:pPr>
              <w:spacing w:line="240" w:lineRule="auto"/>
              <w:jc w:val="left"/>
              <w:rPr>
                <w:rFonts w:cs="Arial"/>
                <w:sz w:val="20"/>
                <w:szCs w:val="20"/>
                <w:lang w:eastAsia="en-ZA"/>
              </w:rPr>
            </w:pPr>
            <w:r>
              <w:rPr>
                <w:rFonts w:cs="Arial"/>
                <w:sz w:val="20"/>
                <w:szCs w:val="20"/>
                <w:lang w:eastAsia="en-ZA"/>
              </w:rPr>
              <w:t>Non-Current Assets</w:t>
            </w:r>
          </w:p>
        </w:tc>
        <w:tc>
          <w:tcPr>
            <w:tcW w:w="1530" w:type="dxa"/>
            <w:tcBorders>
              <w:top w:val="nil"/>
              <w:left w:val="nil"/>
              <w:bottom w:val="single" w:sz="8" w:space="0" w:color="auto"/>
              <w:right w:val="single" w:sz="8" w:space="0" w:color="auto"/>
            </w:tcBorders>
            <w:shd w:val="clear" w:color="auto" w:fill="DEEAF6" w:themeFill="accent1" w:themeFillTint="33"/>
            <w:noWrap/>
            <w:vAlign w:val="bottom"/>
          </w:tcPr>
          <w:p w:rsidR="00AE60E1" w:rsidRDefault="004E2BA2" w:rsidP="004F6E7C">
            <w:pPr>
              <w:spacing w:line="240" w:lineRule="auto"/>
              <w:jc w:val="center"/>
              <w:rPr>
                <w:rFonts w:ascii="Calibri" w:hAnsi="Calibri"/>
                <w:color w:val="000000"/>
                <w:szCs w:val="20"/>
                <w:lang w:val="en-US"/>
              </w:rPr>
            </w:pPr>
            <w:r>
              <w:rPr>
                <w:rFonts w:ascii="Calibri" w:hAnsi="Calibri"/>
                <w:color w:val="000000"/>
                <w:szCs w:val="20"/>
                <w:lang w:val="en-US"/>
              </w:rPr>
              <w:t>346 969</w:t>
            </w:r>
          </w:p>
        </w:tc>
        <w:tc>
          <w:tcPr>
            <w:tcW w:w="1980" w:type="dxa"/>
            <w:tcBorders>
              <w:top w:val="nil"/>
              <w:left w:val="nil"/>
              <w:bottom w:val="single" w:sz="8" w:space="0" w:color="auto"/>
              <w:right w:val="single" w:sz="8" w:space="0" w:color="auto"/>
            </w:tcBorders>
            <w:shd w:val="clear" w:color="auto" w:fill="DEEAF6" w:themeFill="accent1" w:themeFillTint="33"/>
            <w:noWrap/>
            <w:vAlign w:val="bottom"/>
          </w:tcPr>
          <w:p w:rsidR="00AE60E1" w:rsidRDefault="004E2BA2" w:rsidP="004F6E7C">
            <w:pPr>
              <w:spacing w:line="240" w:lineRule="auto"/>
              <w:jc w:val="center"/>
              <w:rPr>
                <w:rFonts w:ascii="Calibri" w:hAnsi="Calibri"/>
                <w:color w:val="000000"/>
                <w:szCs w:val="20"/>
                <w:lang w:val="en-US"/>
              </w:rPr>
            </w:pPr>
            <w:r>
              <w:rPr>
                <w:rFonts w:ascii="Calibri" w:hAnsi="Calibri"/>
                <w:color w:val="000000"/>
                <w:szCs w:val="20"/>
                <w:lang w:val="en-US"/>
              </w:rPr>
              <w:t>250 648</w:t>
            </w:r>
          </w:p>
        </w:tc>
        <w:tc>
          <w:tcPr>
            <w:tcW w:w="578" w:type="dxa"/>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Default="00AE60E1" w:rsidP="004F6E7C">
            <w:pPr>
              <w:spacing w:line="240" w:lineRule="auto"/>
              <w:jc w:val="left"/>
              <w:rPr>
                <w:rFonts w:ascii="Calibri" w:hAnsi="Calibri"/>
                <w:color w:val="000000"/>
                <w:lang w:val="en-US"/>
              </w:rPr>
            </w:pPr>
          </w:p>
        </w:tc>
      </w:tr>
      <w:tr w:rsidR="00AE60E1" w:rsidRPr="00507716" w:rsidTr="008817A9">
        <w:trPr>
          <w:trHeight w:val="243"/>
        </w:trPr>
        <w:tc>
          <w:tcPr>
            <w:tcW w:w="4392" w:type="dxa"/>
            <w:tcBorders>
              <w:top w:val="single" w:sz="8" w:space="0" w:color="auto"/>
              <w:left w:val="single" w:sz="8" w:space="0" w:color="auto"/>
              <w:bottom w:val="single" w:sz="8" w:space="0" w:color="auto"/>
              <w:right w:val="single" w:sz="8" w:space="0" w:color="auto"/>
            </w:tcBorders>
            <w:shd w:val="clear" w:color="auto" w:fill="DEEAF6" w:themeFill="accent1" w:themeFillTint="33"/>
            <w:noWrap/>
            <w:vAlign w:val="bottom"/>
          </w:tcPr>
          <w:p w:rsidR="00AE60E1" w:rsidRDefault="004E2BA2" w:rsidP="008817A9">
            <w:pPr>
              <w:spacing w:line="240" w:lineRule="auto"/>
              <w:jc w:val="left"/>
              <w:rPr>
                <w:rFonts w:cs="Arial"/>
                <w:sz w:val="20"/>
                <w:szCs w:val="20"/>
                <w:lang w:eastAsia="en-ZA"/>
              </w:rPr>
            </w:pPr>
            <w:r>
              <w:rPr>
                <w:rFonts w:cs="Arial"/>
                <w:sz w:val="20"/>
                <w:szCs w:val="20"/>
                <w:lang w:eastAsia="en-ZA"/>
              </w:rPr>
              <w:t>Current</w:t>
            </w:r>
          </w:p>
        </w:tc>
        <w:tc>
          <w:tcPr>
            <w:tcW w:w="1530" w:type="dxa"/>
            <w:tcBorders>
              <w:top w:val="nil"/>
              <w:left w:val="nil"/>
              <w:bottom w:val="single" w:sz="8" w:space="0" w:color="auto"/>
              <w:right w:val="single" w:sz="8" w:space="0" w:color="auto"/>
            </w:tcBorders>
            <w:shd w:val="clear" w:color="auto" w:fill="DEEAF6" w:themeFill="accent1" w:themeFillTint="33"/>
            <w:noWrap/>
            <w:vAlign w:val="bottom"/>
          </w:tcPr>
          <w:p w:rsidR="00AE60E1" w:rsidRDefault="004E2BA2" w:rsidP="004F6E7C">
            <w:pPr>
              <w:spacing w:line="240" w:lineRule="auto"/>
              <w:jc w:val="center"/>
              <w:rPr>
                <w:rFonts w:ascii="Calibri" w:hAnsi="Calibri"/>
                <w:color w:val="000000"/>
                <w:szCs w:val="20"/>
                <w:lang w:val="en-US"/>
              </w:rPr>
            </w:pPr>
            <w:r>
              <w:rPr>
                <w:rFonts w:ascii="Calibri" w:hAnsi="Calibri"/>
                <w:color w:val="000000"/>
                <w:szCs w:val="20"/>
                <w:lang w:val="en-US"/>
              </w:rPr>
              <w:t>140 607</w:t>
            </w:r>
          </w:p>
        </w:tc>
        <w:tc>
          <w:tcPr>
            <w:tcW w:w="1980" w:type="dxa"/>
            <w:tcBorders>
              <w:top w:val="nil"/>
              <w:left w:val="nil"/>
              <w:bottom w:val="single" w:sz="8" w:space="0" w:color="auto"/>
              <w:right w:val="single" w:sz="8" w:space="0" w:color="auto"/>
            </w:tcBorders>
            <w:shd w:val="clear" w:color="auto" w:fill="DEEAF6" w:themeFill="accent1" w:themeFillTint="33"/>
            <w:noWrap/>
            <w:vAlign w:val="bottom"/>
          </w:tcPr>
          <w:p w:rsidR="00AE60E1" w:rsidRDefault="004E2BA2" w:rsidP="004F6E7C">
            <w:pPr>
              <w:spacing w:line="240" w:lineRule="auto"/>
              <w:jc w:val="center"/>
              <w:rPr>
                <w:rFonts w:ascii="Calibri" w:hAnsi="Calibri"/>
                <w:color w:val="000000"/>
                <w:szCs w:val="20"/>
                <w:lang w:val="en-US"/>
              </w:rPr>
            </w:pPr>
            <w:r>
              <w:rPr>
                <w:rFonts w:ascii="Calibri" w:hAnsi="Calibri"/>
                <w:color w:val="000000"/>
                <w:szCs w:val="20"/>
                <w:lang w:val="en-US"/>
              </w:rPr>
              <w:t>89 879</w:t>
            </w:r>
          </w:p>
        </w:tc>
        <w:tc>
          <w:tcPr>
            <w:tcW w:w="578" w:type="dxa"/>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Default="00AE60E1" w:rsidP="004F6E7C">
            <w:pPr>
              <w:spacing w:line="240" w:lineRule="auto"/>
              <w:jc w:val="left"/>
              <w:rPr>
                <w:rFonts w:ascii="Calibri" w:hAnsi="Calibri"/>
                <w:color w:val="000000"/>
                <w:lang w:val="en-US"/>
              </w:rPr>
            </w:pPr>
          </w:p>
        </w:tc>
      </w:tr>
      <w:tr w:rsidR="00AE60E1" w:rsidRPr="00507716" w:rsidTr="008817A9">
        <w:trPr>
          <w:trHeight w:val="252"/>
        </w:trPr>
        <w:tc>
          <w:tcPr>
            <w:tcW w:w="4392" w:type="dxa"/>
            <w:tcBorders>
              <w:top w:val="single" w:sz="8" w:space="0" w:color="auto"/>
              <w:left w:val="single" w:sz="8" w:space="0" w:color="auto"/>
              <w:bottom w:val="single" w:sz="8" w:space="0" w:color="auto"/>
              <w:right w:val="single" w:sz="8" w:space="0" w:color="auto"/>
            </w:tcBorders>
            <w:shd w:val="clear" w:color="000000" w:fill="A5A5A5"/>
            <w:noWrap/>
            <w:vAlign w:val="bottom"/>
            <w:hideMark/>
          </w:tcPr>
          <w:p w:rsidR="00AE60E1" w:rsidRPr="00507716" w:rsidRDefault="00AE60E1" w:rsidP="004F6E7C">
            <w:pPr>
              <w:spacing w:line="240" w:lineRule="auto"/>
              <w:jc w:val="center"/>
              <w:rPr>
                <w:rFonts w:ascii="Calibri" w:hAnsi="Calibri"/>
                <w:color w:val="000000"/>
                <w:szCs w:val="20"/>
                <w:lang w:val="en-US"/>
              </w:rPr>
            </w:pPr>
            <w:r w:rsidRPr="00507716">
              <w:rPr>
                <w:rFonts w:ascii="Calibri" w:hAnsi="Calibri"/>
                <w:color w:val="000000"/>
                <w:szCs w:val="20"/>
                <w:lang w:val="en-US"/>
              </w:rPr>
              <w:t> </w:t>
            </w:r>
          </w:p>
        </w:tc>
        <w:tc>
          <w:tcPr>
            <w:tcW w:w="1530" w:type="dxa"/>
            <w:tcBorders>
              <w:top w:val="single" w:sz="8" w:space="0" w:color="auto"/>
              <w:left w:val="nil"/>
              <w:bottom w:val="single" w:sz="8" w:space="0" w:color="auto"/>
              <w:right w:val="single" w:sz="8" w:space="0" w:color="auto"/>
            </w:tcBorders>
            <w:shd w:val="clear" w:color="000000" w:fill="A5A5A5"/>
            <w:noWrap/>
            <w:vAlign w:val="bottom"/>
            <w:hideMark/>
          </w:tcPr>
          <w:p w:rsidR="00AE60E1" w:rsidRPr="00507716" w:rsidRDefault="00AE60E1" w:rsidP="004F6E7C">
            <w:pPr>
              <w:spacing w:line="240" w:lineRule="auto"/>
              <w:jc w:val="center"/>
              <w:rPr>
                <w:rFonts w:ascii="Calibri" w:hAnsi="Calibri"/>
                <w:color w:val="000000"/>
                <w:szCs w:val="20"/>
                <w:lang w:val="en-US"/>
              </w:rPr>
            </w:pPr>
            <w:r w:rsidRPr="00507716">
              <w:rPr>
                <w:rFonts w:ascii="Calibri" w:hAnsi="Calibri"/>
                <w:color w:val="000000"/>
                <w:szCs w:val="20"/>
                <w:lang w:val="en-US"/>
              </w:rPr>
              <w:t> </w:t>
            </w:r>
          </w:p>
        </w:tc>
        <w:tc>
          <w:tcPr>
            <w:tcW w:w="1980" w:type="dxa"/>
            <w:tcBorders>
              <w:top w:val="single" w:sz="8" w:space="0" w:color="auto"/>
              <w:left w:val="nil"/>
              <w:bottom w:val="single" w:sz="8" w:space="0" w:color="auto"/>
              <w:right w:val="single" w:sz="8" w:space="0" w:color="auto"/>
            </w:tcBorders>
            <w:shd w:val="clear" w:color="000000" w:fill="A5A5A5"/>
            <w:noWrap/>
            <w:vAlign w:val="bottom"/>
            <w:hideMark/>
          </w:tcPr>
          <w:p w:rsidR="00AE60E1" w:rsidRPr="00507716" w:rsidRDefault="00AE60E1" w:rsidP="004F6E7C">
            <w:pPr>
              <w:spacing w:line="240" w:lineRule="auto"/>
              <w:jc w:val="center"/>
              <w:rPr>
                <w:rFonts w:ascii="Calibri" w:hAnsi="Calibri"/>
                <w:color w:val="000000"/>
                <w:szCs w:val="20"/>
                <w:lang w:val="en-US"/>
              </w:rPr>
            </w:pPr>
            <w:r w:rsidRPr="00507716">
              <w:rPr>
                <w:rFonts w:ascii="Calibri" w:hAnsi="Calibri"/>
                <w:color w:val="000000"/>
                <w:szCs w:val="20"/>
                <w:lang w:val="en-US"/>
              </w:rPr>
              <w:t> </w:t>
            </w:r>
          </w:p>
        </w:tc>
        <w:tc>
          <w:tcPr>
            <w:tcW w:w="578" w:type="dxa"/>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Default="00AE60E1" w:rsidP="004F6E7C">
            <w:pPr>
              <w:jc w:val="left"/>
              <w:rPr>
                <w:rFonts w:ascii="Calibri" w:hAnsi="Calibri"/>
                <w:color w:val="000000"/>
              </w:rPr>
            </w:pPr>
          </w:p>
        </w:tc>
      </w:tr>
      <w:tr w:rsidR="00AE60E1" w:rsidRPr="00507716" w:rsidTr="00EC560A">
        <w:trPr>
          <w:trHeight w:val="246"/>
        </w:trPr>
        <w:tc>
          <w:tcPr>
            <w:tcW w:w="4392" w:type="dxa"/>
            <w:tcBorders>
              <w:top w:val="nil"/>
              <w:left w:val="single" w:sz="8" w:space="0" w:color="auto"/>
              <w:bottom w:val="nil"/>
              <w:right w:val="single" w:sz="8" w:space="0" w:color="auto"/>
            </w:tcBorders>
            <w:shd w:val="clear" w:color="000000" w:fill="DBEEF3"/>
            <w:vAlign w:val="bottom"/>
          </w:tcPr>
          <w:p w:rsidR="00AE60E1" w:rsidRPr="00507716" w:rsidRDefault="00AE60E1" w:rsidP="008817A9">
            <w:pPr>
              <w:spacing w:line="240" w:lineRule="auto"/>
              <w:rPr>
                <w:rFonts w:ascii="Calibri" w:hAnsi="Calibri"/>
                <w:b/>
                <w:bCs/>
                <w:color w:val="000000"/>
                <w:szCs w:val="20"/>
                <w:lang w:val="en-US"/>
              </w:rPr>
            </w:pPr>
            <w:r>
              <w:rPr>
                <w:rFonts w:cs="Arial"/>
                <w:sz w:val="20"/>
                <w:szCs w:val="20"/>
                <w:lang w:eastAsia="en-ZA"/>
              </w:rPr>
              <w:t>Net Cash Flow From Operating Activities</w:t>
            </w:r>
          </w:p>
        </w:tc>
        <w:tc>
          <w:tcPr>
            <w:tcW w:w="1530" w:type="dxa"/>
            <w:tcBorders>
              <w:top w:val="nil"/>
              <w:left w:val="nil"/>
              <w:bottom w:val="nil"/>
              <w:right w:val="single" w:sz="8" w:space="0" w:color="auto"/>
            </w:tcBorders>
            <w:shd w:val="clear" w:color="000000" w:fill="DBEEF3"/>
            <w:noWrap/>
            <w:vAlign w:val="bottom"/>
          </w:tcPr>
          <w:p w:rsidR="00AE60E1" w:rsidRPr="00507716" w:rsidRDefault="00061D29" w:rsidP="004F6E7C">
            <w:pPr>
              <w:spacing w:line="240" w:lineRule="auto"/>
              <w:jc w:val="center"/>
              <w:rPr>
                <w:rFonts w:ascii="Calibri" w:hAnsi="Calibri"/>
                <w:color w:val="000000"/>
                <w:szCs w:val="20"/>
                <w:lang w:val="en-US"/>
              </w:rPr>
            </w:pPr>
            <w:r>
              <w:rPr>
                <w:rFonts w:ascii="Calibri" w:hAnsi="Calibri"/>
                <w:color w:val="000000"/>
                <w:szCs w:val="20"/>
                <w:lang w:val="en-US"/>
              </w:rPr>
              <w:t>98 815</w:t>
            </w:r>
          </w:p>
        </w:tc>
        <w:tc>
          <w:tcPr>
            <w:tcW w:w="1980" w:type="dxa"/>
            <w:tcBorders>
              <w:top w:val="nil"/>
              <w:left w:val="nil"/>
              <w:bottom w:val="nil"/>
              <w:right w:val="single" w:sz="8" w:space="0" w:color="auto"/>
            </w:tcBorders>
            <w:shd w:val="clear" w:color="000000" w:fill="DBEEF3"/>
            <w:noWrap/>
            <w:vAlign w:val="bottom"/>
          </w:tcPr>
          <w:p w:rsidR="00AE60E1" w:rsidRPr="00507716" w:rsidRDefault="00061D29" w:rsidP="004F6E7C">
            <w:pPr>
              <w:spacing w:line="240" w:lineRule="auto"/>
              <w:jc w:val="center"/>
              <w:rPr>
                <w:rFonts w:ascii="Calibri" w:hAnsi="Calibri"/>
                <w:color w:val="000000"/>
                <w:szCs w:val="20"/>
                <w:lang w:val="en-US"/>
              </w:rPr>
            </w:pPr>
            <w:r>
              <w:rPr>
                <w:rFonts w:ascii="Calibri" w:hAnsi="Calibri"/>
                <w:color w:val="000000"/>
                <w:szCs w:val="20"/>
                <w:lang w:val="en-US"/>
              </w:rPr>
              <w:t>131 647</w:t>
            </w:r>
          </w:p>
        </w:tc>
        <w:tc>
          <w:tcPr>
            <w:tcW w:w="578" w:type="dxa"/>
          </w:tcPr>
          <w:p w:rsidR="00AE60E1" w:rsidRDefault="00AE60E1" w:rsidP="004F6E7C">
            <w:pPr>
              <w:rPr>
                <w:rFonts w:cs="Arial"/>
                <w:sz w:val="20"/>
                <w:szCs w:val="20"/>
                <w:lang w:eastAsia="en-ZA"/>
              </w:rPr>
            </w:pPr>
          </w:p>
        </w:tc>
        <w:tc>
          <w:tcPr>
            <w:tcW w:w="2520" w:type="dxa"/>
            <w:vAlign w:val="bottom"/>
          </w:tcPr>
          <w:p w:rsidR="00AE60E1"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Default="00AE60E1" w:rsidP="004F6E7C">
            <w:pPr>
              <w:rPr>
                <w:rFonts w:ascii="Calibri" w:hAnsi="Calibri"/>
                <w:color w:val="000000"/>
              </w:rPr>
            </w:pPr>
          </w:p>
        </w:tc>
      </w:tr>
      <w:tr w:rsidR="00AE60E1" w:rsidRPr="00507716" w:rsidTr="008817A9">
        <w:trPr>
          <w:trHeight w:val="272"/>
        </w:trPr>
        <w:tc>
          <w:tcPr>
            <w:tcW w:w="4392" w:type="dxa"/>
            <w:tcBorders>
              <w:top w:val="nil"/>
              <w:left w:val="single" w:sz="8" w:space="0" w:color="auto"/>
              <w:bottom w:val="nil"/>
              <w:right w:val="single" w:sz="8" w:space="0" w:color="auto"/>
            </w:tcBorders>
            <w:shd w:val="clear" w:color="000000" w:fill="DBEEF3"/>
            <w:vAlign w:val="bottom"/>
          </w:tcPr>
          <w:p w:rsidR="00AE60E1" w:rsidRPr="00067A47" w:rsidRDefault="00AE60E1" w:rsidP="00067A47">
            <w:pPr>
              <w:spacing w:line="240" w:lineRule="auto"/>
              <w:rPr>
                <w:rFonts w:cs="Arial"/>
                <w:sz w:val="20"/>
                <w:szCs w:val="20"/>
                <w:lang w:eastAsia="en-ZA"/>
              </w:rPr>
            </w:pPr>
            <w:r w:rsidRPr="00067A47">
              <w:rPr>
                <w:rFonts w:cs="Arial"/>
                <w:sz w:val="20"/>
                <w:szCs w:val="20"/>
                <w:lang w:eastAsia="en-ZA"/>
              </w:rPr>
              <w:t>Cash flows from financing activities</w:t>
            </w:r>
          </w:p>
        </w:tc>
        <w:tc>
          <w:tcPr>
            <w:tcW w:w="1530" w:type="dxa"/>
            <w:tcBorders>
              <w:top w:val="nil"/>
              <w:left w:val="nil"/>
              <w:bottom w:val="nil"/>
              <w:right w:val="single" w:sz="8" w:space="0" w:color="auto"/>
            </w:tcBorders>
            <w:shd w:val="clear" w:color="000000" w:fill="DBEEF3"/>
            <w:noWrap/>
            <w:vAlign w:val="bottom"/>
          </w:tcPr>
          <w:p w:rsidR="00AE60E1" w:rsidRDefault="00061D29" w:rsidP="00061D29">
            <w:pPr>
              <w:spacing w:line="240" w:lineRule="auto"/>
              <w:jc w:val="center"/>
              <w:rPr>
                <w:rFonts w:ascii="Calibri" w:hAnsi="Calibri"/>
                <w:color w:val="000000"/>
                <w:szCs w:val="20"/>
                <w:lang w:val="en-US"/>
              </w:rPr>
            </w:pPr>
            <w:r>
              <w:rPr>
                <w:rFonts w:ascii="Calibri" w:hAnsi="Calibri"/>
                <w:color w:val="000000"/>
                <w:szCs w:val="20"/>
                <w:lang w:val="en-US"/>
              </w:rPr>
              <w:t>(32 409)</w:t>
            </w:r>
          </w:p>
        </w:tc>
        <w:tc>
          <w:tcPr>
            <w:tcW w:w="1980" w:type="dxa"/>
            <w:tcBorders>
              <w:top w:val="nil"/>
              <w:left w:val="nil"/>
              <w:bottom w:val="nil"/>
              <w:right w:val="single" w:sz="8" w:space="0" w:color="auto"/>
            </w:tcBorders>
            <w:shd w:val="clear" w:color="000000" w:fill="DBEEF3"/>
            <w:noWrap/>
            <w:vAlign w:val="bottom"/>
          </w:tcPr>
          <w:p w:rsidR="00AE60E1" w:rsidRDefault="00061D29" w:rsidP="00061D29">
            <w:pPr>
              <w:spacing w:line="240" w:lineRule="auto"/>
              <w:jc w:val="center"/>
              <w:rPr>
                <w:rFonts w:ascii="Calibri" w:hAnsi="Calibri"/>
                <w:color w:val="000000"/>
                <w:szCs w:val="20"/>
                <w:lang w:val="en-US"/>
              </w:rPr>
            </w:pPr>
            <w:r>
              <w:rPr>
                <w:rFonts w:ascii="Calibri" w:hAnsi="Calibri"/>
                <w:color w:val="000000"/>
                <w:szCs w:val="20"/>
                <w:lang w:val="en-US"/>
              </w:rPr>
              <w:t>21 149</w:t>
            </w:r>
          </w:p>
        </w:tc>
        <w:tc>
          <w:tcPr>
            <w:tcW w:w="578" w:type="dxa"/>
          </w:tcPr>
          <w:p w:rsidR="00AE60E1" w:rsidRDefault="00AE60E1" w:rsidP="004F6E7C">
            <w:pPr>
              <w:rPr>
                <w:rFonts w:cs="Arial"/>
                <w:sz w:val="20"/>
                <w:szCs w:val="20"/>
                <w:lang w:eastAsia="en-ZA"/>
              </w:rPr>
            </w:pPr>
          </w:p>
        </w:tc>
        <w:tc>
          <w:tcPr>
            <w:tcW w:w="2520" w:type="dxa"/>
            <w:vAlign w:val="bottom"/>
          </w:tcPr>
          <w:p w:rsidR="00AE60E1"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c>
          <w:tcPr>
            <w:tcW w:w="2520" w:type="dxa"/>
            <w:vAlign w:val="bottom"/>
          </w:tcPr>
          <w:p w:rsidR="00AE60E1" w:rsidRPr="00BD1633" w:rsidRDefault="00AE60E1" w:rsidP="004F6E7C">
            <w:pPr>
              <w:rPr>
                <w:rFonts w:cs="Arial"/>
                <w:sz w:val="20"/>
                <w:szCs w:val="20"/>
                <w:lang w:eastAsia="en-ZA"/>
              </w:rPr>
            </w:pPr>
          </w:p>
        </w:tc>
      </w:tr>
      <w:tr w:rsidR="00061D29" w:rsidRPr="00507716" w:rsidTr="001352B4">
        <w:trPr>
          <w:trHeight w:val="80"/>
        </w:trPr>
        <w:tc>
          <w:tcPr>
            <w:tcW w:w="4392" w:type="dxa"/>
            <w:tcBorders>
              <w:top w:val="nil"/>
              <w:left w:val="single" w:sz="8" w:space="0" w:color="auto"/>
              <w:bottom w:val="nil"/>
              <w:right w:val="single" w:sz="8" w:space="0" w:color="auto"/>
            </w:tcBorders>
            <w:shd w:val="clear" w:color="000000" w:fill="DBEEF3"/>
            <w:vAlign w:val="bottom"/>
          </w:tcPr>
          <w:p w:rsidR="00061D29" w:rsidRPr="00067A47" w:rsidRDefault="00061D29" w:rsidP="00061D29">
            <w:pPr>
              <w:spacing w:line="240" w:lineRule="auto"/>
              <w:rPr>
                <w:rFonts w:cs="Arial"/>
                <w:sz w:val="20"/>
                <w:szCs w:val="20"/>
                <w:lang w:eastAsia="en-ZA"/>
              </w:rPr>
            </w:pPr>
            <w:r>
              <w:rPr>
                <w:rFonts w:cs="Arial"/>
                <w:sz w:val="20"/>
                <w:szCs w:val="20"/>
                <w:lang w:eastAsia="en-ZA"/>
              </w:rPr>
              <w:t>Net cash from investing activities</w:t>
            </w:r>
          </w:p>
        </w:tc>
        <w:tc>
          <w:tcPr>
            <w:tcW w:w="1530" w:type="dxa"/>
            <w:tcBorders>
              <w:top w:val="nil"/>
              <w:left w:val="nil"/>
              <w:bottom w:val="nil"/>
              <w:right w:val="single" w:sz="8" w:space="0" w:color="auto"/>
            </w:tcBorders>
            <w:shd w:val="clear" w:color="000000" w:fill="DBEEF3"/>
            <w:noWrap/>
          </w:tcPr>
          <w:p w:rsidR="00061D29" w:rsidRPr="00061D29" w:rsidRDefault="00061D29" w:rsidP="00061D29">
            <w:pPr>
              <w:spacing w:line="240" w:lineRule="auto"/>
              <w:jc w:val="center"/>
              <w:rPr>
                <w:rFonts w:ascii="Calibri" w:hAnsi="Calibri"/>
                <w:color w:val="000000"/>
                <w:szCs w:val="20"/>
                <w:lang w:val="en-US"/>
              </w:rPr>
            </w:pPr>
            <w:r w:rsidRPr="00061D29">
              <w:rPr>
                <w:rFonts w:ascii="Calibri" w:hAnsi="Calibri"/>
                <w:color w:val="000000"/>
                <w:szCs w:val="20"/>
                <w:lang w:val="en-US"/>
              </w:rPr>
              <w:t>(131 224)</w:t>
            </w:r>
          </w:p>
        </w:tc>
        <w:tc>
          <w:tcPr>
            <w:tcW w:w="1980" w:type="dxa"/>
            <w:tcBorders>
              <w:top w:val="nil"/>
              <w:left w:val="nil"/>
              <w:bottom w:val="nil"/>
              <w:right w:val="single" w:sz="8" w:space="0" w:color="auto"/>
            </w:tcBorders>
            <w:shd w:val="clear" w:color="000000" w:fill="DBEEF3"/>
            <w:noWrap/>
          </w:tcPr>
          <w:p w:rsidR="00061D29" w:rsidRPr="00061D29" w:rsidRDefault="00061D29" w:rsidP="00061D29">
            <w:pPr>
              <w:spacing w:line="240" w:lineRule="auto"/>
              <w:jc w:val="center"/>
              <w:rPr>
                <w:rFonts w:ascii="Calibri" w:hAnsi="Calibri"/>
                <w:color w:val="000000"/>
                <w:szCs w:val="20"/>
                <w:lang w:val="en-US"/>
              </w:rPr>
            </w:pPr>
            <w:r w:rsidRPr="00061D29">
              <w:rPr>
                <w:rFonts w:ascii="Calibri" w:hAnsi="Calibri"/>
                <w:color w:val="000000"/>
                <w:szCs w:val="20"/>
                <w:lang w:val="en-US"/>
              </w:rPr>
              <w:t>(110 498)</w:t>
            </w:r>
          </w:p>
        </w:tc>
        <w:tc>
          <w:tcPr>
            <w:tcW w:w="578" w:type="dxa"/>
          </w:tcPr>
          <w:p w:rsidR="00061D29" w:rsidRDefault="00061D29" w:rsidP="00061D29">
            <w:pPr>
              <w:rPr>
                <w:rFonts w:cs="Arial"/>
                <w:sz w:val="20"/>
                <w:szCs w:val="20"/>
                <w:lang w:eastAsia="en-ZA"/>
              </w:rPr>
            </w:pPr>
          </w:p>
        </w:tc>
        <w:tc>
          <w:tcPr>
            <w:tcW w:w="2520" w:type="dxa"/>
            <w:vAlign w:val="bottom"/>
          </w:tcPr>
          <w:p w:rsidR="00061D29" w:rsidRDefault="00061D29" w:rsidP="00061D29">
            <w:pPr>
              <w:rPr>
                <w:rFonts w:cs="Arial"/>
                <w:sz w:val="20"/>
                <w:szCs w:val="20"/>
                <w:lang w:eastAsia="en-ZA"/>
              </w:rPr>
            </w:pPr>
          </w:p>
        </w:tc>
        <w:tc>
          <w:tcPr>
            <w:tcW w:w="2520" w:type="dxa"/>
            <w:vAlign w:val="bottom"/>
          </w:tcPr>
          <w:p w:rsidR="00061D29" w:rsidRPr="00BD1633" w:rsidRDefault="00061D29" w:rsidP="00061D29">
            <w:pPr>
              <w:rPr>
                <w:rFonts w:cs="Arial"/>
                <w:sz w:val="20"/>
                <w:szCs w:val="20"/>
                <w:lang w:eastAsia="en-ZA"/>
              </w:rPr>
            </w:pPr>
          </w:p>
        </w:tc>
        <w:tc>
          <w:tcPr>
            <w:tcW w:w="2520" w:type="dxa"/>
            <w:vAlign w:val="bottom"/>
          </w:tcPr>
          <w:p w:rsidR="00061D29" w:rsidRPr="00BD1633" w:rsidRDefault="00061D29" w:rsidP="00061D29">
            <w:pPr>
              <w:rPr>
                <w:rFonts w:cs="Arial"/>
                <w:sz w:val="20"/>
                <w:szCs w:val="20"/>
                <w:lang w:eastAsia="en-ZA"/>
              </w:rPr>
            </w:pPr>
          </w:p>
        </w:tc>
        <w:tc>
          <w:tcPr>
            <w:tcW w:w="2520" w:type="dxa"/>
            <w:vAlign w:val="bottom"/>
          </w:tcPr>
          <w:p w:rsidR="00061D29" w:rsidRPr="00BD1633" w:rsidRDefault="00061D29" w:rsidP="00061D29">
            <w:pPr>
              <w:rPr>
                <w:rFonts w:cs="Arial"/>
                <w:sz w:val="20"/>
                <w:szCs w:val="20"/>
                <w:lang w:eastAsia="en-ZA"/>
              </w:rPr>
            </w:pPr>
          </w:p>
        </w:tc>
      </w:tr>
      <w:tr w:rsidR="002B08CF" w:rsidRPr="00507716" w:rsidTr="008817A9">
        <w:trPr>
          <w:gridAfter w:val="5"/>
          <w:wAfter w:w="10658" w:type="dxa"/>
          <w:trHeight w:val="225"/>
        </w:trPr>
        <w:tc>
          <w:tcPr>
            <w:tcW w:w="4392" w:type="dxa"/>
            <w:tcBorders>
              <w:top w:val="single" w:sz="8" w:space="0" w:color="auto"/>
              <w:left w:val="single" w:sz="8" w:space="0" w:color="auto"/>
              <w:bottom w:val="single" w:sz="8" w:space="0" w:color="auto"/>
              <w:right w:val="single" w:sz="8" w:space="0" w:color="auto"/>
            </w:tcBorders>
            <w:shd w:val="clear" w:color="000000" w:fill="A5A5A5"/>
            <w:noWrap/>
            <w:vAlign w:val="bottom"/>
            <w:hideMark/>
          </w:tcPr>
          <w:p w:rsidR="002B08CF" w:rsidRPr="00507716" w:rsidRDefault="002B08CF" w:rsidP="004F6E7C">
            <w:pPr>
              <w:spacing w:line="240" w:lineRule="auto"/>
              <w:jc w:val="center"/>
              <w:rPr>
                <w:rFonts w:ascii="Calibri" w:hAnsi="Calibri"/>
                <w:color w:val="000000"/>
                <w:szCs w:val="20"/>
                <w:lang w:val="en-US"/>
              </w:rPr>
            </w:pPr>
          </w:p>
        </w:tc>
        <w:tc>
          <w:tcPr>
            <w:tcW w:w="1530" w:type="dxa"/>
            <w:tcBorders>
              <w:top w:val="single" w:sz="8" w:space="0" w:color="auto"/>
              <w:left w:val="nil"/>
              <w:bottom w:val="single" w:sz="8" w:space="0" w:color="auto"/>
              <w:right w:val="single" w:sz="8" w:space="0" w:color="auto"/>
            </w:tcBorders>
            <w:shd w:val="clear" w:color="000000" w:fill="A5A5A5"/>
            <w:noWrap/>
            <w:vAlign w:val="bottom"/>
            <w:hideMark/>
          </w:tcPr>
          <w:p w:rsidR="002B08CF" w:rsidRPr="00507716" w:rsidRDefault="002B08CF" w:rsidP="004F6E7C">
            <w:pPr>
              <w:spacing w:line="240" w:lineRule="auto"/>
              <w:jc w:val="center"/>
              <w:rPr>
                <w:rFonts w:ascii="Calibri" w:hAnsi="Calibri"/>
                <w:color w:val="000000"/>
                <w:szCs w:val="20"/>
                <w:lang w:val="en-US"/>
              </w:rPr>
            </w:pPr>
          </w:p>
        </w:tc>
        <w:tc>
          <w:tcPr>
            <w:tcW w:w="1980" w:type="dxa"/>
            <w:tcBorders>
              <w:top w:val="single" w:sz="8" w:space="0" w:color="auto"/>
              <w:left w:val="nil"/>
              <w:bottom w:val="single" w:sz="8" w:space="0" w:color="auto"/>
              <w:right w:val="single" w:sz="8" w:space="0" w:color="auto"/>
            </w:tcBorders>
            <w:shd w:val="clear" w:color="000000" w:fill="A5A5A5"/>
            <w:noWrap/>
            <w:vAlign w:val="bottom"/>
            <w:hideMark/>
          </w:tcPr>
          <w:p w:rsidR="002B08CF" w:rsidRPr="00507716" w:rsidRDefault="002B08CF" w:rsidP="004F6E7C">
            <w:pPr>
              <w:spacing w:line="240" w:lineRule="auto"/>
              <w:jc w:val="center"/>
              <w:rPr>
                <w:rFonts w:ascii="Calibri" w:hAnsi="Calibri"/>
                <w:color w:val="000000"/>
                <w:szCs w:val="20"/>
                <w:lang w:val="en-US"/>
              </w:rPr>
            </w:pPr>
          </w:p>
        </w:tc>
      </w:tr>
    </w:tbl>
    <w:p w:rsidR="002B08CF" w:rsidRPr="00EC62FF" w:rsidRDefault="00EC62FF" w:rsidP="00EF36A1">
      <w:pPr>
        <w:tabs>
          <w:tab w:val="left" w:pos="8835"/>
        </w:tabs>
        <w:rPr>
          <w:rFonts w:cs="Arial"/>
          <w:b/>
          <w:sz w:val="18"/>
          <w:szCs w:val="18"/>
        </w:rPr>
      </w:pPr>
      <w:r>
        <w:rPr>
          <w:rFonts w:cs="Arial"/>
        </w:rPr>
        <w:t xml:space="preserve"> </w:t>
      </w:r>
      <w:r w:rsidRPr="00EC62FF">
        <w:rPr>
          <w:rFonts w:cs="Arial"/>
          <w:b/>
          <w:sz w:val="18"/>
          <w:szCs w:val="18"/>
        </w:rPr>
        <w:t>Source: GPAA annual report 2015/16</w:t>
      </w:r>
    </w:p>
    <w:p w:rsidR="00EC62FF" w:rsidRPr="0001102D" w:rsidRDefault="00EC62FF" w:rsidP="00EF36A1">
      <w:pPr>
        <w:tabs>
          <w:tab w:val="left" w:pos="8835"/>
        </w:tabs>
        <w:rPr>
          <w:rFonts w:cs="Arial"/>
        </w:rPr>
      </w:pPr>
    </w:p>
    <w:p w:rsidR="00112D46" w:rsidRDefault="000B648B" w:rsidP="00112D46">
      <w:pPr>
        <w:rPr>
          <w:rFonts w:cs="Arial"/>
        </w:rPr>
      </w:pPr>
      <w:r w:rsidRPr="00435496">
        <w:rPr>
          <w:rFonts w:cs="Arial"/>
        </w:rPr>
        <w:t xml:space="preserve">The financial analysis of </w:t>
      </w:r>
      <w:r w:rsidR="00377228">
        <w:rPr>
          <w:rFonts w:cs="Arial"/>
        </w:rPr>
        <w:t>GPAA</w:t>
      </w:r>
      <w:r>
        <w:rPr>
          <w:rFonts w:cs="Arial"/>
        </w:rPr>
        <w:t xml:space="preserve"> </w:t>
      </w:r>
      <w:r w:rsidRPr="00435496">
        <w:rPr>
          <w:rFonts w:cs="Arial"/>
        </w:rPr>
        <w:t xml:space="preserve">is based on the audited consolidated annual financial statements </w:t>
      </w:r>
      <w:r>
        <w:rPr>
          <w:rFonts w:cs="Arial"/>
        </w:rPr>
        <w:t>for the year ended 31 March 2016</w:t>
      </w:r>
      <w:r w:rsidR="00377228">
        <w:rPr>
          <w:rFonts w:cs="Arial"/>
        </w:rPr>
        <w:t>.</w:t>
      </w:r>
      <w:r>
        <w:rPr>
          <w:rFonts w:cs="Arial"/>
        </w:rPr>
        <w:t xml:space="preserve"> </w:t>
      </w:r>
      <w:r w:rsidRPr="0001102D">
        <w:rPr>
          <w:rFonts w:cs="Arial"/>
        </w:rPr>
        <w:t>Revenue increased</w:t>
      </w:r>
      <w:r w:rsidR="00377228">
        <w:rPr>
          <w:rFonts w:cs="Arial"/>
        </w:rPr>
        <w:t xml:space="preserve"> marginally to R948 </w:t>
      </w:r>
      <w:r w:rsidR="003C27CD">
        <w:rPr>
          <w:rFonts w:cs="Arial"/>
        </w:rPr>
        <w:t>million</w:t>
      </w:r>
      <w:r w:rsidR="00377228">
        <w:rPr>
          <w:rFonts w:cs="Arial"/>
        </w:rPr>
        <w:t xml:space="preserve"> (FYE15:R918 </w:t>
      </w:r>
      <w:r w:rsidR="003C27CD">
        <w:rPr>
          <w:rFonts w:cs="Arial"/>
        </w:rPr>
        <w:t>million</w:t>
      </w:r>
      <w:r w:rsidRPr="0001102D">
        <w:rPr>
          <w:rFonts w:cs="Arial"/>
        </w:rPr>
        <w:t xml:space="preserve">) mainly attributed to </w:t>
      </w:r>
      <w:r w:rsidR="00377228">
        <w:rPr>
          <w:rFonts w:cs="Arial"/>
        </w:rPr>
        <w:t>administration</w:t>
      </w:r>
      <w:r w:rsidRPr="0001102D">
        <w:rPr>
          <w:rFonts w:cs="Arial"/>
        </w:rPr>
        <w:t xml:space="preserve"> fees earned</w:t>
      </w:r>
      <w:r w:rsidR="00377228">
        <w:rPr>
          <w:rFonts w:cs="Arial"/>
        </w:rPr>
        <w:t xml:space="preserve"> from Government Employee Pension Fund</w:t>
      </w:r>
      <w:r w:rsidR="005644CF">
        <w:rPr>
          <w:rFonts w:cs="Arial"/>
        </w:rPr>
        <w:t xml:space="preserve"> (93%)</w:t>
      </w:r>
      <w:r w:rsidR="00377228">
        <w:rPr>
          <w:rFonts w:cs="Arial"/>
        </w:rPr>
        <w:t xml:space="preserve"> and National Treasury</w:t>
      </w:r>
      <w:r w:rsidR="005644CF">
        <w:rPr>
          <w:rFonts w:cs="Arial"/>
        </w:rPr>
        <w:t xml:space="preserve"> (7%)</w:t>
      </w:r>
      <w:r w:rsidRPr="0001102D">
        <w:rPr>
          <w:rFonts w:cs="Arial"/>
        </w:rPr>
        <w:t xml:space="preserve">. </w:t>
      </w:r>
      <w:r w:rsidR="00377228">
        <w:rPr>
          <w:rFonts w:cs="Arial"/>
        </w:rPr>
        <w:t>All costs incurred by the GPAA are refunded by the</w:t>
      </w:r>
      <w:r w:rsidR="00061D29">
        <w:rPr>
          <w:rFonts w:cs="Arial"/>
        </w:rPr>
        <w:t>se entities on a monthly basis.</w:t>
      </w:r>
      <w:r w:rsidR="00367844">
        <w:rPr>
          <w:rFonts w:cs="Arial"/>
        </w:rPr>
        <w:t xml:space="preserve"> </w:t>
      </w:r>
      <w:r w:rsidR="00112D46" w:rsidRPr="0001102D">
        <w:rPr>
          <w:rFonts w:cs="Arial"/>
        </w:rPr>
        <w:t xml:space="preserve">Total assets recorded at </w:t>
      </w:r>
      <w:r w:rsidR="00255330">
        <w:rPr>
          <w:rFonts w:cs="Arial"/>
        </w:rPr>
        <w:t>R505 million</w:t>
      </w:r>
      <w:r w:rsidR="00112D46" w:rsidRPr="0001102D">
        <w:rPr>
          <w:rFonts w:cs="Arial"/>
        </w:rPr>
        <w:t>,</w:t>
      </w:r>
      <w:r w:rsidR="00367844">
        <w:rPr>
          <w:rFonts w:cs="Arial"/>
        </w:rPr>
        <w:t> </w:t>
      </w:r>
      <w:r w:rsidR="00112D46" w:rsidRPr="0001102D">
        <w:rPr>
          <w:rFonts w:cs="Arial"/>
        </w:rPr>
        <w:t>R43</w:t>
      </w:r>
      <w:r w:rsidR="00E60C1F" w:rsidRPr="0001102D">
        <w:rPr>
          <w:rFonts w:cs="Arial"/>
        </w:rPr>
        <w:t>4</w:t>
      </w:r>
      <w:r w:rsidR="00112D46" w:rsidRPr="0001102D">
        <w:rPr>
          <w:rFonts w:cs="Arial"/>
        </w:rPr>
        <w:t xml:space="preserve"> million more than in the previous year.</w:t>
      </w:r>
      <w:r w:rsidR="0001102D" w:rsidRPr="0001102D">
        <w:rPr>
          <w:rFonts w:cs="Arial"/>
        </w:rPr>
        <w:t xml:space="preserve"> </w:t>
      </w:r>
      <w:r w:rsidR="00061D29">
        <w:rPr>
          <w:rFonts w:cs="Arial"/>
        </w:rPr>
        <w:t>GPAA</w:t>
      </w:r>
      <w:r w:rsidR="00112D46">
        <w:rPr>
          <w:rFonts w:cs="Arial"/>
        </w:rPr>
        <w:t xml:space="preserve"> has no </w:t>
      </w:r>
      <w:r w:rsidR="00112D46" w:rsidRPr="0001102D">
        <w:rPr>
          <w:rFonts w:cs="Arial"/>
        </w:rPr>
        <w:t>long-term interest bearing debt</w:t>
      </w:r>
      <w:r w:rsidR="00061D29">
        <w:rPr>
          <w:rFonts w:cs="Arial"/>
        </w:rPr>
        <w:t xml:space="preserve"> on its balance sheet. </w:t>
      </w:r>
    </w:p>
    <w:p w:rsidR="000A1AB7" w:rsidRDefault="000A1AB7" w:rsidP="00112D46">
      <w:pPr>
        <w:rPr>
          <w:rFonts w:cs="Arial"/>
        </w:rPr>
      </w:pPr>
    </w:p>
    <w:p w:rsidR="00C035FC" w:rsidRDefault="00C035FC" w:rsidP="00367844">
      <w:pPr>
        <w:pBdr>
          <w:top w:val="single" w:sz="4" w:space="1" w:color="auto"/>
          <w:left w:val="single" w:sz="4" w:space="4" w:color="auto"/>
          <w:bottom w:val="single" w:sz="4" w:space="1" w:color="auto"/>
          <w:right w:val="single" w:sz="4" w:space="16" w:color="auto"/>
        </w:pBdr>
        <w:shd w:val="clear" w:color="auto" w:fill="D9D9D9" w:themeFill="background1" w:themeFillShade="D9"/>
        <w:rPr>
          <w:b/>
        </w:rPr>
      </w:pPr>
      <w:r>
        <w:rPr>
          <w:b/>
        </w:rPr>
        <w:t>Comments/</w:t>
      </w:r>
      <w:r w:rsidRPr="00952964">
        <w:rPr>
          <w:b/>
        </w:rPr>
        <w:t xml:space="preserve">Questions </w:t>
      </w:r>
    </w:p>
    <w:p w:rsidR="00C61BA5" w:rsidRDefault="00C035FC" w:rsidP="00367844">
      <w:pPr>
        <w:pBdr>
          <w:top w:val="single" w:sz="4" w:space="1" w:color="auto"/>
          <w:left w:val="single" w:sz="4" w:space="4" w:color="auto"/>
          <w:bottom w:val="single" w:sz="4" w:space="1" w:color="auto"/>
          <w:right w:val="single" w:sz="4" w:space="16" w:color="auto"/>
        </w:pBdr>
        <w:shd w:val="clear" w:color="auto" w:fill="D9D9D9" w:themeFill="background1" w:themeFillShade="D9"/>
        <w:rPr>
          <w:rFonts w:cs="Arial"/>
        </w:rPr>
      </w:pPr>
      <w:r w:rsidRPr="00B17D6D">
        <w:rPr>
          <w:rFonts w:cs="Arial"/>
        </w:rPr>
        <w:t>-</w:t>
      </w:r>
      <w:r>
        <w:rPr>
          <w:rFonts w:cs="Arial"/>
        </w:rPr>
        <w:t xml:space="preserve"> There has been a significant increase in trade and receivables? What happened in the year under review that was different to the previous years?</w:t>
      </w:r>
    </w:p>
    <w:p w:rsidR="00C035FC" w:rsidRDefault="00C61BA5" w:rsidP="00367844">
      <w:pPr>
        <w:pBdr>
          <w:top w:val="single" w:sz="4" w:space="1" w:color="auto"/>
          <w:left w:val="single" w:sz="4" w:space="4" w:color="auto"/>
          <w:bottom w:val="single" w:sz="4" w:space="1" w:color="auto"/>
          <w:right w:val="single" w:sz="4" w:space="16" w:color="auto"/>
        </w:pBdr>
        <w:shd w:val="clear" w:color="auto" w:fill="D9D9D9" w:themeFill="background1" w:themeFillShade="D9"/>
        <w:rPr>
          <w:rFonts w:cs="Arial"/>
        </w:rPr>
      </w:pPr>
      <w:r>
        <w:rPr>
          <w:rFonts w:cs="Arial"/>
        </w:rPr>
        <w:t xml:space="preserve">- </w:t>
      </w:r>
      <w:r w:rsidR="00C035FC">
        <w:rPr>
          <w:rFonts w:cs="Arial"/>
        </w:rPr>
        <w:t>The final appropriate</w:t>
      </w:r>
      <w:r>
        <w:rPr>
          <w:rFonts w:cs="Arial"/>
        </w:rPr>
        <w:t>d amount</w:t>
      </w:r>
      <w:r w:rsidR="00C035FC">
        <w:rPr>
          <w:rFonts w:cs="Arial"/>
        </w:rPr>
        <w:t xml:space="preserve"> by National Treasury</w:t>
      </w:r>
      <w:r>
        <w:rPr>
          <w:rFonts w:cs="Arial"/>
        </w:rPr>
        <w:t xml:space="preserve"> on page 306 of the Annual Report (R56.5 million)</w:t>
      </w:r>
      <w:r w:rsidR="00C035FC">
        <w:rPr>
          <w:rFonts w:cs="Arial"/>
        </w:rPr>
        <w:t xml:space="preserve"> is different to what GPAA have captured in the revenue received</w:t>
      </w:r>
      <w:r>
        <w:rPr>
          <w:rFonts w:cs="Arial"/>
        </w:rPr>
        <w:t xml:space="preserve"> on their Annual Financial Statement on page143 (R56.3 million)</w:t>
      </w:r>
      <w:r w:rsidR="00C035FC">
        <w:rPr>
          <w:rFonts w:cs="Arial"/>
        </w:rPr>
        <w:t xml:space="preserve">? </w:t>
      </w:r>
      <w:r>
        <w:rPr>
          <w:rFonts w:cs="Arial"/>
        </w:rPr>
        <w:t>Can GPAA explain the variance?</w:t>
      </w:r>
    </w:p>
    <w:p w:rsidR="00C035FC" w:rsidRPr="00B17D6D" w:rsidRDefault="00C035FC" w:rsidP="00367844">
      <w:pPr>
        <w:pBdr>
          <w:top w:val="single" w:sz="4" w:space="1" w:color="auto"/>
          <w:left w:val="single" w:sz="4" w:space="4" w:color="auto"/>
          <w:bottom w:val="single" w:sz="4" w:space="1" w:color="auto"/>
          <w:right w:val="single" w:sz="4" w:space="16" w:color="auto"/>
        </w:pBdr>
        <w:shd w:val="clear" w:color="auto" w:fill="D9D9D9" w:themeFill="background1" w:themeFillShade="D9"/>
        <w:rPr>
          <w:rFonts w:cs="Arial"/>
        </w:rPr>
      </w:pPr>
    </w:p>
    <w:p w:rsidR="00EF36A1" w:rsidRPr="00EF36A1" w:rsidRDefault="00EF36A1" w:rsidP="00EF36A1">
      <w:pPr>
        <w:tabs>
          <w:tab w:val="left" w:pos="8835"/>
        </w:tabs>
      </w:pPr>
    </w:p>
    <w:p w:rsidR="00845F0C" w:rsidRDefault="00764580" w:rsidP="00810ACC">
      <w:pPr>
        <w:pStyle w:val="Heading2"/>
        <w:numPr>
          <w:ilvl w:val="1"/>
          <w:numId w:val="24"/>
        </w:numPr>
      </w:pPr>
      <w:bookmarkStart w:id="10" w:name="_Toc464370145"/>
      <w:r>
        <w:t>Auditor</w:t>
      </w:r>
      <w:r w:rsidR="007B5522">
        <w:t>-</w:t>
      </w:r>
      <w:r>
        <w:t>General</w:t>
      </w:r>
      <w:r w:rsidR="007B5522">
        <w:t>’s</w:t>
      </w:r>
      <w:r>
        <w:t xml:space="preserve"> </w:t>
      </w:r>
      <w:r w:rsidR="00845F0C">
        <w:t>Report</w:t>
      </w:r>
      <w:bookmarkEnd w:id="10"/>
      <w:r>
        <w:tab/>
      </w:r>
    </w:p>
    <w:p w:rsidR="00055604" w:rsidRPr="00055604" w:rsidRDefault="00055604" w:rsidP="00055604"/>
    <w:p w:rsidR="00764580" w:rsidRDefault="00764580" w:rsidP="00764580">
      <w:pPr>
        <w:spacing w:line="240" w:lineRule="auto"/>
        <w:rPr>
          <w:rFonts w:cs="Arial"/>
        </w:rPr>
      </w:pPr>
      <w:r>
        <w:rPr>
          <w:rFonts w:cs="Arial"/>
        </w:rPr>
        <w:t>The Auditor-General</w:t>
      </w:r>
      <w:r w:rsidRPr="000E3570">
        <w:rPr>
          <w:rFonts w:cs="Arial"/>
        </w:rPr>
        <w:t xml:space="preserve"> </w:t>
      </w:r>
      <w:r w:rsidR="007B5522">
        <w:rPr>
          <w:rFonts w:cs="Arial"/>
        </w:rPr>
        <w:t xml:space="preserve">(AG) </w:t>
      </w:r>
      <w:r w:rsidRPr="000E3570">
        <w:rPr>
          <w:rFonts w:cs="Arial"/>
        </w:rPr>
        <w:t>expressed an unqualified audit opinion.</w:t>
      </w:r>
      <w:r>
        <w:rPr>
          <w:rFonts w:cs="Arial"/>
        </w:rPr>
        <w:t xml:space="preserve"> However</w:t>
      </w:r>
      <w:r w:rsidR="007B5522">
        <w:rPr>
          <w:rFonts w:cs="Arial"/>
        </w:rPr>
        <w:t>,</w:t>
      </w:r>
      <w:r>
        <w:rPr>
          <w:rFonts w:cs="Arial"/>
        </w:rPr>
        <w:t xml:space="preserve"> the </w:t>
      </w:r>
      <w:r w:rsidR="007B5522">
        <w:rPr>
          <w:rFonts w:cs="Arial"/>
        </w:rPr>
        <w:t>AG</w:t>
      </w:r>
      <w:r>
        <w:rPr>
          <w:rFonts w:cs="Arial"/>
        </w:rPr>
        <w:t xml:space="preserve"> </w:t>
      </w:r>
      <w:r w:rsidRPr="00484481">
        <w:rPr>
          <w:rFonts w:cs="Arial"/>
        </w:rPr>
        <w:t>drew attention to the following matters:</w:t>
      </w:r>
    </w:p>
    <w:p w:rsidR="00764580" w:rsidRDefault="00764580" w:rsidP="00764580">
      <w:pPr>
        <w:spacing w:line="240" w:lineRule="auto"/>
        <w:rPr>
          <w:rFonts w:cs="Arial"/>
        </w:rPr>
      </w:pPr>
    </w:p>
    <w:p w:rsidR="00764580" w:rsidRPr="00484481" w:rsidRDefault="00C300C4" w:rsidP="00764580">
      <w:pPr>
        <w:numPr>
          <w:ilvl w:val="0"/>
          <w:numId w:val="16"/>
        </w:numPr>
        <w:tabs>
          <w:tab w:val="left" w:pos="0"/>
        </w:tabs>
        <w:spacing w:line="240" w:lineRule="auto"/>
        <w:rPr>
          <w:rFonts w:cs="Arial"/>
          <w:b/>
        </w:rPr>
      </w:pPr>
      <w:r>
        <w:rPr>
          <w:rFonts w:cs="Arial"/>
          <w:b/>
        </w:rPr>
        <w:t>Ir</w:t>
      </w:r>
      <w:r w:rsidR="00A13FA5">
        <w:rPr>
          <w:rFonts w:cs="Arial"/>
          <w:b/>
        </w:rPr>
        <w:t>regular and fruitless and waste</w:t>
      </w:r>
      <w:r>
        <w:rPr>
          <w:rFonts w:cs="Arial"/>
          <w:b/>
        </w:rPr>
        <w:t>ful expenditure</w:t>
      </w:r>
    </w:p>
    <w:p w:rsidR="00D12839" w:rsidRDefault="00D12839" w:rsidP="00764580">
      <w:pPr>
        <w:tabs>
          <w:tab w:val="left" w:pos="720"/>
        </w:tabs>
        <w:spacing w:line="240" w:lineRule="auto"/>
        <w:rPr>
          <w:rFonts w:cs="Arial"/>
        </w:rPr>
      </w:pPr>
    </w:p>
    <w:p w:rsidR="00A13FA5" w:rsidRDefault="00A13FA5" w:rsidP="008817A9">
      <w:pPr>
        <w:rPr>
          <w:rFonts w:cs="Arial"/>
        </w:rPr>
      </w:pPr>
      <w:r>
        <w:rPr>
          <w:rFonts w:cs="Arial"/>
        </w:rPr>
        <w:t>The AG reported irregular expenditure of R33.5 million (2015:</w:t>
      </w:r>
      <w:r w:rsidR="007B5522">
        <w:rPr>
          <w:rFonts w:cs="Arial"/>
        </w:rPr>
        <w:t xml:space="preserve"> </w:t>
      </w:r>
      <w:r>
        <w:rPr>
          <w:rFonts w:cs="Arial"/>
        </w:rPr>
        <w:t>R48.3 million)</w:t>
      </w:r>
      <w:r w:rsidR="00425EA7">
        <w:rPr>
          <w:rFonts w:cs="Arial"/>
        </w:rPr>
        <w:t xml:space="preserve"> as a result of non-compliance with supply chain and human resources </w:t>
      </w:r>
      <w:r w:rsidR="003B226A">
        <w:rPr>
          <w:rFonts w:cs="Arial"/>
        </w:rPr>
        <w:t xml:space="preserve">management processes. Fruitless </w:t>
      </w:r>
      <w:r w:rsidR="003B226A">
        <w:rPr>
          <w:rFonts w:cs="Arial"/>
        </w:rPr>
        <w:lastRenderedPageBreak/>
        <w:t>and wasteful expenditure of R365 000 (2015:</w:t>
      </w:r>
      <w:r w:rsidR="007B5522">
        <w:rPr>
          <w:rFonts w:cs="Arial"/>
        </w:rPr>
        <w:t xml:space="preserve"> R</w:t>
      </w:r>
      <w:r w:rsidR="003B226A">
        <w:rPr>
          <w:rFonts w:cs="Arial"/>
        </w:rPr>
        <w:t>68 000) was also incurred in the year under review.</w:t>
      </w:r>
    </w:p>
    <w:p w:rsidR="00EE2470" w:rsidRDefault="00EE2470" w:rsidP="008817A9">
      <w:pPr>
        <w:rPr>
          <w:rFonts w:cs="Arial"/>
        </w:rPr>
      </w:pPr>
    </w:p>
    <w:p w:rsidR="00EE2470" w:rsidRDefault="00EE2470" w:rsidP="008817A9">
      <w:pPr>
        <w:rPr>
          <w:rFonts w:cs="Arial"/>
        </w:rPr>
      </w:pPr>
      <w:r>
        <w:rPr>
          <w:rFonts w:cs="Arial"/>
        </w:rPr>
        <w:t>Effective steps were not taken to prevent irregular and wasteful expenditure as required by PFMA and Treasury regulations</w:t>
      </w:r>
      <w:r w:rsidR="007B5522">
        <w:rPr>
          <w:rFonts w:cs="Arial"/>
        </w:rPr>
        <w:t>.</w:t>
      </w:r>
    </w:p>
    <w:p w:rsidR="00EC1AF4" w:rsidRPr="006163FE" w:rsidRDefault="00EC1AF4" w:rsidP="00764580">
      <w:pPr>
        <w:tabs>
          <w:tab w:val="left" w:pos="720"/>
        </w:tabs>
        <w:spacing w:line="240" w:lineRule="auto"/>
        <w:rPr>
          <w:rFonts w:cs="Arial"/>
          <w:color w:val="FF0000"/>
        </w:rPr>
      </w:pPr>
    </w:p>
    <w:p w:rsidR="0082503B" w:rsidRDefault="00EE2470" w:rsidP="0082503B">
      <w:pPr>
        <w:numPr>
          <w:ilvl w:val="0"/>
          <w:numId w:val="16"/>
        </w:numPr>
        <w:tabs>
          <w:tab w:val="left" w:pos="0"/>
        </w:tabs>
        <w:spacing w:line="240" w:lineRule="auto"/>
        <w:rPr>
          <w:rFonts w:cs="Arial"/>
          <w:b/>
        </w:rPr>
      </w:pPr>
      <w:r>
        <w:rPr>
          <w:rFonts w:cs="Arial"/>
          <w:b/>
        </w:rPr>
        <w:t>Compliance with legislation</w:t>
      </w:r>
    </w:p>
    <w:p w:rsidR="00702501" w:rsidRPr="0082503B" w:rsidRDefault="00EE2470" w:rsidP="00702501">
      <w:pPr>
        <w:tabs>
          <w:tab w:val="left" w:pos="0"/>
        </w:tabs>
        <w:spacing w:line="240" w:lineRule="auto"/>
        <w:ind w:left="180"/>
        <w:rPr>
          <w:rFonts w:cs="Arial"/>
          <w:b/>
        </w:rPr>
      </w:pPr>
      <w:r>
        <w:rPr>
          <w:rFonts w:cs="Arial"/>
          <w:b/>
        </w:rPr>
        <w:tab/>
      </w:r>
    </w:p>
    <w:p w:rsidR="008817A9" w:rsidRDefault="00EE2470" w:rsidP="00EE2470">
      <w:pPr>
        <w:pStyle w:val="ListParagraph"/>
        <w:numPr>
          <w:ilvl w:val="0"/>
          <w:numId w:val="25"/>
        </w:numPr>
      </w:pPr>
      <w:r>
        <w:t xml:space="preserve">In contravention of </w:t>
      </w:r>
      <w:r w:rsidR="004725D0">
        <w:t xml:space="preserve">the </w:t>
      </w:r>
      <w:r>
        <w:t>Public Service Act</w:t>
      </w:r>
      <w:r w:rsidR="00E26E45">
        <w:rPr>
          <w:rStyle w:val="FootnoteReference"/>
        </w:rPr>
        <w:footnoteReference w:id="2"/>
      </w:r>
      <w:r>
        <w:t>, a performance bonus was paid to a member of the Senior Management Service who did not conclude and sign a performance agreement before 31 May.</w:t>
      </w:r>
    </w:p>
    <w:p w:rsidR="00EE2470" w:rsidRDefault="00EE2470" w:rsidP="00EE2470">
      <w:pPr>
        <w:pStyle w:val="ListParagraph"/>
        <w:numPr>
          <w:ilvl w:val="0"/>
          <w:numId w:val="25"/>
        </w:numPr>
      </w:pPr>
      <w:r>
        <w:t xml:space="preserve">a) </w:t>
      </w:r>
      <w:r w:rsidR="004725D0">
        <w:t>A c</w:t>
      </w:r>
      <w:r>
        <w:t xml:space="preserve">ontract was awarded to foreign supplier without obtaining </w:t>
      </w:r>
      <w:r w:rsidR="004725D0">
        <w:t xml:space="preserve">a </w:t>
      </w:r>
      <w:r>
        <w:t>tax clearance certificate as required by Treasury and Procurement regulations.</w:t>
      </w:r>
    </w:p>
    <w:p w:rsidR="00EE2470" w:rsidRDefault="00EE2470" w:rsidP="00367844">
      <w:pPr>
        <w:ind w:left="540"/>
      </w:pPr>
      <w:r>
        <w:t>b) Goods to the value of R500 000 were procured without obtaining the required price quotations as required by Treasury regulations</w:t>
      </w:r>
      <w:r w:rsidR="004725D0">
        <w:t>.</w:t>
      </w:r>
    </w:p>
    <w:p w:rsidR="00EE2470" w:rsidRDefault="00EE2470" w:rsidP="00EE2470">
      <w:pPr>
        <w:pStyle w:val="ListParagraph"/>
      </w:pPr>
    </w:p>
    <w:p w:rsidR="0082503B" w:rsidRPr="00EE2470" w:rsidRDefault="00EE2470" w:rsidP="008817A9">
      <w:pPr>
        <w:numPr>
          <w:ilvl w:val="0"/>
          <w:numId w:val="16"/>
        </w:numPr>
        <w:tabs>
          <w:tab w:val="left" w:pos="0"/>
        </w:tabs>
        <w:spacing w:line="240" w:lineRule="auto"/>
        <w:rPr>
          <w:rFonts w:cs="Arial"/>
          <w:b/>
          <w:color w:val="FF0000"/>
        </w:rPr>
      </w:pPr>
      <w:r>
        <w:rPr>
          <w:rFonts w:cs="Arial"/>
          <w:b/>
        </w:rPr>
        <w:t>Internal Control</w:t>
      </w:r>
      <w:r w:rsidR="00AA0324">
        <w:rPr>
          <w:rFonts w:cs="Arial"/>
          <w:b/>
        </w:rPr>
        <w:t xml:space="preserve"> </w:t>
      </w:r>
    </w:p>
    <w:p w:rsidR="00EE2470" w:rsidRDefault="00EE2470" w:rsidP="00EE2470">
      <w:pPr>
        <w:tabs>
          <w:tab w:val="left" w:pos="0"/>
        </w:tabs>
        <w:spacing w:line="240" w:lineRule="auto"/>
        <w:ind w:left="900"/>
        <w:rPr>
          <w:rFonts w:cs="Arial"/>
          <w:b/>
          <w:color w:val="FF0000"/>
        </w:rPr>
      </w:pPr>
    </w:p>
    <w:p w:rsidR="008817A9" w:rsidRDefault="00AA0324" w:rsidP="008817A9">
      <w:r>
        <w:t>There was no oversight from management to ensure compliance with internal controls regarding the timely signing of performance agreements, confirmation of</w:t>
      </w:r>
      <w:r w:rsidR="004725D0">
        <w:t xml:space="preserve"> a</w:t>
      </w:r>
      <w:r>
        <w:t xml:space="preserve"> foreign supplier and obtaining three quotations. Where the procurement process was not followed, the deviation process was not adhered to.</w:t>
      </w:r>
    </w:p>
    <w:p w:rsidR="00AA0324" w:rsidRDefault="00AA0324" w:rsidP="008817A9"/>
    <w:p w:rsidR="002A0835" w:rsidRDefault="002A0835" w:rsidP="002A0835">
      <w:pPr>
        <w:numPr>
          <w:ilvl w:val="0"/>
          <w:numId w:val="16"/>
        </w:numPr>
        <w:tabs>
          <w:tab w:val="left" w:pos="0"/>
        </w:tabs>
        <w:spacing w:line="240" w:lineRule="auto"/>
        <w:rPr>
          <w:rFonts w:cs="Arial"/>
          <w:b/>
        </w:rPr>
      </w:pPr>
      <w:r w:rsidRPr="00B17D6D">
        <w:rPr>
          <w:rFonts w:cs="Arial"/>
          <w:b/>
        </w:rPr>
        <w:t xml:space="preserve">Investigations  </w:t>
      </w:r>
    </w:p>
    <w:p w:rsidR="00B17D6D" w:rsidRDefault="00B17D6D" w:rsidP="00B17D6D">
      <w:pPr>
        <w:tabs>
          <w:tab w:val="left" w:pos="0"/>
        </w:tabs>
        <w:spacing w:line="240" w:lineRule="auto"/>
        <w:rPr>
          <w:rFonts w:cs="Arial"/>
          <w:b/>
        </w:rPr>
      </w:pPr>
    </w:p>
    <w:p w:rsidR="00B17D6D" w:rsidRPr="00B17D6D" w:rsidRDefault="00B17D6D" w:rsidP="00B17D6D">
      <w:pPr>
        <w:tabs>
          <w:tab w:val="left" w:pos="0"/>
        </w:tabs>
        <w:spacing w:line="240" w:lineRule="auto"/>
      </w:pPr>
      <w:r w:rsidRPr="00B17D6D">
        <w:t>At the request of GPAA, there were 14 independent consulting firms that performed various investigations to ascertain whether: solicitation of contract staff was irregular</w:t>
      </w:r>
      <w:r w:rsidR="00593994">
        <w:t xml:space="preserve"> and whether </w:t>
      </w:r>
      <w:r w:rsidRPr="00B17D6D">
        <w:t>procurement irregularities existed in a specific tender process</w:t>
      </w:r>
      <w:r>
        <w:t>.</w:t>
      </w:r>
    </w:p>
    <w:p w:rsidR="00B17D6D" w:rsidRDefault="00B17D6D" w:rsidP="00B17D6D">
      <w:pPr>
        <w:tabs>
          <w:tab w:val="left" w:pos="0"/>
        </w:tabs>
        <w:spacing w:line="240" w:lineRule="auto"/>
        <w:rPr>
          <w:rFonts w:cs="Arial"/>
          <w:b/>
        </w:rPr>
      </w:pPr>
    </w:p>
    <w:p w:rsidR="00B17D6D" w:rsidRPr="00B17D6D" w:rsidRDefault="00B17D6D" w:rsidP="00B17D6D">
      <w:pPr>
        <w:tabs>
          <w:tab w:val="left" w:pos="0"/>
        </w:tabs>
        <w:spacing w:line="240" w:lineRule="auto"/>
        <w:rPr>
          <w:rFonts w:cs="Arial"/>
          <w:b/>
        </w:rPr>
      </w:pPr>
    </w:p>
    <w:p w:rsidR="00055604" w:rsidRDefault="00055604" w:rsidP="00055604">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Pr>
          <w:b/>
        </w:rPr>
        <w:t>Comments/</w:t>
      </w:r>
      <w:r w:rsidRPr="00952964">
        <w:rPr>
          <w:b/>
        </w:rPr>
        <w:t xml:space="preserve">Questions </w:t>
      </w:r>
    </w:p>
    <w:p w:rsidR="00055604" w:rsidRDefault="00B17D6D" w:rsidP="00B17D6D">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rPr>
      </w:pPr>
      <w:r w:rsidRPr="00B17D6D">
        <w:rPr>
          <w:rFonts w:cs="Arial"/>
        </w:rPr>
        <w:t>-</w:t>
      </w:r>
      <w:r>
        <w:rPr>
          <w:rFonts w:cs="Arial"/>
        </w:rPr>
        <w:t xml:space="preserve"> </w:t>
      </w:r>
      <w:r w:rsidR="00055604" w:rsidRPr="00B17D6D">
        <w:rPr>
          <w:rFonts w:cs="Arial"/>
        </w:rPr>
        <w:t xml:space="preserve">What </w:t>
      </w:r>
      <w:r w:rsidRPr="00B17D6D">
        <w:rPr>
          <w:rFonts w:cs="Arial"/>
        </w:rPr>
        <w:t>action plans ha</w:t>
      </w:r>
      <w:r w:rsidR="00593994">
        <w:rPr>
          <w:rFonts w:cs="Arial"/>
        </w:rPr>
        <w:t>ve</w:t>
      </w:r>
      <w:r w:rsidRPr="00B17D6D">
        <w:rPr>
          <w:rFonts w:cs="Arial"/>
        </w:rPr>
        <w:t xml:space="preserve"> GPAA taken to ensure that the AG</w:t>
      </w:r>
      <w:r w:rsidR="00593994">
        <w:rPr>
          <w:rFonts w:cs="Arial"/>
        </w:rPr>
        <w:t>s</w:t>
      </w:r>
      <w:r w:rsidRPr="00B17D6D">
        <w:rPr>
          <w:rFonts w:cs="Arial"/>
        </w:rPr>
        <w:t xml:space="preserve"> actions are addressed?</w:t>
      </w:r>
      <w:r w:rsidR="000B329D">
        <w:rPr>
          <w:rFonts w:cs="Arial"/>
        </w:rPr>
        <w:t xml:space="preserve"> GPAA must provide a detailed action plan to </w:t>
      </w:r>
      <w:r w:rsidR="00593994">
        <w:rPr>
          <w:rFonts w:cs="Arial"/>
        </w:rPr>
        <w:t>M</w:t>
      </w:r>
      <w:r w:rsidR="000B329D">
        <w:rPr>
          <w:rFonts w:cs="Arial"/>
        </w:rPr>
        <w:t>embers.</w:t>
      </w:r>
    </w:p>
    <w:p w:rsidR="00EE2470" w:rsidRDefault="00B17D6D" w:rsidP="00B17D6D">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rPr>
      </w:pPr>
      <w:r>
        <w:rPr>
          <w:rFonts w:cs="Arial"/>
        </w:rPr>
        <w:t>- Has GPAA taken any remedial action against senior managers who approved the contracts?</w:t>
      </w:r>
    </w:p>
    <w:p w:rsidR="00B17D6D" w:rsidRPr="00B17D6D" w:rsidRDefault="00B17D6D" w:rsidP="00B17D6D">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rPr>
      </w:pPr>
    </w:p>
    <w:p w:rsidR="008817A9" w:rsidRPr="008817A9" w:rsidRDefault="008817A9" w:rsidP="008817A9"/>
    <w:p w:rsidR="00052B47" w:rsidRPr="00E22056" w:rsidRDefault="00052B47" w:rsidP="00810ACC">
      <w:pPr>
        <w:pStyle w:val="Heading1"/>
        <w:numPr>
          <w:ilvl w:val="0"/>
          <w:numId w:val="24"/>
        </w:numPr>
      </w:pPr>
      <w:bookmarkStart w:id="11" w:name="_Toc464370146"/>
      <w:r w:rsidRPr="00E22056">
        <w:t>Key Issues for Consideration by Parliament</w:t>
      </w:r>
      <w:bookmarkEnd w:id="11"/>
    </w:p>
    <w:p w:rsidR="00052B47" w:rsidRDefault="00052B47" w:rsidP="00052B47">
      <w:pPr>
        <w:rPr>
          <w:rFonts w:cs="Arial"/>
        </w:rPr>
      </w:pPr>
    </w:p>
    <w:p w:rsidR="00DB162D" w:rsidRDefault="00997B70" w:rsidP="00EC1AF4">
      <w:pPr>
        <w:rPr>
          <w:rFonts w:cs="Arial"/>
        </w:rPr>
      </w:pPr>
      <w:r>
        <w:rPr>
          <w:rFonts w:cs="Arial"/>
        </w:rPr>
        <w:t xml:space="preserve">While GPAA has improved on the pension administration service provided to clients on behalf of its main customers, GEPF and National Treasury, there are still significant challenges that remain. The </w:t>
      </w:r>
      <w:r w:rsidR="00593994">
        <w:rPr>
          <w:rFonts w:cs="Arial"/>
        </w:rPr>
        <w:t>M</w:t>
      </w:r>
      <w:r>
        <w:rPr>
          <w:rFonts w:cs="Arial"/>
        </w:rPr>
        <w:t>embers should engage the</w:t>
      </w:r>
      <w:r w:rsidR="00F37845">
        <w:rPr>
          <w:rFonts w:cs="Arial"/>
        </w:rPr>
        <w:t xml:space="preserve"> entity on the action plans to </w:t>
      </w:r>
      <w:r>
        <w:rPr>
          <w:rFonts w:cs="Arial"/>
        </w:rPr>
        <w:t>improve their audit outcomes. The</w:t>
      </w:r>
      <w:r w:rsidR="00F37845">
        <w:rPr>
          <w:rFonts w:cs="Arial"/>
        </w:rPr>
        <w:t xml:space="preserve"> internal and external auditors have raised serious reservations about management and their capacity to monitor and discharge their responsibility. The AG has noted significant material breakdown on the functioning controls, procedures and systems.</w:t>
      </w:r>
    </w:p>
    <w:p w:rsidR="00F37845" w:rsidRDefault="00F37845" w:rsidP="00EC1AF4">
      <w:pPr>
        <w:rPr>
          <w:rFonts w:cs="Arial"/>
        </w:rPr>
      </w:pPr>
    </w:p>
    <w:p w:rsidR="00F37845" w:rsidRDefault="00F37845" w:rsidP="00EC1AF4">
      <w:pPr>
        <w:rPr>
          <w:rFonts w:cs="Arial"/>
        </w:rPr>
      </w:pPr>
      <w:r>
        <w:rPr>
          <w:rFonts w:cs="Arial"/>
        </w:rPr>
        <w:t xml:space="preserve">Members should encourage the </w:t>
      </w:r>
      <w:r w:rsidR="00593994">
        <w:rPr>
          <w:rFonts w:cs="Arial"/>
        </w:rPr>
        <w:t>D</w:t>
      </w:r>
      <w:r>
        <w:rPr>
          <w:rFonts w:cs="Arial"/>
        </w:rPr>
        <w:t xml:space="preserve">epartment to provide a progress report on a quarterly basis reporting on their investigations and work done to improve their internal control processes. They must provide a corrective action plan. </w:t>
      </w:r>
    </w:p>
    <w:p w:rsidR="00F37845" w:rsidRDefault="00F37845" w:rsidP="00EC1AF4">
      <w:pPr>
        <w:rPr>
          <w:rFonts w:cs="Arial"/>
        </w:rPr>
      </w:pPr>
    </w:p>
    <w:p w:rsidR="00F37845" w:rsidRPr="00EC1AF4" w:rsidRDefault="00F37845" w:rsidP="00EC1AF4">
      <w:pPr>
        <w:rPr>
          <w:rFonts w:cs="Arial"/>
        </w:rPr>
      </w:pPr>
      <w:r>
        <w:rPr>
          <w:rFonts w:cs="Arial"/>
        </w:rPr>
        <w:t>With the new organisational structure</w:t>
      </w:r>
      <w:r w:rsidR="002336DF">
        <w:rPr>
          <w:rFonts w:cs="Arial"/>
        </w:rPr>
        <w:t xml:space="preserve"> underway</w:t>
      </w:r>
      <w:r>
        <w:rPr>
          <w:rFonts w:cs="Arial"/>
        </w:rPr>
        <w:t>, there are many positions that are not filled. It is useful to get an understanding from management, what their intentions are to ap</w:t>
      </w:r>
      <w:r w:rsidR="002336DF">
        <w:rPr>
          <w:rFonts w:cs="Arial"/>
        </w:rPr>
        <w:t>pointing and filling vacant posts? I</w:t>
      </w:r>
      <w:r w:rsidR="00593994">
        <w:rPr>
          <w:rFonts w:cs="Arial"/>
        </w:rPr>
        <w:t>t should also be ascertained whether the</w:t>
      </w:r>
      <w:r w:rsidR="002336DF">
        <w:rPr>
          <w:rFonts w:cs="Arial"/>
        </w:rPr>
        <w:t xml:space="preserve"> GPAA </w:t>
      </w:r>
      <w:r w:rsidR="00593994">
        <w:rPr>
          <w:rFonts w:cs="Arial"/>
        </w:rPr>
        <w:t xml:space="preserve">is </w:t>
      </w:r>
      <w:r w:rsidR="002336DF">
        <w:rPr>
          <w:rFonts w:cs="Arial"/>
        </w:rPr>
        <w:t>using consultants to perform operational tasks rather than project specific tasks?</w:t>
      </w:r>
    </w:p>
    <w:p w:rsidR="00052B47" w:rsidRDefault="00052B47" w:rsidP="00810ACC">
      <w:pPr>
        <w:pStyle w:val="Heading1"/>
        <w:numPr>
          <w:ilvl w:val="0"/>
          <w:numId w:val="24"/>
        </w:numPr>
      </w:pPr>
      <w:bookmarkStart w:id="12" w:name="_Toc464370147"/>
      <w:r w:rsidRPr="00E22056">
        <w:t>References</w:t>
      </w:r>
      <w:bookmarkEnd w:id="12"/>
      <w:r w:rsidRPr="00E22056">
        <w:t xml:space="preserve"> </w:t>
      </w:r>
    </w:p>
    <w:p w:rsidR="00DB162D" w:rsidRPr="00DB162D" w:rsidRDefault="00DB162D" w:rsidP="00DB162D"/>
    <w:p w:rsidR="00DB162D" w:rsidRPr="00DB162D" w:rsidRDefault="000B329D" w:rsidP="00DB162D">
      <w:pPr>
        <w:rPr>
          <w:rFonts w:cs="Arial"/>
          <w:lang w:val="en-GB"/>
        </w:rPr>
      </w:pPr>
      <w:r>
        <w:rPr>
          <w:rFonts w:cs="Arial"/>
          <w:lang w:val="en-GB"/>
        </w:rPr>
        <w:t>Government Pension Administration Agency</w:t>
      </w:r>
      <w:r w:rsidR="00DB162D">
        <w:rPr>
          <w:rFonts w:cs="Arial"/>
          <w:lang w:val="en-GB"/>
        </w:rPr>
        <w:t xml:space="preserve"> (2016) </w:t>
      </w:r>
      <w:r w:rsidR="00DB162D" w:rsidRPr="00DB162D">
        <w:rPr>
          <w:rFonts w:cs="Arial"/>
          <w:lang w:val="en-GB"/>
        </w:rPr>
        <w:t xml:space="preserve">Annual </w:t>
      </w:r>
      <w:r w:rsidR="00DB162D">
        <w:rPr>
          <w:rFonts w:cs="Arial"/>
          <w:lang w:val="en-GB"/>
        </w:rPr>
        <w:t>Report</w:t>
      </w:r>
      <w:r w:rsidR="00DB162D" w:rsidRPr="00DB162D">
        <w:rPr>
          <w:rFonts w:cs="Arial"/>
          <w:lang w:val="en-GB"/>
        </w:rPr>
        <w:t xml:space="preserve"> 2015/16 </w:t>
      </w:r>
    </w:p>
    <w:p w:rsidR="00DB162D" w:rsidRPr="00DB162D" w:rsidRDefault="00DB162D" w:rsidP="00DB162D">
      <w:pPr>
        <w:rPr>
          <w:rFonts w:cs="Arial"/>
          <w:lang w:val="en-GB"/>
        </w:rPr>
      </w:pPr>
    </w:p>
    <w:p w:rsidR="00055604" w:rsidRPr="00DB162D" w:rsidRDefault="000B329D" w:rsidP="00055604">
      <w:pPr>
        <w:rPr>
          <w:rFonts w:cs="Arial"/>
          <w:lang w:val="en-GB"/>
        </w:rPr>
      </w:pPr>
      <w:r>
        <w:rPr>
          <w:rFonts w:cs="Arial"/>
          <w:lang w:val="en-GB"/>
        </w:rPr>
        <w:t>National Treasury (2016) Annual Report 2015/16</w:t>
      </w:r>
    </w:p>
    <w:p w:rsidR="005E068D" w:rsidRPr="00893EE9" w:rsidRDefault="005E068D" w:rsidP="00DB162D">
      <w:pPr>
        <w:rPr>
          <w:rFonts w:cs="Arial"/>
          <w:lang w:val="en-GB"/>
        </w:rPr>
      </w:pPr>
    </w:p>
    <w:p w:rsidR="005E068D" w:rsidRPr="00893EE9" w:rsidRDefault="005E068D" w:rsidP="00893EE9">
      <w:pPr>
        <w:rPr>
          <w:rFonts w:cs="Arial"/>
        </w:rPr>
      </w:pPr>
    </w:p>
    <w:p w:rsidR="005E068D" w:rsidRPr="00893EE9" w:rsidRDefault="005E068D" w:rsidP="00893EE9">
      <w:pPr>
        <w:rPr>
          <w:rFonts w:cs="Arial"/>
        </w:rPr>
      </w:pPr>
    </w:p>
    <w:p w:rsidR="005E068D" w:rsidRPr="00893EE9" w:rsidRDefault="005E068D" w:rsidP="00893EE9">
      <w:pPr>
        <w:rPr>
          <w:rFonts w:cs="Arial"/>
        </w:rPr>
      </w:pPr>
    </w:p>
    <w:p w:rsidR="005E068D" w:rsidRPr="00893EE9" w:rsidRDefault="005E068D" w:rsidP="00893EE9">
      <w:pPr>
        <w:rPr>
          <w:rFonts w:cs="Arial"/>
        </w:rPr>
      </w:pPr>
    </w:p>
    <w:p w:rsidR="005E068D" w:rsidRPr="00893EE9" w:rsidRDefault="005E068D" w:rsidP="00893EE9">
      <w:pPr>
        <w:rPr>
          <w:rFonts w:cs="Arial"/>
        </w:rPr>
      </w:pPr>
    </w:p>
    <w:p w:rsidR="005E068D" w:rsidRPr="00893EE9" w:rsidRDefault="005E068D" w:rsidP="00893EE9">
      <w:pPr>
        <w:rPr>
          <w:rFonts w:cs="Arial"/>
        </w:rPr>
      </w:pPr>
    </w:p>
    <w:p w:rsidR="005E068D" w:rsidRPr="00893EE9" w:rsidRDefault="005E068D" w:rsidP="00893EE9">
      <w:pPr>
        <w:rPr>
          <w:rFonts w:cs="Arial"/>
        </w:rPr>
      </w:pPr>
    </w:p>
    <w:p w:rsidR="005E068D" w:rsidRPr="00893EE9" w:rsidRDefault="005E068D" w:rsidP="00893EE9">
      <w:pPr>
        <w:rPr>
          <w:rFonts w:cs="Arial"/>
        </w:rPr>
      </w:pPr>
    </w:p>
    <w:p w:rsidR="005E068D" w:rsidRPr="00893EE9" w:rsidRDefault="005E068D" w:rsidP="00893EE9">
      <w:pPr>
        <w:rPr>
          <w:rFonts w:cs="Arial"/>
        </w:rPr>
      </w:pPr>
    </w:p>
    <w:p w:rsidR="005E068D" w:rsidRPr="00893EE9" w:rsidRDefault="005E068D" w:rsidP="00893EE9">
      <w:pPr>
        <w:rPr>
          <w:rFonts w:cs="Arial"/>
        </w:rPr>
      </w:pPr>
    </w:p>
    <w:p w:rsidR="005E068D" w:rsidRPr="00893EE9" w:rsidRDefault="005E068D" w:rsidP="00893EE9">
      <w:pPr>
        <w:rPr>
          <w:rFonts w:cs="Arial"/>
        </w:rPr>
      </w:pPr>
    </w:p>
    <w:p w:rsidR="005E068D" w:rsidRPr="00893EE9" w:rsidRDefault="005E068D" w:rsidP="00893EE9">
      <w:pPr>
        <w:rPr>
          <w:rFonts w:cs="Arial"/>
        </w:rPr>
      </w:pPr>
    </w:p>
    <w:p w:rsidR="005E068D" w:rsidRPr="00893EE9" w:rsidRDefault="005E068D" w:rsidP="00893EE9">
      <w:pPr>
        <w:rPr>
          <w:rFonts w:cs="Arial"/>
        </w:rPr>
      </w:pPr>
    </w:p>
    <w:p w:rsidR="005E068D" w:rsidRPr="00893EE9" w:rsidRDefault="005E068D" w:rsidP="00893EE9">
      <w:pPr>
        <w:rPr>
          <w:rFonts w:cs="Arial"/>
        </w:rPr>
      </w:pPr>
    </w:p>
    <w:p w:rsidR="005E068D" w:rsidRPr="00893EE9" w:rsidRDefault="005E068D" w:rsidP="00893EE9">
      <w:pPr>
        <w:rPr>
          <w:rFonts w:cs="Arial"/>
        </w:rPr>
      </w:pPr>
    </w:p>
    <w:p w:rsidR="005E068D" w:rsidRPr="00893EE9" w:rsidRDefault="005E068D" w:rsidP="00893EE9">
      <w:pPr>
        <w:rPr>
          <w:rFonts w:cs="Arial"/>
        </w:rPr>
      </w:pPr>
    </w:p>
    <w:p w:rsidR="005E068D" w:rsidRPr="00893EE9" w:rsidRDefault="005E068D" w:rsidP="00893EE9">
      <w:pPr>
        <w:rPr>
          <w:rFonts w:cs="Arial"/>
        </w:rPr>
      </w:pPr>
    </w:p>
    <w:p w:rsidR="005E068D" w:rsidRPr="00893EE9" w:rsidRDefault="005E068D" w:rsidP="00893EE9">
      <w:pPr>
        <w:rPr>
          <w:rFonts w:cs="Arial"/>
        </w:rPr>
      </w:pPr>
    </w:p>
    <w:p w:rsidR="005E068D" w:rsidRPr="00893EE9" w:rsidRDefault="005E068D" w:rsidP="00893EE9">
      <w:pPr>
        <w:rPr>
          <w:rFonts w:cs="Arial"/>
        </w:rPr>
      </w:pPr>
    </w:p>
    <w:p w:rsidR="005E068D" w:rsidRPr="00893EE9" w:rsidRDefault="005E068D" w:rsidP="00893EE9">
      <w:pPr>
        <w:rPr>
          <w:rFonts w:cs="Arial"/>
        </w:rPr>
      </w:pPr>
    </w:p>
    <w:p w:rsidR="005E068D" w:rsidRPr="00893EE9" w:rsidRDefault="005E068D" w:rsidP="00893EE9">
      <w:pPr>
        <w:rPr>
          <w:rFonts w:cs="Arial"/>
        </w:rPr>
      </w:pPr>
    </w:p>
    <w:p w:rsidR="005E068D" w:rsidRPr="00893EE9" w:rsidRDefault="005E068D" w:rsidP="00893EE9">
      <w:pPr>
        <w:rPr>
          <w:rFonts w:cs="Arial"/>
        </w:rPr>
      </w:pPr>
    </w:p>
    <w:p w:rsidR="005E068D" w:rsidRPr="00893EE9" w:rsidRDefault="005E068D" w:rsidP="00893EE9">
      <w:pPr>
        <w:rPr>
          <w:rFonts w:cs="Arial"/>
        </w:rPr>
      </w:pPr>
    </w:p>
    <w:p w:rsidR="005E068D" w:rsidRPr="00893EE9" w:rsidRDefault="005E068D" w:rsidP="00893EE9">
      <w:pPr>
        <w:rPr>
          <w:rFonts w:cs="Arial"/>
        </w:rPr>
      </w:pPr>
    </w:p>
    <w:p w:rsidR="00BE1544" w:rsidRPr="00893EE9" w:rsidRDefault="00BE1544" w:rsidP="00893EE9">
      <w:pPr>
        <w:rPr>
          <w:rFonts w:cs="Arial"/>
        </w:rPr>
      </w:pPr>
    </w:p>
    <w:p w:rsidR="00BE1544" w:rsidRPr="00893EE9" w:rsidRDefault="00BE1544" w:rsidP="00893EE9">
      <w:pPr>
        <w:rPr>
          <w:rFonts w:cs="Arial"/>
        </w:rPr>
      </w:pPr>
    </w:p>
    <w:sectPr w:rsidR="00BE1544" w:rsidRPr="00893EE9" w:rsidSect="00055604">
      <w:pgSz w:w="11906" w:h="16838"/>
      <w:pgMar w:top="2002"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2E4" w:rsidRDefault="00E822E4" w:rsidP="00BE1544">
      <w:pPr>
        <w:spacing w:line="240" w:lineRule="auto"/>
      </w:pPr>
      <w:r>
        <w:separator/>
      </w:r>
    </w:p>
  </w:endnote>
  <w:endnote w:type="continuationSeparator" w:id="0">
    <w:p w:rsidR="00E822E4" w:rsidRDefault="00E822E4" w:rsidP="00BE15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489881"/>
      <w:docPartObj>
        <w:docPartGallery w:val="Page Numbers (Bottom of Page)"/>
        <w:docPartUnique/>
      </w:docPartObj>
    </w:sdtPr>
    <w:sdtContent>
      <w:sdt>
        <w:sdtPr>
          <w:id w:val="2052957686"/>
          <w:docPartObj>
            <w:docPartGallery w:val="Page Numbers (Top of Page)"/>
            <w:docPartUnique/>
          </w:docPartObj>
        </w:sdtPr>
        <w:sdtContent>
          <w:p w:rsidR="004725D0" w:rsidRDefault="00100865" w:rsidP="00BE1544">
            <w:pPr>
              <w:pStyle w:val="Footer"/>
            </w:pPr>
            <w:r w:rsidRPr="00100865">
              <w:rPr>
                <w:rFonts w:cs="Arial"/>
                <w:b/>
                <w:noProof/>
                <w:sz w:val="16"/>
                <w:szCs w:val="16"/>
                <w:lang w:val="en-US"/>
              </w:rPr>
              <w:pict>
                <v:line id="Straight Connector 12" o:spid="_x0000_s6146"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790.5pt" to="447.0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" strokecolor="#70ad47 [3209]" strokeweight=".5pt">
                  <v:stroke joinstyle="miter"/>
                  <w10:wrap anchorx="margin" anchory="page"/>
                </v:line>
              </w:pict>
            </w:r>
            <w:r w:rsidR="004725D0" w:rsidRPr="00BE1544">
              <w:rPr>
                <w:rFonts w:cs="Arial"/>
                <w:b/>
                <w:sz w:val="16"/>
                <w:szCs w:val="16"/>
              </w:rPr>
              <w:t>Research Unit |</w:t>
            </w:r>
            <w:r w:rsidR="004725D0" w:rsidRPr="00BE1544">
              <w:rPr>
                <w:rFonts w:cs="Arial"/>
                <w:sz w:val="16"/>
                <w:szCs w:val="16"/>
              </w:rPr>
              <w:t xml:space="preserve"> </w:t>
            </w:r>
            <w:r w:rsidR="004725D0">
              <w:rPr>
                <w:rFonts w:cs="Arial"/>
                <w:sz w:val="16"/>
                <w:szCs w:val="16"/>
              </w:rPr>
              <w:t>Annual Review of GPAA for the period ending 31 March 2016</w:t>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5D0" w:rsidRPr="00BE1544" w:rsidRDefault="00100865">
    <w:pPr>
      <w:pStyle w:val="Footer"/>
      <w:rPr>
        <w:rFonts w:cs="Arial"/>
        <w:sz w:val="16"/>
        <w:szCs w:val="16"/>
      </w:rPr>
    </w:pPr>
    <w:r w:rsidRPr="00100865">
      <w:rPr>
        <w:rFonts w:cs="Arial"/>
        <w:b/>
        <w:noProof/>
        <w:sz w:val="16"/>
        <w:szCs w:val="16"/>
        <w:lang w:val="en-US"/>
      </w:rPr>
      <w:pict>
        <v:line id="Straight Connector 9" o:spid="_x0000_s6145"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3pt,790pt" to="448.35pt,7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" strokecolor="#70ad47 [3209]" strokeweight=".5pt">
          <v:stroke joinstyle="miter"/>
          <w10:wrap anchorx="margin" anchory="page"/>
        </v:line>
      </w:pict>
    </w:r>
    <w:r w:rsidR="004725D0" w:rsidRPr="00BE1544">
      <w:rPr>
        <w:rFonts w:cs="Arial"/>
        <w:b/>
        <w:sz w:val="16"/>
        <w:szCs w:val="16"/>
      </w:rPr>
      <w:t>Research Unit</w:t>
    </w:r>
    <w:r w:rsidR="004725D0">
      <w:rPr>
        <w:rFonts w:cs="Arial"/>
        <w:b/>
        <w:sz w:val="16"/>
        <w:szCs w:val="16"/>
      </w:rPr>
      <w:t xml:space="preserve"> </w:t>
    </w:r>
    <w:r w:rsidR="004725D0" w:rsidRPr="00BE1544">
      <w:rPr>
        <w:rFonts w:cs="Arial"/>
        <w:b/>
        <w:sz w:val="16"/>
        <w:szCs w:val="16"/>
      </w:rPr>
      <w:t>|</w:t>
    </w:r>
    <w:r w:rsidR="004725D0" w:rsidRPr="00BE1544">
      <w:rPr>
        <w:rFonts w:cs="Arial"/>
        <w:sz w:val="16"/>
        <w:szCs w:val="16"/>
      </w:rPr>
      <w:t xml:space="preserve"> </w:t>
    </w:r>
    <w:r w:rsidR="004725D0">
      <w:rPr>
        <w:rFonts w:cs="Arial"/>
        <w:sz w:val="16"/>
        <w:szCs w:val="16"/>
      </w:rPr>
      <w:t>Antonia Manamela</w:t>
    </w:r>
    <w:r w:rsidR="004725D0" w:rsidRPr="00BE1544">
      <w:rPr>
        <w:rFonts w:cs="Arial"/>
        <w:sz w:val="16"/>
        <w:szCs w:val="16"/>
      </w:rPr>
      <w:t xml:space="preserve">                                                              </w:t>
    </w:r>
    <w:r w:rsidR="004725D0">
      <w:rPr>
        <w:rFonts w:cs="Arial"/>
        <w:sz w:val="16"/>
        <w:szCs w:val="16"/>
      </w:rPr>
      <w:t xml:space="preserve">                             </w:t>
    </w:r>
    <w:r w:rsidR="004725D0" w:rsidRPr="00BE1544">
      <w:rPr>
        <w:rFonts w:cs="Arial"/>
        <w:sz w:val="16"/>
        <w:szCs w:val="16"/>
      </w:rPr>
      <w:t xml:space="preserve"> Contact details: 021 403 </w:t>
    </w:r>
    <w:r w:rsidR="004725D0">
      <w:rPr>
        <w:rFonts w:cs="Arial"/>
        <w:sz w:val="16"/>
        <w:szCs w:val="16"/>
      </w:rPr>
      <w:t>8017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2E4" w:rsidRDefault="00E822E4" w:rsidP="00BE1544">
      <w:pPr>
        <w:spacing w:line="240" w:lineRule="auto"/>
      </w:pPr>
      <w:r>
        <w:separator/>
      </w:r>
    </w:p>
  </w:footnote>
  <w:footnote w:type="continuationSeparator" w:id="0">
    <w:p w:rsidR="00E822E4" w:rsidRDefault="00E822E4" w:rsidP="00BE1544">
      <w:pPr>
        <w:spacing w:line="240" w:lineRule="auto"/>
      </w:pPr>
      <w:r>
        <w:continuationSeparator/>
      </w:r>
    </w:p>
  </w:footnote>
  <w:footnote w:id="1">
    <w:p w:rsidR="00BD207C" w:rsidRPr="005644CF" w:rsidRDefault="00BD207C">
      <w:pPr>
        <w:pStyle w:val="FootnoteText"/>
        <w:rPr>
          <w:lang w:val="en-US"/>
        </w:rPr>
      </w:pPr>
      <w:r>
        <w:rPr>
          <w:rStyle w:val="FootnoteReference"/>
        </w:rPr>
        <w:footnoteRef/>
      </w:r>
      <w:r>
        <w:t xml:space="preserve">Outcome 12: </w:t>
      </w:r>
      <w:r w:rsidR="003E1CAC">
        <w:t>An efficient, effective and development oriented public service</w:t>
      </w:r>
    </w:p>
  </w:footnote>
  <w:footnote w:id="2">
    <w:p w:rsidR="00E26E45" w:rsidRPr="005644CF" w:rsidRDefault="00E26E45" w:rsidP="00E26E45">
      <w:pPr>
        <w:pStyle w:val="FootnoteText"/>
        <w:rPr>
          <w:lang w:val="en-US"/>
        </w:rPr>
      </w:pPr>
      <w:r>
        <w:rPr>
          <w:rStyle w:val="FootnoteReference"/>
        </w:rPr>
        <w:footnoteRef/>
      </w:r>
      <w:r>
        <w:t xml:space="preserve"> Public Service Act ,1994 (Act No.103 of 1994)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5D0" w:rsidRDefault="004725D0">
    <w:pPr>
      <w:pStyle w:val="Header"/>
    </w:pPr>
    <w:r>
      <w:rPr>
        <w:noProof/>
        <w:lang w:eastAsia="en-ZA"/>
      </w:rPr>
      <w:drawing>
        <wp:anchor distT="0" distB="0" distL="114300" distR="114300" simplePos="0" relativeHeight="251659264" behindDoc="0" locked="0" layoutInCell="1" allowOverlap="1">
          <wp:simplePos x="0" y="0"/>
          <wp:positionH relativeFrom="margin">
            <wp:posOffset>4931410</wp:posOffset>
          </wp:positionH>
          <wp:positionV relativeFrom="page">
            <wp:posOffset>344643</wp:posOffset>
          </wp:positionV>
          <wp:extent cx="800100" cy="824230"/>
          <wp:effectExtent l="0" t="0" r="0" b="0"/>
          <wp:wrapSquare wrapText="bothSides"/>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8547"/>
                  <a:stretch>
                    <a:fillRect/>
                  </a:stretch>
                </pic:blipFill>
                <pic:spPr bwMode="auto">
                  <a:xfrm>
                    <a:off x="0" y="0"/>
                    <a:ext cx="800100" cy="824230"/>
                  </a:xfrm>
                  <a:prstGeom prst="rect">
                    <a:avLst/>
                  </a:prstGeom>
                  <a:noFill/>
                  <a:ln>
                    <a:noFill/>
                  </a:ln>
                </pic:spPr>
              </pic:pic>
            </a:graphicData>
          </a:graphic>
        </wp:anchor>
      </w:drawing>
    </w:r>
  </w:p>
  <w:p w:rsidR="004725D0" w:rsidRDefault="004725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5D0" w:rsidRDefault="004725D0">
    <w:pPr>
      <w:pStyle w:val="Header"/>
    </w:pPr>
    <w:r>
      <w:rPr>
        <w:noProof/>
        <w:lang w:eastAsia="en-ZA"/>
      </w:rPr>
      <w:drawing>
        <wp:anchor distT="0" distB="0" distL="114300" distR="114300" simplePos="0" relativeHeight="251658240" behindDoc="0" locked="0" layoutInCell="1" allowOverlap="1">
          <wp:simplePos x="0" y="0"/>
          <wp:positionH relativeFrom="margin">
            <wp:posOffset>-82388</wp:posOffset>
          </wp:positionH>
          <wp:positionV relativeFrom="page">
            <wp:posOffset>411480</wp:posOffset>
          </wp:positionV>
          <wp:extent cx="2543810" cy="824230"/>
          <wp:effectExtent l="0" t="0" r="8890" b="0"/>
          <wp:wrapSquare wrapText="bothSides"/>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3810" cy="824230"/>
                  </a:xfrm>
                  <a:prstGeom prst="rect">
                    <a:avLst/>
                  </a:prstGeom>
                  <a:noFill/>
                  <a:ln>
                    <a:noFill/>
                  </a:ln>
                </pic:spPr>
              </pic:pic>
            </a:graphicData>
          </a:graphic>
        </wp:anchor>
      </w:drawing>
    </w:r>
    <w:r>
      <w:rPr>
        <w:noProof/>
        <w:lang w:eastAsia="en-ZA"/>
      </w:rPr>
      <w:drawing>
        <wp:anchor distT="0" distB="0" distL="114300" distR="114300" simplePos="0" relativeHeight="251660288" behindDoc="1" locked="0" layoutInCell="1" allowOverlap="1">
          <wp:simplePos x="0" y="0"/>
          <wp:positionH relativeFrom="margin">
            <wp:posOffset>3557743</wp:posOffset>
          </wp:positionH>
          <wp:positionV relativeFrom="page">
            <wp:posOffset>560070</wp:posOffset>
          </wp:positionV>
          <wp:extent cx="2279650" cy="611505"/>
          <wp:effectExtent l="0" t="0" r="6350" b="0"/>
          <wp:wrapSquare wrapText="bothSides"/>
          <wp:docPr id="14" name="Picture 14" descr="RESEARCH-UNIT-RGB-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ARCH-UNIT-RGB-HEADE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9650" cy="61150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438"/>
    <w:multiLevelType w:val="multilevel"/>
    <w:tmpl w:val="BEEAB3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9866B2"/>
    <w:multiLevelType w:val="hybridMultilevel"/>
    <w:tmpl w:val="5E2E8B66"/>
    <w:lvl w:ilvl="0" w:tplc="04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08043AD6"/>
    <w:multiLevelType w:val="hybridMultilevel"/>
    <w:tmpl w:val="2DFEC3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D386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064F75"/>
    <w:multiLevelType w:val="hybridMultilevel"/>
    <w:tmpl w:val="C00AB63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247F5AEC"/>
    <w:multiLevelType w:val="hybridMultilevel"/>
    <w:tmpl w:val="05E2FC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A1A3234"/>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C350E07"/>
    <w:multiLevelType w:val="hybridMultilevel"/>
    <w:tmpl w:val="A0E6260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41616860"/>
    <w:multiLevelType w:val="hybridMultilevel"/>
    <w:tmpl w:val="D0A83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6721B8"/>
    <w:multiLevelType w:val="hybridMultilevel"/>
    <w:tmpl w:val="784A200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4A6245FF"/>
    <w:multiLevelType w:val="multilevel"/>
    <w:tmpl w:val="B55070A8"/>
    <w:styleLink w:val="Style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2DD2570"/>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nsid w:val="551C5042"/>
    <w:multiLevelType w:val="hybridMultilevel"/>
    <w:tmpl w:val="77883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C527453"/>
    <w:multiLevelType w:val="hybridMultilevel"/>
    <w:tmpl w:val="574C8770"/>
    <w:lvl w:ilvl="0" w:tplc="2B0A65B6">
      <w:start w:val="2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76624A"/>
    <w:multiLevelType w:val="hybridMultilevel"/>
    <w:tmpl w:val="AB9888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11F285F"/>
    <w:multiLevelType w:val="hybridMultilevel"/>
    <w:tmpl w:val="C8A04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802D3D"/>
    <w:multiLevelType w:val="hybridMultilevel"/>
    <w:tmpl w:val="CD1E9F9C"/>
    <w:lvl w:ilvl="0" w:tplc="C180F32C">
      <w:start w:val="1"/>
      <w:numFmt w:val="lowerRoman"/>
      <w:lvlText w:val="(%1)"/>
      <w:lvlJc w:val="left"/>
      <w:pPr>
        <w:ind w:left="900" w:hanging="720"/>
      </w:pPr>
      <w:rPr>
        <w:rFonts w:hint="default"/>
        <w:b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61D97F37"/>
    <w:multiLevelType w:val="hybridMultilevel"/>
    <w:tmpl w:val="5EBE1C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2A81F49"/>
    <w:multiLevelType w:val="hybridMultilevel"/>
    <w:tmpl w:val="CC32142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646712D9"/>
    <w:multiLevelType w:val="hybridMultilevel"/>
    <w:tmpl w:val="9096439A"/>
    <w:lvl w:ilvl="0" w:tplc="2B0A65B6">
      <w:start w:val="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4A13B6"/>
    <w:multiLevelType w:val="hybridMultilevel"/>
    <w:tmpl w:val="D316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D01519"/>
    <w:multiLevelType w:val="multilevel"/>
    <w:tmpl w:val="1E58906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B1A2413"/>
    <w:multiLevelType w:val="hybridMultilevel"/>
    <w:tmpl w:val="9FE48BA6"/>
    <w:lvl w:ilvl="0" w:tplc="7382BDE6">
      <w:start w:val="1"/>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3875F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E365D55"/>
    <w:multiLevelType w:val="hybridMultilevel"/>
    <w:tmpl w:val="9B9C20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3A37F1C"/>
    <w:multiLevelType w:val="hybridMultilevel"/>
    <w:tmpl w:val="72663CB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nsid w:val="78047693"/>
    <w:multiLevelType w:val="hybridMultilevel"/>
    <w:tmpl w:val="5118690E"/>
    <w:lvl w:ilvl="0" w:tplc="2B0A65B6">
      <w:start w:val="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3D5A18"/>
    <w:multiLevelType w:val="hybridMultilevel"/>
    <w:tmpl w:val="1E40F7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1"/>
  </w:num>
  <w:num w:numId="4">
    <w:abstractNumId w:val="18"/>
  </w:num>
  <w:num w:numId="5">
    <w:abstractNumId w:val="9"/>
  </w:num>
  <w:num w:numId="6">
    <w:abstractNumId w:val="23"/>
  </w:num>
  <w:num w:numId="7">
    <w:abstractNumId w:val="10"/>
  </w:num>
  <w:num w:numId="8">
    <w:abstractNumId w:val="6"/>
  </w:num>
  <w:num w:numId="9">
    <w:abstractNumId w:val="1"/>
  </w:num>
  <w:num w:numId="10">
    <w:abstractNumId w:val="14"/>
  </w:num>
  <w:num w:numId="11">
    <w:abstractNumId w:val="5"/>
  </w:num>
  <w:num w:numId="12">
    <w:abstractNumId w:val="17"/>
  </w:num>
  <w:num w:numId="13">
    <w:abstractNumId w:val="27"/>
  </w:num>
  <w:num w:numId="14">
    <w:abstractNumId w:val="25"/>
  </w:num>
  <w:num w:numId="15">
    <w:abstractNumId w:val="3"/>
  </w:num>
  <w:num w:numId="16">
    <w:abstractNumId w:val="16"/>
  </w:num>
  <w:num w:numId="17">
    <w:abstractNumId w:val="22"/>
  </w:num>
  <w:num w:numId="18">
    <w:abstractNumId w:val="12"/>
  </w:num>
  <w:num w:numId="19">
    <w:abstractNumId w:val="13"/>
  </w:num>
  <w:num w:numId="20">
    <w:abstractNumId w:val="8"/>
  </w:num>
  <w:num w:numId="21">
    <w:abstractNumId w:val="19"/>
  </w:num>
  <w:num w:numId="22">
    <w:abstractNumId w:val="26"/>
  </w:num>
  <w:num w:numId="23">
    <w:abstractNumId w:val="7"/>
  </w:num>
  <w:num w:numId="24">
    <w:abstractNumId w:val="21"/>
  </w:num>
  <w:num w:numId="25">
    <w:abstractNumId w:val="4"/>
  </w:num>
  <w:num w:numId="26">
    <w:abstractNumId w:val="15"/>
  </w:num>
  <w:num w:numId="27">
    <w:abstractNumId w:val="2"/>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845F0C"/>
    <w:rsid w:val="00003237"/>
    <w:rsid w:val="0001102D"/>
    <w:rsid w:val="00021A79"/>
    <w:rsid w:val="00034B99"/>
    <w:rsid w:val="0004431C"/>
    <w:rsid w:val="0004494C"/>
    <w:rsid w:val="00052B47"/>
    <w:rsid w:val="00054A92"/>
    <w:rsid w:val="00055604"/>
    <w:rsid w:val="00061D29"/>
    <w:rsid w:val="00067A47"/>
    <w:rsid w:val="000A1AB7"/>
    <w:rsid w:val="000B329D"/>
    <w:rsid w:val="000B648B"/>
    <w:rsid w:val="000C41C0"/>
    <w:rsid w:val="000F0ECE"/>
    <w:rsid w:val="00100865"/>
    <w:rsid w:val="00103894"/>
    <w:rsid w:val="00112D46"/>
    <w:rsid w:val="001352B4"/>
    <w:rsid w:val="00142CEB"/>
    <w:rsid w:val="00153B94"/>
    <w:rsid w:val="00177880"/>
    <w:rsid w:val="001841D6"/>
    <w:rsid w:val="00184D13"/>
    <w:rsid w:val="00191AF0"/>
    <w:rsid w:val="001F7BAD"/>
    <w:rsid w:val="002336DF"/>
    <w:rsid w:val="00253831"/>
    <w:rsid w:val="00255330"/>
    <w:rsid w:val="00260B4F"/>
    <w:rsid w:val="002A0835"/>
    <w:rsid w:val="002B006D"/>
    <w:rsid w:val="002B08CF"/>
    <w:rsid w:val="002D6EE7"/>
    <w:rsid w:val="002F1450"/>
    <w:rsid w:val="00305BA1"/>
    <w:rsid w:val="0031278C"/>
    <w:rsid w:val="0034606F"/>
    <w:rsid w:val="00367844"/>
    <w:rsid w:val="003705A1"/>
    <w:rsid w:val="00377228"/>
    <w:rsid w:val="00377ACD"/>
    <w:rsid w:val="003939BE"/>
    <w:rsid w:val="003A6436"/>
    <w:rsid w:val="003B226A"/>
    <w:rsid w:val="003C27CD"/>
    <w:rsid w:val="003C3F5B"/>
    <w:rsid w:val="003E1CAC"/>
    <w:rsid w:val="00425EA7"/>
    <w:rsid w:val="004333D9"/>
    <w:rsid w:val="00451561"/>
    <w:rsid w:val="00462C35"/>
    <w:rsid w:val="004725D0"/>
    <w:rsid w:val="004C17E7"/>
    <w:rsid w:val="004D4471"/>
    <w:rsid w:val="004D7FE9"/>
    <w:rsid w:val="004E2BA2"/>
    <w:rsid w:val="004F5C45"/>
    <w:rsid w:val="004F6E7C"/>
    <w:rsid w:val="005028B1"/>
    <w:rsid w:val="0051589B"/>
    <w:rsid w:val="00520450"/>
    <w:rsid w:val="005644CF"/>
    <w:rsid w:val="00574827"/>
    <w:rsid w:val="00593994"/>
    <w:rsid w:val="005E068D"/>
    <w:rsid w:val="006163FE"/>
    <w:rsid w:val="00630D3E"/>
    <w:rsid w:val="00663F6C"/>
    <w:rsid w:val="00667D16"/>
    <w:rsid w:val="00684805"/>
    <w:rsid w:val="006E0F0E"/>
    <w:rsid w:val="006F5E2B"/>
    <w:rsid w:val="00702501"/>
    <w:rsid w:val="00764580"/>
    <w:rsid w:val="007678EB"/>
    <w:rsid w:val="00770DF1"/>
    <w:rsid w:val="00784706"/>
    <w:rsid w:val="007B5522"/>
    <w:rsid w:val="00810ACC"/>
    <w:rsid w:val="0082503B"/>
    <w:rsid w:val="00845F0C"/>
    <w:rsid w:val="008817A9"/>
    <w:rsid w:val="00882C8E"/>
    <w:rsid w:val="00893EE9"/>
    <w:rsid w:val="00896E7D"/>
    <w:rsid w:val="008A1185"/>
    <w:rsid w:val="0099420E"/>
    <w:rsid w:val="00997B70"/>
    <w:rsid w:val="009A2690"/>
    <w:rsid w:val="009B2A77"/>
    <w:rsid w:val="009E0C94"/>
    <w:rsid w:val="009E5DE3"/>
    <w:rsid w:val="00A13FA5"/>
    <w:rsid w:val="00A43698"/>
    <w:rsid w:val="00AA0324"/>
    <w:rsid w:val="00AA2350"/>
    <w:rsid w:val="00AD0A4E"/>
    <w:rsid w:val="00AE60E1"/>
    <w:rsid w:val="00AE6B13"/>
    <w:rsid w:val="00B17D6D"/>
    <w:rsid w:val="00B21CCE"/>
    <w:rsid w:val="00B71B61"/>
    <w:rsid w:val="00B725AB"/>
    <w:rsid w:val="00B75CDB"/>
    <w:rsid w:val="00B9302E"/>
    <w:rsid w:val="00BD207C"/>
    <w:rsid w:val="00BD4E0D"/>
    <w:rsid w:val="00BE1544"/>
    <w:rsid w:val="00BE65C0"/>
    <w:rsid w:val="00C035FC"/>
    <w:rsid w:val="00C300C4"/>
    <w:rsid w:val="00C61BA5"/>
    <w:rsid w:val="00C82930"/>
    <w:rsid w:val="00CA59EA"/>
    <w:rsid w:val="00CE26E6"/>
    <w:rsid w:val="00D12839"/>
    <w:rsid w:val="00D323E9"/>
    <w:rsid w:val="00D77B2D"/>
    <w:rsid w:val="00DB162D"/>
    <w:rsid w:val="00E079AD"/>
    <w:rsid w:val="00E13F6B"/>
    <w:rsid w:val="00E26E45"/>
    <w:rsid w:val="00E60C1F"/>
    <w:rsid w:val="00E822E4"/>
    <w:rsid w:val="00EA2327"/>
    <w:rsid w:val="00EC191C"/>
    <w:rsid w:val="00EC1AF4"/>
    <w:rsid w:val="00EC4E94"/>
    <w:rsid w:val="00EC560A"/>
    <w:rsid w:val="00EC62FF"/>
    <w:rsid w:val="00EE2470"/>
    <w:rsid w:val="00EF36A1"/>
    <w:rsid w:val="00F14BC4"/>
    <w:rsid w:val="00F35173"/>
    <w:rsid w:val="00F37845"/>
    <w:rsid w:val="00F62866"/>
    <w:rsid w:val="00FE0F4F"/>
    <w:rsid w:val="00FE7C2C"/>
  </w:rsids>
  <m:mathPr>
    <m:mathFont m:val="Cambria Math"/>
    <m:brkBin m:val="before"/>
    <m:brkBinSub m:val="--"/>
    <m:smallFrac m:val="off"/>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55604"/>
    <w:pPr>
      <w:spacing w:after="0" w:line="280" w:lineRule="exact"/>
      <w:jc w:val="both"/>
    </w:pPr>
    <w:rPr>
      <w:rFonts w:ascii="Arial" w:hAnsi="Arial"/>
    </w:rPr>
  </w:style>
  <w:style w:type="paragraph" w:styleId="Heading1">
    <w:name w:val="heading 1"/>
    <w:basedOn w:val="Normal"/>
    <w:next w:val="Normal"/>
    <w:link w:val="Heading1Char"/>
    <w:uiPriority w:val="9"/>
    <w:qFormat/>
    <w:rsid w:val="005028B1"/>
    <w:pPr>
      <w:keepNext/>
      <w:keepLines/>
      <w:spacing w:before="240"/>
      <w:outlineLvl w:val="0"/>
    </w:pPr>
    <w:rPr>
      <w:rFonts w:eastAsiaTheme="majorEastAsia" w:cstheme="majorBidi"/>
      <w:b/>
      <w:caps/>
      <w:color w:val="538135" w:themeColor="accent6" w:themeShade="BF"/>
      <w:szCs w:val="32"/>
    </w:rPr>
  </w:style>
  <w:style w:type="paragraph" w:styleId="Heading2">
    <w:name w:val="heading 2"/>
    <w:basedOn w:val="Normal"/>
    <w:next w:val="Normal"/>
    <w:link w:val="Heading2Char"/>
    <w:uiPriority w:val="9"/>
    <w:unhideWhenUsed/>
    <w:qFormat/>
    <w:rsid w:val="005028B1"/>
    <w:pPr>
      <w:keepNext/>
      <w:keepLines/>
      <w:spacing w:before="40"/>
      <w:jc w:val="left"/>
      <w:outlineLvl w:val="1"/>
    </w:pPr>
    <w:rPr>
      <w:rFonts w:eastAsiaTheme="majorEastAsia" w:cstheme="majorBidi"/>
      <w:b/>
      <w:color w:val="538135" w:themeColor="accent6" w:themeShade="BF"/>
      <w:szCs w:val="26"/>
    </w:rPr>
  </w:style>
  <w:style w:type="paragraph" w:styleId="Heading3">
    <w:name w:val="heading 3"/>
    <w:basedOn w:val="Normal"/>
    <w:next w:val="Normal"/>
    <w:link w:val="Heading3Char"/>
    <w:uiPriority w:val="9"/>
    <w:unhideWhenUsed/>
    <w:qFormat/>
    <w:rsid w:val="00052B47"/>
    <w:pPr>
      <w:keepNext/>
      <w:keepLines/>
      <w:outlineLvl w:val="2"/>
    </w:pPr>
    <w:rPr>
      <w:rFonts w:eastAsiaTheme="majorEastAsia" w:cstheme="majorBidi"/>
      <w:b/>
      <w:i/>
      <w:color w:val="538135" w:themeColor="accent6" w:themeShade="BF"/>
      <w:szCs w:val="24"/>
    </w:rPr>
  </w:style>
  <w:style w:type="paragraph" w:styleId="Heading4">
    <w:name w:val="heading 4"/>
    <w:basedOn w:val="Normal"/>
    <w:next w:val="Normal"/>
    <w:link w:val="Heading4Char"/>
    <w:uiPriority w:val="9"/>
    <w:semiHidden/>
    <w:unhideWhenUsed/>
    <w:rsid w:val="009E0C9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0C9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0C9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0C9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0C9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0C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544"/>
    <w:pPr>
      <w:tabs>
        <w:tab w:val="center" w:pos="4513"/>
        <w:tab w:val="right" w:pos="9026"/>
      </w:tabs>
      <w:spacing w:line="240" w:lineRule="auto"/>
    </w:pPr>
  </w:style>
  <w:style w:type="character" w:customStyle="1" w:styleId="HeaderChar">
    <w:name w:val="Header Char"/>
    <w:basedOn w:val="DefaultParagraphFont"/>
    <w:link w:val="Header"/>
    <w:uiPriority w:val="99"/>
    <w:rsid w:val="00BE1544"/>
  </w:style>
  <w:style w:type="paragraph" w:styleId="Footer">
    <w:name w:val="footer"/>
    <w:basedOn w:val="Normal"/>
    <w:link w:val="FooterChar"/>
    <w:uiPriority w:val="99"/>
    <w:unhideWhenUsed/>
    <w:rsid w:val="00BE1544"/>
    <w:pPr>
      <w:tabs>
        <w:tab w:val="center" w:pos="4513"/>
        <w:tab w:val="right" w:pos="9026"/>
      </w:tabs>
      <w:spacing w:line="240" w:lineRule="auto"/>
    </w:pPr>
  </w:style>
  <w:style w:type="character" w:customStyle="1" w:styleId="FooterChar">
    <w:name w:val="Footer Char"/>
    <w:basedOn w:val="DefaultParagraphFont"/>
    <w:link w:val="Footer"/>
    <w:uiPriority w:val="99"/>
    <w:rsid w:val="00BE1544"/>
  </w:style>
  <w:style w:type="paragraph" w:customStyle="1" w:styleId="ResearchTitle">
    <w:name w:val="Research Title"/>
    <w:basedOn w:val="Normal"/>
    <w:link w:val="ResearchTitleChar"/>
    <w:rsid w:val="008A1185"/>
    <w:rPr>
      <w:b/>
      <w:caps/>
      <w:color w:val="538135" w:themeColor="accent6" w:themeShade="BF"/>
      <w:sz w:val="24"/>
    </w:rPr>
  </w:style>
  <w:style w:type="paragraph" w:customStyle="1" w:styleId="ReseachMainHeading">
    <w:name w:val="Reseach Main Heading"/>
    <w:basedOn w:val="ResearchTitle"/>
    <w:link w:val="ReseachMainHeadingChar"/>
    <w:rsid w:val="005E068D"/>
    <w:rPr>
      <w:sz w:val="22"/>
    </w:rPr>
  </w:style>
  <w:style w:type="character" w:customStyle="1" w:styleId="ResearchTitleChar">
    <w:name w:val="Research Title Char"/>
    <w:basedOn w:val="DefaultParagraphFont"/>
    <w:link w:val="ResearchTitle"/>
    <w:rsid w:val="008A1185"/>
    <w:rPr>
      <w:rFonts w:ascii="Arial" w:hAnsi="Arial"/>
      <w:b/>
      <w:caps/>
      <w:color w:val="538135" w:themeColor="accent6" w:themeShade="BF"/>
      <w:sz w:val="24"/>
    </w:rPr>
  </w:style>
  <w:style w:type="paragraph" w:customStyle="1" w:styleId="ResearchSubheading">
    <w:name w:val="Research Sub heading"/>
    <w:basedOn w:val="ReseachMainHeading"/>
    <w:link w:val="ResearchSubheadingChar"/>
    <w:rsid w:val="005E068D"/>
    <w:rPr>
      <w:b w:val="0"/>
      <w:caps w:val="0"/>
    </w:rPr>
  </w:style>
  <w:style w:type="character" w:customStyle="1" w:styleId="ReseachMainHeadingChar">
    <w:name w:val="Reseach Main Heading Char"/>
    <w:basedOn w:val="ResearchTitleChar"/>
    <w:link w:val="ReseachMainHeading"/>
    <w:rsid w:val="005E068D"/>
    <w:rPr>
      <w:rFonts w:ascii="Arial" w:hAnsi="Arial"/>
      <w:b/>
      <w:caps/>
      <w:color w:val="538135" w:themeColor="accent6" w:themeShade="BF"/>
      <w:sz w:val="24"/>
    </w:rPr>
  </w:style>
  <w:style w:type="character" w:customStyle="1" w:styleId="Heading1Char">
    <w:name w:val="Heading 1 Char"/>
    <w:basedOn w:val="DefaultParagraphFont"/>
    <w:link w:val="Heading1"/>
    <w:uiPriority w:val="9"/>
    <w:rsid w:val="005028B1"/>
    <w:rPr>
      <w:rFonts w:ascii="Arial" w:eastAsiaTheme="majorEastAsia" w:hAnsi="Arial" w:cstheme="majorBidi"/>
      <w:b/>
      <w:caps/>
      <w:color w:val="538135" w:themeColor="accent6" w:themeShade="BF"/>
      <w:szCs w:val="32"/>
    </w:rPr>
  </w:style>
  <w:style w:type="character" w:customStyle="1" w:styleId="ResearchSubheadingChar">
    <w:name w:val="Research Sub heading Char"/>
    <w:basedOn w:val="ReseachMainHeadingChar"/>
    <w:link w:val="ResearchSubheading"/>
    <w:rsid w:val="005E068D"/>
    <w:rPr>
      <w:rFonts w:ascii="Arial" w:hAnsi="Arial"/>
      <w:b w:val="0"/>
      <w:caps w:val="0"/>
      <w:color w:val="538135" w:themeColor="accent6" w:themeShade="BF"/>
      <w:sz w:val="24"/>
    </w:rPr>
  </w:style>
  <w:style w:type="paragraph" w:styleId="TOCHeading">
    <w:name w:val="TOC Heading"/>
    <w:basedOn w:val="Heading1"/>
    <w:next w:val="Normal"/>
    <w:uiPriority w:val="39"/>
    <w:unhideWhenUsed/>
    <w:qFormat/>
    <w:rsid w:val="00052B47"/>
    <w:pPr>
      <w:outlineLvl w:val="9"/>
    </w:pPr>
    <w:rPr>
      <w:caps w:val="0"/>
      <w:color w:val="000000" w:themeColor="text1"/>
      <w:lang w:val="en-US"/>
    </w:rPr>
  </w:style>
  <w:style w:type="paragraph" w:styleId="TOC1">
    <w:name w:val="toc 1"/>
    <w:basedOn w:val="Normal"/>
    <w:next w:val="Normal"/>
    <w:autoRedefine/>
    <w:uiPriority w:val="39"/>
    <w:unhideWhenUsed/>
    <w:qFormat/>
    <w:rsid w:val="00052B47"/>
    <w:pPr>
      <w:spacing w:after="100"/>
    </w:pPr>
    <w:rPr>
      <w:b/>
      <w:caps/>
      <w:color w:val="000000" w:themeColor="text1"/>
      <w:sz w:val="24"/>
    </w:rPr>
  </w:style>
  <w:style w:type="character" w:styleId="Hyperlink">
    <w:name w:val="Hyperlink"/>
    <w:basedOn w:val="DefaultParagraphFont"/>
    <w:uiPriority w:val="99"/>
    <w:unhideWhenUsed/>
    <w:rsid w:val="005E068D"/>
    <w:rPr>
      <w:color w:val="0563C1" w:themeColor="hyperlink"/>
      <w:u w:val="single"/>
    </w:rPr>
  </w:style>
  <w:style w:type="paragraph" w:styleId="ListParagraph">
    <w:name w:val="List Paragraph"/>
    <w:basedOn w:val="Normal"/>
    <w:uiPriority w:val="99"/>
    <w:qFormat/>
    <w:rsid w:val="005E068D"/>
    <w:pPr>
      <w:ind w:left="720"/>
      <w:contextualSpacing/>
    </w:pPr>
  </w:style>
  <w:style w:type="character" w:customStyle="1" w:styleId="Heading2Char">
    <w:name w:val="Heading 2 Char"/>
    <w:basedOn w:val="DefaultParagraphFont"/>
    <w:link w:val="Heading2"/>
    <w:uiPriority w:val="9"/>
    <w:rsid w:val="005028B1"/>
    <w:rPr>
      <w:rFonts w:ascii="Arial" w:eastAsiaTheme="majorEastAsia" w:hAnsi="Arial" w:cstheme="majorBidi"/>
      <w:b/>
      <w:color w:val="538135" w:themeColor="accent6" w:themeShade="BF"/>
      <w:szCs w:val="26"/>
    </w:rPr>
  </w:style>
  <w:style w:type="paragraph" w:styleId="TOC2">
    <w:name w:val="toc 2"/>
    <w:basedOn w:val="Normal"/>
    <w:next w:val="Normal"/>
    <w:autoRedefine/>
    <w:uiPriority w:val="39"/>
    <w:unhideWhenUsed/>
    <w:rsid w:val="0031278C"/>
    <w:pPr>
      <w:spacing w:after="100"/>
      <w:ind w:left="220"/>
    </w:pPr>
  </w:style>
  <w:style w:type="paragraph" w:styleId="TOC3">
    <w:name w:val="toc 3"/>
    <w:basedOn w:val="Normal"/>
    <w:next w:val="Normal"/>
    <w:autoRedefine/>
    <w:uiPriority w:val="39"/>
    <w:unhideWhenUsed/>
    <w:rsid w:val="009E0C94"/>
    <w:pPr>
      <w:spacing w:after="100" w:line="240" w:lineRule="exact"/>
      <w:ind w:left="442"/>
    </w:pPr>
    <w:rPr>
      <w:rFonts w:eastAsiaTheme="minorEastAsia" w:cs="Times New Roman"/>
      <w:lang w:val="en-US"/>
    </w:rPr>
  </w:style>
  <w:style w:type="paragraph" w:styleId="Title">
    <w:name w:val="Title"/>
    <w:basedOn w:val="Normal"/>
    <w:next w:val="Normal"/>
    <w:link w:val="TitleChar"/>
    <w:uiPriority w:val="10"/>
    <w:qFormat/>
    <w:rsid w:val="00893EE9"/>
    <w:pPr>
      <w:spacing w:line="240" w:lineRule="auto"/>
      <w:contextualSpacing/>
    </w:pPr>
    <w:rPr>
      <w:rFonts w:eastAsiaTheme="majorEastAsia" w:cstheme="majorBidi"/>
      <w:b/>
      <w:caps/>
      <w:color w:val="538135" w:themeColor="accent6" w:themeShade="BF"/>
      <w:spacing w:val="-10"/>
      <w:kern w:val="28"/>
      <w:sz w:val="28"/>
      <w:szCs w:val="56"/>
    </w:rPr>
  </w:style>
  <w:style w:type="character" w:customStyle="1" w:styleId="TitleChar">
    <w:name w:val="Title Char"/>
    <w:basedOn w:val="DefaultParagraphFont"/>
    <w:link w:val="Title"/>
    <w:uiPriority w:val="10"/>
    <w:rsid w:val="00893EE9"/>
    <w:rPr>
      <w:rFonts w:ascii="Arial" w:eastAsiaTheme="majorEastAsia" w:hAnsi="Arial" w:cstheme="majorBidi"/>
      <w:b/>
      <w:caps/>
      <w:color w:val="538135" w:themeColor="accent6" w:themeShade="BF"/>
      <w:spacing w:val="-10"/>
      <w:kern w:val="28"/>
      <w:sz w:val="28"/>
      <w:szCs w:val="56"/>
    </w:rPr>
  </w:style>
  <w:style w:type="paragraph" w:styleId="Subtitle">
    <w:name w:val="Subtitle"/>
    <w:basedOn w:val="Normal"/>
    <w:next w:val="Normal"/>
    <w:link w:val="SubtitleChar"/>
    <w:uiPriority w:val="11"/>
    <w:rsid w:val="00893EE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93EE9"/>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052B47"/>
    <w:rPr>
      <w:rFonts w:ascii="Arial" w:eastAsiaTheme="majorEastAsia" w:hAnsi="Arial" w:cstheme="majorBidi"/>
      <w:b/>
      <w:i/>
      <w:color w:val="538135" w:themeColor="accent6" w:themeShade="BF"/>
      <w:szCs w:val="24"/>
    </w:rPr>
  </w:style>
  <w:style w:type="character" w:customStyle="1" w:styleId="Heading4Char">
    <w:name w:val="Heading 4 Char"/>
    <w:basedOn w:val="DefaultParagraphFont"/>
    <w:link w:val="Heading4"/>
    <w:uiPriority w:val="9"/>
    <w:semiHidden/>
    <w:rsid w:val="009E0C9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0C9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0C9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0C9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0C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0C94"/>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9E0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B9302E"/>
    <w:pPr>
      <w:numPr>
        <w:numId w:val="7"/>
      </w:numPr>
    </w:pPr>
  </w:style>
  <w:style w:type="paragraph" w:styleId="CommentText">
    <w:name w:val="annotation text"/>
    <w:basedOn w:val="Normal"/>
    <w:link w:val="CommentTextChar"/>
    <w:semiHidden/>
    <w:rsid w:val="00052B47"/>
    <w:pPr>
      <w:jc w:val="left"/>
    </w:pPr>
    <w:rPr>
      <w:rFonts w:eastAsia="Times New Roman" w:cs="Times New Roman"/>
      <w:color w:val="000000"/>
      <w:sz w:val="20"/>
      <w:szCs w:val="20"/>
      <w:lang w:val="en-GB" w:eastAsia="en-GB"/>
    </w:rPr>
  </w:style>
  <w:style w:type="character" w:customStyle="1" w:styleId="CommentTextChar">
    <w:name w:val="Comment Text Char"/>
    <w:basedOn w:val="DefaultParagraphFont"/>
    <w:link w:val="CommentText"/>
    <w:semiHidden/>
    <w:rsid w:val="00052B47"/>
    <w:rPr>
      <w:rFonts w:ascii="Arial" w:eastAsia="Times New Roman" w:hAnsi="Arial" w:cs="Times New Roman"/>
      <w:color w:val="000000"/>
      <w:sz w:val="20"/>
      <w:szCs w:val="20"/>
      <w:lang w:val="en-GB" w:eastAsia="en-GB"/>
    </w:rPr>
  </w:style>
  <w:style w:type="paragraph" w:customStyle="1" w:styleId="Default">
    <w:name w:val="Default"/>
    <w:rsid w:val="00684805"/>
    <w:pPr>
      <w:autoSpaceDE w:val="0"/>
      <w:autoSpaceDN w:val="0"/>
      <w:adjustRightInd w:val="0"/>
      <w:spacing w:after="0" w:line="240" w:lineRule="auto"/>
    </w:pPr>
    <w:rPr>
      <w:rFonts w:ascii="Arial" w:hAnsi="Arial" w:cs="Arial"/>
      <w:color w:val="000000"/>
      <w:sz w:val="24"/>
      <w:szCs w:val="24"/>
      <w:lang w:val="en-US"/>
    </w:rPr>
  </w:style>
  <w:style w:type="paragraph" w:customStyle="1" w:styleId="Pa9">
    <w:name w:val="Pa9"/>
    <w:basedOn w:val="Default"/>
    <w:next w:val="Default"/>
    <w:uiPriority w:val="99"/>
    <w:rsid w:val="00684805"/>
    <w:pPr>
      <w:spacing w:line="221" w:lineRule="atLeast"/>
    </w:pPr>
    <w:rPr>
      <w:color w:val="auto"/>
    </w:rPr>
  </w:style>
  <w:style w:type="paragraph" w:customStyle="1" w:styleId="Pa8">
    <w:name w:val="Pa8"/>
    <w:basedOn w:val="Default"/>
    <w:next w:val="Default"/>
    <w:uiPriority w:val="99"/>
    <w:rsid w:val="00684805"/>
    <w:pPr>
      <w:spacing w:line="221" w:lineRule="atLeast"/>
    </w:pPr>
    <w:rPr>
      <w:color w:val="auto"/>
    </w:rPr>
  </w:style>
  <w:style w:type="character" w:customStyle="1" w:styleId="A12">
    <w:name w:val="A12"/>
    <w:uiPriority w:val="99"/>
    <w:rsid w:val="00684805"/>
    <w:rPr>
      <w:color w:val="000000"/>
      <w:sz w:val="16"/>
      <w:szCs w:val="16"/>
    </w:rPr>
  </w:style>
  <w:style w:type="paragraph" w:styleId="BalloonText">
    <w:name w:val="Balloon Text"/>
    <w:basedOn w:val="Normal"/>
    <w:link w:val="BalloonTextChar"/>
    <w:uiPriority w:val="99"/>
    <w:semiHidden/>
    <w:unhideWhenUsed/>
    <w:rsid w:val="00EF36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6A1"/>
    <w:rPr>
      <w:rFonts w:ascii="Segoe UI" w:hAnsi="Segoe UI" w:cs="Segoe UI"/>
      <w:sz w:val="18"/>
      <w:szCs w:val="18"/>
    </w:rPr>
  </w:style>
  <w:style w:type="paragraph" w:styleId="BodyText">
    <w:name w:val="Body Text"/>
    <w:basedOn w:val="Normal"/>
    <w:link w:val="BodyTextChar"/>
    <w:rsid w:val="00112D46"/>
    <w:pPr>
      <w:spacing w:line="240" w:lineRule="auto"/>
      <w:jc w:val="left"/>
    </w:pPr>
    <w:rPr>
      <w:rFonts w:eastAsia="Times New Roman" w:cs="Arial"/>
      <w:b/>
      <w:bCs/>
      <w:sz w:val="20"/>
      <w:szCs w:val="20"/>
      <w:u w:val="single"/>
      <w:lang w:val="en-US"/>
    </w:rPr>
  </w:style>
  <w:style w:type="character" w:customStyle="1" w:styleId="BodyTextChar">
    <w:name w:val="Body Text Char"/>
    <w:basedOn w:val="DefaultParagraphFont"/>
    <w:link w:val="BodyText"/>
    <w:rsid w:val="00112D46"/>
    <w:rPr>
      <w:rFonts w:ascii="Arial" w:eastAsia="Times New Roman" w:hAnsi="Arial" w:cs="Arial"/>
      <w:b/>
      <w:bCs/>
      <w:sz w:val="20"/>
      <w:szCs w:val="20"/>
      <w:u w:val="single"/>
      <w:lang w:val="en-US"/>
    </w:rPr>
  </w:style>
  <w:style w:type="character" w:styleId="CommentReference">
    <w:name w:val="annotation reference"/>
    <w:basedOn w:val="DefaultParagraphFont"/>
    <w:uiPriority w:val="99"/>
    <w:semiHidden/>
    <w:unhideWhenUsed/>
    <w:rsid w:val="00C82930"/>
    <w:rPr>
      <w:sz w:val="18"/>
      <w:szCs w:val="18"/>
    </w:rPr>
  </w:style>
  <w:style w:type="paragraph" w:styleId="CommentSubject">
    <w:name w:val="annotation subject"/>
    <w:basedOn w:val="CommentText"/>
    <w:next w:val="CommentText"/>
    <w:link w:val="CommentSubjectChar"/>
    <w:uiPriority w:val="99"/>
    <w:semiHidden/>
    <w:unhideWhenUsed/>
    <w:rsid w:val="00C82930"/>
    <w:pPr>
      <w:spacing w:line="240" w:lineRule="auto"/>
      <w:jc w:val="both"/>
    </w:pPr>
    <w:rPr>
      <w:rFonts w:eastAsiaTheme="minorHAnsi" w:cstheme="minorBidi"/>
      <w:b/>
      <w:bCs/>
      <w:color w:val="auto"/>
      <w:lang w:val="en-ZA" w:eastAsia="en-US"/>
    </w:rPr>
  </w:style>
  <w:style w:type="character" w:customStyle="1" w:styleId="CommentSubjectChar">
    <w:name w:val="Comment Subject Char"/>
    <w:basedOn w:val="CommentTextChar"/>
    <w:link w:val="CommentSubject"/>
    <w:uiPriority w:val="99"/>
    <w:semiHidden/>
    <w:rsid w:val="00C82930"/>
    <w:rPr>
      <w:rFonts w:ascii="Arial" w:eastAsia="Times New Roman" w:hAnsi="Arial" w:cs="Times New Roman"/>
      <w:b/>
      <w:bCs/>
      <w:color w:val="000000"/>
      <w:sz w:val="20"/>
      <w:szCs w:val="20"/>
      <w:lang w:val="en-GB" w:eastAsia="en-GB"/>
    </w:rPr>
  </w:style>
  <w:style w:type="paragraph" w:styleId="Revision">
    <w:name w:val="Revision"/>
    <w:hidden/>
    <w:uiPriority w:val="99"/>
    <w:semiHidden/>
    <w:rsid w:val="00520450"/>
    <w:pPr>
      <w:spacing w:after="0" w:line="240" w:lineRule="auto"/>
    </w:pPr>
    <w:rPr>
      <w:rFonts w:ascii="Arial" w:hAnsi="Arial"/>
    </w:rPr>
  </w:style>
  <w:style w:type="paragraph" w:styleId="FootnoteText">
    <w:name w:val="footnote text"/>
    <w:basedOn w:val="Normal"/>
    <w:link w:val="FootnoteTextChar"/>
    <w:uiPriority w:val="99"/>
    <w:semiHidden/>
    <w:unhideWhenUsed/>
    <w:rsid w:val="00BD207C"/>
    <w:pPr>
      <w:spacing w:line="240" w:lineRule="auto"/>
    </w:pPr>
    <w:rPr>
      <w:sz w:val="20"/>
      <w:szCs w:val="20"/>
    </w:rPr>
  </w:style>
  <w:style w:type="character" w:customStyle="1" w:styleId="FootnoteTextChar">
    <w:name w:val="Footnote Text Char"/>
    <w:basedOn w:val="DefaultParagraphFont"/>
    <w:link w:val="FootnoteText"/>
    <w:uiPriority w:val="99"/>
    <w:semiHidden/>
    <w:rsid w:val="00BD207C"/>
    <w:rPr>
      <w:rFonts w:ascii="Arial" w:hAnsi="Arial"/>
      <w:sz w:val="20"/>
      <w:szCs w:val="20"/>
    </w:rPr>
  </w:style>
  <w:style w:type="character" w:styleId="FootnoteReference">
    <w:name w:val="footnote reference"/>
    <w:basedOn w:val="DefaultParagraphFont"/>
    <w:uiPriority w:val="99"/>
    <w:semiHidden/>
    <w:unhideWhenUsed/>
    <w:rsid w:val="00BD207C"/>
    <w:rPr>
      <w:vertAlign w:val="superscript"/>
    </w:rPr>
  </w:style>
</w:styles>
</file>

<file path=word/webSettings.xml><?xml version="1.0" encoding="utf-8"?>
<w:webSettings xmlns:r="http://schemas.openxmlformats.org/officeDocument/2006/relationships" xmlns:w="http://schemas.openxmlformats.org/wordprocessingml/2006/main">
  <w:divs>
    <w:div w:id="1785539344">
      <w:bodyDiv w:val="1"/>
      <w:marLeft w:val="0"/>
      <w:marRight w:val="0"/>
      <w:marTop w:val="0"/>
      <w:marBottom w:val="0"/>
      <w:divBdr>
        <w:top w:val="none" w:sz="0" w:space="0" w:color="auto"/>
        <w:left w:val="none" w:sz="0" w:space="0" w:color="auto"/>
        <w:bottom w:val="none" w:sz="0" w:space="0" w:color="auto"/>
        <w:right w:val="none" w:sz="0" w:space="0" w:color="auto"/>
      </w:divBdr>
      <w:divsChild>
        <w:div w:id="203369947">
          <w:marLeft w:val="0"/>
          <w:marRight w:val="0"/>
          <w:marTop w:val="0"/>
          <w:marBottom w:val="0"/>
          <w:divBdr>
            <w:top w:val="none" w:sz="0" w:space="0" w:color="auto"/>
            <w:left w:val="none" w:sz="0" w:space="0" w:color="auto"/>
            <w:bottom w:val="none" w:sz="0" w:space="0" w:color="auto"/>
            <w:right w:val="none" w:sz="0" w:space="0" w:color="auto"/>
          </w:divBdr>
        </w:div>
        <w:div w:id="424155192">
          <w:marLeft w:val="0"/>
          <w:marRight w:val="0"/>
          <w:marTop w:val="0"/>
          <w:marBottom w:val="0"/>
          <w:divBdr>
            <w:top w:val="none" w:sz="0" w:space="0" w:color="auto"/>
            <w:left w:val="none" w:sz="0" w:space="0" w:color="auto"/>
            <w:bottom w:val="none" w:sz="0" w:space="0" w:color="auto"/>
            <w:right w:val="none" w:sz="0" w:space="0" w:color="auto"/>
          </w:divBdr>
        </w:div>
        <w:div w:id="491454873">
          <w:marLeft w:val="0"/>
          <w:marRight w:val="0"/>
          <w:marTop w:val="0"/>
          <w:marBottom w:val="0"/>
          <w:divBdr>
            <w:top w:val="none" w:sz="0" w:space="0" w:color="auto"/>
            <w:left w:val="none" w:sz="0" w:space="0" w:color="auto"/>
            <w:bottom w:val="none" w:sz="0" w:space="0" w:color="auto"/>
            <w:right w:val="none" w:sz="0" w:space="0" w:color="auto"/>
          </w:divBdr>
        </w:div>
        <w:div w:id="555702879">
          <w:marLeft w:val="0"/>
          <w:marRight w:val="0"/>
          <w:marTop w:val="0"/>
          <w:marBottom w:val="0"/>
          <w:divBdr>
            <w:top w:val="none" w:sz="0" w:space="0" w:color="auto"/>
            <w:left w:val="none" w:sz="0" w:space="0" w:color="auto"/>
            <w:bottom w:val="none" w:sz="0" w:space="0" w:color="auto"/>
            <w:right w:val="none" w:sz="0" w:space="0" w:color="auto"/>
          </w:divBdr>
        </w:div>
        <w:div w:id="556863808">
          <w:marLeft w:val="0"/>
          <w:marRight w:val="0"/>
          <w:marTop w:val="0"/>
          <w:marBottom w:val="0"/>
          <w:divBdr>
            <w:top w:val="none" w:sz="0" w:space="0" w:color="auto"/>
            <w:left w:val="none" w:sz="0" w:space="0" w:color="auto"/>
            <w:bottom w:val="none" w:sz="0" w:space="0" w:color="auto"/>
            <w:right w:val="none" w:sz="0" w:space="0" w:color="auto"/>
          </w:divBdr>
        </w:div>
        <w:div w:id="735861916">
          <w:marLeft w:val="0"/>
          <w:marRight w:val="0"/>
          <w:marTop w:val="0"/>
          <w:marBottom w:val="0"/>
          <w:divBdr>
            <w:top w:val="none" w:sz="0" w:space="0" w:color="auto"/>
            <w:left w:val="none" w:sz="0" w:space="0" w:color="auto"/>
            <w:bottom w:val="none" w:sz="0" w:space="0" w:color="auto"/>
            <w:right w:val="none" w:sz="0" w:space="0" w:color="auto"/>
          </w:divBdr>
        </w:div>
        <w:div w:id="790514082">
          <w:marLeft w:val="0"/>
          <w:marRight w:val="0"/>
          <w:marTop w:val="0"/>
          <w:marBottom w:val="0"/>
          <w:divBdr>
            <w:top w:val="none" w:sz="0" w:space="0" w:color="auto"/>
            <w:left w:val="none" w:sz="0" w:space="0" w:color="auto"/>
            <w:bottom w:val="none" w:sz="0" w:space="0" w:color="auto"/>
            <w:right w:val="none" w:sz="0" w:space="0" w:color="auto"/>
          </w:divBdr>
        </w:div>
        <w:div w:id="799612770">
          <w:marLeft w:val="0"/>
          <w:marRight w:val="0"/>
          <w:marTop w:val="0"/>
          <w:marBottom w:val="0"/>
          <w:divBdr>
            <w:top w:val="none" w:sz="0" w:space="0" w:color="auto"/>
            <w:left w:val="none" w:sz="0" w:space="0" w:color="auto"/>
            <w:bottom w:val="none" w:sz="0" w:space="0" w:color="auto"/>
            <w:right w:val="none" w:sz="0" w:space="0" w:color="auto"/>
          </w:divBdr>
        </w:div>
        <w:div w:id="961958674">
          <w:marLeft w:val="0"/>
          <w:marRight w:val="0"/>
          <w:marTop w:val="0"/>
          <w:marBottom w:val="0"/>
          <w:divBdr>
            <w:top w:val="none" w:sz="0" w:space="0" w:color="auto"/>
            <w:left w:val="none" w:sz="0" w:space="0" w:color="auto"/>
            <w:bottom w:val="none" w:sz="0" w:space="0" w:color="auto"/>
            <w:right w:val="none" w:sz="0" w:space="0" w:color="auto"/>
          </w:divBdr>
        </w:div>
        <w:div w:id="1077292101">
          <w:marLeft w:val="0"/>
          <w:marRight w:val="0"/>
          <w:marTop w:val="0"/>
          <w:marBottom w:val="0"/>
          <w:divBdr>
            <w:top w:val="none" w:sz="0" w:space="0" w:color="auto"/>
            <w:left w:val="none" w:sz="0" w:space="0" w:color="auto"/>
            <w:bottom w:val="none" w:sz="0" w:space="0" w:color="auto"/>
            <w:right w:val="none" w:sz="0" w:space="0" w:color="auto"/>
          </w:divBdr>
        </w:div>
        <w:div w:id="1258323409">
          <w:marLeft w:val="0"/>
          <w:marRight w:val="0"/>
          <w:marTop w:val="0"/>
          <w:marBottom w:val="0"/>
          <w:divBdr>
            <w:top w:val="none" w:sz="0" w:space="0" w:color="auto"/>
            <w:left w:val="none" w:sz="0" w:space="0" w:color="auto"/>
            <w:bottom w:val="none" w:sz="0" w:space="0" w:color="auto"/>
            <w:right w:val="none" w:sz="0" w:space="0" w:color="auto"/>
          </w:divBdr>
        </w:div>
        <w:div w:id="1585530709">
          <w:marLeft w:val="0"/>
          <w:marRight w:val="0"/>
          <w:marTop w:val="0"/>
          <w:marBottom w:val="0"/>
          <w:divBdr>
            <w:top w:val="none" w:sz="0" w:space="0" w:color="auto"/>
            <w:left w:val="none" w:sz="0" w:space="0" w:color="auto"/>
            <w:bottom w:val="none" w:sz="0" w:space="0" w:color="auto"/>
            <w:right w:val="none" w:sz="0" w:space="0" w:color="auto"/>
          </w:divBdr>
        </w:div>
        <w:div w:id="1590772846">
          <w:marLeft w:val="0"/>
          <w:marRight w:val="0"/>
          <w:marTop w:val="0"/>
          <w:marBottom w:val="0"/>
          <w:divBdr>
            <w:top w:val="none" w:sz="0" w:space="0" w:color="auto"/>
            <w:left w:val="none" w:sz="0" w:space="0" w:color="auto"/>
            <w:bottom w:val="none" w:sz="0" w:space="0" w:color="auto"/>
            <w:right w:val="none" w:sz="0" w:space="0" w:color="auto"/>
          </w:divBdr>
        </w:div>
        <w:div w:id="1652323497">
          <w:marLeft w:val="0"/>
          <w:marRight w:val="0"/>
          <w:marTop w:val="0"/>
          <w:marBottom w:val="0"/>
          <w:divBdr>
            <w:top w:val="none" w:sz="0" w:space="0" w:color="auto"/>
            <w:left w:val="none" w:sz="0" w:space="0" w:color="auto"/>
            <w:bottom w:val="none" w:sz="0" w:space="0" w:color="auto"/>
            <w:right w:val="none" w:sz="0" w:space="0" w:color="auto"/>
          </w:divBdr>
        </w:div>
        <w:div w:id="1800680599">
          <w:marLeft w:val="0"/>
          <w:marRight w:val="0"/>
          <w:marTop w:val="0"/>
          <w:marBottom w:val="0"/>
          <w:divBdr>
            <w:top w:val="none" w:sz="0" w:space="0" w:color="auto"/>
            <w:left w:val="none" w:sz="0" w:space="0" w:color="auto"/>
            <w:bottom w:val="none" w:sz="0" w:space="0" w:color="auto"/>
            <w:right w:val="none" w:sz="0" w:space="0" w:color="auto"/>
          </w:divBdr>
        </w:div>
        <w:div w:id="1979870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amela\Desktop\Desktop%20documents\Budget%20Analysis%20201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D9F88-5662-4AC0-B1D5-9A0DAA089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 Analysis 2016 template</Template>
  <TotalTime>1</TotalTime>
  <Pages>6</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10255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Manamela</dc:creator>
  <cp:lastModifiedBy>PUMZA</cp:lastModifiedBy>
  <cp:revision>2</cp:revision>
  <cp:lastPrinted>2016-02-19T12:31:00Z</cp:lastPrinted>
  <dcterms:created xsi:type="dcterms:W3CDTF">2016-10-19T09:53:00Z</dcterms:created>
  <dcterms:modified xsi:type="dcterms:W3CDTF">2016-10-19T09:53:00Z</dcterms:modified>
</cp:coreProperties>
</file>