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AE" w:rsidRPr="00A2154D" w:rsidRDefault="003C368D" w:rsidP="00A2154D">
      <w:pPr>
        <w:spacing w:line="240" w:lineRule="auto"/>
        <w:jc w:val="center"/>
        <w:rPr>
          <w:rFonts w:cs="Arial"/>
          <w:b/>
          <w:sz w:val="22"/>
        </w:rPr>
      </w:pPr>
      <w:r w:rsidRPr="00A2154D">
        <w:rPr>
          <w:rFonts w:cs="Arial"/>
          <w:b/>
          <w:sz w:val="22"/>
        </w:rPr>
        <w:t xml:space="preserve">SUMMARY OF SUBMISSIONS TO PORTFOLIO COMMITTEE ON JUSTICE AND CORRECTIONAL SERVICES ON THE </w:t>
      </w:r>
      <w:r w:rsidR="000D4AD4" w:rsidRPr="00A2154D">
        <w:rPr>
          <w:rFonts w:cs="Arial"/>
          <w:b/>
          <w:sz w:val="22"/>
        </w:rPr>
        <w:t>JUSTICE ADMINISTERED FUND BILL 26 OF 2015</w:t>
      </w:r>
      <w:r w:rsidR="00A2154D" w:rsidRPr="00A2154D">
        <w:rPr>
          <w:rFonts w:cs="Arial"/>
          <w:b/>
          <w:sz w:val="22"/>
        </w:rPr>
        <w:t xml:space="preserve"> </w:t>
      </w:r>
      <w:r w:rsidRPr="00A2154D">
        <w:rPr>
          <w:rFonts w:cs="Arial"/>
          <w:b/>
          <w:sz w:val="22"/>
        </w:rPr>
        <w:t>AND RESPONSE BY DEPARTMENT OF JUSTICE AND CONSTITUTIONAL DEVELOPMENT</w:t>
      </w:r>
    </w:p>
    <w:p w:rsidR="000619CB" w:rsidRPr="00A2154D" w:rsidRDefault="000619CB" w:rsidP="00A2154D">
      <w:pPr>
        <w:spacing w:line="240" w:lineRule="auto"/>
        <w:jc w:val="center"/>
        <w:rPr>
          <w:rFonts w:cs="Arial"/>
          <w:b/>
          <w:sz w:val="22"/>
        </w:rPr>
      </w:pPr>
    </w:p>
    <w:p w:rsidR="008B41E5" w:rsidRPr="00A2154D" w:rsidRDefault="008B41E5" w:rsidP="00A2154D">
      <w:pPr>
        <w:spacing w:line="240" w:lineRule="auto"/>
        <w:jc w:val="center"/>
        <w:rPr>
          <w:rFonts w:cs="Arial"/>
          <w:b/>
          <w:sz w:val="22"/>
        </w:rPr>
      </w:pPr>
      <w:r w:rsidRPr="00A2154D">
        <w:rPr>
          <w:rFonts w:cs="Arial"/>
          <w:b/>
          <w:sz w:val="22"/>
        </w:rPr>
        <w:t xml:space="preserve">Table 1 </w:t>
      </w:r>
      <w:r w:rsidR="000619CB" w:rsidRPr="00A2154D">
        <w:rPr>
          <w:rFonts w:cs="Arial"/>
          <w:b/>
          <w:sz w:val="22"/>
        </w:rPr>
        <w:t>reflects general recommendations and the DOJ</w:t>
      </w:r>
      <w:r w:rsidR="00A2154D">
        <w:rPr>
          <w:rFonts w:cs="Arial"/>
          <w:b/>
          <w:sz w:val="22"/>
        </w:rPr>
        <w:t>&amp;</w:t>
      </w:r>
      <w:r w:rsidR="000619CB" w:rsidRPr="00A2154D">
        <w:rPr>
          <w:rFonts w:cs="Arial"/>
          <w:b/>
          <w:sz w:val="22"/>
        </w:rPr>
        <w:t>CD’s response</w:t>
      </w:r>
    </w:p>
    <w:p w:rsidR="008B41E5" w:rsidRPr="00A2154D" w:rsidRDefault="008B41E5" w:rsidP="00A2154D">
      <w:pPr>
        <w:spacing w:line="240" w:lineRule="auto"/>
        <w:jc w:val="center"/>
        <w:rPr>
          <w:rFonts w:cs="Arial"/>
          <w:b/>
          <w:sz w:val="22"/>
        </w:rPr>
      </w:pPr>
      <w:r w:rsidRPr="00A2154D">
        <w:rPr>
          <w:rFonts w:cs="Arial"/>
          <w:b/>
          <w:sz w:val="22"/>
        </w:rPr>
        <w:t xml:space="preserve">Table 2 </w:t>
      </w:r>
      <w:r w:rsidR="000619CB" w:rsidRPr="00A2154D">
        <w:rPr>
          <w:rFonts w:cs="Arial"/>
          <w:b/>
          <w:sz w:val="22"/>
        </w:rPr>
        <w:t>provides a clause by clause summary of the submissions and the DOJCD’s response</w:t>
      </w:r>
    </w:p>
    <w:p w:rsidR="00A2154D" w:rsidRDefault="00A2154D" w:rsidP="00A2154D">
      <w:pPr>
        <w:spacing w:line="240" w:lineRule="auto"/>
        <w:jc w:val="center"/>
        <w:rPr>
          <w:rFonts w:cs="Arial"/>
          <w:b/>
          <w:sz w:val="22"/>
        </w:rPr>
      </w:pPr>
    </w:p>
    <w:p w:rsidR="003C368D" w:rsidRPr="00A2154D" w:rsidRDefault="008B41E5" w:rsidP="00A2154D">
      <w:pPr>
        <w:spacing w:line="240" w:lineRule="auto"/>
        <w:jc w:val="center"/>
        <w:rPr>
          <w:rFonts w:cs="Arial"/>
          <w:b/>
          <w:sz w:val="22"/>
        </w:rPr>
      </w:pPr>
      <w:r w:rsidRPr="00A2154D">
        <w:rPr>
          <w:rFonts w:cs="Arial"/>
          <w:b/>
          <w:sz w:val="22"/>
        </w:rPr>
        <w:t>TABLE 1</w:t>
      </w:r>
    </w:p>
    <w:tbl>
      <w:tblPr>
        <w:tblStyle w:val="TableGrid"/>
        <w:tblW w:w="14850" w:type="dxa"/>
        <w:tblInd w:w="-882" w:type="dxa"/>
        <w:tblLook w:val="04A0"/>
      </w:tblPr>
      <w:tblGrid>
        <w:gridCol w:w="3780"/>
        <w:gridCol w:w="5886"/>
        <w:gridCol w:w="5184"/>
      </w:tblGrid>
      <w:tr w:rsidR="000619CB" w:rsidRPr="00A2154D" w:rsidTr="000619CB">
        <w:tc>
          <w:tcPr>
            <w:tcW w:w="3780" w:type="dxa"/>
          </w:tcPr>
          <w:p w:rsidR="000619CB" w:rsidRPr="00A2154D" w:rsidRDefault="000619CB" w:rsidP="00A2154D">
            <w:pPr>
              <w:rPr>
                <w:rFonts w:cs="Arial"/>
                <w:b/>
                <w:sz w:val="22"/>
              </w:rPr>
            </w:pPr>
            <w:r w:rsidRPr="00A2154D">
              <w:rPr>
                <w:rFonts w:cs="Arial"/>
                <w:b/>
                <w:sz w:val="22"/>
              </w:rPr>
              <w:t>NAME OF DEPARTMENT/INSTITUTION</w:t>
            </w:r>
          </w:p>
        </w:tc>
        <w:tc>
          <w:tcPr>
            <w:tcW w:w="5886" w:type="dxa"/>
          </w:tcPr>
          <w:p w:rsidR="000619CB" w:rsidRPr="00A2154D" w:rsidRDefault="000619CB" w:rsidP="00A2154D">
            <w:pPr>
              <w:rPr>
                <w:rFonts w:cs="Arial"/>
                <w:b/>
                <w:sz w:val="22"/>
              </w:rPr>
            </w:pPr>
            <w:r w:rsidRPr="00A2154D">
              <w:rPr>
                <w:rFonts w:cs="Arial"/>
                <w:b/>
                <w:sz w:val="22"/>
              </w:rPr>
              <w:t>COMMENTS/RECOMMENDATIONS</w:t>
            </w:r>
          </w:p>
        </w:tc>
        <w:tc>
          <w:tcPr>
            <w:tcW w:w="5184" w:type="dxa"/>
          </w:tcPr>
          <w:p w:rsidR="000619CB" w:rsidRDefault="000619CB" w:rsidP="00A2154D">
            <w:pPr>
              <w:rPr>
                <w:rFonts w:cs="Arial"/>
                <w:b/>
                <w:sz w:val="22"/>
              </w:rPr>
            </w:pPr>
            <w:r w:rsidRPr="00A2154D">
              <w:rPr>
                <w:rFonts w:cs="Arial"/>
                <w:b/>
                <w:sz w:val="22"/>
              </w:rPr>
              <w:t>DOJ</w:t>
            </w:r>
            <w:r w:rsidR="00A2154D">
              <w:rPr>
                <w:rFonts w:cs="Arial"/>
                <w:b/>
                <w:sz w:val="22"/>
              </w:rPr>
              <w:t>&amp;</w:t>
            </w:r>
            <w:r w:rsidRPr="00A2154D">
              <w:rPr>
                <w:rFonts w:cs="Arial"/>
                <w:b/>
                <w:sz w:val="22"/>
              </w:rPr>
              <w:t>CD RESPONSE</w:t>
            </w:r>
          </w:p>
          <w:p w:rsidR="001D3B2F" w:rsidRPr="00914EB2" w:rsidRDefault="001D3B2F" w:rsidP="00A2154D">
            <w:pPr>
              <w:rPr>
                <w:rFonts w:cs="Arial"/>
                <w:i/>
                <w:sz w:val="22"/>
              </w:rPr>
            </w:pPr>
            <w:r w:rsidRPr="00914EB2">
              <w:rPr>
                <w:rFonts w:cs="Arial"/>
                <w:i/>
                <w:sz w:val="22"/>
              </w:rPr>
              <w:t>Absence of legal and accounting framework for the Third Party Fund (TPF) formerly known as "Deposit Account"</w:t>
            </w:r>
          </w:p>
        </w:tc>
      </w:tr>
      <w:tr w:rsidR="000D4AD4" w:rsidRPr="00A2154D" w:rsidTr="000619CB">
        <w:tc>
          <w:tcPr>
            <w:tcW w:w="3780" w:type="dxa"/>
          </w:tcPr>
          <w:p w:rsidR="000D4AD4" w:rsidRPr="00075282" w:rsidRDefault="000D4AD4" w:rsidP="00075282">
            <w:pPr>
              <w:pStyle w:val="Default"/>
              <w:rPr>
                <w:sz w:val="22"/>
                <w:szCs w:val="22"/>
              </w:rPr>
            </w:pPr>
            <w:r w:rsidRPr="00075282">
              <w:rPr>
                <w:sz w:val="22"/>
                <w:szCs w:val="22"/>
              </w:rPr>
              <w:t xml:space="preserve">The General Council for the Bar (‘the GCB’) </w:t>
            </w:r>
          </w:p>
          <w:p w:rsidR="000D4AD4" w:rsidRPr="00075282" w:rsidRDefault="000D4AD4" w:rsidP="00075282">
            <w:pPr>
              <w:jc w:val="left"/>
              <w:rPr>
                <w:rFonts w:cs="Arial"/>
                <w:b/>
                <w:sz w:val="22"/>
              </w:rPr>
            </w:pPr>
          </w:p>
        </w:tc>
        <w:tc>
          <w:tcPr>
            <w:tcW w:w="5886" w:type="dxa"/>
          </w:tcPr>
          <w:p w:rsidR="000D4AD4" w:rsidRPr="00075282" w:rsidRDefault="000D4AD4" w:rsidP="00075282">
            <w:pPr>
              <w:jc w:val="left"/>
              <w:rPr>
                <w:rFonts w:cs="Arial"/>
                <w:sz w:val="22"/>
              </w:rPr>
            </w:pPr>
            <w:r w:rsidRPr="00075282">
              <w:rPr>
                <w:rFonts w:cs="Arial"/>
                <w:sz w:val="22"/>
              </w:rPr>
              <w:t xml:space="preserve">No general </w:t>
            </w:r>
            <w:r w:rsidR="001848F4" w:rsidRPr="00075282">
              <w:rPr>
                <w:rFonts w:cs="Arial"/>
                <w:sz w:val="22"/>
              </w:rPr>
              <w:t>comments/</w:t>
            </w:r>
            <w:r w:rsidRPr="00075282">
              <w:rPr>
                <w:rFonts w:cs="Arial"/>
                <w:sz w:val="22"/>
              </w:rPr>
              <w:t>recommendations were made.</w:t>
            </w:r>
          </w:p>
        </w:tc>
        <w:tc>
          <w:tcPr>
            <w:tcW w:w="5184" w:type="dxa"/>
          </w:tcPr>
          <w:p w:rsidR="001D3B2F" w:rsidRPr="00075282" w:rsidRDefault="001D3B2F" w:rsidP="00075282">
            <w:pPr>
              <w:jc w:val="left"/>
              <w:rPr>
                <w:rFonts w:eastAsia="Times New Roman" w:cs="Arial"/>
                <w:b/>
                <w:sz w:val="22"/>
                <w:u w:val="single"/>
                <w:lang w:val="en-ZA" w:eastAsia="en-GB"/>
              </w:rPr>
            </w:pPr>
            <w:r w:rsidRPr="00075282">
              <w:rPr>
                <w:rFonts w:eastAsia="Times New Roman" w:cs="Arial"/>
                <w:b/>
                <w:sz w:val="22"/>
                <w:u w:val="single"/>
                <w:lang w:val="en-ZA" w:eastAsia="en-GB"/>
              </w:rPr>
              <w:t>History of "Deposit Account"</w:t>
            </w:r>
          </w:p>
          <w:p w:rsidR="001D3B2F" w:rsidRPr="00075282" w:rsidRDefault="001D3B2F" w:rsidP="00075282">
            <w:pPr>
              <w:jc w:val="left"/>
              <w:rPr>
                <w:rFonts w:eastAsia="Times New Roman" w:cs="Arial"/>
                <w:b/>
                <w:sz w:val="22"/>
                <w:u w:val="single"/>
                <w:lang w:val="en-ZA" w:eastAsia="en-GB"/>
              </w:rPr>
            </w:pPr>
            <w:r w:rsidRPr="00075282">
              <w:rPr>
                <w:rFonts w:eastAsia="Times New Roman" w:cs="Arial"/>
                <w:b/>
                <w:sz w:val="22"/>
                <w:u w:val="single"/>
                <w:lang w:val="en-ZA" w:eastAsia="en-GB"/>
              </w:rPr>
              <w:t>Exchequer Act, 1975 (Act No. 66 of 75) (old Act)</w:t>
            </w:r>
          </w:p>
          <w:p w:rsidR="00914EB2" w:rsidRPr="00075282" w:rsidRDefault="00914EB2" w:rsidP="00075282">
            <w:pPr>
              <w:jc w:val="left"/>
              <w:rPr>
                <w:rFonts w:eastAsia="Times New Roman" w:cs="Arial"/>
                <w:b/>
                <w:sz w:val="22"/>
                <w:u w:val="single"/>
                <w:lang w:val="en-ZA" w:eastAsia="en-GB"/>
              </w:rPr>
            </w:pPr>
          </w:p>
          <w:p w:rsidR="001D3B2F" w:rsidRPr="00075282" w:rsidRDefault="001D3B2F" w:rsidP="00075282">
            <w:pPr>
              <w:jc w:val="left"/>
              <w:rPr>
                <w:rFonts w:eastAsia="Times New Roman" w:cs="Arial"/>
                <w:b/>
                <w:sz w:val="22"/>
                <w:u w:val="single"/>
                <w:lang w:val="en-ZA" w:eastAsia="en-GB"/>
              </w:rPr>
            </w:pPr>
            <w:r w:rsidRPr="00075282">
              <w:rPr>
                <w:rFonts w:eastAsia="Times New Roman" w:cs="Arial"/>
                <w:b/>
                <w:sz w:val="22"/>
                <w:u w:val="single"/>
                <w:lang w:val="en-ZA" w:eastAsia="en-GB"/>
              </w:rPr>
              <w:t>The Department opened the following accounts:</w:t>
            </w:r>
          </w:p>
          <w:p w:rsidR="001D3B2F" w:rsidRPr="00075282" w:rsidRDefault="00436F98" w:rsidP="00075282">
            <w:pPr>
              <w:jc w:val="left"/>
              <w:rPr>
                <w:rFonts w:eastAsia="Times New Roman" w:cs="Arial"/>
                <w:sz w:val="22"/>
                <w:lang w:val="en-ZA" w:eastAsia="en-GB"/>
              </w:rPr>
            </w:pPr>
            <w:r w:rsidRPr="00075282">
              <w:rPr>
                <w:rFonts w:eastAsia="Times New Roman" w:cs="Arial"/>
                <w:sz w:val="22"/>
                <w:lang w:val="en-ZA" w:eastAsia="en-GB"/>
              </w:rPr>
              <w:t>1.</w:t>
            </w:r>
            <w:r w:rsidRPr="00075282">
              <w:rPr>
                <w:rFonts w:eastAsia="Times New Roman" w:cs="Arial"/>
                <w:sz w:val="22"/>
                <w:lang w:val="en-ZA" w:eastAsia="en-GB"/>
              </w:rPr>
              <w:tab/>
              <w:t xml:space="preserve">Vote account </w:t>
            </w:r>
          </w:p>
          <w:p w:rsidR="001D3B2F" w:rsidRPr="00075282" w:rsidRDefault="00436F98" w:rsidP="00075282">
            <w:pPr>
              <w:jc w:val="left"/>
              <w:rPr>
                <w:rFonts w:eastAsia="Times New Roman" w:cs="Arial"/>
                <w:sz w:val="22"/>
                <w:lang w:val="en-ZA" w:eastAsia="en-GB"/>
              </w:rPr>
            </w:pPr>
            <w:r w:rsidRPr="00075282">
              <w:rPr>
                <w:rFonts w:eastAsia="Times New Roman" w:cs="Arial"/>
                <w:sz w:val="22"/>
                <w:lang w:val="en-ZA" w:eastAsia="en-GB"/>
              </w:rPr>
              <w:t>2.</w:t>
            </w:r>
            <w:r w:rsidRPr="00075282">
              <w:rPr>
                <w:rFonts w:eastAsia="Times New Roman" w:cs="Arial"/>
                <w:sz w:val="22"/>
                <w:lang w:val="en-ZA" w:eastAsia="en-GB"/>
              </w:rPr>
              <w:tab/>
              <w:t xml:space="preserve">Guardians Fund </w:t>
            </w:r>
          </w:p>
          <w:p w:rsidR="001D3B2F" w:rsidRPr="00075282" w:rsidRDefault="001D3B2F" w:rsidP="00075282">
            <w:pPr>
              <w:ind w:left="714" w:hanging="714"/>
              <w:jc w:val="left"/>
              <w:rPr>
                <w:rFonts w:eastAsia="Times New Roman" w:cs="Arial"/>
                <w:sz w:val="22"/>
                <w:lang w:val="en-ZA" w:eastAsia="en-GB"/>
              </w:rPr>
            </w:pPr>
            <w:r w:rsidRPr="00075282">
              <w:rPr>
                <w:rFonts w:eastAsia="Times New Roman" w:cs="Arial"/>
                <w:sz w:val="22"/>
                <w:lang w:val="en-ZA" w:eastAsia="en-GB"/>
              </w:rPr>
              <w:t>3.</w:t>
            </w:r>
            <w:r w:rsidRPr="00075282">
              <w:rPr>
                <w:rFonts w:eastAsia="Times New Roman" w:cs="Arial"/>
                <w:sz w:val="22"/>
                <w:lang w:val="en-ZA" w:eastAsia="en-GB"/>
              </w:rPr>
              <w:tab/>
            </w:r>
            <w:r w:rsidRPr="00075282">
              <w:rPr>
                <w:rFonts w:eastAsia="Times New Roman" w:cs="Arial"/>
                <w:i/>
                <w:sz w:val="22"/>
                <w:lang w:val="en-ZA" w:eastAsia="en-GB"/>
              </w:rPr>
              <w:t>Deposit Account</w:t>
            </w:r>
            <w:r w:rsidR="00436F98" w:rsidRPr="00075282">
              <w:rPr>
                <w:rFonts w:eastAsia="Times New Roman" w:cs="Arial"/>
                <w:sz w:val="22"/>
                <w:lang w:val="en-ZA" w:eastAsia="en-GB"/>
              </w:rPr>
              <w:t xml:space="preserve"> (later known as </w:t>
            </w:r>
            <w:r w:rsidR="00F52FC0" w:rsidRPr="00075282">
              <w:rPr>
                <w:rFonts w:eastAsia="Times New Roman" w:cs="Arial"/>
                <w:sz w:val="22"/>
                <w:lang w:val="en-ZA" w:eastAsia="en-GB"/>
              </w:rPr>
              <w:t xml:space="preserve">Money in Trust </w:t>
            </w:r>
            <w:r w:rsidR="00E6075F" w:rsidRPr="00075282">
              <w:rPr>
                <w:rFonts w:eastAsia="Times New Roman" w:cs="Arial"/>
                <w:sz w:val="22"/>
                <w:lang w:val="en-ZA" w:eastAsia="en-GB"/>
              </w:rPr>
              <w:t xml:space="preserve">Fund, </w:t>
            </w:r>
            <w:r w:rsidR="0042411B" w:rsidRPr="00075282">
              <w:rPr>
                <w:rFonts w:eastAsia="Times New Roman" w:cs="Arial"/>
                <w:sz w:val="22"/>
                <w:lang w:val="en-ZA" w:eastAsia="en-GB"/>
              </w:rPr>
              <w:t xml:space="preserve">then </w:t>
            </w:r>
            <w:r w:rsidR="00436F98" w:rsidRPr="00075282">
              <w:rPr>
                <w:rFonts w:eastAsia="Times New Roman" w:cs="Arial"/>
                <w:sz w:val="22"/>
                <w:lang w:val="en-ZA" w:eastAsia="en-GB"/>
              </w:rPr>
              <w:t>Third Party Fund and now Justice Administered Fund)</w:t>
            </w:r>
          </w:p>
          <w:p w:rsidR="00914EB2" w:rsidRPr="00075282" w:rsidRDefault="00914EB2" w:rsidP="00075282">
            <w:pPr>
              <w:jc w:val="left"/>
              <w:rPr>
                <w:rFonts w:eastAsia="Times New Roman" w:cs="Arial"/>
                <w:sz w:val="22"/>
                <w:lang w:val="en-ZA" w:eastAsia="en-GB"/>
              </w:rPr>
            </w:pPr>
          </w:p>
          <w:p w:rsidR="001D3B2F" w:rsidRPr="00075282" w:rsidRDefault="001D3B2F" w:rsidP="00075282">
            <w:pPr>
              <w:numPr>
                <w:ilvl w:val="0"/>
                <w:numId w:val="17"/>
              </w:numPr>
              <w:jc w:val="left"/>
              <w:rPr>
                <w:rFonts w:eastAsia="Times New Roman" w:cs="Arial"/>
                <w:sz w:val="22"/>
                <w:lang w:val="en-ZA" w:eastAsia="en-GB"/>
              </w:rPr>
            </w:pPr>
            <w:r w:rsidRPr="00075282">
              <w:rPr>
                <w:rFonts w:eastAsia="Times New Roman" w:cs="Arial"/>
                <w:sz w:val="22"/>
                <w:lang w:val="en-ZA" w:eastAsia="en-GB"/>
              </w:rPr>
              <w:t xml:space="preserve">The Deposit Account was established by the Department of Justice </w:t>
            </w:r>
            <w:r w:rsidR="00CB560C" w:rsidRPr="00075282">
              <w:rPr>
                <w:rFonts w:eastAsia="Times New Roman" w:cs="Arial"/>
                <w:sz w:val="22"/>
                <w:lang w:val="en-ZA" w:eastAsia="en-GB"/>
              </w:rPr>
              <w:t xml:space="preserve">by virtue of </w:t>
            </w:r>
            <w:r w:rsidRPr="00075282">
              <w:rPr>
                <w:rFonts w:eastAsia="Times New Roman" w:cs="Arial"/>
                <w:sz w:val="22"/>
                <w:lang w:val="en-ZA" w:eastAsia="en-GB"/>
              </w:rPr>
              <w:t>the Treasury in terms of section 11A of the repealed Exchequer Act, No. 66 of 1975 (the Act).</w:t>
            </w:r>
          </w:p>
          <w:p w:rsidR="001D3B2F" w:rsidRPr="00075282" w:rsidRDefault="001D3B2F" w:rsidP="00075282">
            <w:pPr>
              <w:ind w:firstLine="720"/>
              <w:jc w:val="left"/>
              <w:rPr>
                <w:rFonts w:eastAsia="Times New Roman" w:cs="Arial"/>
                <w:sz w:val="22"/>
                <w:lang w:val="en-ZA" w:eastAsia="en-GB"/>
              </w:rPr>
            </w:pPr>
            <w:r w:rsidRPr="00075282">
              <w:rPr>
                <w:rFonts w:eastAsia="Times New Roman" w:cs="Arial"/>
                <w:sz w:val="22"/>
                <w:lang w:val="en-ZA" w:eastAsia="en-GB"/>
              </w:rPr>
              <w:t xml:space="preserve"> </w:t>
            </w:r>
          </w:p>
          <w:p w:rsidR="001D3B2F" w:rsidRPr="00075282" w:rsidRDefault="001D3B2F" w:rsidP="00075282">
            <w:pPr>
              <w:numPr>
                <w:ilvl w:val="0"/>
                <w:numId w:val="18"/>
              </w:numPr>
              <w:jc w:val="left"/>
              <w:rPr>
                <w:rFonts w:eastAsia="Times New Roman" w:cs="Arial"/>
                <w:b/>
                <w:sz w:val="22"/>
                <w:lang w:val="en-ZA" w:eastAsia="en-GB"/>
              </w:rPr>
            </w:pPr>
            <w:r w:rsidRPr="00075282">
              <w:rPr>
                <w:rFonts w:eastAsia="Times New Roman" w:cs="Arial"/>
                <w:sz w:val="22"/>
                <w:lang w:val="en-ZA" w:eastAsia="en-GB"/>
              </w:rPr>
              <w:t xml:space="preserve">The operating of the Deposit Account was prescribed by the repealed Departmental code “Accounts”, and the following deposits were dealt with </w:t>
            </w:r>
            <w:r w:rsidR="00914EB2" w:rsidRPr="00075282">
              <w:rPr>
                <w:rFonts w:eastAsia="Times New Roman" w:cs="Arial"/>
                <w:b/>
                <w:sz w:val="22"/>
                <w:lang w:val="en-ZA" w:eastAsia="en-GB"/>
              </w:rPr>
              <w:t>(</w:t>
            </w:r>
            <w:r w:rsidRPr="00075282">
              <w:rPr>
                <w:rFonts w:eastAsia="Times New Roman" w:cs="Arial"/>
                <w:b/>
                <w:sz w:val="22"/>
                <w:lang w:val="en-ZA" w:eastAsia="en-GB"/>
              </w:rPr>
              <w:t>Instruction 51):</w:t>
            </w:r>
          </w:p>
          <w:p w:rsidR="00433207" w:rsidRPr="00075282" w:rsidRDefault="001D3B2F" w:rsidP="00075282">
            <w:pPr>
              <w:ind w:left="1139" w:hanging="572"/>
              <w:jc w:val="left"/>
              <w:rPr>
                <w:rFonts w:eastAsia="Times New Roman" w:cs="Arial"/>
                <w:sz w:val="22"/>
                <w:lang w:val="en-ZA" w:eastAsia="en-GB"/>
              </w:rPr>
            </w:pPr>
            <w:r w:rsidRPr="00075282">
              <w:rPr>
                <w:rFonts w:eastAsia="Times New Roman" w:cs="Arial"/>
                <w:sz w:val="22"/>
                <w:lang w:val="en-ZA" w:eastAsia="en-GB"/>
              </w:rPr>
              <w:t>(a)</w:t>
            </w:r>
            <w:r w:rsidRPr="00075282">
              <w:rPr>
                <w:rFonts w:eastAsia="Times New Roman" w:cs="Arial"/>
                <w:sz w:val="22"/>
                <w:lang w:val="en-ZA" w:eastAsia="en-GB"/>
              </w:rPr>
              <w:tab/>
            </w:r>
            <w:r w:rsidRPr="00075282">
              <w:rPr>
                <w:rFonts w:eastAsia="Times New Roman" w:cs="Arial"/>
                <w:i/>
                <w:sz w:val="22"/>
                <w:lang w:val="en-ZA" w:eastAsia="en-GB"/>
              </w:rPr>
              <w:t>General:</w:t>
            </w:r>
          </w:p>
          <w:p w:rsidR="00433207" w:rsidRPr="00075282" w:rsidRDefault="001D3B2F" w:rsidP="00075282">
            <w:pPr>
              <w:pStyle w:val="ListParagraph"/>
              <w:numPr>
                <w:ilvl w:val="0"/>
                <w:numId w:val="23"/>
              </w:numPr>
              <w:ind w:hanging="578"/>
              <w:jc w:val="left"/>
              <w:rPr>
                <w:rFonts w:eastAsia="Times New Roman" w:cs="Arial"/>
                <w:sz w:val="22"/>
                <w:lang w:val="en-ZA" w:eastAsia="en-GB"/>
              </w:rPr>
            </w:pPr>
            <w:r w:rsidRPr="00075282">
              <w:rPr>
                <w:rFonts w:eastAsia="Times New Roman" w:cs="Arial"/>
                <w:sz w:val="22"/>
                <w:lang w:val="en-ZA" w:eastAsia="en-GB"/>
              </w:rPr>
              <w:t>Moneys received which cou</w:t>
            </w:r>
            <w:r w:rsidR="00433207" w:rsidRPr="00075282">
              <w:rPr>
                <w:rFonts w:eastAsia="Times New Roman" w:cs="Arial"/>
                <w:sz w:val="22"/>
                <w:lang w:val="en-ZA" w:eastAsia="en-GB"/>
              </w:rPr>
              <w:t>ld not be allocated immediately.</w:t>
            </w:r>
          </w:p>
          <w:p w:rsidR="00433207" w:rsidRPr="00075282" w:rsidRDefault="001D3B2F" w:rsidP="00075282">
            <w:pPr>
              <w:pStyle w:val="ListParagraph"/>
              <w:numPr>
                <w:ilvl w:val="0"/>
                <w:numId w:val="23"/>
              </w:numPr>
              <w:ind w:hanging="578"/>
              <w:jc w:val="left"/>
              <w:rPr>
                <w:rFonts w:eastAsia="Times New Roman" w:cs="Arial"/>
                <w:sz w:val="22"/>
                <w:lang w:val="en-ZA" w:eastAsia="en-GB"/>
              </w:rPr>
            </w:pPr>
            <w:r w:rsidRPr="00075282">
              <w:rPr>
                <w:rFonts w:eastAsia="Times New Roman" w:cs="Arial"/>
                <w:sz w:val="22"/>
                <w:lang w:val="en-ZA" w:eastAsia="en-GB"/>
              </w:rPr>
              <w:t>Estate moneys regardi</w:t>
            </w:r>
            <w:r w:rsidR="00E6075F" w:rsidRPr="00075282">
              <w:rPr>
                <w:rFonts w:eastAsia="Times New Roman" w:cs="Arial"/>
                <w:sz w:val="22"/>
                <w:lang w:val="en-ZA" w:eastAsia="en-GB"/>
              </w:rPr>
              <w:t xml:space="preserve">ng estates administered by </w:t>
            </w:r>
            <w:r w:rsidR="00CB560C" w:rsidRPr="00075282">
              <w:rPr>
                <w:rFonts w:eastAsia="Times New Roman" w:cs="Arial"/>
                <w:sz w:val="22"/>
                <w:lang w:val="en-ZA" w:eastAsia="en-GB"/>
              </w:rPr>
              <w:t>m</w:t>
            </w:r>
            <w:r w:rsidR="00E6075F" w:rsidRPr="00075282">
              <w:rPr>
                <w:rFonts w:eastAsia="Times New Roman" w:cs="Arial"/>
                <w:sz w:val="22"/>
                <w:lang w:val="en-ZA" w:eastAsia="en-GB"/>
              </w:rPr>
              <w:t>agi</w:t>
            </w:r>
            <w:r w:rsidRPr="00075282">
              <w:rPr>
                <w:rFonts w:eastAsia="Times New Roman" w:cs="Arial"/>
                <w:sz w:val="22"/>
                <w:lang w:val="en-ZA" w:eastAsia="en-GB"/>
              </w:rPr>
              <w:t xml:space="preserve">strates in terms </w:t>
            </w:r>
            <w:r w:rsidRPr="00075282">
              <w:rPr>
                <w:rFonts w:eastAsia="Times New Roman" w:cs="Arial"/>
                <w:sz w:val="22"/>
                <w:lang w:val="en-ZA" w:eastAsia="en-GB"/>
              </w:rPr>
              <w:lastRenderedPageBreak/>
              <w:t>of R.200 of 1987.</w:t>
            </w:r>
          </w:p>
          <w:p w:rsidR="001D3B2F" w:rsidRPr="00075282" w:rsidRDefault="001D3B2F" w:rsidP="00075282">
            <w:pPr>
              <w:pStyle w:val="ListParagraph"/>
              <w:numPr>
                <w:ilvl w:val="0"/>
                <w:numId w:val="23"/>
              </w:numPr>
              <w:ind w:hanging="578"/>
              <w:jc w:val="left"/>
              <w:rPr>
                <w:rFonts w:eastAsia="Times New Roman" w:cs="Arial"/>
                <w:sz w:val="22"/>
                <w:lang w:val="en-ZA" w:eastAsia="en-GB"/>
              </w:rPr>
            </w:pPr>
            <w:r w:rsidRPr="00075282">
              <w:rPr>
                <w:rFonts w:eastAsia="Times New Roman" w:cs="Arial"/>
                <w:sz w:val="22"/>
                <w:lang w:val="en-ZA" w:eastAsia="en-GB"/>
              </w:rPr>
              <w:t>Moneys paid as compensation as a condition of a suspended sentence [section 297(4) of the Criminal Procedure Act, No. 51 of 1977 (CPA)].</w:t>
            </w:r>
          </w:p>
          <w:p w:rsidR="00E7436F" w:rsidRPr="00075282" w:rsidRDefault="001D3B2F" w:rsidP="00075282">
            <w:pPr>
              <w:ind w:left="1139" w:hanging="599"/>
              <w:jc w:val="left"/>
              <w:rPr>
                <w:rFonts w:eastAsia="Times New Roman" w:cs="Arial"/>
                <w:sz w:val="22"/>
                <w:lang w:val="en-ZA" w:eastAsia="en-GB"/>
              </w:rPr>
            </w:pPr>
            <w:r w:rsidRPr="00075282">
              <w:rPr>
                <w:rFonts w:eastAsia="Times New Roman" w:cs="Arial"/>
                <w:sz w:val="22"/>
                <w:lang w:val="en-ZA" w:eastAsia="en-GB"/>
              </w:rPr>
              <w:t>(b)</w:t>
            </w:r>
            <w:r w:rsidRPr="00075282">
              <w:rPr>
                <w:rFonts w:eastAsia="Times New Roman" w:cs="Arial"/>
                <w:sz w:val="22"/>
                <w:lang w:val="en-ZA" w:eastAsia="en-GB"/>
              </w:rPr>
              <w:tab/>
            </w:r>
            <w:r w:rsidRPr="00075282">
              <w:rPr>
                <w:rFonts w:eastAsia="Times New Roman" w:cs="Arial"/>
                <w:i/>
                <w:sz w:val="22"/>
                <w:lang w:val="en-ZA" w:eastAsia="en-GB"/>
              </w:rPr>
              <w:t>Bail:</w:t>
            </w:r>
          </w:p>
          <w:p w:rsidR="001D3B2F" w:rsidRPr="00075282" w:rsidRDefault="001D3B2F" w:rsidP="00075282">
            <w:pPr>
              <w:ind w:left="1139"/>
              <w:jc w:val="left"/>
              <w:rPr>
                <w:rFonts w:eastAsia="Times New Roman" w:cs="Arial"/>
                <w:sz w:val="22"/>
                <w:lang w:val="en-ZA" w:eastAsia="en-GB"/>
              </w:rPr>
            </w:pPr>
            <w:r w:rsidRPr="00075282">
              <w:rPr>
                <w:rFonts w:eastAsia="Times New Roman" w:cs="Arial"/>
                <w:sz w:val="22"/>
                <w:lang w:val="en-ZA" w:eastAsia="en-GB"/>
              </w:rPr>
              <w:t>Moneys determined by police before first appearance of accused [section 59 of the (CPA</w:t>
            </w:r>
            <w:r w:rsidR="00E6075F" w:rsidRPr="00075282">
              <w:rPr>
                <w:rFonts w:eastAsia="Times New Roman" w:cs="Arial"/>
                <w:sz w:val="22"/>
                <w:lang w:val="en-ZA" w:eastAsia="en-GB"/>
              </w:rPr>
              <w:t xml:space="preserve">)]; </w:t>
            </w:r>
            <w:r w:rsidR="00E7436F" w:rsidRPr="00075282">
              <w:rPr>
                <w:rFonts w:eastAsia="Times New Roman" w:cs="Arial"/>
                <w:sz w:val="22"/>
                <w:lang w:val="en-ZA" w:eastAsia="en-GB"/>
              </w:rPr>
              <w:t>Director of Public Prosecu</w:t>
            </w:r>
            <w:r w:rsidRPr="00075282">
              <w:rPr>
                <w:rFonts w:eastAsia="Times New Roman" w:cs="Arial"/>
                <w:sz w:val="22"/>
                <w:lang w:val="en-ZA" w:eastAsia="en-GB"/>
              </w:rPr>
              <w:t>tion</w:t>
            </w:r>
            <w:r w:rsidR="00E7436F" w:rsidRPr="00075282">
              <w:rPr>
                <w:rFonts w:eastAsia="Times New Roman" w:cs="Arial"/>
                <w:sz w:val="22"/>
                <w:lang w:val="en-ZA" w:eastAsia="en-GB"/>
              </w:rPr>
              <w:t>s</w:t>
            </w:r>
            <w:r w:rsidRPr="00075282">
              <w:rPr>
                <w:rFonts w:eastAsia="Times New Roman" w:cs="Arial"/>
                <w:sz w:val="22"/>
                <w:lang w:val="en-ZA" w:eastAsia="en-GB"/>
              </w:rPr>
              <w:t xml:space="preserve"> (section 59A of the CPA), or court (section 60 of the CPA) for the release from custody.</w:t>
            </w:r>
          </w:p>
          <w:p w:rsidR="00E7436F" w:rsidRPr="00075282" w:rsidRDefault="001D3B2F" w:rsidP="00075282">
            <w:pPr>
              <w:ind w:left="1139" w:hanging="599"/>
              <w:jc w:val="left"/>
              <w:rPr>
                <w:rFonts w:eastAsia="Times New Roman" w:cs="Arial"/>
                <w:sz w:val="22"/>
                <w:lang w:val="en-ZA" w:eastAsia="en-GB"/>
              </w:rPr>
            </w:pPr>
            <w:r w:rsidRPr="00075282">
              <w:rPr>
                <w:rFonts w:eastAsia="Times New Roman" w:cs="Arial"/>
                <w:sz w:val="22"/>
                <w:lang w:val="en-ZA" w:eastAsia="en-GB"/>
              </w:rPr>
              <w:t>(c)</w:t>
            </w:r>
            <w:r w:rsidRPr="00075282">
              <w:rPr>
                <w:rFonts w:eastAsia="Times New Roman" w:cs="Arial"/>
                <w:sz w:val="22"/>
                <w:lang w:val="en-ZA" w:eastAsia="en-GB"/>
              </w:rPr>
              <w:tab/>
            </w:r>
            <w:r w:rsidRPr="00075282">
              <w:rPr>
                <w:rFonts w:eastAsia="Times New Roman" w:cs="Arial"/>
                <w:i/>
                <w:sz w:val="22"/>
                <w:lang w:val="en-ZA" w:eastAsia="en-GB"/>
              </w:rPr>
              <w:t>Fines:</w:t>
            </w:r>
          </w:p>
          <w:p w:rsidR="001D3B2F" w:rsidRPr="00075282" w:rsidRDefault="001D3B2F" w:rsidP="00075282">
            <w:pPr>
              <w:ind w:left="1139"/>
              <w:jc w:val="left"/>
              <w:rPr>
                <w:rFonts w:eastAsia="Times New Roman" w:cs="Arial"/>
                <w:sz w:val="22"/>
                <w:lang w:val="en-ZA" w:eastAsia="en-GB"/>
              </w:rPr>
            </w:pPr>
            <w:r w:rsidRPr="00075282">
              <w:rPr>
                <w:rFonts w:eastAsia="Times New Roman" w:cs="Arial"/>
                <w:sz w:val="22"/>
                <w:lang w:val="en-ZA" w:eastAsia="en-GB"/>
              </w:rPr>
              <w:t>Moneys paid as fines as admission of guilt (sections 57 and 57A of the CPA) or court fine (section 276(f) of the CPA).</w:t>
            </w:r>
          </w:p>
          <w:p w:rsidR="00E7436F" w:rsidRPr="00075282" w:rsidRDefault="001D3B2F" w:rsidP="00075282">
            <w:pPr>
              <w:ind w:left="1139" w:hanging="599"/>
              <w:jc w:val="left"/>
              <w:rPr>
                <w:rFonts w:eastAsia="Times New Roman" w:cs="Arial"/>
                <w:sz w:val="22"/>
                <w:lang w:val="en-ZA" w:eastAsia="en-GB"/>
              </w:rPr>
            </w:pPr>
            <w:r w:rsidRPr="00075282">
              <w:rPr>
                <w:rFonts w:eastAsia="Times New Roman" w:cs="Arial"/>
                <w:sz w:val="22"/>
                <w:lang w:val="en-ZA" w:eastAsia="en-GB"/>
              </w:rPr>
              <w:t>(d)</w:t>
            </w:r>
            <w:r w:rsidRPr="00075282">
              <w:rPr>
                <w:rFonts w:eastAsia="Times New Roman" w:cs="Arial"/>
                <w:sz w:val="22"/>
                <w:lang w:val="en-ZA" w:eastAsia="en-GB"/>
              </w:rPr>
              <w:tab/>
            </w:r>
            <w:r w:rsidRPr="00075282">
              <w:rPr>
                <w:rFonts w:eastAsia="Times New Roman" w:cs="Arial"/>
                <w:i/>
                <w:sz w:val="22"/>
                <w:lang w:val="en-ZA" w:eastAsia="en-GB"/>
              </w:rPr>
              <w:t>Maintenance:</w:t>
            </w:r>
          </w:p>
          <w:p w:rsidR="001D3B2F" w:rsidRPr="00075282" w:rsidRDefault="001D3B2F" w:rsidP="00075282">
            <w:pPr>
              <w:ind w:left="1139"/>
              <w:jc w:val="left"/>
              <w:rPr>
                <w:rFonts w:eastAsia="Times New Roman" w:cs="Arial"/>
                <w:sz w:val="22"/>
                <w:lang w:val="en-ZA" w:eastAsia="en-GB"/>
              </w:rPr>
            </w:pPr>
            <w:r w:rsidRPr="00075282">
              <w:rPr>
                <w:rFonts w:eastAsia="Times New Roman" w:cs="Arial"/>
                <w:sz w:val="22"/>
                <w:lang w:val="en-ZA" w:eastAsia="en-GB"/>
              </w:rPr>
              <w:t xml:space="preserve">Moneys paid in terms of a maintenance order by a court in terms of section 16 of the Maintenance Act, No. 99 of 1998 to the </w:t>
            </w:r>
            <w:r w:rsidR="00CB560C" w:rsidRPr="00075282">
              <w:rPr>
                <w:rFonts w:eastAsia="Times New Roman" w:cs="Arial"/>
                <w:sz w:val="22"/>
                <w:lang w:val="en-ZA" w:eastAsia="en-GB"/>
              </w:rPr>
              <w:t>c</w:t>
            </w:r>
            <w:r w:rsidRPr="00075282">
              <w:rPr>
                <w:rFonts w:eastAsia="Times New Roman" w:cs="Arial"/>
                <w:sz w:val="22"/>
                <w:lang w:val="en-ZA" w:eastAsia="en-GB"/>
              </w:rPr>
              <w:t xml:space="preserve">lerk of the </w:t>
            </w:r>
            <w:r w:rsidR="00CB560C" w:rsidRPr="00075282">
              <w:rPr>
                <w:rFonts w:eastAsia="Times New Roman" w:cs="Arial"/>
                <w:sz w:val="22"/>
                <w:lang w:val="en-ZA" w:eastAsia="en-GB"/>
              </w:rPr>
              <w:t>c</w:t>
            </w:r>
            <w:r w:rsidRPr="00075282">
              <w:rPr>
                <w:rFonts w:eastAsia="Times New Roman" w:cs="Arial"/>
                <w:sz w:val="22"/>
                <w:lang w:val="en-ZA" w:eastAsia="en-GB"/>
              </w:rPr>
              <w:t>ourt/</w:t>
            </w:r>
            <w:r w:rsidR="00CB560C" w:rsidRPr="00075282">
              <w:rPr>
                <w:rFonts w:eastAsia="Times New Roman" w:cs="Arial"/>
                <w:sz w:val="22"/>
                <w:lang w:val="en-ZA" w:eastAsia="en-GB"/>
              </w:rPr>
              <w:t>m</w:t>
            </w:r>
            <w:r w:rsidRPr="00075282">
              <w:rPr>
                <w:rFonts w:eastAsia="Times New Roman" w:cs="Arial"/>
                <w:sz w:val="22"/>
                <w:lang w:val="en-ZA" w:eastAsia="en-GB"/>
              </w:rPr>
              <w:t>ainte</w:t>
            </w:r>
            <w:r w:rsidR="00433207" w:rsidRPr="00075282">
              <w:rPr>
                <w:rFonts w:eastAsia="Times New Roman" w:cs="Arial"/>
                <w:sz w:val="22"/>
                <w:lang w:val="en-ZA" w:eastAsia="en-GB"/>
              </w:rPr>
              <w:t xml:space="preserve">nance </w:t>
            </w:r>
            <w:r w:rsidR="00CB560C" w:rsidRPr="00075282">
              <w:rPr>
                <w:rFonts w:eastAsia="Times New Roman" w:cs="Arial"/>
                <w:sz w:val="22"/>
                <w:lang w:val="en-ZA" w:eastAsia="en-GB"/>
              </w:rPr>
              <w:t>o</w:t>
            </w:r>
            <w:r w:rsidR="00433207" w:rsidRPr="00075282">
              <w:rPr>
                <w:rFonts w:eastAsia="Times New Roman" w:cs="Arial"/>
                <w:sz w:val="22"/>
                <w:lang w:val="en-ZA" w:eastAsia="en-GB"/>
              </w:rPr>
              <w:t>fficer (Section 16 deter</w:t>
            </w:r>
            <w:r w:rsidRPr="00075282">
              <w:rPr>
                <w:rFonts w:eastAsia="Times New Roman" w:cs="Arial"/>
                <w:sz w:val="22"/>
                <w:lang w:val="en-ZA" w:eastAsia="en-GB"/>
              </w:rPr>
              <w:t>mines that the court may direct that payments be made to other persons/organisations/financial instructions, etc.)</w:t>
            </w:r>
          </w:p>
          <w:p w:rsidR="00436F98" w:rsidRPr="00075282" w:rsidRDefault="00436F98" w:rsidP="00075282">
            <w:pPr>
              <w:jc w:val="left"/>
              <w:rPr>
                <w:rFonts w:eastAsia="Times New Roman" w:cs="Arial"/>
                <w:b/>
                <w:sz w:val="22"/>
                <w:lang w:val="en-ZA" w:eastAsia="en-GB"/>
              </w:rPr>
            </w:pPr>
          </w:p>
          <w:p w:rsidR="001D3B2F" w:rsidRPr="00075282" w:rsidRDefault="001D3B2F" w:rsidP="00075282">
            <w:pPr>
              <w:jc w:val="left"/>
              <w:rPr>
                <w:rFonts w:eastAsia="Times New Roman" w:cs="Arial"/>
                <w:b/>
                <w:sz w:val="22"/>
                <w:lang w:val="en-ZA" w:eastAsia="en-GB"/>
              </w:rPr>
            </w:pPr>
            <w:r w:rsidRPr="00075282">
              <w:rPr>
                <w:rFonts w:eastAsia="Times New Roman" w:cs="Arial"/>
                <w:b/>
                <w:sz w:val="22"/>
                <w:lang w:val="en-ZA" w:eastAsia="en-GB"/>
              </w:rPr>
              <w:t>New legislation</w:t>
            </w:r>
          </w:p>
          <w:p w:rsidR="001D3B2F" w:rsidRPr="00075282" w:rsidRDefault="001D3B2F" w:rsidP="00075282">
            <w:pPr>
              <w:jc w:val="left"/>
              <w:rPr>
                <w:rFonts w:eastAsia="Times New Roman" w:cs="Arial"/>
                <w:b/>
                <w:sz w:val="22"/>
                <w:lang w:val="en-ZA" w:eastAsia="en-GB"/>
              </w:rPr>
            </w:pPr>
            <w:r w:rsidRPr="00075282">
              <w:rPr>
                <w:rFonts w:eastAsia="Times New Roman" w:cs="Arial"/>
                <w:b/>
                <w:sz w:val="22"/>
                <w:lang w:val="en-ZA" w:eastAsia="en-GB"/>
              </w:rPr>
              <w:t>PMFA, 1999 (Act No. 1 of 1999)(new Act)</w:t>
            </w:r>
          </w:p>
          <w:p w:rsidR="00436F98" w:rsidRPr="00075282" w:rsidRDefault="00436F98" w:rsidP="00075282">
            <w:pPr>
              <w:jc w:val="left"/>
              <w:rPr>
                <w:rFonts w:eastAsia="Times New Roman" w:cs="Arial"/>
                <w:b/>
                <w:color w:val="000000"/>
                <w:sz w:val="22"/>
                <w:lang w:val="en-GB" w:eastAsia="en-GB"/>
              </w:rPr>
            </w:pPr>
          </w:p>
          <w:p w:rsidR="001D3B2F" w:rsidRPr="00075282" w:rsidRDefault="001D3B2F" w:rsidP="00075282">
            <w:pPr>
              <w:jc w:val="left"/>
              <w:rPr>
                <w:rFonts w:eastAsia="Times New Roman" w:cs="Arial"/>
                <w:bCs/>
                <w:sz w:val="22"/>
                <w:lang w:val="en-GB" w:eastAsia="en-GB"/>
              </w:rPr>
            </w:pPr>
            <w:r w:rsidRPr="00075282">
              <w:rPr>
                <w:rFonts w:eastAsia="Times New Roman" w:cs="Arial"/>
                <w:b/>
                <w:color w:val="000000"/>
                <w:sz w:val="22"/>
                <w:lang w:val="en-GB" w:eastAsia="en-GB"/>
              </w:rPr>
              <w:t>Sec 13</w:t>
            </w:r>
            <w:r w:rsidRPr="00075282">
              <w:rPr>
                <w:rFonts w:eastAsia="Times New Roman" w:cs="Arial"/>
                <w:color w:val="000000"/>
                <w:sz w:val="22"/>
                <w:lang w:val="en-GB" w:eastAsia="en-GB"/>
              </w:rPr>
              <w:t xml:space="preserve"> of the new Act provides that </w:t>
            </w:r>
            <w:r w:rsidRPr="00075282">
              <w:rPr>
                <w:rFonts w:eastAsia="Times New Roman" w:cs="Arial"/>
                <w:sz w:val="22"/>
                <w:lang w:val="en-GB" w:eastAsia="en-GB"/>
              </w:rPr>
              <w:t xml:space="preserve">all money received by the national government must be paid into the National Revenue Fund, except money received by- </w:t>
            </w:r>
          </w:p>
          <w:p w:rsidR="00914EB2" w:rsidRPr="00075282" w:rsidRDefault="00914EB2" w:rsidP="00075282">
            <w:pPr>
              <w:pStyle w:val="ListParagraph"/>
              <w:numPr>
                <w:ilvl w:val="0"/>
                <w:numId w:val="25"/>
              </w:numPr>
              <w:ind w:left="572" w:hanging="572"/>
              <w:jc w:val="left"/>
              <w:rPr>
                <w:rFonts w:eastAsia="Times New Roman" w:cs="Arial"/>
                <w:bCs/>
                <w:sz w:val="22"/>
                <w:lang w:val="en-GB" w:eastAsia="en-GB"/>
              </w:rPr>
            </w:pPr>
            <w:r w:rsidRPr="00075282">
              <w:rPr>
                <w:rFonts w:eastAsia="Times New Roman" w:cs="Arial"/>
                <w:sz w:val="22"/>
                <w:lang w:val="en-GB" w:eastAsia="en-GB"/>
              </w:rPr>
              <w:t>......</w:t>
            </w:r>
          </w:p>
          <w:p w:rsidR="00914EB2" w:rsidRPr="00075282" w:rsidRDefault="00914EB2" w:rsidP="00075282">
            <w:pPr>
              <w:pStyle w:val="ListParagraph"/>
              <w:numPr>
                <w:ilvl w:val="0"/>
                <w:numId w:val="25"/>
              </w:numPr>
              <w:ind w:left="572" w:hanging="572"/>
              <w:jc w:val="left"/>
              <w:rPr>
                <w:rFonts w:eastAsia="Times New Roman" w:cs="Arial"/>
                <w:bCs/>
                <w:sz w:val="22"/>
                <w:lang w:val="en-GB" w:eastAsia="en-GB"/>
              </w:rPr>
            </w:pPr>
            <w:r w:rsidRPr="00075282">
              <w:rPr>
                <w:rFonts w:eastAsia="Times New Roman" w:cs="Arial"/>
                <w:sz w:val="22"/>
                <w:lang w:val="en-GB" w:eastAsia="en-GB"/>
              </w:rPr>
              <w:t>a national public entity;</w:t>
            </w:r>
          </w:p>
          <w:p w:rsidR="00914EB2" w:rsidRPr="00075282" w:rsidRDefault="00914EB2" w:rsidP="00075282">
            <w:pPr>
              <w:pStyle w:val="ListParagraph"/>
              <w:numPr>
                <w:ilvl w:val="0"/>
                <w:numId w:val="25"/>
              </w:numPr>
              <w:ind w:left="572" w:hanging="572"/>
              <w:jc w:val="left"/>
              <w:rPr>
                <w:rFonts w:eastAsia="Times New Roman" w:cs="Arial"/>
                <w:bCs/>
                <w:sz w:val="22"/>
                <w:lang w:val="en-GB" w:eastAsia="en-GB"/>
              </w:rPr>
            </w:pPr>
            <w:r w:rsidRPr="00075282">
              <w:rPr>
                <w:rFonts w:eastAsia="Times New Roman" w:cs="Arial"/>
                <w:sz w:val="22"/>
                <w:lang w:val="en-GB" w:eastAsia="en-GB"/>
              </w:rPr>
              <w:lastRenderedPageBreak/>
              <w:t>the South African Reserve Bank;</w:t>
            </w:r>
          </w:p>
          <w:p w:rsidR="00796D6F" w:rsidRPr="00075282" w:rsidRDefault="00796D6F" w:rsidP="00075282">
            <w:pPr>
              <w:pStyle w:val="ListParagraph"/>
              <w:numPr>
                <w:ilvl w:val="0"/>
                <w:numId w:val="25"/>
              </w:numPr>
              <w:ind w:left="572" w:hanging="572"/>
              <w:jc w:val="left"/>
              <w:rPr>
                <w:rFonts w:eastAsia="Times New Roman" w:cs="Arial"/>
                <w:bCs/>
                <w:sz w:val="22"/>
                <w:lang w:val="en-GB" w:eastAsia="en-GB"/>
              </w:rPr>
            </w:pPr>
            <w:r w:rsidRPr="00075282">
              <w:rPr>
                <w:rFonts w:eastAsia="Times New Roman" w:cs="Arial"/>
                <w:sz w:val="22"/>
                <w:lang w:val="en-GB" w:eastAsia="en-GB"/>
              </w:rPr>
              <w:t>the Auditor-General;</w:t>
            </w:r>
          </w:p>
          <w:p w:rsidR="00796D6F" w:rsidRPr="00075282" w:rsidRDefault="001D3B2F" w:rsidP="00075282">
            <w:pPr>
              <w:pStyle w:val="ListParagraph"/>
              <w:numPr>
                <w:ilvl w:val="0"/>
                <w:numId w:val="25"/>
              </w:numPr>
              <w:ind w:left="572" w:hanging="572"/>
              <w:jc w:val="left"/>
              <w:rPr>
                <w:rFonts w:eastAsia="Times New Roman" w:cs="Arial"/>
                <w:bCs/>
                <w:sz w:val="22"/>
                <w:lang w:val="en-GB" w:eastAsia="en-GB"/>
              </w:rPr>
            </w:pPr>
            <w:r w:rsidRPr="00075282">
              <w:rPr>
                <w:rFonts w:eastAsia="Times New Roman" w:cs="Arial"/>
                <w:sz w:val="22"/>
                <w:lang w:val="en-GB" w:eastAsia="en-GB"/>
              </w:rPr>
              <w:t xml:space="preserve">the national government from donor agencies which in terms of legislation or the agreement with the donor, must be paid to the Reconstruction </w:t>
            </w:r>
            <w:r w:rsidR="00796D6F" w:rsidRPr="00075282">
              <w:rPr>
                <w:rFonts w:eastAsia="Times New Roman" w:cs="Arial"/>
                <w:sz w:val="22"/>
                <w:lang w:val="en-GB" w:eastAsia="en-GB"/>
              </w:rPr>
              <w:t>and Development Programme Fund;</w:t>
            </w:r>
          </w:p>
          <w:p w:rsidR="001D3B2F" w:rsidRPr="00075282" w:rsidRDefault="001D3B2F" w:rsidP="00075282">
            <w:pPr>
              <w:pStyle w:val="ListParagraph"/>
              <w:numPr>
                <w:ilvl w:val="0"/>
                <w:numId w:val="25"/>
              </w:numPr>
              <w:ind w:left="572" w:hanging="572"/>
              <w:jc w:val="left"/>
              <w:rPr>
                <w:rFonts w:eastAsia="Times New Roman" w:cs="Arial"/>
                <w:bCs/>
                <w:sz w:val="22"/>
                <w:lang w:val="en-GB" w:eastAsia="en-GB"/>
              </w:rPr>
            </w:pPr>
            <w:r w:rsidRPr="00075282">
              <w:rPr>
                <w:rFonts w:eastAsia="Times New Roman" w:cs="Arial"/>
                <w:sz w:val="22"/>
                <w:lang w:val="en-GB" w:eastAsia="en-GB"/>
              </w:rPr>
              <w:t xml:space="preserve">a national department- </w:t>
            </w:r>
          </w:p>
          <w:p w:rsidR="00433207" w:rsidRPr="00075282" w:rsidRDefault="001D3B2F" w:rsidP="00075282">
            <w:pPr>
              <w:pStyle w:val="ListParagraph"/>
              <w:numPr>
                <w:ilvl w:val="0"/>
                <w:numId w:val="24"/>
              </w:numPr>
              <w:jc w:val="left"/>
              <w:rPr>
                <w:rFonts w:eastAsia="Times New Roman" w:cs="Arial"/>
                <w:color w:val="000000"/>
                <w:sz w:val="22"/>
                <w:lang w:val="en-GB" w:eastAsia="en-GB"/>
              </w:rPr>
            </w:pPr>
            <w:r w:rsidRPr="00075282">
              <w:rPr>
                <w:rFonts w:eastAsia="Times New Roman" w:cs="Arial"/>
                <w:color w:val="000000"/>
                <w:sz w:val="22"/>
                <w:lang w:val="en-GB" w:eastAsia="en-GB"/>
              </w:rPr>
              <w:t xml:space="preserve">operating a trading entity, if the money is received in the ordinary course of operating the </w:t>
            </w:r>
            <w:r w:rsidR="00433207" w:rsidRPr="00075282">
              <w:rPr>
                <w:rFonts w:eastAsia="Times New Roman" w:cs="Arial"/>
                <w:color w:val="000000"/>
                <w:sz w:val="22"/>
                <w:lang w:val="en-GB" w:eastAsia="en-GB"/>
              </w:rPr>
              <w:t>trading entity;</w:t>
            </w:r>
          </w:p>
          <w:p w:rsidR="00433207" w:rsidRPr="00075282" w:rsidRDefault="001D3B2F" w:rsidP="00075282">
            <w:pPr>
              <w:pStyle w:val="ListParagraph"/>
              <w:numPr>
                <w:ilvl w:val="0"/>
                <w:numId w:val="24"/>
              </w:numPr>
              <w:jc w:val="left"/>
              <w:rPr>
                <w:rFonts w:eastAsia="Times New Roman" w:cs="Arial"/>
                <w:color w:val="000000"/>
                <w:sz w:val="22"/>
                <w:lang w:val="en-GB" w:eastAsia="en-GB"/>
              </w:rPr>
            </w:pPr>
            <w:r w:rsidRPr="00075282">
              <w:rPr>
                <w:rFonts w:eastAsia="Times New Roman" w:cs="Arial"/>
                <w:color w:val="000000"/>
                <w:sz w:val="22"/>
                <w:lang w:val="en-GB" w:eastAsia="en-GB"/>
              </w:rPr>
              <w:t xml:space="preserve">in trust for a specific person or category of persons or for a specific purpose; </w:t>
            </w:r>
          </w:p>
          <w:p w:rsidR="00433207" w:rsidRPr="00075282" w:rsidRDefault="001D3B2F" w:rsidP="00075282">
            <w:pPr>
              <w:pStyle w:val="ListParagraph"/>
              <w:numPr>
                <w:ilvl w:val="0"/>
                <w:numId w:val="24"/>
              </w:numPr>
              <w:jc w:val="left"/>
              <w:rPr>
                <w:rFonts w:eastAsia="Times New Roman" w:cs="Arial"/>
                <w:color w:val="000000"/>
                <w:sz w:val="22"/>
                <w:lang w:val="en-GB" w:eastAsia="en-GB"/>
              </w:rPr>
            </w:pPr>
            <w:r w:rsidRPr="00075282">
              <w:rPr>
                <w:rFonts w:eastAsia="Times New Roman" w:cs="Arial"/>
                <w:color w:val="000000"/>
                <w:sz w:val="22"/>
                <w:lang w:val="en-GB" w:eastAsia="en-GB"/>
              </w:rPr>
              <w:t xml:space="preserve">from another department to render an agency service for that department; or </w:t>
            </w:r>
          </w:p>
          <w:p w:rsidR="00796D6F" w:rsidRPr="00075282" w:rsidRDefault="001D3B2F" w:rsidP="00075282">
            <w:pPr>
              <w:pStyle w:val="ListParagraph"/>
              <w:numPr>
                <w:ilvl w:val="0"/>
                <w:numId w:val="24"/>
              </w:numPr>
              <w:jc w:val="left"/>
              <w:rPr>
                <w:rFonts w:eastAsia="Times New Roman" w:cs="Arial"/>
                <w:color w:val="000000"/>
                <w:sz w:val="22"/>
                <w:lang w:val="en-GB" w:eastAsia="en-GB"/>
              </w:rPr>
            </w:pPr>
            <w:r w:rsidRPr="00075282">
              <w:rPr>
                <w:rFonts w:eastAsia="Times New Roman" w:cs="Arial"/>
                <w:color w:val="000000"/>
                <w:sz w:val="22"/>
                <w:lang w:val="en-GB" w:eastAsia="en-GB"/>
              </w:rPr>
              <w:t>if the money is of a kind described in Schedule 4; or</w:t>
            </w:r>
          </w:p>
          <w:p w:rsidR="001D3B2F" w:rsidRPr="00075282" w:rsidRDefault="001D3B2F" w:rsidP="00075282">
            <w:pPr>
              <w:pStyle w:val="ListParagraph"/>
              <w:numPr>
                <w:ilvl w:val="0"/>
                <w:numId w:val="25"/>
              </w:numPr>
              <w:ind w:hanging="720"/>
              <w:jc w:val="left"/>
              <w:rPr>
                <w:rFonts w:eastAsia="Times New Roman" w:cs="Arial"/>
                <w:color w:val="000000"/>
                <w:sz w:val="22"/>
                <w:lang w:val="en-GB" w:eastAsia="en-GB"/>
              </w:rPr>
            </w:pPr>
            <w:r w:rsidRPr="00075282">
              <w:rPr>
                <w:rFonts w:eastAsia="Times New Roman" w:cs="Arial"/>
                <w:sz w:val="22"/>
                <w:lang w:val="en-GB" w:eastAsia="en-GB"/>
              </w:rPr>
              <w:t xml:space="preserve">a constitutional institution- </w:t>
            </w:r>
          </w:p>
          <w:p w:rsidR="00796D6F" w:rsidRPr="00075282" w:rsidRDefault="001D3B2F" w:rsidP="00075282">
            <w:pPr>
              <w:pStyle w:val="ListParagraph"/>
              <w:numPr>
                <w:ilvl w:val="0"/>
                <w:numId w:val="27"/>
              </w:numPr>
              <w:jc w:val="left"/>
              <w:rPr>
                <w:rFonts w:eastAsia="Times New Roman" w:cs="Arial"/>
                <w:color w:val="000000"/>
                <w:sz w:val="22"/>
                <w:lang w:val="en-GB" w:eastAsia="en-GB"/>
              </w:rPr>
            </w:pPr>
            <w:r w:rsidRPr="00075282">
              <w:rPr>
                <w:rFonts w:eastAsia="Times New Roman" w:cs="Arial"/>
                <w:color w:val="000000"/>
                <w:sz w:val="22"/>
                <w:lang w:val="en-GB" w:eastAsia="en-GB"/>
              </w:rPr>
              <w:t>in trust for a specific person or category of person</w:t>
            </w:r>
            <w:r w:rsidR="00796D6F" w:rsidRPr="00075282">
              <w:rPr>
                <w:rFonts w:eastAsia="Times New Roman" w:cs="Arial"/>
                <w:color w:val="000000"/>
                <w:sz w:val="22"/>
                <w:lang w:val="en-GB" w:eastAsia="en-GB"/>
              </w:rPr>
              <w:t>s or for a specific purpose; or</w:t>
            </w:r>
          </w:p>
          <w:p w:rsidR="001D3B2F" w:rsidRPr="00075282" w:rsidRDefault="001D3B2F" w:rsidP="00075282">
            <w:pPr>
              <w:pStyle w:val="ListParagraph"/>
              <w:numPr>
                <w:ilvl w:val="0"/>
                <w:numId w:val="27"/>
              </w:numPr>
              <w:jc w:val="left"/>
              <w:rPr>
                <w:rFonts w:eastAsia="Times New Roman" w:cs="Arial"/>
                <w:color w:val="000000"/>
                <w:sz w:val="22"/>
                <w:lang w:val="en-GB" w:eastAsia="en-GB"/>
              </w:rPr>
            </w:pPr>
            <w:r w:rsidRPr="00075282">
              <w:rPr>
                <w:rFonts w:eastAsia="Times New Roman" w:cs="Arial"/>
                <w:color w:val="000000"/>
                <w:sz w:val="22"/>
                <w:lang w:val="en-GB" w:eastAsia="en-GB"/>
              </w:rPr>
              <w:t xml:space="preserve">if the money is of a kind described in Schedule 4. </w:t>
            </w:r>
          </w:p>
          <w:p w:rsidR="001D3B2F" w:rsidRPr="00075282" w:rsidRDefault="001D3B2F" w:rsidP="00075282">
            <w:pPr>
              <w:jc w:val="left"/>
              <w:rPr>
                <w:rFonts w:eastAsia="Times New Roman" w:cs="Arial"/>
                <w:b/>
                <w:sz w:val="22"/>
                <w:lang w:val="en-GB" w:eastAsia="en-GB"/>
              </w:rPr>
            </w:pPr>
            <w:r w:rsidRPr="00075282">
              <w:rPr>
                <w:rFonts w:eastAsia="Times New Roman" w:cs="Arial"/>
                <w:b/>
                <w:sz w:val="22"/>
                <w:lang w:val="en-GB" w:eastAsia="en-GB"/>
              </w:rPr>
              <w:t>Schedule 4</w:t>
            </w:r>
          </w:p>
          <w:p w:rsidR="001D3B2F" w:rsidRPr="00075282" w:rsidRDefault="001D3B2F" w:rsidP="00075282">
            <w:pPr>
              <w:jc w:val="left"/>
              <w:rPr>
                <w:rFonts w:eastAsia="Times New Roman" w:cs="Arial"/>
                <w:sz w:val="22"/>
                <w:lang w:val="en-GB" w:eastAsia="en-GB"/>
              </w:rPr>
            </w:pPr>
            <w:r w:rsidRPr="00075282">
              <w:rPr>
                <w:rFonts w:eastAsia="Times New Roman" w:cs="Arial"/>
                <w:sz w:val="22"/>
                <w:lang w:val="en-GB" w:eastAsia="en-GB"/>
              </w:rPr>
              <w:t>EXCLUSIONS FROM REVENUE FUNDS</w:t>
            </w:r>
          </w:p>
          <w:p w:rsidR="001D3B2F" w:rsidRPr="00075282" w:rsidRDefault="001D3B2F" w:rsidP="00075282">
            <w:pPr>
              <w:ind w:left="510" w:hanging="510"/>
              <w:jc w:val="left"/>
              <w:rPr>
                <w:rFonts w:eastAsia="Times New Roman" w:cs="Arial"/>
                <w:color w:val="000000"/>
                <w:sz w:val="22"/>
                <w:lang w:val="en-GB" w:eastAsia="en-GB"/>
              </w:rPr>
            </w:pPr>
            <w:r w:rsidRPr="00075282">
              <w:rPr>
                <w:rFonts w:eastAsia="Times New Roman" w:cs="Arial"/>
                <w:color w:val="000000"/>
                <w:sz w:val="22"/>
                <w:lang w:val="en-GB" w:eastAsia="en-GB"/>
              </w:rPr>
              <w:t>SA Schools Act (covering school fees)</w:t>
            </w:r>
          </w:p>
          <w:p w:rsidR="001D3B2F" w:rsidRPr="00075282" w:rsidRDefault="001D3B2F" w:rsidP="00075282">
            <w:pPr>
              <w:ind w:left="510" w:hanging="510"/>
              <w:jc w:val="left"/>
              <w:rPr>
                <w:rFonts w:eastAsia="Times New Roman" w:cs="Arial"/>
                <w:color w:val="000000"/>
                <w:sz w:val="22"/>
                <w:lang w:val="en-GB" w:eastAsia="en-GB"/>
              </w:rPr>
            </w:pPr>
            <w:r w:rsidRPr="00075282">
              <w:rPr>
                <w:rFonts w:eastAsia="Times New Roman" w:cs="Arial"/>
                <w:color w:val="000000"/>
                <w:sz w:val="22"/>
                <w:lang w:val="en-GB" w:eastAsia="en-GB"/>
              </w:rPr>
              <w:t>Fines and estreated bails paid in respect of offences and alleged offences in terms of—</w:t>
            </w:r>
          </w:p>
          <w:p w:rsidR="001D3B2F" w:rsidRPr="00075282" w:rsidRDefault="001D3B2F" w:rsidP="00075282">
            <w:pPr>
              <w:ind w:left="510" w:hanging="510"/>
              <w:jc w:val="left"/>
              <w:rPr>
                <w:rFonts w:eastAsia="Times New Roman" w:cs="Arial"/>
                <w:color w:val="000000"/>
                <w:sz w:val="22"/>
                <w:lang w:val="en-GB" w:eastAsia="en-GB"/>
              </w:rPr>
            </w:pPr>
            <w:r w:rsidRPr="00075282">
              <w:rPr>
                <w:rFonts w:eastAsia="Times New Roman" w:cs="Arial"/>
                <w:color w:val="000000"/>
                <w:sz w:val="22"/>
                <w:lang w:val="en-GB" w:eastAsia="en-GB"/>
              </w:rPr>
              <w:t>(</w:t>
            </w:r>
            <w:r w:rsidRPr="00075282">
              <w:rPr>
                <w:rFonts w:eastAsia="Times New Roman" w:cs="Arial"/>
                <w:iCs/>
                <w:color w:val="000000"/>
                <w:sz w:val="22"/>
                <w:lang w:val="en-GB" w:eastAsia="en-GB"/>
              </w:rPr>
              <w:t>a</w:t>
            </w:r>
            <w:r w:rsidRPr="00075282">
              <w:rPr>
                <w:rFonts w:eastAsia="Times New Roman" w:cs="Arial"/>
                <w:color w:val="000000"/>
                <w:sz w:val="22"/>
                <w:lang w:val="en-GB" w:eastAsia="en-GB"/>
              </w:rPr>
              <w:t>)</w:t>
            </w:r>
            <w:r w:rsidRPr="00075282">
              <w:rPr>
                <w:rFonts w:eastAsia="Times New Roman" w:cs="Arial"/>
                <w:color w:val="000000"/>
                <w:sz w:val="22"/>
                <w:lang w:val="en-GB" w:eastAsia="en-GB"/>
              </w:rPr>
              <w:tab/>
              <w:t>by-laws enacted by municipalities; or</w:t>
            </w:r>
          </w:p>
          <w:p w:rsidR="001D3B2F" w:rsidRPr="00075282" w:rsidRDefault="001D3B2F" w:rsidP="00075282">
            <w:pPr>
              <w:ind w:left="510" w:hanging="510"/>
              <w:jc w:val="left"/>
              <w:rPr>
                <w:rFonts w:eastAsia="Times New Roman" w:cs="Arial"/>
                <w:color w:val="000000"/>
                <w:sz w:val="22"/>
                <w:lang w:val="en-GB" w:eastAsia="en-GB"/>
              </w:rPr>
            </w:pPr>
            <w:r w:rsidRPr="00075282">
              <w:rPr>
                <w:rFonts w:eastAsia="Times New Roman" w:cs="Arial"/>
                <w:color w:val="000000"/>
                <w:sz w:val="22"/>
                <w:lang w:val="en-GB" w:eastAsia="en-GB"/>
              </w:rPr>
              <w:t>(</w:t>
            </w:r>
            <w:r w:rsidRPr="00075282">
              <w:rPr>
                <w:rFonts w:eastAsia="Times New Roman" w:cs="Arial"/>
                <w:iCs/>
                <w:color w:val="000000"/>
                <w:sz w:val="22"/>
                <w:lang w:val="en-GB" w:eastAsia="en-GB"/>
              </w:rPr>
              <w:t>b</w:t>
            </w:r>
            <w:r w:rsidRPr="00075282">
              <w:rPr>
                <w:rFonts w:eastAsia="Times New Roman" w:cs="Arial"/>
                <w:color w:val="000000"/>
                <w:sz w:val="22"/>
                <w:lang w:val="en-GB" w:eastAsia="en-GB"/>
              </w:rPr>
              <w:t>)</w:t>
            </w:r>
            <w:r w:rsidRPr="00075282">
              <w:rPr>
                <w:rFonts w:eastAsia="Times New Roman" w:cs="Arial"/>
                <w:color w:val="000000"/>
                <w:sz w:val="22"/>
                <w:lang w:val="en-GB" w:eastAsia="en-GB"/>
              </w:rPr>
              <w:tab/>
              <w:t>national or provincial legislation, the administration of which is assigned to municipalities.</w:t>
            </w:r>
          </w:p>
          <w:p w:rsidR="001D3B2F" w:rsidRPr="00075282" w:rsidRDefault="001D3B2F" w:rsidP="00075282">
            <w:pPr>
              <w:spacing w:before="300"/>
              <w:jc w:val="left"/>
              <w:rPr>
                <w:rFonts w:eastAsia="Times New Roman" w:cs="Arial"/>
                <w:color w:val="000000"/>
                <w:sz w:val="22"/>
                <w:lang w:val="en-GB" w:eastAsia="en-GB"/>
              </w:rPr>
            </w:pPr>
            <w:r w:rsidRPr="00075282">
              <w:rPr>
                <w:rFonts w:eastAsia="Times New Roman" w:cs="Arial"/>
                <w:b/>
                <w:bCs/>
                <w:color w:val="000000"/>
                <w:sz w:val="22"/>
                <w:lang w:val="en-GB" w:eastAsia="en-GB"/>
              </w:rPr>
              <w:t>Sec 93</w:t>
            </w:r>
            <w:r w:rsidRPr="00075282">
              <w:rPr>
                <w:rFonts w:eastAsia="Times New Roman" w:cs="Arial"/>
                <w:bCs/>
                <w:color w:val="000000"/>
                <w:sz w:val="22"/>
                <w:lang w:val="en-GB" w:eastAsia="en-GB"/>
              </w:rPr>
              <w:t xml:space="preserve"> of the new Act provides that a</w:t>
            </w:r>
            <w:r w:rsidRPr="00075282">
              <w:rPr>
                <w:rFonts w:eastAsia="Times New Roman" w:cs="Arial"/>
                <w:color w:val="000000"/>
                <w:sz w:val="22"/>
                <w:lang w:val="en-GB" w:eastAsia="en-GB"/>
              </w:rPr>
              <w:t xml:space="preserve">nything done in terms of a provision of the Exchequer Act, 1975 (Act No. 66 of 1975), which can be done in terms of a provision of this Act, must be regarded as having been done in terms of this Act and that </w:t>
            </w:r>
            <w:r w:rsidRPr="00075282">
              <w:rPr>
                <w:rFonts w:eastAsia="Times New Roman" w:cs="Arial"/>
                <w:color w:val="000000"/>
                <w:sz w:val="22"/>
                <w:lang w:val="en-GB" w:eastAsia="en-GB"/>
              </w:rPr>
              <w:lastRenderedPageBreak/>
              <w:t>all treasury regulations and instructions made or issued in terms of the Exchequer Act, 1975, remain in force until repealed in terms of section 76 of this Act.</w:t>
            </w:r>
          </w:p>
          <w:p w:rsidR="001D3B2F" w:rsidRPr="00075282" w:rsidRDefault="001D3B2F" w:rsidP="00075282">
            <w:pPr>
              <w:jc w:val="left"/>
              <w:rPr>
                <w:rFonts w:eastAsia="Times New Roman" w:cs="Arial"/>
                <w:sz w:val="22"/>
                <w:lang w:val="en-ZA" w:eastAsia="en-GB"/>
              </w:rPr>
            </w:pPr>
          </w:p>
          <w:p w:rsidR="001D3B2F" w:rsidRPr="00075282" w:rsidRDefault="001D3B2F" w:rsidP="00075282">
            <w:pPr>
              <w:jc w:val="left"/>
              <w:rPr>
                <w:rFonts w:eastAsia="Times New Roman" w:cs="Arial"/>
                <w:b/>
                <w:sz w:val="22"/>
                <w:lang w:val="en-ZA" w:eastAsia="en-GB"/>
              </w:rPr>
            </w:pPr>
            <w:r w:rsidRPr="00075282">
              <w:rPr>
                <w:rFonts w:eastAsia="Times New Roman" w:cs="Arial"/>
                <w:b/>
                <w:sz w:val="22"/>
                <w:lang w:val="en-ZA" w:eastAsia="en-GB"/>
              </w:rPr>
              <w:t>The new regulations provide as follows:</w:t>
            </w:r>
          </w:p>
          <w:p w:rsidR="001D3B2F" w:rsidRPr="00075282" w:rsidRDefault="001D3B2F" w:rsidP="00075282">
            <w:pPr>
              <w:jc w:val="left"/>
              <w:rPr>
                <w:rFonts w:eastAsia="Times New Roman" w:cs="Arial"/>
                <w:b/>
                <w:sz w:val="22"/>
                <w:lang w:val="en-GB" w:eastAsia="en-GB"/>
              </w:rPr>
            </w:pPr>
            <w:r w:rsidRPr="00075282">
              <w:rPr>
                <w:rFonts w:eastAsia="Times New Roman" w:cs="Arial"/>
                <w:b/>
                <w:bCs/>
                <w:sz w:val="22"/>
                <w:lang w:val="en-GB" w:eastAsia="en-GB"/>
              </w:rPr>
              <w:t xml:space="preserve">15.5  Responsibilities of departments </w:t>
            </w:r>
            <w:r w:rsidRPr="00075282">
              <w:rPr>
                <w:rFonts w:eastAsia="Times New Roman" w:cs="Arial"/>
                <w:b/>
                <w:sz w:val="22"/>
                <w:lang w:val="en-GB" w:eastAsia="en-GB"/>
              </w:rPr>
              <w:t>[Sections 13 and 22 of the PFMA]</w:t>
            </w:r>
          </w:p>
          <w:p w:rsidR="001D3B2F" w:rsidRPr="00075282" w:rsidRDefault="001D3B2F" w:rsidP="00075282">
            <w:pPr>
              <w:ind w:left="1440" w:hanging="1440"/>
              <w:jc w:val="left"/>
              <w:rPr>
                <w:rFonts w:eastAsia="Times New Roman" w:cs="Arial"/>
                <w:b/>
                <w:sz w:val="22"/>
                <w:lang w:val="en-ZA" w:eastAsia="en-GB"/>
              </w:rPr>
            </w:pPr>
            <w:r w:rsidRPr="00075282">
              <w:rPr>
                <w:rFonts w:eastAsia="Times New Roman" w:cs="Arial"/>
                <w:sz w:val="22"/>
                <w:lang w:val="en-GB" w:eastAsia="en-GB"/>
              </w:rPr>
              <w:t>15.5.3  </w:t>
            </w:r>
            <w:r w:rsidRPr="00075282">
              <w:rPr>
                <w:rFonts w:eastAsia="Times New Roman" w:cs="Arial"/>
                <w:sz w:val="22"/>
                <w:lang w:val="en-GB" w:eastAsia="en-GB"/>
              </w:rPr>
              <w:tab/>
              <w:t>Money collected by a department, which is not classified as revenue, must be paid into the department’s Paymaster-General account and accounted for in its ledger. This includes money received for agency services provided to another department.</w:t>
            </w:r>
          </w:p>
          <w:p w:rsidR="001D3B2F" w:rsidRPr="00075282" w:rsidRDefault="001D3B2F" w:rsidP="00075282">
            <w:pPr>
              <w:jc w:val="left"/>
              <w:rPr>
                <w:rFonts w:eastAsia="Times New Roman" w:cs="Arial"/>
                <w:sz w:val="22"/>
                <w:lang w:val="en-GB" w:eastAsia="en-GB"/>
              </w:rPr>
            </w:pPr>
          </w:p>
          <w:p w:rsidR="001D3B2F" w:rsidRPr="00075282" w:rsidRDefault="001D3B2F" w:rsidP="00075282">
            <w:pPr>
              <w:jc w:val="left"/>
              <w:rPr>
                <w:rFonts w:eastAsia="Times New Roman" w:cs="Arial"/>
                <w:sz w:val="22"/>
                <w:u w:val="single"/>
                <w:lang w:val="en-GB" w:eastAsia="en-GB"/>
              </w:rPr>
            </w:pPr>
            <w:r w:rsidRPr="00075282">
              <w:rPr>
                <w:rFonts w:eastAsia="Times New Roman" w:cs="Arial"/>
                <w:b/>
                <w:sz w:val="22"/>
                <w:u w:val="single"/>
                <w:lang w:val="en-GB" w:eastAsia="en-GB"/>
              </w:rPr>
              <w:t>Legislation prescribing payments to clerk/court</w:t>
            </w:r>
          </w:p>
          <w:p w:rsidR="001D3B2F" w:rsidRPr="00075282" w:rsidRDefault="001D3B2F" w:rsidP="00075282">
            <w:pPr>
              <w:jc w:val="left"/>
              <w:rPr>
                <w:rFonts w:eastAsia="Times New Roman" w:cs="Arial"/>
                <w:b/>
                <w:sz w:val="22"/>
                <w:lang w:val="en-ZA" w:eastAsia="en-GB"/>
              </w:rPr>
            </w:pPr>
            <w:r w:rsidRPr="00075282">
              <w:rPr>
                <w:rFonts w:eastAsia="Times New Roman" w:cs="Arial"/>
                <w:b/>
                <w:sz w:val="22"/>
                <w:lang w:val="en-ZA" w:eastAsia="en-GB"/>
              </w:rPr>
              <w:t>Acts rules and regulations providing for the payment of money to the clerk of the court/to the court.</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Criminal Procedure Act, 1977 Act No 51 of 1977</w:t>
            </w:r>
            <w:r w:rsidR="00E7436F" w:rsidRPr="00075282">
              <w:rPr>
                <w:rFonts w:eastAsia="Times New Roman" w:cs="Arial"/>
                <w:sz w:val="22"/>
                <w:lang w:val="en-ZA" w:eastAsia="en-GB"/>
              </w:rPr>
              <w:t>;</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Maintenance Act</w:t>
            </w:r>
            <w:r w:rsidR="00E7436F" w:rsidRPr="00075282">
              <w:rPr>
                <w:rFonts w:eastAsia="Times New Roman" w:cs="Arial"/>
                <w:sz w:val="22"/>
                <w:lang w:val="en-ZA" w:eastAsia="en-GB"/>
              </w:rPr>
              <w:t>;</w:t>
            </w:r>
          </w:p>
          <w:p w:rsidR="001D3B2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Magistrates Court Act, 1944 Act 32 of 1944:  Rules</w:t>
            </w:r>
          </w:p>
          <w:p w:rsidR="00E7436F" w:rsidRPr="00075282" w:rsidRDefault="00E7436F" w:rsidP="00075282">
            <w:pPr>
              <w:autoSpaceDE w:val="0"/>
              <w:autoSpaceDN w:val="0"/>
              <w:adjustRightInd w:val="0"/>
              <w:ind w:left="714"/>
              <w:jc w:val="left"/>
              <w:rPr>
                <w:rFonts w:eastAsia="Times New Roman" w:cs="Arial"/>
                <w:sz w:val="22"/>
                <w:lang w:val="en-GB" w:eastAsia="en-GB"/>
              </w:rPr>
            </w:pPr>
            <w:r w:rsidRPr="00075282">
              <w:rPr>
                <w:rFonts w:eastAsia="Times New Roman" w:cs="Arial"/>
                <w:sz w:val="22"/>
                <w:lang w:val="en-GB" w:eastAsia="en-GB"/>
              </w:rPr>
              <w:t>Payment into court can be described as the payment of sums of money deposited at a g</w:t>
            </w:r>
            <w:r w:rsidR="00E6075F" w:rsidRPr="00075282">
              <w:rPr>
                <w:rFonts w:eastAsia="Times New Roman" w:cs="Arial"/>
                <w:sz w:val="22"/>
                <w:lang w:val="en-GB" w:eastAsia="en-GB"/>
              </w:rPr>
              <w:t>iven court in terms of certain Rules of the C</w:t>
            </w:r>
            <w:r w:rsidRPr="00075282">
              <w:rPr>
                <w:rFonts w:eastAsia="Times New Roman" w:cs="Arial"/>
                <w:sz w:val="22"/>
                <w:lang w:val="en-GB" w:eastAsia="en-GB"/>
              </w:rPr>
              <w:t>ourt</w:t>
            </w:r>
            <w:r w:rsidR="00E6075F" w:rsidRPr="00075282">
              <w:rPr>
                <w:rFonts w:eastAsia="Times New Roman" w:cs="Arial"/>
                <w:sz w:val="22"/>
                <w:lang w:val="en-GB" w:eastAsia="en-GB"/>
              </w:rPr>
              <w:t>, inter alia:</w:t>
            </w:r>
          </w:p>
          <w:p w:rsidR="001D3B2F" w:rsidRPr="00075282" w:rsidRDefault="001D3B2F" w:rsidP="00075282">
            <w:pPr>
              <w:numPr>
                <w:ilvl w:val="0"/>
                <w:numId w:val="20"/>
              </w:numPr>
              <w:ind w:left="714" w:firstLine="0"/>
              <w:jc w:val="left"/>
              <w:rPr>
                <w:rFonts w:eastAsia="Times New Roman" w:cs="Arial"/>
                <w:sz w:val="22"/>
                <w:lang w:val="en-GB" w:eastAsia="en-GB"/>
              </w:rPr>
            </w:pPr>
            <w:r w:rsidRPr="00075282">
              <w:rPr>
                <w:rFonts w:eastAsia="Times New Roman" w:cs="Arial"/>
                <w:sz w:val="22"/>
                <w:lang w:val="en-ZA" w:eastAsia="en-GB"/>
              </w:rPr>
              <w:t>Rule 14</w:t>
            </w:r>
            <w:r w:rsidRPr="00075282">
              <w:rPr>
                <w:rFonts w:eastAsia="Times New Roman" w:cs="Arial"/>
                <w:sz w:val="22"/>
                <w:lang w:val="en-GB" w:eastAsia="en-GB"/>
              </w:rPr>
              <w:t xml:space="preserve"> </w:t>
            </w:r>
          </w:p>
          <w:p w:rsidR="008865E8" w:rsidRPr="00075282" w:rsidRDefault="00E6075F" w:rsidP="00075282">
            <w:pPr>
              <w:numPr>
                <w:ilvl w:val="0"/>
                <w:numId w:val="20"/>
              </w:numPr>
              <w:ind w:left="714" w:firstLine="0"/>
              <w:jc w:val="left"/>
              <w:rPr>
                <w:rFonts w:eastAsia="Times New Roman" w:cs="Arial"/>
                <w:sz w:val="22"/>
                <w:lang w:val="en-ZA" w:eastAsia="en-GB"/>
              </w:rPr>
            </w:pPr>
            <w:r w:rsidRPr="00075282">
              <w:rPr>
                <w:rFonts w:eastAsia="Times New Roman" w:cs="Arial"/>
                <w:sz w:val="22"/>
                <w:lang w:val="en-GB" w:eastAsia="en-GB"/>
              </w:rPr>
              <w:t>Rule 18</w:t>
            </w:r>
            <w:r w:rsidR="001D3B2F" w:rsidRPr="00075282">
              <w:rPr>
                <w:rFonts w:eastAsia="Times New Roman" w:cs="Arial"/>
                <w:sz w:val="22"/>
                <w:lang w:val="en-GB" w:eastAsia="en-GB"/>
              </w:rPr>
              <w:t xml:space="preserve"> </w:t>
            </w:r>
          </w:p>
          <w:p w:rsidR="008865E8" w:rsidRPr="00075282" w:rsidRDefault="008865E8" w:rsidP="00075282">
            <w:pPr>
              <w:numPr>
                <w:ilvl w:val="0"/>
                <w:numId w:val="22"/>
              </w:numPr>
              <w:ind w:left="714" w:firstLine="0"/>
              <w:jc w:val="left"/>
              <w:rPr>
                <w:rFonts w:eastAsia="Times New Roman" w:cs="Arial"/>
                <w:sz w:val="22"/>
                <w:lang w:val="en-ZA" w:eastAsia="en-GB"/>
              </w:rPr>
            </w:pPr>
            <w:r w:rsidRPr="00075282">
              <w:rPr>
                <w:rFonts w:eastAsia="Times New Roman" w:cs="Arial"/>
                <w:sz w:val="22"/>
                <w:lang w:val="en-ZA" w:eastAsia="en-GB"/>
              </w:rPr>
              <w:t>Rule 19</w:t>
            </w:r>
          </w:p>
          <w:p w:rsidR="008865E8" w:rsidRPr="00075282" w:rsidRDefault="008865E8" w:rsidP="00075282">
            <w:pPr>
              <w:numPr>
                <w:ilvl w:val="0"/>
                <w:numId w:val="21"/>
              </w:numPr>
              <w:ind w:left="714" w:firstLine="0"/>
              <w:jc w:val="left"/>
              <w:rPr>
                <w:rFonts w:eastAsia="Times New Roman" w:cs="Arial"/>
                <w:sz w:val="22"/>
                <w:lang w:val="en-ZA" w:eastAsia="en-GB"/>
              </w:rPr>
            </w:pPr>
            <w:r w:rsidRPr="00075282">
              <w:rPr>
                <w:rFonts w:eastAsia="Times New Roman" w:cs="Arial"/>
                <w:sz w:val="22"/>
                <w:lang w:val="en-ZA" w:eastAsia="en-GB"/>
              </w:rPr>
              <w:t xml:space="preserve">Rule </w:t>
            </w:r>
            <w:r w:rsidR="00E6075F" w:rsidRPr="00075282">
              <w:rPr>
                <w:rFonts w:eastAsia="Times New Roman" w:cs="Arial"/>
                <w:sz w:val="22"/>
                <w:lang w:val="en-ZA" w:eastAsia="en-GB"/>
              </w:rPr>
              <w:t>43</w:t>
            </w:r>
          </w:p>
          <w:p w:rsidR="001D3B2F" w:rsidRPr="00075282" w:rsidRDefault="008865E8" w:rsidP="00075282">
            <w:pPr>
              <w:numPr>
                <w:ilvl w:val="0"/>
                <w:numId w:val="21"/>
              </w:numPr>
              <w:ind w:left="714" w:firstLine="0"/>
              <w:jc w:val="left"/>
              <w:rPr>
                <w:rFonts w:eastAsia="Times New Roman" w:cs="Arial"/>
                <w:sz w:val="22"/>
                <w:lang w:val="en-ZA" w:eastAsia="en-GB"/>
              </w:rPr>
            </w:pPr>
            <w:r w:rsidRPr="00075282">
              <w:rPr>
                <w:rFonts w:eastAsia="Times New Roman" w:cs="Arial"/>
                <w:sz w:val="22"/>
                <w:lang w:val="en-ZA" w:eastAsia="en-GB"/>
              </w:rPr>
              <w:t xml:space="preserve">Rule </w:t>
            </w:r>
            <w:r w:rsidR="00E6075F" w:rsidRPr="00075282">
              <w:rPr>
                <w:rFonts w:eastAsia="Times New Roman" w:cs="Arial"/>
                <w:sz w:val="22"/>
                <w:lang w:val="en-ZA" w:eastAsia="en-GB"/>
              </w:rPr>
              <w:t>44</w:t>
            </w:r>
          </w:p>
          <w:p w:rsidR="001D3B2F" w:rsidRPr="00075282" w:rsidRDefault="008865E8" w:rsidP="00075282">
            <w:pPr>
              <w:numPr>
                <w:ilvl w:val="0"/>
                <w:numId w:val="21"/>
              </w:numPr>
              <w:ind w:left="714" w:firstLine="0"/>
              <w:jc w:val="left"/>
              <w:rPr>
                <w:rFonts w:eastAsia="Times New Roman" w:cs="Arial"/>
                <w:sz w:val="22"/>
                <w:lang w:val="en-ZA" w:eastAsia="en-GB"/>
              </w:rPr>
            </w:pPr>
            <w:r w:rsidRPr="00075282">
              <w:rPr>
                <w:rFonts w:eastAsia="Times New Roman" w:cs="Arial"/>
                <w:sz w:val="22"/>
                <w:lang w:val="en-ZA" w:eastAsia="en-GB"/>
              </w:rPr>
              <w:t xml:space="preserve">Rule </w:t>
            </w:r>
            <w:r w:rsidR="00E6075F" w:rsidRPr="00075282">
              <w:rPr>
                <w:rFonts w:eastAsia="Times New Roman" w:cs="Arial"/>
                <w:sz w:val="22"/>
                <w:lang w:val="en-ZA" w:eastAsia="en-GB"/>
              </w:rPr>
              <w:t>51</w:t>
            </w:r>
            <w:r w:rsidR="001D3B2F" w:rsidRPr="00075282">
              <w:rPr>
                <w:rFonts w:eastAsia="Times New Roman" w:cs="Arial"/>
                <w:sz w:val="22"/>
                <w:lang w:val="en-ZA" w:eastAsia="en-GB"/>
              </w:rPr>
              <w:t xml:space="preserve"> </w:t>
            </w:r>
          </w:p>
          <w:p w:rsidR="001D3B2F" w:rsidRPr="00075282" w:rsidRDefault="008865E8" w:rsidP="00075282">
            <w:pPr>
              <w:numPr>
                <w:ilvl w:val="0"/>
                <w:numId w:val="21"/>
              </w:numPr>
              <w:ind w:left="714" w:firstLine="0"/>
              <w:jc w:val="left"/>
              <w:rPr>
                <w:rFonts w:eastAsia="Times New Roman" w:cs="Arial"/>
                <w:sz w:val="22"/>
                <w:lang w:val="en-ZA" w:eastAsia="en-GB"/>
              </w:rPr>
            </w:pPr>
            <w:r w:rsidRPr="00075282">
              <w:rPr>
                <w:rFonts w:eastAsia="Times New Roman" w:cs="Arial"/>
                <w:sz w:val="22"/>
                <w:lang w:val="en-ZA" w:eastAsia="en-GB"/>
              </w:rPr>
              <w:t xml:space="preserve">Rule </w:t>
            </w:r>
            <w:r w:rsidR="00E6075F" w:rsidRPr="00075282">
              <w:rPr>
                <w:rFonts w:eastAsia="Times New Roman" w:cs="Arial"/>
                <w:sz w:val="22"/>
                <w:lang w:val="en-ZA" w:eastAsia="en-GB"/>
              </w:rPr>
              <w:t>62</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lastRenderedPageBreak/>
              <w:t>Prevention of Organised Crime Act, 121 of 1998</w:t>
            </w:r>
            <w:r w:rsidR="00E7436F" w:rsidRPr="00075282">
              <w:rPr>
                <w:rFonts w:eastAsia="Times New Roman" w:cs="Arial"/>
                <w:sz w:val="22"/>
                <w:lang w:val="en-ZA" w:eastAsia="en-GB"/>
              </w:rPr>
              <w:t>;</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Proceeds of Crime Act, 76 of 1996</w:t>
            </w:r>
            <w:r w:rsidR="00E7436F" w:rsidRPr="00075282">
              <w:rPr>
                <w:rFonts w:eastAsia="Times New Roman" w:cs="Arial"/>
                <w:sz w:val="22"/>
                <w:lang w:val="en-ZA" w:eastAsia="en-GB"/>
              </w:rPr>
              <w:t>;</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Drugs and Drug Trafficking Act, 140 of 1992</w:t>
            </w:r>
            <w:r w:rsidR="00E7436F" w:rsidRPr="00075282">
              <w:rPr>
                <w:rFonts w:eastAsia="Times New Roman" w:cs="Arial"/>
                <w:sz w:val="22"/>
                <w:lang w:val="en-ZA" w:eastAsia="en-GB"/>
              </w:rPr>
              <w:t>;</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 xml:space="preserve">Extradition Act,67 of </w:t>
            </w:r>
            <w:r w:rsidR="00E6075F" w:rsidRPr="00075282">
              <w:rPr>
                <w:rFonts w:eastAsia="Times New Roman" w:cs="Arial"/>
                <w:sz w:val="22"/>
                <w:lang w:val="en-ZA" w:eastAsia="en-GB"/>
              </w:rPr>
              <w:t>19</w:t>
            </w:r>
            <w:r w:rsidRPr="00075282">
              <w:rPr>
                <w:rFonts w:eastAsia="Times New Roman" w:cs="Arial"/>
                <w:sz w:val="22"/>
                <w:lang w:val="en-ZA" w:eastAsia="en-GB"/>
              </w:rPr>
              <w:t>62</w:t>
            </w:r>
            <w:r w:rsidR="00E7436F" w:rsidRPr="00075282">
              <w:rPr>
                <w:rFonts w:eastAsia="Times New Roman" w:cs="Arial"/>
                <w:sz w:val="22"/>
                <w:lang w:val="en-ZA" w:eastAsia="en-GB"/>
              </w:rPr>
              <w:t>;</w:t>
            </w:r>
          </w:p>
          <w:p w:rsidR="00E7436F" w:rsidRPr="00075282" w:rsidRDefault="001D3B2F" w:rsidP="00075282">
            <w:pPr>
              <w:pStyle w:val="ListParagraph"/>
              <w:numPr>
                <w:ilvl w:val="0"/>
                <w:numId w:val="28"/>
              </w:numPr>
              <w:ind w:hanging="720"/>
              <w:jc w:val="left"/>
              <w:rPr>
                <w:rFonts w:eastAsia="Times New Roman" w:cs="Arial"/>
                <w:b/>
                <w:sz w:val="22"/>
                <w:lang w:val="en-ZA" w:eastAsia="en-GB"/>
              </w:rPr>
            </w:pPr>
            <w:r w:rsidRPr="00075282">
              <w:rPr>
                <w:rFonts w:eastAsia="Times New Roman" w:cs="Arial"/>
                <w:sz w:val="22"/>
                <w:lang w:val="en-ZA" w:eastAsia="en-GB"/>
              </w:rPr>
              <w:t>Child Justice Act</w:t>
            </w:r>
            <w:r w:rsidR="00E6075F" w:rsidRPr="00075282">
              <w:rPr>
                <w:rFonts w:eastAsia="Times New Roman" w:cs="Arial"/>
                <w:sz w:val="22"/>
                <w:lang w:val="en-ZA" w:eastAsia="en-GB"/>
              </w:rPr>
              <w:t>, 75 of 2008</w:t>
            </w:r>
            <w:r w:rsidR="00E7436F" w:rsidRPr="00075282">
              <w:rPr>
                <w:rFonts w:eastAsia="Times New Roman" w:cs="Arial"/>
                <w:sz w:val="22"/>
                <w:lang w:val="en-ZA" w:eastAsia="en-GB"/>
              </w:rPr>
              <w:t>;</w:t>
            </w:r>
          </w:p>
          <w:p w:rsidR="00E7436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Prevention and Treatment of Drug Dependency  Act, 20 of 1992</w:t>
            </w:r>
            <w:r w:rsidR="00E7436F" w:rsidRPr="00075282">
              <w:rPr>
                <w:rFonts w:eastAsia="Times New Roman" w:cs="Arial"/>
                <w:sz w:val="22"/>
                <w:lang w:val="en-ZA" w:eastAsia="en-GB"/>
              </w:rPr>
              <w:t>;</w:t>
            </w:r>
          </w:p>
          <w:p w:rsidR="00436F98"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Prevention and Treatment of Substance Abuse Act 70 of 2008</w:t>
            </w:r>
            <w:r w:rsidR="00436F98" w:rsidRPr="00075282">
              <w:rPr>
                <w:rFonts w:eastAsia="Times New Roman" w:cs="Arial"/>
                <w:sz w:val="22"/>
                <w:lang w:val="en-ZA" w:eastAsia="en-GB"/>
              </w:rPr>
              <w:t>;</w:t>
            </w:r>
            <w:r w:rsidR="00E6075F" w:rsidRPr="00075282">
              <w:rPr>
                <w:rFonts w:eastAsia="Times New Roman" w:cs="Arial"/>
                <w:sz w:val="22"/>
                <w:lang w:val="en-ZA" w:eastAsia="en-GB"/>
              </w:rPr>
              <w:t xml:space="preserve"> and</w:t>
            </w:r>
          </w:p>
          <w:p w:rsidR="001D3B2F" w:rsidRPr="00075282" w:rsidRDefault="001D3B2F" w:rsidP="00075282">
            <w:pPr>
              <w:pStyle w:val="ListParagraph"/>
              <w:numPr>
                <w:ilvl w:val="0"/>
                <w:numId w:val="28"/>
              </w:numPr>
              <w:ind w:hanging="720"/>
              <w:jc w:val="left"/>
              <w:rPr>
                <w:rFonts w:eastAsia="Times New Roman" w:cs="Arial"/>
                <w:sz w:val="22"/>
                <w:lang w:val="en-ZA" w:eastAsia="en-GB"/>
              </w:rPr>
            </w:pPr>
            <w:r w:rsidRPr="00075282">
              <w:rPr>
                <w:rFonts w:eastAsia="Times New Roman" w:cs="Arial"/>
                <w:sz w:val="22"/>
                <w:lang w:val="en-ZA" w:eastAsia="en-GB"/>
              </w:rPr>
              <w:t>Defence Act,</w:t>
            </w:r>
            <w:r w:rsidR="00E95F3B" w:rsidRPr="00075282">
              <w:rPr>
                <w:rFonts w:eastAsia="Times New Roman" w:cs="Arial"/>
                <w:sz w:val="22"/>
                <w:lang w:val="en-ZA" w:eastAsia="en-GB"/>
              </w:rPr>
              <w:t xml:space="preserve"> Act </w:t>
            </w:r>
            <w:r w:rsidRPr="00075282">
              <w:rPr>
                <w:rFonts w:eastAsia="Times New Roman" w:cs="Arial"/>
                <w:sz w:val="22"/>
                <w:lang w:val="en-ZA" w:eastAsia="en-GB"/>
              </w:rPr>
              <w:t>44 of 57</w:t>
            </w:r>
            <w:r w:rsidR="00436F98" w:rsidRPr="00075282">
              <w:rPr>
                <w:rFonts w:eastAsia="Times New Roman" w:cs="Arial"/>
                <w:sz w:val="22"/>
                <w:lang w:val="en-ZA" w:eastAsia="en-GB"/>
              </w:rPr>
              <w:t>.</w:t>
            </w:r>
          </w:p>
          <w:p w:rsidR="00823D8E" w:rsidRPr="00075282" w:rsidRDefault="00823D8E" w:rsidP="00075282">
            <w:pPr>
              <w:jc w:val="left"/>
              <w:rPr>
                <w:rFonts w:eastAsia="Times New Roman" w:cs="Arial"/>
                <w:b/>
                <w:bCs/>
                <w:color w:val="000000"/>
                <w:sz w:val="22"/>
                <w:lang w:val="en-GB" w:eastAsia="en-GB"/>
              </w:rPr>
            </w:pPr>
          </w:p>
          <w:p w:rsidR="00E7436F" w:rsidRPr="00075282" w:rsidRDefault="00E7436F" w:rsidP="00075282">
            <w:pPr>
              <w:jc w:val="left"/>
              <w:rPr>
                <w:rFonts w:eastAsia="Times New Roman" w:cs="Arial"/>
                <w:sz w:val="22"/>
                <w:lang w:val="en-ZA" w:eastAsia="en-GB"/>
              </w:rPr>
            </w:pPr>
            <w:r w:rsidRPr="00075282">
              <w:rPr>
                <w:rFonts w:eastAsia="Times New Roman" w:cs="Arial"/>
                <w:b/>
                <w:bCs/>
                <w:color w:val="000000"/>
                <w:sz w:val="22"/>
                <w:lang w:val="en-GB" w:eastAsia="en-GB"/>
              </w:rPr>
              <w:t>COURT FINE</w:t>
            </w:r>
          </w:p>
          <w:p w:rsidR="001D3B2F" w:rsidRPr="00075282" w:rsidRDefault="001D3B2F" w:rsidP="00075282">
            <w:pPr>
              <w:autoSpaceDE w:val="0"/>
              <w:autoSpaceDN w:val="0"/>
              <w:adjustRightInd w:val="0"/>
              <w:jc w:val="left"/>
              <w:rPr>
                <w:rFonts w:eastAsia="Times New Roman" w:cs="Arial"/>
                <w:sz w:val="22"/>
                <w:lang w:val="en-GB" w:eastAsia="en-GB"/>
              </w:rPr>
            </w:pPr>
            <w:r w:rsidRPr="00075282">
              <w:rPr>
                <w:rFonts w:eastAsia="Times New Roman" w:cs="Arial"/>
                <w:sz w:val="22"/>
                <w:lang w:val="en-GB" w:eastAsia="en-GB"/>
              </w:rPr>
              <w:t xml:space="preserve">A court fine is </w:t>
            </w:r>
            <w:r w:rsidR="00CB560C" w:rsidRPr="00075282">
              <w:rPr>
                <w:rFonts w:eastAsia="Times New Roman" w:cs="Arial"/>
                <w:sz w:val="22"/>
                <w:lang w:val="en-GB" w:eastAsia="en-GB"/>
              </w:rPr>
              <w:t xml:space="preserve">a </w:t>
            </w:r>
            <w:r w:rsidRPr="00075282">
              <w:rPr>
                <w:rFonts w:eastAsia="Times New Roman" w:cs="Arial"/>
                <w:sz w:val="22"/>
                <w:lang w:val="en-GB" w:eastAsia="en-GB"/>
              </w:rPr>
              <w:t>penalty determined by the presiding officer for an offence and payable to the relevant authority.</w:t>
            </w:r>
          </w:p>
          <w:p w:rsidR="001D3B2F" w:rsidRPr="00075282" w:rsidRDefault="001D3B2F" w:rsidP="00075282">
            <w:pPr>
              <w:jc w:val="left"/>
              <w:rPr>
                <w:rFonts w:eastAsia="Times New Roman" w:cs="Arial"/>
                <w:sz w:val="22"/>
                <w:lang w:val="en-GB" w:eastAsia="en-GB"/>
              </w:rPr>
            </w:pPr>
          </w:p>
          <w:p w:rsidR="001D3B2F" w:rsidRPr="00075282" w:rsidRDefault="001D3B2F" w:rsidP="00075282">
            <w:pPr>
              <w:autoSpaceDE w:val="0"/>
              <w:autoSpaceDN w:val="0"/>
              <w:adjustRightInd w:val="0"/>
              <w:jc w:val="left"/>
              <w:rPr>
                <w:rFonts w:eastAsia="Times New Roman" w:cs="Arial"/>
                <w:b/>
                <w:bCs/>
                <w:color w:val="000000"/>
                <w:sz w:val="22"/>
                <w:lang w:val="en-GB" w:eastAsia="en-GB"/>
              </w:rPr>
            </w:pPr>
            <w:r w:rsidRPr="00075282">
              <w:rPr>
                <w:rFonts w:eastAsia="Times New Roman" w:cs="Arial"/>
                <w:b/>
                <w:bCs/>
                <w:color w:val="000000"/>
                <w:sz w:val="22"/>
                <w:lang w:val="en-GB" w:eastAsia="en-GB"/>
              </w:rPr>
              <w:t>MONTHLY COURT FINE PAY-OVERS</w:t>
            </w:r>
          </w:p>
          <w:p w:rsidR="001D3B2F" w:rsidRPr="00075282" w:rsidRDefault="00E6075F" w:rsidP="00075282">
            <w:pPr>
              <w:autoSpaceDE w:val="0"/>
              <w:autoSpaceDN w:val="0"/>
              <w:adjustRightInd w:val="0"/>
              <w:jc w:val="left"/>
              <w:rPr>
                <w:rFonts w:eastAsia="Times New Roman" w:cs="Arial"/>
                <w:color w:val="000000"/>
                <w:sz w:val="22"/>
                <w:lang w:val="en-GB" w:eastAsia="en-GB"/>
              </w:rPr>
            </w:pPr>
            <w:r w:rsidRPr="00075282">
              <w:rPr>
                <w:rFonts w:eastAsia="Times New Roman" w:cs="Arial"/>
                <w:color w:val="000000"/>
                <w:sz w:val="22"/>
                <w:lang w:val="en-GB" w:eastAsia="en-GB"/>
              </w:rPr>
              <w:t>Payments are made to</w:t>
            </w:r>
            <w:r w:rsidR="001D3B2F" w:rsidRPr="00075282">
              <w:rPr>
                <w:rFonts w:eastAsia="Times New Roman" w:cs="Arial"/>
                <w:color w:val="000000"/>
                <w:sz w:val="22"/>
                <w:lang w:val="en-GB" w:eastAsia="en-GB"/>
              </w:rPr>
              <w:t xml:space="preserve"> </w:t>
            </w:r>
            <w:r w:rsidRPr="00075282">
              <w:rPr>
                <w:rFonts w:eastAsia="Times New Roman" w:cs="Arial"/>
                <w:color w:val="000000"/>
                <w:sz w:val="22"/>
                <w:lang w:val="en-GB" w:eastAsia="en-GB"/>
              </w:rPr>
              <w:t xml:space="preserve">inter alia, the </w:t>
            </w:r>
            <w:r w:rsidR="001D3B2F" w:rsidRPr="00075282">
              <w:rPr>
                <w:rFonts w:eastAsia="Times New Roman" w:cs="Arial"/>
                <w:color w:val="000000"/>
                <w:sz w:val="22"/>
                <w:lang w:val="en-GB" w:eastAsia="en-GB"/>
              </w:rPr>
              <w:t>following Authorities.</w:t>
            </w:r>
          </w:p>
          <w:p w:rsidR="001D3B2F" w:rsidRPr="00075282" w:rsidRDefault="001D3B2F" w:rsidP="00075282">
            <w:pPr>
              <w:autoSpaceDE w:val="0"/>
              <w:autoSpaceDN w:val="0"/>
              <w:adjustRightInd w:val="0"/>
              <w:jc w:val="left"/>
              <w:rPr>
                <w:rFonts w:eastAsia="Times New Roman" w:cs="Arial"/>
                <w:color w:val="000000"/>
                <w:sz w:val="22"/>
                <w:lang w:val="en-GB" w:eastAsia="en-GB"/>
              </w:rPr>
            </w:pPr>
            <w:r w:rsidRPr="00075282">
              <w:rPr>
                <w:rFonts w:eastAsia="Times New Roman" w:cs="Arial"/>
                <w:color w:val="333333"/>
                <w:sz w:val="22"/>
                <w:lang w:val="en-GB" w:eastAsia="en-GB"/>
              </w:rPr>
              <w:t xml:space="preserve">- </w:t>
            </w:r>
            <w:r w:rsidRPr="00075282">
              <w:rPr>
                <w:rFonts w:eastAsia="Times New Roman" w:cs="Arial"/>
                <w:color w:val="000000"/>
                <w:sz w:val="22"/>
                <w:lang w:val="en-GB" w:eastAsia="en-GB"/>
              </w:rPr>
              <w:t>Provincial Authority</w:t>
            </w:r>
            <w:r w:rsidR="00E6075F" w:rsidRPr="00075282">
              <w:rPr>
                <w:rFonts w:eastAsia="Times New Roman" w:cs="Arial"/>
                <w:color w:val="000000"/>
                <w:sz w:val="22"/>
                <w:lang w:val="en-GB" w:eastAsia="en-GB"/>
              </w:rPr>
              <w:t>;</w:t>
            </w:r>
          </w:p>
          <w:p w:rsidR="001D3B2F" w:rsidRPr="00075282" w:rsidRDefault="001D3B2F" w:rsidP="00075282">
            <w:pPr>
              <w:autoSpaceDE w:val="0"/>
              <w:autoSpaceDN w:val="0"/>
              <w:adjustRightInd w:val="0"/>
              <w:jc w:val="left"/>
              <w:rPr>
                <w:rFonts w:eastAsia="Times New Roman" w:cs="Arial"/>
                <w:color w:val="000000"/>
                <w:sz w:val="22"/>
                <w:lang w:val="en-GB" w:eastAsia="en-GB"/>
              </w:rPr>
            </w:pPr>
            <w:r w:rsidRPr="00075282">
              <w:rPr>
                <w:rFonts w:eastAsia="Times New Roman" w:cs="Arial"/>
                <w:color w:val="333333"/>
                <w:sz w:val="22"/>
                <w:lang w:val="en-GB" w:eastAsia="en-GB"/>
              </w:rPr>
              <w:t xml:space="preserve">- </w:t>
            </w:r>
            <w:r w:rsidRPr="00075282">
              <w:rPr>
                <w:rFonts w:eastAsia="Times New Roman" w:cs="Arial"/>
                <w:color w:val="000000"/>
                <w:sz w:val="22"/>
                <w:lang w:val="en-GB" w:eastAsia="en-GB"/>
              </w:rPr>
              <w:t>Local Authority</w:t>
            </w:r>
            <w:r w:rsidR="00E6075F" w:rsidRPr="00075282">
              <w:rPr>
                <w:rFonts w:eastAsia="Times New Roman" w:cs="Arial"/>
                <w:color w:val="000000"/>
                <w:sz w:val="22"/>
                <w:lang w:val="en-GB" w:eastAsia="en-GB"/>
              </w:rPr>
              <w:t>;</w:t>
            </w:r>
          </w:p>
          <w:p w:rsidR="001D3B2F" w:rsidRPr="00075282" w:rsidRDefault="001D3B2F" w:rsidP="00075282">
            <w:pPr>
              <w:autoSpaceDE w:val="0"/>
              <w:autoSpaceDN w:val="0"/>
              <w:adjustRightInd w:val="0"/>
              <w:jc w:val="left"/>
              <w:rPr>
                <w:rFonts w:eastAsia="Times New Roman" w:cs="Arial"/>
                <w:color w:val="000000"/>
                <w:sz w:val="22"/>
                <w:lang w:val="en-GB" w:eastAsia="en-GB"/>
              </w:rPr>
            </w:pPr>
            <w:r w:rsidRPr="00075282">
              <w:rPr>
                <w:rFonts w:eastAsia="Times New Roman" w:cs="Arial"/>
                <w:color w:val="333333"/>
                <w:sz w:val="22"/>
                <w:lang w:val="en-GB" w:eastAsia="en-GB"/>
              </w:rPr>
              <w:t xml:space="preserve">- </w:t>
            </w:r>
            <w:r w:rsidRPr="00075282">
              <w:rPr>
                <w:rFonts w:eastAsia="Times New Roman" w:cs="Arial"/>
                <w:color w:val="000000"/>
                <w:sz w:val="22"/>
                <w:lang w:val="en-GB" w:eastAsia="en-GB"/>
              </w:rPr>
              <w:t>Environmental &amp; Tourism</w:t>
            </w:r>
            <w:r w:rsidR="00E6075F" w:rsidRPr="00075282">
              <w:rPr>
                <w:rFonts w:eastAsia="Times New Roman" w:cs="Arial"/>
                <w:color w:val="000000"/>
                <w:sz w:val="22"/>
                <w:lang w:val="en-GB" w:eastAsia="en-GB"/>
              </w:rPr>
              <w:t>;</w:t>
            </w:r>
          </w:p>
          <w:p w:rsidR="001D3B2F" w:rsidRPr="00075282" w:rsidRDefault="001D3B2F" w:rsidP="00075282">
            <w:pPr>
              <w:autoSpaceDE w:val="0"/>
              <w:autoSpaceDN w:val="0"/>
              <w:adjustRightInd w:val="0"/>
              <w:jc w:val="left"/>
              <w:rPr>
                <w:rFonts w:eastAsia="Times New Roman" w:cs="Arial"/>
                <w:color w:val="000000"/>
                <w:sz w:val="22"/>
                <w:lang w:val="en-GB" w:eastAsia="en-GB"/>
              </w:rPr>
            </w:pPr>
            <w:r w:rsidRPr="00075282">
              <w:rPr>
                <w:rFonts w:eastAsia="Times New Roman" w:cs="Arial"/>
                <w:color w:val="333333"/>
                <w:sz w:val="22"/>
                <w:lang w:val="en-GB" w:eastAsia="en-GB"/>
              </w:rPr>
              <w:t xml:space="preserve">- </w:t>
            </w:r>
            <w:r w:rsidRPr="00075282">
              <w:rPr>
                <w:rFonts w:eastAsia="Times New Roman" w:cs="Arial"/>
                <w:color w:val="000000"/>
                <w:sz w:val="22"/>
                <w:lang w:val="en-GB" w:eastAsia="en-GB"/>
              </w:rPr>
              <w:t>Cross Border Transport</w:t>
            </w:r>
            <w:r w:rsidR="00E6075F" w:rsidRPr="00075282">
              <w:rPr>
                <w:rFonts w:eastAsia="Times New Roman" w:cs="Arial"/>
                <w:color w:val="000000"/>
                <w:sz w:val="22"/>
                <w:lang w:val="en-GB" w:eastAsia="en-GB"/>
              </w:rPr>
              <w:t>; and</w:t>
            </w:r>
          </w:p>
          <w:p w:rsidR="000D4AD4" w:rsidRPr="00075282" w:rsidRDefault="001D3B2F" w:rsidP="00075282">
            <w:pPr>
              <w:autoSpaceDE w:val="0"/>
              <w:autoSpaceDN w:val="0"/>
              <w:adjustRightInd w:val="0"/>
              <w:jc w:val="left"/>
              <w:rPr>
                <w:rFonts w:eastAsia="Times New Roman" w:cs="Arial"/>
                <w:color w:val="000000"/>
                <w:sz w:val="22"/>
                <w:lang w:val="en-GB" w:eastAsia="en-GB"/>
              </w:rPr>
            </w:pPr>
            <w:r w:rsidRPr="00075282">
              <w:rPr>
                <w:rFonts w:eastAsia="Times New Roman" w:cs="Arial"/>
                <w:color w:val="333333"/>
                <w:sz w:val="22"/>
                <w:lang w:val="en-GB" w:eastAsia="en-GB"/>
              </w:rPr>
              <w:t xml:space="preserve">- </w:t>
            </w:r>
            <w:r w:rsidRPr="00075282">
              <w:rPr>
                <w:rFonts w:eastAsia="Times New Roman" w:cs="Arial"/>
                <w:color w:val="000000"/>
                <w:sz w:val="22"/>
                <w:lang w:val="en-GB" w:eastAsia="en-GB"/>
              </w:rPr>
              <w:t>Marine Living Resources</w:t>
            </w:r>
            <w:r w:rsidR="005853E1" w:rsidRPr="00075282">
              <w:rPr>
                <w:rFonts w:eastAsia="Times New Roman" w:cs="Arial"/>
                <w:color w:val="000000"/>
                <w:sz w:val="22"/>
                <w:lang w:val="en-GB" w:eastAsia="en-GB"/>
              </w:rPr>
              <w:t>.</w:t>
            </w:r>
          </w:p>
        </w:tc>
      </w:tr>
    </w:tbl>
    <w:p w:rsidR="00E6075F" w:rsidRDefault="00E6075F" w:rsidP="00A2154D">
      <w:pPr>
        <w:spacing w:line="240" w:lineRule="auto"/>
        <w:rPr>
          <w:rFonts w:cs="Arial"/>
          <w:b/>
          <w:sz w:val="22"/>
        </w:rPr>
      </w:pPr>
    </w:p>
    <w:p w:rsidR="000619CB" w:rsidRPr="00A2154D" w:rsidRDefault="00F96ABE" w:rsidP="00E6075F">
      <w:pPr>
        <w:spacing w:line="240" w:lineRule="auto"/>
        <w:jc w:val="center"/>
        <w:rPr>
          <w:rFonts w:cs="Arial"/>
          <w:b/>
          <w:sz w:val="22"/>
        </w:rPr>
      </w:pPr>
      <w:r w:rsidRPr="00A2154D">
        <w:rPr>
          <w:rFonts w:cs="Arial"/>
          <w:b/>
          <w:sz w:val="22"/>
        </w:rPr>
        <w:t>TABLE 2</w:t>
      </w:r>
    </w:p>
    <w:tbl>
      <w:tblPr>
        <w:tblStyle w:val="TableGrid"/>
        <w:tblW w:w="14850" w:type="dxa"/>
        <w:tblInd w:w="-882" w:type="dxa"/>
        <w:tblLook w:val="04A0"/>
      </w:tblPr>
      <w:tblGrid>
        <w:gridCol w:w="4422"/>
        <w:gridCol w:w="1955"/>
        <w:gridCol w:w="4962"/>
        <w:gridCol w:w="3511"/>
      </w:tblGrid>
      <w:tr w:rsidR="008B41E5" w:rsidRPr="00A2154D" w:rsidTr="00F2652C">
        <w:trPr>
          <w:tblHeader/>
        </w:trPr>
        <w:tc>
          <w:tcPr>
            <w:tcW w:w="4422" w:type="dxa"/>
          </w:tcPr>
          <w:p w:rsidR="008B41E5" w:rsidRPr="00A2154D" w:rsidRDefault="008B41E5" w:rsidP="00A2154D">
            <w:pPr>
              <w:jc w:val="center"/>
              <w:rPr>
                <w:rFonts w:cs="Arial"/>
                <w:b/>
                <w:sz w:val="22"/>
              </w:rPr>
            </w:pPr>
            <w:r w:rsidRPr="00A2154D">
              <w:rPr>
                <w:rFonts w:cs="Arial"/>
                <w:b/>
                <w:sz w:val="22"/>
              </w:rPr>
              <w:t>CLAUSE</w:t>
            </w:r>
          </w:p>
          <w:p w:rsidR="008B41E5" w:rsidRPr="00A2154D" w:rsidRDefault="008B41E5" w:rsidP="00A2154D">
            <w:pPr>
              <w:jc w:val="center"/>
              <w:rPr>
                <w:rFonts w:cs="Arial"/>
                <w:b/>
                <w:sz w:val="22"/>
              </w:rPr>
            </w:pPr>
            <w:r w:rsidRPr="00A2154D">
              <w:rPr>
                <w:rFonts w:cs="Arial"/>
                <w:b/>
                <w:sz w:val="22"/>
              </w:rPr>
              <w:t>PROVISIONS</w:t>
            </w:r>
          </w:p>
        </w:tc>
        <w:tc>
          <w:tcPr>
            <w:tcW w:w="1955" w:type="dxa"/>
          </w:tcPr>
          <w:p w:rsidR="008B41E5" w:rsidRPr="00A2154D" w:rsidRDefault="008B41E5" w:rsidP="00A2154D">
            <w:pPr>
              <w:jc w:val="center"/>
              <w:rPr>
                <w:rFonts w:cs="Arial"/>
                <w:b/>
                <w:sz w:val="22"/>
              </w:rPr>
            </w:pPr>
            <w:r w:rsidRPr="00A2154D">
              <w:rPr>
                <w:rFonts w:cs="Arial"/>
                <w:b/>
                <w:sz w:val="22"/>
              </w:rPr>
              <w:t>NAME OF DEPARTMENT/</w:t>
            </w:r>
          </w:p>
          <w:p w:rsidR="008B41E5" w:rsidRPr="00A2154D" w:rsidRDefault="008B41E5" w:rsidP="00A2154D">
            <w:pPr>
              <w:jc w:val="center"/>
              <w:rPr>
                <w:rFonts w:cs="Arial"/>
                <w:b/>
                <w:sz w:val="22"/>
              </w:rPr>
            </w:pPr>
            <w:r w:rsidRPr="00A2154D">
              <w:rPr>
                <w:rFonts w:cs="Arial"/>
                <w:b/>
                <w:sz w:val="22"/>
              </w:rPr>
              <w:t>INSTITUTION</w:t>
            </w:r>
          </w:p>
        </w:tc>
        <w:tc>
          <w:tcPr>
            <w:tcW w:w="4962" w:type="dxa"/>
          </w:tcPr>
          <w:p w:rsidR="008B41E5" w:rsidRPr="00A2154D" w:rsidRDefault="008B41E5" w:rsidP="00A2154D">
            <w:pPr>
              <w:jc w:val="center"/>
              <w:rPr>
                <w:rFonts w:cs="Arial"/>
                <w:b/>
                <w:sz w:val="22"/>
              </w:rPr>
            </w:pPr>
            <w:r w:rsidRPr="00A2154D">
              <w:rPr>
                <w:rFonts w:cs="Arial"/>
                <w:b/>
                <w:sz w:val="22"/>
              </w:rPr>
              <w:t>COMMENTS/</w:t>
            </w:r>
          </w:p>
          <w:p w:rsidR="008B41E5" w:rsidRPr="00A2154D" w:rsidRDefault="008B41E5" w:rsidP="00A2154D">
            <w:pPr>
              <w:jc w:val="center"/>
              <w:rPr>
                <w:rFonts w:cs="Arial"/>
                <w:b/>
                <w:sz w:val="22"/>
              </w:rPr>
            </w:pPr>
            <w:r w:rsidRPr="00A2154D">
              <w:rPr>
                <w:rFonts w:cs="Arial"/>
                <w:b/>
                <w:sz w:val="22"/>
              </w:rPr>
              <w:t>RECOMMENDATIONS</w:t>
            </w:r>
          </w:p>
        </w:tc>
        <w:tc>
          <w:tcPr>
            <w:tcW w:w="3511" w:type="dxa"/>
          </w:tcPr>
          <w:p w:rsidR="008B41E5" w:rsidRPr="00A2154D" w:rsidRDefault="00833CE9" w:rsidP="00A2154D">
            <w:pPr>
              <w:jc w:val="center"/>
              <w:rPr>
                <w:rFonts w:cs="Arial"/>
                <w:b/>
                <w:sz w:val="22"/>
              </w:rPr>
            </w:pPr>
            <w:r w:rsidRPr="00A2154D">
              <w:rPr>
                <w:rFonts w:cs="Arial"/>
                <w:b/>
                <w:sz w:val="22"/>
              </w:rPr>
              <w:t>DOJ</w:t>
            </w:r>
            <w:r w:rsidR="00DD3BC2">
              <w:rPr>
                <w:rFonts w:cs="Arial"/>
                <w:b/>
                <w:sz w:val="22"/>
              </w:rPr>
              <w:t>&amp;</w:t>
            </w:r>
            <w:r w:rsidRPr="00A2154D">
              <w:rPr>
                <w:rFonts w:cs="Arial"/>
                <w:b/>
                <w:sz w:val="22"/>
              </w:rPr>
              <w:t xml:space="preserve">CD </w:t>
            </w:r>
            <w:r w:rsidR="008B41E5" w:rsidRPr="00A2154D">
              <w:rPr>
                <w:rFonts w:cs="Arial"/>
                <w:b/>
                <w:sz w:val="22"/>
              </w:rPr>
              <w:t>RESPONSE</w:t>
            </w:r>
          </w:p>
        </w:tc>
      </w:tr>
      <w:tr w:rsidR="008B41E5" w:rsidRPr="00A2154D" w:rsidTr="00F2652C">
        <w:tc>
          <w:tcPr>
            <w:tcW w:w="4422" w:type="dxa"/>
          </w:tcPr>
          <w:p w:rsidR="00A2154D" w:rsidRPr="00075282" w:rsidRDefault="00A2154D" w:rsidP="00075282">
            <w:pPr>
              <w:jc w:val="left"/>
              <w:rPr>
                <w:rFonts w:cs="Arial"/>
                <w:sz w:val="22"/>
              </w:rPr>
            </w:pPr>
            <w:r w:rsidRPr="00075282">
              <w:rPr>
                <w:rFonts w:cs="Arial"/>
                <w:b/>
                <w:sz w:val="22"/>
              </w:rPr>
              <w:t>1</w:t>
            </w:r>
            <w:r w:rsidR="008B41E5" w:rsidRPr="00075282">
              <w:rPr>
                <w:rFonts w:cs="Arial"/>
                <w:b/>
                <w:sz w:val="22"/>
              </w:rPr>
              <w:t>.  Clause 1</w:t>
            </w:r>
            <w:r w:rsidR="00DD3BC2" w:rsidRPr="00075282">
              <w:rPr>
                <w:rFonts w:cs="Arial"/>
                <w:b/>
                <w:sz w:val="22"/>
              </w:rPr>
              <w:t>:  Definitions</w:t>
            </w:r>
          </w:p>
          <w:p w:rsidR="008B41E5" w:rsidRPr="00075282" w:rsidRDefault="008B41E5" w:rsidP="00075282">
            <w:pPr>
              <w:jc w:val="left"/>
              <w:rPr>
                <w:rFonts w:cs="Arial"/>
                <w:sz w:val="22"/>
              </w:rPr>
            </w:pPr>
          </w:p>
        </w:tc>
        <w:tc>
          <w:tcPr>
            <w:tcW w:w="1955" w:type="dxa"/>
          </w:tcPr>
          <w:p w:rsidR="008B41E5" w:rsidRPr="00075282" w:rsidRDefault="008B41E5" w:rsidP="00075282">
            <w:pPr>
              <w:jc w:val="left"/>
              <w:rPr>
                <w:rFonts w:cs="Arial"/>
                <w:sz w:val="22"/>
              </w:rPr>
            </w:pPr>
          </w:p>
        </w:tc>
        <w:tc>
          <w:tcPr>
            <w:tcW w:w="4962" w:type="dxa"/>
          </w:tcPr>
          <w:p w:rsidR="008B41E5" w:rsidRPr="00075282" w:rsidRDefault="008B41E5" w:rsidP="00075282">
            <w:pPr>
              <w:jc w:val="left"/>
              <w:rPr>
                <w:rFonts w:cs="Arial"/>
                <w:sz w:val="22"/>
              </w:rPr>
            </w:pPr>
          </w:p>
        </w:tc>
        <w:tc>
          <w:tcPr>
            <w:tcW w:w="3511" w:type="dxa"/>
          </w:tcPr>
          <w:p w:rsidR="008B41E5" w:rsidRPr="00075282" w:rsidRDefault="008B41E5" w:rsidP="00075282">
            <w:pPr>
              <w:jc w:val="left"/>
              <w:rPr>
                <w:rFonts w:cs="Arial"/>
                <w:sz w:val="22"/>
              </w:rPr>
            </w:pPr>
          </w:p>
        </w:tc>
      </w:tr>
      <w:tr w:rsidR="008B41E5" w:rsidRPr="00A2154D" w:rsidTr="00F2652C">
        <w:tc>
          <w:tcPr>
            <w:tcW w:w="4422" w:type="dxa"/>
          </w:tcPr>
          <w:p w:rsidR="0030787B" w:rsidRPr="00075282" w:rsidRDefault="00A2154D" w:rsidP="00075282">
            <w:pPr>
              <w:jc w:val="left"/>
              <w:rPr>
                <w:rFonts w:cs="Arial"/>
                <w:color w:val="231F20"/>
                <w:sz w:val="22"/>
                <w:u w:val="single"/>
              </w:rPr>
            </w:pPr>
            <w:r w:rsidRPr="00075282">
              <w:rPr>
                <w:rFonts w:cs="Arial"/>
                <w:b/>
                <w:sz w:val="22"/>
              </w:rPr>
              <w:t>2</w:t>
            </w:r>
            <w:r w:rsidR="008B41E5" w:rsidRPr="00075282">
              <w:rPr>
                <w:rFonts w:cs="Arial"/>
                <w:b/>
                <w:sz w:val="22"/>
              </w:rPr>
              <w:t>.  Clause 2</w:t>
            </w:r>
            <w:r w:rsidR="00DD3BC2" w:rsidRPr="00075282">
              <w:rPr>
                <w:rFonts w:cs="Arial"/>
                <w:b/>
                <w:sz w:val="22"/>
              </w:rPr>
              <w:t>:  Establishment of Justice Administered Fund</w:t>
            </w:r>
          </w:p>
          <w:p w:rsidR="008B41E5" w:rsidRPr="00075282" w:rsidRDefault="008B41E5" w:rsidP="00075282">
            <w:pPr>
              <w:jc w:val="left"/>
              <w:rPr>
                <w:rFonts w:cs="Arial"/>
                <w:sz w:val="22"/>
              </w:rPr>
            </w:pPr>
          </w:p>
        </w:tc>
        <w:tc>
          <w:tcPr>
            <w:tcW w:w="1955" w:type="dxa"/>
          </w:tcPr>
          <w:p w:rsidR="00FE1C55" w:rsidRPr="00075282" w:rsidRDefault="00FE1C55" w:rsidP="00075282">
            <w:pPr>
              <w:jc w:val="left"/>
              <w:rPr>
                <w:rFonts w:cs="Arial"/>
                <w:sz w:val="22"/>
              </w:rPr>
            </w:pPr>
          </w:p>
        </w:tc>
        <w:tc>
          <w:tcPr>
            <w:tcW w:w="4962" w:type="dxa"/>
          </w:tcPr>
          <w:p w:rsidR="00681B5A" w:rsidRPr="00075282" w:rsidRDefault="00681B5A" w:rsidP="00075282">
            <w:pPr>
              <w:jc w:val="left"/>
              <w:rPr>
                <w:rFonts w:cs="Arial"/>
                <w:sz w:val="22"/>
              </w:rPr>
            </w:pPr>
          </w:p>
        </w:tc>
        <w:tc>
          <w:tcPr>
            <w:tcW w:w="3511" w:type="dxa"/>
          </w:tcPr>
          <w:p w:rsidR="00681B5A" w:rsidRPr="00075282" w:rsidRDefault="00681B5A" w:rsidP="00075282">
            <w:pPr>
              <w:jc w:val="left"/>
              <w:rPr>
                <w:rFonts w:cs="Arial"/>
                <w:sz w:val="22"/>
              </w:rPr>
            </w:pPr>
          </w:p>
        </w:tc>
      </w:tr>
      <w:tr w:rsidR="008B41E5" w:rsidRPr="00A2154D" w:rsidTr="00F2652C">
        <w:tc>
          <w:tcPr>
            <w:tcW w:w="4422" w:type="dxa"/>
          </w:tcPr>
          <w:p w:rsidR="00A2154D" w:rsidRPr="00075282" w:rsidRDefault="00A2154D" w:rsidP="00075282">
            <w:pPr>
              <w:jc w:val="left"/>
              <w:rPr>
                <w:rFonts w:cs="Arial"/>
                <w:b/>
                <w:sz w:val="22"/>
              </w:rPr>
            </w:pPr>
            <w:r w:rsidRPr="00075282">
              <w:rPr>
                <w:rFonts w:cs="Arial"/>
                <w:b/>
                <w:sz w:val="22"/>
              </w:rPr>
              <w:t>3</w:t>
            </w:r>
            <w:r w:rsidR="008B41E5" w:rsidRPr="00075282">
              <w:rPr>
                <w:rFonts w:cs="Arial"/>
                <w:b/>
                <w:sz w:val="22"/>
              </w:rPr>
              <w:t>.  Clause 3</w:t>
            </w:r>
            <w:r w:rsidR="00DD3BC2" w:rsidRPr="00075282">
              <w:rPr>
                <w:rFonts w:cs="Arial"/>
                <w:b/>
                <w:sz w:val="22"/>
              </w:rPr>
              <w:t>:</w:t>
            </w:r>
            <w:r w:rsidR="00DD3BC2" w:rsidRPr="00075282">
              <w:rPr>
                <w:rFonts w:cs="Arial"/>
                <w:sz w:val="22"/>
              </w:rPr>
              <w:t xml:space="preserve">  </w:t>
            </w:r>
            <w:r w:rsidR="00DD3BC2" w:rsidRPr="00075282">
              <w:rPr>
                <w:rFonts w:cs="Arial"/>
                <w:b/>
                <w:sz w:val="22"/>
              </w:rPr>
              <w:t>Finances of Fund</w:t>
            </w:r>
          </w:p>
          <w:p w:rsidR="00DD3BC2" w:rsidRPr="00075282" w:rsidRDefault="00DD3BC2" w:rsidP="00075282">
            <w:pPr>
              <w:jc w:val="left"/>
              <w:rPr>
                <w:rFonts w:cs="Arial"/>
                <w:sz w:val="22"/>
              </w:rPr>
            </w:pPr>
            <w:r w:rsidRPr="00075282">
              <w:rPr>
                <w:rFonts w:cs="Arial"/>
                <w:sz w:val="22"/>
              </w:rPr>
              <w:lastRenderedPageBreak/>
              <w:t>The following monies on behalf of third parties must be administered through the</w:t>
            </w:r>
          </w:p>
          <w:p w:rsidR="00DD3BC2" w:rsidRPr="00075282" w:rsidRDefault="00DD3BC2" w:rsidP="00075282">
            <w:pPr>
              <w:jc w:val="left"/>
              <w:rPr>
                <w:rFonts w:cs="Arial"/>
                <w:sz w:val="22"/>
              </w:rPr>
            </w:pPr>
            <w:r w:rsidRPr="00075282">
              <w:rPr>
                <w:rFonts w:cs="Arial"/>
                <w:sz w:val="22"/>
              </w:rPr>
              <w:t>Fund:</w:t>
            </w:r>
          </w:p>
          <w:p w:rsidR="00DD3BC2" w:rsidRPr="00075282" w:rsidRDefault="00DD3BC2" w:rsidP="00075282">
            <w:pPr>
              <w:pStyle w:val="ListParagraph"/>
              <w:numPr>
                <w:ilvl w:val="0"/>
                <w:numId w:val="13"/>
              </w:numPr>
              <w:ind w:left="598" w:hanging="598"/>
              <w:jc w:val="left"/>
              <w:rPr>
                <w:rFonts w:cs="Arial"/>
                <w:sz w:val="22"/>
              </w:rPr>
            </w:pPr>
            <w:r w:rsidRPr="00075282">
              <w:rPr>
                <w:rFonts w:cs="Arial"/>
                <w:sz w:val="22"/>
              </w:rPr>
              <w:t>Money received in terms of maintenance orders made in terms of the Maintenance Act, 1998 (Act No. 99 of 1998);</w:t>
            </w:r>
          </w:p>
          <w:p w:rsidR="00DD3BC2" w:rsidRPr="00075282" w:rsidRDefault="00DD3BC2" w:rsidP="00075282">
            <w:pPr>
              <w:pStyle w:val="ListParagraph"/>
              <w:numPr>
                <w:ilvl w:val="0"/>
                <w:numId w:val="13"/>
              </w:numPr>
              <w:ind w:left="598" w:hanging="598"/>
              <w:jc w:val="left"/>
              <w:rPr>
                <w:rFonts w:cs="Arial"/>
                <w:sz w:val="22"/>
              </w:rPr>
            </w:pPr>
            <w:r w:rsidRPr="00075282">
              <w:rPr>
                <w:rFonts w:cs="Arial"/>
                <w:sz w:val="22"/>
              </w:rPr>
              <w:t>money received as bail, payable in terms of the Criminal Procedure Act, 1977 (Act No. 51 of 1977), or any other Act of Parliament;</w:t>
            </w:r>
          </w:p>
          <w:p w:rsidR="00DD3BC2" w:rsidRPr="00075282" w:rsidRDefault="00DD3BC2" w:rsidP="00075282">
            <w:pPr>
              <w:pStyle w:val="ListParagraph"/>
              <w:numPr>
                <w:ilvl w:val="0"/>
                <w:numId w:val="13"/>
              </w:numPr>
              <w:ind w:left="598" w:hanging="598"/>
              <w:jc w:val="left"/>
              <w:rPr>
                <w:rFonts w:cs="Arial"/>
                <w:sz w:val="22"/>
              </w:rPr>
            </w:pPr>
            <w:r w:rsidRPr="00075282">
              <w:rPr>
                <w:rFonts w:cs="Arial"/>
                <w:sz w:val="22"/>
              </w:rPr>
              <w:t>money paid to court in terms of any Rule of Court or any other law, of which the intended beneficiary is a third party;</w:t>
            </w:r>
          </w:p>
          <w:p w:rsidR="00DD3BC2" w:rsidRPr="00075282" w:rsidRDefault="00DD3BC2" w:rsidP="00075282">
            <w:pPr>
              <w:pStyle w:val="ListParagraph"/>
              <w:numPr>
                <w:ilvl w:val="0"/>
                <w:numId w:val="13"/>
              </w:numPr>
              <w:ind w:left="598" w:hanging="598"/>
              <w:jc w:val="left"/>
              <w:rPr>
                <w:rFonts w:cs="Arial"/>
                <w:sz w:val="22"/>
              </w:rPr>
            </w:pPr>
            <w:r w:rsidRPr="00075282">
              <w:rPr>
                <w:rFonts w:cs="Arial"/>
                <w:sz w:val="22"/>
              </w:rPr>
              <w:t>money received which cannot immediately be allocated into any of the categories listed in paragraphs (a) to (c); and</w:t>
            </w:r>
          </w:p>
          <w:p w:rsidR="00DD3BC2" w:rsidRPr="00075282" w:rsidRDefault="00DD3BC2" w:rsidP="00075282">
            <w:pPr>
              <w:pStyle w:val="ListParagraph"/>
              <w:numPr>
                <w:ilvl w:val="0"/>
                <w:numId w:val="13"/>
              </w:numPr>
              <w:ind w:left="598" w:hanging="598"/>
              <w:jc w:val="left"/>
              <w:rPr>
                <w:rFonts w:cs="Arial"/>
                <w:sz w:val="22"/>
              </w:rPr>
            </w:pPr>
            <w:r w:rsidRPr="00075282">
              <w:rPr>
                <w:rFonts w:cs="Arial"/>
                <w:sz w:val="22"/>
              </w:rPr>
              <w:t>interest earned, or bank charges raised on money paid into or retained by the Fund.</w:t>
            </w:r>
          </w:p>
          <w:p w:rsidR="008B41E5" w:rsidRPr="00075282" w:rsidRDefault="008B41E5" w:rsidP="00075282">
            <w:pPr>
              <w:jc w:val="left"/>
              <w:rPr>
                <w:rFonts w:cs="Arial"/>
                <w:sz w:val="22"/>
                <w:u w:val="single"/>
              </w:rPr>
            </w:pPr>
          </w:p>
        </w:tc>
        <w:tc>
          <w:tcPr>
            <w:tcW w:w="1955" w:type="dxa"/>
          </w:tcPr>
          <w:p w:rsidR="005A3083" w:rsidRPr="00075282" w:rsidRDefault="00DD3BC2" w:rsidP="00075282">
            <w:pPr>
              <w:jc w:val="left"/>
              <w:rPr>
                <w:rFonts w:cs="Arial"/>
                <w:sz w:val="22"/>
              </w:rPr>
            </w:pPr>
            <w:r w:rsidRPr="00075282">
              <w:rPr>
                <w:rFonts w:cs="Arial"/>
                <w:sz w:val="22"/>
              </w:rPr>
              <w:lastRenderedPageBreak/>
              <w:t>GCB</w:t>
            </w:r>
          </w:p>
        </w:tc>
        <w:tc>
          <w:tcPr>
            <w:tcW w:w="4962" w:type="dxa"/>
          </w:tcPr>
          <w:p w:rsidR="00DD3BC2" w:rsidRPr="00075282" w:rsidRDefault="00DD3BC2" w:rsidP="00075282">
            <w:pPr>
              <w:pStyle w:val="ListParagraph"/>
              <w:numPr>
                <w:ilvl w:val="0"/>
                <w:numId w:val="14"/>
              </w:numPr>
              <w:ind w:left="459" w:hanging="425"/>
              <w:jc w:val="left"/>
              <w:rPr>
                <w:rFonts w:cs="Arial"/>
                <w:sz w:val="22"/>
              </w:rPr>
            </w:pPr>
            <w:r w:rsidRPr="00075282">
              <w:rPr>
                <w:rFonts w:cs="Arial"/>
                <w:sz w:val="22"/>
              </w:rPr>
              <w:t xml:space="preserve">As presently formulated </w:t>
            </w:r>
            <w:r w:rsidR="00CB560C" w:rsidRPr="00075282">
              <w:rPr>
                <w:rFonts w:cs="Arial"/>
                <w:sz w:val="22"/>
              </w:rPr>
              <w:t>clause</w:t>
            </w:r>
            <w:r w:rsidRPr="00075282">
              <w:rPr>
                <w:rFonts w:cs="Arial"/>
                <w:sz w:val="22"/>
              </w:rPr>
              <w:t xml:space="preserve"> 3(a) on the </w:t>
            </w:r>
            <w:r w:rsidRPr="00075282">
              <w:rPr>
                <w:rFonts w:cs="Arial"/>
                <w:sz w:val="22"/>
              </w:rPr>
              <w:lastRenderedPageBreak/>
              <w:t xml:space="preserve">face thereof applies to all monies received by any person, on behalf of a third party such as a minor/dependent child, in terms of a maintenance order granted in terms of the Maintenance Act 99 of 1998 (‘the Maintenance Act’). </w:t>
            </w:r>
            <w:r w:rsidR="00E6075F" w:rsidRPr="00075282">
              <w:rPr>
                <w:rFonts w:cs="Arial"/>
                <w:sz w:val="22"/>
              </w:rPr>
              <w:t xml:space="preserve"> </w:t>
            </w:r>
            <w:r w:rsidRPr="00075282">
              <w:rPr>
                <w:rFonts w:cs="Arial"/>
                <w:sz w:val="22"/>
              </w:rPr>
              <w:t>As such, the effect of the section as currently formulated is wide enough to encompass payment of maintenan</w:t>
            </w:r>
            <w:r w:rsidR="00D53385" w:rsidRPr="00075282">
              <w:rPr>
                <w:rFonts w:cs="Arial"/>
                <w:sz w:val="22"/>
              </w:rPr>
              <w:t xml:space="preserve">ce for a minor/dependent child, </w:t>
            </w:r>
            <w:r w:rsidRPr="00075282">
              <w:rPr>
                <w:rFonts w:cs="Arial"/>
                <w:sz w:val="22"/>
              </w:rPr>
              <w:t>by one parent to another parent or maintenance payments received on behalf of a minor child by adm</w:t>
            </w:r>
            <w:r w:rsidR="00436F98" w:rsidRPr="00075282">
              <w:rPr>
                <w:rFonts w:cs="Arial"/>
                <w:sz w:val="22"/>
              </w:rPr>
              <w:t>inistrators of deceased estates.</w:t>
            </w:r>
          </w:p>
          <w:p w:rsidR="00436F98" w:rsidRPr="00075282" w:rsidRDefault="00436F98"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823D8E" w:rsidRPr="00075282" w:rsidRDefault="00823D8E" w:rsidP="00075282">
            <w:pPr>
              <w:jc w:val="left"/>
              <w:rPr>
                <w:rFonts w:cs="Arial"/>
                <w:sz w:val="22"/>
              </w:rPr>
            </w:pPr>
          </w:p>
          <w:p w:rsidR="00CA5827" w:rsidRPr="00075282" w:rsidRDefault="00436F98" w:rsidP="00075282">
            <w:pPr>
              <w:pStyle w:val="ListParagraph"/>
              <w:numPr>
                <w:ilvl w:val="0"/>
                <w:numId w:val="14"/>
              </w:numPr>
              <w:ind w:left="459" w:hanging="425"/>
              <w:jc w:val="left"/>
              <w:rPr>
                <w:rFonts w:cs="Arial"/>
                <w:sz w:val="22"/>
              </w:rPr>
            </w:pPr>
            <w:r w:rsidRPr="00075282">
              <w:rPr>
                <w:rFonts w:cs="Arial"/>
                <w:sz w:val="22"/>
              </w:rPr>
              <w:t>It is submitted that the Bill does make it clear as to what amounts are required to be paid into the Fun</w:t>
            </w:r>
            <w:r w:rsidR="00CA5827" w:rsidRPr="00075282">
              <w:rPr>
                <w:rFonts w:cs="Arial"/>
                <w:sz w:val="22"/>
              </w:rPr>
              <w:t>d.</w:t>
            </w:r>
          </w:p>
          <w:p w:rsidR="00CA5827" w:rsidRPr="00075282" w:rsidRDefault="00CA5827"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C4465" w:rsidRPr="00075282" w:rsidRDefault="008C4465"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jc w:val="left"/>
              <w:rPr>
                <w:rFonts w:cs="Arial"/>
                <w:sz w:val="22"/>
              </w:rPr>
            </w:pPr>
          </w:p>
          <w:p w:rsidR="00DD3BC2" w:rsidRPr="00075282" w:rsidRDefault="00CA5827" w:rsidP="00075282">
            <w:pPr>
              <w:pStyle w:val="ListParagraph"/>
              <w:numPr>
                <w:ilvl w:val="0"/>
                <w:numId w:val="14"/>
              </w:numPr>
              <w:ind w:left="459" w:hanging="425"/>
              <w:jc w:val="left"/>
              <w:rPr>
                <w:rFonts w:cs="Arial"/>
                <w:sz w:val="22"/>
              </w:rPr>
            </w:pPr>
            <w:r w:rsidRPr="00075282">
              <w:rPr>
                <w:rFonts w:cs="Arial"/>
                <w:sz w:val="22"/>
              </w:rPr>
              <w:t xml:space="preserve">It is recommended that </w:t>
            </w:r>
            <w:r w:rsidR="00CB560C" w:rsidRPr="00075282">
              <w:rPr>
                <w:rFonts w:cs="Arial"/>
                <w:sz w:val="22"/>
              </w:rPr>
              <w:t>clause</w:t>
            </w:r>
            <w:r w:rsidRPr="00075282">
              <w:rPr>
                <w:rFonts w:cs="Arial"/>
                <w:sz w:val="22"/>
              </w:rPr>
              <w:t xml:space="preserve"> 3(a) and (d) be amended to make reference to receipt of monies received by particular persons and/or entities, </w:t>
            </w:r>
            <w:r w:rsidR="00CB560C" w:rsidRPr="00075282">
              <w:rPr>
                <w:rFonts w:cs="Arial"/>
                <w:sz w:val="22"/>
              </w:rPr>
              <w:t>f</w:t>
            </w:r>
            <w:r w:rsidRPr="00075282">
              <w:rPr>
                <w:rFonts w:cs="Arial"/>
                <w:sz w:val="22"/>
              </w:rPr>
              <w:t xml:space="preserve">or example the </w:t>
            </w:r>
            <w:r w:rsidR="00CB560C" w:rsidRPr="00075282">
              <w:rPr>
                <w:rFonts w:cs="Arial"/>
                <w:sz w:val="22"/>
              </w:rPr>
              <w:t>c</w:t>
            </w:r>
            <w:r w:rsidRPr="00075282">
              <w:rPr>
                <w:rFonts w:cs="Arial"/>
                <w:sz w:val="22"/>
              </w:rPr>
              <w:t xml:space="preserve">lerk of the </w:t>
            </w:r>
            <w:r w:rsidR="00CB560C" w:rsidRPr="00075282">
              <w:rPr>
                <w:rFonts w:cs="Arial"/>
                <w:sz w:val="22"/>
              </w:rPr>
              <w:t>m</w:t>
            </w:r>
            <w:r w:rsidRPr="00075282">
              <w:rPr>
                <w:rFonts w:cs="Arial"/>
                <w:sz w:val="22"/>
              </w:rPr>
              <w:t>aintenance Court.</w:t>
            </w:r>
          </w:p>
          <w:p w:rsidR="00CA5827" w:rsidRPr="00075282" w:rsidRDefault="00CA5827"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C4465" w:rsidP="00075282">
            <w:pPr>
              <w:pStyle w:val="ListParagraph"/>
              <w:tabs>
                <w:tab w:val="left" w:pos="1380"/>
              </w:tabs>
              <w:ind w:left="459"/>
              <w:jc w:val="left"/>
              <w:rPr>
                <w:rFonts w:cs="Arial"/>
                <w:sz w:val="22"/>
              </w:rPr>
            </w:pPr>
            <w:r w:rsidRPr="00075282">
              <w:rPr>
                <w:rFonts w:cs="Arial"/>
                <w:sz w:val="22"/>
              </w:rPr>
              <w:tab/>
            </w:r>
          </w:p>
          <w:p w:rsidR="008C4465" w:rsidRPr="00075282" w:rsidRDefault="008C4465" w:rsidP="00075282">
            <w:pPr>
              <w:pStyle w:val="ListParagraph"/>
              <w:tabs>
                <w:tab w:val="left" w:pos="1380"/>
              </w:tabs>
              <w:ind w:left="459"/>
              <w:jc w:val="left"/>
              <w:rPr>
                <w:rFonts w:cs="Arial"/>
                <w:sz w:val="22"/>
              </w:rPr>
            </w:pPr>
          </w:p>
          <w:p w:rsidR="008C4465" w:rsidRPr="00075282" w:rsidRDefault="008C4465" w:rsidP="00075282">
            <w:pPr>
              <w:pStyle w:val="ListParagraph"/>
              <w:tabs>
                <w:tab w:val="left" w:pos="1380"/>
              </w:tabs>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pStyle w:val="ListParagraph"/>
              <w:ind w:left="459"/>
              <w:jc w:val="left"/>
              <w:rPr>
                <w:rFonts w:cs="Arial"/>
                <w:sz w:val="22"/>
              </w:rPr>
            </w:pPr>
          </w:p>
          <w:p w:rsidR="00823D8E" w:rsidRPr="00075282" w:rsidRDefault="00823D8E" w:rsidP="00075282">
            <w:pPr>
              <w:jc w:val="left"/>
              <w:rPr>
                <w:rFonts w:cs="Arial"/>
                <w:sz w:val="22"/>
              </w:rPr>
            </w:pPr>
          </w:p>
          <w:p w:rsidR="00CA5827" w:rsidRPr="00075282" w:rsidRDefault="00CB560C" w:rsidP="00075282">
            <w:pPr>
              <w:pStyle w:val="ListParagraph"/>
              <w:numPr>
                <w:ilvl w:val="0"/>
                <w:numId w:val="14"/>
              </w:numPr>
              <w:ind w:left="459" w:hanging="425"/>
              <w:jc w:val="left"/>
              <w:rPr>
                <w:rFonts w:cs="Arial"/>
                <w:sz w:val="22"/>
              </w:rPr>
            </w:pPr>
            <w:r w:rsidRPr="00075282">
              <w:rPr>
                <w:rFonts w:cs="Arial"/>
                <w:sz w:val="22"/>
              </w:rPr>
              <w:t>Clause</w:t>
            </w:r>
            <w:r w:rsidR="00CA5827" w:rsidRPr="00075282">
              <w:rPr>
                <w:rFonts w:cs="Arial"/>
                <w:sz w:val="22"/>
              </w:rPr>
              <w:t xml:space="preserve"> 3(c) would appear to contemplate, inter alia, monies currently paid into the Guardians Fund.</w:t>
            </w:r>
          </w:p>
          <w:p w:rsidR="005A3083" w:rsidRPr="00075282" w:rsidRDefault="005A3083" w:rsidP="00075282">
            <w:pPr>
              <w:tabs>
                <w:tab w:val="left" w:pos="1749"/>
              </w:tabs>
              <w:jc w:val="left"/>
              <w:rPr>
                <w:rFonts w:cs="Arial"/>
                <w:sz w:val="22"/>
              </w:rPr>
            </w:pPr>
          </w:p>
        </w:tc>
        <w:tc>
          <w:tcPr>
            <w:tcW w:w="3511" w:type="dxa"/>
          </w:tcPr>
          <w:p w:rsidR="00B75419" w:rsidRPr="00075282" w:rsidRDefault="00B75419" w:rsidP="00075282">
            <w:pPr>
              <w:pStyle w:val="ListParagraph"/>
              <w:numPr>
                <w:ilvl w:val="0"/>
                <w:numId w:val="15"/>
              </w:numPr>
              <w:ind w:left="458" w:hanging="425"/>
              <w:jc w:val="left"/>
              <w:rPr>
                <w:rFonts w:cs="Arial"/>
                <w:sz w:val="22"/>
              </w:rPr>
            </w:pPr>
            <w:r w:rsidRPr="00075282">
              <w:rPr>
                <w:rFonts w:cs="Arial"/>
                <w:sz w:val="22"/>
              </w:rPr>
              <w:lastRenderedPageBreak/>
              <w:t xml:space="preserve">Section 15 of the </w:t>
            </w:r>
            <w:r w:rsidRPr="00075282">
              <w:rPr>
                <w:rFonts w:cs="Arial"/>
                <w:sz w:val="22"/>
              </w:rPr>
              <w:lastRenderedPageBreak/>
              <w:t xml:space="preserve">Maintenance Act provides for orders to be made by the presiding officer. </w:t>
            </w:r>
            <w:r w:rsidR="00E6075F" w:rsidRPr="00075282">
              <w:rPr>
                <w:rFonts w:cs="Arial"/>
                <w:sz w:val="22"/>
              </w:rPr>
              <w:t xml:space="preserve"> </w:t>
            </w:r>
            <w:r w:rsidRPr="00075282">
              <w:rPr>
                <w:rFonts w:cs="Arial"/>
                <w:sz w:val="22"/>
              </w:rPr>
              <w:t xml:space="preserve">If the court finds the person liable for paying maintenance, it will make an order for the amount of maintenance to be paid. </w:t>
            </w:r>
            <w:r w:rsidR="00D24D21" w:rsidRPr="00075282">
              <w:rPr>
                <w:rFonts w:cs="Arial"/>
                <w:sz w:val="22"/>
              </w:rPr>
              <w:t xml:space="preserve"> </w:t>
            </w:r>
            <w:r w:rsidRPr="00075282">
              <w:rPr>
                <w:rFonts w:cs="Arial"/>
                <w:sz w:val="22"/>
              </w:rPr>
              <w:t>The court will also determine when and how maintenance payments must be made.</w:t>
            </w:r>
          </w:p>
          <w:p w:rsidR="00B75419" w:rsidRPr="00075282" w:rsidRDefault="00B75419" w:rsidP="00075282">
            <w:pPr>
              <w:pStyle w:val="ListParagraph"/>
              <w:ind w:left="458"/>
              <w:jc w:val="left"/>
              <w:rPr>
                <w:rFonts w:cs="Arial"/>
                <w:sz w:val="22"/>
              </w:rPr>
            </w:pPr>
          </w:p>
          <w:p w:rsidR="00B75419" w:rsidRPr="00075282" w:rsidRDefault="00B75419" w:rsidP="00075282">
            <w:pPr>
              <w:pStyle w:val="ListParagraph"/>
              <w:ind w:left="458"/>
              <w:jc w:val="left"/>
              <w:rPr>
                <w:rFonts w:cs="Arial"/>
                <w:sz w:val="22"/>
              </w:rPr>
            </w:pPr>
            <w:r w:rsidRPr="00075282">
              <w:rPr>
                <w:rFonts w:cs="Arial"/>
                <w:sz w:val="22"/>
              </w:rPr>
              <w:t>The court can order maintenance money to be paid in one of the following ways:</w:t>
            </w:r>
          </w:p>
          <w:p w:rsidR="00B75419" w:rsidRPr="00075282" w:rsidRDefault="00B75419" w:rsidP="00075282">
            <w:pPr>
              <w:pStyle w:val="ListParagraph"/>
              <w:numPr>
                <w:ilvl w:val="0"/>
                <w:numId w:val="16"/>
              </w:numPr>
              <w:ind w:left="883" w:hanging="425"/>
              <w:jc w:val="left"/>
              <w:rPr>
                <w:rFonts w:cs="Arial"/>
                <w:sz w:val="22"/>
              </w:rPr>
            </w:pPr>
            <w:r w:rsidRPr="00075282">
              <w:rPr>
                <w:rFonts w:cs="Arial"/>
                <w:sz w:val="22"/>
              </w:rPr>
              <w:t>At the local magistrate's office or any other government office designated for this purpose.</w:t>
            </w:r>
          </w:p>
          <w:p w:rsidR="00B75419" w:rsidRPr="00075282" w:rsidRDefault="00B75419" w:rsidP="00075282">
            <w:pPr>
              <w:pStyle w:val="ListParagraph"/>
              <w:numPr>
                <w:ilvl w:val="0"/>
                <w:numId w:val="16"/>
              </w:numPr>
              <w:ind w:left="883" w:hanging="425"/>
              <w:jc w:val="left"/>
              <w:rPr>
                <w:rFonts w:cs="Arial"/>
                <w:sz w:val="22"/>
              </w:rPr>
            </w:pPr>
            <w:r w:rsidRPr="00075282">
              <w:rPr>
                <w:rFonts w:cs="Arial"/>
                <w:sz w:val="22"/>
              </w:rPr>
              <w:t>Into the bank account designated by the person concerned.</w:t>
            </w:r>
          </w:p>
          <w:p w:rsidR="00B75419" w:rsidRPr="00075282" w:rsidRDefault="00B75419" w:rsidP="00075282">
            <w:pPr>
              <w:pStyle w:val="ListParagraph"/>
              <w:numPr>
                <w:ilvl w:val="0"/>
                <w:numId w:val="16"/>
              </w:numPr>
              <w:ind w:left="883" w:hanging="425"/>
              <w:jc w:val="left"/>
              <w:rPr>
                <w:rFonts w:cs="Arial"/>
                <w:sz w:val="22"/>
              </w:rPr>
            </w:pPr>
            <w:r w:rsidRPr="00075282">
              <w:rPr>
                <w:rFonts w:cs="Arial"/>
                <w:sz w:val="22"/>
              </w:rPr>
              <w:t>Directly to the person who is entitled to the money, or</w:t>
            </w:r>
          </w:p>
          <w:p w:rsidR="005A3083" w:rsidRPr="00075282" w:rsidRDefault="00B75419" w:rsidP="00075282">
            <w:pPr>
              <w:pStyle w:val="ListParagraph"/>
              <w:numPr>
                <w:ilvl w:val="0"/>
                <w:numId w:val="16"/>
              </w:numPr>
              <w:ind w:left="883" w:hanging="425"/>
              <w:jc w:val="left"/>
              <w:rPr>
                <w:rFonts w:cs="Arial"/>
                <w:sz w:val="22"/>
              </w:rPr>
            </w:pPr>
            <w:r w:rsidRPr="00075282">
              <w:rPr>
                <w:rFonts w:cs="Arial"/>
                <w:sz w:val="22"/>
              </w:rPr>
              <w:t xml:space="preserve">By means of an order that directs the employer of the person who is liable for paying maintenance to deduct the maintenance payment directly from </w:t>
            </w:r>
            <w:r w:rsidRPr="00075282">
              <w:rPr>
                <w:rFonts w:cs="Arial"/>
                <w:sz w:val="22"/>
              </w:rPr>
              <w:lastRenderedPageBreak/>
              <w:t>the employee’s salary, in accordance with the 1998 Maintenance Act.</w:t>
            </w:r>
          </w:p>
          <w:p w:rsidR="00B75419" w:rsidRPr="00075282" w:rsidRDefault="008C4465" w:rsidP="00075282">
            <w:pPr>
              <w:jc w:val="left"/>
              <w:rPr>
                <w:rFonts w:cs="Arial"/>
                <w:sz w:val="22"/>
              </w:rPr>
            </w:pPr>
            <w:r w:rsidRPr="00075282">
              <w:rPr>
                <w:rFonts w:cs="Arial"/>
                <w:sz w:val="22"/>
              </w:rPr>
              <w:t>T</w:t>
            </w:r>
            <w:r w:rsidR="00B75419" w:rsidRPr="00075282">
              <w:rPr>
                <w:rFonts w:cs="Arial"/>
                <w:sz w:val="22"/>
              </w:rPr>
              <w:t xml:space="preserve">he maintenance referred to in </w:t>
            </w:r>
            <w:r w:rsidR="00CB560C" w:rsidRPr="00075282">
              <w:rPr>
                <w:rFonts w:cs="Arial"/>
                <w:sz w:val="22"/>
              </w:rPr>
              <w:t>clause</w:t>
            </w:r>
            <w:r w:rsidR="00B75419" w:rsidRPr="00075282">
              <w:rPr>
                <w:rFonts w:cs="Arial"/>
                <w:sz w:val="22"/>
              </w:rPr>
              <w:t xml:space="preserve"> </w:t>
            </w:r>
            <w:r w:rsidR="00D24D21" w:rsidRPr="00075282">
              <w:rPr>
                <w:rFonts w:cs="Arial"/>
                <w:sz w:val="22"/>
              </w:rPr>
              <w:t>3</w:t>
            </w:r>
            <w:r w:rsidR="00B75419" w:rsidRPr="00075282">
              <w:rPr>
                <w:rFonts w:cs="Arial"/>
                <w:sz w:val="22"/>
              </w:rPr>
              <w:t>(a)</w:t>
            </w:r>
            <w:r w:rsidR="00D24D21" w:rsidRPr="00075282">
              <w:rPr>
                <w:rFonts w:cs="Arial"/>
                <w:sz w:val="22"/>
              </w:rPr>
              <w:t xml:space="preserve"> of the Bill</w:t>
            </w:r>
            <w:r w:rsidR="00B75419" w:rsidRPr="00075282">
              <w:rPr>
                <w:rFonts w:cs="Arial"/>
                <w:sz w:val="22"/>
              </w:rPr>
              <w:t xml:space="preserve"> is  maintenance</w:t>
            </w:r>
            <w:r w:rsidRPr="00075282">
              <w:rPr>
                <w:rFonts w:cs="Arial"/>
                <w:sz w:val="22"/>
              </w:rPr>
              <w:t xml:space="preserve"> money that</w:t>
            </w:r>
            <w:r w:rsidR="00B75419" w:rsidRPr="00075282">
              <w:rPr>
                <w:rFonts w:cs="Arial"/>
                <w:sz w:val="22"/>
              </w:rPr>
              <w:t xml:space="preserve"> a court </w:t>
            </w:r>
            <w:r w:rsidR="00B75419" w:rsidRPr="00075282">
              <w:rPr>
                <w:rFonts w:cs="Arial"/>
                <w:b/>
                <w:sz w:val="22"/>
              </w:rPr>
              <w:t>directs</w:t>
            </w:r>
            <w:r w:rsidR="00B75419" w:rsidRPr="00075282">
              <w:rPr>
                <w:rFonts w:cs="Arial"/>
                <w:sz w:val="22"/>
              </w:rPr>
              <w:t xml:space="preserve"> shall be paid at the local magistrate's court</w:t>
            </w:r>
            <w:r w:rsidR="001848F4" w:rsidRPr="00075282">
              <w:rPr>
                <w:rFonts w:cs="Arial"/>
                <w:sz w:val="22"/>
              </w:rPr>
              <w:t xml:space="preserve"> </w:t>
            </w:r>
            <w:r w:rsidR="001848F4" w:rsidRPr="00075282">
              <w:rPr>
                <w:rFonts w:cs="Arial"/>
                <w:b/>
                <w:sz w:val="22"/>
              </w:rPr>
              <w:t>and not</w:t>
            </w:r>
            <w:r w:rsidR="001848F4" w:rsidRPr="00075282">
              <w:rPr>
                <w:rFonts w:cs="Arial"/>
                <w:sz w:val="22"/>
              </w:rPr>
              <w:t xml:space="preserve"> all maintenance</w:t>
            </w:r>
            <w:r w:rsidR="00B75419" w:rsidRPr="00075282">
              <w:rPr>
                <w:rFonts w:cs="Arial"/>
                <w:sz w:val="22"/>
              </w:rPr>
              <w:t>.</w:t>
            </w:r>
          </w:p>
          <w:p w:rsidR="00436F98" w:rsidRPr="00075282" w:rsidRDefault="00436F98" w:rsidP="00075282">
            <w:pPr>
              <w:jc w:val="left"/>
              <w:rPr>
                <w:rFonts w:cs="Arial"/>
                <w:sz w:val="22"/>
              </w:rPr>
            </w:pPr>
          </w:p>
          <w:p w:rsidR="00436F98" w:rsidRPr="00075282" w:rsidRDefault="00436F98" w:rsidP="00075282">
            <w:pPr>
              <w:pStyle w:val="ListParagraph"/>
              <w:numPr>
                <w:ilvl w:val="0"/>
                <w:numId w:val="15"/>
              </w:numPr>
              <w:ind w:left="458" w:hanging="425"/>
              <w:jc w:val="left"/>
              <w:rPr>
                <w:rFonts w:cs="Arial"/>
                <w:sz w:val="22"/>
              </w:rPr>
            </w:pPr>
            <w:r w:rsidRPr="00075282">
              <w:rPr>
                <w:rFonts w:cs="Arial"/>
                <w:sz w:val="22"/>
              </w:rPr>
              <w:t>The amounts are determined by the court and cannot be specified in the Bi</w:t>
            </w:r>
            <w:r w:rsidR="00212FC1" w:rsidRPr="00075282">
              <w:rPr>
                <w:rFonts w:cs="Arial"/>
                <w:sz w:val="22"/>
              </w:rPr>
              <w:t>ll. The money in the Justice Administered Fund</w:t>
            </w:r>
            <w:r w:rsidRPr="00075282">
              <w:rPr>
                <w:rFonts w:cs="Arial"/>
                <w:sz w:val="22"/>
              </w:rPr>
              <w:t xml:space="preserve"> comprises bail, fines, maintenance</w:t>
            </w:r>
            <w:r w:rsidR="00CA5827" w:rsidRPr="00075282">
              <w:rPr>
                <w:rFonts w:cs="Arial"/>
                <w:sz w:val="22"/>
              </w:rPr>
              <w:t xml:space="preserve">, money not immediately identified and interest. </w:t>
            </w:r>
            <w:r w:rsidR="00D24D21" w:rsidRPr="00075282">
              <w:rPr>
                <w:rFonts w:cs="Arial"/>
                <w:sz w:val="22"/>
              </w:rPr>
              <w:t xml:space="preserve"> </w:t>
            </w:r>
            <w:r w:rsidR="00CA5827" w:rsidRPr="00075282">
              <w:rPr>
                <w:rFonts w:cs="Arial"/>
                <w:sz w:val="22"/>
              </w:rPr>
              <w:t xml:space="preserve">This is </w:t>
            </w:r>
            <w:r w:rsidRPr="00075282">
              <w:rPr>
                <w:rFonts w:cs="Arial"/>
                <w:sz w:val="22"/>
              </w:rPr>
              <w:t>not a new</w:t>
            </w:r>
            <w:r w:rsidR="008C4465" w:rsidRPr="00075282">
              <w:rPr>
                <w:rFonts w:cs="Arial"/>
                <w:sz w:val="22"/>
              </w:rPr>
              <w:t>.</w:t>
            </w:r>
            <w:r w:rsidRPr="00075282">
              <w:rPr>
                <w:rFonts w:cs="Arial"/>
                <w:sz w:val="22"/>
              </w:rPr>
              <w:t xml:space="preserve">  </w:t>
            </w:r>
            <w:r w:rsidR="00D24D21" w:rsidRPr="00075282">
              <w:rPr>
                <w:rFonts w:cs="Arial"/>
                <w:sz w:val="22"/>
              </w:rPr>
              <w:t xml:space="preserve"> </w:t>
            </w:r>
            <w:r w:rsidRPr="00075282">
              <w:rPr>
                <w:rFonts w:cs="Arial"/>
                <w:sz w:val="22"/>
              </w:rPr>
              <w:t xml:space="preserve">It </w:t>
            </w:r>
            <w:r w:rsidR="008C4465" w:rsidRPr="00075282">
              <w:rPr>
                <w:rFonts w:cs="Arial"/>
                <w:sz w:val="22"/>
              </w:rPr>
              <w:t xml:space="preserve">reflects the current </w:t>
            </w:r>
            <w:r w:rsidRPr="00075282">
              <w:rPr>
                <w:rFonts w:cs="Arial"/>
                <w:sz w:val="22"/>
              </w:rPr>
              <w:t>situation</w:t>
            </w:r>
            <w:r w:rsidR="008C4465" w:rsidRPr="00075282">
              <w:rPr>
                <w:rFonts w:cs="Arial"/>
                <w:sz w:val="22"/>
              </w:rPr>
              <w:t>.</w:t>
            </w:r>
            <w:r w:rsidRPr="00075282">
              <w:rPr>
                <w:rFonts w:cs="Arial"/>
                <w:sz w:val="22"/>
              </w:rPr>
              <w:t xml:space="preserve"> </w:t>
            </w:r>
            <w:r w:rsidR="008C4465" w:rsidRPr="00075282">
              <w:rPr>
                <w:rFonts w:cs="Arial"/>
                <w:sz w:val="22"/>
              </w:rPr>
              <w:t xml:space="preserve">The Bill merely incorporates in legislation the current position </w:t>
            </w:r>
            <w:r w:rsidR="00E95F3B" w:rsidRPr="00075282">
              <w:rPr>
                <w:rFonts w:cs="Arial"/>
                <w:sz w:val="22"/>
              </w:rPr>
              <w:t>to give it a legal basis as requested by the Auditor-General</w:t>
            </w:r>
            <w:r w:rsidRPr="00075282">
              <w:rPr>
                <w:rFonts w:cs="Arial"/>
                <w:sz w:val="22"/>
              </w:rPr>
              <w:t xml:space="preserve">. </w:t>
            </w:r>
            <w:r w:rsidR="00CA5827" w:rsidRPr="00075282">
              <w:rPr>
                <w:rFonts w:cs="Arial"/>
                <w:sz w:val="22"/>
              </w:rPr>
              <w:t xml:space="preserve"> See history of the Deposit Account in Table 1.</w:t>
            </w:r>
          </w:p>
          <w:p w:rsidR="00CA5827" w:rsidRPr="00075282" w:rsidRDefault="00CA5827" w:rsidP="00075282">
            <w:pPr>
              <w:pStyle w:val="ListParagraph"/>
              <w:ind w:left="458"/>
              <w:jc w:val="left"/>
              <w:rPr>
                <w:rFonts w:cs="Arial"/>
                <w:sz w:val="22"/>
              </w:rPr>
            </w:pPr>
          </w:p>
          <w:p w:rsidR="00CA5827" w:rsidRPr="00075282" w:rsidRDefault="00CA5827" w:rsidP="00075282">
            <w:pPr>
              <w:pStyle w:val="ListParagraph"/>
              <w:numPr>
                <w:ilvl w:val="0"/>
                <w:numId w:val="15"/>
              </w:numPr>
              <w:ind w:left="458" w:hanging="425"/>
              <w:jc w:val="left"/>
              <w:rPr>
                <w:rFonts w:cs="Arial"/>
                <w:sz w:val="22"/>
              </w:rPr>
            </w:pPr>
            <w:r w:rsidRPr="00075282">
              <w:rPr>
                <w:rFonts w:cs="Arial"/>
                <w:sz w:val="22"/>
              </w:rPr>
              <w:t xml:space="preserve">It will not be advisable to list the persons who must receive money. </w:t>
            </w:r>
            <w:r w:rsidR="00E95F3B" w:rsidRPr="00075282">
              <w:rPr>
                <w:rFonts w:cs="Arial"/>
                <w:sz w:val="22"/>
              </w:rPr>
              <w:t xml:space="preserve"> </w:t>
            </w:r>
            <w:r w:rsidRPr="00075282">
              <w:rPr>
                <w:rFonts w:cs="Arial"/>
                <w:sz w:val="22"/>
              </w:rPr>
              <w:t xml:space="preserve">In the legislation </w:t>
            </w:r>
            <w:r w:rsidR="008C4465" w:rsidRPr="00075282">
              <w:rPr>
                <w:rFonts w:cs="Arial"/>
                <w:sz w:val="22"/>
              </w:rPr>
              <w:t>referred to</w:t>
            </w:r>
            <w:r w:rsidRPr="00075282">
              <w:rPr>
                <w:rFonts w:cs="Arial"/>
                <w:sz w:val="22"/>
              </w:rPr>
              <w:t xml:space="preserve"> in Table 1, the specific Act already stipulates whether it </w:t>
            </w:r>
            <w:r w:rsidRPr="00075282">
              <w:rPr>
                <w:rFonts w:cs="Arial"/>
                <w:sz w:val="22"/>
              </w:rPr>
              <w:lastRenderedPageBreak/>
              <w:t>should be paid to the clerk of the court or the court or the maintenance officer.</w:t>
            </w:r>
            <w:r w:rsidR="00D24D21" w:rsidRPr="00075282">
              <w:rPr>
                <w:rFonts w:cs="Arial"/>
                <w:sz w:val="22"/>
              </w:rPr>
              <w:t xml:space="preserve">  It should be noted that although a provision in legislation provides that money be paid to the clerk of the court, the maintenance  officer, or the court the money is not paid to that person 'in pe</w:t>
            </w:r>
            <w:r w:rsidR="00E95F3B" w:rsidRPr="00075282">
              <w:rPr>
                <w:rFonts w:cs="Arial"/>
                <w:sz w:val="22"/>
              </w:rPr>
              <w:t>rson'.  Each court has a cash hall</w:t>
            </w:r>
            <w:r w:rsidR="00D24D21" w:rsidRPr="00075282">
              <w:rPr>
                <w:rFonts w:cs="Arial"/>
                <w:sz w:val="22"/>
              </w:rPr>
              <w:t xml:space="preserve"> where payments are made/received.</w:t>
            </w:r>
            <w:r w:rsidRPr="00075282">
              <w:rPr>
                <w:rFonts w:cs="Arial"/>
                <w:sz w:val="22"/>
              </w:rPr>
              <w:t xml:space="preserve"> </w:t>
            </w:r>
            <w:r w:rsidR="00D24D21" w:rsidRPr="00075282">
              <w:rPr>
                <w:rFonts w:cs="Arial"/>
                <w:sz w:val="22"/>
              </w:rPr>
              <w:t xml:space="preserve"> </w:t>
            </w:r>
            <w:r w:rsidRPr="00075282">
              <w:rPr>
                <w:rFonts w:cs="Arial"/>
                <w:sz w:val="22"/>
              </w:rPr>
              <w:t xml:space="preserve">It should be borne in mind that it is not only </w:t>
            </w:r>
            <w:r w:rsidR="008C4465" w:rsidRPr="00075282">
              <w:rPr>
                <w:rFonts w:cs="Arial"/>
                <w:sz w:val="22"/>
              </w:rPr>
              <w:t xml:space="preserve">the </w:t>
            </w:r>
            <w:r w:rsidRPr="00075282">
              <w:rPr>
                <w:rFonts w:cs="Arial"/>
                <w:sz w:val="22"/>
              </w:rPr>
              <w:t>lower courts</w:t>
            </w:r>
            <w:r w:rsidR="008C4465" w:rsidRPr="00075282">
              <w:rPr>
                <w:rFonts w:cs="Arial"/>
                <w:sz w:val="22"/>
              </w:rPr>
              <w:t xml:space="preserve"> that are</w:t>
            </w:r>
            <w:r w:rsidRPr="00075282">
              <w:rPr>
                <w:rFonts w:cs="Arial"/>
                <w:sz w:val="22"/>
              </w:rPr>
              <w:t xml:space="preserve"> affected but also </w:t>
            </w:r>
            <w:r w:rsidR="008C4465" w:rsidRPr="00075282">
              <w:rPr>
                <w:rFonts w:cs="Arial"/>
                <w:sz w:val="22"/>
              </w:rPr>
              <w:t>the superior</w:t>
            </w:r>
            <w:r w:rsidRPr="00075282">
              <w:rPr>
                <w:rFonts w:cs="Arial"/>
                <w:sz w:val="22"/>
              </w:rPr>
              <w:t xml:space="preserve"> courts. </w:t>
            </w:r>
            <w:r w:rsidR="00D24D21" w:rsidRPr="00075282">
              <w:rPr>
                <w:rFonts w:cs="Arial"/>
                <w:sz w:val="22"/>
              </w:rPr>
              <w:t xml:space="preserve"> </w:t>
            </w:r>
            <w:r w:rsidRPr="00075282">
              <w:rPr>
                <w:rFonts w:cs="Arial"/>
                <w:sz w:val="22"/>
              </w:rPr>
              <w:t xml:space="preserve">The Departmental Financial Instructions deal extensively with how money is received and dealt with. </w:t>
            </w:r>
          </w:p>
          <w:p w:rsidR="00CA5827" w:rsidRPr="00075282" w:rsidRDefault="00CA5827" w:rsidP="00075282">
            <w:pPr>
              <w:pStyle w:val="ListParagraph"/>
              <w:ind w:left="458"/>
              <w:jc w:val="left"/>
              <w:rPr>
                <w:rFonts w:cs="Arial"/>
                <w:sz w:val="22"/>
              </w:rPr>
            </w:pPr>
          </w:p>
          <w:p w:rsidR="00CA5827" w:rsidRPr="00075282" w:rsidRDefault="00CA5827" w:rsidP="00075282">
            <w:pPr>
              <w:pStyle w:val="ListParagraph"/>
              <w:numPr>
                <w:ilvl w:val="0"/>
                <w:numId w:val="15"/>
              </w:numPr>
              <w:ind w:left="458" w:hanging="425"/>
              <w:jc w:val="left"/>
              <w:rPr>
                <w:rFonts w:cs="Arial"/>
                <w:sz w:val="22"/>
              </w:rPr>
            </w:pPr>
            <w:r w:rsidRPr="00075282">
              <w:rPr>
                <w:rFonts w:cs="Arial"/>
                <w:sz w:val="22"/>
              </w:rPr>
              <w:t>The Rules of Court refers to the Rules made by the Rules Board</w:t>
            </w:r>
            <w:r w:rsidR="00D24D21" w:rsidRPr="00075282">
              <w:rPr>
                <w:rFonts w:cs="Arial"/>
                <w:sz w:val="22"/>
              </w:rPr>
              <w:t xml:space="preserve"> for Courts of Law</w:t>
            </w:r>
            <w:r w:rsidRPr="00075282">
              <w:rPr>
                <w:rFonts w:cs="Arial"/>
                <w:sz w:val="22"/>
              </w:rPr>
              <w:t xml:space="preserve">. See history in Table 1. </w:t>
            </w:r>
            <w:r w:rsidR="00D24D21" w:rsidRPr="00075282">
              <w:rPr>
                <w:rFonts w:cs="Arial"/>
                <w:sz w:val="22"/>
              </w:rPr>
              <w:t xml:space="preserve"> </w:t>
            </w:r>
            <w:r w:rsidRPr="00075282">
              <w:rPr>
                <w:rFonts w:cs="Arial"/>
                <w:sz w:val="22"/>
              </w:rPr>
              <w:t xml:space="preserve">The Guardian's Fund is a separate </w:t>
            </w:r>
            <w:r w:rsidR="008C4465" w:rsidRPr="00075282">
              <w:rPr>
                <w:rFonts w:cs="Arial"/>
                <w:sz w:val="22"/>
              </w:rPr>
              <w:t>trust</w:t>
            </w:r>
            <w:r w:rsidRPr="00075282">
              <w:rPr>
                <w:rFonts w:cs="Arial"/>
                <w:sz w:val="22"/>
              </w:rPr>
              <w:t xml:space="preserve"> fund established and operated in terms of the Administration of Estates Act.</w:t>
            </w:r>
            <w:r w:rsidR="005B6E22" w:rsidRPr="00075282">
              <w:rPr>
                <w:rFonts w:cs="Arial"/>
                <w:sz w:val="22"/>
              </w:rPr>
              <w:t xml:space="preserve"> </w:t>
            </w:r>
            <w:r w:rsidR="00E95F3B" w:rsidRPr="00075282">
              <w:rPr>
                <w:rFonts w:cs="Arial"/>
                <w:sz w:val="22"/>
              </w:rPr>
              <w:t xml:space="preserve"> </w:t>
            </w:r>
            <w:r w:rsidR="005B6E22" w:rsidRPr="00075282">
              <w:rPr>
                <w:rFonts w:cs="Arial"/>
                <w:sz w:val="22"/>
              </w:rPr>
              <w:t xml:space="preserve">As can be seen from Table 1 there is a separate account named the </w:t>
            </w:r>
            <w:r w:rsidR="005B6E22" w:rsidRPr="00075282">
              <w:rPr>
                <w:rFonts w:cs="Arial"/>
                <w:sz w:val="22"/>
              </w:rPr>
              <w:lastRenderedPageBreak/>
              <w:t>Guard</w:t>
            </w:r>
            <w:r w:rsidR="00D24D21" w:rsidRPr="00075282">
              <w:rPr>
                <w:rFonts w:cs="Arial"/>
                <w:sz w:val="22"/>
              </w:rPr>
              <w:t xml:space="preserve">ian's Fund and </w:t>
            </w:r>
            <w:r w:rsidR="008C4465" w:rsidRPr="00075282">
              <w:rPr>
                <w:rFonts w:cs="Arial"/>
                <w:sz w:val="22"/>
              </w:rPr>
              <w:t xml:space="preserve">it should </w:t>
            </w:r>
            <w:r w:rsidR="00D24D21" w:rsidRPr="00075282">
              <w:rPr>
                <w:rFonts w:cs="Arial"/>
                <w:sz w:val="22"/>
              </w:rPr>
              <w:t>not to be confus</w:t>
            </w:r>
            <w:r w:rsidR="005B6E22" w:rsidRPr="00075282">
              <w:rPr>
                <w:rFonts w:cs="Arial"/>
                <w:sz w:val="22"/>
              </w:rPr>
              <w:t xml:space="preserve">ed with the Justice Administered Fund. </w:t>
            </w:r>
            <w:r w:rsidR="00D24D21" w:rsidRPr="00075282">
              <w:rPr>
                <w:rFonts w:cs="Arial"/>
                <w:sz w:val="22"/>
              </w:rPr>
              <w:t xml:space="preserve"> </w:t>
            </w:r>
            <w:r w:rsidR="005B6E22" w:rsidRPr="00075282">
              <w:rPr>
                <w:rFonts w:cs="Arial"/>
                <w:sz w:val="22"/>
              </w:rPr>
              <w:t xml:space="preserve">It should also be noted that the </w:t>
            </w:r>
            <w:r w:rsidR="00D24D21" w:rsidRPr="00075282">
              <w:rPr>
                <w:rFonts w:cs="Arial"/>
                <w:sz w:val="22"/>
              </w:rPr>
              <w:t>o</w:t>
            </w:r>
            <w:r w:rsidR="005B6E22" w:rsidRPr="00075282">
              <w:rPr>
                <w:rFonts w:cs="Arial"/>
                <w:sz w:val="22"/>
              </w:rPr>
              <w:t xml:space="preserve">perative words are "paid to court". </w:t>
            </w:r>
            <w:r w:rsidR="00D24D21" w:rsidRPr="00075282">
              <w:rPr>
                <w:rFonts w:cs="Arial"/>
                <w:sz w:val="22"/>
              </w:rPr>
              <w:t xml:space="preserve"> </w:t>
            </w:r>
            <w:r w:rsidR="005B6E22" w:rsidRPr="00075282">
              <w:rPr>
                <w:rFonts w:cs="Arial"/>
                <w:sz w:val="22"/>
              </w:rPr>
              <w:t>Money intended for the Guardian's Fund is not paid to court.</w:t>
            </w:r>
          </w:p>
          <w:p w:rsidR="005B6E22" w:rsidRPr="00075282" w:rsidRDefault="005B6E22" w:rsidP="00075282">
            <w:pPr>
              <w:pStyle w:val="ListParagraph"/>
              <w:ind w:left="458"/>
              <w:jc w:val="left"/>
              <w:rPr>
                <w:rFonts w:cs="Arial"/>
                <w:sz w:val="22"/>
              </w:rPr>
            </w:pPr>
          </w:p>
          <w:p w:rsidR="005B6E22" w:rsidRPr="00075282" w:rsidRDefault="005B6E22" w:rsidP="00075282">
            <w:pPr>
              <w:pStyle w:val="ListParagraph"/>
              <w:ind w:left="458"/>
              <w:jc w:val="left"/>
              <w:rPr>
                <w:rFonts w:cs="Arial"/>
                <w:sz w:val="22"/>
              </w:rPr>
            </w:pPr>
            <w:r w:rsidRPr="00075282">
              <w:rPr>
                <w:rFonts w:cs="Arial"/>
                <w:sz w:val="22"/>
              </w:rPr>
              <w:t xml:space="preserve">The list of </w:t>
            </w:r>
            <w:r w:rsidR="008C4465" w:rsidRPr="00075282">
              <w:rPr>
                <w:rFonts w:cs="Arial"/>
                <w:sz w:val="22"/>
              </w:rPr>
              <w:t>n</w:t>
            </w:r>
            <w:r w:rsidRPr="00075282">
              <w:rPr>
                <w:rFonts w:cs="Arial"/>
                <w:sz w:val="22"/>
              </w:rPr>
              <w:t xml:space="preserve">ational </w:t>
            </w:r>
            <w:r w:rsidR="008C4465" w:rsidRPr="00075282">
              <w:rPr>
                <w:rFonts w:cs="Arial"/>
                <w:sz w:val="22"/>
              </w:rPr>
              <w:t>l</w:t>
            </w:r>
            <w:r w:rsidRPr="00075282">
              <w:rPr>
                <w:rFonts w:cs="Arial"/>
                <w:sz w:val="22"/>
              </w:rPr>
              <w:t xml:space="preserve">egislation which </w:t>
            </w:r>
            <w:r w:rsidR="008C4465" w:rsidRPr="00075282">
              <w:rPr>
                <w:rFonts w:cs="Arial"/>
                <w:sz w:val="22"/>
              </w:rPr>
              <w:t xml:space="preserve">is applicable </w:t>
            </w:r>
            <w:r w:rsidRPr="00075282">
              <w:rPr>
                <w:rFonts w:cs="Arial"/>
                <w:sz w:val="22"/>
              </w:rPr>
              <w:t xml:space="preserve">is indicated in Table 1.  This </w:t>
            </w:r>
            <w:r w:rsidR="008C4465" w:rsidRPr="00075282">
              <w:rPr>
                <w:rFonts w:cs="Arial"/>
                <w:sz w:val="22"/>
              </w:rPr>
              <w:t>list represents some</w:t>
            </w:r>
            <w:r w:rsidR="00D24D21" w:rsidRPr="00075282">
              <w:rPr>
                <w:rFonts w:cs="Arial"/>
                <w:sz w:val="22"/>
              </w:rPr>
              <w:t xml:space="preserve"> examples of </w:t>
            </w:r>
            <w:r w:rsidR="008C4465" w:rsidRPr="00075282">
              <w:rPr>
                <w:rFonts w:cs="Arial"/>
                <w:sz w:val="22"/>
              </w:rPr>
              <w:t>n</w:t>
            </w:r>
            <w:r w:rsidRPr="00075282">
              <w:rPr>
                <w:rFonts w:cs="Arial"/>
                <w:sz w:val="22"/>
              </w:rPr>
              <w:t xml:space="preserve">ational </w:t>
            </w:r>
            <w:r w:rsidR="008C4465" w:rsidRPr="00075282">
              <w:rPr>
                <w:rFonts w:cs="Arial"/>
                <w:sz w:val="22"/>
              </w:rPr>
              <w:t>l</w:t>
            </w:r>
            <w:r w:rsidRPr="00075282">
              <w:rPr>
                <w:rFonts w:cs="Arial"/>
                <w:sz w:val="22"/>
              </w:rPr>
              <w:t xml:space="preserve">egislation.  </w:t>
            </w:r>
            <w:r w:rsidR="008C4465" w:rsidRPr="00075282">
              <w:rPr>
                <w:rFonts w:cs="Arial"/>
                <w:sz w:val="22"/>
              </w:rPr>
              <w:t>However, p</w:t>
            </w:r>
            <w:r w:rsidRPr="00075282">
              <w:rPr>
                <w:rFonts w:cs="Arial"/>
                <w:sz w:val="22"/>
              </w:rPr>
              <w:t xml:space="preserve">rovincial and </w:t>
            </w:r>
            <w:r w:rsidR="008C4465" w:rsidRPr="00075282">
              <w:rPr>
                <w:rFonts w:cs="Arial"/>
                <w:sz w:val="22"/>
              </w:rPr>
              <w:t>m</w:t>
            </w:r>
            <w:r w:rsidRPr="00075282">
              <w:rPr>
                <w:rFonts w:cs="Arial"/>
                <w:sz w:val="22"/>
              </w:rPr>
              <w:t xml:space="preserve">unicipal legislation may also have provisions </w:t>
            </w:r>
            <w:r w:rsidR="008C4465" w:rsidRPr="00075282">
              <w:rPr>
                <w:rFonts w:cs="Arial"/>
                <w:sz w:val="22"/>
              </w:rPr>
              <w:t xml:space="preserve">which require the </w:t>
            </w:r>
            <w:r w:rsidRPr="00075282">
              <w:rPr>
                <w:rFonts w:cs="Arial"/>
                <w:sz w:val="22"/>
              </w:rPr>
              <w:t>payment</w:t>
            </w:r>
            <w:r w:rsidR="008C4465" w:rsidRPr="00075282">
              <w:rPr>
                <w:rFonts w:cs="Arial"/>
                <w:sz w:val="22"/>
              </w:rPr>
              <w:t xml:space="preserve"> of money</w:t>
            </w:r>
            <w:r w:rsidRPr="00075282">
              <w:rPr>
                <w:rFonts w:cs="Arial"/>
                <w:sz w:val="22"/>
              </w:rPr>
              <w:t xml:space="preserve"> to </w:t>
            </w:r>
            <w:r w:rsidR="008C4465" w:rsidRPr="00075282">
              <w:rPr>
                <w:rFonts w:cs="Arial"/>
                <w:sz w:val="22"/>
              </w:rPr>
              <w:t xml:space="preserve">the </w:t>
            </w:r>
            <w:r w:rsidRPr="00075282">
              <w:rPr>
                <w:rFonts w:cs="Arial"/>
                <w:sz w:val="22"/>
              </w:rPr>
              <w:t xml:space="preserve">courts.  These </w:t>
            </w:r>
            <w:r w:rsidR="00D24D21" w:rsidRPr="00075282">
              <w:rPr>
                <w:rFonts w:cs="Arial"/>
                <w:sz w:val="22"/>
              </w:rPr>
              <w:t xml:space="preserve">payments </w:t>
            </w:r>
            <w:r w:rsidRPr="00075282">
              <w:rPr>
                <w:rFonts w:cs="Arial"/>
                <w:sz w:val="22"/>
              </w:rPr>
              <w:t xml:space="preserve">are then paid to the relevant authority from the Justice Administered Fund. </w:t>
            </w:r>
          </w:p>
        </w:tc>
      </w:tr>
      <w:tr w:rsidR="00212FC1" w:rsidRPr="00A2154D" w:rsidTr="0044203E">
        <w:trPr>
          <w:trHeight w:val="516"/>
        </w:trPr>
        <w:tc>
          <w:tcPr>
            <w:tcW w:w="4422" w:type="dxa"/>
          </w:tcPr>
          <w:p w:rsidR="00212FC1" w:rsidRPr="00075282" w:rsidRDefault="00212FC1" w:rsidP="00075282">
            <w:pPr>
              <w:jc w:val="left"/>
              <w:rPr>
                <w:rFonts w:cs="Arial"/>
                <w:sz w:val="22"/>
              </w:rPr>
            </w:pPr>
            <w:r w:rsidRPr="00075282">
              <w:rPr>
                <w:rFonts w:cs="Arial"/>
                <w:b/>
                <w:sz w:val="22"/>
              </w:rPr>
              <w:lastRenderedPageBreak/>
              <w:t>4.  Clause 4:  Management, control and administration of Fund</w:t>
            </w:r>
          </w:p>
        </w:tc>
        <w:tc>
          <w:tcPr>
            <w:tcW w:w="1955" w:type="dxa"/>
          </w:tcPr>
          <w:p w:rsidR="00212FC1" w:rsidRPr="00075282" w:rsidRDefault="00212FC1" w:rsidP="00075282">
            <w:pPr>
              <w:jc w:val="left"/>
              <w:rPr>
                <w:rFonts w:cs="Arial"/>
                <w:sz w:val="22"/>
              </w:rPr>
            </w:pPr>
          </w:p>
        </w:tc>
        <w:tc>
          <w:tcPr>
            <w:tcW w:w="4962" w:type="dxa"/>
          </w:tcPr>
          <w:p w:rsidR="00212FC1" w:rsidRPr="00075282" w:rsidRDefault="00212FC1" w:rsidP="00075282">
            <w:pPr>
              <w:pStyle w:val="ListParagraph"/>
              <w:ind w:left="0"/>
              <w:jc w:val="left"/>
              <w:rPr>
                <w:rFonts w:cs="Arial"/>
                <w:sz w:val="22"/>
              </w:rPr>
            </w:pPr>
          </w:p>
        </w:tc>
        <w:tc>
          <w:tcPr>
            <w:tcW w:w="3511" w:type="dxa"/>
          </w:tcPr>
          <w:p w:rsidR="00212FC1" w:rsidRPr="00075282" w:rsidRDefault="00212FC1" w:rsidP="00075282">
            <w:pPr>
              <w:pStyle w:val="ListParagraph"/>
              <w:tabs>
                <w:tab w:val="left" w:pos="316"/>
              </w:tabs>
              <w:ind w:left="0"/>
              <w:jc w:val="left"/>
              <w:rPr>
                <w:rFonts w:cs="Arial"/>
                <w:sz w:val="22"/>
              </w:rPr>
            </w:pPr>
          </w:p>
        </w:tc>
      </w:tr>
      <w:tr w:rsidR="008F5574" w:rsidRPr="00A2154D" w:rsidTr="00F2652C">
        <w:tc>
          <w:tcPr>
            <w:tcW w:w="4422" w:type="dxa"/>
          </w:tcPr>
          <w:p w:rsidR="001C02C1" w:rsidRPr="00075282" w:rsidRDefault="00A2154D" w:rsidP="00075282">
            <w:pPr>
              <w:jc w:val="left"/>
              <w:rPr>
                <w:rFonts w:cs="Arial"/>
                <w:b/>
                <w:sz w:val="22"/>
              </w:rPr>
            </w:pPr>
            <w:r w:rsidRPr="00075282">
              <w:rPr>
                <w:rFonts w:cs="Arial"/>
                <w:b/>
                <w:sz w:val="22"/>
              </w:rPr>
              <w:t>5</w:t>
            </w:r>
            <w:r w:rsidR="008F5574" w:rsidRPr="00075282">
              <w:rPr>
                <w:rFonts w:cs="Arial"/>
                <w:b/>
                <w:sz w:val="22"/>
              </w:rPr>
              <w:t>.  Clause 5</w:t>
            </w:r>
            <w:r w:rsidR="00DD3BC2" w:rsidRPr="00075282">
              <w:rPr>
                <w:rFonts w:cs="Arial"/>
                <w:b/>
                <w:sz w:val="22"/>
              </w:rPr>
              <w:t>:  Bank accounts and reserve account</w:t>
            </w:r>
          </w:p>
          <w:p w:rsidR="00E95F3B" w:rsidRPr="00075282" w:rsidRDefault="001C02C1" w:rsidP="00075282">
            <w:pPr>
              <w:jc w:val="left"/>
              <w:rPr>
                <w:rFonts w:cs="Arial"/>
                <w:sz w:val="22"/>
              </w:rPr>
            </w:pPr>
            <w:r w:rsidRPr="00075282">
              <w:rPr>
                <w:rFonts w:cs="Arial"/>
                <w:sz w:val="22"/>
              </w:rPr>
              <w:t>(1) The accounting officer must, within the Fund, open and maintain bank accounts</w:t>
            </w:r>
            <w:r w:rsidR="00E95F3B" w:rsidRPr="00075282">
              <w:rPr>
                <w:rFonts w:cs="Arial"/>
                <w:sz w:val="22"/>
              </w:rPr>
              <w:t xml:space="preserve"> </w:t>
            </w:r>
            <w:r w:rsidRPr="00075282">
              <w:rPr>
                <w:rFonts w:cs="Arial"/>
                <w:sz w:val="22"/>
              </w:rPr>
              <w:t>as he or she deems fit and assign to each such bank account a name that clearly identifies</w:t>
            </w:r>
            <w:r w:rsidR="00E95F3B" w:rsidRPr="00075282">
              <w:rPr>
                <w:rFonts w:cs="Arial"/>
                <w:sz w:val="22"/>
              </w:rPr>
              <w:t xml:space="preserve"> </w:t>
            </w:r>
            <w:r w:rsidRPr="00075282">
              <w:rPr>
                <w:rFonts w:cs="Arial"/>
                <w:sz w:val="22"/>
              </w:rPr>
              <w:t xml:space="preserve">the account, one of which must be a separate account to be known as the </w:t>
            </w:r>
            <w:r w:rsidRPr="00075282">
              <w:rPr>
                <w:rFonts w:cs="Arial"/>
                <w:sz w:val="22"/>
              </w:rPr>
              <w:lastRenderedPageBreak/>
              <w:t>reserve account.</w:t>
            </w: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502DA" w:rsidRPr="00075282" w:rsidRDefault="00E502DA" w:rsidP="00075282">
            <w:pPr>
              <w:jc w:val="left"/>
              <w:rPr>
                <w:rFonts w:cs="Arial"/>
                <w:sz w:val="22"/>
              </w:rPr>
            </w:pPr>
            <w:r w:rsidRPr="00075282">
              <w:rPr>
                <w:rFonts w:cs="Arial"/>
                <w:sz w:val="22"/>
              </w:rPr>
              <w:t>(4)(a) Any—</w:t>
            </w:r>
          </w:p>
          <w:p w:rsidR="00E502DA" w:rsidRPr="00075282" w:rsidRDefault="00E502DA" w:rsidP="00075282">
            <w:pPr>
              <w:jc w:val="left"/>
              <w:rPr>
                <w:rFonts w:cs="Arial"/>
                <w:sz w:val="22"/>
              </w:rPr>
            </w:pPr>
            <w:r w:rsidRPr="00075282">
              <w:rPr>
                <w:rFonts w:cs="Arial"/>
                <w:sz w:val="22"/>
              </w:rPr>
              <w:t>(i)</w:t>
            </w:r>
            <w:r w:rsidR="00797199" w:rsidRPr="00075282">
              <w:rPr>
                <w:rFonts w:cs="Arial"/>
                <w:sz w:val="22"/>
              </w:rPr>
              <w:tab/>
            </w:r>
            <w:r w:rsidRPr="00075282">
              <w:rPr>
                <w:rFonts w:cs="Arial"/>
                <w:sz w:val="22"/>
              </w:rPr>
              <w:t>unclaimed money; and</w:t>
            </w:r>
          </w:p>
          <w:p w:rsidR="00E502DA" w:rsidRPr="00075282" w:rsidRDefault="00797199" w:rsidP="00075282">
            <w:pPr>
              <w:jc w:val="left"/>
              <w:rPr>
                <w:rFonts w:cs="Arial"/>
                <w:sz w:val="22"/>
              </w:rPr>
            </w:pPr>
            <w:r w:rsidRPr="00075282">
              <w:rPr>
                <w:rFonts w:cs="Arial"/>
                <w:sz w:val="22"/>
              </w:rPr>
              <w:t>(ii)</w:t>
            </w:r>
            <w:r w:rsidRPr="00075282">
              <w:rPr>
                <w:rFonts w:cs="Arial"/>
                <w:sz w:val="22"/>
              </w:rPr>
              <w:tab/>
            </w:r>
            <w:r w:rsidR="00E502DA" w:rsidRPr="00075282">
              <w:rPr>
                <w:rFonts w:cs="Arial"/>
                <w:sz w:val="22"/>
              </w:rPr>
              <w:t xml:space="preserve">money which cannot immediately </w:t>
            </w:r>
            <w:r w:rsidRPr="00075282">
              <w:rPr>
                <w:rFonts w:cs="Arial"/>
                <w:sz w:val="22"/>
              </w:rPr>
              <w:tab/>
            </w:r>
            <w:r w:rsidR="00E502DA" w:rsidRPr="00075282">
              <w:rPr>
                <w:rFonts w:cs="Arial"/>
                <w:sz w:val="22"/>
              </w:rPr>
              <w:t xml:space="preserve">be allocated into any of the </w:t>
            </w:r>
            <w:r w:rsidRPr="00075282">
              <w:rPr>
                <w:rFonts w:cs="Arial"/>
                <w:sz w:val="22"/>
              </w:rPr>
              <w:tab/>
            </w:r>
            <w:r w:rsidR="00E502DA" w:rsidRPr="00075282">
              <w:rPr>
                <w:rFonts w:cs="Arial"/>
                <w:sz w:val="22"/>
              </w:rPr>
              <w:t xml:space="preserve">categories listed in section 3(a) to </w:t>
            </w:r>
            <w:r w:rsidRPr="00075282">
              <w:rPr>
                <w:rFonts w:cs="Arial"/>
                <w:sz w:val="22"/>
              </w:rPr>
              <w:tab/>
            </w:r>
            <w:r w:rsidR="00E502DA" w:rsidRPr="00075282">
              <w:rPr>
                <w:rFonts w:cs="Arial"/>
                <w:sz w:val="22"/>
              </w:rPr>
              <w:t>(c),</w:t>
            </w:r>
          </w:p>
          <w:p w:rsidR="00E502DA" w:rsidRPr="00075282" w:rsidRDefault="00E502DA" w:rsidP="00075282">
            <w:pPr>
              <w:jc w:val="left"/>
              <w:rPr>
                <w:rFonts w:cs="Arial"/>
                <w:sz w:val="22"/>
              </w:rPr>
            </w:pPr>
            <w:r w:rsidRPr="00075282">
              <w:rPr>
                <w:rFonts w:cs="Arial"/>
                <w:sz w:val="22"/>
              </w:rPr>
              <w:t>due to beneficiaries, must within 30 days, after receipt thereof, be paid into the reserve account.</w:t>
            </w:r>
          </w:p>
          <w:p w:rsidR="00E502DA" w:rsidRPr="00075282" w:rsidRDefault="00E502DA" w:rsidP="00075282">
            <w:pPr>
              <w:jc w:val="left"/>
              <w:rPr>
                <w:rFonts w:cs="Arial"/>
                <w:sz w:val="22"/>
              </w:rPr>
            </w:pPr>
            <w:r w:rsidRPr="00075282">
              <w:rPr>
                <w:rFonts w:cs="Arial"/>
                <w:sz w:val="22"/>
              </w:rPr>
              <w:t>(b) If—</w:t>
            </w:r>
          </w:p>
          <w:p w:rsidR="00E502DA" w:rsidRPr="00075282" w:rsidRDefault="00E502DA" w:rsidP="00075282">
            <w:pPr>
              <w:pStyle w:val="ListParagraph"/>
              <w:numPr>
                <w:ilvl w:val="0"/>
                <w:numId w:val="31"/>
              </w:numPr>
              <w:jc w:val="left"/>
              <w:rPr>
                <w:rFonts w:cs="Arial"/>
                <w:sz w:val="22"/>
              </w:rPr>
            </w:pPr>
            <w:r w:rsidRPr="00075282">
              <w:rPr>
                <w:rFonts w:cs="Arial"/>
                <w:sz w:val="22"/>
              </w:rPr>
              <w:t>a beneficiary claims an amount of money that has been paid into the reserve account in terms of paragraph (a)(i); or</w:t>
            </w:r>
          </w:p>
          <w:p w:rsidR="00E502DA" w:rsidRPr="00075282" w:rsidRDefault="00E502DA" w:rsidP="00075282">
            <w:pPr>
              <w:pStyle w:val="ListParagraph"/>
              <w:numPr>
                <w:ilvl w:val="0"/>
                <w:numId w:val="31"/>
              </w:numPr>
              <w:jc w:val="left"/>
              <w:rPr>
                <w:rFonts w:cs="Arial"/>
                <w:sz w:val="22"/>
              </w:rPr>
            </w:pPr>
            <w:r w:rsidRPr="00075282">
              <w:rPr>
                <w:rFonts w:cs="Arial"/>
                <w:sz w:val="22"/>
              </w:rPr>
              <w:t xml:space="preserve">the allocation of money that has been paid into the reserve account </w:t>
            </w:r>
            <w:r w:rsidRPr="00075282">
              <w:rPr>
                <w:rFonts w:cs="Arial"/>
                <w:sz w:val="22"/>
              </w:rPr>
              <w:lastRenderedPageBreak/>
              <w:t>in terms of paragraph (a)(ii) becomes known,</w:t>
            </w:r>
          </w:p>
          <w:p w:rsidR="00E502DA" w:rsidRPr="00075282" w:rsidRDefault="00E502DA" w:rsidP="00075282">
            <w:pPr>
              <w:jc w:val="left"/>
              <w:rPr>
                <w:rFonts w:cs="Arial"/>
                <w:sz w:val="22"/>
              </w:rPr>
            </w:pPr>
            <w:r w:rsidRPr="00075282">
              <w:rPr>
                <w:rFonts w:cs="Arial"/>
                <w:sz w:val="22"/>
              </w:rPr>
              <w:t>within 1</w:t>
            </w:r>
            <w:r w:rsidR="00797199" w:rsidRPr="00075282">
              <w:rPr>
                <w:rFonts w:cs="Arial"/>
                <w:sz w:val="22"/>
              </w:rPr>
              <w:t>0</w:t>
            </w:r>
            <w:r w:rsidRPr="00075282">
              <w:rPr>
                <w:rFonts w:cs="Arial"/>
                <w:sz w:val="22"/>
              </w:rPr>
              <w:t xml:space="preserve"> years after it has been paid into the reserve account, the reserve account will be debited and the money will be paid to the beneficiary or be allocated correctly.</w:t>
            </w:r>
          </w:p>
        </w:tc>
        <w:tc>
          <w:tcPr>
            <w:tcW w:w="1955" w:type="dxa"/>
          </w:tcPr>
          <w:p w:rsidR="008F5574" w:rsidRPr="00075282" w:rsidRDefault="008F5574" w:rsidP="00075282">
            <w:pPr>
              <w:jc w:val="left"/>
              <w:rPr>
                <w:rFonts w:cs="Arial"/>
                <w:sz w:val="22"/>
              </w:rPr>
            </w:pPr>
          </w:p>
        </w:tc>
        <w:tc>
          <w:tcPr>
            <w:tcW w:w="4962" w:type="dxa"/>
          </w:tcPr>
          <w:p w:rsidR="00E95F3B" w:rsidRPr="00075282" w:rsidRDefault="00E95F3B" w:rsidP="00075282">
            <w:pPr>
              <w:jc w:val="left"/>
              <w:rPr>
                <w:rFonts w:cs="Arial"/>
                <w:sz w:val="22"/>
              </w:rPr>
            </w:pPr>
            <w:r w:rsidRPr="00075282">
              <w:rPr>
                <w:rFonts w:cs="Arial"/>
                <w:sz w:val="22"/>
              </w:rPr>
              <w:t xml:space="preserve">In contrast to clause 5(1), section 86(2) of the Administration of Estates Act provides that whenever any monies are accepted or received by the Master under that Act or any other law or in pursuance of an order of Court, the Master “shall open in the books of the guardian’s fund an account in the name of the person to whom that money belongs or the estate of which that </w:t>
            </w:r>
            <w:r w:rsidRPr="00075282">
              <w:rPr>
                <w:rFonts w:cs="Arial"/>
                <w:sz w:val="22"/>
              </w:rPr>
              <w:lastRenderedPageBreak/>
              <w:t xml:space="preserve">money forms part: Provided that if it is not known to whom any such money belongs, or if it is more convenient, the account may be opened in the name of the person from whom that money has been received, or of the estate from which that money is derived, as the case may be”. </w:t>
            </w:r>
            <w:r w:rsidR="008C4465" w:rsidRPr="00075282">
              <w:rPr>
                <w:rFonts w:cs="Arial"/>
                <w:sz w:val="22"/>
              </w:rPr>
              <w:t>Clause</w:t>
            </w:r>
            <w:r w:rsidRPr="00075282">
              <w:rPr>
                <w:rFonts w:cs="Arial"/>
                <w:sz w:val="22"/>
              </w:rPr>
              <w:t xml:space="preserve"> 5(1) of the Bill grants a wide discretion to the Accounting Officer to open and maintain bank accounts as she or he sees fit.  In regard to monies held in the Fund for and on behalf of third parties there does not appear to be any legally sustainable basis for the Accounting Officer to have a wide discretion as opposed to a narrowly prescribed discretion, in regard to the opening and maintenance of bank accounts within the Fund in respect of </w:t>
            </w:r>
            <w:r w:rsidR="008C4465" w:rsidRPr="00075282">
              <w:rPr>
                <w:rFonts w:cs="Arial"/>
                <w:sz w:val="22"/>
              </w:rPr>
              <w:t>F</w:t>
            </w:r>
            <w:r w:rsidRPr="00075282">
              <w:rPr>
                <w:rFonts w:cs="Arial"/>
                <w:sz w:val="22"/>
              </w:rPr>
              <w:t>und held on behalf of third parties.</w:t>
            </w:r>
          </w:p>
          <w:p w:rsidR="00E95F3B" w:rsidRPr="00075282" w:rsidRDefault="00E95F3B" w:rsidP="00075282">
            <w:pPr>
              <w:jc w:val="left"/>
              <w:rPr>
                <w:rFonts w:cs="Arial"/>
                <w:sz w:val="22"/>
              </w:rPr>
            </w:pPr>
          </w:p>
          <w:p w:rsidR="00E502DA" w:rsidRPr="00075282" w:rsidRDefault="00797199" w:rsidP="00075282">
            <w:pPr>
              <w:jc w:val="left"/>
              <w:rPr>
                <w:rFonts w:cs="Arial"/>
                <w:sz w:val="22"/>
              </w:rPr>
            </w:pPr>
            <w:r w:rsidRPr="00075282">
              <w:rPr>
                <w:rFonts w:cs="Arial"/>
                <w:sz w:val="22"/>
              </w:rPr>
              <w:t>Clause</w:t>
            </w:r>
            <w:r w:rsidR="00E502DA" w:rsidRPr="00075282">
              <w:rPr>
                <w:rFonts w:cs="Arial"/>
                <w:sz w:val="22"/>
              </w:rPr>
              <w:t xml:space="preserve"> 5(4) of the Bill appears to contemplate that unclaimed monies held in the Fund become forfeit (presumably to the State, although the Bill does not expressly so provide), ten years after such monies have been paid into the reserve account in terms of </w:t>
            </w:r>
            <w:r w:rsidRPr="00075282">
              <w:rPr>
                <w:rFonts w:cs="Arial"/>
                <w:sz w:val="22"/>
              </w:rPr>
              <w:t>clause</w:t>
            </w:r>
            <w:r w:rsidR="00E502DA" w:rsidRPr="00075282">
              <w:rPr>
                <w:rFonts w:cs="Arial"/>
                <w:sz w:val="22"/>
              </w:rPr>
              <w:t xml:space="preserve"> 5(4)(i) of the Bill. On the other hand section 93 of the Administration of Estates Act provides expressly for the forfeiture to the State of unclaimed monies in the Guardians Fund after a period of thirty years as from the date upon which a person became entitled to claim the said money from the Guardians Fund.</w:t>
            </w:r>
          </w:p>
          <w:p w:rsidR="00E502DA" w:rsidRPr="00075282" w:rsidRDefault="00E502DA" w:rsidP="00075282">
            <w:pPr>
              <w:jc w:val="left"/>
              <w:rPr>
                <w:rFonts w:cs="Arial"/>
                <w:sz w:val="22"/>
              </w:rPr>
            </w:pPr>
          </w:p>
          <w:p w:rsidR="008F5574" w:rsidRPr="00075282" w:rsidRDefault="00E502DA" w:rsidP="00075282">
            <w:pPr>
              <w:jc w:val="left"/>
              <w:rPr>
                <w:rFonts w:cs="Arial"/>
                <w:sz w:val="22"/>
              </w:rPr>
            </w:pPr>
            <w:r w:rsidRPr="00075282">
              <w:rPr>
                <w:rFonts w:cs="Arial"/>
                <w:sz w:val="22"/>
              </w:rPr>
              <w:t xml:space="preserve">There does not appear to be any rational basis for such a drastic reduction in the period within </w:t>
            </w:r>
            <w:r w:rsidRPr="00075282">
              <w:rPr>
                <w:rFonts w:cs="Arial"/>
                <w:sz w:val="22"/>
              </w:rPr>
              <w:lastRenderedPageBreak/>
              <w:t>which monies may be claimed from the Fund in particular given that experience has shown that persons are often unaware of their rights to claim monies from the Guardians Fund and even where persons are aware of such rights, are unable to access monies in the Guardians Fund due to logistical challenges and resources constraints.</w:t>
            </w:r>
          </w:p>
        </w:tc>
        <w:tc>
          <w:tcPr>
            <w:tcW w:w="3511" w:type="dxa"/>
          </w:tcPr>
          <w:p w:rsidR="00E95F3B" w:rsidRPr="00075282" w:rsidRDefault="00E95F3B" w:rsidP="00075282">
            <w:pPr>
              <w:jc w:val="left"/>
              <w:rPr>
                <w:rFonts w:cs="Arial"/>
                <w:sz w:val="22"/>
              </w:rPr>
            </w:pPr>
            <w:r w:rsidRPr="00075282">
              <w:rPr>
                <w:rFonts w:cs="Arial"/>
                <w:sz w:val="22"/>
              </w:rPr>
              <w:lastRenderedPageBreak/>
              <w:t xml:space="preserve">It should be noted that The Guardians Fund is one trust account opened at a banking institution. There is not a separate bank account opened for each person. This is done administratively within the financial system of the </w:t>
            </w:r>
            <w:r w:rsidRPr="00075282">
              <w:rPr>
                <w:rFonts w:cs="Arial"/>
                <w:sz w:val="22"/>
              </w:rPr>
              <w:lastRenderedPageBreak/>
              <w:t>Department.  The same princip</w:t>
            </w:r>
            <w:r w:rsidR="008C4465" w:rsidRPr="00075282">
              <w:rPr>
                <w:rFonts w:cs="Arial"/>
                <w:sz w:val="22"/>
              </w:rPr>
              <w:t>le</w:t>
            </w:r>
            <w:r w:rsidRPr="00075282">
              <w:rPr>
                <w:rFonts w:cs="Arial"/>
                <w:sz w:val="22"/>
              </w:rPr>
              <w:t xml:space="preserve"> applies to the Justice Administered Fund. Within the system a separate account for each person/matter is opened and maintained.  </w:t>
            </w:r>
            <w:r w:rsidR="00797199" w:rsidRPr="00075282">
              <w:rPr>
                <w:rFonts w:cs="Arial"/>
                <w:sz w:val="22"/>
              </w:rPr>
              <w:t xml:space="preserve">The Department does not agree </w:t>
            </w:r>
            <w:r w:rsidRPr="00075282">
              <w:rPr>
                <w:rFonts w:cs="Arial"/>
                <w:sz w:val="22"/>
              </w:rPr>
              <w:t xml:space="preserve">that the Accounting Officer has </w:t>
            </w:r>
            <w:r w:rsidR="00797199" w:rsidRPr="00075282">
              <w:rPr>
                <w:rFonts w:cs="Arial"/>
                <w:sz w:val="22"/>
              </w:rPr>
              <w:t xml:space="preserve">too </w:t>
            </w:r>
            <w:r w:rsidRPr="00075282">
              <w:rPr>
                <w:rFonts w:cs="Arial"/>
                <w:sz w:val="22"/>
              </w:rPr>
              <w:t>a wide discretion in the opening of bank accounts.</w:t>
            </w: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E95F3B" w:rsidRPr="00075282" w:rsidRDefault="00E95F3B" w:rsidP="00075282">
            <w:pPr>
              <w:jc w:val="left"/>
              <w:rPr>
                <w:rFonts w:cs="Arial"/>
                <w:sz w:val="22"/>
              </w:rPr>
            </w:pPr>
          </w:p>
          <w:p w:rsidR="008F5574" w:rsidRPr="00075282" w:rsidRDefault="00797199" w:rsidP="00075282">
            <w:pPr>
              <w:jc w:val="left"/>
              <w:rPr>
                <w:rFonts w:cs="Arial"/>
                <w:sz w:val="22"/>
              </w:rPr>
            </w:pPr>
            <w:r w:rsidRPr="00075282">
              <w:rPr>
                <w:rFonts w:cs="Arial"/>
                <w:sz w:val="22"/>
              </w:rPr>
              <w:t>T</w:t>
            </w:r>
            <w:r w:rsidR="00E502DA" w:rsidRPr="00075282">
              <w:rPr>
                <w:rFonts w:cs="Arial"/>
                <w:sz w:val="22"/>
              </w:rPr>
              <w:t>he Guardian's Fund does not fall within the ambit of the Bill.</w:t>
            </w:r>
          </w:p>
          <w:p w:rsidR="00E502DA" w:rsidRPr="00075282" w:rsidRDefault="00E502DA" w:rsidP="00075282">
            <w:pPr>
              <w:jc w:val="left"/>
              <w:rPr>
                <w:rFonts w:cs="Arial"/>
                <w:sz w:val="22"/>
              </w:rPr>
            </w:pPr>
          </w:p>
          <w:p w:rsidR="00E502DA" w:rsidRPr="00075282" w:rsidRDefault="00E502DA" w:rsidP="00075282">
            <w:pPr>
              <w:jc w:val="left"/>
              <w:rPr>
                <w:rFonts w:cs="Arial"/>
                <w:sz w:val="22"/>
              </w:rPr>
            </w:pPr>
            <w:r w:rsidRPr="00075282">
              <w:rPr>
                <w:rFonts w:cs="Arial"/>
                <w:sz w:val="22"/>
              </w:rPr>
              <w:t>Clause 4(b) deals expressly with unclaimed money and money which cannot be allocated into the categories listed in clause 3(a) –</w:t>
            </w:r>
            <w:r w:rsidR="00797199" w:rsidRPr="00075282">
              <w:rPr>
                <w:rFonts w:cs="Arial"/>
                <w:sz w:val="22"/>
              </w:rPr>
              <w:t xml:space="preserve"> </w:t>
            </w:r>
            <w:r w:rsidRPr="00075282">
              <w:rPr>
                <w:rFonts w:cs="Arial"/>
                <w:sz w:val="22"/>
              </w:rPr>
              <w:t>(c).  Unclaimed money will be:</w:t>
            </w:r>
          </w:p>
          <w:p w:rsidR="00E502DA" w:rsidRPr="00075282" w:rsidRDefault="00E502DA" w:rsidP="00075282">
            <w:pPr>
              <w:pStyle w:val="ListParagraph"/>
              <w:numPr>
                <w:ilvl w:val="0"/>
                <w:numId w:val="32"/>
              </w:numPr>
              <w:ind w:left="458" w:hanging="425"/>
              <w:jc w:val="left"/>
              <w:rPr>
                <w:rFonts w:cs="Arial"/>
                <w:sz w:val="22"/>
              </w:rPr>
            </w:pPr>
            <w:r w:rsidRPr="00075282">
              <w:rPr>
                <w:rFonts w:cs="Arial"/>
                <w:sz w:val="22"/>
              </w:rPr>
              <w:t>maintenance paid to the court;</w:t>
            </w:r>
          </w:p>
          <w:p w:rsidR="00E502DA" w:rsidRPr="00075282" w:rsidRDefault="00E502DA" w:rsidP="00075282">
            <w:pPr>
              <w:pStyle w:val="ListParagraph"/>
              <w:numPr>
                <w:ilvl w:val="0"/>
                <w:numId w:val="32"/>
              </w:numPr>
              <w:ind w:left="458" w:hanging="425"/>
              <w:jc w:val="left"/>
              <w:rPr>
                <w:rFonts w:cs="Arial"/>
                <w:sz w:val="22"/>
              </w:rPr>
            </w:pPr>
            <w:r w:rsidRPr="00075282">
              <w:rPr>
                <w:rFonts w:cs="Arial"/>
                <w:sz w:val="22"/>
              </w:rPr>
              <w:t>bail; and</w:t>
            </w:r>
          </w:p>
          <w:p w:rsidR="00E502DA" w:rsidRPr="00075282" w:rsidRDefault="00E502DA" w:rsidP="00075282">
            <w:pPr>
              <w:pStyle w:val="ListParagraph"/>
              <w:numPr>
                <w:ilvl w:val="0"/>
                <w:numId w:val="32"/>
              </w:numPr>
              <w:ind w:left="458" w:hanging="425"/>
              <w:jc w:val="left"/>
              <w:rPr>
                <w:rFonts w:cs="Arial"/>
                <w:sz w:val="22"/>
              </w:rPr>
            </w:pPr>
            <w:r w:rsidRPr="00075282">
              <w:rPr>
                <w:rFonts w:cs="Arial"/>
                <w:sz w:val="22"/>
              </w:rPr>
              <w:t>money paid to the court in terms of any Rule of Court made by the Rules Board for Courts of Law</w:t>
            </w:r>
            <w:r w:rsidR="00B05106" w:rsidRPr="00075282">
              <w:rPr>
                <w:rFonts w:cs="Arial"/>
                <w:sz w:val="22"/>
              </w:rPr>
              <w:t>.</w:t>
            </w:r>
          </w:p>
          <w:p w:rsidR="00B05106" w:rsidRPr="00075282" w:rsidRDefault="00B05106" w:rsidP="00075282">
            <w:pPr>
              <w:ind w:left="33"/>
              <w:jc w:val="left"/>
              <w:rPr>
                <w:rFonts w:cs="Arial"/>
                <w:sz w:val="22"/>
              </w:rPr>
            </w:pPr>
          </w:p>
          <w:p w:rsidR="00B05106" w:rsidRPr="00075282" w:rsidRDefault="008118E2" w:rsidP="00075282">
            <w:pPr>
              <w:ind w:left="33"/>
              <w:jc w:val="left"/>
              <w:rPr>
                <w:rFonts w:cs="Arial"/>
                <w:sz w:val="22"/>
              </w:rPr>
            </w:pPr>
            <w:r w:rsidRPr="00075282">
              <w:rPr>
                <w:rFonts w:cs="Arial"/>
                <w:sz w:val="22"/>
              </w:rPr>
              <w:t xml:space="preserve">An earlier version of the Bill </w:t>
            </w:r>
            <w:r w:rsidR="00B05106" w:rsidRPr="00075282">
              <w:rPr>
                <w:rFonts w:cs="Arial"/>
                <w:sz w:val="22"/>
              </w:rPr>
              <w:t>provided as follows:</w:t>
            </w:r>
          </w:p>
          <w:p w:rsidR="00B05106" w:rsidRPr="00075282" w:rsidRDefault="00B05106" w:rsidP="00075282">
            <w:pPr>
              <w:ind w:left="33"/>
              <w:jc w:val="left"/>
              <w:rPr>
                <w:rFonts w:cs="Arial"/>
                <w:sz w:val="22"/>
              </w:rPr>
            </w:pPr>
            <w:r w:rsidRPr="00075282">
              <w:rPr>
                <w:rFonts w:cs="Arial"/>
                <w:sz w:val="22"/>
              </w:rPr>
              <w:t>(b)</w:t>
            </w:r>
            <w:r w:rsidRPr="00075282">
              <w:rPr>
                <w:rFonts w:cs="Arial"/>
                <w:sz w:val="22"/>
              </w:rPr>
              <w:tab/>
              <w:t>If—</w:t>
            </w:r>
          </w:p>
          <w:p w:rsidR="00B05106" w:rsidRPr="00075282" w:rsidRDefault="00B05106" w:rsidP="00075282">
            <w:pPr>
              <w:ind w:left="33"/>
              <w:jc w:val="left"/>
              <w:rPr>
                <w:rFonts w:cs="Arial"/>
                <w:sz w:val="22"/>
              </w:rPr>
            </w:pPr>
            <w:r w:rsidRPr="00075282">
              <w:rPr>
                <w:rFonts w:cs="Arial"/>
                <w:sz w:val="22"/>
              </w:rPr>
              <w:t>(i)</w:t>
            </w:r>
            <w:r w:rsidRPr="00075282">
              <w:rPr>
                <w:rFonts w:cs="Arial"/>
                <w:sz w:val="22"/>
              </w:rPr>
              <w:tab/>
              <w:t xml:space="preserve">a beneficiary claims an </w:t>
            </w:r>
            <w:r w:rsidR="008118E2" w:rsidRPr="00075282">
              <w:rPr>
                <w:rFonts w:cs="Arial"/>
                <w:sz w:val="22"/>
              </w:rPr>
              <w:tab/>
            </w:r>
            <w:r w:rsidRPr="00075282">
              <w:rPr>
                <w:rFonts w:cs="Arial"/>
                <w:sz w:val="22"/>
              </w:rPr>
              <w:t xml:space="preserve">amount of money that has </w:t>
            </w:r>
            <w:r w:rsidR="008118E2" w:rsidRPr="00075282">
              <w:rPr>
                <w:rFonts w:cs="Arial"/>
                <w:sz w:val="22"/>
              </w:rPr>
              <w:tab/>
            </w:r>
            <w:r w:rsidRPr="00075282">
              <w:rPr>
                <w:rFonts w:cs="Arial"/>
                <w:sz w:val="22"/>
              </w:rPr>
              <w:t xml:space="preserve">been paid into the reserve </w:t>
            </w:r>
            <w:r w:rsidR="008118E2" w:rsidRPr="00075282">
              <w:rPr>
                <w:rFonts w:cs="Arial"/>
                <w:sz w:val="22"/>
              </w:rPr>
              <w:tab/>
            </w:r>
            <w:r w:rsidRPr="00075282">
              <w:rPr>
                <w:rFonts w:cs="Arial"/>
                <w:sz w:val="22"/>
              </w:rPr>
              <w:t xml:space="preserve">account in terms of </w:t>
            </w:r>
            <w:r w:rsidR="008118E2" w:rsidRPr="00075282">
              <w:rPr>
                <w:rFonts w:cs="Arial"/>
                <w:sz w:val="22"/>
              </w:rPr>
              <w:tab/>
            </w:r>
            <w:r w:rsidRPr="00075282">
              <w:rPr>
                <w:rFonts w:cs="Arial"/>
                <w:sz w:val="22"/>
              </w:rPr>
              <w:t>paragraph (a)(i);  or</w:t>
            </w:r>
          </w:p>
          <w:p w:rsidR="00B05106" w:rsidRPr="00075282" w:rsidRDefault="00B05106" w:rsidP="00075282">
            <w:pPr>
              <w:ind w:left="33"/>
              <w:jc w:val="left"/>
              <w:rPr>
                <w:rFonts w:cs="Arial"/>
                <w:sz w:val="22"/>
              </w:rPr>
            </w:pPr>
            <w:r w:rsidRPr="00075282">
              <w:rPr>
                <w:rFonts w:cs="Arial"/>
                <w:sz w:val="22"/>
              </w:rPr>
              <w:t>(ii)</w:t>
            </w:r>
            <w:r w:rsidRPr="00075282">
              <w:rPr>
                <w:rFonts w:cs="Arial"/>
                <w:sz w:val="22"/>
              </w:rPr>
              <w:tab/>
              <w:t xml:space="preserve">the allocation of money </w:t>
            </w:r>
            <w:r w:rsidR="008118E2" w:rsidRPr="00075282">
              <w:rPr>
                <w:rFonts w:cs="Arial"/>
                <w:sz w:val="22"/>
              </w:rPr>
              <w:tab/>
            </w:r>
            <w:r w:rsidRPr="00075282">
              <w:rPr>
                <w:rFonts w:cs="Arial"/>
                <w:sz w:val="22"/>
              </w:rPr>
              <w:t xml:space="preserve">that has been paid into </w:t>
            </w:r>
            <w:r w:rsidR="008118E2" w:rsidRPr="00075282">
              <w:rPr>
                <w:rFonts w:cs="Arial"/>
                <w:sz w:val="22"/>
              </w:rPr>
              <w:tab/>
            </w:r>
            <w:r w:rsidRPr="00075282">
              <w:rPr>
                <w:rFonts w:cs="Arial"/>
                <w:sz w:val="22"/>
              </w:rPr>
              <w:t xml:space="preserve">the reserve account in </w:t>
            </w:r>
            <w:r w:rsidR="008118E2" w:rsidRPr="00075282">
              <w:rPr>
                <w:rFonts w:cs="Arial"/>
                <w:sz w:val="22"/>
              </w:rPr>
              <w:tab/>
            </w:r>
            <w:r w:rsidRPr="00075282">
              <w:rPr>
                <w:rFonts w:cs="Arial"/>
                <w:sz w:val="22"/>
              </w:rPr>
              <w:t xml:space="preserve">terms of paragraph (a)(ii) </w:t>
            </w:r>
            <w:r w:rsidR="008118E2" w:rsidRPr="00075282">
              <w:rPr>
                <w:rFonts w:cs="Arial"/>
                <w:sz w:val="22"/>
              </w:rPr>
              <w:tab/>
            </w:r>
            <w:r w:rsidRPr="00075282">
              <w:rPr>
                <w:rFonts w:cs="Arial"/>
                <w:sz w:val="22"/>
              </w:rPr>
              <w:t>becomes known,</w:t>
            </w:r>
          </w:p>
          <w:p w:rsidR="00B05106" w:rsidRPr="00075282" w:rsidRDefault="00B05106" w:rsidP="00075282">
            <w:pPr>
              <w:ind w:left="33"/>
              <w:jc w:val="left"/>
              <w:rPr>
                <w:rFonts w:cs="Arial"/>
                <w:sz w:val="22"/>
              </w:rPr>
            </w:pPr>
            <w:r w:rsidRPr="00075282">
              <w:rPr>
                <w:rFonts w:cs="Arial"/>
                <w:sz w:val="22"/>
              </w:rPr>
              <w:t>within thirty years after it has been paid into the reserve account, the reserve account must be debited and the money must be paid to the beneficiary or be allocated correctly.</w:t>
            </w:r>
          </w:p>
          <w:p w:rsidR="00640948" w:rsidRPr="00075282" w:rsidRDefault="00640948" w:rsidP="00075282">
            <w:pPr>
              <w:ind w:left="33"/>
              <w:jc w:val="left"/>
              <w:rPr>
                <w:rFonts w:cs="Arial"/>
                <w:sz w:val="22"/>
              </w:rPr>
            </w:pPr>
          </w:p>
          <w:p w:rsidR="00640948" w:rsidRPr="00075282" w:rsidRDefault="00640948" w:rsidP="00075282">
            <w:pPr>
              <w:ind w:left="33"/>
              <w:jc w:val="left"/>
              <w:rPr>
                <w:rFonts w:cs="Arial"/>
                <w:sz w:val="22"/>
              </w:rPr>
            </w:pPr>
            <w:r w:rsidRPr="00075282">
              <w:rPr>
                <w:rFonts w:cs="Arial"/>
                <w:sz w:val="22"/>
              </w:rPr>
              <w:t xml:space="preserve">National Treasury </w:t>
            </w:r>
            <w:r w:rsidR="00DE57FB" w:rsidRPr="00075282">
              <w:rPr>
                <w:rFonts w:cs="Arial"/>
                <w:sz w:val="22"/>
              </w:rPr>
              <w:t>indicated that</w:t>
            </w:r>
            <w:r w:rsidR="008118E2" w:rsidRPr="00075282">
              <w:rPr>
                <w:rFonts w:cs="Arial"/>
                <w:sz w:val="22"/>
              </w:rPr>
              <w:t>,</w:t>
            </w:r>
            <w:r w:rsidR="00DE57FB" w:rsidRPr="00075282">
              <w:rPr>
                <w:rFonts w:cs="Arial"/>
                <w:sz w:val="22"/>
              </w:rPr>
              <w:t xml:space="preserve"> c</w:t>
            </w:r>
            <w:r w:rsidRPr="00075282">
              <w:rPr>
                <w:rFonts w:cs="Arial"/>
                <w:sz w:val="22"/>
              </w:rPr>
              <w:t>onsidering the risk of running a huge fund, Treasury is amenable to the idea of setting the maximum limit on the reserve account rather than keeping funds in the reserve account for a period of 30 years. The clause was amended accordingly and a term of 10 years was agreed upon.</w:t>
            </w:r>
          </w:p>
          <w:p w:rsidR="00640948" w:rsidRPr="00075282" w:rsidRDefault="00640948" w:rsidP="00075282">
            <w:pPr>
              <w:ind w:left="33"/>
              <w:jc w:val="left"/>
              <w:rPr>
                <w:rFonts w:cs="Arial"/>
                <w:sz w:val="22"/>
              </w:rPr>
            </w:pPr>
          </w:p>
          <w:p w:rsidR="00640948" w:rsidRPr="00075282" w:rsidRDefault="00640948" w:rsidP="00075282">
            <w:pPr>
              <w:ind w:left="33"/>
              <w:jc w:val="left"/>
              <w:rPr>
                <w:rFonts w:cs="Arial"/>
                <w:sz w:val="22"/>
              </w:rPr>
            </w:pPr>
            <w:r w:rsidRPr="00075282">
              <w:rPr>
                <w:rFonts w:cs="Arial"/>
                <w:sz w:val="22"/>
              </w:rPr>
              <w:t xml:space="preserve">It should also be noted that in the </w:t>
            </w:r>
            <w:r w:rsidRPr="00075282">
              <w:rPr>
                <w:rFonts w:cs="Arial"/>
                <w:sz w:val="22"/>
              </w:rPr>
              <w:lastRenderedPageBreak/>
              <w:t xml:space="preserve">absence of any prescription periods </w:t>
            </w:r>
            <w:r w:rsidR="00DE57FB" w:rsidRPr="00075282">
              <w:rPr>
                <w:rFonts w:cs="Arial"/>
                <w:sz w:val="22"/>
              </w:rPr>
              <w:t>in legislation, the provisions of the Prescription Act, 1969 (Act 68 of 1969) is applicable. Section 1 provides as follows:</w:t>
            </w:r>
          </w:p>
          <w:p w:rsidR="00DE57FB" w:rsidRPr="00075282" w:rsidRDefault="00DE57FB" w:rsidP="00075282">
            <w:pPr>
              <w:ind w:left="33"/>
              <w:jc w:val="left"/>
              <w:rPr>
                <w:rFonts w:cs="Arial"/>
                <w:sz w:val="22"/>
              </w:rPr>
            </w:pPr>
            <w:r w:rsidRPr="00075282">
              <w:rPr>
                <w:rFonts w:cs="Arial"/>
                <w:b/>
                <w:sz w:val="22"/>
              </w:rPr>
              <w:t>Acquisition of ownership by prescription</w:t>
            </w:r>
            <w:r w:rsidRPr="00075282">
              <w:rPr>
                <w:rFonts w:cs="Arial"/>
                <w:sz w:val="22"/>
              </w:rPr>
              <w:t>.—Subject to the provisions of this Chapter and of Chapter IV, a person shall by prescription become the owner of a thing which he has possessed openly and as if he were the owner thereof for an uninterrupted period of thirty years or for a period which, together with any periods for which such thing was so possessed by his predecessors in title, constitutes an uninterrupted period of thirty years.</w:t>
            </w:r>
          </w:p>
          <w:p w:rsidR="00DE57FB" w:rsidRPr="00075282" w:rsidRDefault="00DE57FB" w:rsidP="00075282">
            <w:pPr>
              <w:ind w:left="33"/>
              <w:jc w:val="left"/>
              <w:rPr>
                <w:rFonts w:cs="Arial"/>
                <w:sz w:val="22"/>
              </w:rPr>
            </w:pPr>
          </w:p>
          <w:p w:rsidR="00DE57FB" w:rsidRPr="00075282" w:rsidRDefault="00E47083" w:rsidP="00075282">
            <w:pPr>
              <w:ind w:left="33"/>
              <w:jc w:val="left"/>
              <w:rPr>
                <w:rFonts w:cs="Arial"/>
                <w:sz w:val="22"/>
              </w:rPr>
            </w:pPr>
            <w:r w:rsidRPr="00075282">
              <w:rPr>
                <w:rFonts w:cs="Arial"/>
                <w:sz w:val="22"/>
              </w:rPr>
              <w:t>In clause 6(4) of the Bill it is however stated as follows:</w:t>
            </w:r>
          </w:p>
          <w:p w:rsidR="00E47083" w:rsidRPr="00075282" w:rsidRDefault="00E47083" w:rsidP="00075282">
            <w:pPr>
              <w:ind w:left="33"/>
              <w:jc w:val="left"/>
              <w:rPr>
                <w:rFonts w:cs="Arial"/>
                <w:sz w:val="22"/>
              </w:rPr>
            </w:pPr>
            <w:r w:rsidRPr="00075282">
              <w:rPr>
                <w:rFonts w:cs="Arial"/>
                <w:sz w:val="22"/>
              </w:rPr>
              <w:t>(4) The accounting officer must ensure that any amount in excess of the amount in the reserve account contemplated in section 5(3) is paid over to the National Revenue Fund.</w:t>
            </w:r>
          </w:p>
          <w:p w:rsidR="00E47083" w:rsidRPr="00075282" w:rsidRDefault="00E47083" w:rsidP="00075282">
            <w:pPr>
              <w:jc w:val="left"/>
              <w:rPr>
                <w:rFonts w:cs="Arial"/>
                <w:sz w:val="22"/>
              </w:rPr>
            </w:pPr>
            <w:r w:rsidRPr="00075282">
              <w:rPr>
                <w:rFonts w:cs="Arial"/>
                <w:sz w:val="22"/>
              </w:rPr>
              <w:t xml:space="preserve">This has the effect that the </w:t>
            </w:r>
            <w:r w:rsidR="003B4337" w:rsidRPr="00075282">
              <w:rPr>
                <w:rFonts w:cs="Arial"/>
                <w:b/>
                <w:sz w:val="22"/>
              </w:rPr>
              <w:t>ex</w:t>
            </w:r>
            <w:r w:rsidRPr="00075282">
              <w:rPr>
                <w:rFonts w:cs="Arial"/>
                <w:b/>
                <w:sz w:val="22"/>
              </w:rPr>
              <w:t>cess</w:t>
            </w:r>
            <w:r w:rsidRPr="00075282">
              <w:rPr>
                <w:rFonts w:cs="Arial"/>
                <w:sz w:val="22"/>
              </w:rPr>
              <w:t xml:space="preserve"> as determined by the Minister in consultation with the </w:t>
            </w:r>
            <w:r w:rsidRPr="00075282">
              <w:rPr>
                <w:rFonts w:cs="Arial"/>
                <w:sz w:val="22"/>
              </w:rPr>
              <w:lastRenderedPageBreak/>
              <w:t xml:space="preserve">Minister of Finance is </w:t>
            </w:r>
            <w:r w:rsidR="00E95F3B" w:rsidRPr="00075282">
              <w:rPr>
                <w:rFonts w:cs="Arial"/>
                <w:sz w:val="22"/>
              </w:rPr>
              <w:t xml:space="preserve">paid </w:t>
            </w:r>
            <w:r w:rsidRPr="00075282">
              <w:rPr>
                <w:rFonts w:cs="Arial"/>
                <w:sz w:val="22"/>
              </w:rPr>
              <w:t>into the National Revenue Account</w:t>
            </w:r>
            <w:r w:rsidR="00212FC1" w:rsidRPr="00075282">
              <w:rPr>
                <w:rFonts w:cs="Arial"/>
                <w:sz w:val="22"/>
              </w:rPr>
              <w:t xml:space="preserve"> and not the money not in excess. There is not a prescription period set for the money not in excess and that result in section 1 of the Prescription Act being applied, namely 30 years.  The maximum limit of the Reserve Account is to be set by the Minister in consultation with the Minister of Finance.  It is envisaged that the limit set will not result in any excess of money.</w:t>
            </w:r>
          </w:p>
        </w:tc>
      </w:tr>
      <w:tr w:rsidR="00833CE9" w:rsidRPr="00A2154D" w:rsidTr="00F2652C">
        <w:tc>
          <w:tcPr>
            <w:tcW w:w="4422" w:type="dxa"/>
          </w:tcPr>
          <w:p w:rsidR="00833CE9" w:rsidRDefault="00A2154D" w:rsidP="00075282">
            <w:pPr>
              <w:jc w:val="left"/>
              <w:rPr>
                <w:rFonts w:cs="Arial"/>
                <w:b/>
                <w:sz w:val="22"/>
              </w:rPr>
            </w:pPr>
            <w:r w:rsidRPr="00A2154D">
              <w:rPr>
                <w:rFonts w:cs="Arial"/>
                <w:b/>
                <w:sz w:val="22"/>
              </w:rPr>
              <w:lastRenderedPageBreak/>
              <w:t>6</w:t>
            </w:r>
            <w:r w:rsidR="00833CE9" w:rsidRPr="00A2154D">
              <w:rPr>
                <w:rFonts w:cs="Arial"/>
                <w:b/>
                <w:sz w:val="22"/>
              </w:rPr>
              <w:t>.  Clause 6</w:t>
            </w:r>
            <w:r w:rsidR="00DD3BC2">
              <w:rPr>
                <w:rFonts w:cs="Arial"/>
                <w:b/>
                <w:sz w:val="22"/>
              </w:rPr>
              <w:t xml:space="preserve">:  </w:t>
            </w:r>
            <w:r w:rsidR="00DD3BC2" w:rsidRPr="00DD3BC2">
              <w:rPr>
                <w:rFonts w:cs="Arial"/>
                <w:b/>
                <w:sz w:val="22"/>
              </w:rPr>
              <w:t>Utilisation of money in Fund</w:t>
            </w:r>
          </w:p>
          <w:p w:rsidR="00FC1749" w:rsidRPr="00FC1749" w:rsidRDefault="00FC1749" w:rsidP="00075282">
            <w:pPr>
              <w:jc w:val="left"/>
              <w:rPr>
                <w:rFonts w:cs="Arial"/>
                <w:sz w:val="22"/>
              </w:rPr>
            </w:pPr>
            <w:r w:rsidRPr="00FC1749">
              <w:rPr>
                <w:rFonts w:cs="Arial"/>
                <w:sz w:val="22"/>
              </w:rPr>
              <w:t>(1) The money in the Fund referred to in section 3(a) to (d)—</w:t>
            </w:r>
          </w:p>
          <w:p w:rsidR="00FC1749" w:rsidRDefault="00FC1749" w:rsidP="00075282">
            <w:pPr>
              <w:pStyle w:val="ListParagraph"/>
              <w:numPr>
                <w:ilvl w:val="0"/>
                <w:numId w:val="33"/>
              </w:numPr>
              <w:ind w:left="456" w:hanging="425"/>
              <w:jc w:val="left"/>
              <w:rPr>
                <w:rFonts w:cs="Arial"/>
                <w:sz w:val="22"/>
              </w:rPr>
            </w:pPr>
            <w:r w:rsidRPr="00FC1749">
              <w:rPr>
                <w:rFonts w:cs="Arial"/>
                <w:sz w:val="22"/>
              </w:rPr>
              <w:t>may only be used for the purposes for which it has been paid into the Fund;</w:t>
            </w:r>
            <w:r>
              <w:rPr>
                <w:rFonts w:cs="Arial"/>
                <w:sz w:val="22"/>
              </w:rPr>
              <w:t xml:space="preserve"> </w:t>
            </w:r>
            <w:r w:rsidRPr="00FC1749">
              <w:rPr>
                <w:rFonts w:cs="Arial"/>
                <w:sz w:val="22"/>
              </w:rPr>
              <w:t>and</w:t>
            </w:r>
          </w:p>
          <w:p w:rsidR="00FC1749" w:rsidRPr="008118E2" w:rsidRDefault="00FC1749" w:rsidP="00075282">
            <w:pPr>
              <w:pStyle w:val="ListParagraph"/>
              <w:numPr>
                <w:ilvl w:val="0"/>
                <w:numId w:val="33"/>
              </w:numPr>
              <w:ind w:left="456" w:hanging="425"/>
              <w:jc w:val="left"/>
              <w:rPr>
                <w:rFonts w:cs="Arial"/>
                <w:sz w:val="22"/>
              </w:rPr>
            </w:pPr>
            <w:r w:rsidRPr="008118E2">
              <w:rPr>
                <w:rFonts w:cs="Arial"/>
                <w:sz w:val="22"/>
              </w:rPr>
              <w:t>must be paid directly from the Fund to the party entitled to the payment in question.</w:t>
            </w:r>
          </w:p>
          <w:p w:rsidR="00992B7D" w:rsidRPr="00992B7D" w:rsidRDefault="00992B7D" w:rsidP="00075282">
            <w:pPr>
              <w:ind w:left="31"/>
              <w:jc w:val="left"/>
              <w:rPr>
                <w:rFonts w:cs="Arial"/>
                <w:sz w:val="22"/>
              </w:rPr>
            </w:pPr>
            <w:r w:rsidRPr="008118E2">
              <w:rPr>
                <w:rFonts w:cs="Arial"/>
                <w:sz w:val="22"/>
              </w:rPr>
              <w:t>(2)(a) The bank costs relating to bank acco</w:t>
            </w:r>
            <w:r w:rsidRPr="00992B7D">
              <w:rPr>
                <w:rFonts w:cs="Arial"/>
                <w:sz w:val="22"/>
              </w:rPr>
              <w:t>unts opened and maintained in respect of</w:t>
            </w:r>
            <w:r>
              <w:rPr>
                <w:rFonts w:cs="Arial"/>
                <w:sz w:val="22"/>
              </w:rPr>
              <w:t xml:space="preserve"> </w:t>
            </w:r>
            <w:r w:rsidRPr="00992B7D">
              <w:rPr>
                <w:rFonts w:cs="Arial"/>
                <w:sz w:val="22"/>
              </w:rPr>
              <w:t>the Fund must be defrayed against the interest earned in respect of those accounts, and</w:t>
            </w:r>
            <w:r>
              <w:rPr>
                <w:rFonts w:cs="Arial"/>
                <w:sz w:val="22"/>
              </w:rPr>
              <w:t xml:space="preserve"> </w:t>
            </w:r>
            <w:r w:rsidRPr="00992B7D">
              <w:rPr>
                <w:rFonts w:cs="Arial"/>
                <w:sz w:val="22"/>
              </w:rPr>
              <w:t>any net balance of interest earned on those accounts must be paid into the reserve</w:t>
            </w:r>
            <w:r>
              <w:rPr>
                <w:rFonts w:cs="Arial"/>
                <w:sz w:val="22"/>
              </w:rPr>
              <w:t xml:space="preserve"> </w:t>
            </w:r>
            <w:r w:rsidRPr="00992B7D">
              <w:rPr>
                <w:rFonts w:cs="Arial"/>
                <w:sz w:val="22"/>
              </w:rPr>
              <w:t>account.</w:t>
            </w:r>
          </w:p>
          <w:p w:rsidR="00992B7D" w:rsidRPr="00992B7D" w:rsidRDefault="00992B7D" w:rsidP="00075282">
            <w:pPr>
              <w:ind w:left="31"/>
              <w:jc w:val="left"/>
              <w:rPr>
                <w:rFonts w:cs="Arial"/>
                <w:sz w:val="22"/>
              </w:rPr>
            </w:pPr>
            <w:r w:rsidRPr="00992B7D">
              <w:rPr>
                <w:rFonts w:cs="Arial"/>
                <w:sz w:val="22"/>
              </w:rPr>
              <w:t>(b) If the bank costs referred to in paragraph (a) exceed the amount of interest earned,</w:t>
            </w:r>
            <w:r>
              <w:rPr>
                <w:rFonts w:cs="Arial"/>
                <w:sz w:val="22"/>
              </w:rPr>
              <w:t xml:space="preserve"> </w:t>
            </w:r>
            <w:r w:rsidRPr="00992B7D">
              <w:rPr>
                <w:rFonts w:cs="Arial"/>
                <w:sz w:val="22"/>
              </w:rPr>
              <w:t xml:space="preserve">the net balance of the </w:t>
            </w:r>
            <w:r w:rsidRPr="00992B7D">
              <w:rPr>
                <w:rFonts w:cs="Arial"/>
                <w:sz w:val="22"/>
              </w:rPr>
              <w:lastRenderedPageBreak/>
              <w:t>bank costs must be defrayed from the reserve account.</w:t>
            </w:r>
          </w:p>
        </w:tc>
        <w:tc>
          <w:tcPr>
            <w:tcW w:w="1955" w:type="dxa"/>
          </w:tcPr>
          <w:p w:rsidR="00DC4B2C" w:rsidRPr="00A2154D" w:rsidRDefault="00DC4B2C" w:rsidP="00075282">
            <w:pPr>
              <w:jc w:val="left"/>
              <w:rPr>
                <w:rFonts w:cs="Arial"/>
                <w:sz w:val="22"/>
              </w:rPr>
            </w:pPr>
          </w:p>
        </w:tc>
        <w:tc>
          <w:tcPr>
            <w:tcW w:w="4962" w:type="dxa"/>
          </w:tcPr>
          <w:p w:rsidR="00DC4B2C" w:rsidRDefault="00FC1749" w:rsidP="00075282">
            <w:pPr>
              <w:pStyle w:val="ListParagraph"/>
              <w:numPr>
                <w:ilvl w:val="0"/>
                <w:numId w:val="34"/>
              </w:numPr>
              <w:ind w:left="459" w:hanging="425"/>
              <w:jc w:val="left"/>
              <w:rPr>
                <w:rFonts w:cs="Arial"/>
                <w:sz w:val="22"/>
              </w:rPr>
            </w:pPr>
            <w:r w:rsidRPr="00992B7D">
              <w:rPr>
                <w:rFonts w:cs="Arial"/>
                <w:sz w:val="22"/>
              </w:rPr>
              <w:t xml:space="preserve">In regard to the payment of monies from the Fund, </w:t>
            </w:r>
            <w:r w:rsidR="00015DED">
              <w:rPr>
                <w:rFonts w:cs="Arial"/>
                <w:sz w:val="22"/>
              </w:rPr>
              <w:t>clause</w:t>
            </w:r>
            <w:r w:rsidRPr="00992B7D">
              <w:rPr>
                <w:rFonts w:cs="Arial"/>
                <w:sz w:val="22"/>
              </w:rPr>
              <w:t xml:space="preserve"> 6(1)(b) of the Bill merely provides that money held in the Fund in terms of sections 3(a) to (d) “must be paid directly from the Fund to the party entitled to the payment in question”.</w:t>
            </w:r>
            <w:r>
              <w:t xml:space="preserve"> </w:t>
            </w:r>
            <w:r w:rsidRPr="00992B7D">
              <w:rPr>
                <w:rFonts w:cs="Arial"/>
                <w:sz w:val="22"/>
              </w:rPr>
              <w:t>In contrast, sections 90 and 90A of the Administration of Estates Act make detailed provision for the circumstances in which payments may be made to natural guardians, tutors and curators, or for and on behalf of minors and persons under curatorship as well as to usufructuaries, fiduciaries or to their tutors or curators.</w:t>
            </w:r>
          </w:p>
          <w:p w:rsidR="00992B7D" w:rsidRDefault="00992B7D"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823D8E" w:rsidRDefault="00823D8E" w:rsidP="00075282">
            <w:pPr>
              <w:pStyle w:val="ListParagraph"/>
              <w:ind w:left="459"/>
              <w:jc w:val="left"/>
              <w:rPr>
                <w:rFonts w:cs="Arial"/>
                <w:sz w:val="22"/>
              </w:rPr>
            </w:pPr>
          </w:p>
          <w:p w:rsidR="00992B7D" w:rsidRPr="00992B7D" w:rsidRDefault="00015DED" w:rsidP="00075282">
            <w:pPr>
              <w:pStyle w:val="ListParagraph"/>
              <w:numPr>
                <w:ilvl w:val="0"/>
                <w:numId w:val="34"/>
              </w:numPr>
              <w:ind w:left="459" w:hanging="425"/>
              <w:jc w:val="left"/>
              <w:rPr>
                <w:rFonts w:cs="Arial"/>
                <w:sz w:val="22"/>
              </w:rPr>
            </w:pPr>
            <w:r>
              <w:rPr>
                <w:rFonts w:cs="Arial"/>
                <w:sz w:val="22"/>
              </w:rPr>
              <w:t xml:space="preserve">Clause </w:t>
            </w:r>
            <w:r w:rsidR="00992B7D" w:rsidRPr="00992B7D">
              <w:rPr>
                <w:rFonts w:cs="Arial"/>
                <w:sz w:val="22"/>
              </w:rPr>
              <w:t>6(2)(a) and (b) of the Bill provide</w:t>
            </w:r>
            <w:r>
              <w:rPr>
                <w:rFonts w:cs="Arial"/>
                <w:sz w:val="22"/>
              </w:rPr>
              <w:t>s</w:t>
            </w:r>
            <w:r w:rsidR="00992B7D" w:rsidRPr="00992B7D">
              <w:rPr>
                <w:rFonts w:cs="Arial"/>
                <w:sz w:val="22"/>
              </w:rPr>
              <w:t xml:space="preserve"> that any interest which may accrue to amounts held in the Fund in terms of </w:t>
            </w:r>
            <w:r>
              <w:rPr>
                <w:rFonts w:cs="Arial"/>
                <w:sz w:val="22"/>
              </w:rPr>
              <w:t>clause</w:t>
            </w:r>
            <w:r w:rsidR="00992B7D" w:rsidRPr="00992B7D">
              <w:rPr>
                <w:rFonts w:cs="Arial"/>
                <w:sz w:val="22"/>
              </w:rPr>
              <w:t xml:space="preserve"> 3(a) to (d) of the Bill </w:t>
            </w:r>
            <w:r>
              <w:rPr>
                <w:rFonts w:cs="Arial"/>
                <w:sz w:val="22"/>
              </w:rPr>
              <w:t>is</w:t>
            </w:r>
            <w:r w:rsidR="00992B7D" w:rsidRPr="00992B7D">
              <w:rPr>
                <w:rFonts w:cs="Arial"/>
                <w:sz w:val="22"/>
              </w:rPr>
              <w:t xml:space="preserve"> to be applied to defray bank charges and any surplus interest is to</w:t>
            </w:r>
            <w:r w:rsidR="00992B7D">
              <w:rPr>
                <w:rFonts w:cs="Arial"/>
                <w:sz w:val="22"/>
              </w:rPr>
              <w:t xml:space="preserve"> </w:t>
            </w:r>
            <w:r w:rsidR="00992B7D" w:rsidRPr="00992B7D">
              <w:rPr>
                <w:rFonts w:cs="Arial"/>
                <w:sz w:val="22"/>
              </w:rPr>
              <w:t xml:space="preserve">be paid into the reserve account. </w:t>
            </w:r>
            <w:r w:rsidR="00992B7D">
              <w:rPr>
                <w:rFonts w:cs="Arial"/>
                <w:sz w:val="22"/>
              </w:rPr>
              <w:t xml:space="preserve"> </w:t>
            </w:r>
            <w:r w:rsidR="00992B7D" w:rsidRPr="00992B7D">
              <w:rPr>
                <w:rFonts w:cs="Arial"/>
                <w:sz w:val="22"/>
              </w:rPr>
              <w:t>It does not appear that the Bill contemplates that such surplus interest amounts are to accrue to the benefit of third parties on whose behalf monies are held in the Fund.</w:t>
            </w:r>
          </w:p>
          <w:p w:rsidR="00992B7D" w:rsidRDefault="00992B7D" w:rsidP="00075282">
            <w:pPr>
              <w:jc w:val="left"/>
              <w:rPr>
                <w:rFonts w:cs="Arial"/>
                <w:sz w:val="22"/>
              </w:rPr>
            </w:pPr>
          </w:p>
          <w:p w:rsidR="00992B7D" w:rsidRPr="00992B7D" w:rsidRDefault="00992B7D" w:rsidP="00075282">
            <w:pPr>
              <w:ind w:left="459"/>
              <w:jc w:val="left"/>
              <w:rPr>
                <w:rFonts w:cs="Arial"/>
                <w:sz w:val="22"/>
              </w:rPr>
            </w:pPr>
            <w:r w:rsidRPr="00992B7D">
              <w:rPr>
                <w:rFonts w:cs="Arial"/>
                <w:sz w:val="22"/>
              </w:rPr>
              <w:t>The effect hereof is that monies, held in the Fund on behalf of minors or persons suffering under any legal disability for any extended length of time would not be protected from the effects for example of inflation, over time.</w:t>
            </w:r>
          </w:p>
        </w:tc>
        <w:tc>
          <w:tcPr>
            <w:tcW w:w="3511" w:type="dxa"/>
          </w:tcPr>
          <w:p w:rsidR="00833CE9" w:rsidRDefault="00015DED" w:rsidP="00075282">
            <w:pPr>
              <w:pStyle w:val="ListParagraph"/>
              <w:numPr>
                <w:ilvl w:val="0"/>
                <w:numId w:val="36"/>
              </w:numPr>
              <w:ind w:left="458" w:hanging="425"/>
              <w:jc w:val="left"/>
              <w:rPr>
                <w:rFonts w:cs="Arial"/>
                <w:sz w:val="22"/>
              </w:rPr>
            </w:pPr>
            <w:r>
              <w:rPr>
                <w:rFonts w:cs="Arial"/>
                <w:sz w:val="22"/>
              </w:rPr>
              <w:lastRenderedPageBreak/>
              <w:t>T</w:t>
            </w:r>
            <w:r w:rsidR="00FC1749" w:rsidRPr="00992B7D">
              <w:rPr>
                <w:rFonts w:cs="Arial"/>
                <w:sz w:val="22"/>
              </w:rPr>
              <w:t>he Bill does not apply to the Guardian's Fund.  The persons/institutions to whom or which payments are made in terms of the Administration of Estates Act differ considerably fr</w:t>
            </w:r>
            <w:r>
              <w:rPr>
                <w:rFonts w:cs="Arial"/>
                <w:sz w:val="22"/>
              </w:rPr>
              <w:t>o</w:t>
            </w:r>
            <w:r w:rsidR="00FC1749" w:rsidRPr="00992B7D">
              <w:rPr>
                <w:rFonts w:cs="Arial"/>
                <w:sz w:val="22"/>
              </w:rPr>
              <w:t xml:space="preserve">m the persons/institutions in the Justice Administered Fund. The Justice Administered Fund contains money from a wide variety of sources from private persons to national departments, provincial </w:t>
            </w:r>
            <w:r w:rsidR="00992B7D" w:rsidRPr="00992B7D">
              <w:rPr>
                <w:rFonts w:cs="Arial"/>
                <w:sz w:val="22"/>
              </w:rPr>
              <w:t>departments,</w:t>
            </w:r>
            <w:r w:rsidR="00FC1749" w:rsidRPr="00992B7D">
              <w:rPr>
                <w:rFonts w:cs="Arial"/>
                <w:sz w:val="22"/>
              </w:rPr>
              <w:t xml:space="preserve"> and municipalities. </w:t>
            </w:r>
            <w:r w:rsidR="00992B7D" w:rsidRPr="00992B7D">
              <w:rPr>
                <w:rFonts w:cs="Arial"/>
                <w:sz w:val="22"/>
              </w:rPr>
              <w:t xml:space="preserve"> </w:t>
            </w:r>
            <w:r w:rsidR="00FC1749" w:rsidRPr="00992B7D">
              <w:rPr>
                <w:rFonts w:cs="Arial"/>
                <w:sz w:val="22"/>
              </w:rPr>
              <w:t xml:space="preserve">The money itself is </w:t>
            </w:r>
            <w:r w:rsidR="00992B7D" w:rsidRPr="00992B7D">
              <w:rPr>
                <w:rFonts w:cs="Arial"/>
                <w:sz w:val="22"/>
              </w:rPr>
              <w:t xml:space="preserve">also </w:t>
            </w:r>
            <w:r w:rsidR="00FC1749" w:rsidRPr="00992B7D">
              <w:rPr>
                <w:rFonts w:cs="Arial"/>
                <w:sz w:val="22"/>
              </w:rPr>
              <w:t xml:space="preserve">not </w:t>
            </w:r>
            <w:r w:rsidR="00212FC1">
              <w:rPr>
                <w:rFonts w:cs="Arial"/>
                <w:sz w:val="22"/>
              </w:rPr>
              <w:t>limited as</w:t>
            </w:r>
            <w:r w:rsidR="00992B7D" w:rsidRPr="00992B7D">
              <w:rPr>
                <w:rFonts w:cs="Arial"/>
                <w:sz w:val="22"/>
              </w:rPr>
              <w:t xml:space="preserve"> money contemplated in the Administration of Estates Act, but incl</w:t>
            </w:r>
            <w:r w:rsidR="00212FC1">
              <w:rPr>
                <w:rFonts w:cs="Arial"/>
                <w:sz w:val="22"/>
              </w:rPr>
              <w:t xml:space="preserve">udes, </w:t>
            </w:r>
            <w:r w:rsidR="00992B7D" w:rsidRPr="00992B7D">
              <w:rPr>
                <w:rFonts w:cs="Arial"/>
                <w:sz w:val="22"/>
              </w:rPr>
              <w:t xml:space="preserve"> </w:t>
            </w:r>
            <w:r w:rsidR="00992B7D" w:rsidRPr="00992B7D">
              <w:rPr>
                <w:rFonts w:cs="Arial"/>
                <w:sz w:val="22"/>
              </w:rPr>
              <w:lastRenderedPageBreak/>
              <w:t>maintenance</w:t>
            </w:r>
            <w:r w:rsidR="00212FC1">
              <w:rPr>
                <w:rFonts w:cs="Arial"/>
                <w:sz w:val="22"/>
              </w:rPr>
              <w:t xml:space="preserve"> paid to the court in terms of a court order</w:t>
            </w:r>
            <w:r w:rsidR="00992B7D" w:rsidRPr="00992B7D">
              <w:rPr>
                <w:rFonts w:cs="Arial"/>
                <w:sz w:val="22"/>
              </w:rPr>
              <w:t>, bail, fines etc as set out in clause 3.  It would therefore not be advisable to attempt</w:t>
            </w:r>
            <w:r>
              <w:rPr>
                <w:rFonts w:cs="Arial"/>
                <w:sz w:val="22"/>
              </w:rPr>
              <w:t xml:space="preserve"> to</w:t>
            </w:r>
            <w:r w:rsidR="00992B7D" w:rsidRPr="00992B7D">
              <w:rPr>
                <w:rFonts w:cs="Arial"/>
                <w:sz w:val="22"/>
              </w:rPr>
              <w:t xml:space="preserve"> list  persons/institutions </w:t>
            </w:r>
            <w:r>
              <w:rPr>
                <w:rFonts w:cs="Arial"/>
                <w:sz w:val="22"/>
              </w:rPr>
              <w:t xml:space="preserve">to whom </w:t>
            </w:r>
            <w:r w:rsidR="00992B7D" w:rsidRPr="00992B7D">
              <w:rPr>
                <w:rFonts w:cs="Arial"/>
                <w:sz w:val="22"/>
              </w:rPr>
              <w:t xml:space="preserve">money </w:t>
            </w:r>
            <w:r>
              <w:rPr>
                <w:rFonts w:cs="Arial"/>
                <w:sz w:val="22"/>
              </w:rPr>
              <w:t>is</w:t>
            </w:r>
            <w:r w:rsidR="00992B7D" w:rsidRPr="00992B7D">
              <w:rPr>
                <w:rFonts w:cs="Arial"/>
                <w:sz w:val="22"/>
              </w:rPr>
              <w:t xml:space="preserve"> to be paid </w:t>
            </w:r>
            <w:r>
              <w:rPr>
                <w:rFonts w:cs="Arial"/>
                <w:sz w:val="22"/>
              </w:rPr>
              <w:t xml:space="preserve">because such a list </w:t>
            </w:r>
            <w:r w:rsidR="00992B7D" w:rsidRPr="00992B7D">
              <w:rPr>
                <w:rFonts w:cs="Arial"/>
                <w:sz w:val="22"/>
              </w:rPr>
              <w:t xml:space="preserve">may not provide for each and every instance </w:t>
            </w:r>
            <w:r>
              <w:rPr>
                <w:rFonts w:cs="Arial"/>
                <w:sz w:val="22"/>
              </w:rPr>
              <w:t xml:space="preserve">that may arise, </w:t>
            </w:r>
            <w:r w:rsidR="00992B7D" w:rsidRPr="00992B7D">
              <w:rPr>
                <w:rFonts w:cs="Arial"/>
                <w:sz w:val="22"/>
              </w:rPr>
              <w:t xml:space="preserve">leaving a </w:t>
            </w:r>
            <w:r>
              <w:rPr>
                <w:rFonts w:cs="Arial"/>
                <w:sz w:val="22"/>
              </w:rPr>
              <w:t>gap</w:t>
            </w:r>
            <w:r w:rsidR="00992B7D" w:rsidRPr="00992B7D">
              <w:rPr>
                <w:rFonts w:cs="Arial"/>
                <w:sz w:val="22"/>
              </w:rPr>
              <w:t xml:space="preserve"> in the legislation.</w:t>
            </w:r>
          </w:p>
          <w:p w:rsidR="00992B7D" w:rsidRDefault="00992B7D" w:rsidP="00075282">
            <w:pPr>
              <w:pStyle w:val="ListParagraph"/>
              <w:ind w:left="458"/>
              <w:jc w:val="left"/>
              <w:rPr>
                <w:rFonts w:cs="Arial"/>
                <w:sz w:val="22"/>
              </w:rPr>
            </w:pPr>
          </w:p>
          <w:p w:rsidR="00992B7D" w:rsidRDefault="00A42866" w:rsidP="00075282">
            <w:pPr>
              <w:pStyle w:val="ListParagraph"/>
              <w:numPr>
                <w:ilvl w:val="0"/>
                <w:numId w:val="36"/>
              </w:numPr>
              <w:ind w:left="458" w:hanging="425"/>
              <w:jc w:val="left"/>
              <w:rPr>
                <w:rFonts w:cs="Arial"/>
                <w:sz w:val="22"/>
              </w:rPr>
            </w:pPr>
            <w:r>
              <w:rPr>
                <w:rFonts w:cs="Arial"/>
                <w:sz w:val="22"/>
              </w:rPr>
              <w:t xml:space="preserve">It should be noted that money paid into the Justice Administered Fund is paid out within 30 days of receipt to the beneficiaries so no interest is earned on those amounts.  The interest earned is on money in the reserve account, which is unclaimed money and money </w:t>
            </w:r>
            <w:r w:rsidRPr="00A42866">
              <w:rPr>
                <w:rFonts w:cs="Arial"/>
                <w:sz w:val="22"/>
              </w:rPr>
              <w:t xml:space="preserve">received which cannot immediately be allocated into any of the categories listed in </w:t>
            </w:r>
            <w:r w:rsidR="00015DED">
              <w:rPr>
                <w:rFonts w:cs="Arial"/>
                <w:sz w:val="22"/>
              </w:rPr>
              <w:t>clause</w:t>
            </w:r>
            <w:r w:rsidRPr="00A42866">
              <w:rPr>
                <w:rFonts w:cs="Arial"/>
                <w:sz w:val="22"/>
              </w:rPr>
              <w:t xml:space="preserve"> </w:t>
            </w:r>
            <w:r>
              <w:rPr>
                <w:rFonts w:cs="Arial"/>
                <w:sz w:val="22"/>
              </w:rPr>
              <w:t>3</w:t>
            </w:r>
            <w:r w:rsidRPr="00A42866">
              <w:rPr>
                <w:rFonts w:cs="Arial"/>
                <w:sz w:val="22"/>
              </w:rPr>
              <w:t>(a) to (c)</w:t>
            </w:r>
            <w:r>
              <w:rPr>
                <w:rFonts w:cs="Arial"/>
                <w:sz w:val="22"/>
              </w:rPr>
              <w:t xml:space="preserve"> of the Bill.  It is not possible to calculate individual interest on the amounts i</w:t>
            </w:r>
            <w:r w:rsidR="00015DED">
              <w:rPr>
                <w:rFonts w:cs="Arial"/>
                <w:sz w:val="22"/>
              </w:rPr>
              <w:t>n the r</w:t>
            </w:r>
            <w:r>
              <w:rPr>
                <w:rFonts w:cs="Arial"/>
                <w:sz w:val="22"/>
              </w:rPr>
              <w:t xml:space="preserve">eserve </w:t>
            </w:r>
            <w:r w:rsidR="00015DED">
              <w:rPr>
                <w:rFonts w:cs="Arial"/>
                <w:sz w:val="22"/>
              </w:rPr>
              <w:t>a</w:t>
            </w:r>
            <w:r>
              <w:rPr>
                <w:rFonts w:cs="Arial"/>
                <w:sz w:val="22"/>
              </w:rPr>
              <w:t>ccount</w:t>
            </w:r>
            <w:r w:rsidR="00015DED">
              <w:rPr>
                <w:rFonts w:cs="Arial"/>
                <w:sz w:val="22"/>
              </w:rPr>
              <w:t>,</w:t>
            </w:r>
            <w:r>
              <w:rPr>
                <w:rFonts w:cs="Arial"/>
                <w:sz w:val="22"/>
              </w:rPr>
              <w:t xml:space="preserve"> tak</w:t>
            </w:r>
            <w:r w:rsidR="00015DED">
              <w:rPr>
                <w:rFonts w:cs="Arial"/>
                <w:sz w:val="22"/>
              </w:rPr>
              <w:t>ing</w:t>
            </w:r>
            <w:r>
              <w:rPr>
                <w:rFonts w:cs="Arial"/>
                <w:sz w:val="22"/>
              </w:rPr>
              <w:t xml:space="preserve"> into </w:t>
            </w:r>
            <w:r w:rsidR="00015DED">
              <w:rPr>
                <w:rFonts w:cs="Arial"/>
                <w:sz w:val="22"/>
              </w:rPr>
              <w:t>consideration all the m</w:t>
            </w:r>
            <w:r w:rsidR="00E95F3B">
              <w:rPr>
                <w:rFonts w:cs="Arial"/>
                <w:sz w:val="22"/>
              </w:rPr>
              <w:t xml:space="preserve">oney </w:t>
            </w:r>
            <w:r w:rsidR="00015DED">
              <w:rPr>
                <w:rFonts w:cs="Arial"/>
                <w:sz w:val="22"/>
              </w:rPr>
              <w:t>in the reserve a</w:t>
            </w:r>
            <w:r w:rsidR="00E95F3B">
              <w:rPr>
                <w:rFonts w:cs="Arial"/>
                <w:sz w:val="22"/>
              </w:rPr>
              <w:t>ccount</w:t>
            </w:r>
            <w:r>
              <w:rPr>
                <w:rFonts w:cs="Arial"/>
                <w:sz w:val="22"/>
              </w:rPr>
              <w:t xml:space="preserve">. </w:t>
            </w:r>
          </w:p>
          <w:p w:rsidR="00A42866" w:rsidRDefault="00A42866" w:rsidP="00075282">
            <w:pPr>
              <w:pStyle w:val="ListParagraph"/>
              <w:ind w:left="458"/>
              <w:jc w:val="left"/>
              <w:rPr>
                <w:rFonts w:cs="Arial"/>
                <w:sz w:val="22"/>
              </w:rPr>
            </w:pPr>
          </w:p>
          <w:p w:rsidR="00A42866" w:rsidRDefault="00015DED" w:rsidP="00075282">
            <w:pPr>
              <w:pStyle w:val="ListParagraph"/>
              <w:ind w:left="458"/>
              <w:jc w:val="left"/>
              <w:rPr>
                <w:rFonts w:cs="Arial"/>
                <w:sz w:val="22"/>
              </w:rPr>
            </w:pPr>
            <w:r>
              <w:rPr>
                <w:rFonts w:cs="Arial"/>
                <w:sz w:val="22"/>
              </w:rPr>
              <w:t>T</w:t>
            </w:r>
            <w:r w:rsidR="00A42866">
              <w:rPr>
                <w:rFonts w:cs="Arial"/>
                <w:sz w:val="22"/>
              </w:rPr>
              <w:t xml:space="preserve">he Guardians Fund does not form part of the Justice Administered Fund so the effect the GCB </w:t>
            </w:r>
            <w:r>
              <w:rPr>
                <w:rFonts w:cs="Arial"/>
                <w:sz w:val="22"/>
              </w:rPr>
              <w:t>is</w:t>
            </w:r>
            <w:r w:rsidR="00A42866">
              <w:rPr>
                <w:rFonts w:cs="Arial"/>
                <w:sz w:val="22"/>
              </w:rPr>
              <w:t xml:space="preserve"> concerned about do</w:t>
            </w:r>
            <w:r>
              <w:rPr>
                <w:rFonts w:cs="Arial"/>
                <w:sz w:val="22"/>
              </w:rPr>
              <w:t>es</w:t>
            </w:r>
            <w:r w:rsidR="00A42866">
              <w:rPr>
                <w:rFonts w:cs="Arial"/>
                <w:sz w:val="22"/>
              </w:rPr>
              <w:t xml:space="preserve"> not apply here.  It should also be noted that unclaimed maintenance rarely if ever forms part of the </w:t>
            </w:r>
            <w:r>
              <w:rPr>
                <w:rFonts w:cs="Arial"/>
                <w:sz w:val="22"/>
              </w:rPr>
              <w:t>reserve a</w:t>
            </w:r>
            <w:r w:rsidR="00A42866">
              <w:rPr>
                <w:rFonts w:cs="Arial"/>
                <w:sz w:val="22"/>
              </w:rPr>
              <w:t xml:space="preserve">ccount. </w:t>
            </w:r>
            <w:r w:rsidR="00B83B08">
              <w:rPr>
                <w:rFonts w:cs="Arial"/>
                <w:sz w:val="22"/>
              </w:rPr>
              <w:t xml:space="preserve"> </w:t>
            </w:r>
            <w:r>
              <w:rPr>
                <w:rFonts w:cs="Arial"/>
                <w:sz w:val="22"/>
              </w:rPr>
              <w:t>T</w:t>
            </w:r>
            <w:r w:rsidR="00B83B08">
              <w:rPr>
                <w:rFonts w:cs="Arial"/>
                <w:sz w:val="22"/>
              </w:rPr>
              <w:t xml:space="preserve">here are </w:t>
            </w:r>
            <w:r>
              <w:rPr>
                <w:rFonts w:cs="Arial"/>
                <w:sz w:val="22"/>
              </w:rPr>
              <w:t xml:space="preserve">moreover </w:t>
            </w:r>
            <w:r w:rsidR="00B83B08">
              <w:rPr>
                <w:rFonts w:cs="Arial"/>
                <w:sz w:val="22"/>
              </w:rPr>
              <w:t>internal processes in place regard</w:t>
            </w:r>
            <w:r>
              <w:rPr>
                <w:rFonts w:cs="Arial"/>
                <w:sz w:val="22"/>
              </w:rPr>
              <w:t>ing</w:t>
            </w:r>
            <w:r w:rsidR="00B83B08">
              <w:rPr>
                <w:rFonts w:cs="Arial"/>
                <w:sz w:val="22"/>
              </w:rPr>
              <w:t xml:space="preserve"> unclaimed maintenance.</w:t>
            </w:r>
            <w:r w:rsidR="00B83B08">
              <w:t xml:space="preserve">  </w:t>
            </w:r>
            <w:r w:rsidR="00B83B08" w:rsidRPr="00B83B08">
              <w:rPr>
                <w:rFonts w:cs="Arial"/>
                <w:sz w:val="22"/>
              </w:rPr>
              <w:t xml:space="preserve">At the end of each month a static cases maintenance report must be drawn </w:t>
            </w:r>
            <w:r w:rsidR="00B83B08">
              <w:rPr>
                <w:rFonts w:cs="Arial"/>
                <w:sz w:val="22"/>
              </w:rPr>
              <w:t>by the delegated person. Money</w:t>
            </w:r>
            <w:r w:rsidR="00B83B08" w:rsidRPr="00B83B08">
              <w:rPr>
                <w:rFonts w:cs="Arial"/>
                <w:sz w:val="22"/>
              </w:rPr>
              <w:t xml:space="preserve"> remaining unclaimed, for reasons unknown, must be refunded to the respondent after diligent enquiry, by order of the </w:t>
            </w:r>
            <w:r>
              <w:rPr>
                <w:rFonts w:cs="Arial"/>
                <w:sz w:val="22"/>
              </w:rPr>
              <w:t>m</w:t>
            </w:r>
            <w:r w:rsidR="00B83B08" w:rsidRPr="00B83B08">
              <w:rPr>
                <w:rFonts w:cs="Arial"/>
                <w:sz w:val="22"/>
              </w:rPr>
              <w:t xml:space="preserve">agistrate and after </w:t>
            </w:r>
            <w:r>
              <w:rPr>
                <w:rFonts w:cs="Arial"/>
                <w:sz w:val="22"/>
              </w:rPr>
              <w:t xml:space="preserve">the expiry </w:t>
            </w:r>
            <w:r w:rsidR="00B83B08" w:rsidRPr="00B83B08">
              <w:rPr>
                <w:rFonts w:cs="Arial"/>
                <w:sz w:val="22"/>
              </w:rPr>
              <w:t>of 12 months.</w:t>
            </w:r>
          </w:p>
          <w:p w:rsidR="00B83B08" w:rsidRDefault="00B83B08" w:rsidP="00075282">
            <w:pPr>
              <w:pStyle w:val="ListParagraph"/>
              <w:ind w:left="458"/>
              <w:jc w:val="left"/>
              <w:rPr>
                <w:rFonts w:cs="Arial"/>
                <w:sz w:val="22"/>
              </w:rPr>
            </w:pPr>
          </w:p>
          <w:p w:rsidR="00B83B08" w:rsidRDefault="00015DED" w:rsidP="00075282">
            <w:pPr>
              <w:pStyle w:val="ListParagraph"/>
              <w:ind w:left="458"/>
              <w:jc w:val="left"/>
              <w:rPr>
                <w:sz w:val="22"/>
              </w:rPr>
            </w:pPr>
            <w:r>
              <w:rPr>
                <w:rFonts w:cs="Arial"/>
                <w:sz w:val="22"/>
              </w:rPr>
              <w:t>Regarding</w:t>
            </w:r>
            <w:r w:rsidR="00B83B08">
              <w:rPr>
                <w:rFonts w:cs="Arial"/>
                <w:sz w:val="22"/>
              </w:rPr>
              <w:t xml:space="preserve"> unclaimed bail the following procedures are followed: </w:t>
            </w:r>
            <w:r w:rsidR="00B83B08" w:rsidRPr="00B83B08">
              <w:rPr>
                <w:rFonts w:cs="Arial"/>
                <w:sz w:val="22"/>
              </w:rPr>
              <w:t>Ba</w:t>
            </w:r>
            <w:r w:rsidR="00B83B08">
              <w:rPr>
                <w:rFonts w:cs="Arial"/>
                <w:sz w:val="22"/>
              </w:rPr>
              <w:t>il Money</w:t>
            </w:r>
            <w:r w:rsidR="00B83B08" w:rsidRPr="00B83B08">
              <w:rPr>
                <w:rFonts w:cs="Arial"/>
                <w:sz w:val="22"/>
              </w:rPr>
              <w:t xml:space="preserve"> may only be refunded </w:t>
            </w:r>
            <w:r>
              <w:rPr>
                <w:rFonts w:cs="Arial"/>
                <w:sz w:val="22"/>
              </w:rPr>
              <w:t>at</w:t>
            </w:r>
            <w:r w:rsidR="00B83B08" w:rsidRPr="00B83B08">
              <w:rPr>
                <w:rFonts w:cs="Arial"/>
                <w:sz w:val="22"/>
              </w:rPr>
              <w:t xml:space="preserve"> </w:t>
            </w:r>
            <w:r>
              <w:rPr>
                <w:rFonts w:cs="Arial"/>
                <w:sz w:val="22"/>
              </w:rPr>
              <w:t xml:space="preserve">the </w:t>
            </w:r>
            <w:r w:rsidR="00B83B08" w:rsidRPr="00B83B08">
              <w:rPr>
                <w:rFonts w:cs="Arial"/>
                <w:sz w:val="22"/>
              </w:rPr>
              <w:t>finalisation of the case.</w:t>
            </w:r>
            <w:r w:rsidR="00B83B08">
              <w:t xml:space="preserve"> </w:t>
            </w:r>
            <w:r w:rsidR="009E6739" w:rsidRPr="009E6739">
              <w:rPr>
                <w:sz w:val="22"/>
              </w:rPr>
              <w:t xml:space="preserve">At the end of each </w:t>
            </w:r>
            <w:r w:rsidR="009E6739">
              <w:rPr>
                <w:sz w:val="22"/>
              </w:rPr>
              <w:t>month a static cases bail</w:t>
            </w:r>
            <w:r w:rsidR="009E6739" w:rsidRPr="009E6739">
              <w:rPr>
                <w:sz w:val="22"/>
              </w:rPr>
              <w:t xml:space="preserve"> report must be drawn by the delegated person. </w:t>
            </w:r>
            <w:r w:rsidR="009E6739">
              <w:rPr>
                <w:sz w:val="22"/>
              </w:rPr>
              <w:t xml:space="preserve">Unclaimed bail </w:t>
            </w:r>
            <w:r w:rsidR="009E6739">
              <w:rPr>
                <w:sz w:val="22"/>
              </w:rPr>
              <w:lastRenderedPageBreak/>
              <w:t xml:space="preserve">money </w:t>
            </w:r>
            <w:r>
              <w:rPr>
                <w:sz w:val="22"/>
              </w:rPr>
              <w:t>is</w:t>
            </w:r>
            <w:r w:rsidR="009E6739">
              <w:rPr>
                <w:sz w:val="22"/>
              </w:rPr>
              <w:t xml:space="preserve"> treated in a similar way as unclaimed maintenance. A</w:t>
            </w:r>
            <w:r w:rsidR="009E6739" w:rsidRPr="009E6739">
              <w:rPr>
                <w:sz w:val="22"/>
              </w:rPr>
              <w:t>ft</w:t>
            </w:r>
            <w:r w:rsidR="009E6739">
              <w:rPr>
                <w:sz w:val="22"/>
              </w:rPr>
              <w:t>er the expir</w:t>
            </w:r>
            <w:r>
              <w:rPr>
                <w:sz w:val="22"/>
              </w:rPr>
              <w:t>y</w:t>
            </w:r>
            <w:r w:rsidR="009E6739">
              <w:rPr>
                <w:sz w:val="22"/>
              </w:rPr>
              <w:t xml:space="preserve"> of 12 months after </w:t>
            </w:r>
            <w:r w:rsidR="009E6739" w:rsidRPr="009E6739">
              <w:rPr>
                <w:sz w:val="22"/>
              </w:rPr>
              <w:t>the fin</w:t>
            </w:r>
            <w:r w:rsidR="009E6739">
              <w:rPr>
                <w:sz w:val="22"/>
              </w:rPr>
              <w:t xml:space="preserve">alisation of the case a </w:t>
            </w:r>
            <w:r w:rsidR="009E6739" w:rsidRPr="009E6739">
              <w:rPr>
                <w:sz w:val="22"/>
              </w:rPr>
              <w:t xml:space="preserve">diligent enquiry, must </w:t>
            </w:r>
            <w:r w:rsidR="00E95F3B">
              <w:rPr>
                <w:sz w:val="22"/>
              </w:rPr>
              <w:t xml:space="preserve">be held to locate the whereabouts of the person who posted bail. </w:t>
            </w:r>
          </w:p>
          <w:p w:rsidR="00E95F3B" w:rsidRDefault="00E95F3B" w:rsidP="00075282">
            <w:pPr>
              <w:pStyle w:val="ListParagraph"/>
              <w:ind w:left="458"/>
              <w:jc w:val="left"/>
              <w:rPr>
                <w:sz w:val="22"/>
              </w:rPr>
            </w:pPr>
            <w:bookmarkStart w:id="0" w:name="_GoBack"/>
            <w:bookmarkEnd w:id="0"/>
            <w:r>
              <w:rPr>
                <w:sz w:val="22"/>
              </w:rPr>
              <w:t xml:space="preserve">Failure will result in the money being paid to the </w:t>
            </w:r>
            <w:r w:rsidR="00075282">
              <w:rPr>
                <w:sz w:val="22"/>
              </w:rPr>
              <w:t>r</w:t>
            </w:r>
            <w:r>
              <w:rPr>
                <w:sz w:val="22"/>
              </w:rPr>
              <w:t xml:space="preserve">eserve </w:t>
            </w:r>
            <w:r w:rsidR="00075282">
              <w:rPr>
                <w:sz w:val="22"/>
              </w:rPr>
              <w:t>a</w:t>
            </w:r>
            <w:r>
              <w:rPr>
                <w:sz w:val="22"/>
              </w:rPr>
              <w:t>ccount.</w:t>
            </w:r>
          </w:p>
          <w:p w:rsidR="00823D8E" w:rsidRDefault="00823D8E" w:rsidP="00075282">
            <w:pPr>
              <w:pStyle w:val="ListParagraph"/>
              <w:ind w:left="458"/>
              <w:jc w:val="left"/>
              <w:rPr>
                <w:sz w:val="22"/>
              </w:rPr>
            </w:pPr>
          </w:p>
          <w:p w:rsidR="00823D8E" w:rsidRPr="009E6739" w:rsidRDefault="00823D8E" w:rsidP="00075282">
            <w:pPr>
              <w:pStyle w:val="ListParagraph"/>
              <w:ind w:left="458"/>
              <w:jc w:val="left"/>
              <w:rPr>
                <w:sz w:val="22"/>
              </w:rPr>
            </w:pPr>
            <w:r>
              <w:rPr>
                <w:sz w:val="22"/>
              </w:rPr>
              <w:t>It should also be noted that even if money is paid to the National Revenue Fund, the money could still be paid out to a person having a claim.</w:t>
            </w:r>
          </w:p>
        </w:tc>
      </w:tr>
      <w:tr w:rsidR="00833CE9" w:rsidRPr="00A2154D" w:rsidTr="00F2652C">
        <w:tc>
          <w:tcPr>
            <w:tcW w:w="4422" w:type="dxa"/>
          </w:tcPr>
          <w:p w:rsidR="00833CE9" w:rsidRPr="00A2154D" w:rsidRDefault="00A2154D" w:rsidP="00075282">
            <w:pPr>
              <w:jc w:val="left"/>
              <w:rPr>
                <w:rFonts w:cs="Arial"/>
                <w:sz w:val="22"/>
              </w:rPr>
            </w:pPr>
            <w:r w:rsidRPr="00A2154D">
              <w:rPr>
                <w:rFonts w:cs="Arial"/>
                <w:b/>
                <w:sz w:val="22"/>
              </w:rPr>
              <w:lastRenderedPageBreak/>
              <w:t>7</w:t>
            </w:r>
            <w:r w:rsidR="00833CE9" w:rsidRPr="00A2154D">
              <w:rPr>
                <w:rFonts w:cs="Arial"/>
                <w:b/>
                <w:sz w:val="22"/>
              </w:rPr>
              <w:t>.  Clause 7</w:t>
            </w:r>
            <w:r w:rsidR="00DD3BC2">
              <w:rPr>
                <w:rFonts w:cs="Arial"/>
                <w:b/>
                <w:sz w:val="22"/>
              </w:rPr>
              <w:t xml:space="preserve">:  </w:t>
            </w:r>
            <w:r w:rsidR="00DD3BC2" w:rsidRPr="00DD3BC2">
              <w:rPr>
                <w:rFonts w:cs="Arial"/>
                <w:b/>
                <w:sz w:val="22"/>
              </w:rPr>
              <w:t>Investment of money not immediately required</w:t>
            </w:r>
          </w:p>
        </w:tc>
        <w:tc>
          <w:tcPr>
            <w:tcW w:w="1955" w:type="dxa"/>
          </w:tcPr>
          <w:p w:rsidR="00833CE9" w:rsidRPr="00A2154D" w:rsidRDefault="00833CE9" w:rsidP="00075282">
            <w:pPr>
              <w:jc w:val="left"/>
              <w:rPr>
                <w:rFonts w:cs="Arial"/>
                <w:sz w:val="22"/>
              </w:rPr>
            </w:pPr>
          </w:p>
        </w:tc>
        <w:tc>
          <w:tcPr>
            <w:tcW w:w="4962" w:type="dxa"/>
          </w:tcPr>
          <w:p w:rsidR="00833CE9" w:rsidRPr="00A2154D" w:rsidRDefault="00833CE9" w:rsidP="00075282">
            <w:pPr>
              <w:jc w:val="left"/>
              <w:rPr>
                <w:rFonts w:cs="Arial"/>
                <w:sz w:val="22"/>
              </w:rPr>
            </w:pPr>
          </w:p>
        </w:tc>
        <w:tc>
          <w:tcPr>
            <w:tcW w:w="3511" w:type="dxa"/>
          </w:tcPr>
          <w:p w:rsidR="00833CE9" w:rsidRPr="00A2154D" w:rsidRDefault="00833CE9" w:rsidP="00075282">
            <w:pPr>
              <w:jc w:val="left"/>
              <w:rPr>
                <w:rFonts w:cs="Arial"/>
                <w:sz w:val="22"/>
              </w:rPr>
            </w:pPr>
          </w:p>
        </w:tc>
      </w:tr>
      <w:tr w:rsidR="00A2154D" w:rsidRPr="00A2154D" w:rsidTr="00F2652C">
        <w:tc>
          <w:tcPr>
            <w:tcW w:w="4422" w:type="dxa"/>
          </w:tcPr>
          <w:p w:rsidR="00A2154D" w:rsidRPr="00A2154D" w:rsidRDefault="00A2154D" w:rsidP="00075282">
            <w:pPr>
              <w:jc w:val="left"/>
              <w:rPr>
                <w:rFonts w:cs="Arial"/>
                <w:b/>
                <w:sz w:val="22"/>
              </w:rPr>
            </w:pPr>
            <w:r w:rsidRPr="00A2154D">
              <w:rPr>
                <w:rFonts w:cs="Arial"/>
                <w:b/>
                <w:sz w:val="22"/>
              </w:rPr>
              <w:t>8.  Clause 8</w:t>
            </w:r>
            <w:r w:rsidR="00DD3BC2">
              <w:rPr>
                <w:rFonts w:cs="Arial"/>
                <w:b/>
                <w:sz w:val="22"/>
              </w:rPr>
              <w:t xml:space="preserve">:  </w:t>
            </w:r>
            <w:r w:rsidR="00DD3BC2" w:rsidRPr="00DD3BC2">
              <w:rPr>
                <w:rFonts w:cs="Arial"/>
                <w:b/>
                <w:sz w:val="22"/>
              </w:rPr>
              <w:t>Regulations</w:t>
            </w:r>
          </w:p>
        </w:tc>
        <w:tc>
          <w:tcPr>
            <w:tcW w:w="1955" w:type="dxa"/>
          </w:tcPr>
          <w:p w:rsidR="00A2154D" w:rsidRPr="00A2154D" w:rsidRDefault="00A2154D" w:rsidP="00075282">
            <w:pPr>
              <w:jc w:val="left"/>
              <w:rPr>
                <w:rFonts w:cs="Arial"/>
                <w:sz w:val="22"/>
              </w:rPr>
            </w:pPr>
          </w:p>
        </w:tc>
        <w:tc>
          <w:tcPr>
            <w:tcW w:w="4962" w:type="dxa"/>
          </w:tcPr>
          <w:p w:rsidR="00A2154D" w:rsidRPr="00A2154D" w:rsidRDefault="00A2154D" w:rsidP="00075282">
            <w:pPr>
              <w:jc w:val="left"/>
              <w:rPr>
                <w:rFonts w:cs="Arial"/>
                <w:sz w:val="22"/>
              </w:rPr>
            </w:pPr>
          </w:p>
        </w:tc>
        <w:tc>
          <w:tcPr>
            <w:tcW w:w="3511" w:type="dxa"/>
          </w:tcPr>
          <w:p w:rsidR="00A2154D" w:rsidRPr="00A2154D" w:rsidRDefault="00A2154D" w:rsidP="00075282">
            <w:pPr>
              <w:jc w:val="left"/>
              <w:rPr>
                <w:rFonts w:cs="Arial"/>
                <w:sz w:val="22"/>
              </w:rPr>
            </w:pPr>
          </w:p>
        </w:tc>
      </w:tr>
      <w:tr w:rsidR="00A2154D" w:rsidRPr="00A2154D" w:rsidTr="00F2652C">
        <w:tc>
          <w:tcPr>
            <w:tcW w:w="4422" w:type="dxa"/>
          </w:tcPr>
          <w:p w:rsidR="00A2154D" w:rsidRPr="00A2154D" w:rsidRDefault="00A2154D" w:rsidP="00075282">
            <w:pPr>
              <w:jc w:val="left"/>
              <w:rPr>
                <w:rFonts w:cs="Arial"/>
                <w:b/>
                <w:sz w:val="22"/>
              </w:rPr>
            </w:pPr>
            <w:r w:rsidRPr="00A2154D">
              <w:rPr>
                <w:rFonts w:cs="Arial"/>
                <w:b/>
                <w:sz w:val="22"/>
              </w:rPr>
              <w:t>9.  Clause 9</w:t>
            </w:r>
            <w:r w:rsidR="00DD3BC2">
              <w:rPr>
                <w:rFonts w:cs="Arial"/>
                <w:b/>
                <w:sz w:val="22"/>
              </w:rPr>
              <w:t xml:space="preserve">:  </w:t>
            </w:r>
            <w:r w:rsidR="00DD3BC2" w:rsidRPr="00DD3BC2">
              <w:rPr>
                <w:rFonts w:cs="Arial"/>
                <w:b/>
                <w:sz w:val="22"/>
              </w:rPr>
              <w:t>Financial instructions</w:t>
            </w:r>
          </w:p>
        </w:tc>
        <w:tc>
          <w:tcPr>
            <w:tcW w:w="1955" w:type="dxa"/>
          </w:tcPr>
          <w:p w:rsidR="00A2154D" w:rsidRPr="00A2154D" w:rsidRDefault="00A2154D" w:rsidP="00075282">
            <w:pPr>
              <w:jc w:val="left"/>
              <w:rPr>
                <w:rFonts w:cs="Arial"/>
                <w:sz w:val="22"/>
              </w:rPr>
            </w:pPr>
          </w:p>
        </w:tc>
        <w:tc>
          <w:tcPr>
            <w:tcW w:w="4962" w:type="dxa"/>
          </w:tcPr>
          <w:p w:rsidR="00A2154D" w:rsidRPr="00A2154D" w:rsidRDefault="00A2154D" w:rsidP="00075282">
            <w:pPr>
              <w:jc w:val="left"/>
              <w:rPr>
                <w:rFonts w:cs="Arial"/>
                <w:sz w:val="22"/>
              </w:rPr>
            </w:pPr>
          </w:p>
        </w:tc>
        <w:tc>
          <w:tcPr>
            <w:tcW w:w="3511" w:type="dxa"/>
          </w:tcPr>
          <w:p w:rsidR="00A2154D" w:rsidRPr="00A2154D" w:rsidRDefault="00A2154D" w:rsidP="00075282">
            <w:pPr>
              <w:jc w:val="left"/>
              <w:rPr>
                <w:rFonts w:cs="Arial"/>
                <w:sz w:val="22"/>
              </w:rPr>
            </w:pPr>
          </w:p>
        </w:tc>
      </w:tr>
      <w:tr w:rsidR="00A2154D" w:rsidRPr="00A2154D" w:rsidTr="00F2652C">
        <w:tc>
          <w:tcPr>
            <w:tcW w:w="4422" w:type="dxa"/>
          </w:tcPr>
          <w:p w:rsidR="00A2154D" w:rsidRPr="00A2154D" w:rsidRDefault="00DD3BC2" w:rsidP="00075282">
            <w:pPr>
              <w:jc w:val="left"/>
              <w:rPr>
                <w:rFonts w:cs="Arial"/>
                <w:b/>
                <w:sz w:val="22"/>
              </w:rPr>
            </w:pPr>
            <w:r>
              <w:rPr>
                <w:rFonts w:cs="Arial"/>
                <w:b/>
                <w:sz w:val="22"/>
              </w:rPr>
              <w:t xml:space="preserve">10. </w:t>
            </w:r>
            <w:r w:rsidR="00A2154D" w:rsidRPr="00A2154D">
              <w:rPr>
                <w:rFonts w:cs="Arial"/>
                <w:b/>
                <w:sz w:val="22"/>
              </w:rPr>
              <w:t>Clause 10</w:t>
            </w:r>
            <w:r>
              <w:rPr>
                <w:rFonts w:cs="Arial"/>
                <w:b/>
                <w:sz w:val="22"/>
              </w:rPr>
              <w:t xml:space="preserve">: </w:t>
            </w:r>
            <w:r w:rsidRPr="00DD3BC2">
              <w:rPr>
                <w:rFonts w:cs="Arial"/>
                <w:b/>
                <w:sz w:val="22"/>
              </w:rPr>
              <w:t>Short title and commencement</w:t>
            </w:r>
            <w:r>
              <w:rPr>
                <w:rFonts w:cs="Arial"/>
                <w:b/>
                <w:sz w:val="22"/>
              </w:rPr>
              <w:t xml:space="preserve"> </w:t>
            </w:r>
          </w:p>
        </w:tc>
        <w:tc>
          <w:tcPr>
            <w:tcW w:w="1955" w:type="dxa"/>
          </w:tcPr>
          <w:p w:rsidR="00A2154D" w:rsidRPr="00A2154D" w:rsidRDefault="00A2154D" w:rsidP="00075282">
            <w:pPr>
              <w:jc w:val="left"/>
              <w:rPr>
                <w:rFonts w:cs="Arial"/>
                <w:sz w:val="22"/>
              </w:rPr>
            </w:pPr>
          </w:p>
        </w:tc>
        <w:tc>
          <w:tcPr>
            <w:tcW w:w="4962" w:type="dxa"/>
          </w:tcPr>
          <w:p w:rsidR="00A2154D" w:rsidRPr="00A2154D" w:rsidRDefault="00A2154D" w:rsidP="00075282">
            <w:pPr>
              <w:jc w:val="left"/>
              <w:rPr>
                <w:rFonts w:cs="Arial"/>
                <w:sz w:val="22"/>
              </w:rPr>
            </w:pPr>
          </w:p>
        </w:tc>
        <w:tc>
          <w:tcPr>
            <w:tcW w:w="3511" w:type="dxa"/>
          </w:tcPr>
          <w:p w:rsidR="00A2154D" w:rsidRPr="00A2154D" w:rsidRDefault="00A2154D" w:rsidP="00075282">
            <w:pPr>
              <w:jc w:val="left"/>
              <w:rPr>
                <w:rFonts w:cs="Arial"/>
                <w:sz w:val="22"/>
              </w:rPr>
            </w:pPr>
          </w:p>
        </w:tc>
      </w:tr>
    </w:tbl>
    <w:p w:rsidR="003C368D" w:rsidRPr="00A2154D" w:rsidRDefault="003C368D" w:rsidP="00A2154D">
      <w:pPr>
        <w:spacing w:line="240" w:lineRule="auto"/>
        <w:rPr>
          <w:rFonts w:cs="Arial"/>
          <w:sz w:val="22"/>
        </w:rPr>
      </w:pPr>
    </w:p>
    <w:sectPr w:rsidR="003C368D" w:rsidRPr="00A2154D" w:rsidSect="001C02C1">
      <w:headerReference w:type="default" r:id="rId8"/>
      <w:headerReference w:type="first" r:id="rId9"/>
      <w:pgSz w:w="15840" w:h="12240" w:orient="landscape"/>
      <w:pgMar w:top="107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6B" w:rsidRDefault="006B486B" w:rsidP="00381CE7">
      <w:pPr>
        <w:spacing w:line="240" w:lineRule="auto"/>
      </w:pPr>
      <w:r>
        <w:separator/>
      </w:r>
    </w:p>
  </w:endnote>
  <w:endnote w:type="continuationSeparator" w:id="0">
    <w:p w:rsidR="006B486B" w:rsidRDefault="006B486B" w:rsidP="00381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6B" w:rsidRDefault="006B486B" w:rsidP="00381CE7">
      <w:pPr>
        <w:spacing w:line="240" w:lineRule="auto"/>
      </w:pPr>
      <w:r>
        <w:separator/>
      </w:r>
    </w:p>
  </w:footnote>
  <w:footnote w:type="continuationSeparator" w:id="0">
    <w:p w:rsidR="006B486B" w:rsidRDefault="006B486B" w:rsidP="00381C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32689"/>
      <w:docPartObj>
        <w:docPartGallery w:val="Page Numbers (Top of Page)"/>
        <w:docPartUnique/>
      </w:docPartObj>
    </w:sdtPr>
    <w:sdtEndPr>
      <w:rPr>
        <w:noProof/>
      </w:rPr>
    </w:sdtEndPr>
    <w:sdtContent>
      <w:p w:rsidR="000D4AD4" w:rsidRDefault="00AE3C08">
        <w:pPr>
          <w:pStyle w:val="Header"/>
          <w:jc w:val="center"/>
        </w:pPr>
        <w:r>
          <w:fldChar w:fldCharType="begin"/>
        </w:r>
        <w:r w:rsidR="000D4AD4">
          <w:instrText xml:space="preserve"> PAGE   \* MERGEFORMAT </w:instrText>
        </w:r>
        <w:r>
          <w:fldChar w:fldCharType="separate"/>
        </w:r>
        <w:r w:rsidR="00727A1A">
          <w:rPr>
            <w:noProof/>
          </w:rPr>
          <w:t>16</w:t>
        </w:r>
        <w:r>
          <w:rPr>
            <w:noProof/>
          </w:rPr>
          <w:fldChar w:fldCharType="end"/>
        </w:r>
      </w:p>
    </w:sdtContent>
  </w:sdt>
  <w:p w:rsidR="000D4AD4" w:rsidRDefault="000D4A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D4" w:rsidRPr="00381CE7" w:rsidRDefault="000D4AD4">
    <w:pPr>
      <w:pStyle w:val="Header"/>
      <w:rPr>
        <w:sz w:val="12"/>
        <w:szCs w:val="12"/>
      </w:rPr>
    </w:pPr>
    <w:r>
      <w:rPr>
        <w:sz w:val="12"/>
        <w:szCs w:val="12"/>
      </w:rPr>
      <w:t xml:space="preserve">SUMMARY </w:t>
    </w:r>
    <w:r w:rsidRPr="00381CE7">
      <w:rPr>
        <w:sz w:val="12"/>
        <w:szCs w:val="12"/>
      </w:rPr>
      <w:t>SUBMISSIONS TO PC</w:t>
    </w:r>
    <w:r>
      <w:rPr>
        <w:sz w:val="12"/>
        <w:szCs w:val="12"/>
      </w:rPr>
      <w:t xml:space="preserve"> ON JAF BILL 26 OF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98"/>
    <w:multiLevelType w:val="hybridMultilevel"/>
    <w:tmpl w:val="533EF978"/>
    <w:lvl w:ilvl="0" w:tplc="9FC4CC88">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703352"/>
    <w:multiLevelType w:val="hybridMultilevel"/>
    <w:tmpl w:val="648019BA"/>
    <w:lvl w:ilvl="0" w:tplc="DC94BD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13F9C"/>
    <w:multiLevelType w:val="hybridMultilevel"/>
    <w:tmpl w:val="3566FD5C"/>
    <w:lvl w:ilvl="0" w:tplc="9FC4CC88">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847189"/>
    <w:multiLevelType w:val="hybridMultilevel"/>
    <w:tmpl w:val="E0141278"/>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4">
    <w:nsid w:val="0FE16E2C"/>
    <w:multiLevelType w:val="hybridMultilevel"/>
    <w:tmpl w:val="A39642D8"/>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B18C8"/>
    <w:multiLevelType w:val="hybridMultilevel"/>
    <w:tmpl w:val="15E8E5F0"/>
    <w:lvl w:ilvl="0" w:tplc="D0F0F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31E7"/>
    <w:multiLevelType w:val="hybridMultilevel"/>
    <w:tmpl w:val="D5C69B2C"/>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0D89"/>
    <w:multiLevelType w:val="hybridMultilevel"/>
    <w:tmpl w:val="315E48FA"/>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5167F"/>
    <w:multiLevelType w:val="hybridMultilevel"/>
    <w:tmpl w:val="5E8EF46E"/>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3239C"/>
    <w:multiLevelType w:val="hybridMultilevel"/>
    <w:tmpl w:val="9CB0A42E"/>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A70FE"/>
    <w:multiLevelType w:val="hybridMultilevel"/>
    <w:tmpl w:val="265CE198"/>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11">
    <w:nsid w:val="2A2D4100"/>
    <w:multiLevelType w:val="hybridMultilevel"/>
    <w:tmpl w:val="AF5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D6900"/>
    <w:multiLevelType w:val="hybridMultilevel"/>
    <w:tmpl w:val="E258E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13423"/>
    <w:multiLevelType w:val="hybridMultilevel"/>
    <w:tmpl w:val="DD209D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3ACF5411"/>
    <w:multiLevelType w:val="hybridMultilevel"/>
    <w:tmpl w:val="D48472E4"/>
    <w:lvl w:ilvl="0" w:tplc="9FC4CC88">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E770D6"/>
    <w:multiLevelType w:val="hybridMultilevel"/>
    <w:tmpl w:val="B3DC97E6"/>
    <w:lvl w:ilvl="0" w:tplc="9FC4CC88">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8A5A3B"/>
    <w:multiLevelType w:val="hybridMultilevel"/>
    <w:tmpl w:val="97B216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A6867"/>
    <w:multiLevelType w:val="hybridMultilevel"/>
    <w:tmpl w:val="004CBE3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49993C84"/>
    <w:multiLevelType w:val="hybridMultilevel"/>
    <w:tmpl w:val="0C4657F2"/>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19">
    <w:nsid w:val="4A916EBF"/>
    <w:multiLevelType w:val="hybridMultilevel"/>
    <w:tmpl w:val="315E48FA"/>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06EB"/>
    <w:multiLevelType w:val="hybridMultilevel"/>
    <w:tmpl w:val="4E568A70"/>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21">
    <w:nsid w:val="4D661136"/>
    <w:multiLevelType w:val="hybridMultilevel"/>
    <w:tmpl w:val="5C024B38"/>
    <w:lvl w:ilvl="0" w:tplc="1C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nsid w:val="4E3210C5"/>
    <w:multiLevelType w:val="hybridMultilevel"/>
    <w:tmpl w:val="30E07C40"/>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722B7"/>
    <w:multiLevelType w:val="hybridMultilevel"/>
    <w:tmpl w:val="752A4820"/>
    <w:lvl w:ilvl="0" w:tplc="244A9D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261C0F"/>
    <w:multiLevelType w:val="hybridMultilevel"/>
    <w:tmpl w:val="D9B449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D0E1B89"/>
    <w:multiLevelType w:val="hybridMultilevel"/>
    <w:tmpl w:val="300CA0C4"/>
    <w:lvl w:ilvl="0" w:tplc="9FC4CC88">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306E0A"/>
    <w:multiLevelType w:val="hybridMultilevel"/>
    <w:tmpl w:val="8A0A0DE0"/>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27">
    <w:nsid w:val="60EC7C55"/>
    <w:multiLevelType w:val="hybridMultilevel"/>
    <w:tmpl w:val="D5C69B2C"/>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14C7D"/>
    <w:multiLevelType w:val="hybridMultilevel"/>
    <w:tmpl w:val="ED12585A"/>
    <w:lvl w:ilvl="0" w:tplc="34F888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3637E27"/>
    <w:multiLevelType w:val="hybridMultilevel"/>
    <w:tmpl w:val="29422230"/>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03FA0"/>
    <w:multiLevelType w:val="hybridMultilevel"/>
    <w:tmpl w:val="61206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C224F"/>
    <w:multiLevelType w:val="hybridMultilevel"/>
    <w:tmpl w:val="CE7E38A0"/>
    <w:lvl w:ilvl="0" w:tplc="9FC4CC88">
      <w:start w:val="1"/>
      <w:numFmt w:val="bullet"/>
      <w:lvlText w:val=""/>
      <w:lvlJc w:val="left"/>
      <w:pPr>
        <w:tabs>
          <w:tab w:val="num" w:pos="567"/>
        </w:tabs>
        <w:ind w:left="567"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A07389"/>
    <w:multiLevelType w:val="hybridMultilevel"/>
    <w:tmpl w:val="5E8EF46E"/>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F6BE0"/>
    <w:multiLevelType w:val="hybridMultilevel"/>
    <w:tmpl w:val="71065DB8"/>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95598"/>
    <w:multiLevelType w:val="hybridMultilevel"/>
    <w:tmpl w:val="DAD23D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7F3744EE"/>
    <w:multiLevelType w:val="hybridMultilevel"/>
    <w:tmpl w:val="20DABF40"/>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num w:numId="1">
    <w:abstractNumId w:val="34"/>
  </w:num>
  <w:num w:numId="2">
    <w:abstractNumId w:val="20"/>
  </w:num>
  <w:num w:numId="3">
    <w:abstractNumId w:val="10"/>
  </w:num>
  <w:num w:numId="4">
    <w:abstractNumId w:val="13"/>
  </w:num>
  <w:num w:numId="5">
    <w:abstractNumId w:val="11"/>
  </w:num>
  <w:num w:numId="6">
    <w:abstractNumId w:val="24"/>
  </w:num>
  <w:num w:numId="7">
    <w:abstractNumId w:val="17"/>
  </w:num>
  <w:num w:numId="8">
    <w:abstractNumId w:val="21"/>
  </w:num>
  <w:num w:numId="9">
    <w:abstractNumId w:val="26"/>
  </w:num>
  <w:num w:numId="10">
    <w:abstractNumId w:val="18"/>
  </w:num>
  <w:num w:numId="11">
    <w:abstractNumId w:val="1"/>
  </w:num>
  <w:num w:numId="12">
    <w:abstractNumId w:val="23"/>
  </w:num>
  <w:num w:numId="13">
    <w:abstractNumId w:val="9"/>
  </w:num>
  <w:num w:numId="14">
    <w:abstractNumId w:val="8"/>
  </w:num>
  <w:num w:numId="15">
    <w:abstractNumId w:val="28"/>
  </w:num>
  <w:num w:numId="16">
    <w:abstractNumId w:val="3"/>
  </w:num>
  <w:num w:numId="17">
    <w:abstractNumId w:val="31"/>
  </w:num>
  <w:num w:numId="18">
    <w:abstractNumId w:val="25"/>
  </w:num>
  <w:num w:numId="19">
    <w:abstractNumId w:val="14"/>
  </w:num>
  <w:num w:numId="20">
    <w:abstractNumId w:val="2"/>
  </w:num>
  <w:num w:numId="21">
    <w:abstractNumId w:val="15"/>
  </w:num>
  <w:num w:numId="22">
    <w:abstractNumId w:val="0"/>
  </w:num>
  <w:num w:numId="23">
    <w:abstractNumId w:val="35"/>
  </w:num>
  <w:num w:numId="24">
    <w:abstractNumId w:val="12"/>
  </w:num>
  <w:num w:numId="25">
    <w:abstractNumId w:val="29"/>
  </w:num>
  <w:num w:numId="26">
    <w:abstractNumId w:val="22"/>
  </w:num>
  <w:num w:numId="27">
    <w:abstractNumId w:val="16"/>
  </w:num>
  <w:num w:numId="28">
    <w:abstractNumId w:val="5"/>
  </w:num>
  <w:num w:numId="29">
    <w:abstractNumId w:val="4"/>
  </w:num>
  <w:num w:numId="30">
    <w:abstractNumId w:val="32"/>
  </w:num>
  <w:num w:numId="31">
    <w:abstractNumId w:val="30"/>
  </w:num>
  <w:num w:numId="32">
    <w:abstractNumId w:val="33"/>
  </w:num>
  <w:num w:numId="33">
    <w:abstractNumId w:val="7"/>
  </w:num>
  <w:num w:numId="34">
    <w:abstractNumId w:val="27"/>
  </w:num>
  <w:num w:numId="35">
    <w:abstractNumId w:val="1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368D"/>
    <w:rsid w:val="00003B60"/>
    <w:rsid w:val="00015DED"/>
    <w:rsid w:val="00017EC6"/>
    <w:rsid w:val="0003435A"/>
    <w:rsid w:val="000371F6"/>
    <w:rsid w:val="000479F6"/>
    <w:rsid w:val="000619CB"/>
    <w:rsid w:val="00067D08"/>
    <w:rsid w:val="00071EE6"/>
    <w:rsid w:val="00075282"/>
    <w:rsid w:val="0008720A"/>
    <w:rsid w:val="00093558"/>
    <w:rsid w:val="00093849"/>
    <w:rsid w:val="000C356A"/>
    <w:rsid w:val="000C4FC2"/>
    <w:rsid w:val="000C528A"/>
    <w:rsid w:val="000C57B9"/>
    <w:rsid w:val="000D4AD4"/>
    <w:rsid w:val="000F51BC"/>
    <w:rsid w:val="00126C69"/>
    <w:rsid w:val="00135ACD"/>
    <w:rsid w:val="00140D9C"/>
    <w:rsid w:val="00154041"/>
    <w:rsid w:val="00157E06"/>
    <w:rsid w:val="00163BBF"/>
    <w:rsid w:val="0016445F"/>
    <w:rsid w:val="00164534"/>
    <w:rsid w:val="001848F4"/>
    <w:rsid w:val="001B2D03"/>
    <w:rsid w:val="001B5466"/>
    <w:rsid w:val="001B5DFA"/>
    <w:rsid w:val="001C02C1"/>
    <w:rsid w:val="001C19D0"/>
    <w:rsid w:val="001C3E67"/>
    <w:rsid w:val="001C70A2"/>
    <w:rsid w:val="001D3B2F"/>
    <w:rsid w:val="001E03A7"/>
    <w:rsid w:val="0020368E"/>
    <w:rsid w:val="00207877"/>
    <w:rsid w:val="00212FC1"/>
    <w:rsid w:val="0024659B"/>
    <w:rsid w:val="00257884"/>
    <w:rsid w:val="0026665C"/>
    <w:rsid w:val="0027618F"/>
    <w:rsid w:val="00282BCB"/>
    <w:rsid w:val="002A2AC2"/>
    <w:rsid w:val="002B2A24"/>
    <w:rsid w:val="002B7D27"/>
    <w:rsid w:val="002C2482"/>
    <w:rsid w:val="002F1555"/>
    <w:rsid w:val="002F4817"/>
    <w:rsid w:val="0030787B"/>
    <w:rsid w:val="003229DB"/>
    <w:rsid w:val="00336CBF"/>
    <w:rsid w:val="003439F1"/>
    <w:rsid w:val="003733F8"/>
    <w:rsid w:val="003765FD"/>
    <w:rsid w:val="0037722D"/>
    <w:rsid w:val="00381CE7"/>
    <w:rsid w:val="0038642E"/>
    <w:rsid w:val="00386983"/>
    <w:rsid w:val="003920E9"/>
    <w:rsid w:val="003928E9"/>
    <w:rsid w:val="003B4337"/>
    <w:rsid w:val="003B73EE"/>
    <w:rsid w:val="003C368D"/>
    <w:rsid w:val="003D4345"/>
    <w:rsid w:val="003F0413"/>
    <w:rsid w:val="003F0F12"/>
    <w:rsid w:val="00406AAA"/>
    <w:rsid w:val="00417233"/>
    <w:rsid w:val="0042411B"/>
    <w:rsid w:val="00424F1E"/>
    <w:rsid w:val="00433207"/>
    <w:rsid w:val="00436E03"/>
    <w:rsid w:val="00436F98"/>
    <w:rsid w:val="00437BFF"/>
    <w:rsid w:val="00441358"/>
    <w:rsid w:val="00475909"/>
    <w:rsid w:val="0047730D"/>
    <w:rsid w:val="004B4757"/>
    <w:rsid w:val="004C5741"/>
    <w:rsid w:val="004D2CAE"/>
    <w:rsid w:val="004D3017"/>
    <w:rsid w:val="004F42EB"/>
    <w:rsid w:val="004F5E17"/>
    <w:rsid w:val="0050026E"/>
    <w:rsid w:val="00511490"/>
    <w:rsid w:val="00524763"/>
    <w:rsid w:val="00543C8A"/>
    <w:rsid w:val="005457B8"/>
    <w:rsid w:val="00551CAE"/>
    <w:rsid w:val="00562C16"/>
    <w:rsid w:val="00563BAB"/>
    <w:rsid w:val="0058366E"/>
    <w:rsid w:val="005853E1"/>
    <w:rsid w:val="00585F09"/>
    <w:rsid w:val="005A3083"/>
    <w:rsid w:val="005A747C"/>
    <w:rsid w:val="005B0174"/>
    <w:rsid w:val="005B6E22"/>
    <w:rsid w:val="005E04EC"/>
    <w:rsid w:val="005F6EC8"/>
    <w:rsid w:val="006065BD"/>
    <w:rsid w:val="00607B84"/>
    <w:rsid w:val="006157F9"/>
    <w:rsid w:val="00640948"/>
    <w:rsid w:val="0064217C"/>
    <w:rsid w:val="00650160"/>
    <w:rsid w:val="00653881"/>
    <w:rsid w:val="00654011"/>
    <w:rsid w:val="006644C2"/>
    <w:rsid w:val="00671707"/>
    <w:rsid w:val="00681B5A"/>
    <w:rsid w:val="00683F2E"/>
    <w:rsid w:val="00695ABF"/>
    <w:rsid w:val="006A56EC"/>
    <w:rsid w:val="006B486B"/>
    <w:rsid w:val="006C140C"/>
    <w:rsid w:val="006C3984"/>
    <w:rsid w:val="006E75FE"/>
    <w:rsid w:val="00714981"/>
    <w:rsid w:val="00714E0D"/>
    <w:rsid w:val="00720967"/>
    <w:rsid w:val="00727A1A"/>
    <w:rsid w:val="007727D5"/>
    <w:rsid w:val="00795696"/>
    <w:rsid w:val="00796D6F"/>
    <w:rsid w:val="00797199"/>
    <w:rsid w:val="007A6A15"/>
    <w:rsid w:val="007C2BB4"/>
    <w:rsid w:val="007E0BD3"/>
    <w:rsid w:val="007F035F"/>
    <w:rsid w:val="007F128C"/>
    <w:rsid w:val="008052A4"/>
    <w:rsid w:val="008055EF"/>
    <w:rsid w:val="008118E2"/>
    <w:rsid w:val="0081654E"/>
    <w:rsid w:val="00820FF4"/>
    <w:rsid w:val="00823D8E"/>
    <w:rsid w:val="00825F91"/>
    <w:rsid w:val="00827F3F"/>
    <w:rsid w:val="00833CE9"/>
    <w:rsid w:val="00835A47"/>
    <w:rsid w:val="008440D1"/>
    <w:rsid w:val="00861EE1"/>
    <w:rsid w:val="00864328"/>
    <w:rsid w:val="00873F19"/>
    <w:rsid w:val="00874DDE"/>
    <w:rsid w:val="008840D5"/>
    <w:rsid w:val="008865E8"/>
    <w:rsid w:val="00895EEB"/>
    <w:rsid w:val="008960C7"/>
    <w:rsid w:val="00896567"/>
    <w:rsid w:val="008A79A8"/>
    <w:rsid w:val="008B26BA"/>
    <w:rsid w:val="008B41E5"/>
    <w:rsid w:val="008C4465"/>
    <w:rsid w:val="008C4699"/>
    <w:rsid w:val="008D503C"/>
    <w:rsid w:val="008E53B8"/>
    <w:rsid w:val="008E688F"/>
    <w:rsid w:val="008F5574"/>
    <w:rsid w:val="0091020A"/>
    <w:rsid w:val="00914AAA"/>
    <w:rsid w:val="00914EB2"/>
    <w:rsid w:val="00931D76"/>
    <w:rsid w:val="0093406A"/>
    <w:rsid w:val="00960973"/>
    <w:rsid w:val="00962E8B"/>
    <w:rsid w:val="00967E40"/>
    <w:rsid w:val="0098666E"/>
    <w:rsid w:val="00992B7D"/>
    <w:rsid w:val="009B412C"/>
    <w:rsid w:val="009C7427"/>
    <w:rsid w:val="009D0486"/>
    <w:rsid w:val="009D68E9"/>
    <w:rsid w:val="009D7FE9"/>
    <w:rsid w:val="009E6739"/>
    <w:rsid w:val="009E744E"/>
    <w:rsid w:val="009F3169"/>
    <w:rsid w:val="00A00AA2"/>
    <w:rsid w:val="00A00FD2"/>
    <w:rsid w:val="00A07ED6"/>
    <w:rsid w:val="00A101EC"/>
    <w:rsid w:val="00A138B8"/>
    <w:rsid w:val="00A2154D"/>
    <w:rsid w:val="00A27822"/>
    <w:rsid w:val="00A326A3"/>
    <w:rsid w:val="00A42866"/>
    <w:rsid w:val="00A5257B"/>
    <w:rsid w:val="00A57E02"/>
    <w:rsid w:val="00A665DD"/>
    <w:rsid w:val="00A77422"/>
    <w:rsid w:val="00A967D6"/>
    <w:rsid w:val="00AB0ABC"/>
    <w:rsid w:val="00AC79AC"/>
    <w:rsid w:val="00AD39C6"/>
    <w:rsid w:val="00AD3A5F"/>
    <w:rsid w:val="00AE3C08"/>
    <w:rsid w:val="00AE7E32"/>
    <w:rsid w:val="00B009CA"/>
    <w:rsid w:val="00B01021"/>
    <w:rsid w:val="00B05106"/>
    <w:rsid w:val="00B06A67"/>
    <w:rsid w:val="00B51CD2"/>
    <w:rsid w:val="00B5215E"/>
    <w:rsid w:val="00B63B18"/>
    <w:rsid w:val="00B75419"/>
    <w:rsid w:val="00B83B08"/>
    <w:rsid w:val="00B8638E"/>
    <w:rsid w:val="00B91579"/>
    <w:rsid w:val="00B9196B"/>
    <w:rsid w:val="00B955F3"/>
    <w:rsid w:val="00B96E84"/>
    <w:rsid w:val="00BA0CCE"/>
    <w:rsid w:val="00BB34C0"/>
    <w:rsid w:val="00BB563D"/>
    <w:rsid w:val="00BD1B2E"/>
    <w:rsid w:val="00BE50BC"/>
    <w:rsid w:val="00BE5703"/>
    <w:rsid w:val="00BE7C4F"/>
    <w:rsid w:val="00BF0EB7"/>
    <w:rsid w:val="00C15B46"/>
    <w:rsid w:val="00C166EA"/>
    <w:rsid w:val="00C177C7"/>
    <w:rsid w:val="00C32A9B"/>
    <w:rsid w:val="00C379F8"/>
    <w:rsid w:val="00C450DC"/>
    <w:rsid w:val="00C57BDC"/>
    <w:rsid w:val="00C87FFA"/>
    <w:rsid w:val="00C92776"/>
    <w:rsid w:val="00C94AB3"/>
    <w:rsid w:val="00CA5827"/>
    <w:rsid w:val="00CB215A"/>
    <w:rsid w:val="00CB560C"/>
    <w:rsid w:val="00CC07A3"/>
    <w:rsid w:val="00CC2E48"/>
    <w:rsid w:val="00CC439E"/>
    <w:rsid w:val="00CC4FBD"/>
    <w:rsid w:val="00CE1220"/>
    <w:rsid w:val="00CE350A"/>
    <w:rsid w:val="00CE66DD"/>
    <w:rsid w:val="00CF1ACB"/>
    <w:rsid w:val="00D063CB"/>
    <w:rsid w:val="00D14F21"/>
    <w:rsid w:val="00D16C53"/>
    <w:rsid w:val="00D24D21"/>
    <w:rsid w:val="00D332D1"/>
    <w:rsid w:val="00D50E86"/>
    <w:rsid w:val="00D53385"/>
    <w:rsid w:val="00D5794F"/>
    <w:rsid w:val="00D73111"/>
    <w:rsid w:val="00D91F55"/>
    <w:rsid w:val="00D92829"/>
    <w:rsid w:val="00DA28EC"/>
    <w:rsid w:val="00DA52F7"/>
    <w:rsid w:val="00DB0C78"/>
    <w:rsid w:val="00DC380D"/>
    <w:rsid w:val="00DC4B2C"/>
    <w:rsid w:val="00DD3BC2"/>
    <w:rsid w:val="00DD6434"/>
    <w:rsid w:val="00DE57FB"/>
    <w:rsid w:val="00DF60ED"/>
    <w:rsid w:val="00E04B8D"/>
    <w:rsid w:val="00E07637"/>
    <w:rsid w:val="00E103AD"/>
    <w:rsid w:val="00E12163"/>
    <w:rsid w:val="00E34829"/>
    <w:rsid w:val="00E43942"/>
    <w:rsid w:val="00E47083"/>
    <w:rsid w:val="00E502DA"/>
    <w:rsid w:val="00E56565"/>
    <w:rsid w:val="00E6075F"/>
    <w:rsid w:val="00E62B83"/>
    <w:rsid w:val="00E73FD6"/>
    <w:rsid w:val="00E7436F"/>
    <w:rsid w:val="00E9239F"/>
    <w:rsid w:val="00E95F3B"/>
    <w:rsid w:val="00EA069C"/>
    <w:rsid w:val="00EA4FAD"/>
    <w:rsid w:val="00EA61C4"/>
    <w:rsid w:val="00EC0687"/>
    <w:rsid w:val="00EC2ACE"/>
    <w:rsid w:val="00EE470A"/>
    <w:rsid w:val="00EF4671"/>
    <w:rsid w:val="00F07424"/>
    <w:rsid w:val="00F07FF2"/>
    <w:rsid w:val="00F23DED"/>
    <w:rsid w:val="00F23E66"/>
    <w:rsid w:val="00F2605F"/>
    <w:rsid w:val="00F2652C"/>
    <w:rsid w:val="00F32AC1"/>
    <w:rsid w:val="00F50B87"/>
    <w:rsid w:val="00F52FC0"/>
    <w:rsid w:val="00F538D5"/>
    <w:rsid w:val="00F75BC9"/>
    <w:rsid w:val="00F96ABE"/>
    <w:rsid w:val="00FA303F"/>
    <w:rsid w:val="00FB28A1"/>
    <w:rsid w:val="00FB336C"/>
    <w:rsid w:val="00FC1749"/>
    <w:rsid w:val="00FC668F"/>
    <w:rsid w:val="00FD2C67"/>
    <w:rsid w:val="00FE1C55"/>
    <w:rsid w:val="00FF2398"/>
    <w:rsid w:val="00FF3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0026E"/>
  </w:style>
  <w:style w:type="numbering" w:customStyle="1" w:styleId="ListNo1">
    <w:name w:val="List No1"/>
    <w:uiPriority w:val="99"/>
    <w:semiHidden/>
    <w:unhideWhenUsed/>
    <w:rsid w:val="004D2CAE"/>
  </w:style>
  <w:style w:type="table" w:styleId="TableGrid">
    <w:name w:val="Table Grid"/>
    <w:basedOn w:val="TableNormal"/>
    <w:uiPriority w:val="59"/>
    <w:rsid w:val="003C36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paragraph" w:customStyle="1" w:styleId="Default">
    <w:name w:val="Default"/>
    <w:rsid w:val="000D4AD4"/>
    <w:pPr>
      <w:autoSpaceDE w:val="0"/>
      <w:autoSpaceDN w:val="0"/>
      <w:adjustRightInd w:val="0"/>
      <w:spacing w:line="240" w:lineRule="auto"/>
      <w:jc w:val="left"/>
    </w:pPr>
    <w:rPr>
      <w:rFonts w:cs="Arial"/>
      <w:color w:val="000000"/>
      <w:szCs w:val="24"/>
    </w:rPr>
  </w:style>
  <w:style w:type="character" w:styleId="CommentReference">
    <w:name w:val="annotation reference"/>
    <w:basedOn w:val="DefaultParagraphFont"/>
    <w:uiPriority w:val="99"/>
    <w:semiHidden/>
    <w:unhideWhenUsed/>
    <w:rsid w:val="00E47083"/>
    <w:rPr>
      <w:sz w:val="16"/>
      <w:szCs w:val="16"/>
    </w:rPr>
  </w:style>
  <w:style w:type="paragraph" w:styleId="CommentText">
    <w:name w:val="annotation text"/>
    <w:basedOn w:val="Normal"/>
    <w:link w:val="CommentTextChar"/>
    <w:uiPriority w:val="99"/>
    <w:semiHidden/>
    <w:unhideWhenUsed/>
    <w:rsid w:val="00E47083"/>
    <w:pPr>
      <w:spacing w:line="240" w:lineRule="auto"/>
    </w:pPr>
    <w:rPr>
      <w:sz w:val="20"/>
      <w:szCs w:val="20"/>
    </w:rPr>
  </w:style>
  <w:style w:type="character" w:customStyle="1" w:styleId="CommentTextChar">
    <w:name w:val="Comment Text Char"/>
    <w:basedOn w:val="DefaultParagraphFont"/>
    <w:link w:val="CommentText"/>
    <w:uiPriority w:val="99"/>
    <w:semiHidden/>
    <w:rsid w:val="00E47083"/>
    <w:rPr>
      <w:sz w:val="20"/>
      <w:szCs w:val="20"/>
    </w:rPr>
  </w:style>
  <w:style w:type="paragraph" w:styleId="CommentSubject">
    <w:name w:val="annotation subject"/>
    <w:basedOn w:val="CommentText"/>
    <w:next w:val="CommentText"/>
    <w:link w:val="CommentSubjectChar"/>
    <w:uiPriority w:val="99"/>
    <w:semiHidden/>
    <w:unhideWhenUsed/>
    <w:rsid w:val="00E47083"/>
    <w:rPr>
      <w:b/>
      <w:bCs/>
    </w:rPr>
  </w:style>
  <w:style w:type="character" w:customStyle="1" w:styleId="CommentSubjectChar">
    <w:name w:val="Comment Subject Char"/>
    <w:basedOn w:val="CommentTextChar"/>
    <w:link w:val="CommentSubject"/>
    <w:uiPriority w:val="99"/>
    <w:semiHidden/>
    <w:rsid w:val="00E47083"/>
    <w:rPr>
      <w:b/>
      <w:bCs/>
      <w:sz w:val="20"/>
      <w:szCs w:val="20"/>
    </w:rPr>
  </w:style>
  <w:style w:type="paragraph" w:styleId="BalloonText">
    <w:name w:val="Balloon Text"/>
    <w:basedOn w:val="Normal"/>
    <w:link w:val="BalloonTextChar"/>
    <w:uiPriority w:val="99"/>
    <w:semiHidden/>
    <w:unhideWhenUsed/>
    <w:rsid w:val="00E47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0026E"/>
  </w:style>
  <w:style w:type="numbering" w:customStyle="1" w:styleId="ListNo1">
    <w:name w:val="List No1"/>
    <w:uiPriority w:val="99"/>
    <w:semiHidden/>
    <w:unhideWhenUsed/>
    <w:rsid w:val="004D2CAE"/>
  </w:style>
  <w:style w:type="table" w:styleId="TableGrid">
    <w:name w:val="Table Grid"/>
    <w:basedOn w:val="TableNormal"/>
    <w:uiPriority w:val="59"/>
    <w:rsid w:val="003C36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paragraph" w:customStyle="1" w:styleId="Default">
    <w:name w:val="Default"/>
    <w:rsid w:val="000D4AD4"/>
    <w:pPr>
      <w:autoSpaceDE w:val="0"/>
      <w:autoSpaceDN w:val="0"/>
      <w:adjustRightInd w:val="0"/>
      <w:spacing w:line="240" w:lineRule="auto"/>
      <w:jc w:val="left"/>
    </w:pPr>
    <w:rPr>
      <w:rFonts w:cs="Arial"/>
      <w:color w:val="000000"/>
      <w:szCs w:val="24"/>
    </w:rPr>
  </w:style>
  <w:style w:type="character" w:styleId="CommentReference">
    <w:name w:val="annotation reference"/>
    <w:basedOn w:val="DefaultParagraphFont"/>
    <w:uiPriority w:val="99"/>
    <w:semiHidden/>
    <w:unhideWhenUsed/>
    <w:rsid w:val="00E47083"/>
    <w:rPr>
      <w:sz w:val="16"/>
      <w:szCs w:val="16"/>
    </w:rPr>
  </w:style>
  <w:style w:type="paragraph" w:styleId="CommentText">
    <w:name w:val="annotation text"/>
    <w:basedOn w:val="Normal"/>
    <w:link w:val="CommentTextChar"/>
    <w:uiPriority w:val="99"/>
    <w:semiHidden/>
    <w:unhideWhenUsed/>
    <w:rsid w:val="00E47083"/>
    <w:pPr>
      <w:spacing w:line="240" w:lineRule="auto"/>
    </w:pPr>
    <w:rPr>
      <w:sz w:val="20"/>
      <w:szCs w:val="20"/>
    </w:rPr>
  </w:style>
  <w:style w:type="character" w:customStyle="1" w:styleId="CommentTextChar">
    <w:name w:val="Comment Text Char"/>
    <w:basedOn w:val="DefaultParagraphFont"/>
    <w:link w:val="CommentText"/>
    <w:uiPriority w:val="99"/>
    <w:semiHidden/>
    <w:rsid w:val="00E47083"/>
    <w:rPr>
      <w:sz w:val="20"/>
      <w:szCs w:val="20"/>
    </w:rPr>
  </w:style>
  <w:style w:type="paragraph" w:styleId="CommentSubject">
    <w:name w:val="annotation subject"/>
    <w:basedOn w:val="CommentText"/>
    <w:next w:val="CommentText"/>
    <w:link w:val="CommentSubjectChar"/>
    <w:uiPriority w:val="99"/>
    <w:semiHidden/>
    <w:unhideWhenUsed/>
    <w:rsid w:val="00E47083"/>
    <w:rPr>
      <w:b/>
      <w:bCs/>
    </w:rPr>
  </w:style>
  <w:style w:type="character" w:customStyle="1" w:styleId="CommentSubjectChar">
    <w:name w:val="Comment Subject Char"/>
    <w:basedOn w:val="CommentTextChar"/>
    <w:link w:val="CommentSubject"/>
    <w:uiPriority w:val="99"/>
    <w:semiHidden/>
    <w:rsid w:val="00E47083"/>
    <w:rPr>
      <w:b/>
      <w:bCs/>
      <w:sz w:val="20"/>
      <w:szCs w:val="20"/>
    </w:rPr>
  </w:style>
  <w:style w:type="paragraph" w:styleId="BalloonText">
    <w:name w:val="Balloon Text"/>
    <w:basedOn w:val="Normal"/>
    <w:link w:val="BalloonTextChar"/>
    <w:uiPriority w:val="99"/>
    <w:semiHidden/>
    <w:unhideWhenUsed/>
    <w:rsid w:val="00E47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3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D1FE-9ED6-44B5-807C-AA64D5F6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2016-09-02T09:05:00Z</cp:lastPrinted>
  <dcterms:created xsi:type="dcterms:W3CDTF">2016-09-07T12:43:00Z</dcterms:created>
  <dcterms:modified xsi:type="dcterms:W3CDTF">2016-09-07T12:43:00Z</dcterms:modified>
</cp:coreProperties>
</file>