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5A" w:rsidRPr="00277DB3" w:rsidRDefault="006D5D37" w:rsidP="006D5D37">
      <w:pPr>
        <w:pStyle w:val="NoSpacing"/>
        <w:rPr>
          <w:rFonts w:ascii="Arial" w:hAnsi="Arial" w:cs="Arial"/>
        </w:rPr>
      </w:pPr>
      <w:r w:rsidRPr="00277DB3">
        <w:rPr>
          <w:rFonts w:ascii="Arial" w:hAnsi="Arial" w:cs="Arial"/>
          <w:noProof/>
          <w:lang w:eastAsia="en-ZA"/>
        </w:rPr>
        <w:drawing>
          <wp:inline distT="0" distB="0" distL="0" distR="0" wp14:anchorId="711EA163" wp14:editId="3F223FFC">
            <wp:extent cx="2514600" cy="87032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D37" w:rsidRPr="00277DB3" w:rsidRDefault="006D5D37" w:rsidP="006D5D37">
      <w:pPr>
        <w:pStyle w:val="NoSpacing"/>
        <w:rPr>
          <w:rFonts w:ascii="Arial" w:hAnsi="Arial" w:cs="Arial"/>
        </w:rPr>
      </w:pPr>
    </w:p>
    <w:p w:rsidR="006D5D37" w:rsidRPr="002B2A73" w:rsidRDefault="006D5D37" w:rsidP="002B2A73">
      <w:pPr>
        <w:pStyle w:val="NoSpacing"/>
        <w:spacing w:line="360" w:lineRule="auto"/>
        <w:rPr>
          <w:rFonts w:ascii="Arial" w:hAnsi="Arial" w:cs="Arial"/>
          <w:color w:val="000000" w:themeColor="text1"/>
        </w:rPr>
      </w:pPr>
    </w:p>
    <w:p w:rsidR="006D5D37" w:rsidRPr="002B2A73" w:rsidRDefault="006D5D37" w:rsidP="002B2A73">
      <w:pPr>
        <w:pStyle w:val="NoSpacing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2B2A73">
        <w:rPr>
          <w:rFonts w:ascii="Arial" w:hAnsi="Arial" w:cs="Arial"/>
          <w:b/>
          <w:color w:val="000000" w:themeColor="text1"/>
        </w:rPr>
        <w:t>UPDATE ON PROGRESS WITH REGARD TO THE IMPLEMENTATION OF THE SETTLEMENT AGREEMENT BETWEEN THE DEPARTMENT OF ARTS AND CULTURE AND THE SOUTH AFRICAN ROADIES ASSOCIATION</w:t>
      </w:r>
    </w:p>
    <w:p w:rsidR="003127D5" w:rsidRPr="002B2A73" w:rsidRDefault="003127D5" w:rsidP="002B2A73">
      <w:pPr>
        <w:pStyle w:val="NoSpacing"/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6D5D37" w:rsidRDefault="006D5D37" w:rsidP="002B2A73">
      <w:pPr>
        <w:pStyle w:val="NoSpacing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5C7D08" w:rsidRPr="009D3ABB" w:rsidRDefault="005C7D08" w:rsidP="002B2A73">
      <w:pPr>
        <w:pStyle w:val="NoSpacing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9D3ABB">
        <w:rPr>
          <w:rFonts w:ascii="Arial" w:hAnsi="Arial" w:cs="Arial"/>
          <w:b/>
          <w:color w:val="000000" w:themeColor="text1"/>
        </w:rPr>
        <w:t>17</w:t>
      </w:r>
      <w:r w:rsidRPr="009D3ABB">
        <w:rPr>
          <w:rFonts w:ascii="Arial" w:hAnsi="Arial" w:cs="Arial"/>
          <w:b/>
          <w:color w:val="000000" w:themeColor="text1"/>
          <w:vertAlign w:val="superscript"/>
        </w:rPr>
        <w:t xml:space="preserve">th </w:t>
      </w:r>
      <w:r w:rsidRPr="009D3ABB">
        <w:rPr>
          <w:rFonts w:ascii="Arial" w:hAnsi="Arial" w:cs="Arial"/>
          <w:b/>
          <w:color w:val="000000" w:themeColor="text1"/>
        </w:rPr>
        <w:t>AUGUST 2016</w:t>
      </w:r>
    </w:p>
    <w:p w:rsidR="005C7D08" w:rsidRPr="009D3ABB" w:rsidRDefault="005C7D08" w:rsidP="002B2A73">
      <w:pPr>
        <w:pStyle w:val="NoSpacing"/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3127D5" w:rsidRPr="005E544B" w:rsidRDefault="003127D5" w:rsidP="002B2A73">
      <w:pPr>
        <w:pStyle w:val="NoSpacing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5E544B">
        <w:rPr>
          <w:rFonts w:ascii="Arial" w:hAnsi="Arial" w:cs="Arial"/>
          <w:b/>
          <w:color w:val="000000" w:themeColor="text1"/>
        </w:rPr>
        <w:t>1.</w:t>
      </w:r>
      <w:r w:rsidRPr="005E544B">
        <w:rPr>
          <w:rFonts w:ascii="Arial" w:hAnsi="Arial" w:cs="Arial"/>
          <w:b/>
          <w:color w:val="000000" w:themeColor="text1"/>
        </w:rPr>
        <w:tab/>
        <w:t>Summary report on progress to date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642"/>
        <w:gridCol w:w="1520"/>
        <w:gridCol w:w="7137"/>
        <w:gridCol w:w="1984"/>
      </w:tblGrid>
      <w:tr w:rsidR="005E544B" w:rsidRPr="005E544B" w:rsidTr="00491035">
        <w:trPr>
          <w:tblHeader/>
        </w:trPr>
        <w:tc>
          <w:tcPr>
            <w:tcW w:w="3642" w:type="dxa"/>
            <w:shd w:val="clear" w:color="auto" w:fill="A6A6A6" w:themeFill="background1" w:themeFillShade="A6"/>
          </w:tcPr>
          <w:p w:rsidR="003127D5" w:rsidRPr="005E544B" w:rsidRDefault="003127D5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>ACTIVITY</w:t>
            </w:r>
          </w:p>
        </w:tc>
        <w:tc>
          <w:tcPr>
            <w:tcW w:w="1520" w:type="dxa"/>
            <w:shd w:val="clear" w:color="auto" w:fill="A6A6A6" w:themeFill="background1" w:themeFillShade="A6"/>
          </w:tcPr>
          <w:p w:rsidR="003127D5" w:rsidRPr="005E544B" w:rsidRDefault="003127D5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>ACTION BY</w:t>
            </w:r>
          </w:p>
        </w:tc>
        <w:tc>
          <w:tcPr>
            <w:tcW w:w="7137" w:type="dxa"/>
            <w:shd w:val="clear" w:color="auto" w:fill="A6A6A6" w:themeFill="background1" w:themeFillShade="A6"/>
          </w:tcPr>
          <w:p w:rsidR="003127D5" w:rsidRPr="005E544B" w:rsidRDefault="003127D5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>STATUS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3127D5" w:rsidRPr="005E544B" w:rsidRDefault="003127D5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>TIMEFRAMES</w:t>
            </w:r>
          </w:p>
        </w:tc>
      </w:tr>
      <w:tr w:rsidR="005E544B" w:rsidRPr="005E544B" w:rsidTr="00491035">
        <w:trPr>
          <w:trHeight w:val="1180"/>
        </w:trPr>
        <w:tc>
          <w:tcPr>
            <w:tcW w:w="3642" w:type="dxa"/>
            <w:shd w:val="clear" w:color="auto" w:fill="auto"/>
          </w:tcPr>
          <w:p w:rsidR="007052DF" w:rsidRPr="009D3ABB" w:rsidRDefault="007052DF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 xml:space="preserve">PROPOSAL: LIVE EVENTS TECHNICAL AND PRODUCTION </w:t>
            </w:r>
            <w:r w:rsidR="009D3ABB">
              <w:rPr>
                <w:rFonts w:cs="Arial"/>
                <w:b/>
                <w:color w:val="000000" w:themeColor="text1"/>
                <w:sz w:val="22"/>
              </w:rPr>
              <w:t>SERVICES (LETPC) FOR 2016/17/18.</w:t>
            </w:r>
          </w:p>
        </w:tc>
        <w:tc>
          <w:tcPr>
            <w:tcW w:w="1520" w:type="dxa"/>
            <w:shd w:val="clear" w:color="auto" w:fill="auto"/>
          </w:tcPr>
          <w:p w:rsidR="007052DF" w:rsidRPr="005E544B" w:rsidRDefault="007052DF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>DAC</w:t>
            </w:r>
          </w:p>
        </w:tc>
        <w:tc>
          <w:tcPr>
            <w:tcW w:w="7137" w:type="dxa"/>
            <w:shd w:val="clear" w:color="auto" w:fill="auto"/>
          </w:tcPr>
          <w:p w:rsidR="009D3ABB" w:rsidRDefault="009D3ABB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</w:p>
          <w:p w:rsidR="009A38B2" w:rsidRDefault="005C7D08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>Supported:</w:t>
            </w:r>
          </w:p>
          <w:p w:rsidR="009D3ABB" w:rsidRPr="005E544B" w:rsidRDefault="009D3ABB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</w:p>
          <w:p w:rsidR="007052DF" w:rsidRDefault="005C7D08" w:rsidP="00491035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 xml:space="preserve">The </w:t>
            </w:r>
            <w:r w:rsidR="00491035">
              <w:rPr>
                <w:rFonts w:cs="Arial"/>
                <w:color w:val="000000" w:themeColor="text1"/>
                <w:sz w:val="22"/>
              </w:rPr>
              <w:t xml:space="preserve">project was supported; 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SARA </w:t>
            </w:r>
            <w:r w:rsidR="00491035">
              <w:rPr>
                <w:rFonts w:cs="Arial"/>
                <w:color w:val="000000" w:themeColor="text1"/>
                <w:sz w:val="22"/>
              </w:rPr>
              <w:t>hosted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 the event successfully</w:t>
            </w:r>
            <w:r w:rsidR="00482B8D" w:rsidRPr="005E544B">
              <w:rPr>
                <w:rFonts w:cs="Arial"/>
                <w:color w:val="000000" w:themeColor="text1"/>
                <w:sz w:val="22"/>
              </w:rPr>
              <w:t xml:space="preserve"> at the Sunnyside Park Hotel </w:t>
            </w:r>
            <w:r w:rsidR="004F1CD4">
              <w:rPr>
                <w:rFonts w:cs="Arial"/>
                <w:color w:val="000000" w:themeColor="text1"/>
                <w:sz w:val="22"/>
              </w:rPr>
              <w:t>i</w:t>
            </w:r>
            <w:r w:rsidR="004F1CD4" w:rsidRPr="005E544B">
              <w:rPr>
                <w:rFonts w:cs="Arial"/>
                <w:color w:val="000000" w:themeColor="text1"/>
                <w:sz w:val="22"/>
              </w:rPr>
              <w:t>n</w:t>
            </w:r>
            <w:r w:rsidR="00482B8D" w:rsidRPr="005E544B">
              <w:rPr>
                <w:rFonts w:cs="Arial"/>
                <w:color w:val="000000" w:themeColor="text1"/>
                <w:sz w:val="22"/>
              </w:rPr>
              <w:t xml:space="preserve"> Johannesburg</w:t>
            </w:r>
            <w:r w:rsidR="00491035">
              <w:rPr>
                <w:rFonts w:cs="Arial"/>
                <w:color w:val="000000" w:themeColor="text1"/>
                <w:sz w:val="22"/>
              </w:rPr>
              <w:t xml:space="preserve"> as part of the Africa Month programme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. The DAC </w:t>
            </w:r>
            <w:r w:rsidR="00491035">
              <w:rPr>
                <w:rFonts w:cs="Arial"/>
                <w:color w:val="000000" w:themeColor="text1"/>
                <w:sz w:val="22"/>
              </w:rPr>
              <w:t>o</w:t>
            </w:r>
            <w:r w:rsidR="00482B8D" w:rsidRPr="005E544B">
              <w:rPr>
                <w:rFonts w:cs="Arial"/>
                <w:color w:val="000000" w:themeColor="text1"/>
                <w:sz w:val="22"/>
              </w:rPr>
              <w:t xml:space="preserve">fficials </w:t>
            </w:r>
            <w:r w:rsidRPr="005E544B">
              <w:rPr>
                <w:rFonts w:cs="Arial"/>
                <w:color w:val="000000" w:themeColor="text1"/>
                <w:sz w:val="22"/>
              </w:rPr>
              <w:t>attended and made presentations. An interim sector committee was set up to oversee that the conference resolutions are implemented.</w:t>
            </w:r>
          </w:p>
          <w:p w:rsidR="002C12B9" w:rsidRDefault="002C12B9" w:rsidP="00491035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2C12B9" w:rsidRPr="005E544B" w:rsidRDefault="002C12B9" w:rsidP="00491035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7052DF" w:rsidRPr="005E544B" w:rsidRDefault="00482B8D" w:rsidP="00F075E1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>12-14</w:t>
            </w:r>
            <w:r w:rsidRPr="005E544B">
              <w:rPr>
                <w:rFonts w:cs="Arial"/>
                <w:color w:val="000000" w:themeColor="text1"/>
                <w:sz w:val="22"/>
                <w:vertAlign w:val="superscript"/>
              </w:rPr>
              <w:t>th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 </w:t>
            </w:r>
            <w:r w:rsidR="005C7D08" w:rsidRPr="005E544B">
              <w:rPr>
                <w:rFonts w:cs="Arial"/>
                <w:color w:val="000000" w:themeColor="text1"/>
                <w:sz w:val="22"/>
              </w:rPr>
              <w:t>May</w:t>
            </w:r>
            <w:r w:rsidR="0016250E" w:rsidRPr="005E544B">
              <w:rPr>
                <w:rFonts w:cs="Arial"/>
                <w:color w:val="000000" w:themeColor="text1"/>
                <w:sz w:val="22"/>
              </w:rPr>
              <w:t xml:space="preserve"> 2016</w:t>
            </w:r>
          </w:p>
        </w:tc>
      </w:tr>
      <w:tr w:rsidR="005E544B" w:rsidRPr="005E544B" w:rsidTr="00491035">
        <w:tc>
          <w:tcPr>
            <w:tcW w:w="3642" w:type="dxa"/>
            <w:shd w:val="clear" w:color="auto" w:fill="auto"/>
          </w:tcPr>
          <w:p w:rsidR="00FC5451" w:rsidRPr="005E544B" w:rsidRDefault="00FC5451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>INTERNATIONAL INTERACTION PROGRAMME</w:t>
            </w:r>
            <w:r w:rsidR="005C7D08" w:rsidRPr="005E544B">
              <w:rPr>
                <w:rFonts w:cs="Arial"/>
                <w:color w:val="000000" w:themeColor="text1"/>
                <w:sz w:val="22"/>
              </w:rPr>
              <w:t xml:space="preserve"> for 2016/17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 Activities</w:t>
            </w:r>
          </w:p>
          <w:p w:rsidR="003127D5" w:rsidRPr="005E544B" w:rsidRDefault="003127D5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3127D5" w:rsidRPr="005E544B" w:rsidRDefault="00CD6A53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DAC</w:t>
            </w:r>
          </w:p>
        </w:tc>
        <w:tc>
          <w:tcPr>
            <w:tcW w:w="7137" w:type="dxa"/>
            <w:shd w:val="clear" w:color="auto" w:fill="auto"/>
          </w:tcPr>
          <w:p w:rsidR="009D3ABB" w:rsidRDefault="009D3ABB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</w:p>
          <w:p w:rsidR="005B2CE7" w:rsidRPr="005E544B" w:rsidRDefault="00C95B5D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 xml:space="preserve">Ongoing Processing of First </w:t>
            </w:r>
            <w:r w:rsidR="005B2CE7" w:rsidRPr="005E544B">
              <w:rPr>
                <w:rFonts w:cs="Arial"/>
                <w:b/>
                <w:color w:val="000000" w:themeColor="text1"/>
                <w:sz w:val="22"/>
              </w:rPr>
              <w:t xml:space="preserve"> Payment</w:t>
            </w:r>
            <w:r w:rsidRPr="005E544B">
              <w:rPr>
                <w:rFonts w:cs="Arial"/>
                <w:b/>
                <w:color w:val="000000" w:themeColor="text1"/>
                <w:sz w:val="22"/>
              </w:rPr>
              <w:t xml:space="preserve"> for 3</w:t>
            </w:r>
            <w:r w:rsidRPr="005E544B">
              <w:rPr>
                <w:rFonts w:cs="Arial"/>
                <w:b/>
                <w:color w:val="000000" w:themeColor="text1"/>
                <w:sz w:val="22"/>
                <w:vertAlign w:val="superscript"/>
              </w:rPr>
              <w:t>rd</w:t>
            </w:r>
            <w:r w:rsidRPr="005E544B">
              <w:rPr>
                <w:rFonts w:cs="Arial"/>
                <w:b/>
                <w:color w:val="000000" w:themeColor="text1"/>
                <w:sz w:val="22"/>
              </w:rPr>
              <w:t xml:space="preserve"> Year</w:t>
            </w:r>
            <w:r w:rsidR="005B2CE7" w:rsidRPr="005E544B">
              <w:rPr>
                <w:rFonts w:cs="Arial"/>
                <w:color w:val="000000" w:themeColor="text1"/>
                <w:sz w:val="22"/>
              </w:rPr>
              <w:t>:</w:t>
            </w:r>
          </w:p>
          <w:p w:rsidR="009D3ABB" w:rsidRDefault="009D3ABB" w:rsidP="009D3ABB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491035" w:rsidRPr="005E544B" w:rsidRDefault="009D3ABB" w:rsidP="002C12B9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S</w:t>
            </w:r>
            <w:r w:rsidR="005C7D08" w:rsidRPr="009D3ABB">
              <w:rPr>
                <w:rFonts w:cs="Arial"/>
                <w:color w:val="000000" w:themeColor="text1"/>
                <w:sz w:val="22"/>
              </w:rPr>
              <w:t>ARA submitted its reports for the 2</w:t>
            </w:r>
            <w:r w:rsidR="005C7D08" w:rsidRPr="009D3ABB">
              <w:rPr>
                <w:rFonts w:cs="Arial"/>
                <w:color w:val="000000" w:themeColor="text1"/>
                <w:sz w:val="22"/>
                <w:vertAlign w:val="superscript"/>
              </w:rPr>
              <w:t>nd</w:t>
            </w:r>
            <w:r w:rsidR="005C7D08" w:rsidRPr="009D3ABB">
              <w:rPr>
                <w:rFonts w:cs="Arial"/>
                <w:color w:val="000000" w:themeColor="text1"/>
                <w:sz w:val="22"/>
              </w:rPr>
              <w:t xml:space="preserve"> year activities of the Inter</w:t>
            </w:r>
            <w:r w:rsidR="00491035">
              <w:rPr>
                <w:rFonts w:cs="Arial"/>
                <w:color w:val="000000" w:themeColor="text1"/>
                <w:sz w:val="22"/>
              </w:rPr>
              <w:t>national Interactions programme</w:t>
            </w:r>
            <w:r w:rsidR="00CD6A53">
              <w:rPr>
                <w:rFonts w:cs="Arial"/>
                <w:color w:val="000000" w:themeColor="text1"/>
                <w:sz w:val="22"/>
              </w:rPr>
              <w:t>.</w:t>
            </w:r>
            <w:r w:rsidR="00491035">
              <w:rPr>
                <w:rFonts w:cs="Arial"/>
                <w:color w:val="000000" w:themeColor="text1"/>
                <w:sz w:val="22"/>
              </w:rPr>
              <w:t xml:space="preserve"> T</w:t>
            </w:r>
            <w:r w:rsidR="005C7D08" w:rsidRPr="009D3ABB">
              <w:rPr>
                <w:rFonts w:cs="Arial"/>
                <w:color w:val="000000" w:themeColor="text1"/>
                <w:sz w:val="22"/>
              </w:rPr>
              <w:t>he process of transferring the 1</w:t>
            </w:r>
            <w:r w:rsidR="005C7D08" w:rsidRPr="009D3ABB">
              <w:rPr>
                <w:rFonts w:cs="Arial"/>
                <w:color w:val="000000" w:themeColor="text1"/>
                <w:sz w:val="22"/>
                <w:vertAlign w:val="superscript"/>
              </w:rPr>
              <w:t>st</w:t>
            </w:r>
            <w:r w:rsidR="005C7D08" w:rsidRPr="009D3ABB">
              <w:rPr>
                <w:rFonts w:cs="Arial"/>
                <w:color w:val="000000" w:themeColor="text1"/>
                <w:sz w:val="22"/>
              </w:rPr>
              <w:t xml:space="preserve"> payment for the </w:t>
            </w:r>
            <w:r w:rsidR="00491035">
              <w:rPr>
                <w:rFonts w:cs="Arial"/>
                <w:color w:val="000000" w:themeColor="text1"/>
                <w:sz w:val="22"/>
              </w:rPr>
              <w:t xml:space="preserve">final 2016/17 </w:t>
            </w:r>
            <w:r w:rsidR="005C7D08" w:rsidRPr="009D3ABB">
              <w:rPr>
                <w:rFonts w:cs="Arial"/>
                <w:color w:val="000000" w:themeColor="text1"/>
                <w:sz w:val="22"/>
              </w:rPr>
              <w:t xml:space="preserve">cycle of the International Interactions </w:t>
            </w:r>
            <w:r w:rsidR="00491035">
              <w:rPr>
                <w:rFonts w:cs="Arial"/>
                <w:color w:val="000000" w:themeColor="text1"/>
                <w:sz w:val="22"/>
              </w:rPr>
              <w:t>P</w:t>
            </w:r>
            <w:r w:rsidR="005C7D08" w:rsidRPr="009D3ABB">
              <w:rPr>
                <w:rFonts w:cs="Arial"/>
                <w:color w:val="000000" w:themeColor="text1"/>
                <w:sz w:val="22"/>
              </w:rPr>
              <w:t>rogramme</w:t>
            </w:r>
            <w:r w:rsidR="00491035">
              <w:rPr>
                <w:rFonts w:cs="Arial"/>
                <w:color w:val="000000" w:themeColor="text1"/>
                <w:sz w:val="22"/>
              </w:rPr>
              <w:t xml:space="preserve"> is underway</w:t>
            </w:r>
            <w:r w:rsidR="005C7D08" w:rsidRPr="009D3ABB">
              <w:rPr>
                <w:rFonts w:cs="Arial"/>
                <w:color w:val="000000" w:themeColor="text1"/>
                <w:sz w:val="22"/>
              </w:rPr>
              <w:t xml:space="preserve">. </w:t>
            </w:r>
          </w:p>
        </w:tc>
        <w:tc>
          <w:tcPr>
            <w:tcW w:w="1984" w:type="dxa"/>
            <w:shd w:val="clear" w:color="auto" w:fill="FFFFFF" w:themeFill="background1"/>
          </w:tcPr>
          <w:p w:rsidR="00491035" w:rsidRDefault="00491035" w:rsidP="00DD7A89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491035" w:rsidRDefault="00491035" w:rsidP="00DD7A89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491035" w:rsidRDefault="00491035" w:rsidP="00DD7A89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8543E6" w:rsidRPr="005E544B" w:rsidRDefault="00C37094" w:rsidP="00491035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 xml:space="preserve">Payment will be effected </w:t>
            </w:r>
            <w:r w:rsidR="00491035">
              <w:rPr>
                <w:rFonts w:cs="Arial"/>
                <w:color w:val="000000" w:themeColor="text1"/>
                <w:sz w:val="22"/>
              </w:rPr>
              <w:t>by</w:t>
            </w:r>
            <w:r w:rsidR="00482B8D" w:rsidRPr="005E544B">
              <w:rPr>
                <w:rFonts w:cs="Arial"/>
                <w:color w:val="000000" w:themeColor="text1"/>
                <w:sz w:val="22"/>
              </w:rPr>
              <w:t xml:space="preserve"> </w:t>
            </w:r>
            <w:r w:rsidR="00491035">
              <w:rPr>
                <w:rFonts w:cs="Arial"/>
                <w:color w:val="000000" w:themeColor="text1"/>
                <w:sz w:val="22"/>
              </w:rPr>
              <w:t>the end</w:t>
            </w:r>
            <w:r w:rsidR="00482B8D" w:rsidRPr="005E544B">
              <w:rPr>
                <w:rFonts w:cs="Arial"/>
                <w:color w:val="000000" w:themeColor="text1"/>
                <w:sz w:val="22"/>
              </w:rPr>
              <w:t xml:space="preserve"> August 2016</w:t>
            </w:r>
          </w:p>
        </w:tc>
      </w:tr>
      <w:tr w:rsidR="005E544B" w:rsidRPr="005E544B" w:rsidTr="00491035">
        <w:tc>
          <w:tcPr>
            <w:tcW w:w="3642" w:type="dxa"/>
            <w:shd w:val="clear" w:color="auto" w:fill="auto"/>
          </w:tcPr>
          <w:p w:rsidR="006E08F5" w:rsidRPr="005E544B" w:rsidRDefault="006E08F5" w:rsidP="004F01A2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>NATIONAL ARTS COUNCIL (NAC)</w:t>
            </w:r>
          </w:p>
          <w:p w:rsidR="009D3ABB" w:rsidRDefault="009D3ABB" w:rsidP="005E544B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</w:p>
          <w:p w:rsidR="004F01A2" w:rsidRPr="005E544B" w:rsidRDefault="009D3ABB" w:rsidP="009D3ABB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Audit.</w:t>
            </w:r>
          </w:p>
        </w:tc>
        <w:tc>
          <w:tcPr>
            <w:tcW w:w="1520" w:type="dxa"/>
            <w:shd w:val="clear" w:color="auto" w:fill="auto"/>
          </w:tcPr>
          <w:p w:rsidR="004F01A2" w:rsidRPr="005E544B" w:rsidRDefault="003572FB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>DAC</w:t>
            </w:r>
          </w:p>
        </w:tc>
        <w:tc>
          <w:tcPr>
            <w:tcW w:w="7137" w:type="dxa"/>
            <w:shd w:val="clear" w:color="auto" w:fill="auto"/>
          </w:tcPr>
          <w:p w:rsidR="004F01A2" w:rsidRPr="005E544B" w:rsidRDefault="004F01A2" w:rsidP="004F01A2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>Ongoing:</w:t>
            </w:r>
          </w:p>
          <w:p w:rsidR="004F01A2" w:rsidRPr="009D3ABB" w:rsidRDefault="00D135E7" w:rsidP="009D3ABB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9D3ABB">
              <w:rPr>
                <w:rFonts w:cs="Arial"/>
                <w:color w:val="000000" w:themeColor="text1"/>
                <w:sz w:val="22"/>
              </w:rPr>
              <w:t>The investigation has been completed and a report submitted for approval at Ministry; after-which, the outcome will be communicated to relevant parties.</w:t>
            </w:r>
          </w:p>
          <w:p w:rsidR="004F01A2" w:rsidRPr="005E544B" w:rsidRDefault="004F01A2" w:rsidP="004F01A2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91035" w:rsidRDefault="00491035" w:rsidP="00D135E7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4F01A2" w:rsidRPr="005E544B" w:rsidRDefault="00491035" w:rsidP="00D135E7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By the end of</w:t>
            </w:r>
            <w:r w:rsidR="00D135E7" w:rsidRPr="005E544B">
              <w:rPr>
                <w:rFonts w:cs="Arial"/>
                <w:color w:val="000000" w:themeColor="text1"/>
                <w:sz w:val="22"/>
              </w:rPr>
              <w:t xml:space="preserve"> August 2016.</w:t>
            </w:r>
          </w:p>
        </w:tc>
      </w:tr>
      <w:tr w:rsidR="005E544B" w:rsidRPr="005E544B" w:rsidTr="00491035">
        <w:trPr>
          <w:trHeight w:val="570"/>
        </w:trPr>
        <w:tc>
          <w:tcPr>
            <w:tcW w:w="3642" w:type="dxa"/>
          </w:tcPr>
          <w:p w:rsidR="003A486C" w:rsidRPr="005E544B" w:rsidRDefault="003A486C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>RENOVATIONS FOR SARA BUILDING</w:t>
            </w:r>
          </w:p>
        </w:tc>
        <w:tc>
          <w:tcPr>
            <w:tcW w:w="1520" w:type="dxa"/>
          </w:tcPr>
          <w:p w:rsidR="003A486C" w:rsidRPr="005E544B" w:rsidRDefault="003A486C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7137" w:type="dxa"/>
          </w:tcPr>
          <w:p w:rsidR="003A486C" w:rsidRPr="005E544B" w:rsidRDefault="003A486C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984" w:type="dxa"/>
          </w:tcPr>
          <w:p w:rsidR="003A486C" w:rsidRPr="005E544B" w:rsidRDefault="003A486C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</w:tc>
      </w:tr>
      <w:tr w:rsidR="005E544B" w:rsidRPr="005E544B" w:rsidTr="00491035">
        <w:trPr>
          <w:trHeight w:val="2022"/>
        </w:trPr>
        <w:tc>
          <w:tcPr>
            <w:tcW w:w="3642" w:type="dxa"/>
          </w:tcPr>
          <w:p w:rsidR="00922C58" w:rsidRPr="005E544B" w:rsidRDefault="00922C58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 xml:space="preserve">Funding allocation </w:t>
            </w:r>
            <w:r w:rsidR="008E6115" w:rsidRPr="005E544B">
              <w:rPr>
                <w:rFonts w:cs="Arial"/>
                <w:b/>
                <w:color w:val="000000" w:themeColor="text1"/>
                <w:sz w:val="22"/>
              </w:rPr>
              <w:t>for Building Renovations Proposal</w:t>
            </w:r>
            <w:r w:rsidR="00FE121F" w:rsidRPr="005E544B">
              <w:rPr>
                <w:rFonts w:cs="Arial"/>
                <w:b/>
                <w:color w:val="000000" w:themeColor="text1"/>
                <w:sz w:val="22"/>
              </w:rPr>
              <w:t>.</w:t>
            </w:r>
          </w:p>
          <w:p w:rsidR="00922C58" w:rsidRPr="005E544B" w:rsidRDefault="00922C58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</w:p>
        </w:tc>
        <w:tc>
          <w:tcPr>
            <w:tcW w:w="1520" w:type="dxa"/>
          </w:tcPr>
          <w:p w:rsidR="00922C58" w:rsidRPr="005E544B" w:rsidRDefault="00922C58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>DAC</w:t>
            </w:r>
          </w:p>
        </w:tc>
        <w:tc>
          <w:tcPr>
            <w:tcW w:w="7137" w:type="dxa"/>
          </w:tcPr>
          <w:p w:rsidR="008E6115" w:rsidRPr="005E544B" w:rsidRDefault="008E6115" w:rsidP="0016250E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>Ring-fenced</w:t>
            </w:r>
            <w:r w:rsidR="009D3ABB">
              <w:rPr>
                <w:rFonts w:cs="Arial"/>
                <w:b/>
                <w:color w:val="000000" w:themeColor="text1"/>
                <w:sz w:val="22"/>
              </w:rPr>
              <w:t xml:space="preserve"> funds</w:t>
            </w:r>
            <w:r w:rsidRPr="005E544B">
              <w:rPr>
                <w:rFonts w:cs="Arial"/>
                <w:b/>
                <w:color w:val="000000" w:themeColor="text1"/>
                <w:sz w:val="22"/>
              </w:rPr>
              <w:t xml:space="preserve">: </w:t>
            </w:r>
          </w:p>
          <w:p w:rsidR="009D3ABB" w:rsidRDefault="009D3ABB" w:rsidP="00C95B5D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922C58" w:rsidRPr="005E544B" w:rsidRDefault="008E6115" w:rsidP="00491035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 xml:space="preserve">The Department confirmed an amount of R15 million </w:t>
            </w:r>
            <w:r w:rsidR="00C95B5D" w:rsidRPr="005E544B">
              <w:rPr>
                <w:rFonts w:cs="Arial"/>
                <w:color w:val="000000" w:themeColor="text1"/>
                <w:sz w:val="22"/>
              </w:rPr>
              <w:t xml:space="preserve">allocated </w:t>
            </w:r>
            <w:r w:rsidRPr="005E544B">
              <w:rPr>
                <w:rFonts w:cs="Arial"/>
                <w:color w:val="000000" w:themeColor="text1"/>
                <w:sz w:val="22"/>
              </w:rPr>
              <w:t>towards funding the SAR</w:t>
            </w:r>
            <w:r w:rsidR="00491035">
              <w:rPr>
                <w:rFonts w:cs="Arial"/>
                <w:color w:val="000000" w:themeColor="text1"/>
                <w:sz w:val="22"/>
              </w:rPr>
              <w:t>A building renovations proposal in formal correspondence to SARA.</w:t>
            </w:r>
          </w:p>
        </w:tc>
        <w:tc>
          <w:tcPr>
            <w:tcW w:w="1984" w:type="dxa"/>
          </w:tcPr>
          <w:p w:rsidR="00491035" w:rsidRDefault="00491035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491035" w:rsidRDefault="00491035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922C58" w:rsidRPr="005E544B" w:rsidRDefault="00922C58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>Funds set aside for implementation in 2016/17</w:t>
            </w:r>
          </w:p>
        </w:tc>
      </w:tr>
      <w:tr w:rsidR="005E544B" w:rsidRPr="005E544B" w:rsidTr="00491035">
        <w:trPr>
          <w:trHeight w:val="2022"/>
        </w:trPr>
        <w:tc>
          <w:tcPr>
            <w:tcW w:w="3642" w:type="dxa"/>
          </w:tcPr>
          <w:p w:rsidR="0016250E" w:rsidRPr="005E544B" w:rsidRDefault="0016250E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>Implementation</w:t>
            </w:r>
            <w:r w:rsidR="00570BD6" w:rsidRPr="005E544B">
              <w:rPr>
                <w:rFonts w:cs="Arial"/>
                <w:b/>
                <w:color w:val="000000" w:themeColor="text1"/>
                <w:sz w:val="22"/>
              </w:rPr>
              <w:t xml:space="preserve"> of Building Renovations Proposal.</w:t>
            </w:r>
          </w:p>
        </w:tc>
        <w:tc>
          <w:tcPr>
            <w:tcW w:w="1520" w:type="dxa"/>
          </w:tcPr>
          <w:p w:rsidR="0016250E" w:rsidRPr="005E544B" w:rsidRDefault="0016250E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>DAC &amp; SARA</w:t>
            </w:r>
          </w:p>
        </w:tc>
        <w:tc>
          <w:tcPr>
            <w:tcW w:w="7137" w:type="dxa"/>
          </w:tcPr>
          <w:p w:rsidR="0016250E" w:rsidRPr="005E544B" w:rsidRDefault="0016250E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 xml:space="preserve">Ongoing </w:t>
            </w:r>
          </w:p>
          <w:p w:rsidR="009D3ABB" w:rsidRDefault="009D3ABB" w:rsidP="003D2EE9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7C3A2C" w:rsidRPr="005E544B" w:rsidRDefault="001C105B" w:rsidP="003D2EE9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>Th</w:t>
            </w:r>
            <w:r w:rsidR="007C3A2C" w:rsidRPr="005E544B">
              <w:rPr>
                <w:rFonts w:cs="Arial"/>
                <w:color w:val="000000" w:themeColor="text1"/>
                <w:sz w:val="22"/>
              </w:rPr>
              <w:t xml:space="preserve">e two parties reached an impasse on the approach of implementing the building renovations. In this case the DAC proposed to transfer the allocated funds to SARA to coordinate and appoint </w:t>
            </w:r>
            <w:r w:rsidR="00CD6A53">
              <w:rPr>
                <w:rFonts w:cs="Arial"/>
                <w:color w:val="000000" w:themeColor="text1"/>
                <w:sz w:val="22"/>
              </w:rPr>
              <w:t xml:space="preserve">a </w:t>
            </w:r>
            <w:r w:rsidR="007C3A2C" w:rsidRPr="005E544B">
              <w:rPr>
                <w:rFonts w:cs="Arial"/>
                <w:color w:val="000000" w:themeColor="text1"/>
                <w:sz w:val="22"/>
              </w:rPr>
              <w:t xml:space="preserve">Project Manager supported by a professional team of relevant expertise in the built environment. </w:t>
            </w:r>
          </w:p>
          <w:p w:rsidR="007C3A2C" w:rsidRPr="005E544B" w:rsidRDefault="007C3A2C" w:rsidP="00A35049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7A57D3" w:rsidRPr="005E544B" w:rsidRDefault="001C105B" w:rsidP="007A57D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>S</w:t>
            </w:r>
            <w:r w:rsidR="007C3A2C" w:rsidRPr="005E544B">
              <w:rPr>
                <w:rFonts w:cs="Arial"/>
                <w:color w:val="000000" w:themeColor="text1"/>
                <w:sz w:val="22"/>
              </w:rPr>
              <w:t xml:space="preserve">ARA declined the proposal and a protracted exchange of letters and discussions ensued, </w:t>
            </w:r>
            <w:r w:rsidR="00334546">
              <w:rPr>
                <w:rFonts w:cs="Arial"/>
                <w:color w:val="000000" w:themeColor="text1"/>
                <w:sz w:val="22"/>
              </w:rPr>
              <w:t>s</w:t>
            </w:r>
            <w:r w:rsidRPr="005E544B">
              <w:rPr>
                <w:rFonts w:cs="Arial"/>
                <w:color w:val="000000" w:themeColor="text1"/>
                <w:sz w:val="22"/>
              </w:rPr>
              <w:t>ubsequently a meeting was called by the Portfolio Committee which was held on the 3</w:t>
            </w:r>
            <w:r w:rsidRPr="005E544B">
              <w:rPr>
                <w:rFonts w:cs="Arial"/>
                <w:color w:val="000000" w:themeColor="text1"/>
                <w:sz w:val="22"/>
                <w:vertAlign w:val="superscript"/>
              </w:rPr>
              <w:t>rd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 May 2016 whereby the DAC and SARA made presentations. </w:t>
            </w:r>
          </w:p>
          <w:p w:rsidR="007A57D3" w:rsidRPr="005E544B" w:rsidRDefault="007A57D3" w:rsidP="007A57D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A35049" w:rsidRPr="005E544B" w:rsidRDefault="00A35049" w:rsidP="00A35049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7A57D3" w:rsidRPr="005E544B" w:rsidRDefault="007C3A2C" w:rsidP="007A57D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 xml:space="preserve">The meeting resolved that the two parties should find ways of working together and find common ground. </w:t>
            </w:r>
            <w:r w:rsidR="007A57D3" w:rsidRPr="005E544B">
              <w:rPr>
                <w:rFonts w:cs="Arial"/>
                <w:color w:val="000000" w:themeColor="text1"/>
                <w:sz w:val="22"/>
              </w:rPr>
              <w:t xml:space="preserve">It was also queried on what basis DAC agreed to fund SARA. As such the DAC was required to provide a </w:t>
            </w:r>
            <w:r w:rsidR="002C12B9">
              <w:rPr>
                <w:rFonts w:cs="Arial"/>
                <w:color w:val="000000" w:themeColor="text1"/>
                <w:sz w:val="22"/>
              </w:rPr>
              <w:t>L</w:t>
            </w:r>
            <w:r w:rsidR="007A57D3" w:rsidRPr="005E544B">
              <w:rPr>
                <w:rFonts w:cs="Arial"/>
                <w:color w:val="000000" w:themeColor="text1"/>
                <w:sz w:val="22"/>
              </w:rPr>
              <w:t>egal Opinion to respond to the latter.</w:t>
            </w:r>
          </w:p>
          <w:p w:rsidR="0016250E" w:rsidRDefault="0016250E" w:rsidP="007A57D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4F1CD4" w:rsidRPr="005E544B" w:rsidRDefault="004F1CD4" w:rsidP="007A57D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2C12B9" w:rsidRPr="005E544B" w:rsidRDefault="004D08B9" w:rsidP="002C12B9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>Presentation of Legal Opinion to the PC</w:t>
            </w:r>
            <w:r w:rsidR="007A57D3" w:rsidRPr="005E544B">
              <w:rPr>
                <w:rFonts w:cs="Arial"/>
                <w:b/>
                <w:color w:val="000000" w:themeColor="text1"/>
                <w:sz w:val="22"/>
              </w:rPr>
              <w:t>:</w:t>
            </w:r>
            <w:r w:rsidR="002C12B9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  <w:r w:rsidR="002C12B9" w:rsidRPr="005E544B">
              <w:rPr>
                <w:rFonts w:cs="Arial"/>
                <w:b/>
                <w:color w:val="000000" w:themeColor="text1"/>
                <w:sz w:val="22"/>
              </w:rPr>
              <w:t>Completed:</w:t>
            </w:r>
          </w:p>
          <w:p w:rsidR="002C12B9" w:rsidRPr="005E544B" w:rsidRDefault="002C12B9" w:rsidP="002C12B9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</w:p>
          <w:p w:rsidR="002C12B9" w:rsidRPr="005E544B" w:rsidRDefault="002C12B9" w:rsidP="002C12B9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 xml:space="preserve">The DAC followed up on the request for DAC to provide the Portfolio Committee with a Legal Opinion in relation to the DAC’s funding of SARA’s </w:t>
            </w:r>
            <w:r w:rsidRPr="005E544B">
              <w:rPr>
                <w:rFonts w:cs="Arial"/>
                <w:b/>
                <w:color w:val="000000" w:themeColor="text1"/>
                <w:sz w:val="22"/>
              </w:rPr>
              <w:t>Building Renovations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 and the </w:t>
            </w:r>
            <w:r w:rsidRPr="005E544B">
              <w:rPr>
                <w:rFonts w:cs="Arial"/>
                <w:b/>
                <w:color w:val="000000" w:themeColor="text1"/>
                <w:sz w:val="22"/>
              </w:rPr>
              <w:t xml:space="preserve">Settlement Agreement, 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between DAC and SARA. </w:t>
            </w:r>
          </w:p>
          <w:p w:rsidR="002C12B9" w:rsidRPr="005E544B" w:rsidRDefault="002C12B9" w:rsidP="002C12B9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2C12B9" w:rsidRDefault="002C12B9" w:rsidP="002C12B9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 xml:space="preserve">In this regard the DAC consulted with the Office Of The State Attorney which has since submitted a report on the matter. </w:t>
            </w:r>
            <w:r w:rsidRPr="00491035">
              <w:rPr>
                <w:rFonts w:cs="Arial"/>
                <w:color w:val="000000" w:themeColor="text1"/>
                <w:sz w:val="22"/>
              </w:rPr>
              <w:t>A copy has been provided to the Portfolio Committee</w:t>
            </w:r>
            <w:r>
              <w:rPr>
                <w:rFonts w:cs="Arial"/>
                <w:color w:val="000000" w:themeColor="text1"/>
                <w:sz w:val="22"/>
              </w:rPr>
              <w:t xml:space="preserve"> attached to correspondence signed by the Acting DG on 10 August 2016</w:t>
            </w:r>
            <w:r w:rsidRPr="00491035">
              <w:rPr>
                <w:rFonts w:cs="Arial"/>
                <w:color w:val="000000" w:themeColor="text1"/>
                <w:sz w:val="22"/>
              </w:rPr>
              <w:t>.</w:t>
            </w:r>
          </w:p>
          <w:p w:rsidR="002C12B9" w:rsidRDefault="002C12B9" w:rsidP="004D08B9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2C12B9" w:rsidRPr="005E544B" w:rsidRDefault="007A57D3" w:rsidP="004D08B9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 xml:space="preserve">The legal opinion </w:t>
            </w:r>
            <w:r w:rsidR="00466F15" w:rsidRPr="005E544B">
              <w:rPr>
                <w:rFonts w:cs="Arial"/>
                <w:color w:val="000000" w:themeColor="text1"/>
                <w:sz w:val="22"/>
              </w:rPr>
              <w:t xml:space="preserve">report </w:t>
            </w:r>
            <w:r w:rsidR="004D08B9" w:rsidRPr="005E544B">
              <w:rPr>
                <w:rFonts w:cs="Arial"/>
                <w:color w:val="000000" w:themeColor="text1"/>
                <w:sz w:val="22"/>
              </w:rPr>
              <w:t xml:space="preserve">provides numerous issues around whether or not is the DAC obliged to embark on acquisition of </w:t>
            </w:r>
            <w:r w:rsidR="002C12B9">
              <w:rPr>
                <w:rFonts w:cs="Arial"/>
                <w:color w:val="000000" w:themeColor="text1"/>
                <w:sz w:val="22"/>
              </w:rPr>
              <w:t>third party immovable property.</w:t>
            </w:r>
          </w:p>
        </w:tc>
        <w:tc>
          <w:tcPr>
            <w:tcW w:w="1984" w:type="dxa"/>
          </w:tcPr>
          <w:p w:rsidR="00491035" w:rsidRDefault="00491035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491035" w:rsidRDefault="00491035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16250E" w:rsidRPr="005E544B" w:rsidRDefault="009157AF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>T</w:t>
            </w:r>
            <w:r w:rsidR="00CD6A53">
              <w:rPr>
                <w:rFonts w:cs="Arial"/>
                <w:color w:val="000000" w:themeColor="text1"/>
                <w:sz w:val="22"/>
              </w:rPr>
              <w:t>he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 matter </w:t>
            </w:r>
            <w:r w:rsidR="003D1E3B" w:rsidRPr="005E544B">
              <w:rPr>
                <w:rFonts w:cs="Arial"/>
                <w:color w:val="000000" w:themeColor="text1"/>
                <w:sz w:val="22"/>
              </w:rPr>
              <w:t xml:space="preserve">should be settled </w:t>
            </w:r>
            <w:r w:rsidRPr="005E544B">
              <w:rPr>
                <w:rFonts w:cs="Arial"/>
                <w:color w:val="000000" w:themeColor="text1"/>
                <w:sz w:val="22"/>
              </w:rPr>
              <w:t>2016</w:t>
            </w:r>
            <w:r w:rsidR="003D1E3B" w:rsidRPr="005E544B">
              <w:rPr>
                <w:rFonts w:cs="Arial"/>
                <w:color w:val="000000" w:themeColor="text1"/>
                <w:sz w:val="22"/>
              </w:rPr>
              <w:t>/17 Financial year</w:t>
            </w:r>
            <w:r w:rsidRPr="005E544B">
              <w:rPr>
                <w:rFonts w:cs="Arial"/>
                <w:color w:val="000000" w:themeColor="text1"/>
                <w:sz w:val="22"/>
              </w:rPr>
              <w:t>.</w:t>
            </w:r>
          </w:p>
        </w:tc>
      </w:tr>
      <w:tr w:rsidR="002C12B9" w:rsidRPr="005E544B" w:rsidTr="00491035">
        <w:trPr>
          <w:trHeight w:val="2022"/>
        </w:trPr>
        <w:tc>
          <w:tcPr>
            <w:tcW w:w="3642" w:type="dxa"/>
          </w:tcPr>
          <w:p w:rsidR="002C12B9" w:rsidRPr="005E544B" w:rsidRDefault="002C12B9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 xml:space="preserve">Backstage </w:t>
            </w:r>
            <w:r>
              <w:rPr>
                <w:rFonts w:cs="Arial"/>
                <w:b/>
                <w:color w:val="000000" w:themeColor="text1"/>
                <w:sz w:val="22"/>
              </w:rPr>
              <w:t xml:space="preserve">Academy </w:t>
            </w:r>
            <w:r w:rsidRPr="005E544B">
              <w:rPr>
                <w:rFonts w:cs="Arial"/>
                <w:b/>
                <w:color w:val="000000" w:themeColor="text1"/>
                <w:sz w:val="22"/>
              </w:rPr>
              <w:t>Proposal</w:t>
            </w:r>
          </w:p>
        </w:tc>
        <w:tc>
          <w:tcPr>
            <w:tcW w:w="1520" w:type="dxa"/>
          </w:tcPr>
          <w:p w:rsidR="002C12B9" w:rsidRPr="005E544B" w:rsidRDefault="002C12B9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>SARA</w:t>
            </w:r>
          </w:p>
        </w:tc>
        <w:tc>
          <w:tcPr>
            <w:tcW w:w="7137" w:type="dxa"/>
          </w:tcPr>
          <w:p w:rsidR="002C12B9" w:rsidRPr="005E544B" w:rsidRDefault="002C12B9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5E544B">
              <w:rPr>
                <w:rFonts w:cs="Arial"/>
                <w:b/>
                <w:color w:val="000000" w:themeColor="text1"/>
                <w:sz w:val="22"/>
              </w:rPr>
              <w:t>Completed:</w:t>
            </w:r>
          </w:p>
          <w:p w:rsidR="002C12B9" w:rsidRPr="005E544B" w:rsidRDefault="002C12B9" w:rsidP="009157AF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 xml:space="preserve">SARA introduced Sir John Botham </w:t>
            </w:r>
            <w:r w:rsidR="004F1CD4">
              <w:rPr>
                <w:rFonts w:cs="Arial"/>
                <w:color w:val="000000" w:themeColor="text1"/>
                <w:sz w:val="22"/>
              </w:rPr>
              <w:t>(</w:t>
            </w:r>
            <w:r w:rsidRPr="005E544B">
              <w:rPr>
                <w:rFonts w:cs="Arial"/>
                <w:color w:val="000000" w:themeColor="text1"/>
                <w:sz w:val="22"/>
              </w:rPr>
              <w:t>OBE</w:t>
            </w:r>
            <w:r w:rsidR="004F1CD4">
              <w:rPr>
                <w:rFonts w:cs="Arial"/>
                <w:color w:val="000000" w:themeColor="text1"/>
                <w:sz w:val="22"/>
              </w:rPr>
              <w:t>)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 of Semperior Ltd from the UK to the DAC to present a proposal for the development of a Ba</w:t>
            </w:r>
            <w:r>
              <w:rPr>
                <w:rFonts w:cs="Arial"/>
                <w:color w:val="000000" w:themeColor="text1"/>
                <w:sz w:val="22"/>
              </w:rPr>
              <w:t>ckstage Academy in South Africa</w:t>
            </w:r>
            <w:r>
              <w:rPr>
                <w:rFonts w:cs="Arial"/>
                <w:b/>
                <w:color w:val="000000" w:themeColor="text1"/>
                <w:sz w:val="22"/>
              </w:rPr>
              <w:t>.</w:t>
            </w:r>
          </w:p>
          <w:p w:rsidR="002C12B9" w:rsidRPr="005E544B" w:rsidRDefault="002C12B9" w:rsidP="009157AF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2C12B9" w:rsidRPr="005E544B" w:rsidRDefault="002C12B9" w:rsidP="00CD6A5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5E544B">
              <w:rPr>
                <w:rFonts w:cs="Arial"/>
                <w:color w:val="000000" w:themeColor="text1"/>
                <w:sz w:val="22"/>
              </w:rPr>
              <w:t>Subsequent to the presentation</w:t>
            </w:r>
            <w:r w:rsidR="007A2A57">
              <w:rPr>
                <w:rFonts w:cs="Arial"/>
                <w:color w:val="000000" w:themeColor="text1"/>
                <w:sz w:val="22"/>
              </w:rPr>
              <w:t xml:space="preserve"> and request for funds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 the DAC responded to SARA and indicated that </w:t>
            </w:r>
            <w:r>
              <w:rPr>
                <w:rFonts w:cs="Arial"/>
                <w:color w:val="000000" w:themeColor="text1"/>
                <w:sz w:val="22"/>
              </w:rPr>
              <w:t>t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he Department </w:t>
            </w:r>
            <w:r w:rsidR="007A2A57">
              <w:rPr>
                <w:rFonts w:cs="Arial"/>
                <w:color w:val="000000" w:themeColor="text1"/>
                <w:sz w:val="22"/>
              </w:rPr>
              <w:t>would</w:t>
            </w:r>
            <w:r>
              <w:rPr>
                <w:rFonts w:cs="Arial"/>
                <w:color w:val="000000" w:themeColor="text1"/>
                <w:sz w:val="22"/>
              </w:rPr>
              <w:t xml:space="preserve"> not provide funding to SARA as requested but </w:t>
            </w:r>
            <w:r w:rsidR="007A2A57">
              <w:rPr>
                <w:rFonts w:cs="Arial"/>
                <w:color w:val="000000" w:themeColor="text1"/>
                <w:sz w:val="22"/>
              </w:rPr>
              <w:t xml:space="preserve">would </w:t>
            </w:r>
            <w:r>
              <w:rPr>
                <w:rFonts w:cs="Arial"/>
                <w:color w:val="000000" w:themeColor="text1"/>
                <w:sz w:val="22"/>
              </w:rPr>
              <w:t>undertake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 a </w:t>
            </w:r>
            <w:r>
              <w:rPr>
                <w:rFonts w:cs="Arial"/>
                <w:color w:val="000000" w:themeColor="text1"/>
                <w:sz w:val="22"/>
              </w:rPr>
              <w:t>Skills Audit of the Live Events &amp; Technical Production Services sector incorporating a f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easibility </w:t>
            </w:r>
            <w:r>
              <w:rPr>
                <w:rFonts w:cs="Arial"/>
                <w:color w:val="000000" w:themeColor="text1"/>
                <w:sz w:val="22"/>
              </w:rPr>
              <w:t>s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tudy </w:t>
            </w:r>
            <w:r>
              <w:rPr>
                <w:rFonts w:cs="Arial"/>
                <w:color w:val="000000" w:themeColor="text1"/>
                <w:sz w:val="22"/>
              </w:rPr>
              <w:t>for an academy structure</w:t>
            </w:r>
            <w:r w:rsidRPr="005E544B">
              <w:rPr>
                <w:rFonts w:cs="Arial"/>
                <w:color w:val="000000" w:themeColor="text1"/>
                <w:sz w:val="22"/>
              </w:rPr>
              <w:t xml:space="preserve">. </w:t>
            </w:r>
            <w:r>
              <w:rPr>
                <w:rFonts w:cs="Arial"/>
                <w:color w:val="000000" w:themeColor="text1"/>
                <w:sz w:val="22"/>
              </w:rPr>
              <w:t>The findings will inform the way forward for government and the sector on training needs and appropriate programmes that need to be undertaken.</w:t>
            </w:r>
            <w:r w:rsidR="007A2A57">
              <w:rPr>
                <w:rFonts w:cs="Arial"/>
                <w:color w:val="000000" w:themeColor="text1"/>
                <w:sz w:val="22"/>
              </w:rPr>
              <w:t xml:space="preserve"> The terms of reference are being drafted as part of a planned open tender process.</w:t>
            </w:r>
          </w:p>
        </w:tc>
        <w:tc>
          <w:tcPr>
            <w:tcW w:w="1984" w:type="dxa"/>
          </w:tcPr>
          <w:p w:rsidR="002C12B9" w:rsidRDefault="002C12B9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2C12B9" w:rsidRDefault="002C12B9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491035">
              <w:rPr>
                <w:rFonts w:cs="Arial"/>
                <w:color w:val="000000" w:themeColor="text1"/>
                <w:sz w:val="22"/>
              </w:rPr>
              <w:t>Ongoing 2016/17</w:t>
            </w:r>
          </w:p>
          <w:p w:rsidR="007A2A57" w:rsidRDefault="007A2A57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7A2A57" w:rsidRDefault="007A2A57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7A2A57" w:rsidRDefault="007A2A57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7A2A57" w:rsidRDefault="007A2A57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7A2A57" w:rsidRDefault="007A2A57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7A2A57" w:rsidRDefault="007A2A57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Study to be completed by the end of the financial year.</w:t>
            </w:r>
          </w:p>
          <w:p w:rsidR="007A2A57" w:rsidRDefault="007A2A57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7A2A57" w:rsidRDefault="007A2A57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7A2A57" w:rsidRPr="00491035" w:rsidRDefault="007A2A57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</w:tc>
      </w:tr>
      <w:tr w:rsidR="002C12B9" w:rsidRPr="005E544B" w:rsidTr="00491035">
        <w:trPr>
          <w:trHeight w:val="2022"/>
        </w:trPr>
        <w:tc>
          <w:tcPr>
            <w:tcW w:w="3642" w:type="dxa"/>
          </w:tcPr>
          <w:p w:rsidR="002C12B9" w:rsidRPr="005E544B" w:rsidRDefault="002C12B9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cs="Arial"/>
                <w:b/>
                <w:color w:val="000000" w:themeColor="text1"/>
                <w:sz w:val="22"/>
              </w:rPr>
              <w:t>Relations between SARA and DAC</w:t>
            </w:r>
          </w:p>
        </w:tc>
        <w:tc>
          <w:tcPr>
            <w:tcW w:w="1520" w:type="dxa"/>
          </w:tcPr>
          <w:p w:rsidR="002C12B9" w:rsidRPr="005E544B" w:rsidRDefault="002C12B9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DAC and SARA</w:t>
            </w:r>
          </w:p>
        </w:tc>
        <w:tc>
          <w:tcPr>
            <w:tcW w:w="7137" w:type="dxa"/>
          </w:tcPr>
          <w:p w:rsidR="002C12B9" w:rsidRPr="002C12B9" w:rsidRDefault="002C12B9" w:rsidP="002B2A73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2C12B9">
              <w:rPr>
                <w:rFonts w:cs="Arial"/>
                <w:b/>
                <w:color w:val="000000" w:themeColor="text1"/>
                <w:sz w:val="22"/>
              </w:rPr>
              <w:t>Ongoing:</w:t>
            </w:r>
          </w:p>
          <w:p w:rsidR="002C12B9" w:rsidRDefault="002C12B9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2C12B9" w:rsidRPr="002C12B9" w:rsidRDefault="002C12B9" w:rsidP="007A2A57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 w:rsidRPr="002C12B9">
              <w:rPr>
                <w:rFonts w:cs="Arial"/>
                <w:color w:val="000000" w:themeColor="text1"/>
                <w:sz w:val="22"/>
              </w:rPr>
              <w:t xml:space="preserve">Relations </w:t>
            </w:r>
            <w:r>
              <w:rPr>
                <w:rFonts w:cs="Arial"/>
                <w:color w:val="000000" w:themeColor="text1"/>
                <w:sz w:val="22"/>
              </w:rPr>
              <w:t xml:space="preserve">between the parties remain strained and the DAC has on two occasions cautioned SARA with regard to its means, methods and tone of communication given the </w:t>
            </w:r>
            <w:r w:rsidR="007A2A57">
              <w:rPr>
                <w:rFonts w:cs="Arial"/>
                <w:color w:val="000000" w:themeColor="text1"/>
                <w:sz w:val="22"/>
              </w:rPr>
              <w:t xml:space="preserve">stipulations in </w:t>
            </w:r>
            <w:r>
              <w:rPr>
                <w:rFonts w:cs="Arial"/>
                <w:color w:val="000000" w:themeColor="text1"/>
                <w:sz w:val="22"/>
              </w:rPr>
              <w:t>the Settlement Agreement.</w:t>
            </w:r>
          </w:p>
        </w:tc>
        <w:tc>
          <w:tcPr>
            <w:tcW w:w="1984" w:type="dxa"/>
          </w:tcPr>
          <w:p w:rsidR="002C12B9" w:rsidRDefault="002C12B9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2C12B9" w:rsidRDefault="002C12B9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  <w:p w:rsidR="002C12B9" w:rsidRDefault="002C12B9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Ongoing</w:t>
            </w:r>
          </w:p>
          <w:p w:rsidR="002C12B9" w:rsidRDefault="002C12B9" w:rsidP="002B2A73">
            <w:pPr>
              <w:spacing w:line="360" w:lineRule="auto"/>
              <w:jc w:val="both"/>
              <w:rPr>
                <w:rFonts w:cs="Arial"/>
                <w:color w:val="000000" w:themeColor="text1"/>
                <w:sz w:val="22"/>
              </w:rPr>
            </w:pPr>
          </w:p>
        </w:tc>
      </w:tr>
    </w:tbl>
    <w:p w:rsidR="003D1E3B" w:rsidRPr="005E544B" w:rsidRDefault="003D1E3B">
      <w:pPr>
        <w:rPr>
          <w:color w:val="000000" w:themeColor="text1"/>
        </w:rPr>
      </w:pPr>
    </w:p>
    <w:sectPr w:rsidR="003D1E3B" w:rsidRPr="005E544B" w:rsidSect="001B003E"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451" w:rsidRDefault="00012451" w:rsidP="008D052D">
      <w:pPr>
        <w:spacing w:after="0" w:line="240" w:lineRule="auto"/>
      </w:pPr>
      <w:r>
        <w:separator/>
      </w:r>
    </w:p>
  </w:endnote>
  <w:endnote w:type="continuationSeparator" w:id="0">
    <w:p w:rsidR="00012451" w:rsidRDefault="00012451" w:rsidP="008D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694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7EE" w:rsidRDefault="00C137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5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7EE" w:rsidRDefault="00C1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451" w:rsidRDefault="00012451" w:rsidP="008D052D">
      <w:pPr>
        <w:spacing w:after="0" w:line="240" w:lineRule="auto"/>
      </w:pPr>
      <w:r>
        <w:separator/>
      </w:r>
    </w:p>
  </w:footnote>
  <w:footnote w:type="continuationSeparator" w:id="0">
    <w:p w:rsidR="00012451" w:rsidRDefault="00012451" w:rsidP="008D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E09"/>
    <w:multiLevelType w:val="hybridMultilevel"/>
    <w:tmpl w:val="9F145AA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B1858"/>
    <w:multiLevelType w:val="hybridMultilevel"/>
    <w:tmpl w:val="5B4015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41F87"/>
    <w:multiLevelType w:val="hybridMultilevel"/>
    <w:tmpl w:val="FF2AA6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B23C7B"/>
    <w:multiLevelType w:val="hybridMultilevel"/>
    <w:tmpl w:val="A7CCDF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C83943"/>
    <w:multiLevelType w:val="hybridMultilevel"/>
    <w:tmpl w:val="F8661A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35567A"/>
    <w:multiLevelType w:val="hybridMultilevel"/>
    <w:tmpl w:val="B3EE67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9456A"/>
    <w:multiLevelType w:val="hybridMultilevel"/>
    <w:tmpl w:val="55C86D6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9B470B"/>
    <w:multiLevelType w:val="hybridMultilevel"/>
    <w:tmpl w:val="A7CA7B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66E93"/>
    <w:multiLevelType w:val="hybridMultilevel"/>
    <w:tmpl w:val="CE3459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504A1"/>
    <w:multiLevelType w:val="hybridMultilevel"/>
    <w:tmpl w:val="B6A422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459A2"/>
    <w:multiLevelType w:val="hybridMultilevel"/>
    <w:tmpl w:val="1D3015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35E81"/>
    <w:multiLevelType w:val="hybridMultilevel"/>
    <w:tmpl w:val="937A46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37"/>
    <w:rsid w:val="00012451"/>
    <w:rsid w:val="000821D2"/>
    <w:rsid w:val="000B42E0"/>
    <w:rsid w:val="000C6015"/>
    <w:rsid w:val="000E476D"/>
    <w:rsid w:val="00147F1E"/>
    <w:rsid w:val="0016250E"/>
    <w:rsid w:val="001B003E"/>
    <w:rsid w:val="001C0E11"/>
    <w:rsid w:val="001C0F85"/>
    <w:rsid w:val="001C105B"/>
    <w:rsid w:val="001D41C6"/>
    <w:rsid w:val="001F199D"/>
    <w:rsid w:val="001F5807"/>
    <w:rsid w:val="001F5E9B"/>
    <w:rsid w:val="0022166A"/>
    <w:rsid w:val="00254326"/>
    <w:rsid w:val="00273832"/>
    <w:rsid w:val="00273C38"/>
    <w:rsid w:val="00277DB3"/>
    <w:rsid w:val="002A0FC3"/>
    <w:rsid w:val="002B2A73"/>
    <w:rsid w:val="002C12B9"/>
    <w:rsid w:val="002D1D54"/>
    <w:rsid w:val="002E282C"/>
    <w:rsid w:val="00301D3A"/>
    <w:rsid w:val="003127D5"/>
    <w:rsid w:val="00334546"/>
    <w:rsid w:val="003572FB"/>
    <w:rsid w:val="00357ECC"/>
    <w:rsid w:val="0039514E"/>
    <w:rsid w:val="003A486C"/>
    <w:rsid w:val="003B2CE3"/>
    <w:rsid w:val="003D1E3B"/>
    <w:rsid w:val="003D2EE9"/>
    <w:rsid w:val="004044D6"/>
    <w:rsid w:val="00441B77"/>
    <w:rsid w:val="00443F23"/>
    <w:rsid w:val="00466F15"/>
    <w:rsid w:val="00482B8D"/>
    <w:rsid w:val="00491035"/>
    <w:rsid w:val="004C66F1"/>
    <w:rsid w:val="004D08B9"/>
    <w:rsid w:val="004F01A2"/>
    <w:rsid w:val="004F1CD4"/>
    <w:rsid w:val="00570BD6"/>
    <w:rsid w:val="005B2CE7"/>
    <w:rsid w:val="005C722D"/>
    <w:rsid w:val="005C7D08"/>
    <w:rsid w:val="005E544B"/>
    <w:rsid w:val="00617338"/>
    <w:rsid w:val="006D5D37"/>
    <w:rsid w:val="006E08F5"/>
    <w:rsid w:val="00703CA4"/>
    <w:rsid w:val="007052DF"/>
    <w:rsid w:val="007269C9"/>
    <w:rsid w:val="00730F2E"/>
    <w:rsid w:val="00783026"/>
    <w:rsid w:val="007A2A57"/>
    <w:rsid w:val="007A57D3"/>
    <w:rsid w:val="007B3195"/>
    <w:rsid w:val="007C3A2C"/>
    <w:rsid w:val="007D07B3"/>
    <w:rsid w:val="008543E6"/>
    <w:rsid w:val="00872602"/>
    <w:rsid w:val="008A5508"/>
    <w:rsid w:val="008D052D"/>
    <w:rsid w:val="008D71E9"/>
    <w:rsid w:val="008D7D6A"/>
    <w:rsid w:val="008E4C87"/>
    <w:rsid w:val="008E6115"/>
    <w:rsid w:val="008F2287"/>
    <w:rsid w:val="008F3791"/>
    <w:rsid w:val="009157AF"/>
    <w:rsid w:val="00922C58"/>
    <w:rsid w:val="009232D6"/>
    <w:rsid w:val="00970329"/>
    <w:rsid w:val="00980BE9"/>
    <w:rsid w:val="00982976"/>
    <w:rsid w:val="00987E85"/>
    <w:rsid w:val="009A38B2"/>
    <w:rsid w:val="009C18D5"/>
    <w:rsid w:val="009D3ABB"/>
    <w:rsid w:val="00A01822"/>
    <w:rsid w:val="00A22919"/>
    <w:rsid w:val="00A310BB"/>
    <w:rsid w:val="00A35049"/>
    <w:rsid w:val="00A61E7C"/>
    <w:rsid w:val="00A970E9"/>
    <w:rsid w:val="00B10EE0"/>
    <w:rsid w:val="00B20525"/>
    <w:rsid w:val="00B77D76"/>
    <w:rsid w:val="00B86AC7"/>
    <w:rsid w:val="00B91431"/>
    <w:rsid w:val="00BF1AA5"/>
    <w:rsid w:val="00C137EE"/>
    <w:rsid w:val="00C37094"/>
    <w:rsid w:val="00C63D73"/>
    <w:rsid w:val="00C95B5D"/>
    <w:rsid w:val="00CA3F79"/>
    <w:rsid w:val="00CD4A6F"/>
    <w:rsid w:val="00CD4BFA"/>
    <w:rsid w:val="00CD6A53"/>
    <w:rsid w:val="00CF0012"/>
    <w:rsid w:val="00D05D6D"/>
    <w:rsid w:val="00D135E7"/>
    <w:rsid w:val="00D374D4"/>
    <w:rsid w:val="00DA664A"/>
    <w:rsid w:val="00DC6666"/>
    <w:rsid w:val="00DD1BCB"/>
    <w:rsid w:val="00DD2D6C"/>
    <w:rsid w:val="00DD7A89"/>
    <w:rsid w:val="00DF065A"/>
    <w:rsid w:val="00DF7836"/>
    <w:rsid w:val="00E14B7B"/>
    <w:rsid w:val="00E6409B"/>
    <w:rsid w:val="00E72F88"/>
    <w:rsid w:val="00EB5ABC"/>
    <w:rsid w:val="00EC5B25"/>
    <w:rsid w:val="00EC620E"/>
    <w:rsid w:val="00ED0C07"/>
    <w:rsid w:val="00ED2DD6"/>
    <w:rsid w:val="00EE0C0A"/>
    <w:rsid w:val="00EF4EAF"/>
    <w:rsid w:val="00F075E1"/>
    <w:rsid w:val="00F2283E"/>
    <w:rsid w:val="00F4384B"/>
    <w:rsid w:val="00F5186B"/>
    <w:rsid w:val="00FA0304"/>
    <w:rsid w:val="00FC5451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D5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D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7D5"/>
    <w:pPr>
      <w:ind w:left="720"/>
      <w:contextualSpacing/>
    </w:pPr>
  </w:style>
  <w:style w:type="table" w:styleId="TableGrid">
    <w:name w:val="Table Grid"/>
    <w:basedOn w:val="TableNormal"/>
    <w:uiPriority w:val="59"/>
    <w:rsid w:val="0031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52D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8D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52D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D5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5D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7D5"/>
    <w:pPr>
      <w:ind w:left="720"/>
      <w:contextualSpacing/>
    </w:pPr>
  </w:style>
  <w:style w:type="table" w:styleId="TableGrid">
    <w:name w:val="Table Grid"/>
    <w:basedOn w:val="TableNormal"/>
    <w:uiPriority w:val="59"/>
    <w:rsid w:val="0031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52D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8D0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52D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Newton</dc:creator>
  <cp:lastModifiedBy>Lordwick Ralebipi</cp:lastModifiedBy>
  <cp:revision>2</cp:revision>
  <dcterms:created xsi:type="dcterms:W3CDTF">2016-08-19T08:04:00Z</dcterms:created>
  <dcterms:modified xsi:type="dcterms:W3CDTF">2016-08-19T08:04:00Z</dcterms:modified>
</cp:coreProperties>
</file>