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A7" w:rsidRPr="006D5CCD" w:rsidRDefault="003B27A7" w:rsidP="00E668AB">
      <w:pPr>
        <w:ind w:left="360"/>
        <w:jc w:val="both"/>
        <w:rPr>
          <w:rFonts w:ascii="Arial Narrow" w:hAnsi="Arial Narrow"/>
        </w:rPr>
      </w:pPr>
      <w:bookmarkStart w:id="0" w:name="_GoBack"/>
      <w:bookmarkEnd w:id="0"/>
      <w:r w:rsidRPr="006D5CCD">
        <w:rPr>
          <w:rFonts w:ascii="Arial Narrow" w:hAnsi="Arial Narrow" w:cs="Arial"/>
          <w:noProof/>
          <w:lang w:val="en-ZA" w:eastAsia="en-ZA"/>
        </w:rPr>
        <w:drawing>
          <wp:anchor distT="0" distB="0" distL="114300" distR="114300" simplePos="0" relativeHeight="251659264" behindDoc="0" locked="0" layoutInCell="1" allowOverlap="1" wp14:anchorId="4CB29282" wp14:editId="79AB6402">
            <wp:simplePos x="0" y="0"/>
            <wp:positionH relativeFrom="page">
              <wp:posOffset>2219325</wp:posOffset>
            </wp:positionH>
            <wp:positionV relativeFrom="paragraph">
              <wp:posOffset>0</wp:posOffset>
            </wp:positionV>
            <wp:extent cx="3533775" cy="1590675"/>
            <wp:effectExtent l="0" t="0" r="9525" b="9525"/>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533775" cy="1590675"/>
                    </a:xfrm>
                    <a:prstGeom prst="rect">
                      <a:avLst/>
                    </a:prstGeom>
                    <a:noFill/>
                  </pic:spPr>
                </pic:pic>
              </a:graphicData>
            </a:graphic>
            <wp14:sizeRelH relativeFrom="margin">
              <wp14:pctWidth>0</wp14:pctWidth>
            </wp14:sizeRelH>
            <wp14:sizeRelV relativeFrom="margin">
              <wp14:pctHeight>0</wp14:pctHeight>
            </wp14:sizeRelV>
          </wp:anchor>
        </w:drawing>
      </w:r>
    </w:p>
    <w:p w:rsidR="000659EB" w:rsidRPr="006D5CCD" w:rsidRDefault="000659EB" w:rsidP="001B44FC">
      <w:pPr>
        <w:ind w:left="360"/>
        <w:jc w:val="both"/>
        <w:rPr>
          <w:rFonts w:ascii="Arial Narrow" w:hAnsi="Arial Narrow"/>
        </w:rPr>
      </w:pPr>
    </w:p>
    <w:p w:rsidR="000659EB" w:rsidRPr="006D5CCD" w:rsidRDefault="00733757" w:rsidP="00C82DC3">
      <w:pPr>
        <w:spacing w:line="360" w:lineRule="auto"/>
        <w:ind w:left="360"/>
        <w:jc w:val="center"/>
        <w:rPr>
          <w:rFonts w:ascii="Arial Narrow" w:hAnsi="Arial Narrow" w:cs="Arial"/>
          <w:b/>
        </w:rPr>
      </w:pPr>
      <w:r w:rsidRPr="006D5CCD">
        <w:rPr>
          <w:rFonts w:ascii="Arial Narrow" w:hAnsi="Arial Narrow" w:cs="Arial"/>
          <w:b/>
        </w:rPr>
        <w:t xml:space="preserve">ECONOMIC DEVELOPMENT, ENVIRONMENT, AGRICULTURE AND RURAL DEVELOPMENT </w:t>
      </w:r>
      <w:r w:rsidR="000659EB" w:rsidRPr="006D5CCD">
        <w:rPr>
          <w:rFonts w:ascii="Arial Narrow" w:hAnsi="Arial Narrow" w:cs="Arial"/>
          <w:b/>
        </w:rPr>
        <w:t>PORTFOLIO COMMITTEE</w:t>
      </w:r>
    </w:p>
    <w:p w:rsidR="00FA78A9" w:rsidRPr="006D5CCD" w:rsidRDefault="00FA78A9" w:rsidP="00C82DC3">
      <w:pPr>
        <w:spacing w:line="360" w:lineRule="auto"/>
        <w:ind w:left="360"/>
        <w:jc w:val="center"/>
        <w:rPr>
          <w:rFonts w:ascii="Arial Narrow" w:hAnsi="Arial Narrow" w:cs="Arial"/>
          <w:b/>
        </w:rPr>
      </w:pPr>
    </w:p>
    <w:p w:rsidR="000659EB" w:rsidRPr="006D5CCD" w:rsidRDefault="00FA78A9" w:rsidP="000F3F59">
      <w:pPr>
        <w:pStyle w:val="Heading3"/>
        <w:spacing w:line="360" w:lineRule="auto"/>
        <w:ind w:left="360"/>
        <w:rPr>
          <w:rFonts w:ascii="Arial Narrow" w:hAnsi="Arial Narrow"/>
          <w:szCs w:val="24"/>
        </w:rPr>
      </w:pPr>
      <w:r w:rsidRPr="006D5CCD">
        <w:rPr>
          <w:rFonts w:ascii="Arial Narrow" w:hAnsi="Arial Narrow"/>
          <w:szCs w:val="24"/>
        </w:rPr>
        <w:t>COMMITTEE REPORT ON THE NEGOTIATING</w:t>
      </w:r>
      <w:r w:rsidR="000659EB" w:rsidRPr="006D5CCD">
        <w:rPr>
          <w:rFonts w:ascii="Arial Narrow" w:hAnsi="Arial Narrow"/>
          <w:szCs w:val="24"/>
        </w:rPr>
        <w:t xml:space="preserve"> MANDATE</w:t>
      </w:r>
    </w:p>
    <w:p w:rsidR="00172FD4" w:rsidRPr="006D5CCD" w:rsidRDefault="006D5CCD" w:rsidP="00FA78A9">
      <w:pPr>
        <w:pStyle w:val="Heading3"/>
        <w:spacing w:line="360" w:lineRule="auto"/>
        <w:ind w:left="360"/>
        <w:rPr>
          <w:rFonts w:ascii="Arial Narrow" w:hAnsi="Arial Narrow" w:cs="Arial"/>
          <w:szCs w:val="24"/>
          <w:lang w:val="en-US"/>
        </w:rPr>
      </w:pPr>
      <w:r>
        <w:rPr>
          <w:rFonts w:ascii="Arial Narrow" w:hAnsi="Arial Narrow" w:cs="Arial"/>
          <w:szCs w:val="24"/>
          <w:lang w:val="en-US"/>
        </w:rPr>
        <w:t>ON</w:t>
      </w:r>
      <w:r w:rsidR="000659EB" w:rsidRPr="006D5CCD">
        <w:rPr>
          <w:rFonts w:ascii="Arial Narrow" w:hAnsi="Arial Narrow" w:cs="Arial"/>
          <w:szCs w:val="24"/>
          <w:lang w:val="en-US"/>
        </w:rPr>
        <w:t xml:space="preserve"> THE:</w:t>
      </w:r>
    </w:p>
    <w:p w:rsidR="00172FD4" w:rsidRPr="006D5CCD" w:rsidRDefault="00733757" w:rsidP="00C82DC3">
      <w:pPr>
        <w:spacing w:line="360" w:lineRule="auto"/>
        <w:jc w:val="center"/>
        <w:rPr>
          <w:rFonts w:ascii="Arial Narrow" w:hAnsi="Arial Narrow"/>
          <w:b/>
          <w:smallCaps/>
        </w:rPr>
      </w:pPr>
      <w:r w:rsidRPr="006D5CCD">
        <w:rPr>
          <w:rFonts w:ascii="Arial Narrow" w:hAnsi="Arial Narrow" w:cs="Arial"/>
          <w:b/>
          <w:lang w:val="en-US"/>
        </w:rPr>
        <w:t xml:space="preserve">EXPROPRIATION BILL </w:t>
      </w:r>
      <w:r w:rsidR="002F27DB" w:rsidRPr="006D5CCD">
        <w:rPr>
          <w:rFonts w:ascii="Arial Narrow" w:hAnsi="Arial Narrow"/>
          <w:b/>
          <w:smallCaps/>
        </w:rPr>
        <w:t>[B</w:t>
      </w:r>
      <w:r w:rsidRPr="006D5CCD">
        <w:rPr>
          <w:rFonts w:ascii="Arial Narrow" w:hAnsi="Arial Narrow"/>
          <w:b/>
          <w:smallCaps/>
        </w:rPr>
        <w:t>4</w:t>
      </w:r>
      <w:r w:rsidR="00B67FD6" w:rsidRPr="006D5CCD">
        <w:rPr>
          <w:rFonts w:ascii="Arial Narrow" w:hAnsi="Arial Narrow"/>
          <w:b/>
          <w:smallCaps/>
        </w:rPr>
        <w:t>B</w:t>
      </w:r>
      <w:r w:rsidR="00DD570C" w:rsidRPr="006D5CCD">
        <w:rPr>
          <w:rFonts w:ascii="Arial Narrow" w:hAnsi="Arial Narrow"/>
          <w:b/>
          <w:smallCaps/>
        </w:rPr>
        <w:t>-2015</w:t>
      </w:r>
      <w:r w:rsidR="002F27DB" w:rsidRPr="006D5CCD">
        <w:rPr>
          <w:rFonts w:ascii="Arial Narrow" w:hAnsi="Arial Narrow"/>
          <w:b/>
          <w:smallCaps/>
        </w:rPr>
        <w:t>]</w:t>
      </w:r>
    </w:p>
    <w:p w:rsidR="000659EB" w:rsidRPr="006D5CCD" w:rsidRDefault="000659EB" w:rsidP="00C82DC3">
      <w:pPr>
        <w:spacing w:line="360" w:lineRule="auto"/>
        <w:jc w:val="both"/>
        <w:rPr>
          <w:rFonts w:ascii="Arial Narrow" w:hAnsi="Arial Narrow" w:cs="Arial"/>
          <w:color w:val="FF0000"/>
        </w:rPr>
      </w:pPr>
    </w:p>
    <w:p w:rsidR="000659EB" w:rsidRPr="006D5CCD" w:rsidRDefault="00DD570C" w:rsidP="00656A44">
      <w:pPr>
        <w:pStyle w:val="BodyText"/>
        <w:rPr>
          <w:rFonts w:ascii="Arial Narrow" w:hAnsi="Arial Narrow" w:cs="Arial"/>
          <w:b/>
          <w:color w:val="000000" w:themeColor="text1"/>
          <w:sz w:val="24"/>
          <w:szCs w:val="24"/>
          <w:lang w:val="en-ZA" w:eastAsia="en-ZA"/>
        </w:rPr>
      </w:pPr>
      <w:r w:rsidRPr="006D5CCD">
        <w:rPr>
          <w:rFonts w:ascii="Arial Narrow" w:hAnsi="Arial Narrow" w:cs="Arial"/>
          <w:color w:val="000000" w:themeColor="text1"/>
          <w:sz w:val="24"/>
          <w:szCs w:val="24"/>
          <w:lang w:val="en-ZA" w:eastAsia="en-ZA"/>
        </w:rPr>
        <w:tab/>
      </w:r>
      <w:r w:rsidRPr="006D5CCD">
        <w:rPr>
          <w:rFonts w:ascii="Arial Narrow" w:hAnsi="Arial Narrow" w:cs="Arial"/>
          <w:color w:val="000000" w:themeColor="text1"/>
          <w:sz w:val="24"/>
          <w:szCs w:val="24"/>
          <w:lang w:val="en-ZA" w:eastAsia="en-ZA"/>
        </w:rPr>
        <w:tab/>
      </w:r>
      <w:r w:rsidRPr="006D5CCD">
        <w:rPr>
          <w:rFonts w:ascii="Arial Narrow" w:hAnsi="Arial Narrow" w:cs="Arial"/>
          <w:color w:val="000000" w:themeColor="text1"/>
          <w:sz w:val="24"/>
          <w:szCs w:val="24"/>
          <w:lang w:val="en-ZA" w:eastAsia="en-ZA"/>
        </w:rPr>
        <w:tab/>
      </w:r>
      <w:r w:rsidRPr="006D5CCD">
        <w:rPr>
          <w:rFonts w:ascii="Arial Narrow" w:hAnsi="Arial Narrow" w:cs="Arial"/>
          <w:color w:val="000000" w:themeColor="text1"/>
          <w:sz w:val="24"/>
          <w:szCs w:val="24"/>
          <w:lang w:val="en-ZA" w:eastAsia="en-ZA"/>
        </w:rPr>
        <w:tab/>
      </w:r>
      <w:r w:rsidRPr="006D5CCD">
        <w:rPr>
          <w:rFonts w:ascii="Arial Narrow" w:hAnsi="Arial Narrow" w:cs="Arial"/>
          <w:color w:val="000000" w:themeColor="text1"/>
          <w:sz w:val="24"/>
          <w:szCs w:val="24"/>
          <w:lang w:val="en-ZA" w:eastAsia="en-ZA"/>
        </w:rPr>
        <w:tab/>
      </w:r>
      <w:r w:rsidRPr="006D5CCD">
        <w:rPr>
          <w:rFonts w:ascii="Arial Narrow" w:hAnsi="Arial Narrow" w:cs="Arial"/>
          <w:color w:val="000000" w:themeColor="text1"/>
          <w:sz w:val="24"/>
          <w:szCs w:val="24"/>
          <w:lang w:val="en-ZA" w:eastAsia="en-ZA"/>
        </w:rPr>
        <w:tab/>
      </w:r>
      <w:r w:rsidRPr="006D5CCD">
        <w:rPr>
          <w:rFonts w:ascii="Arial Narrow" w:hAnsi="Arial Narrow" w:cs="Arial"/>
          <w:color w:val="000000" w:themeColor="text1"/>
          <w:sz w:val="24"/>
          <w:szCs w:val="24"/>
          <w:lang w:val="en-ZA" w:eastAsia="en-ZA"/>
        </w:rPr>
        <w:tab/>
      </w:r>
      <w:r w:rsidRPr="006D5CCD">
        <w:rPr>
          <w:rFonts w:ascii="Arial Narrow" w:hAnsi="Arial Narrow" w:cs="Arial"/>
          <w:color w:val="000000" w:themeColor="text1"/>
          <w:sz w:val="24"/>
          <w:szCs w:val="24"/>
          <w:lang w:val="en-ZA" w:eastAsia="en-ZA"/>
        </w:rPr>
        <w:tab/>
      </w:r>
      <w:r w:rsidRPr="006D5CCD">
        <w:rPr>
          <w:rFonts w:ascii="Arial Narrow" w:hAnsi="Arial Narrow" w:cs="Arial"/>
          <w:color w:val="000000" w:themeColor="text1"/>
          <w:sz w:val="24"/>
          <w:szCs w:val="24"/>
          <w:lang w:val="en-ZA" w:eastAsia="en-ZA"/>
        </w:rPr>
        <w:tab/>
      </w:r>
      <w:r w:rsidRPr="006D5CCD">
        <w:rPr>
          <w:rFonts w:ascii="Arial Narrow" w:hAnsi="Arial Narrow" w:cs="Arial"/>
          <w:color w:val="000000" w:themeColor="text1"/>
          <w:sz w:val="24"/>
          <w:szCs w:val="24"/>
          <w:lang w:val="en-ZA" w:eastAsia="en-ZA"/>
        </w:rPr>
        <w:tab/>
      </w:r>
      <w:r w:rsidR="00D36DFE" w:rsidRPr="006D5CCD">
        <w:rPr>
          <w:rFonts w:ascii="Arial Narrow" w:hAnsi="Arial Narrow" w:cs="Arial"/>
          <w:b/>
          <w:color w:val="000000" w:themeColor="text1"/>
          <w:sz w:val="24"/>
          <w:szCs w:val="24"/>
          <w:lang w:val="en-ZA" w:eastAsia="en-ZA"/>
        </w:rPr>
        <w:t>29</w:t>
      </w:r>
      <w:r w:rsidR="00733757" w:rsidRPr="006D5CCD">
        <w:rPr>
          <w:rFonts w:ascii="Arial Narrow" w:hAnsi="Arial Narrow" w:cs="Arial"/>
          <w:b/>
          <w:color w:val="000000" w:themeColor="text1"/>
          <w:sz w:val="24"/>
          <w:szCs w:val="24"/>
          <w:vertAlign w:val="superscript"/>
          <w:lang w:val="en-ZA" w:eastAsia="en-ZA"/>
        </w:rPr>
        <w:t xml:space="preserve">th </w:t>
      </w:r>
      <w:r w:rsidR="00733757" w:rsidRPr="006D5CCD">
        <w:rPr>
          <w:rFonts w:ascii="Arial Narrow" w:hAnsi="Arial Narrow" w:cs="Arial"/>
          <w:b/>
          <w:color w:val="000000" w:themeColor="text1"/>
          <w:sz w:val="24"/>
          <w:szCs w:val="24"/>
          <w:lang w:val="en-ZA" w:eastAsia="en-ZA"/>
        </w:rPr>
        <w:t>April 2016</w:t>
      </w:r>
    </w:p>
    <w:p w:rsidR="00E77170" w:rsidRPr="006D5CCD" w:rsidRDefault="00E77170" w:rsidP="00C82DC3">
      <w:pPr>
        <w:pStyle w:val="BodyText"/>
        <w:spacing w:line="360" w:lineRule="auto"/>
        <w:rPr>
          <w:rFonts w:ascii="Arial Narrow" w:hAnsi="Arial Narrow" w:cs="Arial"/>
          <w:color w:val="000000" w:themeColor="text1"/>
          <w:sz w:val="24"/>
          <w:szCs w:val="24"/>
          <w:lang w:val="en-ZA" w:eastAsia="en-ZA"/>
        </w:rPr>
      </w:pPr>
    </w:p>
    <w:p w:rsidR="000659EB" w:rsidRPr="006D5CCD" w:rsidRDefault="000659EB" w:rsidP="00B96C05">
      <w:pPr>
        <w:pStyle w:val="BodyText"/>
        <w:numPr>
          <w:ilvl w:val="0"/>
          <w:numId w:val="6"/>
        </w:numPr>
        <w:spacing w:line="360" w:lineRule="auto"/>
        <w:rPr>
          <w:rFonts w:ascii="Arial Narrow" w:hAnsi="Arial Narrow" w:cs="Arial"/>
          <w:b/>
          <w:color w:val="000000" w:themeColor="text1"/>
          <w:sz w:val="24"/>
          <w:szCs w:val="24"/>
        </w:rPr>
      </w:pPr>
      <w:r w:rsidRPr="006D5CCD">
        <w:rPr>
          <w:rFonts w:ascii="Arial Narrow" w:hAnsi="Arial Narrow" w:cs="Arial"/>
          <w:b/>
          <w:color w:val="000000" w:themeColor="text1"/>
          <w:sz w:val="24"/>
          <w:szCs w:val="24"/>
        </w:rPr>
        <w:t>INTRODUCTION</w:t>
      </w:r>
    </w:p>
    <w:p w:rsidR="000659EB" w:rsidRPr="006D5CCD" w:rsidRDefault="000659EB" w:rsidP="00C85EA7">
      <w:pPr>
        <w:spacing w:line="360" w:lineRule="auto"/>
        <w:ind w:left="426"/>
        <w:jc w:val="both"/>
        <w:rPr>
          <w:rFonts w:ascii="Arial Narrow" w:hAnsi="Arial Narrow" w:cs="Arial"/>
        </w:rPr>
      </w:pPr>
      <w:r w:rsidRPr="006D5CCD">
        <w:rPr>
          <w:rFonts w:ascii="Arial Narrow" w:hAnsi="Arial Narrow" w:cs="Arial"/>
        </w:rPr>
        <w:t>The Chairperson of the</w:t>
      </w:r>
      <w:r w:rsidR="00733757" w:rsidRPr="006D5CCD">
        <w:rPr>
          <w:rFonts w:ascii="Arial Narrow" w:hAnsi="Arial Narrow" w:cs="Arial"/>
        </w:rPr>
        <w:t xml:space="preserve"> Economic Development, Environment, Agriculture and Rural Development</w:t>
      </w:r>
      <w:r w:rsidRPr="006D5CCD">
        <w:rPr>
          <w:rFonts w:ascii="Arial Narrow" w:hAnsi="Arial Narrow" w:cs="Arial"/>
        </w:rPr>
        <w:t xml:space="preserve"> Portfolio Committee, </w:t>
      </w:r>
      <w:r w:rsidR="00FD6000" w:rsidRPr="006D5CCD">
        <w:rPr>
          <w:rFonts w:ascii="Arial Narrow" w:hAnsi="Arial Narrow" w:cs="Arial"/>
        </w:rPr>
        <w:t xml:space="preserve">Mr. </w:t>
      </w:r>
      <w:r w:rsidR="00733757" w:rsidRPr="006D5CCD">
        <w:rPr>
          <w:rFonts w:ascii="Arial Narrow" w:hAnsi="Arial Narrow" w:cs="Arial"/>
        </w:rPr>
        <w:t>Errol Magerman</w:t>
      </w:r>
      <w:r w:rsidR="00FA78A9" w:rsidRPr="006D5CCD">
        <w:rPr>
          <w:rFonts w:ascii="Arial Narrow" w:hAnsi="Arial Narrow" w:cs="Arial"/>
        </w:rPr>
        <w:t>, tabled</w:t>
      </w:r>
      <w:r w:rsidRPr="006D5CCD">
        <w:rPr>
          <w:rFonts w:ascii="Arial Narrow" w:hAnsi="Arial Narrow" w:cs="Arial"/>
        </w:rPr>
        <w:t xml:space="preserve"> the Committee’s</w:t>
      </w:r>
      <w:r w:rsidR="003B6C6E" w:rsidRPr="006D5CCD">
        <w:rPr>
          <w:rFonts w:ascii="Arial Narrow" w:hAnsi="Arial Narrow" w:cs="Arial"/>
        </w:rPr>
        <w:t xml:space="preserve"> report on the</w:t>
      </w:r>
      <w:r w:rsidRPr="006D5CCD">
        <w:rPr>
          <w:rFonts w:ascii="Arial Narrow" w:hAnsi="Arial Narrow" w:cs="Arial"/>
        </w:rPr>
        <w:t xml:space="preserve"> Negotiating Mandate on the</w:t>
      </w:r>
      <w:r w:rsidR="00DD570C" w:rsidRPr="006D5CCD">
        <w:rPr>
          <w:rFonts w:ascii="Arial Narrow" w:hAnsi="Arial Narrow" w:cs="Arial"/>
        </w:rPr>
        <w:t xml:space="preserve"> </w:t>
      </w:r>
      <w:r w:rsidR="00733757" w:rsidRPr="006D5CCD">
        <w:rPr>
          <w:rFonts w:ascii="Arial Narrow" w:hAnsi="Arial Narrow" w:cs="Arial"/>
        </w:rPr>
        <w:t xml:space="preserve">Expropriation Bill </w:t>
      </w:r>
      <w:r w:rsidR="00172FD4" w:rsidRPr="006D5CCD">
        <w:rPr>
          <w:rFonts w:ascii="Arial Narrow" w:hAnsi="Arial Narrow" w:cs="Arial"/>
        </w:rPr>
        <w:t>[B</w:t>
      </w:r>
      <w:r w:rsidR="00733757" w:rsidRPr="006D5CCD">
        <w:rPr>
          <w:rFonts w:ascii="Arial Narrow" w:hAnsi="Arial Narrow" w:cs="Arial"/>
        </w:rPr>
        <w:t>4</w:t>
      </w:r>
      <w:r w:rsidR="00B67FD6" w:rsidRPr="006D5CCD">
        <w:rPr>
          <w:rFonts w:ascii="Arial Narrow" w:hAnsi="Arial Narrow" w:cs="Arial"/>
        </w:rPr>
        <w:t>B</w:t>
      </w:r>
      <w:r w:rsidR="00DD570C" w:rsidRPr="006D5CCD">
        <w:rPr>
          <w:rFonts w:ascii="Arial Narrow" w:hAnsi="Arial Narrow" w:cs="Arial"/>
        </w:rPr>
        <w:t>-2015</w:t>
      </w:r>
      <w:r w:rsidR="00172FD4" w:rsidRPr="006D5CCD">
        <w:rPr>
          <w:rFonts w:ascii="Arial Narrow" w:hAnsi="Arial Narrow" w:cs="Arial"/>
        </w:rPr>
        <w:t xml:space="preserve">]. </w:t>
      </w:r>
    </w:p>
    <w:p w:rsidR="00172FD4" w:rsidRPr="006D5CCD" w:rsidRDefault="00172FD4" w:rsidP="000F3F59">
      <w:pPr>
        <w:jc w:val="both"/>
        <w:rPr>
          <w:rFonts w:ascii="Arial Narrow" w:hAnsi="Arial Narrow" w:cs="Arial"/>
          <w:i/>
        </w:rPr>
      </w:pPr>
    </w:p>
    <w:p w:rsidR="000659EB" w:rsidRPr="006D5CCD" w:rsidRDefault="000659EB" w:rsidP="00B96C05">
      <w:pPr>
        <w:pStyle w:val="ListParagraph"/>
        <w:numPr>
          <w:ilvl w:val="0"/>
          <w:numId w:val="6"/>
        </w:numPr>
        <w:spacing w:line="360" w:lineRule="auto"/>
        <w:jc w:val="both"/>
        <w:rPr>
          <w:rFonts w:ascii="Arial Narrow" w:hAnsi="Arial Narrow" w:cs="Arial"/>
          <w:b/>
        </w:rPr>
      </w:pPr>
      <w:r w:rsidRPr="006D5CCD">
        <w:rPr>
          <w:rFonts w:ascii="Arial Narrow" w:hAnsi="Arial Narrow" w:cs="Arial"/>
          <w:b/>
        </w:rPr>
        <w:t>PROCESS FOLLOWED</w:t>
      </w:r>
      <w:r w:rsidRPr="006D5CCD">
        <w:rPr>
          <w:rFonts w:ascii="Arial Narrow" w:hAnsi="Arial Narrow" w:cs="Arial"/>
          <w:b/>
        </w:rPr>
        <w:tab/>
      </w:r>
    </w:p>
    <w:p w:rsidR="003B1A61" w:rsidRPr="006D5CCD" w:rsidRDefault="000659EB" w:rsidP="002C460D">
      <w:pPr>
        <w:spacing w:line="360" w:lineRule="auto"/>
        <w:ind w:left="426"/>
        <w:jc w:val="both"/>
        <w:rPr>
          <w:rFonts w:ascii="Arial Narrow" w:hAnsi="Arial Narrow" w:cs="Arial"/>
          <w:lang w:val="en-ZA"/>
        </w:rPr>
      </w:pPr>
      <w:r w:rsidRPr="006D5CCD">
        <w:rPr>
          <w:rFonts w:ascii="Arial Narrow" w:hAnsi="Arial Narrow" w:cs="Arial"/>
        </w:rPr>
        <w:t xml:space="preserve">The Speaker, on </w:t>
      </w:r>
      <w:r w:rsidR="002E7418" w:rsidRPr="006D5CCD">
        <w:rPr>
          <w:rFonts w:ascii="Arial Narrow" w:hAnsi="Arial Narrow" w:cs="Arial"/>
        </w:rPr>
        <w:t>24</w:t>
      </w:r>
      <w:r w:rsidR="003B6C6E" w:rsidRPr="006D5CCD">
        <w:rPr>
          <w:rFonts w:ascii="Arial Narrow" w:hAnsi="Arial Narrow" w:cs="Arial"/>
          <w:vertAlign w:val="superscript"/>
        </w:rPr>
        <w:t>th</w:t>
      </w:r>
      <w:r w:rsidR="003B6C6E" w:rsidRPr="006D5CCD">
        <w:rPr>
          <w:rFonts w:ascii="Arial Narrow" w:hAnsi="Arial Narrow" w:cs="Arial"/>
        </w:rPr>
        <w:t xml:space="preserve"> </w:t>
      </w:r>
      <w:r w:rsidR="002E7418" w:rsidRPr="006D5CCD">
        <w:rPr>
          <w:rFonts w:ascii="Arial Narrow" w:hAnsi="Arial Narrow" w:cs="Arial"/>
        </w:rPr>
        <w:t>February 2016</w:t>
      </w:r>
      <w:r w:rsidRPr="006D5CCD">
        <w:rPr>
          <w:rFonts w:ascii="Arial Narrow" w:hAnsi="Arial Narrow" w:cs="Arial"/>
        </w:rPr>
        <w:t xml:space="preserve">, formally referred the </w:t>
      </w:r>
      <w:r w:rsidR="002E7418" w:rsidRPr="006D5CCD">
        <w:rPr>
          <w:rFonts w:ascii="Arial Narrow" w:hAnsi="Arial Narrow" w:cs="Arial"/>
        </w:rPr>
        <w:t xml:space="preserve">Expropriation Bill </w:t>
      </w:r>
      <w:r w:rsidR="00DD570C" w:rsidRPr="006D5CCD">
        <w:rPr>
          <w:rFonts w:ascii="Arial Narrow" w:hAnsi="Arial Narrow" w:cs="Arial"/>
        </w:rPr>
        <w:t>[B</w:t>
      </w:r>
      <w:r w:rsidR="002E7418" w:rsidRPr="006D5CCD">
        <w:rPr>
          <w:rFonts w:ascii="Arial Narrow" w:hAnsi="Arial Narrow" w:cs="Arial"/>
        </w:rPr>
        <w:t>4</w:t>
      </w:r>
      <w:r w:rsidR="0072242F" w:rsidRPr="006D5CCD">
        <w:rPr>
          <w:rFonts w:ascii="Arial Narrow" w:hAnsi="Arial Narrow" w:cs="Arial"/>
        </w:rPr>
        <w:t>B</w:t>
      </w:r>
      <w:r w:rsidR="00DD570C" w:rsidRPr="006D5CCD">
        <w:rPr>
          <w:rFonts w:ascii="Arial Narrow" w:hAnsi="Arial Narrow" w:cs="Arial"/>
        </w:rPr>
        <w:t xml:space="preserve">-2015] </w:t>
      </w:r>
      <w:r w:rsidRPr="006D5CCD">
        <w:rPr>
          <w:rFonts w:ascii="Arial Narrow" w:hAnsi="Arial Narrow" w:cs="Arial"/>
        </w:rPr>
        <w:t>Section 76,</w:t>
      </w:r>
      <w:r w:rsidR="00131D20" w:rsidRPr="006D5CCD">
        <w:rPr>
          <w:rFonts w:ascii="Arial Narrow" w:hAnsi="Arial Narrow" w:cs="Arial"/>
        </w:rPr>
        <w:t xml:space="preserve"> </w:t>
      </w:r>
      <w:r w:rsidRPr="006D5CCD">
        <w:rPr>
          <w:rFonts w:ascii="Arial Narrow" w:hAnsi="Arial Narrow" w:cs="Arial"/>
        </w:rPr>
        <w:t xml:space="preserve">to the Portfolio Committee on </w:t>
      </w:r>
      <w:r w:rsidR="002E7418" w:rsidRPr="006D5CCD">
        <w:rPr>
          <w:rFonts w:ascii="Arial Narrow" w:hAnsi="Arial Narrow" w:cs="Arial"/>
        </w:rPr>
        <w:t>Economic Development, Environment, Agriculture and Rural Development</w:t>
      </w:r>
      <w:r w:rsidR="003B6C6E" w:rsidRPr="006D5CCD">
        <w:rPr>
          <w:rFonts w:ascii="Arial Narrow" w:hAnsi="Arial Narrow" w:cs="Arial"/>
        </w:rPr>
        <w:t xml:space="preserve"> referred to as the </w:t>
      </w:r>
      <w:r w:rsidR="00C1668A" w:rsidRPr="006D5CCD">
        <w:rPr>
          <w:rFonts w:ascii="Arial Narrow" w:hAnsi="Arial Narrow" w:cs="Arial"/>
        </w:rPr>
        <w:t>C</w:t>
      </w:r>
      <w:r w:rsidR="007E49E2" w:rsidRPr="006D5CCD">
        <w:rPr>
          <w:rFonts w:ascii="Arial Narrow" w:hAnsi="Arial Narrow" w:cs="Arial"/>
        </w:rPr>
        <w:t>ommittee</w:t>
      </w:r>
      <w:r w:rsidR="003B6C6E" w:rsidRPr="006D5CCD">
        <w:rPr>
          <w:rFonts w:ascii="Arial Narrow" w:hAnsi="Arial Narrow" w:cs="Arial"/>
        </w:rPr>
        <w:t>, for</w:t>
      </w:r>
      <w:r w:rsidRPr="006D5CCD">
        <w:rPr>
          <w:rFonts w:ascii="Arial Narrow" w:hAnsi="Arial Narrow" w:cs="Arial"/>
        </w:rPr>
        <w:t xml:space="preserve"> consideration in terms of</w:t>
      </w:r>
      <w:r w:rsidR="00DD570C" w:rsidRPr="006D5CCD">
        <w:rPr>
          <w:rFonts w:ascii="Arial Narrow" w:hAnsi="Arial Narrow" w:cs="Arial"/>
          <w:lang w:val="en-ZA"/>
        </w:rPr>
        <w:t xml:space="preserve"> Rule 248</w:t>
      </w:r>
      <w:r w:rsidR="003B1A61" w:rsidRPr="006D5CCD">
        <w:rPr>
          <w:rFonts w:ascii="Arial Narrow" w:hAnsi="Arial Narrow" w:cs="Arial"/>
          <w:lang w:val="en-ZA"/>
        </w:rPr>
        <w:t xml:space="preserve"> (1)(a) read with 25</w:t>
      </w:r>
      <w:r w:rsidR="00DD570C" w:rsidRPr="006D5CCD">
        <w:rPr>
          <w:rFonts w:ascii="Arial Narrow" w:hAnsi="Arial Narrow" w:cs="Arial"/>
          <w:lang w:val="en-ZA"/>
        </w:rPr>
        <w:t>0 (1) and 251.</w:t>
      </w:r>
    </w:p>
    <w:p w:rsidR="003B1A61" w:rsidRPr="006D5CCD" w:rsidRDefault="003B1A61" w:rsidP="000F3F59">
      <w:pPr>
        <w:ind w:left="426"/>
        <w:jc w:val="both"/>
        <w:rPr>
          <w:rFonts w:ascii="Arial Narrow" w:hAnsi="Arial Narrow"/>
          <w:lang w:val="en-ZA"/>
        </w:rPr>
      </w:pPr>
    </w:p>
    <w:p w:rsidR="003B27A7" w:rsidRPr="006D5CCD" w:rsidRDefault="00044EB9" w:rsidP="002C460D">
      <w:pPr>
        <w:spacing w:line="360" w:lineRule="auto"/>
        <w:ind w:left="426"/>
        <w:jc w:val="both"/>
        <w:rPr>
          <w:rFonts w:ascii="Arial Narrow" w:hAnsi="Arial Narrow" w:cs="Arial"/>
        </w:rPr>
      </w:pPr>
      <w:r w:rsidRPr="006D5CCD">
        <w:rPr>
          <w:rFonts w:ascii="Arial Narrow" w:hAnsi="Arial Narrow" w:cs="Arial"/>
          <w:lang w:val="en-ZA"/>
        </w:rPr>
        <w:t xml:space="preserve">On </w:t>
      </w:r>
      <w:r w:rsidR="002E7418" w:rsidRPr="006D5CCD">
        <w:rPr>
          <w:rFonts w:ascii="Arial Narrow" w:hAnsi="Arial Narrow" w:cs="Arial"/>
          <w:lang w:val="en-ZA"/>
        </w:rPr>
        <w:t>the 14</w:t>
      </w:r>
      <w:r w:rsidR="002E7418" w:rsidRPr="006D5CCD">
        <w:rPr>
          <w:rFonts w:ascii="Arial Narrow" w:hAnsi="Arial Narrow" w:cs="Arial"/>
          <w:vertAlign w:val="superscript"/>
          <w:lang w:val="en-ZA"/>
        </w:rPr>
        <w:t>th</w:t>
      </w:r>
      <w:r w:rsidR="002E7418" w:rsidRPr="006D5CCD">
        <w:rPr>
          <w:rFonts w:ascii="Arial Narrow" w:hAnsi="Arial Narrow" w:cs="Arial"/>
          <w:lang w:val="en-ZA"/>
        </w:rPr>
        <w:t xml:space="preserve"> March 2016,</w:t>
      </w:r>
      <w:r w:rsidRPr="006D5CCD">
        <w:rPr>
          <w:rFonts w:ascii="Arial Narrow" w:hAnsi="Arial Narrow" w:cs="Arial"/>
          <w:lang w:val="en-ZA"/>
        </w:rPr>
        <w:t xml:space="preserve"> t</w:t>
      </w:r>
      <w:r w:rsidR="003B1A61" w:rsidRPr="006D5CCD">
        <w:rPr>
          <w:rFonts w:ascii="Arial Narrow" w:hAnsi="Arial Narrow" w:cs="Arial"/>
          <w:lang w:val="en-ZA"/>
        </w:rPr>
        <w:t>he Permanent D</w:t>
      </w:r>
      <w:r w:rsidR="000659EB" w:rsidRPr="006D5CCD">
        <w:rPr>
          <w:rFonts w:ascii="Arial Narrow" w:hAnsi="Arial Narrow" w:cs="Arial"/>
          <w:lang w:val="en-ZA"/>
        </w:rPr>
        <w:t>elegate</w:t>
      </w:r>
      <w:r w:rsidR="003B6C6E" w:rsidRPr="006D5CCD">
        <w:rPr>
          <w:rFonts w:ascii="Arial Narrow" w:hAnsi="Arial Narrow" w:cs="Arial"/>
          <w:lang w:val="en-ZA"/>
        </w:rPr>
        <w:t xml:space="preserve"> from the</w:t>
      </w:r>
      <w:r w:rsidR="00131D20" w:rsidRPr="006D5CCD">
        <w:rPr>
          <w:rFonts w:ascii="Arial Narrow" w:hAnsi="Arial Narrow" w:cs="Arial"/>
          <w:lang w:val="en-ZA"/>
        </w:rPr>
        <w:t xml:space="preserve"> </w:t>
      </w:r>
      <w:r w:rsidR="000659EB" w:rsidRPr="006D5CCD">
        <w:rPr>
          <w:rFonts w:ascii="Arial Narrow" w:hAnsi="Arial Narrow" w:cs="Arial"/>
          <w:lang w:val="en-ZA"/>
        </w:rPr>
        <w:t>National Council of Provinces (NCOP)</w:t>
      </w:r>
      <w:r w:rsidR="00131D20" w:rsidRPr="006D5CCD">
        <w:rPr>
          <w:rFonts w:ascii="Arial Narrow" w:hAnsi="Arial Narrow" w:cs="Arial"/>
          <w:lang w:val="en-ZA"/>
        </w:rPr>
        <w:t>,</w:t>
      </w:r>
      <w:r w:rsidR="000659EB" w:rsidRPr="006D5CCD">
        <w:rPr>
          <w:rFonts w:ascii="Arial Narrow" w:hAnsi="Arial Narrow" w:cs="Arial"/>
          <w:lang w:val="en-ZA"/>
        </w:rPr>
        <w:t xml:space="preserve"> Honourable </w:t>
      </w:r>
      <w:r w:rsidR="002E7418" w:rsidRPr="006D5CCD">
        <w:rPr>
          <w:rFonts w:ascii="Arial Narrow" w:hAnsi="Arial Narrow" w:cs="Arial"/>
          <w:lang w:val="en-ZA"/>
        </w:rPr>
        <w:t>M</w:t>
      </w:r>
      <w:r w:rsidR="00104ED8" w:rsidRPr="006D5CCD">
        <w:rPr>
          <w:rFonts w:ascii="Arial Narrow" w:hAnsi="Arial Narrow" w:cs="Arial"/>
          <w:lang w:val="en-ZA"/>
        </w:rPr>
        <w:t xml:space="preserve"> </w:t>
      </w:r>
      <w:r w:rsidR="002E7418" w:rsidRPr="006D5CCD">
        <w:rPr>
          <w:rFonts w:ascii="Arial Narrow" w:hAnsi="Arial Narrow" w:cs="Arial"/>
          <w:lang w:val="en-ZA"/>
        </w:rPr>
        <w:t>E Makue</w:t>
      </w:r>
      <w:r w:rsidR="00104ED8" w:rsidRPr="006D5CCD">
        <w:rPr>
          <w:rFonts w:ascii="Arial Narrow" w:hAnsi="Arial Narrow" w:cs="Arial"/>
          <w:lang w:val="en-ZA"/>
        </w:rPr>
        <w:t xml:space="preserve"> gave a briefing to the Committee on the Bill. This was followed by a presentation by the</w:t>
      </w:r>
      <w:r w:rsidRPr="006D5CCD">
        <w:rPr>
          <w:rFonts w:ascii="Arial Narrow" w:hAnsi="Arial Narrow" w:cs="Arial"/>
          <w:lang w:val="en-ZA"/>
        </w:rPr>
        <w:t xml:space="preserve"> </w:t>
      </w:r>
      <w:r w:rsidR="002E7418" w:rsidRPr="006D5CCD">
        <w:rPr>
          <w:rFonts w:ascii="Arial Narrow" w:hAnsi="Arial Narrow" w:cs="Arial"/>
          <w:lang w:val="en-ZA"/>
        </w:rPr>
        <w:t xml:space="preserve">National </w:t>
      </w:r>
      <w:r w:rsidRPr="006D5CCD">
        <w:rPr>
          <w:rFonts w:ascii="Arial Narrow" w:hAnsi="Arial Narrow" w:cs="Arial"/>
          <w:lang w:val="en-ZA"/>
        </w:rPr>
        <w:t xml:space="preserve">Department of </w:t>
      </w:r>
      <w:r w:rsidR="00104ED8" w:rsidRPr="006D5CCD">
        <w:rPr>
          <w:rFonts w:ascii="Arial Narrow" w:hAnsi="Arial Narrow" w:cs="Arial"/>
          <w:lang w:val="en-ZA"/>
        </w:rPr>
        <w:t>Public Works</w:t>
      </w:r>
      <w:r w:rsidR="00C1668A" w:rsidRPr="006D5CCD">
        <w:rPr>
          <w:rFonts w:ascii="Arial Narrow" w:hAnsi="Arial Narrow" w:cs="Arial"/>
          <w:lang w:val="en-ZA"/>
        </w:rPr>
        <w:t xml:space="preserve"> </w:t>
      </w:r>
      <w:r w:rsidRPr="006D5CCD">
        <w:rPr>
          <w:rFonts w:ascii="Arial Narrow" w:hAnsi="Arial Narrow" w:cs="Arial"/>
          <w:lang w:val="en-ZA"/>
        </w:rPr>
        <w:t xml:space="preserve">on </w:t>
      </w:r>
      <w:r w:rsidR="00C1668A" w:rsidRPr="006D5CCD">
        <w:rPr>
          <w:rFonts w:ascii="Arial Narrow" w:hAnsi="Arial Narrow" w:cs="Arial"/>
          <w:lang w:val="en-ZA"/>
        </w:rPr>
        <w:t>the</w:t>
      </w:r>
      <w:r w:rsidR="00104ED8" w:rsidRPr="006D5CCD">
        <w:rPr>
          <w:rFonts w:ascii="Arial Narrow" w:hAnsi="Arial Narrow" w:cs="Arial"/>
          <w:lang w:val="en-ZA"/>
        </w:rPr>
        <w:t xml:space="preserve"> detail of the</w:t>
      </w:r>
      <w:r w:rsidR="00C1668A" w:rsidRPr="006D5CCD">
        <w:rPr>
          <w:rFonts w:ascii="Arial Narrow" w:hAnsi="Arial Narrow" w:cs="Arial"/>
          <w:lang w:val="en-ZA"/>
        </w:rPr>
        <w:t xml:space="preserve"> </w:t>
      </w:r>
      <w:r w:rsidR="003B27A7" w:rsidRPr="006D5CCD">
        <w:rPr>
          <w:rFonts w:ascii="Arial Narrow" w:hAnsi="Arial Narrow" w:cs="Arial"/>
          <w:lang w:val="en-ZA"/>
        </w:rPr>
        <w:t xml:space="preserve">Expropriation Bill [B4B-2015]. </w:t>
      </w:r>
      <w:r w:rsidR="00104ED8" w:rsidRPr="006D5CCD">
        <w:rPr>
          <w:rFonts w:ascii="Arial Narrow" w:hAnsi="Arial Narrow" w:cs="Arial"/>
          <w:lang w:val="en-ZA"/>
        </w:rPr>
        <w:t xml:space="preserve">Subsequent to that, </w:t>
      </w:r>
      <w:r w:rsidR="002E7418" w:rsidRPr="006D5CCD">
        <w:rPr>
          <w:rFonts w:ascii="Arial Narrow" w:hAnsi="Arial Narrow" w:cs="Arial"/>
          <w:lang w:val="en-ZA"/>
        </w:rPr>
        <w:t>the Gauteng Department of Agriculture and Rural Development</w:t>
      </w:r>
      <w:r w:rsidR="00FA54C0" w:rsidRPr="006D5CCD">
        <w:rPr>
          <w:rFonts w:ascii="Arial Narrow" w:hAnsi="Arial Narrow" w:cs="Arial"/>
          <w:lang w:val="en-ZA"/>
        </w:rPr>
        <w:t xml:space="preserve"> (GDARD) made a presentation </w:t>
      </w:r>
      <w:r w:rsidR="002E7418" w:rsidRPr="006D5CCD">
        <w:rPr>
          <w:rFonts w:ascii="Arial Narrow" w:hAnsi="Arial Narrow" w:cs="Arial"/>
          <w:lang w:val="en-ZA"/>
        </w:rPr>
        <w:t xml:space="preserve">on the </w:t>
      </w:r>
      <w:r w:rsidR="00104ED8" w:rsidRPr="006D5CCD">
        <w:rPr>
          <w:rFonts w:ascii="Arial Narrow" w:hAnsi="Arial Narrow" w:cs="Arial"/>
          <w:lang w:val="en-ZA"/>
        </w:rPr>
        <w:t>views of the Executive</w:t>
      </w:r>
      <w:r w:rsidR="00FA54C0" w:rsidRPr="006D5CCD">
        <w:rPr>
          <w:rFonts w:ascii="Arial Narrow" w:hAnsi="Arial Narrow" w:cs="Arial"/>
          <w:lang w:val="en-ZA"/>
        </w:rPr>
        <w:t xml:space="preserve"> on matters</w:t>
      </w:r>
      <w:r w:rsidR="00104ED8" w:rsidRPr="006D5CCD">
        <w:rPr>
          <w:rFonts w:ascii="Arial Narrow" w:hAnsi="Arial Narrow" w:cs="Arial"/>
          <w:lang w:val="en-ZA"/>
        </w:rPr>
        <w:t xml:space="preserve"> related to</w:t>
      </w:r>
      <w:r w:rsidR="002E7418" w:rsidRPr="006D5CCD">
        <w:rPr>
          <w:rFonts w:ascii="Arial Narrow" w:hAnsi="Arial Narrow" w:cs="Arial"/>
          <w:lang w:val="en-ZA"/>
        </w:rPr>
        <w:t xml:space="preserve"> the </w:t>
      </w:r>
      <w:r w:rsidR="003B27A7" w:rsidRPr="006D5CCD">
        <w:rPr>
          <w:rFonts w:ascii="Arial Narrow" w:hAnsi="Arial Narrow" w:cs="Arial"/>
          <w:lang w:val="en-ZA"/>
        </w:rPr>
        <w:t>Expropriation Bill [B4B-2015]</w:t>
      </w:r>
      <w:r w:rsidR="002E7418" w:rsidRPr="006D5CCD">
        <w:rPr>
          <w:rFonts w:ascii="Arial Narrow" w:hAnsi="Arial Narrow" w:cs="Arial"/>
          <w:lang w:val="en-ZA"/>
        </w:rPr>
        <w:t>.</w:t>
      </w:r>
      <w:r w:rsidR="002E7418" w:rsidRPr="006D5CCD">
        <w:rPr>
          <w:rFonts w:ascii="Arial Narrow" w:hAnsi="Arial Narrow" w:cs="Arial"/>
        </w:rPr>
        <w:t xml:space="preserve"> </w:t>
      </w:r>
    </w:p>
    <w:p w:rsidR="002C460D" w:rsidRPr="006D5CCD" w:rsidRDefault="002C460D" w:rsidP="000F3F59">
      <w:pPr>
        <w:ind w:left="426"/>
        <w:jc w:val="both"/>
        <w:rPr>
          <w:rFonts w:ascii="Arial Narrow" w:hAnsi="Arial Narrow" w:cs="Arial"/>
        </w:rPr>
      </w:pPr>
    </w:p>
    <w:p w:rsidR="000659EB" w:rsidRPr="006D5CCD" w:rsidRDefault="002E7418" w:rsidP="002C460D">
      <w:pPr>
        <w:spacing w:line="360" w:lineRule="auto"/>
        <w:ind w:left="426"/>
        <w:jc w:val="both"/>
        <w:rPr>
          <w:rFonts w:ascii="Arial Narrow" w:hAnsi="Arial Narrow" w:cs="Arial"/>
          <w:lang w:val="en-ZA"/>
        </w:rPr>
      </w:pPr>
      <w:r w:rsidRPr="006D5CCD">
        <w:rPr>
          <w:rFonts w:ascii="Arial Narrow" w:hAnsi="Arial Narrow" w:cs="Arial"/>
        </w:rPr>
        <w:t>In the same meeting,</w:t>
      </w:r>
      <w:r w:rsidR="00FA54C0" w:rsidRPr="006D5CCD">
        <w:rPr>
          <w:rFonts w:ascii="Arial Narrow" w:hAnsi="Arial Narrow" w:cs="Arial"/>
        </w:rPr>
        <w:t xml:space="preserve"> a legal opinion and a research analysis focusing on the socio economic impact of the Bill were presented respectively by the NCOP and Legal Unit as well as the Research Unit from the </w:t>
      </w:r>
      <w:r w:rsidRPr="006D5CCD">
        <w:rPr>
          <w:rFonts w:ascii="Arial Narrow" w:hAnsi="Arial Narrow" w:cs="Arial"/>
          <w:lang w:val="en-ZA"/>
        </w:rPr>
        <w:t>Gauteng Provincial Legislature</w:t>
      </w:r>
      <w:r w:rsidR="00FA54C0" w:rsidRPr="006D5CCD">
        <w:rPr>
          <w:rFonts w:ascii="Arial Narrow" w:hAnsi="Arial Narrow" w:cs="Arial"/>
          <w:lang w:val="en-ZA"/>
        </w:rPr>
        <w:t xml:space="preserve">. </w:t>
      </w:r>
      <w:r w:rsidRPr="006D5CCD">
        <w:rPr>
          <w:rFonts w:ascii="Arial Narrow" w:hAnsi="Arial Narrow" w:cs="Arial"/>
          <w:lang w:val="en-ZA"/>
        </w:rPr>
        <w:t xml:space="preserve">. </w:t>
      </w:r>
      <w:r w:rsidR="00EC06EF" w:rsidRPr="006D5CCD">
        <w:rPr>
          <w:rFonts w:ascii="Arial Narrow" w:hAnsi="Arial Narrow" w:cs="Arial"/>
          <w:lang w:val="en-ZA"/>
        </w:rPr>
        <w:t xml:space="preserve"> </w:t>
      </w:r>
    </w:p>
    <w:p w:rsidR="000659EB" w:rsidRPr="006D5CCD" w:rsidRDefault="000659EB" w:rsidP="000F3F59">
      <w:pPr>
        <w:ind w:left="426"/>
        <w:rPr>
          <w:rFonts w:ascii="Arial Narrow" w:hAnsi="Arial Narrow" w:cs="Arial"/>
          <w:color w:val="FF0000"/>
          <w:lang w:val="en-ZA"/>
        </w:rPr>
      </w:pPr>
    </w:p>
    <w:p w:rsidR="00F911AE" w:rsidRPr="006D5CCD" w:rsidRDefault="00FA54C0" w:rsidP="002C460D">
      <w:pPr>
        <w:spacing w:line="360" w:lineRule="auto"/>
        <w:ind w:left="426"/>
        <w:jc w:val="both"/>
        <w:rPr>
          <w:rFonts w:ascii="Arial Narrow" w:hAnsi="Arial Narrow" w:cs="Arial"/>
          <w:lang w:val="en-ZA"/>
        </w:rPr>
      </w:pPr>
      <w:r w:rsidRPr="006D5CCD">
        <w:rPr>
          <w:rFonts w:ascii="Arial Narrow" w:hAnsi="Arial Narrow" w:cs="Arial"/>
          <w:lang w:val="en-ZA"/>
        </w:rPr>
        <w:t xml:space="preserve">In fulfilling its constitutional mandate the </w:t>
      </w:r>
      <w:r w:rsidR="000659EB" w:rsidRPr="006D5CCD">
        <w:rPr>
          <w:rFonts w:ascii="Arial Narrow" w:hAnsi="Arial Narrow" w:cs="Arial"/>
          <w:lang w:val="en-ZA"/>
        </w:rPr>
        <w:t>Committee</w:t>
      </w:r>
      <w:r w:rsidRPr="006D5CCD">
        <w:rPr>
          <w:rFonts w:ascii="Arial Narrow" w:hAnsi="Arial Narrow" w:cs="Arial"/>
          <w:lang w:val="en-ZA"/>
        </w:rPr>
        <w:t xml:space="preserve"> published adver</w:t>
      </w:r>
      <w:r w:rsidR="00F911AE" w:rsidRPr="006D5CCD">
        <w:rPr>
          <w:rFonts w:ascii="Arial Narrow" w:hAnsi="Arial Narrow" w:cs="Arial"/>
          <w:lang w:val="en-ZA"/>
        </w:rPr>
        <w:t>ts in the following newspapers</w:t>
      </w:r>
      <w:r w:rsidRPr="006D5CCD">
        <w:rPr>
          <w:rFonts w:ascii="Arial Narrow" w:hAnsi="Arial Narrow" w:cs="Arial"/>
          <w:lang w:val="en-ZA"/>
        </w:rPr>
        <w:t>;</w:t>
      </w:r>
      <w:r w:rsidR="00F911AE" w:rsidRPr="006D5CCD">
        <w:rPr>
          <w:rFonts w:ascii="Arial Narrow" w:hAnsi="Arial Narrow" w:cs="Arial"/>
          <w:lang w:val="en-ZA"/>
        </w:rPr>
        <w:t xml:space="preserve"> The Star, Sowetan, Beeld and the </w:t>
      </w:r>
      <w:r w:rsidRPr="006D5CCD">
        <w:rPr>
          <w:rFonts w:ascii="Arial Narrow" w:hAnsi="Arial Narrow" w:cs="Arial"/>
          <w:lang w:val="en-ZA"/>
        </w:rPr>
        <w:t>City Press</w:t>
      </w:r>
      <w:r w:rsidR="00F911AE" w:rsidRPr="006D5CCD">
        <w:rPr>
          <w:rFonts w:ascii="Arial Narrow" w:hAnsi="Arial Narrow" w:cs="Arial"/>
          <w:lang w:val="en-ZA"/>
        </w:rPr>
        <w:t xml:space="preserve"> on the 15</w:t>
      </w:r>
      <w:r w:rsidR="00F911AE" w:rsidRPr="006D5CCD">
        <w:rPr>
          <w:rFonts w:ascii="Arial Narrow" w:hAnsi="Arial Narrow" w:cs="Arial"/>
          <w:vertAlign w:val="superscript"/>
          <w:lang w:val="en-ZA"/>
        </w:rPr>
        <w:t>th</w:t>
      </w:r>
      <w:r w:rsidR="00F911AE" w:rsidRPr="006D5CCD">
        <w:rPr>
          <w:rFonts w:ascii="Arial Narrow" w:hAnsi="Arial Narrow" w:cs="Arial"/>
          <w:lang w:val="en-ZA"/>
        </w:rPr>
        <w:t xml:space="preserve"> and 17</w:t>
      </w:r>
      <w:r w:rsidR="00F911AE" w:rsidRPr="006D5CCD">
        <w:rPr>
          <w:rFonts w:ascii="Arial Narrow" w:hAnsi="Arial Narrow" w:cs="Arial"/>
          <w:vertAlign w:val="superscript"/>
          <w:lang w:val="en-ZA"/>
        </w:rPr>
        <w:t>th</w:t>
      </w:r>
      <w:r w:rsidR="00F911AE" w:rsidRPr="006D5CCD">
        <w:rPr>
          <w:rFonts w:ascii="Arial Narrow" w:hAnsi="Arial Narrow" w:cs="Arial"/>
          <w:lang w:val="en-ZA"/>
        </w:rPr>
        <w:t xml:space="preserve"> April 2016 respectively. This was to enable the Committee to request members of the public and stakeholders to make comments on the Bill. Following that, the Committee convened three public hearings in the</w:t>
      </w:r>
      <w:r w:rsidR="00A56CDD" w:rsidRPr="006D5CCD">
        <w:rPr>
          <w:rFonts w:ascii="Arial Narrow" w:hAnsi="Arial Narrow" w:cs="Arial"/>
          <w:lang w:val="en-ZA"/>
        </w:rPr>
        <w:t xml:space="preserve"> following</w:t>
      </w:r>
      <w:r w:rsidR="00F911AE" w:rsidRPr="006D5CCD">
        <w:rPr>
          <w:rFonts w:ascii="Arial Narrow" w:hAnsi="Arial Narrow" w:cs="Arial"/>
          <w:lang w:val="en-ZA"/>
        </w:rPr>
        <w:t xml:space="preserve"> areas: West Rand Region at the Mogale City Centenary Hall, Tshwane Region at the Atteridgeville Community Centre and lastly in Sedibeng Region at the Vereeniging Civic Centre from the 21</w:t>
      </w:r>
      <w:r w:rsidR="00F911AE" w:rsidRPr="006D5CCD">
        <w:rPr>
          <w:rFonts w:ascii="Arial Narrow" w:hAnsi="Arial Narrow" w:cs="Arial"/>
          <w:vertAlign w:val="superscript"/>
          <w:lang w:val="en-ZA"/>
        </w:rPr>
        <w:t>st</w:t>
      </w:r>
      <w:r w:rsidR="00F911AE" w:rsidRPr="006D5CCD">
        <w:rPr>
          <w:rFonts w:ascii="Arial Narrow" w:hAnsi="Arial Narrow" w:cs="Arial"/>
          <w:lang w:val="en-ZA"/>
        </w:rPr>
        <w:t xml:space="preserve"> to 23</w:t>
      </w:r>
      <w:r w:rsidR="00F911AE" w:rsidRPr="006D5CCD">
        <w:rPr>
          <w:rFonts w:ascii="Arial Narrow" w:hAnsi="Arial Narrow" w:cs="Arial"/>
          <w:vertAlign w:val="superscript"/>
          <w:lang w:val="en-ZA"/>
        </w:rPr>
        <w:t>rd</w:t>
      </w:r>
      <w:r w:rsidR="00F911AE" w:rsidRPr="006D5CCD">
        <w:rPr>
          <w:rFonts w:ascii="Arial Narrow" w:hAnsi="Arial Narrow" w:cs="Arial"/>
          <w:lang w:val="en-ZA"/>
        </w:rPr>
        <w:t xml:space="preserve"> April 2016.     </w:t>
      </w:r>
    </w:p>
    <w:p w:rsidR="000659EB" w:rsidRPr="006D5CCD" w:rsidRDefault="000659EB" w:rsidP="000F3F59">
      <w:pPr>
        <w:ind w:left="426"/>
        <w:jc w:val="both"/>
        <w:rPr>
          <w:rFonts w:ascii="Arial Narrow" w:hAnsi="Arial Narrow" w:cs="Arial"/>
          <w:i/>
        </w:rPr>
      </w:pPr>
    </w:p>
    <w:p w:rsidR="000659EB" w:rsidRPr="006D5CCD" w:rsidRDefault="00C1668A" w:rsidP="002C460D">
      <w:pPr>
        <w:spacing w:line="360" w:lineRule="auto"/>
        <w:ind w:left="426"/>
        <w:jc w:val="both"/>
        <w:rPr>
          <w:rFonts w:ascii="Arial Narrow" w:hAnsi="Arial Narrow" w:cs="Arial"/>
        </w:rPr>
      </w:pPr>
      <w:r w:rsidRPr="006D5CCD">
        <w:rPr>
          <w:rFonts w:ascii="Arial Narrow" w:hAnsi="Arial Narrow" w:cs="Arial"/>
        </w:rPr>
        <w:t>T</w:t>
      </w:r>
      <w:r w:rsidR="000659EB" w:rsidRPr="006D5CCD">
        <w:rPr>
          <w:rFonts w:ascii="Arial Narrow" w:hAnsi="Arial Narrow" w:cs="Arial"/>
        </w:rPr>
        <w:t xml:space="preserve">he Portfolio Committee </w:t>
      </w:r>
      <w:r w:rsidR="00E322F0" w:rsidRPr="006D5CCD">
        <w:rPr>
          <w:rFonts w:ascii="Arial Narrow" w:hAnsi="Arial Narrow" w:cs="Arial"/>
        </w:rPr>
        <w:t>deliberated</w:t>
      </w:r>
      <w:r w:rsidR="000659EB" w:rsidRPr="006D5CCD">
        <w:rPr>
          <w:rFonts w:ascii="Arial Narrow" w:hAnsi="Arial Narrow" w:cs="Arial"/>
        </w:rPr>
        <w:t xml:space="preserve"> and adopted</w:t>
      </w:r>
      <w:r w:rsidR="00131D20" w:rsidRPr="006D5CCD">
        <w:rPr>
          <w:rFonts w:ascii="Arial Narrow" w:hAnsi="Arial Narrow" w:cs="Arial"/>
        </w:rPr>
        <w:t xml:space="preserve"> the</w:t>
      </w:r>
      <w:r w:rsidR="00A56CDD" w:rsidRPr="006D5CCD">
        <w:rPr>
          <w:rFonts w:ascii="Arial Narrow" w:hAnsi="Arial Narrow" w:cs="Arial"/>
        </w:rPr>
        <w:t xml:space="preserve"> draft report on the</w:t>
      </w:r>
      <w:r w:rsidR="00131D20" w:rsidRPr="006D5CCD">
        <w:rPr>
          <w:rFonts w:ascii="Arial Narrow" w:hAnsi="Arial Narrow" w:cs="Arial"/>
        </w:rPr>
        <w:t xml:space="preserve"> Negotiating Mandate</w:t>
      </w:r>
      <w:r w:rsidR="008C1A4A" w:rsidRPr="006D5CCD">
        <w:rPr>
          <w:rFonts w:ascii="Arial Narrow" w:hAnsi="Arial Narrow" w:cs="Arial"/>
        </w:rPr>
        <w:t xml:space="preserve"> of the </w:t>
      </w:r>
      <w:r w:rsidR="00E55D6E" w:rsidRPr="006D5CCD">
        <w:rPr>
          <w:rFonts w:ascii="Arial Narrow" w:hAnsi="Arial Narrow" w:cs="Arial"/>
        </w:rPr>
        <w:t xml:space="preserve">Expropriation </w:t>
      </w:r>
      <w:r w:rsidR="008C1A4A" w:rsidRPr="006D5CCD">
        <w:rPr>
          <w:rFonts w:ascii="Arial Narrow" w:hAnsi="Arial Narrow" w:cs="Arial"/>
        </w:rPr>
        <w:t>Bill</w:t>
      </w:r>
      <w:r w:rsidR="00E55D6E" w:rsidRPr="006D5CCD">
        <w:rPr>
          <w:rFonts w:ascii="Arial Narrow" w:hAnsi="Arial Narrow" w:cs="Arial"/>
        </w:rPr>
        <w:t xml:space="preserve"> [B4</w:t>
      </w:r>
      <w:r w:rsidR="00B67FD6" w:rsidRPr="006D5CCD">
        <w:rPr>
          <w:rFonts w:ascii="Arial Narrow" w:hAnsi="Arial Narrow" w:cs="Arial"/>
        </w:rPr>
        <w:t>B-2015]</w:t>
      </w:r>
      <w:r w:rsidR="00044EB9" w:rsidRPr="006D5CCD">
        <w:rPr>
          <w:rFonts w:ascii="Arial Narrow" w:hAnsi="Arial Narrow" w:cs="Arial"/>
        </w:rPr>
        <w:t xml:space="preserve"> </w:t>
      </w:r>
      <w:r w:rsidR="00A56CDD" w:rsidRPr="006D5CCD">
        <w:rPr>
          <w:rFonts w:ascii="Arial Narrow" w:hAnsi="Arial Narrow" w:cs="Arial"/>
        </w:rPr>
        <w:t>in a meeting that convened on</w:t>
      </w:r>
      <w:r w:rsidR="00044EB9" w:rsidRPr="006D5CCD">
        <w:rPr>
          <w:rFonts w:ascii="Arial Narrow" w:hAnsi="Arial Narrow" w:cs="Arial"/>
        </w:rPr>
        <w:t xml:space="preserve"> </w:t>
      </w:r>
      <w:r w:rsidR="00E55D6E" w:rsidRPr="006D5CCD">
        <w:rPr>
          <w:rFonts w:ascii="Arial Narrow" w:hAnsi="Arial Narrow" w:cs="Arial"/>
        </w:rPr>
        <w:t>Friday</w:t>
      </w:r>
      <w:r w:rsidR="00B67FD6" w:rsidRPr="006D5CCD">
        <w:rPr>
          <w:rFonts w:ascii="Arial Narrow" w:hAnsi="Arial Narrow" w:cs="Arial"/>
        </w:rPr>
        <w:t xml:space="preserve">, </w:t>
      </w:r>
      <w:r w:rsidR="00E55D6E" w:rsidRPr="006D5CCD">
        <w:rPr>
          <w:rFonts w:ascii="Arial Narrow" w:hAnsi="Arial Narrow" w:cs="Arial"/>
        </w:rPr>
        <w:t>29</w:t>
      </w:r>
      <w:r w:rsidR="00E55D6E" w:rsidRPr="006D5CCD">
        <w:rPr>
          <w:rFonts w:ascii="Arial Narrow" w:hAnsi="Arial Narrow" w:cs="Arial"/>
          <w:vertAlign w:val="superscript"/>
        </w:rPr>
        <w:t>th</w:t>
      </w:r>
      <w:r w:rsidR="00E55D6E" w:rsidRPr="006D5CCD">
        <w:rPr>
          <w:rFonts w:ascii="Arial Narrow" w:hAnsi="Arial Narrow" w:cs="Arial"/>
        </w:rPr>
        <w:t xml:space="preserve"> April 2016</w:t>
      </w:r>
      <w:r w:rsidR="00044EB9" w:rsidRPr="006D5CCD">
        <w:rPr>
          <w:rFonts w:ascii="Arial Narrow" w:hAnsi="Arial Narrow" w:cs="Arial"/>
        </w:rPr>
        <w:t xml:space="preserve">. </w:t>
      </w:r>
    </w:p>
    <w:p w:rsidR="00E95E96" w:rsidRPr="006D5CCD" w:rsidRDefault="00E95E96" w:rsidP="000F3F59">
      <w:pPr>
        <w:jc w:val="both"/>
        <w:rPr>
          <w:rFonts w:ascii="Arial Narrow" w:hAnsi="Arial Narrow" w:cs="Arial"/>
        </w:rPr>
      </w:pPr>
    </w:p>
    <w:p w:rsidR="008C780E" w:rsidRPr="006D5CCD" w:rsidRDefault="000659EB" w:rsidP="00B96C05">
      <w:pPr>
        <w:pStyle w:val="ListParagraph"/>
        <w:numPr>
          <w:ilvl w:val="0"/>
          <w:numId w:val="6"/>
        </w:numPr>
        <w:spacing w:line="360" w:lineRule="auto"/>
        <w:jc w:val="both"/>
        <w:rPr>
          <w:rFonts w:ascii="Arial Narrow" w:hAnsi="Arial Narrow" w:cs="Arial"/>
          <w:b/>
        </w:rPr>
      </w:pPr>
      <w:r w:rsidRPr="006D5CCD">
        <w:rPr>
          <w:rFonts w:ascii="Arial Narrow" w:hAnsi="Arial Narrow" w:cs="Arial"/>
          <w:b/>
        </w:rPr>
        <w:t>PRINCIPLE</w:t>
      </w:r>
      <w:r w:rsidR="00C1668A" w:rsidRPr="006D5CCD">
        <w:rPr>
          <w:rFonts w:ascii="Arial Narrow" w:hAnsi="Arial Narrow" w:cs="Arial"/>
          <w:b/>
        </w:rPr>
        <w:t>S</w:t>
      </w:r>
      <w:r w:rsidRPr="006D5CCD">
        <w:rPr>
          <w:rFonts w:ascii="Arial Narrow" w:hAnsi="Arial Narrow" w:cs="Arial"/>
          <w:b/>
        </w:rPr>
        <w:t xml:space="preserve"> AND DETAIL</w:t>
      </w:r>
      <w:r w:rsidR="00C1668A" w:rsidRPr="006D5CCD">
        <w:rPr>
          <w:rFonts w:ascii="Arial Narrow" w:hAnsi="Arial Narrow" w:cs="Arial"/>
          <w:b/>
        </w:rPr>
        <w:t>S OF THE BILL</w:t>
      </w:r>
      <w:r w:rsidR="00E55D6E" w:rsidRPr="006D5CCD">
        <w:rPr>
          <w:rFonts w:ascii="Arial Narrow" w:hAnsi="Arial Narrow" w:cs="Arial"/>
          <w:b/>
        </w:rPr>
        <w:t xml:space="preserve"> </w:t>
      </w:r>
    </w:p>
    <w:p w:rsidR="001431DA" w:rsidRPr="006D5CCD" w:rsidRDefault="002C460D" w:rsidP="00C85EA7">
      <w:pPr>
        <w:spacing w:line="360" w:lineRule="auto"/>
        <w:ind w:left="426"/>
        <w:jc w:val="both"/>
        <w:rPr>
          <w:rFonts w:ascii="Arial Narrow" w:hAnsi="Arial Narrow" w:cs="Arial"/>
        </w:rPr>
      </w:pPr>
      <w:r w:rsidRPr="006D5CCD">
        <w:rPr>
          <w:rFonts w:ascii="Arial Narrow" w:hAnsi="Arial Narrow" w:cs="Arial"/>
          <w:bCs/>
          <w:lang w:val="en-ZA"/>
        </w:rPr>
        <w:t xml:space="preserve">The principle of the Bill is to </w:t>
      </w:r>
      <w:r w:rsidR="00E55D6E" w:rsidRPr="006D5CCD">
        <w:rPr>
          <w:rFonts w:ascii="Arial Narrow" w:hAnsi="Arial Narrow" w:cs="Arial"/>
          <w:bCs/>
          <w:lang w:val="en-ZA"/>
        </w:rPr>
        <w:t>provide for the</w:t>
      </w:r>
      <w:r w:rsidR="00A56CDD" w:rsidRPr="006D5CCD">
        <w:rPr>
          <w:rFonts w:ascii="Arial Narrow" w:hAnsi="Arial Narrow" w:cs="Arial"/>
          <w:bCs/>
          <w:lang w:val="en-ZA"/>
        </w:rPr>
        <w:t xml:space="preserve"> expropriation of property for</w:t>
      </w:r>
      <w:r w:rsidR="00E55D6E" w:rsidRPr="006D5CCD">
        <w:rPr>
          <w:rFonts w:ascii="Arial Narrow" w:hAnsi="Arial Narrow" w:cs="Arial"/>
          <w:bCs/>
          <w:lang w:val="en-ZA"/>
        </w:rPr>
        <w:t xml:space="preserve"> public purpose or in the interest</w:t>
      </w:r>
      <w:r w:rsidR="00A56CDD" w:rsidRPr="006D5CCD">
        <w:rPr>
          <w:rFonts w:ascii="Arial Narrow" w:hAnsi="Arial Narrow" w:cs="Arial"/>
          <w:bCs/>
          <w:lang w:val="en-ZA"/>
        </w:rPr>
        <w:t xml:space="preserve"> of the public</w:t>
      </w:r>
      <w:r w:rsidR="00E55D6E" w:rsidRPr="006D5CCD">
        <w:rPr>
          <w:rFonts w:ascii="Arial Narrow" w:hAnsi="Arial Narrow" w:cs="Arial"/>
          <w:bCs/>
          <w:lang w:val="en-ZA"/>
        </w:rPr>
        <w:t xml:space="preserve"> and to</w:t>
      </w:r>
      <w:r w:rsidR="00A56CDD" w:rsidRPr="006D5CCD">
        <w:rPr>
          <w:rFonts w:ascii="Arial Narrow" w:hAnsi="Arial Narrow" w:cs="Arial"/>
          <w:bCs/>
          <w:lang w:val="en-ZA"/>
        </w:rPr>
        <w:t xml:space="preserve"> also</w:t>
      </w:r>
      <w:r w:rsidR="00E55D6E" w:rsidRPr="006D5CCD">
        <w:rPr>
          <w:rFonts w:ascii="Arial Narrow" w:hAnsi="Arial Narrow" w:cs="Arial"/>
          <w:bCs/>
          <w:lang w:val="en-ZA"/>
        </w:rPr>
        <w:t xml:space="preserve"> provide for matters connected therewith.</w:t>
      </w:r>
    </w:p>
    <w:p w:rsidR="00883E19" w:rsidRPr="006D5CCD" w:rsidRDefault="00883E19" w:rsidP="000F3F59">
      <w:pPr>
        <w:ind w:left="360"/>
        <w:jc w:val="both"/>
        <w:rPr>
          <w:rFonts w:ascii="Arial Narrow" w:hAnsi="Arial Narrow" w:cs="Arial"/>
          <w:color w:val="000000" w:themeColor="text1"/>
        </w:rPr>
      </w:pPr>
    </w:p>
    <w:p w:rsidR="000659EB" w:rsidRPr="006D5CCD" w:rsidRDefault="001431DA" w:rsidP="000F3F59">
      <w:pPr>
        <w:pStyle w:val="ListParagraph"/>
        <w:numPr>
          <w:ilvl w:val="0"/>
          <w:numId w:val="6"/>
        </w:numPr>
        <w:spacing w:line="360" w:lineRule="auto"/>
        <w:jc w:val="both"/>
        <w:rPr>
          <w:rFonts w:ascii="Arial Narrow" w:hAnsi="Arial Narrow" w:cs="Arial"/>
          <w:color w:val="000000" w:themeColor="text1"/>
        </w:rPr>
      </w:pPr>
      <w:r w:rsidRPr="006D5CCD">
        <w:rPr>
          <w:rFonts w:ascii="Arial Narrow" w:hAnsi="Arial Narrow" w:cs="Arial"/>
          <w:b/>
          <w:color w:val="000000" w:themeColor="text1"/>
        </w:rPr>
        <w:t>OBJECTIVES OF THE BILL</w:t>
      </w:r>
    </w:p>
    <w:p w:rsidR="0087341C" w:rsidRPr="006D5CCD" w:rsidRDefault="00892125" w:rsidP="000F3F59">
      <w:pPr>
        <w:pStyle w:val="ListParagraph"/>
        <w:spacing w:line="360" w:lineRule="auto"/>
        <w:ind w:left="426"/>
        <w:jc w:val="both"/>
        <w:rPr>
          <w:rFonts w:ascii="Arial Narrow" w:hAnsi="Arial Narrow" w:cs="Arial"/>
        </w:rPr>
      </w:pPr>
      <w:r w:rsidRPr="006D5CCD">
        <w:rPr>
          <w:rFonts w:ascii="Arial Narrow" w:hAnsi="Arial Narrow" w:cs="Arial"/>
          <w:lang w:val="en-ZA"/>
        </w:rPr>
        <w:t>The Bill seeks to align the Expropriation Act of 1975 with the Constitution and to provide a common framework to guide the processes and procedures for expropriation of property by organs of state.</w:t>
      </w:r>
    </w:p>
    <w:p w:rsidR="009A5D41" w:rsidRPr="006D5CCD" w:rsidRDefault="009A5D41" w:rsidP="000F3F59">
      <w:pPr>
        <w:jc w:val="both"/>
        <w:rPr>
          <w:rFonts w:ascii="Arial Narrow" w:hAnsi="Arial Narrow" w:cs="Arial"/>
        </w:rPr>
      </w:pPr>
    </w:p>
    <w:p w:rsidR="0087341C" w:rsidRPr="006D5CCD" w:rsidRDefault="009157E0" w:rsidP="009157E0">
      <w:pPr>
        <w:pStyle w:val="BodyTextIndent2"/>
        <w:spacing w:line="360" w:lineRule="auto"/>
        <w:ind w:left="709" w:hanging="349"/>
        <w:rPr>
          <w:rFonts w:ascii="Arial Narrow" w:hAnsi="Arial Narrow" w:cs="Arial"/>
          <w:color w:val="000000" w:themeColor="text1"/>
        </w:rPr>
      </w:pPr>
      <w:r w:rsidRPr="006D5CCD">
        <w:rPr>
          <w:rFonts w:ascii="Arial Narrow" w:hAnsi="Arial Narrow" w:cs="Arial"/>
          <w:b/>
          <w:color w:val="000000" w:themeColor="text1"/>
        </w:rPr>
        <w:t xml:space="preserve">5.   </w:t>
      </w:r>
      <w:r w:rsidR="0087341C" w:rsidRPr="006D5CCD">
        <w:rPr>
          <w:rFonts w:ascii="Arial Narrow" w:hAnsi="Arial Narrow" w:cs="Arial"/>
          <w:b/>
          <w:color w:val="000000" w:themeColor="text1"/>
        </w:rPr>
        <w:t>OVERVIEW OF THE PUBLIC HEARING</w:t>
      </w:r>
      <w:r w:rsidR="00A56CDD" w:rsidRPr="006D5CCD">
        <w:rPr>
          <w:rFonts w:ascii="Arial Narrow" w:hAnsi="Arial Narrow" w:cs="Arial"/>
          <w:b/>
          <w:color w:val="000000" w:themeColor="text1"/>
        </w:rPr>
        <w:t>S</w:t>
      </w:r>
      <w:r w:rsidR="0087341C" w:rsidRPr="006D5CCD">
        <w:rPr>
          <w:rFonts w:ascii="Arial Narrow" w:hAnsi="Arial Narrow" w:cs="Arial"/>
          <w:b/>
          <w:color w:val="000000" w:themeColor="text1"/>
        </w:rPr>
        <w:t xml:space="preserve"> </w:t>
      </w:r>
    </w:p>
    <w:p w:rsidR="0087341C" w:rsidRPr="006D5CCD" w:rsidRDefault="00A56CDD" w:rsidP="00C85EA7">
      <w:pPr>
        <w:pStyle w:val="BodyTextIndent2"/>
        <w:spacing w:after="0" w:line="360" w:lineRule="auto"/>
        <w:ind w:left="426"/>
        <w:jc w:val="both"/>
        <w:rPr>
          <w:rFonts w:ascii="Arial Narrow" w:hAnsi="Arial Narrow" w:cs="Arial"/>
        </w:rPr>
      </w:pPr>
      <w:r w:rsidRPr="006D5CCD">
        <w:rPr>
          <w:rFonts w:ascii="Arial Narrow" w:hAnsi="Arial Narrow" w:cs="Arial"/>
        </w:rPr>
        <w:t>P</w:t>
      </w:r>
      <w:r w:rsidR="0087341C" w:rsidRPr="006D5CCD">
        <w:rPr>
          <w:rFonts w:ascii="Arial Narrow" w:hAnsi="Arial Narrow" w:cs="Arial"/>
        </w:rPr>
        <w:t>ublic hearing</w:t>
      </w:r>
      <w:r w:rsidRPr="006D5CCD">
        <w:rPr>
          <w:rFonts w:ascii="Arial Narrow" w:hAnsi="Arial Narrow" w:cs="Arial"/>
        </w:rPr>
        <w:t>s were attended by stakeholder</w:t>
      </w:r>
      <w:r w:rsidR="00E70844" w:rsidRPr="006D5CCD">
        <w:rPr>
          <w:rFonts w:ascii="Arial Narrow" w:hAnsi="Arial Narrow" w:cs="Arial"/>
        </w:rPr>
        <w:t>s</w:t>
      </w:r>
      <w:r w:rsidRPr="006D5CCD">
        <w:rPr>
          <w:rFonts w:ascii="Arial Narrow" w:hAnsi="Arial Narrow" w:cs="Arial"/>
        </w:rPr>
        <w:t xml:space="preserve"> and members of the public</w:t>
      </w:r>
      <w:r w:rsidR="00E70844" w:rsidRPr="006D5CCD">
        <w:rPr>
          <w:rFonts w:ascii="Arial Narrow" w:hAnsi="Arial Narrow" w:cs="Arial"/>
        </w:rPr>
        <w:t xml:space="preserve"> who engaged on all matters related to the Bill. Various sentiments were echoed by all who attended and a summary of all inputs are highlighted below.  </w:t>
      </w:r>
    </w:p>
    <w:p w:rsidR="006D5CCD" w:rsidRPr="006D5CCD" w:rsidRDefault="006D5CCD" w:rsidP="000F3F59">
      <w:pPr>
        <w:pStyle w:val="BodyTextIndent2"/>
        <w:spacing w:after="0" w:line="240" w:lineRule="auto"/>
        <w:ind w:left="709"/>
        <w:rPr>
          <w:rFonts w:ascii="Arial Narrow" w:hAnsi="Arial Narrow" w:cs="Arial"/>
          <w:b/>
          <w:color w:val="000000" w:themeColor="text1"/>
          <w:highlight w:val="yellow"/>
        </w:rPr>
      </w:pPr>
    </w:p>
    <w:p w:rsidR="0087341C" w:rsidRPr="006D5CCD" w:rsidRDefault="00623F06" w:rsidP="00623F06">
      <w:pPr>
        <w:pStyle w:val="BodyTextIndent2"/>
        <w:spacing w:after="0" w:line="360" w:lineRule="auto"/>
        <w:ind w:left="709" w:hanging="349"/>
        <w:rPr>
          <w:rFonts w:ascii="Arial Narrow" w:hAnsi="Arial Narrow" w:cs="Arial"/>
          <w:b/>
          <w:color w:val="000000" w:themeColor="text1"/>
        </w:rPr>
      </w:pPr>
      <w:r w:rsidRPr="006D5CCD">
        <w:rPr>
          <w:rFonts w:ascii="Arial Narrow" w:hAnsi="Arial Narrow" w:cs="Arial"/>
          <w:b/>
          <w:color w:val="000000" w:themeColor="text1"/>
        </w:rPr>
        <w:t>6.  SUMMARY</w:t>
      </w:r>
      <w:r w:rsidR="003B1A61" w:rsidRPr="006D5CCD">
        <w:rPr>
          <w:rFonts w:ascii="Arial Narrow" w:hAnsi="Arial Narrow" w:cs="Arial"/>
          <w:b/>
          <w:color w:val="000000" w:themeColor="text1"/>
        </w:rPr>
        <w:t xml:space="preserve"> OF STAKEHOLDERS </w:t>
      </w:r>
      <w:r w:rsidR="001431DA" w:rsidRPr="006D5CCD">
        <w:rPr>
          <w:rFonts w:ascii="Arial Narrow" w:hAnsi="Arial Narrow" w:cs="Arial"/>
          <w:b/>
          <w:color w:val="000000" w:themeColor="text1"/>
        </w:rPr>
        <w:t xml:space="preserve">SUBMISSIONS MADE DURING THE PUBLIC HEARING </w:t>
      </w:r>
    </w:p>
    <w:p w:rsidR="001C164A" w:rsidRPr="006D5CCD" w:rsidRDefault="001C164A" w:rsidP="001C164A">
      <w:pPr>
        <w:pStyle w:val="ListParagraph"/>
        <w:spacing w:line="360" w:lineRule="auto"/>
        <w:ind w:left="426"/>
        <w:jc w:val="both"/>
        <w:rPr>
          <w:rFonts w:ascii="Arial Narrow" w:hAnsi="Arial Narrow" w:cs="Arial"/>
        </w:rPr>
      </w:pPr>
      <w:r w:rsidRPr="006D5CCD">
        <w:rPr>
          <w:rFonts w:ascii="Arial Narrow" w:hAnsi="Arial Narrow" w:cs="Arial"/>
        </w:rPr>
        <w:t>As part of its functions and obligation</w:t>
      </w:r>
      <w:r w:rsidR="00E70844" w:rsidRPr="006D5CCD">
        <w:rPr>
          <w:rFonts w:ascii="Arial Narrow" w:hAnsi="Arial Narrow" w:cs="Arial"/>
        </w:rPr>
        <w:t xml:space="preserve"> in line with the Constitution</w:t>
      </w:r>
      <w:r w:rsidRPr="006D5CCD">
        <w:rPr>
          <w:rFonts w:ascii="Arial Narrow" w:hAnsi="Arial Narrow" w:cs="Arial"/>
        </w:rPr>
        <w:t>, the Committee held public hearing</w:t>
      </w:r>
      <w:r w:rsidR="00E70844" w:rsidRPr="006D5CCD">
        <w:rPr>
          <w:rFonts w:ascii="Arial Narrow" w:hAnsi="Arial Narrow" w:cs="Arial"/>
        </w:rPr>
        <w:t xml:space="preserve">s where written and </w:t>
      </w:r>
      <w:r w:rsidR="002F3967" w:rsidRPr="006D5CCD">
        <w:rPr>
          <w:rFonts w:ascii="Arial Narrow" w:hAnsi="Arial Narrow" w:cs="Arial"/>
        </w:rPr>
        <w:t>oral submissions were</w:t>
      </w:r>
      <w:r w:rsidR="00E70844" w:rsidRPr="006D5CCD">
        <w:rPr>
          <w:rFonts w:ascii="Arial Narrow" w:hAnsi="Arial Narrow" w:cs="Arial"/>
        </w:rPr>
        <w:t xml:space="preserve"> made for possible consideration. </w:t>
      </w:r>
      <w:r w:rsidRPr="006D5CCD">
        <w:rPr>
          <w:rFonts w:ascii="Arial Narrow" w:hAnsi="Arial Narrow" w:cs="Arial"/>
        </w:rPr>
        <w:t xml:space="preserve">The </w:t>
      </w:r>
      <w:r w:rsidR="002F3967" w:rsidRPr="006D5CCD">
        <w:rPr>
          <w:rFonts w:ascii="Arial Narrow" w:hAnsi="Arial Narrow" w:cs="Arial"/>
        </w:rPr>
        <w:t xml:space="preserve">Committee received written </w:t>
      </w:r>
      <w:r w:rsidRPr="006D5CCD">
        <w:rPr>
          <w:rFonts w:ascii="Arial Narrow" w:hAnsi="Arial Narrow" w:cs="Arial"/>
        </w:rPr>
        <w:t>submissions from the South African Institute for Race Relations, Vodacom Propriety Limited, Ce</w:t>
      </w:r>
      <w:r w:rsidR="002F3967" w:rsidRPr="006D5CCD">
        <w:rPr>
          <w:rFonts w:ascii="Arial Narrow" w:hAnsi="Arial Narrow" w:cs="Arial"/>
        </w:rPr>
        <w:t>ntre for Constit</w:t>
      </w:r>
      <w:r w:rsidR="00E70844" w:rsidRPr="006D5CCD">
        <w:rPr>
          <w:rFonts w:ascii="Arial Narrow" w:hAnsi="Arial Narrow" w:cs="Arial"/>
        </w:rPr>
        <w:t>utional Rights and Dr Rapheso a</w:t>
      </w:r>
      <w:r w:rsidR="002F3967" w:rsidRPr="006D5CCD">
        <w:rPr>
          <w:rFonts w:ascii="Arial Narrow" w:hAnsi="Arial Narrow" w:cs="Arial"/>
        </w:rPr>
        <w:t xml:space="preserve"> r</w:t>
      </w:r>
      <w:r w:rsidR="00E70844" w:rsidRPr="006D5CCD">
        <w:rPr>
          <w:rFonts w:ascii="Arial Narrow" w:hAnsi="Arial Narrow" w:cs="Arial"/>
        </w:rPr>
        <w:t xml:space="preserve">epresentative for Black Farmers Association. </w:t>
      </w:r>
      <w:r w:rsidR="002F3967" w:rsidRPr="006D5CCD">
        <w:rPr>
          <w:rFonts w:ascii="Arial Narrow" w:hAnsi="Arial Narrow" w:cs="Arial"/>
        </w:rPr>
        <w:t xml:space="preserve"> </w:t>
      </w:r>
    </w:p>
    <w:p w:rsidR="006D5CCD" w:rsidRDefault="006D5CCD" w:rsidP="000F3F59">
      <w:pPr>
        <w:pStyle w:val="Default"/>
        <w:ind w:left="426"/>
        <w:jc w:val="both"/>
        <w:rPr>
          <w:rFonts w:ascii="Arial Narrow" w:hAnsi="Arial Narrow"/>
        </w:rPr>
      </w:pPr>
    </w:p>
    <w:p w:rsidR="00E70844" w:rsidRPr="006D5CCD" w:rsidRDefault="002F3967" w:rsidP="001C164A">
      <w:pPr>
        <w:pStyle w:val="Default"/>
        <w:spacing w:line="360" w:lineRule="auto"/>
        <w:ind w:left="426"/>
        <w:jc w:val="both"/>
        <w:rPr>
          <w:rFonts w:ascii="Arial Narrow" w:hAnsi="Arial Narrow"/>
        </w:rPr>
      </w:pPr>
      <w:r w:rsidRPr="006D5CCD">
        <w:rPr>
          <w:rFonts w:ascii="Arial Narrow" w:hAnsi="Arial Narrow"/>
        </w:rPr>
        <w:t xml:space="preserve">The summary of the written </w:t>
      </w:r>
      <w:r w:rsidR="009157E0" w:rsidRPr="006D5CCD">
        <w:rPr>
          <w:rFonts w:ascii="Arial Narrow" w:hAnsi="Arial Narrow"/>
        </w:rPr>
        <w:t>proposals</w:t>
      </w:r>
      <w:r w:rsidRPr="006D5CCD">
        <w:rPr>
          <w:rFonts w:ascii="Arial Narrow" w:hAnsi="Arial Narrow"/>
        </w:rPr>
        <w:t xml:space="preserve"> states that</w:t>
      </w:r>
      <w:r w:rsidR="009157E0" w:rsidRPr="006D5CCD">
        <w:rPr>
          <w:rFonts w:ascii="Arial Narrow" w:hAnsi="Arial Narrow"/>
        </w:rPr>
        <w:t>;</w:t>
      </w:r>
    </w:p>
    <w:p w:rsidR="00E70844" w:rsidRPr="006D5CCD" w:rsidRDefault="00E70844" w:rsidP="000F3F59">
      <w:pPr>
        <w:pStyle w:val="Default"/>
        <w:ind w:left="426"/>
        <w:jc w:val="both"/>
        <w:rPr>
          <w:rFonts w:ascii="Arial Narrow" w:hAnsi="Arial Narrow"/>
        </w:rPr>
      </w:pPr>
    </w:p>
    <w:p w:rsidR="001C164A" w:rsidRPr="006D5CCD" w:rsidRDefault="006D5CCD" w:rsidP="004D0197">
      <w:pPr>
        <w:pStyle w:val="Default"/>
        <w:numPr>
          <w:ilvl w:val="0"/>
          <w:numId w:val="16"/>
        </w:numPr>
        <w:spacing w:line="360" w:lineRule="auto"/>
        <w:jc w:val="both"/>
        <w:rPr>
          <w:rFonts w:ascii="Arial Narrow" w:hAnsi="Arial Narrow"/>
        </w:rPr>
      </w:pPr>
      <w:r>
        <w:rPr>
          <w:rFonts w:ascii="Arial Narrow" w:hAnsi="Arial Narrow"/>
        </w:rPr>
        <w:t xml:space="preserve"> </w:t>
      </w:r>
      <w:r w:rsidR="004D0197" w:rsidRPr="006D5CCD">
        <w:rPr>
          <w:rFonts w:ascii="Arial Narrow" w:hAnsi="Arial Narrow"/>
        </w:rPr>
        <w:t>T</w:t>
      </w:r>
      <w:r w:rsidR="002F3967" w:rsidRPr="006D5CCD">
        <w:rPr>
          <w:rFonts w:ascii="Arial Narrow" w:hAnsi="Arial Narrow"/>
        </w:rPr>
        <w:t>he d</w:t>
      </w:r>
      <w:r w:rsidR="001C164A" w:rsidRPr="006D5CCD">
        <w:rPr>
          <w:rFonts w:ascii="Arial Narrow" w:hAnsi="Arial Narrow"/>
        </w:rPr>
        <w:t>efinition of “property” has been considered in many submissions as being too broad. A more concise and descriptive definition that takes into account the broad nature of property would be ideal. Property is inclusive of immovable and movable property. Movable property by definition includes mining rights, patents, servitudes and other intellectual property rights and shares in listed in private companies.</w:t>
      </w:r>
    </w:p>
    <w:p w:rsidR="001C164A" w:rsidRPr="006D5CCD" w:rsidRDefault="001C164A" w:rsidP="000F3F59">
      <w:pPr>
        <w:pStyle w:val="Default"/>
        <w:ind w:left="426"/>
        <w:jc w:val="both"/>
        <w:rPr>
          <w:rFonts w:ascii="Arial Narrow" w:hAnsi="Arial Narrow"/>
        </w:rPr>
      </w:pPr>
    </w:p>
    <w:p w:rsidR="001C164A" w:rsidRPr="006D5CCD" w:rsidRDefault="004D0197" w:rsidP="004D0197">
      <w:pPr>
        <w:pStyle w:val="Default"/>
        <w:numPr>
          <w:ilvl w:val="0"/>
          <w:numId w:val="16"/>
        </w:numPr>
        <w:spacing w:line="360" w:lineRule="auto"/>
        <w:jc w:val="both"/>
        <w:rPr>
          <w:rFonts w:ascii="Arial Narrow" w:hAnsi="Arial Narrow"/>
        </w:rPr>
      </w:pPr>
      <w:r w:rsidRPr="006D5CCD">
        <w:rPr>
          <w:rFonts w:ascii="Arial Narrow" w:hAnsi="Arial Narrow"/>
        </w:rPr>
        <w:t>There have</w:t>
      </w:r>
      <w:r w:rsidR="001C164A" w:rsidRPr="006D5CCD">
        <w:rPr>
          <w:rFonts w:ascii="Arial Narrow" w:hAnsi="Arial Narrow"/>
        </w:rPr>
        <w:t xml:space="preserve"> been</w:t>
      </w:r>
      <w:r w:rsidRPr="006D5CCD">
        <w:rPr>
          <w:rFonts w:ascii="Arial Narrow" w:hAnsi="Arial Narrow"/>
        </w:rPr>
        <w:t xml:space="preserve"> further</w:t>
      </w:r>
      <w:r w:rsidR="001C164A" w:rsidRPr="006D5CCD">
        <w:rPr>
          <w:rFonts w:ascii="Arial Narrow" w:hAnsi="Arial Narrow"/>
        </w:rPr>
        <w:t xml:space="preserve"> concerns that the Bill will have a negative effect on foreign direct investment, which under the current definition all fall under the wide definition of “property”. The Protection of Investment Act 22 of 2015 which provides, amongst other things, for the protection of investors and their investments defines and lists investments which the Act seeks to protect and regulate. These include;</w:t>
      </w:r>
    </w:p>
    <w:p w:rsidR="001C164A" w:rsidRPr="006D5CCD" w:rsidRDefault="001C164A" w:rsidP="009157E0">
      <w:pPr>
        <w:pStyle w:val="Default"/>
        <w:ind w:left="426"/>
        <w:jc w:val="both"/>
        <w:rPr>
          <w:rFonts w:ascii="Arial Narrow" w:hAnsi="Arial Narrow"/>
        </w:rPr>
      </w:pPr>
    </w:p>
    <w:p w:rsidR="004D0197" w:rsidRPr="006D5CCD" w:rsidRDefault="001C164A" w:rsidP="004D0197">
      <w:pPr>
        <w:pStyle w:val="Default"/>
        <w:numPr>
          <w:ilvl w:val="0"/>
          <w:numId w:val="17"/>
        </w:numPr>
        <w:spacing w:line="360" w:lineRule="auto"/>
        <w:jc w:val="both"/>
        <w:rPr>
          <w:rFonts w:ascii="Arial Narrow" w:hAnsi="Arial Narrow"/>
        </w:rPr>
      </w:pPr>
      <w:r w:rsidRPr="006D5CCD">
        <w:rPr>
          <w:rFonts w:ascii="Arial Narrow" w:hAnsi="Arial Narrow"/>
        </w:rPr>
        <w:t>Shares, stocks, debentures, securities and other equity instruments</w:t>
      </w:r>
    </w:p>
    <w:p w:rsidR="004D0197" w:rsidRPr="006D5CCD" w:rsidRDefault="001C164A" w:rsidP="004D0197">
      <w:pPr>
        <w:pStyle w:val="Default"/>
        <w:numPr>
          <w:ilvl w:val="0"/>
          <w:numId w:val="17"/>
        </w:numPr>
        <w:spacing w:line="360" w:lineRule="auto"/>
        <w:jc w:val="both"/>
        <w:rPr>
          <w:rFonts w:ascii="Arial Narrow" w:hAnsi="Arial Narrow"/>
        </w:rPr>
      </w:pPr>
      <w:r w:rsidRPr="006D5CCD">
        <w:rPr>
          <w:rFonts w:ascii="Arial Narrow" w:hAnsi="Arial Narrow"/>
        </w:rPr>
        <w:t>Loans to an enterprise</w:t>
      </w:r>
    </w:p>
    <w:p w:rsidR="004D0197" w:rsidRPr="006D5CCD" w:rsidRDefault="001C164A" w:rsidP="004D0197">
      <w:pPr>
        <w:pStyle w:val="Default"/>
        <w:numPr>
          <w:ilvl w:val="0"/>
          <w:numId w:val="17"/>
        </w:numPr>
        <w:spacing w:line="360" w:lineRule="auto"/>
        <w:jc w:val="both"/>
        <w:rPr>
          <w:rFonts w:ascii="Arial Narrow" w:hAnsi="Arial Narrow"/>
        </w:rPr>
      </w:pPr>
      <w:r w:rsidRPr="006D5CCD">
        <w:rPr>
          <w:rFonts w:ascii="Arial Narrow" w:hAnsi="Arial Narrow"/>
        </w:rPr>
        <w:t>Mortgages, liens or pledges</w:t>
      </w:r>
    </w:p>
    <w:p w:rsidR="004D0197" w:rsidRPr="006D5CCD" w:rsidRDefault="001C164A" w:rsidP="004D0197">
      <w:pPr>
        <w:pStyle w:val="Default"/>
        <w:numPr>
          <w:ilvl w:val="0"/>
          <w:numId w:val="17"/>
        </w:numPr>
        <w:spacing w:line="360" w:lineRule="auto"/>
        <w:jc w:val="both"/>
        <w:rPr>
          <w:rFonts w:ascii="Arial Narrow" w:hAnsi="Arial Narrow"/>
        </w:rPr>
      </w:pPr>
      <w:r w:rsidRPr="006D5CCD">
        <w:rPr>
          <w:rFonts w:ascii="Arial Narrow" w:hAnsi="Arial Narrow"/>
        </w:rPr>
        <w:t>Claims to money or to any performance under con</w:t>
      </w:r>
      <w:r w:rsidR="004D0197" w:rsidRPr="006D5CCD">
        <w:rPr>
          <w:rFonts w:ascii="Arial Narrow" w:hAnsi="Arial Narrow"/>
        </w:rPr>
        <w:t>tract having a financial value;</w:t>
      </w:r>
    </w:p>
    <w:p w:rsidR="004D0197" w:rsidRPr="006D5CCD" w:rsidRDefault="001C164A" w:rsidP="004D0197">
      <w:pPr>
        <w:pStyle w:val="Default"/>
        <w:numPr>
          <w:ilvl w:val="0"/>
          <w:numId w:val="17"/>
        </w:numPr>
        <w:spacing w:line="360" w:lineRule="auto"/>
        <w:jc w:val="both"/>
        <w:rPr>
          <w:rFonts w:ascii="Arial Narrow" w:hAnsi="Arial Narrow"/>
        </w:rPr>
      </w:pPr>
      <w:r w:rsidRPr="006D5CCD">
        <w:rPr>
          <w:rFonts w:ascii="Arial Narrow" w:hAnsi="Arial Narrow"/>
        </w:rPr>
        <w:t>Copyrights, know how, goodwill, or intellectual property rights such as patents, trademarks, industrial designs and trade names</w:t>
      </w:r>
    </w:p>
    <w:p w:rsidR="004D0197" w:rsidRPr="006D5CCD" w:rsidRDefault="001C164A" w:rsidP="004D0197">
      <w:pPr>
        <w:pStyle w:val="Default"/>
        <w:numPr>
          <w:ilvl w:val="0"/>
          <w:numId w:val="17"/>
        </w:numPr>
        <w:spacing w:line="360" w:lineRule="auto"/>
        <w:jc w:val="both"/>
        <w:rPr>
          <w:rFonts w:ascii="Arial Narrow" w:hAnsi="Arial Narrow"/>
        </w:rPr>
      </w:pPr>
      <w:r w:rsidRPr="006D5CCD">
        <w:rPr>
          <w:rFonts w:ascii="Arial Narrow" w:hAnsi="Arial Narrow"/>
        </w:rPr>
        <w:t xml:space="preserve">Returns such as profits, dividends, royalties or income yielded by an investment; </w:t>
      </w:r>
    </w:p>
    <w:p w:rsidR="001C164A" w:rsidRPr="006D5CCD" w:rsidRDefault="001C164A" w:rsidP="004D0197">
      <w:pPr>
        <w:pStyle w:val="Default"/>
        <w:numPr>
          <w:ilvl w:val="0"/>
          <w:numId w:val="17"/>
        </w:numPr>
        <w:spacing w:line="360" w:lineRule="auto"/>
        <w:jc w:val="both"/>
        <w:rPr>
          <w:rFonts w:ascii="Arial Narrow" w:hAnsi="Arial Narrow"/>
        </w:rPr>
      </w:pPr>
      <w:r w:rsidRPr="006D5CCD">
        <w:rPr>
          <w:rFonts w:ascii="Arial Narrow" w:hAnsi="Arial Narrow"/>
        </w:rPr>
        <w:t>Rights or concessions conferred by law or under contract, including licenses to cultivate, extract or exploit natural resources.</w:t>
      </w:r>
    </w:p>
    <w:p w:rsidR="001C164A" w:rsidRPr="006D5CCD" w:rsidRDefault="001C164A" w:rsidP="000F3F59">
      <w:pPr>
        <w:pStyle w:val="Default"/>
        <w:ind w:left="426"/>
        <w:jc w:val="both"/>
        <w:rPr>
          <w:rFonts w:ascii="Arial Narrow" w:hAnsi="Arial Narrow"/>
        </w:rPr>
      </w:pPr>
    </w:p>
    <w:p w:rsidR="000302B7" w:rsidRPr="006D5CCD" w:rsidRDefault="001C164A" w:rsidP="004D0197">
      <w:pPr>
        <w:pStyle w:val="ListParagraph"/>
        <w:numPr>
          <w:ilvl w:val="0"/>
          <w:numId w:val="18"/>
        </w:numPr>
        <w:spacing w:line="360" w:lineRule="auto"/>
        <w:jc w:val="both"/>
        <w:rPr>
          <w:rFonts w:ascii="Arial Narrow" w:hAnsi="Arial Narrow" w:cs="Arial"/>
        </w:rPr>
      </w:pPr>
      <w:r w:rsidRPr="006D5CCD">
        <w:rPr>
          <w:rFonts w:ascii="Arial Narrow" w:hAnsi="Arial Narrow" w:cs="Arial"/>
        </w:rPr>
        <w:t>Noting the ambiguity the definition of “property” presents, it is recommended that the definition of definition of “property” be amended to state in no uncertain terms the categories of property that may be expropriated or protected from non-compensable expropriation.</w:t>
      </w:r>
    </w:p>
    <w:p w:rsidR="009157E0" w:rsidRDefault="009157E0" w:rsidP="009157E0">
      <w:pPr>
        <w:ind w:left="426"/>
        <w:jc w:val="both"/>
        <w:rPr>
          <w:rFonts w:ascii="Arial Narrow" w:hAnsi="Arial Narrow" w:cs="Arial"/>
          <w:color w:val="000000" w:themeColor="text1"/>
        </w:rPr>
      </w:pPr>
    </w:p>
    <w:p w:rsidR="000F3F59" w:rsidRPr="006D5CCD" w:rsidRDefault="000F3F59" w:rsidP="009157E0">
      <w:pPr>
        <w:ind w:left="426"/>
        <w:jc w:val="both"/>
        <w:rPr>
          <w:rFonts w:ascii="Arial Narrow" w:hAnsi="Arial Narrow" w:cs="Arial"/>
          <w:color w:val="000000" w:themeColor="text1"/>
        </w:rPr>
      </w:pPr>
    </w:p>
    <w:p w:rsidR="001B44FC" w:rsidRPr="006D5CCD" w:rsidRDefault="00D36DFE" w:rsidP="00D36DFE">
      <w:pPr>
        <w:pStyle w:val="BodyTextIndent2"/>
        <w:spacing w:line="360" w:lineRule="auto"/>
        <w:ind w:left="709" w:hanging="349"/>
        <w:jc w:val="both"/>
        <w:rPr>
          <w:rFonts w:ascii="Arial Narrow" w:hAnsi="Arial Narrow" w:cs="Arial"/>
          <w:color w:val="000000" w:themeColor="text1"/>
        </w:rPr>
      </w:pPr>
      <w:r w:rsidRPr="006D5CCD">
        <w:rPr>
          <w:rFonts w:ascii="Arial Narrow" w:hAnsi="Arial Narrow" w:cs="Arial"/>
          <w:b/>
          <w:color w:val="000000" w:themeColor="text1"/>
        </w:rPr>
        <w:t xml:space="preserve">7. </w:t>
      </w:r>
      <w:r w:rsidR="00B67FD6" w:rsidRPr="006D5CCD">
        <w:rPr>
          <w:rFonts w:ascii="Arial Narrow" w:hAnsi="Arial Narrow" w:cs="Arial"/>
          <w:b/>
          <w:color w:val="000000" w:themeColor="text1"/>
        </w:rPr>
        <w:t xml:space="preserve">POSITION BY THE GAUTENG DEPARTMENT OF </w:t>
      </w:r>
      <w:r w:rsidR="001B44FC" w:rsidRPr="006D5CCD">
        <w:rPr>
          <w:rFonts w:ascii="Arial Narrow" w:hAnsi="Arial Narrow" w:cs="Arial"/>
          <w:b/>
          <w:color w:val="000000" w:themeColor="text1"/>
        </w:rPr>
        <w:t xml:space="preserve">AGRICULTURE AND RURAL DEVELOPMENT </w:t>
      </w:r>
    </w:p>
    <w:p w:rsidR="002B1C7A" w:rsidRPr="006D5CCD" w:rsidRDefault="002B1C7A" w:rsidP="00C85EA7">
      <w:pPr>
        <w:spacing w:line="360" w:lineRule="auto"/>
        <w:ind w:left="360"/>
        <w:jc w:val="both"/>
        <w:rPr>
          <w:rFonts w:ascii="Arial Narrow" w:hAnsi="Arial Narrow"/>
          <w:lang w:val="en-ZA" w:eastAsia="en-ZA"/>
        </w:rPr>
      </w:pPr>
      <w:r w:rsidRPr="006D5CCD">
        <w:rPr>
          <w:rFonts w:ascii="Arial Narrow" w:hAnsi="Arial Narrow" w:cs="Arial"/>
        </w:rPr>
        <w:t xml:space="preserve">In line with </w:t>
      </w:r>
      <w:r w:rsidR="002C460D" w:rsidRPr="006D5CCD">
        <w:rPr>
          <w:rFonts w:ascii="Arial Narrow" w:hAnsi="Arial Narrow" w:cs="Arial"/>
        </w:rPr>
        <w:t xml:space="preserve">the GPL </w:t>
      </w:r>
      <w:r w:rsidRPr="006D5CCD">
        <w:rPr>
          <w:rFonts w:ascii="Arial Narrow" w:hAnsi="Arial Narrow" w:cs="Arial"/>
        </w:rPr>
        <w:t>Rule 248 (1) (b) the Committee sought the views of the relevant Member of the Executive on the Bill.</w:t>
      </w:r>
      <w:r w:rsidRPr="006D5CCD">
        <w:rPr>
          <w:rFonts w:ascii="Arial Narrow" w:hAnsi="Arial Narrow" w:cs="Arial"/>
          <w:color w:val="000000" w:themeColor="text1"/>
        </w:rPr>
        <w:t xml:space="preserve"> The</w:t>
      </w:r>
      <w:r w:rsidR="009936AD" w:rsidRPr="006D5CCD">
        <w:rPr>
          <w:rFonts w:ascii="Arial Narrow" w:hAnsi="Arial Narrow" w:cs="Arial"/>
          <w:color w:val="000000" w:themeColor="text1"/>
        </w:rPr>
        <w:t xml:space="preserve"> </w:t>
      </w:r>
      <w:r w:rsidR="00B67FD6" w:rsidRPr="006D5CCD">
        <w:rPr>
          <w:rFonts w:ascii="Arial Narrow" w:hAnsi="Arial Narrow" w:cs="Arial"/>
          <w:color w:val="000000" w:themeColor="text1"/>
        </w:rPr>
        <w:t xml:space="preserve">Gauteng </w:t>
      </w:r>
      <w:r w:rsidR="009936AD" w:rsidRPr="006D5CCD">
        <w:rPr>
          <w:rFonts w:ascii="Arial Narrow" w:hAnsi="Arial Narrow" w:cs="Arial"/>
          <w:color w:val="000000" w:themeColor="text1"/>
        </w:rPr>
        <w:t xml:space="preserve">Department </w:t>
      </w:r>
      <w:r w:rsidR="00B67FD6" w:rsidRPr="006D5CCD">
        <w:rPr>
          <w:rFonts w:ascii="Arial Narrow" w:hAnsi="Arial Narrow" w:cs="Arial"/>
          <w:color w:val="000000" w:themeColor="text1"/>
        </w:rPr>
        <w:t xml:space="preserve">of </w:t>
      </w:r>
      <w:r w:rsidR="001B44FC" w:rsidRPr="006D5CCD">
        <w:rPr>
          <w:rFonts w:ascii="Arial Narrow" w:hAnsi="Arial Narrow" w:cs="Arial"/>
          <w:color w:val="000000" w:themeColor="text1"/>
        </w:rPr>
        <w:t xml:space="preserve">Agriculture and Rural Development </w:t>
      </w:r>
      <w:r w:rsidR="0018503D" w:rsidRPr="006D5CCD">
        <w:rPr>
          <w:rFonts w:ascii="Arial Narrow" w:hAnsi="Arial Narrow" w:cs="Arial"/>
          <w:color w:val="000000" w:themeColor="text1"/>
        </w:rPr>
        <w:t xml:space="preserve">supports the </w:t>
      </w:r>
      <w:r w:rsidR="001B44FC" w:rsidRPr="006D5CCD">
        <w:rPr>
          <w:rFonts w:ascii="Arial Narrow" w:hAnsi="Arial Narrow" w:cs="Arial"/>
          <w:color w:val="000000" w:themeColor="text1"/>
        </w:rPr>
        <w:t>Expropriation Bill [B4</w:t>
      </w:r>
      <w:r w:rsidR="00B67FD6" w:rsidRPr="006D5CCD">
        <w:rPr>
          <w:rFonts w:ascii="Arial Narrow" w:hAnsi="Arial Narrow" w:cs="Arial"/>
          <w:color w:val="000000" w:themeColor="text1"/>
        </w:rPr>
        <w:t>B-2015] Section 76</w:t>
      </w:r>
      <w:r w:rsidR="006F3076" w:rsidRPr="006D5CCD">
        <w:rPr>
          <w:rFonts w:ascii="Arial Narrow" w:hAnsi="Arial Narrow" w:cs="Arial"/>
          <w:lang w:val="en-US"/>
        </w:rPr>
        <w:t xml:space="preserve"> </w:t>
      </w:r>
      <w:r w:rsidR="002C460D" w:rsidRPr="006D5CCD">
        <w:rPr>
          <w:rFonts w:ascii="Arial Narrow" w:hAnsi="Arial Narrow" w:cs="Arial"/>
          <w:lang w:val="en-US"/>
        </w:rPr>
        <w:t>based on</w:t>
      </w:r>
      <w:r w:rsidR="006F3076" w:rsidRPr="006D5CCD">
        <w:rPr>
          <w:rFonts w:ascii="Arial Narrow" w:hAnsi="Arial Narrow" w:cs="Arial"/>
          <w:lang w:val="en-US"/>
        </w:rPr>
        <w:t xml:space="preserve"> the following reasons:</w:t>
      </w:r>
      <w:r w:rsidR="001B44FC" w:rsidRPr="006D5CCD">
        <w:rPr>
          <w:rFonts w:ascii="Arial Narrow" w:hAnsi="Arial Narrow" w:cs="Arial"/>
          <w:color w:val="000000" w:themeColor="text1"/>
        </w:rPr>
        <w:t>.</w:t>
      </w:r>
      <w:r w:rsidRPr="006D5CCD">
        <w:rPr>
          <w:rFonts w:ascii="Arial Narrow" w:eastAsiaTheme="minorEastAsia" w:hAnsi="Arial Narrow" w:cs="Arial"/>
          <w:color w:val="000000" w:themeColor="text1"/>
          <w:kern w:val="24"/>
          <w:lang w:val="en-US"/>
        </w:rPr>
        <w:t xml:space="preserve"> </w:t>
      </w:r>
    </w:p>
    <w:p w:rsidR="002B1C7A" w:rsidRPr="006D5CCD" w:rsidRDefault="002B1C7A" w:rsidP="00C85EA7">
      <w:pPr>
        <w:jc w:val="both"/>
        <w:rPr>
          <w:rFonts w:ascii="Arial Narrow" w:eastAsiaTheme="minorEastAsia" w:hAnsi="Arial Narrow" w:cs="Arial"/>
          <w:color w:val="000000" w:themeColor="text1"/>
          <w:kern w:val="24"/>
          <w:lang w:val="en-US" w:eastAsia="en-ZA"/>
        </w:rPr>
      </w:pPr>
    </w:p>
    <w:p w:rsidR="002B1C7A" w:rsidRPr="006D5CCD" w:rsidRDefault="002B1C7A" w:rsidP="00C85EA7">
      <w:pPr>
        <w:pStyle w:val="ListParagraph"/>
        <w:numPr>
          <w:ilvl w:val="0"/>
          <w:numId w:val="9"/>
        </w:numPr>
        <w:spacing w:line="360" w:lineRule="auto"/>
        <w:jc w:val="both"/>
        <w:rPr>
          <w:rFonts w:ascii="Arial Narrow" w:hAnsi="Arial Narrow"/>
          <w:lang w:val="en-ZA" w:eastAsia="en-ZA"/>
        </w:rPr>
      </w:pPr>
      <w:r w:rsidRPr="006D5CCD">
        <w:rPr>
          <w:rFonts w:ascii="Arial Narrow" w:eastAsiaTheme="minorEastAsia" w:hAnsi="Arial Narrow" w:cs="Arial"/>
          <w:color w:val="000000" w:themeColor="text1"/>
          <w:kern w:val="24"/>
          <w:lang w:val="en-US" w:eastAsia="en-ZA"/>
        </w:rPr>
        <w:t>It stands will afford South Africa the necessary tool to provide a common framework to guide the processes and procedures for expropriation of property</w:t>
      </w:r>
    </w:p>
    <w:p w:rsidR="002B1C7A" w:rsidRPr="006D5CCD" w:rsidRDefault="002B1C7A" w:rsidP="00C85EA7">
      <w:pPr>
        <w:pStyle w:val="ListParagraph"/>
        <w:numPr>
          <w:ilvl w:val="0"/>
          <w:numId w:val="9"/>
        </w:numPr>
        <w:spacing w:line="360" w:lineRule="auto"/>
        <w:jc w:val="both"/>
        <w:rPr>
          <w:rFonts w:ascii="Arial Narrow" w:hAnsi="Arial Narrow"/>
          <w:lang w:val="en-ZA" w:eastAsia="en-ZA"/>
        </w:rPr>
      </w:pPr>
      <w:r w:rsidRPr="006D5CCD">
        <w:rPr>
          <w:rFonts w:ascii="Arial Narrow" w:eastAsiaTheme="minorEastAsia" w:hAnsi="Arial Narrow" w:cs="Arial"/>
          <w:color w:val="000000" w:themeColor="text1"/>
          <w:kern w:val="24"/>
          <w:lang w:val="en-US" w:eastAsia="en-ZA"/>
        </w:rPr>
        <w:t>It is aligned to the Constitution</w:t>
      </w:r>
    </w:p>
    <w:p w:rsidR="002B1C7A" w:rsidRPr="006D5CCD" w:rsidRDefault="002B1C7A" w:rsidP="00C85EA7">
      <w:pPr>
        <w:pStyle w:val="ListParagraph"/>
        <w:numPr>
          <w:ilvl w:val="0"/>
          <w:numId w:val="9"/>
        </w:numPr>
        <w:spacing w:line="360" w:lineRule="auto"/>
        <w:jc w:val="both"/>
        <w:rPr>
          <w:rFonts w:ascii="Arial Narrow" w:hAnsi="Arial Narrow"/>
          <w:lang w:val="en-ZA" w:eastAsia="en-ZA"/>
        </w:rPr>
      </w:pPr>
      <w:r w:rsidRPr="006D5CCD">
        <w:rPr>
          <w:rFonts w:ascii="Arial Narrow" w:eastAsiaTheme="minorEastAsia" w:hAnsi="Arial Narrow" w:cs="Arial"/>
          <w:color w:val="000000" w:themeColor="text1"/>
          <w:kern w:val="24"/>
          <w:lang w:val="en-US" w:eastAsia="en-ZA"/>
        </w:rPr>
        <w:t>It seeks to foster conditions which enable citizens to gain access to land on an equitable basis.</w:t>
      </w:r>
    </w:p>
    <w:p w:rsidR="00047345" w:rsidRPr="006D5CCD" w:rsidRDefault="000F3F59" w:rsidP="000F3F59">
      <w:pPr>
        <w:rPr>
          <w:rFonts w:ascii="Arial Narrow" w:hAnsi="Arial Narrow" w:cs="Arial"/>
          <w:b/>
          <w:color w:val="FF0000"/>
        </w:rPr>
      </w:pPr>
      <w:r>
        <w:rPr>
          <w:rFonts w:ascii="Arial Narrow" w:hAnsi="Arial Narrow" w:cs="Arial"/>
          <w:b/>
          <w:color w:val="FF0000"/>
        </w:rPr>
        <w:br w:type="page"/>
      </w:r>
    </w:p>
    <w:p w:rsidR="00D57407" w:rsidRPr="006D5CCD" w:rsidRDefault="00000E16" w:rsidP="00623F06">
      <w:pPr>
        <w:pStyle w:val="BodyTextIndent2"/>
        <w:numPr>
          <w:ilvl w:val="0"/>
          <w:numId w:val="15"/>
        </w:numPr>
        <w:spacing w:line="360" w:lineRule="auto"/>
        <w:jc w:val="both"/>
        <w:rPr>
          <w:rFonts w:ascii="Arial Narrow" w:hAnsi="Arial Narrow" w:cs="Arial"/>
          <w:b/>
          <w:color w:val="000000" w:themeColor="text1"/>
        </w:rPr>
      </w:pPr>
      <w:r w:rsidRPr="006D5CCD">
        <w:rPr>
          <w:rFonts w:ascii="Arial Narrow" w:hAnsi="Arial Narrow" w:cs="Arial"/>
          <w:b/>
          <w:color w:val="000000" w:themeColor="text1"/>
        </w:rPr>
        <w:lastRenderedPageBreak/>
        <w:t xml:space="preserve">SOCIO-ECONOMIC </w:t>
      </w:r>
      <w:r w:rsidR="00D57407" w:rsidRPr="006D5CCD">
        <w:rPr>
          <w:rFonts w:ascii="Arial Narrow" w:hAnsi="Arial Narrow" w:cs="Arial"/>
          <w:b/>
          <w:color w:val="000000" w:themeColor="text1"/>
        </w:rPr>
        <w:t>FINANCIAL IMPLICATIONS</w:t>
      </w:r>
    </w:p>
    <w:p w:rsidR="00000E16" w:rsidRPr="006D5CCD" w:rsidRDefault="00000E16" w:rsidP="00C85EA7">
      <w:pPr>
        <w:spacing w:line="360" w:lineRule="auto"/>
        <w:ind w:left="426"/>
        <w:jc w:val="both"/>
        <w:rPr>
          <w:rFonts w:ascii="Arial Narrow" w:hAnsi="Arial Narrow" w:cs="Arial"/>
          <w:color w:val="000000" w:themeColor="text1"/>
        </w:rPr>
      </w:pPr>
      <w:r w:rsidRPr="006D5CCD">
        <w:rPr>
          <w:rFonts w:ascii="Arial Narrow" w:hAnsi="Arial Narrow" w:cs="Arial"/>
          <w:color w:val="000000" w:themeColor="text1"/>
        </w:rPr>
        <w:t>The</w:t>
      </w:r>
      <w:r w:rsidR="004D0197" w:rsidRPr="006D5CCD">
        <w:rPr>
          <w:rFonts w:ascii="Arial Narrow" w:hAnsi="Arial Narrow" w:cs="Arial"/>
          <w:color w:val="000000" w:themeColor="text1"/>
        </w:rPr>
        <w:t xml:space="preserve"> Committee is of the view that the </w:t>
      </w:r>
      <w:r w:rsidRPr="006D5CCD">
        <w:rPr>
          <w:rFonts w:ascii="Arial Narrow" w:hAnsi="Arial Narrow" w:cs="Arial"/>
          <w:color w:val="000000" w:themeColor="text1"/>
        </w:rPr>
        <w:t xml:space="preserve">Bill may contribute to economic development and growth as government depends on private land for development projects such as roads wherein in most cases there have been delays due to the unavailability of land. The Bill would then seek to fast-track the process of acquiring the necessary land for public purpose or interest as stated. This however might have a negative effect as provided by Section 7 that the expropriating authority has a deciding power to continue with expropriation despite an agreement not reached.  In addition, Section 22 asserts that the government has obligation to negotiate before expropriation except were the right to use property is taken in an urgent basis. This has a potential to scare investors or affect investor confidence negatively. </w:t>
      </w:r>
    </w:p>
    <w:p w:rsidR="00000E16" w:rsidRPr="006D5CCD" w:rsidRDefault="00000E16" w:rsidP="000F3F59">
      <w:pPr>
        <w:ind w:left="426"/>
        <w:rPr>
          <w:rFonts w:ascii="Arial Narrow" w:hAnsi="Arial Narrow" w:cs="Arial"/>
          <w:color w:val="000000" w:themeColor="text1"/>
        </w:rPr>
      </w:pPr>
    </w:p>
    <w:p w:rsidR="00000E16" w:rsidRPr="006D5CCD" w:rsidRDefault="00000E16" w:rsidP="00C85EA7">
      <w:pPr>
        <w:spacing w:line="360" w:lineRule="auto"/>
        <w:ind w:left="426"/>
        <w:jc w:val="both"/>
        <w:rPr>
          <w:rFonts w:ascii="Arial Narrow" w:hAnsi="Arial Narrow" w:cs="Arial"/>
          <w:color w:val="000000" w:themeColor="text1"/>
        </w:rPr>
      </w:pPr>
      <w:r w:rsidRPr="006D5CCD">
        <w:rPr>
          <w:rFonts w:ascii="Arial Narrow" w:hAnsi="Arial Narrow" w:cs="Arial"/>
          <w:color w:val="000000" w:themeColor="text1"/>
        </w:rPr>
        <w:t>In terms of Section 5(3), the amount of compensation, and the time and manner of payment must be just and equitable; reflecting an equitable balance between the public interest and the interest of those affected. This implies that the Bill might en</w:t>
      </w:r>
      <w:r w:rsidR="004D0197" w:rsidRPr="006D5CCD">
        <w:rPr>
          <w:rFonts w:ascii="Arial Narrow" w:hAnsi="Arial Narrow" w:cs="Arial"/>
          <w:color w:val="000000" w:themeColor="text1"/>
        </w:rPr>
        <w:t>hance social equity. As highlighted</w:t>
      </w:r>
      <w:r w:rsidRPr="006D5CCD">
        <w:rPr>
          <w:rFonts w:ascii="Arial Narrow" w:hAnsi="Arial Narrow" w:cs="Arial"/>
          <w:color w:val="000000" w:themeColor="text1"/>
        </w:rPr>
        <w:t xml:space="preserve"> by the Bill</w:t>
      </w:r>
      <w:r w:rsidR="004D0197" w:rsidRPr="006D5CCD">
        <w:rPr>
          <w:rFonts w:ascii="Arial Narrow" w:hAnsi="Arial Narrow" w:cs="Arial"/>
          <w:color w:val="000000" w:themeColor="text1"/>
        </w:rPr>
        <w:t>,</w:t>
      </w:r>
      <w:r w:rsidRPr="006D5CCD">
        <w:rPr>
          <w:rFonts w:ascii="Arial Narrow" w:hAnsi="Arial Narrow" w:cs="Arial"/>
          <w:color w:val="000000" w:themeColor="text1"/>
        </w:rPr>
        <w:t xml:space="preserve"> equitable access to property or land may foster equality among the people, and this will add</w:t>
      </w:r>
      <w:r w:rsidR="004D0197" w:rsidRPr="006D5CCD">
        <w:rPr>
          <w:rFonts w:ascii="Arial Narrow" w:hAnsi="Arial Narrow" w:cs="Arial"/>
          <w:color w:val="000000" w:themeColor="text1"/>
        </w:rPr>
        <w:t>ress the imbalances of the past</w:t>
      </w:r>
      <w:r w:rsidRPr="006D5CCD">
        <w:rPr>
          <w:rFonts w:ascii="Arial Narrow" w:hAnsi="Arial Narrow" w:cs="Arial"/>
          <w:color w:val="000000" w:themeColor="text1"/>
        </w:rPr>
        <w:t xml:space="preserve">. It is important to emphasise that as much as the government has the right to expropriate land or property, it also carries the responsibility to ensure that those affected do not bear unfair share of costs, even though others would benefit. The government should ensure that the standard of living of those who might be affected is restored. It should therefore deal with the adverse impacts. The economic impacts can include loss of houses, businesses, or even temporary or permanent loss of income. All of these losses can be estimated or costed but the actual valuation of these losses can be intricate. </w:t>
      </w:r>
    </w:p>
    <w:p w:rsidR="00000E16" w:rsidRPr="006D5CCD" w:rsidRDefault="00000E16" w:rsidP="000F3F59">
      <w:pPr>
        <w:ind w:left="426"/>
        <w:rPr>
          <w:rFonts w:ascii="Arial Narrow" w:hAnsi="Arial Narrow" w:cs="Arial"/>
          <w:color w:val="000000" w:themeColor="text1"/>
        </w:rPr>
      </w:pPr>
    </w:p>
    <w:p w:rsidR="004E22A4" w:rsidRPr="006D5CCD" w:rsidRDefault="00000E16" w:rsidP="00C85EA7">
      <w:pPr>
        <w:spacing w:line="360" w:lineRule="auto"/>
        <w:ind w:left="426"/>
        <w:jc w:val="both"/>
        <w:rPr>
          <w:rFonts w:ascii="Arial Narrow" w:hAnsi="Arial Narrow" w:cs="Arial"/>
          <w:color w:val="000000" w:themeColor="text1"/>
        </w:rPr>
      </w:pPr>
      <w:r w:rsidRPr="006D5CCD">
        <w:rPr>
          <w:rFonts w:ascii="Arial Narrow" w:hAnsi="Arial Narrow" w:cs="Arial"/>
          <w:color w:val="000000" w:themeColor="text1"/>
        </w:rPr>
        <w:t>With regard to financial implications, the state is obligated to reimburse persons affected by expropriation. This means government will have to budget for the expropriation process. In case where the owner does not agree with the compensation amount, a process of mediation is recommended. Failure in the mediation process means that the court should be approached, and this means further financial costs might be required to settle the matter. Furthermore, the implementation</w:t>
      </w:r>
      <w:r w:rsidR="004E22A4" w:rsidRPr="006D5CCD">
        <w:rPr>
          <w:rFonts w:ascii="Arial Narrow" w:hAnsi="Arial Narrow" w:cs="Arial"/>
          <w:color w:val="000000" w:themeColor="text1"/>
        </w:rPr>
        <w:t xml:space="preserve"> of the Act will have financial implications for the Department o</w:t>
      </w:r>
      <w:r w:rsidRPr="006D5CCD">
        <w:rPr>
          <w:rFonts w:ascii="Arial Narrow" w:hAnsi="Arial Narrow" w:cs="Arial"/>
          <w:color w:val="000000" w:themeColor="text1"/>
        </w:rPr>
        <w:t>f Public Works, in that it will;</w:t>
      </w:r>
    </w:p>
    <w:p w:rsidR="00000E16" w:rsidRPr="006D5CCD" w:rsidRDefault="00000E16" w:rsidP="00C85EA7">
      <w:pPr>
        <w:ind w:left="426"/>
        <w:rPr>
          <w:rFonts w:ascii="Arial Narrow" w:hAnsi="Arial Narrow" w:cs="Arial"/>
          <w:color w:val="000000" w:themeColor="text1"/>
        </w:rPr>
      </w:pPr>
    </w:p>
    <w:p w:rsidR="004E22A4" w:rsidRPr="006D5CCD" w:rsidRDefault="004E22A4" w:rsidP="00C85EA7">
      <w:pPr>
        <w:pStyle w:val="ListParagraph"/>
        <w:numPr>
          <w:ilvl w:val="0"/>
          <w:numId w:val="3"/>
        </w:numPr>
        <w:spacing w:line="360" w:lineRule="auto"/>
        <w:rPr>
          <w:rFonts w:ascii="Arial Narrow" w:hAnsi="Arial Narrow" w:cs="Arial"/>
          <w:color w:val="000000" w:themeColor="text1"/>
        </w:rPr>
      </w:pPr>
      <w:r w:rsidRPr="006D5CCD">
        <w:rPr>
          <w:rFonts w:ascii="Arial Narrow" w:hAnsi="Arial Narrow" w:cs="Arial"/>
          <w:color w:val="000000" w:themeColor="text1"/>
        </w:rPr>
        <w:t>establish capacity to provide guidance on the uniform procedures to all expropriating authorities; and</w:t>
      </w:r>
    </w:p>
    <w:p w:rsidR="00D1684A" w:rsidRPr="006D5CCD" w:rsidRDefault="004E22A4" w:rsidP="00C85EA7">
      <w:pPr>
        <w:pStyle w:val="ListParagraph"/>
        <w:spacing w:line="360" w:lineRule="auto"/>
        <w:rPr>
          <w:rFonts w:ascii="Arial Narrow" w:hAnsi="Arial Narrow" w:cs="Arial"/>
          <w:color w:val="000000" w:themeColor="text1"/>
        </w:rPr>
      </w:pPr>
      <w:r w:rsidRPr="006D5CCD">
        <w:rPr>
          <w:rFonts w:ascii="Arial Narrow" w:hAnsi="Arial Narrow" w:cs="Arial"/>
          <w:color w:val="000000" w:themeColor="text1"/>
        </w:rPr>
        <w:t>(b) be responsible for the development and maintenance of the expropriation register, which will require the development of a database accessible to the public and dedicated personnel.</w:t>
      </w:r>
    </w:p>
    <w:p w:rsidR="000F3F59" w:rsidRDefault="000F3F59">
      <w:pPr>
        <w:rPr>
          <w:rFonts w:ascii="Arial Narrow" w:hAnsi="Arial Narrow" w:cs="Arial"/>
          <w:color w:val="000000" w:themeColor="text1"/>
          <w:highlight w:val="yellow"/>
        </w:rPr>
      </w:pPr>
      <w:r>
        <w:rPr>
          <w:rFonts w:ascii="Arial Narrow" w:hAnsi="Arial Narrow" w:cs="Arial"/>
          <w:color w:val="000000" w:themeColor="text1"/>
          <w:highlight w:val="yellow"/>
        </w:rPr>
        <w:br w:type="page"/>
      </w:r>
    </w:p>
    <w:p w:rsidR="00F975C2" w:rsidRPr="006D5CCD" w:rsidRDefault="00F975C2" w:rsidP="00623F06">
      <w:pPr>
        <w:pStyle w:val="ListParagraph"/>
        <w:numPr>
          <w:ilvl w:val="0"/>
          <w:numId w:val="15"/>
        </w:numPr>
        <w:spacing w:line="360" w:lineRule="auto"/>
        <w:jc w:val="both"/>
        <w:rPr>
          <w:rFonts w:ascii="Arial Narrow" w:hAnsi="Arial Narrow" w:cs="Arial"/>
          <w:b/>
          <w:color w:val="000000" w:themeColor="text1"/>
        </w:rPr>
      </w:pPr>
      <w:r w:rsidRPr="006D5CCD">
        <w:rPr>
          <w:rFonts w:ascii="Arial Narrow" w:hAnsi="Arial Narrow" w:cs="Arial"/>
          <w:b/>
          <w:color w:val="000000" w:themeColor="text1"/>
        </w:rPr>
        <w:lastRenderedPageBreak/>
        <w:t xml:space="preserve">COMMITTEE’S RECOMMENDATIONS </w:t>
      </w:r>
    </w:p>
    <w:p w:rsidR="00F975C2" w:rsidRPr="006D5CCD" w:rsidRDefault="00F975C2" w:rsidP="000F3F59">
      <w:pPr>
        <w:ind w:left="1080"/>
        <w:jc w:val="both"/>
        <w:rPr>
          <w:rFonts w:ascii="Arial Narrow" w:hAnsi="Arial Narrow" w:cs="Arial"/>
          <w:b/>
          <w:color w:val="000000" w:themeColor="text1"/>
        </w:rPr>
      </w:pPr>
    </w:p>
    <w:p w:rsidR="00F975C2" w:rsidRPr="006D5CCD" w:rsidRDefault="00F975C2" w:rsidP="006D5CCD">
      <w:pPr>
        <w:spacing w:line="360" w:lineRule="auto"/>
        <w:ind w:firstLine="720"/>
        <w:jc w:val="both"/>
        <w:rPr>
          <w:rFonts w:ascii="Arial Narrow" w:hAnsi="Arial Narrow" w:cs="Arial"/>
          <w:b/>
          <w:color w:val="000000" w:themeColor="text1"/>
        </w:rPr>
      </w:pPr>
      <w:r w:rsidRPr="006D5CCD">
        <w:rPr>
          <w:rFonts w:ascii="Arial Narrow" w:hAnsi="Arial Narrow" w:cs="Arial"/>
          <w:b/>
          <w:color w:val="000000" w:themeColor="text1"/>
        </w:rPr>
        <w:t xml:space="preserve">The Portfolio Committee recommends that – </w:t>
      </w:r>
    </w:p>
    <w:p w:rsidR="00491B71" w:rsidRPr="006D5CCD" w:rsidRDefault="00491B71" w:rsidP="000F3F59">
      <w:pPr>
        <w:jc w:val="both"/>
        <w:rPr>
          <w:rFonts w:ascii="Arial Narrow" w:hAnsi="Arial Narrow" w:cs="Arial"/>
          <w:b/>
          <w:color w:val="000000" w:themeColor="text1"/>
        </w:rPr>
      </w:pPr>
    </w:p>
    <w:p w:rsidR="003B1A61" w:rsidRPr="006D5CCD" w:rsidRDefault="00491B71" w:rsidP="00491B71">
      <w:pPr>
        <w:pStyle w:val="ListParagraph"/>
        <w:numPr>
          <w:ilvl w:val="0"/>
          <w:numId w:val="20"/>
        </w:numPr>
        <w:spacing w:line="360" w:lineRule="auto"/>
        <w:jc w:val="both"/>
        <w:rPr>
          <w:rFonts w:ascii="Arial Narrow" w:hAnsi="Arial Narrow" w:cs="Arial"/>
          <w:bCs/>
          <w:color w:val="000000" w:themeColor="text1"/>
        </w:rPr>
      </w:pPr>
      <w:r w:rsidRPr="006D5CCD">
        <w:rPr>
          <w:rFonts w:ascii="Arial Narrow" w:hAnsi="Arial Narrow" w:cs="Arial"/>
          <w:bCs/>
          <w:color w:val="000000" w:themeColor="text1"/>
        </w:rPr>
        <w:t>The proposed amendments on</w:t>
      </w:r>
      <w:r w:rsidR="002E4500" w:rsidRPr="006D5CCD">
        <w:rPr>
          <w:rFonts w:ascii="Arial Narrow" w:hAnsi="Arial Narrow" w:cs="Arial"/>
          <w:bCs/>
          <w:color w:val="000000" w:themeColor="text1"/>
        </w:rPr>
        <w:t xml:space="preserve"> the </w:t>
      </w:r>
      <w:r w:rsidR="004E22A4" w:rsidRPr="006D5CCD">
        <w:rPr>
          <w:rFonts w:ascii="Arial Narrow" w:hAnsi="Arial Narrow" w:cs="Arial"/>
          <w:bCs/>
          <w:color w:val="000000" w:themeColor="text1"/>
        </w:rPr>
        <w:t>Expropriation Bill [B4</w:t>
      </w:r>
      <w:r w:rsidR="00C82DC3" w:rsidRPr="006D5CCD">
        <w:rPr>
          <w:rFonts w:ascii="Arial Narrow" w:hAnsi="Arial Narrow" w:cs="Arial"/>
          <w:bCs/>
          <w:color w:val="000000" w:themeColor="text1"/>
        </w:rPr>
        <w:t>B</w:t>
      </w:r>
      <w:r w:rsidR="002E4500" w:rsidRPr="006D5CCD">
        <w:rPr>
          <w:rFonts w:ascii="Arial Narrow" w:hAnsi="Arial Narrow" w:cs="Arial"/>
          <w:bCs/>
          <w:color w:val="000000" w:themeColor="text1"/>
        </w:rPr>
        <w:t>-2015]</w:t>
      </w:r>
      <w:r w:rsidRPr="006D5CCD">
        <w:rPr>
          <w:rFonts w:ascii="Arial Narrow" w:hAnsi="Arial Narrow" w:cs="Arial"/>
          <w:bCs/>
          <w:color w:val="000000" w:themeColor="text1"/>
        </w:rPr>
        <w:t xml:space="preserve"> are supported</w:t>
      </w:r>
      <w:r w:rsidR="002E4500" w:rsidRPr="006D5CCD">
        <w:rPr>
          <w:rFonts w:ascii="Arial Narrow" w:hAnsi="Arial Narrow" w:cs="Arial"/>
          <w:bCs/>
          <w:color w:val="000000" w:themeColor="text1"/>
        </w:rPr>
        <w:t xml:space="preserve"> taking into consideration the concerns raised by the Stakeholders during the Committee Public Hearings.</w:t>
      </w:r>
      <w:r w:rsidRPr="006D5CCD">
        <w:rPr>
          <w:rFonts w:ascii="Arial Narrow" w:hAnsi="Arial Narrow" w:cs="Arial"/>
          <w:bCs/>
          <w:color w:val="000000" w:themeColor="text1"/>
        </w:rPr>
        <w:t xml:space="preserve"> </w:t>
      </w:r>
    </w:p>
    <w:p w:rsidR="00D83B2D" w:rsidRPr="006D5CCD" w:rsidRDefault="00D83B2D" w:rsidP="00D83B2D">
      <w:pPr>
        <w:ind w:left="1080"/>
        <w:jc w:val="both"/>
        <w:rPr>
          <w:rFonts w:ascii="Arial Narrow" w:hAnsi="Arial Narrow" w:cs="Arial"/>
          <w:bCs/>
          <w:color w:val="000000" w:themeColor="text1"/>
        </w:rPr>
      </w:pPr>
    </w:p>
    <w:p w:rsidR="002114B1" w:rsidRPr="006D5CCD" w:rsidRDefault="00D83B2D" w:rsidP="00491B71">
      <w:pPr>
        <w:pStyle w:val="ListParagraph"/>
        <w:numPr>
          <w:ilvl w:val="0"/>
          <w:numId w:val="20"/>
        </w:numPr>
        <w:spacing w:line="360" w:lineRule="auto"/>
        <w:jc w:val="both"/>
        <w:rPr>
          <w:rFonts w:ascii="Arial Narrow" w:hAnsi="Arial Narrow" w:cs="Arial"/>
          <w:bCs/>
          <w:color w:val="000000" w:themeColor="text1"/>
        </w:rPr>
      </w:pPr>
      <w:r w:rsidRPr="006D5CCD">
        <w:rPr>
          <w:rFonts w:ascii="Arial Narrow" w:hAnsi="Arial Narrow" w:cs="Arial"/>
        </w:rPr>
        <w:t>T</w:t>
      </w:r>
      <w:r w:rsidR="00491B71" w:rsidRPr="006D5CCD">
        <w:rPr>
          <w:rFonts w:ascii="Arial Narrow" w:hAnsi="Arial Narrow" w:cs="Arial"/>
        </w:rPr>
        <w:t>he</w:t>
      </w:r>
      <w:r w:rsidRPr="006D5CCD">
        <w:rPr>
          <w:rFonts w:ascii="Arial Narrow" w:hAnsi="Arial Narrow" w:cs="Arial"/>
        </w:rPr>
        <w:t xml:space="preserve"> definition of definition of “property” be amended to state in no uncertain terms the categories of property that may be expropriated or protected from non-compensable expropriation.</w:t>
      </w:r>
    </w:p>
    <w:p w:rsidR="00D57407" w:rsidRPr="006D5CCD" w:rsidRDefault="00D57407" w:rsidP="002114B1">
      <w:pPr>
        <w:jc w:val="both"/>
        <w:rPr>
          <w:rFonts w:ascii="Arial Narrow" w:hAnsi="Arial Narrow" w:cs="Arial"/>
          <w:b/>
          <w:color w:val="000000" w:themeColor="text1"/>
        </w:rPr>
      </w:pPr>
    </w:p>
    <w:p w:rsidR="00491B71" w:rsidRPr="006D5CCD" w:rsidRDefault="00F975C2" w:rsidP="00491B71">
      <w:pPr>
        <w:pStyle w:val="ListParagraph"/>
        <w:numPr>
          <w:ilvl w:val="0"/>
          <w:numId w:val="15"/>
        </w:numPr>
        <w:spacing w:line="360" w:lineRule="auto"/>
        <w:jc w:val="both"/>
        <w:rPr>
          <w:rFonts w:ascii="Arial Narrow" w:hAnsi="Arial Narrow" w:cs="Arial"/>
          <w:b/>
          <w:color w:val="000000" w:themeColor="text1"/>
        </w:rPr>
      </w:pPr>
      <w:r w:rsidRPr="006D5CCD">
        <w:rPr>
          <w:rFonts w:ascii="Arial Narrow" w:hAnsi="Arial Narrow" w:cs="Arial"/>
          <w:b/>
          <w:color w:val="000000" w:themeColor="text1"/>
        </w:rPr>
        <w:t xml:space="preserve">NEGOTIATING POSITION ADOPTED BY THE COMMITTEE </w:t>
      </w:r>
    </w:p>
    <w:p w:rsidR="00F975C2" w:rsidRPr="006D5CCD" w:rsidRDefault="00C85EA7" w:rsidP="000F3F59">
      <w:pPr>
        <w:spacing w:line="360" w:lineRule="auto"/>
        <w:ind w:left="426"/>
        <w:jc w:val="both"/>
        <w:rPr>
          <w:rFonts w:ascii="Arial Narrow" w:hAnsi="Arial Narrow" w:cs="Arial"/>
          <w:b/>
          <w:color w:val="000000" w:themeColor="text1"/>
        </w:rPr>
      </w:pPr>
      <w:r w:rsidRPr="006D5CCD">
        <w:rPr>
          <w:rFonts w:ascii="Arial Narrow" w:hAnsi="Arial Narrow" w:cs="Arial"/>
          <w:bCs/>
        </w:rPr>
        <w:t>The Portfolio Committee on Economic Development, Environment, Agriculture and Rural Development supports the principle and details of the Expropria</w:t>
      </w:r>
      <w:r w:rsidR="006D5CCD" w:rsidRPr="006D5CCD">
        <w:rPr>
          <w:rFonts w:ascii="Arial Narrow" w:hAnsi="Arial Narrow" w:cs="Arial"/>
          <w:bCs/>
        </w:rPr>
        <w:t xml:space="preserve">tion Bill [B4B-2015] Section 76 with the proposed amendments. </w:t>
      </w:r>
      <w:r w:rsidRPr="006D5CCD">
        <w:rPr>
          <w:rFonts w:ascii="Arial Narrow" w:hAnsi="Arial Narrow" w:cs="Arial"/>
          <w:bCs/>
        </w:rPr>
        <w:t xml:space="preserve">  </w:t>
      </w:r>
    </w:p>
    <w:p w:rsidR="000659EB" w:rsidRPr="006D5CCD" w:rsidRDefault="000659EB" w:rsidP="00C82DC3">
      <w:pPr>
        <w:pStyle w:val="ListParagraph"/>
        <w:spacing w:line="360" w:lineRule="auto"/>
        <w:rPr>
          <w:rFonts w:ascii="Arial Narrow" w:hAnsi="Arial Narrow" w:cs="Arial"/>
          <w:color w:val="000000" w:themeColor="text1"/>
          <w:lang w:val="en-ZA"/>
        </w:rPr>
      </w:pPr>
    </w:p>
    <w:p w:rsidR="009771EB" w:rsidRPr="006D5CCD" w:rsidRDefault="009771EB" w:rsidP="00C82DC3">
      <w:pPr>
        <w:spacing w:line="360" w:lineRule="auto"/>
        <w:rPr>
          <w:rFonts w:ascii="Arial Narrow" w:hAnsi="Arial Narrow"/>
          <w:color w:val="000000" w:themeColor="text1"/>
        </w:rPr>
      </w:pPr>
    </w:p>
    <w:sectPr w:rsidR="009771EB" w:rsidRPr="006D5CCD" w:rsidSect="000F3F59">
      <w:footerReference w:type="default" r:id="rId9"/>
      <w:pgSz w:w="12240" w:h="15840"/>
      <w:pgMar w:top="709" w:right="1440" w:bottom="568" w:left="993"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CF" w:rsidRDefault="00C07BCF" w:rsidP="000659EB">
      <w:r>
        <w:separator/>
      </w:r>
    </w:p>
  </w:endnote>
  <w:endnote w:type="continuationSeparator" w:id="0">
    <w:p w:rsidR="00C07BCF" w:rsidRDefault="00C07BCF" w:rsidP="0006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00" w:rsidRDefault="00793A00">
    <w:pPr>
      <w:pStyle w:val="Footer"/>
      <w:jc w:val="center"/>
    </w:pPr>
    <w:r>
      <w:fldChar w:fldCharType="begin"/>
    </w:r>
    <w:r>
      <w:instrText xml:space="preserve"> PAGE   \* MERGEFORMAT </w:instrText>
    </w:r>
    <w:r>
      <w:fldChar w:fldCharType="separate"/>
    </w:r>
    <w:r w:rsidR="006160BD">
      <w:rPr>
        <w:noProof/>
      </w:rPr>
      <w:t>2</w:t>
    </w:r>
    <w:r>
      <w:rPr>
        <w:noProof/>
      </w:rPr>
      <w:fldChar w:fldCharType="end"/>
    </w:r>
  </w:p>
  <w:p w:rsidR="00793A00" w:rsidRDefault="00793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CF" w:rsidRDefault="00C07BCF" w:rsidP="000659EB">
      <w:r>
        <w:separator/>
      </w:r>
    </w:p>
  </w:footnote>
  <w:footnote w:type="continuationSeparator" w:id="0">
    <w:p w:rsidR="00C07BCF" w:rsidRDefault="00C07BCF" w:rsidP="00065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12E"/>
    <w:multiLevelType w:val="hybridMultilevel"/>
    <w:tmpl w:val="0AF6DD04"/>
    <w:lvl w:ilvl="0" w:tplc="1C09000B">
      <w:start w:val="1"/>
      <w:numFmt w:val="bullet"/>
      <w:lvlText w:val=""/>
      <w:lvlJc w:val="left"/>
      <w:pPr>
        <w:ind w:left="1440" w:hanging="360"/>
      </w:pPr>
      <w:rPr>
        <w:rFonts w:ascii="Wingdings" w:hAnsi="Wingdings"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5E13935"/>
    <w:multiLevelType w:val="hybridMultilevel"/>
    <w:tmpl w:val="1ED8BA6C"/>
    <w:lvl w:ilvl="0" w:tplc="0409000D">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
    <w:nsid w:val="0FC82FB5"/>
    <w:multiLevelType w:val="hybridMultilevel"/>
    <w:tmpl w:val="25BAC78E"/>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BD32FF"/>
    <w:multiLevelType w:val="hybridMultilevel"/>
    <w:tmpl w:val="3FEEF0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B70195"/>
    <w:multiLevelType w:val="hybridMultilevel"/>
    <w:tmpl w:val="AFDACC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1224E85"/>
    <w:multiLevelType w:val="hybridMultilevel"/>
    <w:tmpl w:val="2D3239B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nsid w:val="2A2B70E2"/>
    <w:multiLevelType w:val="hybridMultilevel"/>
    <w:tmpl w:val="42A4FFA8"/>
    <w:lvl w:ilvl="0" w:tplc="211225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F8396A"/>
    <w:multiLevelType w:val="hybridMultilevel"/>
    <w:tmpl w:val="BB647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807FE"/>
    <w:multiLevelType w:val="hybridMultilevel"/>
    <w:tmpl w:val="1EDC287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nsid w:val="40D74096"/>
    <w:multiLevelType w:val="hybridMultilevel"/>
    <w:tmpl w:val="14CAD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72E70FB"/>
    <w:multiLevelType w:val="hybridMultilevel"/>
    <w:tmpl w:val="5AA497C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524C6971"/>
    <w:multiLevelType w:val="hybridMultilevel"/>
    <w:tmpl w:val="2618C4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9A016BB"/>
    <w:multiLevelType w:val="hybridMultilevel"/>
    <w:tmpl w:val="33F2534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65F2410B"/>
    <w:multiLevelType w:val="hybridMultilevel"/>
    <w:tmpl w:val="292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90B6A"/>
    <w:multiLevelType w:val="hybridMultilevel"/>
    <w:tmpl w:val="2E747BA4"/>
    <w:lvl w:ilvl="0" w:tplc="E990CAAC">
      <w:start w:val="1"/>
      <w:numFmt w:val="bullet"/>
      <w:lvlText w:val="–"/>
      <w:lvlJc w:val="left"/>
      <w:pPr>
        <w:tabs>
          <w:tab w:val="num" w:pos="720"/>
        </w:tabs>
        <w:ind w:left="720" w:hanging="360"/>
      </w:pPr>
      <w:rPr>
        <w:rFonts w:ascii="Arial" w:hAnsi="Arial" w:hint="default"/>
      </w:rPr>
    </w:lvl>
    <w:lvl w:ilvl="1" w:tplc="DD709712">
      <w:start w:val="1"/>
      <w:numFmt w:val="bullet"/>
      <w:lvlText w:val="–"/>
      <w:lvlJc w:val="left"/>
      <w:pPr>
        <w:tabs>
          <w:tab w:val="num" w:pos="1440"/>
        </w:tabs>
        <w:ind w:left="1440" w:hanging="360"/>
      </w:pPr>
      <w:rPr>
        <w:rFonts w:ascii="Arial" w:hAnsi="Arial" w:hint="default"/>
      </w:rPr>
    </w:lvl>
    <w:lvl w:ilvl="2" w:tplc="2AB272FC" w:tentative="1">
      <w:start w:val="1"/>
      <w:numFmt w:val="bullet"/>
      <w:lvlText w:val="–"/>
      <w:lvlJc w:val="left"/>
      <w:pPr>
        <w:tabs>
          <w:tab w:val="num" w:pos="2160"/>
        </w:tabs>
        <w:ind w:left="2160" w:hanging="360"/>
      </w:pPr>
      <w:rPr>
        <w:rFonts w:ascii="Arial" w:hAnsi="Arial" w:hint="default"/>
      </w:rPr>
    </w:lvl>
    <w:lvl w:ilvl="3" w:tplc="C37628B4" w:tentative="1">
      <w:start w:val="1"/>
      <w:numFmt w:val="bullet"/>
      <w:lvlText w:val="–"/>
      <w:lvlJc w:val="left"/>
      <w:pPr>
        <w:tabs>
          <w:tab w:val="num" w:pos="2880"/>
        </w:tabs>
        <w:ind w:left="2880" w:hanging="360"/>
      </w:pPr>
      <w:rPr>
        <w:rFonts w:ascii="Arial" w:hAnsi="Arial" w:hint="default"/>
      </w:rPr>
    </w:lvl>
    <w:lvl w:ilvl="4" w:tplc="CF4AD082" w:tentative="1">
      <w:start w:val="1"/>
      <w:numFmt w:val="bullet"/>
      <w:lvlText w:val="–"/>
      <w:lvlJc w:val="left"/>
      <w:pPr>
        <w:tabs>
          <w:tab w:val="num" w:pos="3600"/>
        </w:tabs>
        <w:ind w:left="3600" w:hanging="360"/>
      </w:pPr>
      <w:rPr>
        <w:rFonts w:ascii="Arial" w:hAnsi="Arial" w:hint="default"/>
      </w:rPr>
    </w:lvl>
    <w:lvl w:ilvl="5" w:tplc="87E03784" w:tentative="1">
      <w:start w:val="1"/>
      <w:numFmt w:val="bullet"/>
      <w:lvlText w:val="–"/>
      <w:lvlJc w:val="left"/>
      <w:pPr>
        <w:tabs>
          <w:tab w:val="num" w:pos="4320"/>
        </w:tabs>
        <w:ind w:left="4320" w:hanging="360"/>
      </w:pPr>
      <w:rPr>
        <w:rFonts w:ascii="Arial" w:hAnsi="Arial" w:hint="default"/>
      </w:rPr>
    </w:lvl>
    <w:lvl w:ilvl="6" w:tplc="3A6EFB46" w:tentative="1">
      <w:start w:val="1"/>
      <w:numFmt w:val="bullet"/>
      <w:lvlText w:val="–"/>
      <w:lvlJc w:val="left"/>
      <w:pPr>
        <w:tabs>
          <w:tab w:val="num" w:pos="5040"/>
        </w:tabs>
        <w:ind w:left="5040" w:hanging="360"/>
      </w:pPr>
      <w:rPr>
        <w:rFonts w:ascii="Arial" w:hAnsi="Arial" w:hint="default"/>
      </w:rPr>
    </w:lvl>
    <w:lvl w:ilvl="7" w:tplc="41D023EA" w:tentative="1">
      <w:start w:val="1"/>
      <w:numFmt w:val="bullet"/>
      <w:lvlText w:val="–"/>
      <w:lvlJc w:val="left"/>
      <w:pPr>
        <w:tabs>
          <w:tab w:val="num" w:pos="5760"/>
        </w:tabs>
        <w:ind w:left="5760" w:hanging="360"/>
      </w:pPr>
      <w:rPr>
        <w:rFonts w:ascii="Arial" w:hAnsi="Arial" w:hint="default"/>
      </w:rPr>
    </w:lvl>
    <w:lvl w:ilvl="8" w:tplc="14126BC8" w:tentative="1">
      <w:start w:val="1"/>
      <w:numFmt w:val="bullet"/>
      <w:lvlText w:val="–"/>
      <w:lvlJc w:val="left"/>
      <w:pPr>
        <w:tabs>
          <w:tab w:val="num" w:pos="6480"/>
        </w:tabs>
        <w:ind w:left="6480" w:hanging="360"/>
      </w:pPr>
      <w:rPr>
        <w:rFonts w:ascii="Arial" w:hAnsi="Arial" w:hint="default"/>
      </w:rPr>
    </w:lvl>
  </w:abstractNum>
  <w:abstractNum w:abstractNumId="15">
    <w:nsid w:val="6D5D5694"/>
    <w:multiLevelType w:val="hybridMultilevel"/>
    <w:tmpl w:val="4C0A8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F50254D"/>
    <w:multiLevelType w:val="hybridMultilevel"/>
    <w:tmpl w:val="BFDCD1CA"/>
    <w:lvl w:ilvl="0" w:tplc="5846EF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118080A"/>
    <w:multiLevelType w:val="hybridMultilevel"/>
    <w:tmpl w:val="D5AA64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6E53F8"/>
    <w:multiLevelType w:val="hybridMultilevel"/>
    <w:tmpl w:val="51D247A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9">
    <w:nsid w:val="79161896"/>
    <w:multiLevelType w:val="hybridMultilevel"/>
    <w:tmpl w:val="C8D8B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9"/>
  </w:num>
  <w:num w:numId="5">
    <w:abstractNumId w:val="19"/>
  </w:num>
  <w:num w:numId="6">
    <w:abstractNumId w:val="11"/>
  </w:num>
  <w:num w:numId="7">
    <w:abstractNumId w:val="10"/>
  </w:num>
  <w:num w:numId="8">
    <w:abstractNumId w:val="14"/>
  </w:num>
  <w:num w:numId="9">
    <w:abstractNumId w:val="5"/>
  </w:num>
  <w:num w:numId="10">
    <w:abstractNumId w:val="18"/>
  </w:num>
  <w:num w:numId="11">
    <w:abstractNumId w:val="15"/>
  </w:num>
  <w:num w:numId="12">
    <w:abstractNumId w:val="0"/>
  </w:num>
  <w:num w:numId="13">
    <w:abstractNumId w:val="3"/>
  </w:num>
  <w:num w:numId="14">
    <w:abstractNumId w:val="4"/>
  </w:num>
  <w:num w:numId="15">
    <w:abstractNumId w:val="2"/>
  </w:num>
  <w:num w:numId="16">
    <w:abstractNumId w:val="12"/>
  </w:num>
  <w:num w:numId="17">
    <w:abstractNumId w:val="1"/>
  </w:num>
  <w:num w:numId="18">
    <w:abstractNumId w:val="13"/>
  </w:num>
  <w:num w:numId="19">
    <w:abstractNumId w:val="7"/>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EB"/>
    <w:rsid w:val="00000E16"/>
    <w:rsid w:val="00010F2A"/>
    <w:rsid w:val="000148DF"/>
    <w:rsid w:val="000302B7"/>
    <w:rsid w:val="00044EB9"/>
    <w:rsid w:val="00047345"/>
    <w:rsid w:val="0005122B"/>
    <w:rsid w:val="0006000B"/>
    <w:rsid w:val="000659EB"/>
    <w:rsid w:val="00066C83"/>
    <w:rsid w:val="000723B5"/>
    <w:rsid w:val="00082C9C"/>
    <w:rsid w:val="00086DCB"/>
    <w:rsid w:val="000A2864"/>
    <w:rsid w:val="000A3172"/>
    <w:rsid w:val="000A7B2B"/>
    <w:rsid w:val="000B1EB0"/>
    <w:rsid w:val="000B7D48"/>
    <w:rsid w:val="000C25AA"/>
    <w:rsid w:val="000C4A0B"/>
    <w:rsid w:val="000D51FD"/>
    <w:rsid w:val="000F232B"/>
    <w:rsid w:val="000F3F59"/>
    <w:rsid w:val="000F6686"/>
    <w:rsid w:val="000F7D81"/>
    <w:rsid w:val="00102FCA"/>
    <w:rsid w:val="00104ED8"/>
    <w:rsid w:val="00131D20"/>
    <w:rsid w:val="001431DA"/>
    <w:rsid w:val="0015429B"/>
    <w:rsid w:val="00160A34"/>
    <w:rsid w:val="00172FD4"/>
    <w:rsid w:val="0018503D"/>
    <w:rsid w:val="001876E2"/>
    <w:rsid w:val="00187DEF"/>
    <w:rsid w:val="001948AB"/>
    <w:rsid w:val="001A343F"/>
    <w:rsid w:val="001A76DA"/>
    <w:rsid w:val="001B44FC"/>
    <w:rsid w:val="001C164A"/>
    <w:rsid w:val="001E216F"/>
    <w:rsid w:val="002038B3"/>
    <w:rsid w:val="00204AB3"/>
    <w:rsid w:val="0020714A"/>
    <w:rsid w:val="00207808"/>
    <w:rsid w:val="002114B1"/>
    <w:rsid w:val="00277563"/>
    <w:rsid w:val="002A67C4"/>
    <w:rsid w:val="002B1C7A"/>
    <w:rsid w:val="002C460D"/>
    <w:rsid w:val="002E00EE"/>
    <w:rsid w:val="002E4500"/>
    <w:rsid w:val="002E6623"/>
    <w:rsid w:val="002E7418"/>
    <w:rsid w:val="002F1CA7"/>
    <w:rsid w:val="002F27DB"/>
    <w:rsid w:val="002F3967"/>
    <w:rsid w:val="002F7324"/>
    <w:rsid w:val="003036DC"/>
    <w:rsid w:val="00315687"/>
    <w:rsid w:val="00333483"/>
    <w:rsid w:val="003577C6"/>
    <w:rsid w:val="00371E70"/>
    <w:rsid w:val="0038333B"/>
    <w:rsid w:val="00396C77"/>
    <w:rsid w:val="003A1F79"/>
    <w:rsid w:val="003B1A61"/>
    <w:rsid w:val="003B27A7"/>
    <w:rsid w:val="003B6C6E"/>
    <w:rsid w:val="003D7D3A"/>
    <w:rsid w:val="003F56DD"/>
    <w:rsid w:val="00405A18"/>
    <w:rsid w:val="00413D1B"/>
    <w:rsid w:val="00434147"/>
    <w:rsid w:val="00440FFE"/>
    <w:rsid w:val="00456F17"/>
    <w:rsid w:val="00473ABB"/>
    <w:rsid w:val="00475C0F"/>
    <w:rsid w:val="00475FAB"/>
    <w:rsid w:val="0048271D"/>
    <w:rsid w:val="004833D4"/>
    <w:rsid w:val="00491B71"/>
    <w:rsid w:val="004951C8"/>
    <w:rsid w:val="004C0128"/>
    <w:rsid w:val="004C1E4E"/>
    <w:rsid w:val="004D0197"/>
    <w:rsid w:val="004E22A4"/>
    <w:rsid w:val="00503E07"/>
    <w:rsid w:val="0050771A"/>
    <w:rsid w:val="0051176D"/>
    <w:rsid w:val="00527B3E"/>
    <w:rsid w:val="005320DD"/>
    <w:rsid w:val="005333C4"/>
    <w:rsid w:val="005345BC"/>
    <w:rsid w:val="005349DE"/>
    <w:rsid w:val="00536190"/>
    <w:rsid w:val="0054067D"/>
    <w:rsid w:val="00544968"/>
    <w:rsid w:val="00553517"/>
    <w:rsid w:val="005552C9"/>
    <w:rsid w:val="00564E75"/>
    <w:rsid w:val="0059098B"/>
    <w:rsid w:val="00592077"/>
    <w:rsid w:val="005B573A"/>
    <w:rsid w:val="005C7068"/>
    <w:rsid w:val="005C72BE"/>
    <w:rsid w:val="005C7548"/>
    <w:rsid w:val="006160BD"/>
    <w:rsid w:val="00623F06"/>
    <w:rsid w:val="00637F73"/>
    <w:rsid w:val="00646A31"/>
    <w:rsid w:val="00656A44"/>
    <w:rsid w:val="00680812"/>
    <w:rsid w:val="00690E69"/>
    <w:rsid w:val="006C0B0D"/>
    <w:rsid w:val="006C7656"/>
    <w:rsid w:val="006D1FA3"/>
    <w:rsid w:val="006D5CCD"/>
    <w:rsid w:val="006E15C8"/>
    <w:rsid w:val="006F3076"/>
    <w:rsid w:val="007101A2"/>
    <w:rsid w:val="007118AC"/>
    <w:rsid w:val="0072242F"/>
    <w:rsid w:val="00731531"/>
    <w:rsid w:val="00733321"/>
    <w:rsid w:val="00733757"/>
    <w:rsid w:val="007348FF"/>
    <w:rsid w:val="00756069"/>
    <w:rsid w:val="007607B3"/>
    <w:rsid w:val="007839EE"/>
    <w:rsid w:val="00793A00"/>
    <w:rsid w:val="007B1F10"/>
    <w:rsid w:val="007B6B65"/>
    <w:rsid w:val="007D0440"/>
    <w:rsid w:val="007E49E2"/>
    <w:rsid w:val="007E527C"/>
    <w:rsid w:val="007E64EF"/>
    <w:rsid w:val="008058ED"/>
    <w:rsid w:val="00815632"/>
    <w:rsid w:val="00824E42"/>
    <w:rsid w:val="008458EA"/>
    <w:rsid w:val="00847934"/>
    <w:rsid w:val="00851D8C"/>
    <w:rsid w:val="0085349B"/>
    <w:rsid w:val="00866F49"/>
    <w:rsid w:val="0087341C"/>
    <w:rsid w:val="00882311"/>
    <w:rsid w:val="00883E19"/>
    <w:rsid w:val="00885075"/>
    <w:rsid w:val="008853DB"/>
    <w:rsid w:val="00892125"/>
    <w:rsid w:val="00892889"/>
    <w:rsid w:val="008944CE"/>
    <w:rsid w:val="008970E3"/>
    <w:rsid w:val="008C1A4A"/>
    <w:rsid w:val="008C5449"/>
    <w:rsid w:val="008C6686"/>
    <w:rsid w:val="008C678F"/>
    <w:rsid w:val="008C780E"/>
    <w:rsid w:val="008D514B"/>
    <w:rsid w:val="008D565C"/>
    <w:rsid w:val="008E0F41"/>
    <w:rsid w:val="008E5F1C"/>
    <w:rsid w:val="008F1B80"/>
    <w:rsid w:val="008F3584"/>
    <w:rsid w:val="00903A1E"/>
    <w:rsid w:val="009157E0"/>
    <w:rsid w:val="00922EBB"/>
    <w:rsid w:val="00931A3F"/>
    <w:rsid w:val="00935E0C"/>
    <w:rsid w:val="009467D0"/>
    <w:rsid w:val="009469E7"/>
    <w:rsid w:val="0095654C"/>
    <w:rsid w:val="0096321D"/>
    <w:rsid w:val="009771EB"/>
    <w:rsid w:val="009830CD"/>
    <w:rsid w:val="009936AD"/>
    <w:rsid w:val="009A5D41"/>
    <w:rsid w:val="009A777A"/>
    <w:rsid w:val="009B4C2A"/>
    <w:rsid w:val="009B6997"/>
    <w:rsid w:val="009D141A"/>
    <w:rsid w:val="009D2863"/>
    <w:rsid w:val="009E793E"/>
    <w:rsid w:val="00A24596"/>
    <w:rsid w:val="00A345B6"/>
    <w:rsid w:val="00A40D3B"/>
    <w:rsid w:val="00A445EE"/>
    <w:rsid w:val="00A5190D"/>
    <w:rsid w:val="00A56CDD"/>
    <w:rsid w:val="00A633B7"/>
    <w:rsid w:val="00A655A6"/>
    <w:rsid w:val="00A73611"/>
    <w:rsid w:val="00A73C79"/>
    <w:rsid w:val="00A74926"/>
    <w:rsid w:val="00A96006"/>
    <w:rsid w:val="00A976C6"/>
    <w:rsid w:val="00AA7569"/>
    <w:rsid w:val="00AD1299"/>
    <w:rsid w:val="00AD44D9"/>
    <w:rsid w:val="00AD61DB"/>
    <w:rsid w:val="00AE125A"/>
    <w:rsid w:val="00AE707E"/>
    <w:rsid w:val="00AE7A2D"/>
    <w:rsid w:val="00B3038F"/>
    <w:rsid w:val="00B3342A"/>
    <w:rsid w:val="00B34B30"/>
    <w:rsid w:val="00B35BA6"/>
    <w:rsid w:val="00B452C9"/>
    <w:rsid w:val="00B508FA"/>
    <w:rsid w:val="00B52266"/>
    <w:rsid w:val="00B67FD6"/>
    <w:rsid w:val="00B74C84"/>
    <w:rsid w:val="00B96C05"/>
    <w:rsid w:val="00BA4033"/>
    <w:rsid w:val="00BD2556"/>
    <w:rsid w:val="00BF5D7A"/>
    <w:rsid w:val="00C07369"/>
    <w:rsid w:val="00C07BCF"/>
    <w:rsid w:val="00C07C22"/>
    <w:rsid w:val="00C1668A"/>
    <w:rsid w:val="00C1756C"/>
    <w:rsid w:val="00C2092E"/>
    <w:rsid w:val="00C21F41"/>
    <w:rsid w:val="00C22902"/>
    <w:rsid w:val="00C3008A"/>
    <w:rsid w:val="00C42945"/>
    <w:rsid w:val="00C45100"/>
    <w:rsid w:val="00C5337D"/>
    <w:rsid w:val="00C57EF0"/>
    <w:rsid w:val="00C82DC3"/>
    <w:rsid w:val="00C85EA7"/>
    <w:rsid w:val="00C86934"/>
    <w:rsid w:val="00CA4DCF"/>
    <w:rsid w:val="00CD1CE3"/>
    <w:rsid w:val="00CE729E"/>
    <w:rsid w:val="00CF07BB"/>
    <w:rsid w:val="00CF635A"/>
    <w:rsid w:val="00D06295"/>
    <w:rsid w:val="00D11E7D"/>
    <w:rsid w:val="00D1684A"/>
    <w:rsid w:val="00D1685F"/>
    <w:rsid w:val="00D36DFE"/>
    <w:rsid w:val="00D40919"/>
    <w:rsid w:val="00D57407"/>
    <w:rsid w:val="00D6477A"/>
    <w:rsid w:val="00D72CF3"/>
    <w:rsid w:val="00D83B2D"/>
    <w:rsid w:val="00D846B9"/>
    <w:rsid w:val="00D87404"/>
    <w:rsid w:val="00DA16EB"/>
    <w:rsid w:val="00DB4B6E"/>
    <w:rsid w:val="00DC00C4"/>
    <w:rsid w:val="00DD570C"/>
    <w:rsid w:val="00DF1DED"/>
    <w:rsid w:val="00E03FF2"/>
    <w:rsid w:val="00E14CB9"/>
    <w:rsid w:val="00E17414"/>
    <w:rsid w:val="00E322F0"/>
    <w:rsid w:val="00E3360E"/>
    <w:rsid w:val="00E4186C"/>
    <w:rsid w:val="00E45134"/>
    <w:rsid w:val="00E5365C"/>
    <w:rsid w:val="00E55D6E"/>
    <w:rsid w:val="00E668AB"/>
    <w:rsid w:val="00E70844"/>
    <w:rsid w:val="00E77170"/>
    <w:rsid w:val="00E95E96"/>
    <w:rsid w:val="00E968FD"/>
    <w:rsid w:val="00EA1028"/>
    <w:rsid w:val="00EA5EB4"/>
    <w:rsid w:val="00EB3158"/>
    <w:rsid w:val="00EC06EF"/>
    <w:rsid w:val="00ED50F1"/>
    <w:rsid w:val="00EF09AF"/>
    <w:rsid w:val="00F04CAA"/>
    <w:rsid w:val="00F152D1"/>
    <w:rsid w:val="00F267CF"/>
    <w:rsid w:val="00F30A50"/>
    <w:rsid w:val="00F310D0"/>
    <w:rsid w:val="00F31310"/>
    <w:rsid w:val="00F44376"/>
    <w:rsid w:val="00F5573D"/>
    <w:rsid w:val="00F64294"/>
    <w:rsid w:val="00F911AE"/>
    <w:rsid w:val="00F91ECF"/>
    <w:rsid w:val="00F975C2"/>
    <w:rsid w:val="00FA2DBD"/>
    <w:rsid w:val="00FA54C0"/>
    <w:rsid w:val="00FA78A9"/>
    <w:rsid w:val="00FD6000"/>
    <w:rsid w:val="00FD7DB2"/>
    <w:rsid w:val="00FF40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ED0A34-0777-4F7C-8D3A-5AA0603D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EB"/>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0659EB"/>
    <w:pPr>
      <w:keepNext/>
      <w:jc w:val="center"/>
      <w:outlineLvl w:val="2"/>
    </w:pPr>
    <w:rPr>
      <w:rFonts w:ascii="Arial" w:hAnsi="Arial"/>
      <w:b/>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659EB"/>
    <w:rPr>
      <w:rFonts w:ascii="Arial" w:eastAsia="Times New Roman" w:hAnsi="Arial" w:cs="Times New Roman"/>
      <w:b/>
      <w:sz w:val="24"/>
      <w:szCs w:val="20"/>
      <w:lang w:val="en-ZA"/>
    </w:rPr>
  </w:style>
  <w:style w:type="paragraph" w:styleId="BodyText">
    <w:name w:val="Body Text"/>
    <w:basedOn w:val="Normal"/>
    <w:link w:val="BodyTextChar"/>
    <w:uiPriority w:val="99"/>
    <w:rsid w:val="000659EB"/>
    <w:pPr>
      <w:jc w:val="both"/>
    </w:pPr>
    <w:rPr>
      <w:sz w:val="20"/>
      <w:szCs w:val="20"/>
      <w:lang w:val="en-US"/>
    </w:rPr>
  </w:style>
  <w:style w:type="character" w:customStyle="1" w:styleId="BodyTextChar">
    <w:name w:val="Body Text Char"/>
    <w:basedOn w:val="DefaultParagraphFont"/>
    <w:link w:val="BodyText"/>
    <w:uiPriority w:val="99"/>
    <w:rsid w:val="000659EB"/>
    <w:rPr>
      <w:rFonts w:ascii="Times New Roman" w:eastAsia="Times New Roman" w:hAnsi="Times New Roman" w:cs="Times New Roman"/>
      <w:sz w:val="20"/>
      <w:szCs w:val="20"/>
    </w:rPr>
  </w:style>
  <w:style w:type="paragraph" w:styleId="ListParagraph">
    <w:name w:val="List Paragraph"/>
    <w:basedOn w:val="Normal"/>
    <w:uiPriority w:val="34"/>
    <w:qFormat/>
    <w:rsid w:val="000659EB"/>
    <w:pPr>
      <w:ind w:left="720"/>
      <w:contextualSpacing/>
    </w:pPr>
  </w:style>
  <w:style w:type="paragraph" w:styleId="Header">
    <w:name w:val="header"/>
    <w:basedOn w:val="Normal"/>
    <w:link w:val="HeaderChar"/>
    <w:uiPriority w:val="99"/>
    <w:unhideWhenUsed/>
    <w:rsid w:val="000659EB"/>
    <w:pPr>
      <w:tabs>
        <w:tab w:val="center" w:pos="4680"/>
        <w:tab w:val="right" w:pos="9360"/>
      </w:tabs>
    </w:pPr>
  </w:style>
  <w:style w:type="character" w:customStyle="1" w:styleId="HeaderChar">
    <w:name w:val="Header Char"/>
    <w:basedOn w:val="DefaultParagraphFont"/>
    <w:link w:val="Header"/>
    <w:uiPriority w:val="99"/>
    <w:rsid w:val="00065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659EB"/>
    <w:pPr>
      <w:tabs>
        <w:tab w:val="center" w:pos="4680"/>
        <w:tab w:val="right" w:pos="9360"/>
      </w:tabs>
    </w:pPr>
  </w:style>
  <w:style w:type="character" w:customStyle="1" w:styleId="FooterChar">
    <w:name w:val="Footer Char"/>
    <w:basedOn w:val="DefaultParagraphFont"/>
    <w:link w:val="Footer"/>
    <w:uiPriority w:val="99"/>
    <w:rsid w:val="000659E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87341C"/>
    <w:pPr>
      <w:spacing w:after="120" w:line="480" w:lineRule="auto"/>
      <w:ind w:left="360"/>
    </w:pPr>
  </w:style>
  <w:style w:type="character" w:customStyle="1" w:styleId="BodyTextIndent2Char">
    <w:name w:val="Body Text Indent 2 Char"/>
    <w:basedOn w:val="DefaultParagraphFont"/>
    <w:link w:val="BodyTextIndent2"/>
    <w:uiPriority w:val="99"/>
    <w:rsid w:val="0087341C"/>
    <w:rPr>
      <w:rFonts w:ascii="Times New Roman" w:eastAsia="Times New Roman" w:hAnsi="Times New Roman" w:cs="Times New Roman"/>
      <w:sz w:val="24"/>
      <w:szCs w:val="24"/>
      <w:lang w:val="en-GB"/>
    </w:rPr>
  </w:style>
  <w:style w:type="paragraph" w:styleId="NormalWeb">
    <w:name w:val="Normal (Web)"/>
    <w:basedOn w:val="Normal"/>
    <w:rsid w:val="00F975C2"/>
    <w:pPr>
      <w:spacing w:before="100" w:beforeAutospacing="1" w:after="100" w:afterAutospacing="1"/>
    </w:pPr>
    <w:rPr>
      <w:lang w:val="en-US"/>
    </w:rPr>
  </w:style>
  <w:style w:type="paragraph" w:styleId="FootnoteText">
    <w:name w:val="footnote text"/>
    <w:basedOn w:val="Normal"/>
    <w:link w:val="FootnoteTextChar"/>
    <w:semiHidden/>
    <w:rsid w:val="009A5D41"/>
    <w:rPr>
      <w:sz w:val="20"/>
      <w:szCs w:val="20"/>
      <w:lang w:val="en-ZA" w:eastAsia="en-ZA"/>
    </w:rPr>
  </w:style>
  <w:style w:type="character" w:customStyle="1" w:styleId="FootnoteTextChar">
    <w:name w:val="Footnote Text Char"/>
    <w:basedOn w:val="DefaultParagraphFont"/>
    <w:link w:val="FootnoteText"/>
    <w:semiHidden/>
    <w:rsid w:val="009A5D41"/>
    <w:rPr>
      <w:rFonts w:ascii="Times New Roman" w:eastAsia="Times New Roman" w:hAnsi="Times New Roman"/>
      <w:lang w:val="en-ZA" w:eastAsia="en-ZA"/>
    </w:rPr>
  </w:style>
  <w:style w:type="character" w:styleId="FootnoteReference">
    <w:name w:val="footnote reference"/>
    <w:basedOn w:val="DefaultParagraphFont"/>
    <w:uiPriority w:val="99"/>
    <w:rsid w:val="009A5D41"/>
    <w:rPr>
      <w:vertAlign w:val="superscript"/>
    </w:rPr>
  </w:style>
  <w:style w:type="paragraph" w:customStyle="1" w:styleId="Default">
    <w:name w:val="Default"/>
    <w:rsid w:val="00CF635A"/>
    <w:pPr>
      <w:autoSpaceDE w:val="0"/>
      <w:autoSpaceDN w:val="0"/>
      <w:adjustRightInd w:val="0"/>
    </w:pPr>
    <w:rPr>
      <w:rFonts w:ascii="Arial" w:hAnsi="Arial" w:cs="Arial"/>
      <w:color w:val="000000"/>
      <w:sz w:val="24"/>
      <w:szCs w:val="24"/>
      <w:lang w:val="en-ZA"/>
    </w:rPr>
  </w:style>
  <w:style w:type="paragraph" w:styleId="Subtitle">
    <w:name w:val="Subtitle"/>
    <w:basedOn w:val="Normal"/>
    <w:next w:val="Normal"/>
    <w:link w:val="SubtitleChar"/>
    <w:uiPriority w:val="11"/>
    <w:qFormat/>
    <w:rsid w:val="006D5C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5CCD"/>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3315">
      <w:bodyDiv w:val="1"/>
      <w:marLeft w:val="0"/>
      <w:marRight w:val="0"/>
      <w:marTop w:val="0"/>
      <w:marBottom w:val="0"/>
      <w:divBdr>
        <w:top w:val="none" w:sz="0" w:space="0" w:color="auto"/>
        <w:left w:val="none" w:sz="0" w:space="0" w:color="auto"/>
        <w:bottom w:val="none" w:sz="0" w:space="0" w:color="auto"/>
        <w:right w:val="none" w:sz="0" w:space="0" w:color="auto"/>
      </w:divBdr>
      <w:divsChild>
        <w:div w:id="1845704746">
          <w:marLeft w:val="547"/>
          <w:marRight w:val="0"/>
          <w:marTop w:val="86"/>
          <w:marBottom w:val="0"/>
          <w:divBdr>
            <w:top w:val="none" w:sz="0" w:space="0" w:color="auto"/>
            <w:left w:val="none" w:sz="0" w:space="0" w:color="auto"/>
            <w:bottom w:val="none" w:sz="0" w:space="0" w:color="auto"/>
            <w:right w:val="none" w:sz="0" w:space="0" w:color="auto"/>
          </w:divBdr>
        </w:div>
        <w:div w:id="830828197">
          <w:marLeft w:val="547"/>
          <w:marRight w:val="0"/>
          <w:marTop w:val="86"/>
          <w:marBottom w:val="0"/>
          <w:divBdr>
            <w:top w:val="none" w:sz="0" w:space="0" w:color="auto"/>
            <w:left w:val="none" w:sz="0" w:space="0" w:color="auto"/>
            <w:bottom w:val="none" w:sz="0" w:space="0" w:color="auto"/>
            <w:right w:val="none" w:sz="0" w:space="0" w:color="auto"/>
          </w:divBdr>
        </w:div>
        <w:div w:id="1373463652">
          <w:marLeft w:val="547"/>
          <w:marRight w:val="0"/>
          <w:marTop w:val="86"/>
          <w:marBottom w:val="0"/>
          <w:divBdr>
            <w:top w:val="none" w:sz="0" w:space="0" w:color="auto"/>
            <w:left w:val="none" w:sz="0" w:space="0" w:color="auto"/>
            <w:bottom w:val="none" w:sz="0" w:space="0" w:color="auto"/>
            <w:right w:val="none" w:sz="0" w:space="0" w:color="auto"/>
          </w:divBdr>
        </w:div>
        <w:div w:id="1991664455">
          <w:marLeft w:val="547"/>
          <w:marRight w:val="0"/>
          <w:marTop w:val="86"/>
          <w:marBottom w:val="0"/>
          <w:divBdr>
            <w:top w:val="none" w:sz="0" w:space="0" w:color="auto"/>
            <w:left w:val="none" w:sz="0" w:space="0" w:color="auto"/>
            <w:bottom w:val="none" w:sz="0" w:space="0" w:color="auto"/>
            <w:right w:val="none" w:sz="0" w:space="0" w:color="auto"/>
          </w:divBdr>
        </w:div>
        <w:div w:id="1225607273">
          <w:marLeft w:val="547"/>
          <w:marRight w:val="0"/>
          <w:marTop w:val="86"/>
          <w:marBottom w:val="0"/>
          <w:divBdr>
            <w:top w:val="none" w:sz="0" w:space="0" w:color="auto"/>
            <w:left w:val="none" w:sz="0" w:space="0" w:color="auto"/>
            <w:bottom w:val="none" w:sz="0" w:space="0" w:color="auto"/>
            <w:right w:val="none" w:sz="0" w:space="0" w:color="auto"/>
          </w:divBdr>
        </w:div>
        <w:div w:id="1960644512">
          <w:marLeft w:val="547"/>
          <w:marRight w:val="0"/>
          <w:marTop w:val="86"/>
          <w:marBottom w:val="0"/>
          <w:divBdr>
            <w:top w:val="none" w:sz="0" w:space="0" w:color="auto"/>
            <w:left w:val="none" w:sz="0" w:space="0" w:color="auto"/>
            <w:bottom w:val="none" w:sz="0" w:space="0" w:color="auto"/>
            <w:right w:val="none" w:sz="0" w:space="0" w:color="auto"/>
          </w:divBdr>
        </w:div>
        <w:div w:id="2032295956">
          <w:marLeft w:val="547"/>
          <w:marRight w:val="0"/>
          <w:marTop w:val="86"/>
          <w:marBottom w:val="0"/>
          <w:divBdr>
            <w:top w:val="none" w:sz="0" w:space="0" w:color="auto"/>
            <w:left w:val="none" w:sz="0" w:space="0" w:color="auto"/>
            <w:bottom w:val="none" w:sz="0" w:space="0" w:color="auto"/>
            <w:right w:val="none" w:sz="0" w:space="0" w:color="auto"/>
          </w:divBdr>
        </w:div>
      </w:divsChild>
    </w:div>
    <w:div w:id="793795653">
      <w:bodyDiv w:val="1"/>
      <w:marLeft w:val="0"/>
      <w:marRight w:val="0"/>
      <w:marTop w:val="0"/>
      <w:marBottom w:val="0"/>
      <w:divBdr>
        <w:top w:val="none" w:sz="0" w:space="0" w:color="auto"/>
        <w:left w:val="none" w:sz="0" w:space="0" w:color="auto"/>
        <w:bottom w:val="none" w:sz="0" w:space="0" w:color="auto"/>
        <w:right w:val="none" w:sz="0" w:space="0" w:color="auto"/>
      </w:divBdr>
    </w:div>
    <w:div w:id="1262638787">
      <w:bodyDiv w:val="1"/>
      <w:marLeft w:val="0"/>
      <w:marRight w:val="0"/>
      <w:marTop w:val="0"/>
      <w:marBottom w:val="0"/>
      <w:divBdr>
        <w:top w:val="none" w:sz="0" w:space="0" w:color="auto"/>
        <w:left w:val="none" w:sz="0" w:space="0" w:color="auto"/>
        <w:bottom w:val="none" w:sz="0" w:space="0" w:color="auto"/>
        <w:right w:val="none" w:sz="0" w:space="0" w:color="auto"/>
      </w:divBdr>
    </w:div>
    <w:div w:id="2007591947">
      <w:bodyDiv w:val="1"/>
      <w:marLeft w:val="0"/>
      <w:marRight w:val="0"/>
      <w:marTop w:val="0"/>
      <w:marBottom w:val="0"/>
      <w:divBdr>
        <w:top w:val="none" w:sz="0" w:space="0" w:color="auto"/>
        <w:left w:val="none" w:sz="0" w:space="0" w:color="auto"/>
        <w:bottom w:val="none" w:sz="0" w:space="0" w:color="auto"/>
        <w:right w:val="none" w:sz="0" w:space="0" w:color="auto"/>
      </w:divBdr>
      <w:divsChild>
        <w:div w:id="252318491">
          <w:marLeft w:val="1166"/>
          <w:marRight w:val="0"/>
          <w:marTop w:val="134"/>
          <w:marBottom w:val="0"/>
          <w:divBdr>
            <w:top w:val="none" w:sz="0" w:space="0" w:color="auto"/>
            <w:left w:val="none" w:sz="0" w:space="0" w:color="auto"/>
            <w:bottom w:val="none" w:sz="0" w:space="0" w:color="auto"/>
            <w:right w:val="none" w:sz="0" w:space="0" w:color="auto"/>
          </w:divBdr>
        </w:div>
        <w:div w:id="570772977">
          <w:marLeft w:val="1166"/>
          <w:marRight w:val="0"/>
          <w:marTop w:val="134"/>
          <w:marBottom w:val="0"/>
          <w:divBdr>
            <w:top w:val="none" w:sz="0" w:space="0" w:color="auto"/>
            <w:left w:val="none" w:sz="0" w:space="0" w:color="auto"/>
            <w:bottom w:val="none" w:sz="0" w:space="0" w:color="auto"/>
            <w:right w:val="none" w:sz="0" w:space="0" w:color="auto"/>
          </w:divBdr>
        </w:div>
        <w:div w:id="132916568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3BA7-FDDC-4243-92D4-D597F59B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L. McKay</dc:creator>
  <cp:lastModifiedBy>Noziphiwo Dinizulu</cp:lastModifiedBy>
  <cp:revision>2</cp:revision>
  <cp:lastPrinted>2012-05-18T09:09:00Z</cp:lastPrinted>
  <dcterms:created xsi:type="dcterms:W3CDTF">2016-05-05T10:16:00Z</dcterms:created>
  <dcterms:modified xsi:type="dcterms:W3CDTF">2016-05-05T10:16:00Z</dcterms:modified>
</cp:coreProperties>
</file>