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38" w:rsidRPr="00675023" w:rsidRDefault="00121E2D" w:rsidP="00592363">
      <w:pPr>
        <w:pStyle w:val="Heading1"/>
        <w:spacing w:line="360" w:lineRule="auto"/>
        <w:jc w:val="both"/>
        <w:rPr>
          <w:rFonts w:ascii="Times New Roman" w:hAnsi="Times New Roman" w:cs="Times New Roman"/>
          <w:color w:val="auto"/>
          <w:sz w:val="24"/>
          <w:szCs w:val="24"/>
          <w:lang w:val="en-ZA"/>
        </w:rPr>
      </w:pPr>
      <w:bookmarkStart w:id="0" w:name="_GoBack"/>
      <w:bookmarkEnd w:id="0"/>
      <w:r>
        <w:rPr>
          <w:rFonts w:ascii="Times New Roman" w:hAnsi="Times New Roman" w:cs="Times New Roman"/>
          <w:color w:val="auto"/>
          <w:sz w:val="24"/>
          <w:szCs w:val="24"/>
          <w:lang w:val="en-ZA"/>
        </w:rPr>
        <w:t xml:space="preserve">10. </w:t>
      </w:r>
      <w:r w:rsidR="00E24C38" w:rsidRPr="00675023">
        <w:rPr>
          <w:rFonts w:ascii="Times New Roman" w:hAnsi="Times New Roman" w:cs="Times New Roman"/>
          <w:color w:val="auto"/>
          <w:sz w:val="24"/>
          <w:szCs w:val="24"/>
          <w:lang w:val="en-ZA"/>
        </w:rPr>
        <w:t>Report of the Portfolio Committee on Trade and Industry on Budget Vote 3</w:t>
      </w:r>
      <w:r w:rsidR="001672D5" w:rsidRPr="00675023">
        <w:rPr>
          <w:rFonts w:ascii="Times New Roman" w:hAnsi="Times New Roman" w:cs="Times New Roman"/>
          <w:color w:val="auto"/>
          <w:sz w:val="24"/>
          <w:szCs w:val="24"/>
          <w:lang w:val="en-ZA"/>
        </w:rPr>
        <w:t>4</w:t>
      </w:r>
      <w:r w:rsidR="00E24C38" w:rsidRPr="00675023">
        <w:rPr>
          <w:rFonts w:ascii="Times New Roman" w:hAnsi="Times New Roman" w:cs="Times New Roman"/>
          <w:color w:val="auto"/>
          <w:sz w:val="24"/>
          <w:szCs w:val="24"/>
          <w:lang w:val="en-ZA"/>
        </w:rPr>
        <w:t>: Trade</w:t>
      </w:r>
      <w:r w:rsidR="00A51ABD">
        <w:rPr>
          <w:rFonts w:ascii="Times New Roman" w:hAnsi="Times New Roman" w:cs="Times New Roman"/>
          <w:color w:val="auto"/>
          <w:sz w:val="24"/>
          <w:szCs w:val="24"/>
          <w:lang w:val="en-ZA"/>
        </w:rPr>
        <w:t xml:space="preserve"> and Industry, dated 19 </w:t>
      </w:r>
      <w:r w:rsidR="00E8046D" w:rsidRPr="00675023">
        <w:rPr>
          <w:rFonts w:ascii="Times New Roman" w:hAnsi="Times New Roman" w:cs="Times New Roman"/>
          <w:color w:val="auto"/>
          <w:sz w:val="24"/>
          <w:szCs w:val="24"/>
          <w:lang w:val="en-ZA"/>
        </w:rPr>
        <w:t>April</w:t>
      </w:r>
      <w:r w:rsidR="001D01C6" w:rsidRPr="00675023">
        <w:rPr>
          <w:rFonts w:ascii="Times New Roman" w:hAnsi="Times New Roman" w:cs="Times New Roman"/>
          <w:color w:val="auto"/>
          <w:sz w:val="24"/>
          <w:szCs w:val="24"/>
          <w:lang w:val="en-ZA"/>
        </w:rPr>
        <w:t xml:space="preserve"> </w:t>
      </w:r>
      <w:r w:rsidR="00335BE1" w:rsidRPr="00675023">
        <w:rPr>
          <w:rFonts w:ascii="Times New Roman" w:hAnsi="Times New Roman" w:cs="Times New Roman"/>
          <w:color w:val="auto"/>
          <w:sz w:val="24"/>
          <w:szCs w:val="24"/>
          <w:lang w:val="en-ZA"/>
        </w:rPr>
        <w:t>201</w:t>
      </w:r>
      <w:r w:rsidR="001D01C6" w:rsidRPr="00675023">
        <w:rPr>
          <w:rFonts w:ascii="Times New Roman" w:hAnsi="Times New Roman" w:cs="Times New Roman"/>
          <w:color w:val="auto"/>
          <w:sz w:val="24"/>
          <w:szCs w:val="24"/>
          <w:lang w:val="en-ZA"/>
        </w:rPr>
        <w:t>6</w:t>
      </w:r>
    </w:p>
    <w:p w:rsidR="00E24C38" w:rsidRPr="00675023" w:rsidRDefault="00E24C38" w:rsidP="00592363">
      <w:pPr>
        <w:spacing w:after="0" w:line="360" w:lineRule="auto"/>
        <w:jc w:val="both"/>
        <w:rPr>
          <w:rFonts w:ascii="Times New Roman" w:hAnsi="Times New Roman" w:cs="Times New Roman"/>
          <w:sz w:val="24"/>
          <w:szCs w:val="24"/>
        </w:rPr>
      </w:pPr>
    </w:p>
    <w:p w:rsidR="00E24C38" w:rsidRPr="00675023" w:rsidRDefault="00E24C38"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Portfolio Committee on Trade and Industry, having considered Budget Vote 3</w:t>
      </w:r>
      <w:r w:rsidR="008E12E1" w:rsidRPr="00675023">
        <w:rPr>
          <w:rFonts w:ascii="Times New Roman" w:hAnsi="Times New Roman" w:cs="Times New Roman"/>
          <w:sz w:val="24"/>
          <w:szCs w:val="24"/>
        </w:rPr>
        <w:t>4</w:t>
      </w:r>
      <w:r w:rsidRPr="00675023">
        <w:rPr>
          <w:rFonts w:ascii="Times New Roman" w:hAnsi="Times New Roman" w:cs="Times New Roman"/>
          <w:sz w:val="24"/>
          <w:szCs w:val="24"/>
        </w:rPr>
        <w:t xml:space="preserve">: Trade and Industry, reports as follows: </w:t>
      </w:r>
    </w:p>
    <w:p w:rsidR="00041F2E" w:rsidRPr="00675023" w:rsidRDefault="00041F2E" w:rsidP="00592363">
      <w:pPr>
        <w:spacing w:after="0" w:line="360" w:lineRule="auto"/>
        <w:jc w:val="both"/>
        <w:rPr>
          <w:rFonts w:ascii="Times New Roman" w:hAnsi="Times New Roman" w:cs="Times New Roman"/>
          <w:sz w:val="24"/>
          <w:szCs w:val="24"/>
        </w:rPr>
      </w:pPr>
    </w:p>
    <w:p w:rsidR="005069AB" w:rsidRPr="00675023" w:rsidRDefault="005069AB" w:rsidP="00592363">
      <w:pPr>
        <w:pStyle w:val="ListParagraph"/>
        <w:numPr>
          <w:ilvl w:val="0"/>
          <w:numId w:val="2"/>
        </w:numPr>
        <w:spacing w:after="0" w:line="360" w:lineRule="auto"/>
        <w:ind w:left="284" w:hanging="284"/>
        <w:jc w:val="both"/>
        <w:rPr>
          <w:rFonts w:ascii="Times New Roman" w:hAnsi="Times New Roman" w:cs="Times New Roman"/>
          <w:b/>
          <w:sz w:val="24"/>
          <w:szCs w:val="24"/>
        </w:rPr>
      </w:pPr>
      <w:r w:rsidRPr="00675023">
        <w:rPr>
          <w:rFonts w:ascii="Times New Roman" w:hAnsi="Times New Roman" w:cs="Times New Roman"/>
          <w:b/>
          <w:sz w:val="24"/>
          <w:szCs w:val="24"/>
        </w:rPr>
        <w:t xml:space="preserve">Introduction </w:t>
      </w:r>
    </w:p>
    <w:p w:rsidR="005069AB" w:rsidRPr="00675023" w:rsidRDefault="005069AB" w:rsidP="00592363">
      <w:pPr>
        <w:spacing w:after="0" w:line="360" w:lineRule="auto"/>
        <w:jc w:val="both"/>
        <w:rPr>
          <w:rFonts w:ascii="Times New Roman" w:hAnsi="Times New Roman" w:cs="Times New Roman"/>
          <w:sz w:val="24"/>
          <w:szCs w:val="24"/>
        </w:rPr>
      </w:pPr>
    </w:p>
    <w:p w:rsidR="00FF053E" w:rsidRPr="001735CE" w:rsidRDefault="0063206F" w:rsidP="00311F35">
      <w:pPr>
        <w:pStyle w:val="ListParagraph"/>
        <w:spacing w:after="0" w:line="360" w:lineRule="auto"/>
        <w:ind w:left="0"/>
        <w:jc w:val="both"/>
        <w:rPr>
          <w:rFonts w:ascii="Times New Roman" w:hAnsi="Times New Roman" w:cs="Times New Roman"/>
          <w:sz w:val="24"/>
          <w:szCs w:val="24"/>
        </w:rPr>
      </w:pPr>
      <w:r w:rsidRPr="001735CE">
        <w:rPr>
          <w:rFonts w:ascii="Times New Roman" w:hAnsi="Times New Roman" w:cs="Times New Roman"/>
          <w:sz w:val="24"/>
          <w:szCs w:val="24"/>
        </w:rPr>
        <w:t xml:space="preserve">This </w:t>
      </w:r>
      <w:r w:rsidR="00FF053E" w:rsidRPr="001735CE">
        <w:rPr>
          <w:rFonts w:ascii="Times New Roman" w:hAnsi="Times New Roman" w:cs="Times New Roman"/>
          <w:sz w:val="24"/>
          <w:szCs w:val="24"/>
        </w:rPr>
        <w:t xml:space="preserve">budget recognises the </w:t>
      </w:r>
      <w:r w:rsidR="00955C3A" w:rsidRPr="001735CE">
        <w:rPr>
          <w:rFonts w:ascii="Times New Roman" w:hAnsi="Times New Roman" w:cs="Times New Roman"/>
          <w:sz w:val="24"/>
          <w:szCs w:val="24"/>
        </w:rPr>
        <w:t xml:space="preserve">importance of </w:t>
      </w:r>
      <w:r w:rsidR="00FF053E" w:rsidRPr="001735CE">
        <w:rPr>
          <w:rFonts w:ascii="Times New Roman" w:hAnsi="Times New Roman" w:cs="Times New Roman"/>
          <w:sz w:val="24"/>
          <w:szCs w:val="24"/>
        </w:rPr>
        <w:t xml:space="preserve">manufacturing in the industrialisation </w:t>
      </w:r>
      <w:r w:rsidR="00955C3A" w:rsidRPr="001735CE">
        <w:rPr>
          <w:rFonts w:ascii="Times New Roman" w:hAnsi="Times New Roman" w:cs="Times New Roman"/>
          <w:sz w:val="24"/>
          <w:szCs w:val="24"/>
        </w:rPr>
        <w:t>drive of South Africa and al</w:t>
      </w:r>
      <w:r w:rsidR="00FF053E" w:rsidRPr="001735CE">
        <w:rPr>
          <w:rFonts w:ascii="Times New Roman" w:hAnsi="Times New Roman" w:cs="Times New Roman"/>
          <w:sz w:val="24"/>
          <w:szCs w:val="24"/>
        </w:rPr>
        <w:t xml:space="preserve">so focusses on </w:t>
      </w:r>
      <w:r w:rsidR="00F20BD5" w:rsidRPr="001735CE">
        <w:rPr>
          <w:rFonts w:ascii="Times New Roman" w:hAnsi="Times New Roman" w:cs="Times New Roman"/>
          <w:sz w:val="24"/>
          <w:szCs w:val="24"/>
        </w:rPr>
        <w:t xml:space="preserve">downstream and upstream </w:t>
      </w:r>
      <w:r w:rsidR="00FF053E" w:rsidRPr="001735CE">
        <w:rPr>
          <w:rFonts w:ascii="Times New Roman" w:hAnsi="Times New Roman" w:cs="Times New Roman"/>
          <w:sz w:val="24"/>
          <w:szCs w:val="24"/>
        </w:rPr>
        <w:t>p</w:t>
      </w:r>
      <w:r w:rsidRPr="001735CE">
        <w:rPr>
          <w:rFonts w:ascii="Times New Roman" w:hAnsi="Times New Roman" w:cs="Times New Roman"/>
          <w:sz w:val="24"/>
          <w:szCs w:val="24"/>
        </w:rPr>
        <w:t>roductivity</w:t>
      </w:r>
      <w:r w:rsidR="00F20BD5" w:rsidRPr="001735CE">
        <w:rPr>
          <w:rFonts w:ascii="Times New Roman" w:hAnsi="Times New Roman" w:cs="Times New Roman"/>
          <w:sz w:val="24"/>
          <w:szCs w:val="24"/>
        </w:rPr>
        <w:t>.</w:t>
      </w:r>
      <w:r w:rsidR="00FF053E" w:rsidRPr="001735CE">
        <w:rPr>
          <w:rFonts w:ascii="Times New Roman" w:hAnsi="Times New Roman" w:cs="Times New Roman"/>
          <w:sz w:val="24"/>
          <w:szCs w:val="24"/>
        </w:rPr>
        <w:t xml:space="preserve"> The funded priorities of the budget are aimed at supporting our national goals of job creation</w:t>
      </w:r>
      <w:r w:rsidR="00955C3A" w:rsidRPr="001735CE">
        <w:rPr>
          <w:rFonts w:ascii="Times New Roman" w:hAnsi="Times New Roman" w:cs="Times New Roman"/>
          <w:sz w:val="24"/>
          <w:szCs w:val="24"/>
        </w:rPr>
        <w:t xml:space="preserve"> and</w:t>
      </w:r>
      <w:r w:rsidR="00F20BD5" w:rsidRPr="001735CE">
        <w:rPr>
          <w:rFonts w:ascii="Times New Roman" w:hAnsi="Times New Roman" w:cs="Times New Roman"/>
          <w:sz w:val="24"/>
          <w:szCs w:val="24"/>
        </w:rPr>
        <w:t xml:space="preserve"> fighting poverty </w:t>
      </w:r>
      <w:r w:rsidR="00FF053E" w:rsidRPr="001735CE">
        <w:rPr>
          <w:rFonts w:ascii="Times New Roman" w:hAnsi="Times New Roman" w:cs="Times New Roman"/>
          <w:sz w:val="24"/>
          <w:szCs w:val="24"/>
        </w:rPr>
        <w:t xml:space="preserve">by acknowledging the downward </w:t>
      </w:r>
      <w:r w:rsidR="00955C3A" w:rsidRPr="001735CE">
        <w:rPr>
          <w:rFonts w:ascii="Times New Roman" w:hAnsi="Times New Roman" w:cs="Times New Roman"/>
          <w:sz w:val="24"/>
          <w:szCs w:val="24"/>
        </w:rPr>
        <w:t>pressure on high un</w:t>
      </w:r>
      <w:r w:rsidRPr="001735CE">
        <w:rPr>
          <w:rFonts w:ascii="Times New Roman" w:hAnsi="Times New Roman" w:cs="Times New Roman"/>
          <w:sz w:val="24"/>
          <w:szCs w:val="24"/>
        </w:rPr>
        <w:t xml:space="preserve">employment and extreme socio-economic inequity. </w:t>
      </w:r>
      <w:r w:rsidR="00ED2778" w:rsidRPr="001735CE">
        <w:rPr>
          <w:rFonts w:ascii="Times New Roman" w:hAnsi="Times New Roman" w:cs="Times New Roman"/>
          <w:sz w:val="24"/>
          <w:szCs w:val="24"/>
        </w:rPr>
        <w:t>U</w:t>
      </w:r>
      <w:r w:rsidRPr="001735CE">
        <w:rPr>
          <w:rFonts w:ascii="Times New Roman" w:hAnsi="Times New Roman" w:cs="Times New Roman"/>
          <w:sz w:val="24"/>
          <w:szCs w:val="24"/>
        </w:rPr>
        <w:t>sing allocative efficiency</w:t>
      </w:r>
      <w:r w:rsidR="00ED2778" w:rsidRPr="001735CE">
        <w:rPr>
          <w:rFonts w:ascii="Times New Roman" w:hAnsi="Times New Roman" w:cs="Times New Roman"/>
          <w:sz w:val="24"/>
          <w:szCs w:val="24"/>
        </w:rPr>
        <w:t>,</w:t>
      </w:r>
      <w:r w:rsidRPr="001735CE">
        <w:rPr>
          <w:rFonts w:ascii="Times New Roman" w:hAnsi="Times New Roman" w:cs="Times New Roman"/>
          <w:sz w:val="24"/>
          <w:szCs w:val="24"/>
        </w:rPr>
        <w:t xml:space="preserve"> it ensures South Africa wil</w:t>
      </w:r>
      <w:r w:rsidR="00B43F9D" w:rsidRPr="001735CE">
        <w:rPr>
          <w:rFonts w:ascii="Times New Roman" w:hAnsi="Times New Roman" w:cs="Times New Roman"/>
          <w:sz w:val="24"/>
          <w:szCs w:val="24"/>
        </w:rPr>
        <w:t xml:space="preserve">l build an enabling environment employing the principle of </w:t>
      </w:r>
      <w:r w:rsidRPr="001735CE">
        <w:rPr>
          <w:rFonts w:ascii="Times New Roman" w:hAnsi="Times New Roman" w:cs="Times New Roman"/>
          <w:sz w:val="24"/>
          <w:szCs w:val="24"/>
        </w:rPr>
        <w:t>high</w:t>
      </w:r>
      <w:r w:rsidR="00B43F9D" w:rsidRPr="001735CE">
        <w:rPr>
          <w:rFonts w:ascii="Times New Roman" w:hAnsi="Times New Roman" w:cs="Times New Roman"/>
          <w:sz w:val="24"/>
          <w:szCs w:val="24"/>
        </w:rPr>
        <w:t>er</w:t>
      </w:r>
      <w:r w:rsidRPr="001735CE">
        <w:rPr>
          <w:rFonts w:ascii="Times New Roman" w:hAnsi="Times New Roman" w:cs="Times New Roman"/>
          <w:sz w:val="24"/>
          <w:szCs w:val="24"/>
        </w:rPr>
        <w:t xml:space="preserve"> value addition</w:t>
      </w:r>
      <w:r w:rsidR="00FF053E" w:rsidRPr="001735CE">
        <w:rPr>
          <w:rFonts w:ascii="Times New Roman" w:hAnsi="Times New Roman" w:cs="Times New Roman"/>
          <w:sz w:val="24"/>
          <w:szCs w:val="24"/>
        </w:rPr>
        <w:t xml:space="preserve">. Coupled with this </w:t>
      </w:r>
      <w:r w:rsidR="00B43F9D" w:rsidRPr="001735CE">
        <w:rPr>
          <w:rFonts w:ascii="Times New Roman" w:hAnsi="Times New Roman" w:cs="Times New Roman"/>
          <w:sz w:val="24"/>
          <w:szCs w:val="24"/>
        </w:rPr>
        <w:t xml:space="preserve">developmental approach to </w:t>
      </w:r>
      <w:r w:rsidR="00FF053E" w:rsidRPr="001735CE">
        <w:rPr>
          <w:rFonts w:ascii="Times New Roman" w:hAnsi="Times New Roman" w:cs="Times New Roman"/>
          <w:sz w:val="24"/>
          <w:szCs w:val="24"/>
        </w:rPr>
        <w:t>growth</w:t>
      </w:r>
      <w:r w:rsidR="00955C3A" w:rsidRPr="001735CE">
        <w:rPr>
          <w:rFonts w:ascii="Times New Roman" w:hAnsi="Times New Roman" w:cs="Times New Roman"/>
          <w:sz w:val="24"/>
          <w:szCs w:val="24"/>
        </w:rPr>
        <w:t>,</w:t>
      </w:r>
      <w:r w:rsidR="00FF053E" w:rsidRPr="001735CE">
        <w:rPr>
          <w:rFonts w:ascii="Times New Roman" w:hAnsi="Times New Roman" w:cs="Times New Roman"/>
          <w:sz w:val="24"/>
          <w:szCs w:val="24"/>
        </w:rPr>
        <w:t xml:space="preserve"> the incentive schemes </w:t>
      </w:r>
      <w:r w:rsidR="00B43F9D" w:rsidRPr="001735CE">
        <w:rPr>
          <w:rFonts w:ascii="Times New Roman" w:hAnsi="Times New Roman" w:cs="Times New Roman"/>
          <w:sz w:val="24"/>
          <w:szCs w:val="24"/>
        </w:rPr>
        <w:t xml:space="preserve">together </w:t>
      </w:r>
      <w:r w:rsidR="00FF053E" w:rsidRPr="001735CE">
        <w:rPr>
          <w:rFonts w:ascii="Times New Roman" w:hAnsi="Times New Roman" w:cs="Times New Roman"/>
          <w:sz w:val="24"/>
          <w:szCs w:val="24"/>
        </w:rPr>
        <w:t xml:space="preserve">with </w:t>
      </w:r>
      <w:r w:rsidR="00ED2778" w:rsidRPr="001735CE">
        <w:rPr>
          <w:rFonts w:ascii="Times New Roman" w:hAnsi="Times New Roman" w:cs="Times New Roman"/>
          <w:sz w:val="24"/>
          <w:szCs w:val="24"/>
        </w:rPr>
        <w:t xml:space="preserve">other support </w:t>
      </w:r>
      <w:r w:rsidRPr="001735CE">
        <w:rPr>
          <w:rFonts w:ascii="Times New Roman" w:hAnsi="Times New Roman" w:cs="Times New Roman"/>
          <w:sz w:val="24"/>
          <w:szCs w:val="24"/>
        </w:rPr>
        <w:t xml:space="preserve">measures </w:t>
      </w:r>
      <w:r w:rsidR="00B43F9D" w:rsidRPr="001735CE">
        <w:rPr>
          <w:rFonts w:ascii="Times New Roman" w:hAnsi="Times New Roman" w:cs="Times New Roman"/>
          <w:sz w:val="24"/>
          <w:szCs w:val="24"/>
        </w:rPr>
        <w:t xml:space="preserve">are driving </w:t>
      </w:r>
      <w:r w:rsidRPr="001735CE">
        <w:rPr>
          <w:rFonts w:ascii="Times New Roman" w:hAnsi="Times New Roman" w:cs="Times New Roman"/>
          <w:sz w:val="24"/>
          <w:szCs w:val="24"/>
        </w:rPr>
        <w:t>an inclusive,</w:t>
      </w:r>
      <w:r w:rsidR="00FF053E" w:rsidRPr="001735CE">
        <w:rPr>
          <w:rFonts w:ascii="Times New Roman" w:hAnsi="Times New Roman" w:cs="Times New Roman"/>
          <w:sz w:val="24"/>
          <w:szCs w:val="24"/>
        </w:rPr>
        <w:t xml:space="preserve"> regionally integrated economy.</w:t>
      </w:r>
      <w:r w:rsidR="00955C3A" w:rsidRPr="001735CE">
        <w:rPr>
          <w:rFonts w:ascii="Times New Roman" w:hAnsi="Times New Roman" w:cs="Times New Roman"/>
          <w:sz w:val="24"/>
          <w:szCs w:val="24"/>
        </w:rPr>
        <w:t xml:space="preserve"> </w:t>
      </w:r>
    </w:p>
    <w:p w:rsidR="00FF053E" w:rsidRPr="001735CE" w:rsidRDefault="00FF053E" w:rsidP="00311F35">
      <w:pPr>
        <w:pStyle w:val="ListParagraph"/>
        <w:spacing w:after="0" w:line="360" w:lineRule="auto"/>
        <w:ind w:left="0"/>
        <w:jc w:val="both"/>
        <w:rPr>
          <w:rFonts w:ascii="Times New Roman" w:hAnsi="Times New Roman" w:cs="Times New Roman"/>
          <w:sz w:val="24"/>
          <w:szCs w:val="24"/>
        </w:rPr>
      </w:pPr>
    </w:p>
    <w:p w:rsidR="00311F35" w:rsidRPr="001735CE" w:rsidRDefault="00CE68CD" w:rsidP="00311F35">
      <w:pPr>
        <w:pStyle w:val="ListParagraph"/>
        <w:spacing w:after="0" w:line="360" w:lineRule="auto"/>
        <w:ind w:left="0"/>
        <w:jc w:val="both"/>
        <w:rPr>
          <w:rFonts w:ascii="Times New Roman" w:hAnsi="Times New Roman" w:cs="Times New Roman"/>
          <w:sz w:val="24"/>
          <w:szCs w:val="24"/>
        </w:rPr>
      </w:pPr>
      <w:r w:rsidRPr="001735CE">
        <w:rPr>
          <w:rFonts w:ascii="Times New Roman" w:hAnsi="Times New Roman" w:cs="Times New Roman"/>
          <w:sz w:val="24"/>
          <w:szCs w:val="24"/>
        </w:rPr>
        <w:t xml:space="preserve">Highlighted in the </w:t>
      </w:r>
      <w:r w:rsidR="00ED2778" w:rsidRPr="001735CE">
        <w:rPr>
          <w:rFonts w:ascii="Times New Roman" w:hAnsi="Times New Roman" w:cs="Times New Roman"/>
          <w:sz w:val="24"/>
          <w:szCs w:val="24"/>
        </w:rPr>
        <w:t xml:space="preserve">2016 </w:t>
      </w:r>
      <w:r w:rsidRPr="001735CE">
        <w:rPr>
          <w:rFonts w:ascii="Times New Roman" w:hAnsi="Times New Roman" w:cs="Times New Roman"/>
          <w:sz w:val="24"/>
          <w:szCs w:val="24"/>
        </w:rPr>
        <w:t>State of the Nation Address was the need to accelerate the priorities as set out</w:t>
      </w:r>
      <w:r w:rsidR="00ED2778" w:rsidRPr="001735CE">
        <w:rPr>
          <w:rFonts w:ascii="Times New Roman" w:hAnsi="Times New Roman" w:cs="Times New Roman"/>
          <w:sz w:val="24"/>
          <w:szCs w:val="24"/>
        </w:rPr>
        <w:t xml:space="preserve"> in</w:t>
      </w:r>
      <w:r w:rsidRPr="001735CE">
        <w:rPr>
          <w:rFonts w:ascii="Times New Roman" w:hAnsi="Times New Roman" w:cs="Times New Roman"/>
          <w:sz w:val="24"/>
          <w:szCs w:val="24"/>
        </w:rPr>
        <w:t xml:space="preserve"> the Nine-Point Plan</w:t>
      </w:r>
      <w:r w:rsidR="00B07318" w:rsidRPr="001735CE">
        <w:rPr>
          <w:rFonts w:ascii="Times New Roman" w:hAnsi="Times New Roman" w:cs="Times New Roman"/>
          <w:sz w:val="24"/>
          <w:szCs w:val="24"/>
        </w:rPr>
        <w:t>s</w:t>
      </w:r>
      <w:r w:rsidR="00955C3A" w:rsidRPr="001735CE">
        <w:rPr>
          <w:rFonts w:ascii="Times New Roman" w:hAnsi="Times New Roman" w:cs="Times New Roman"/>
          <w:sz w:val="24"/>
          <w:szCs w:val="24"/>
        </w:rPr>
        <w:t xml:space="preserve"> </w:t>
      </w:r>
      <w:r w:rsidR="00B07318" w:rsidRPr="001735CE">
        <w:rPr>
          <w:rFonts w:ascii="Times New Roman" w:hAnsi="Times New Roman" w:cs="Times New Roman"/>
          <w:sz w:val="24"/>
          <w:szCs w:val="24"/>
        </w:rPr>
        <w:t xml:space="preserve">which was </w:t>
      </w:r>
      <w:r w:rsidR="00ED2778" w:rsidRPr="001735CE">
        <w:rPr>
          <w:rFonts w:ascii="Times New Roman" w:hAnsi="Times New Roman" w:cs="Times New Roman"/>
          <w:sz w:val="24"/>
          <w:szCs w:val="24"/>
        </w:rPr>
        <w:t xml:space="preserve">to boost economic growth and job creation. Emphasis was placed on the revitalisation </w:t>
      </w:r>
      <w:r w:rsidR="00B07318" w:rsidRPr="001735CE">
        <w:rPr>
          <w:rFonts w:ascii="Times New Roman" w:hAnsi="Times New Roman" w:cs="Times New Roman"/>
          <w:sz w:val="24"/>
          <w:szCs w:val="24"/>
        </w:rPr>
        <w:t>of the agricultural</w:t>
      </w:r>
      <w:r w:rsidR="00ED2778" w:rsidRPr="001735CE">
        <w:rPr>
          <w:rFonts w:ascii="Times New Roman" w:hAnsi="Times New Roman" w:cs="Times New Roman"/>
          <w:sz w:val="24"/>
          <w:szCs w:val="24"/>
        </w:rPr>
        <w:t xml:space="preserve"> and agro-processing value-chain, and the effective implementation of the Industrial Policy Action Plan (IPAP). </w:t>
      </w:r>
      <w:r w:rsidR="00B07318" w:rsidRPr="001735CE">
        <w:rPr>
          <w:rFonts w:ascii="Times New Roman" w:hAnsi="Times New Roman" w:cs="Times New Roman"/>
          <w:sz w:val="24"/>
          <w:szCs w:val="24"/>
        </w:rPr>
        <w:t xml:space="preserve">In line with the IPAP objectives, advancing mineral beneficiation, </w:t>
      </w:r>
      <w:r w:rsidR="00311F35" w:rsidRPr="001735CE">
        <w:rPr>
          <w:rFonts w:ascii="Times New Roman" w:hAnsi="Times New Roman" w:cs="Times New Roman"/>
          <w:sz w:val="24"/>
          <w:szCs w:val="24"/>
        </w:rPr>
        <w:t xml:space="preserve">investing in </w:t>
      </w:r>
      <w:r w:rsidR="00B07318" w:rsidRPr="001735CE">
        <w:rPr>
          <w:rFonts w:ascii="Times New Roman" w:hAnsi="Times New Roman" w:cs="Times New Roman"/>
          <w:sz w:val="24"/>
          <w:szCs w:val="24"/>
        </w:rPr>
        <w:t xml:space="preserve">the green </w:t>
      </w:r>
      <w:r w:rsidR="00311F35" w:rsidRPr="001735CE">
        <w:rPr>
          <w:rFonts w:ascii="Times New Roman" w:hAnsi="Times New Roman" w:cs="Times New Roman"/>
          <w:sz w:val="24"/>
          <w:szCs w:val="24"/>
        </w:rPr>
        <w:t xml:space="preserve">and ocean </w:t>
      </w:r>
      <w:r w:rsidR="00B07318" w:rsidRPr="001735CE">
        <w:rPr>
          <w:rFonts w:ascii="Times New Roman" w:hAnsi="Times New Roman" w:cs="Times New Roman"/>
          <w:sz w:val="24"/>
          <w:szCs w:val="24"/>
        </w:rPr>
        <w:t xml:space="preserve">economy, </w:t>
      </w:r>
      <w:r w:rsidR="00311F35" w:rsidRPr="001735CE">
        <w:rPr>
          <w:rFonts w:ascii="Times New Roman" w:hAnsi="Times New Roman" w:cs="Times New Roman"/>
          <w:sz w:val="24"/>
          <w:szCs w:val="24"/>
        </w:rPr>
        <w:t xml:space="preserve">and </w:t>
      </w:r>
      <w:r w:rsidR="00B07318" w:rsidRPr="001735CE">
        <w:rPr>
          <w:rFonts w:ascii="Times New Roman" w:hAnsi="Times New Roman" w:cs="Times New Roman"/>
          <w:sz w:val="24"/>
          <w:szCs w:val="24"/>
        </w:rPr>
        <w:t xml:space="preserve">leveraging public procurement </w:t>
      </w:r>
      <w:r w:rsidR="00311F35" w:rsidRPr="001735CE">
        <w:rPr>
          <w:rFonts w:ascii="Times New Roman" w:hAnsi="Times New Roman" w:cs="Times New Roman"/>
          <w:sz w:val="24"/>
          <w:szCs w:val="24"/>
        </w:rPr>
        <w:t xml:space="preserve">is critical </w:t>
      </w:r>
      <w:r w:rsidR="00B07318" w:rsidRPr="001735CE">
        <w:rPr>
          <w:rFonts w:ascii="Times New Roman" w:hAnsi="Times New Roman" w:cs="Times New Roman"/>
          <w:sz w:val="24"/>
          <w:szCs w:val="24"/>
        </w:rPr>
        <w:t xml:space="preserve">to </w:t>
      </w:r>
      <w:r w:rsidR="00311F35" w:rsidRPr="001735CE">
        <w:rPr>
          <w:rFonts w:ascii="Times New Roman" w:hAnsi="Times New Roman" w:cs="Times New Roman"/>
          <w:sz w:val="24"/>
          <w:szCs w:val="24"/>
        </w:rPr>
        <w:t xml:space="preserve">mitigate against </w:t>
      </w:r>
      <w:r w:rsidR="00B07318" w:rsidRPr="001735CE">
        <w:rPr>
          <w:rFonts w:ascii="Times New Roman" w:hAnsi="Times New Roman" w:cs="Times New Roman"/>
          <w:sz w:val="24"/>
          <w:szCs w:val="24"/>
        </w:rPr>
        <w:t>the current global economic challeng</w:t>
      </w:r>
      <w:r w:rsidR="00311F35" w:rsidRPr="001735CE">
        <w:rPr>
          <w:rFonts w:ascii="Times New Roman" w:hAnsi="Times New Roman" w:cs="Times New Roman"/>
          <w:sz w:val="24"/>
          <w:szCs w:val="24"/>
        </w:rPr>
        <w:t>e facing South Africa. The Department of Trade and Industry’s (DTI) budget is informed by the National Development Plan which underlines the need to increase beneficiated exports, such as mining, agriculture and manufacturing, to shift from a commodity-driven economy. This is being done by broadening the export base to include targeted high growth markets such as BRICs, and Afric</w:t>
      </w:r>
      <w:r w:rsidR="005A1CA9" w:rsidRPr="001735CE">
        <w:rPr>
          <w:rFonts w:ascii="Times New Roman" w:hAnsi="Times New Roman" w:cs="Times New Roman"/>
          <w:sz w:val="24"/>
          <w:szCs w:val="24"/>
        </w:rPr>
        <w:t xml:space="preserve">a.  The DTI </w:t>
      </w:r>
      <w:r w:rsidR="00955C3A" w:rsidRPr="001735CE">
        <w:rPr>
          <w:rFonts w:ascii="Times New Roman" w:hAnsi="Times New Roman" w:cs="Times New Roman"/>
          <w:sz w:val="24"/>
          <w:szCs w:val="24"/>
        </w:rPr>
        <w:t xml:space="preserve">will </w:t>
      </w:r>
      <w:r w:rsidR="005A1CA9" w:rsidRPr="001735CE">
        <w:rPr>
          <w:rFonts w:ascii="Times New Roman" w:hAnsi="Times New Roman" w:cs="Times New Roman"/>
          <w:sz w:val="24"/>
          <w:szCs w:val="24"/>
        </w:rPr>
        <w:t xml:space="preserve">continue to strengthen trade and investment linked with </w:t>
      </w:r>
      <w:r w:rsidR="001735CE" w:rsidRPr="001735CE">
        <w:rPr>
          <w:rFonts w:ascii="Times New Roman" w:hAnsi="Times New Roman" w:cs="Times New Roman"/>
          <w:sz w:val="24"/>
          <w:szCs w:val="24"/>
        </w:rPr>
        <w:t>traditional trading partners</w:t>
      </w:r>
      <w:r w:rsidR="00955C3A" w:rsidRPr="001735CE">
        <w:rPr>
          <w:rFonts w:ascii="Times New Roman" w:hAnsi="Times New Roman" w:cs="Times New Roman"/>
          <w:sz w:val="24"/>
          <w:szCs w:val="24"/>
        </w:rPr>
        <w:t xml:space="preserve">, </w:t>
      </w:r>
      <w:r w:rsidR="001735CE" w:rsidRPr="001735CE">
        <w:rPr>
          <w:rFonts w:ascii="Times New Roman" w:hAnsi="Times New Roman" w:cs="Times New Roman"/>
          <w:sz w:val="24"/>
          <w:szCs w:val="24"/>
        </w:rPr>
        <w:t>such as the European Union (EU) and</w:t>
      </w:r>
      <w:r w:rsidR="00955C3A" w:rsidRPr="001735CE">
        <w:rPr>
          <w:rFonts w:ascii="Times New Roman" w:hAnsi="Times New Roman" w:cs="Times New Roman"/>
          <w:sz w:val="24"/>
          <w:szCs w:val="24"/>
        </w:rPr>
        <w:t xml:space="preserve"> the United States of America (USA)</w:t>
      </w:r>
      <w:r w:rsidR="005A1CA9" w:rsidRPr="001735CE">
        <w:rPr>
          <w:rFonts w:ascii="Times New Roman" w:hAnsi="Times New Roman" w:cs="Times New Roman"/>
          <w:sz w:val="24"/>
          <w:szCs w:val="24"/>
        </w:rPr>
        <w:t xml:space="preserve"> which </w:t>
      </w:r>
      <w:r w:rsidR="00955C3A" w:rsidRPr="001735CE">
        <w:rPr>
          <w:rFonts w:ascii="Times New Roman" w:hAnsi="Times New Roman" w:cs="Times New Roman"/>
          <w:sz w:val="24"/>
          <w:szCs w:val="24"/>
        </w:rPr>
        <w:t xml:space="preserve">has </w:t>
      </w:r>
      <w:r w:rsidR="005A1CA9" w:rsidRPr="001735CE">
        <w:rPr>
          <w:rFonts w:ascii="Times New Roman" w:hAnsi="Times New Roman" w:cs="Times New Roman"/>
          <w:sz w:val="24"/>
          <w:szCs w:val="24"/>
        </w:rPr>
        <w:t xml:space="preserve">restored </w:t>
      </w:r>
      <w:r w:rsidR="00955C3A" w:rsidRPr="001735CE">
        <w:rPr>
          <w:rFonts w:ascii="Times New Roman" w:hAnsi="Times New Roman" w:cs="Times New Roman"/>
          <w:sz w:val="24"/>
          <w:szCs w:val="24"/>
        </w:rPr>
        <w:t xml:space="preserve">South Africa’s inclusion </w:t>
      </w:r>
      <w:r w:rsidR="005A1CA9" w:rsidRPr="001735CE">
        <w:rPr>
          <w:rFonts w:ascii="Times New Roman" w:hAnsi="Times New Roman" w:cs="Times New Roman"/>
          <w:sz w:val="24"/>
          <w:szCs w:val="24"/>
        </w:rPr>
        <w:t xml:space="preserve">the </w:t>
      </w:r>
      <w:r w:rsidR="00955C3A" w:rsidRPr="001735CE">
        <w:rPr>
          <w:rFonts w:ascii="Times New Roman" w:hAnsi="Times New Roman" w:cs="Times New Roman"/>
          <w:sz w:val="24"/>
          <w:szCs w:val="24"/>
        </w:rPr>
        <w:t>African Growth and Opportunity Act (</w:t>
      </w:r>
      <w:r w:rsidR="005A1CA9" w:rsidRPr="001735CE">
        <w:rPr>
          <w:rFonts w:ascii="Times New Roman" w:hAnsi="Times New Roman" w:cs="Times New Roman"/>
          <w:sz w:val="24"/>
          <w:szCs w:val="24"/>
        </w:rPr>
        <w:t>AGOA</w:t>
      </w:r>
      <w:r w:rsidR="00955C3A" w:rsidRPr="001735CE">
        <w:rPr>
          <w:rFonts w:ascii="Times New Roman" w:hAnsi="Times New Roman" w:cs="Times New Roman"/>
          <w:sz w:val="24"/>
          <w:szCs w:val="24"/>
        </w:rPr>
        <w:t>). T</w:t>
      </w:r>
      <w:r w:rsidR="005A1CA9" w:rsidRPr="001735CE">
        <w:rPr>
          <w:rFonts w:ascii="Times New Roman" w:hAnsi="Times New Roman" w:cs="Times New Roman"/>
          <w:sz w:val="24"/>
          <w:szCs w:val="24"/>
        </w:rPr>
        <w:t xml:space="preserve">he intense negotiations over the past few years in Africa have borne fruit among them the </w:t>
      </w:r>
      <w:r w:rsidR="00955C3A" w:rsidRPr="001735CE">
        <w:rPr>
          <w:rFonts w:ascii="Times New Roman" w:hAnsi="Times New Roman" w:cs="Times New Roman"/>
          <w:sz w:val="24"/>
          <w:szCs w:val="24"/>
        </w:rPr>
        <w:t xml:space="preserve">Tri-partite </w:t>
      </w:r>
      <w:r w:rsidR="005A1CA9" w:rsidRPr="001735CE">
        <w:rPr>
          <w:rFonts w:ascii="Times New Roman" w:hAnsi="Times New Roman" w:cs="Times New Roman"/>
          <w:sz w:val="24"/>
          <w:szCs w:val="24"/>
        </w:rPr>
        <w:t>Free T</w:t>
      </w:r>
      <w:r w:rsidR="00955C3A" w:rsidRPr="001735CE">
        <w:rPr>
          <w:rFonts w:ascii="Times New Roman" w:hAnsi="Times New Roman" w:cs="Times New Roman"/>
          <w:sz w:val="24"/>
          <w:szCs w:val="24"/>
        </w:rPr>
        <w:t xml:space="preserve">rade Agreement (TFTA). New negotiation with respect to the Continental Free Trade Agreement </w:t>
      </w:r>
      <w:r w:rsidR="001735CE" w:rsidRPr="001735CE">
        <w:rPr>
          <w:rFonts w:ascii="Times New Roman" w:hAnsi="Times New Roman" w:cs="Times New Roman"/>
          <w:sz w:val="24"/>
          <w:szCs w:val="24"/>
        </w:rPr>
        <w:t xml:space="preserve">(CFTA) </w:t>
      </w:r>
      <w:r w:rsidR="00955C3A" w:rsidRPr="001735CE">
        <w:rPr>
          <w:rFonts w:ascii="Times New Roman" w:hAnsi="Times New Roman" w:cs="Times New Roman"/>
          <w:sz w:val="24"/>
          <w:szCs w:val="24"/>
        </w:rPr>
        <w:t xml:space="preserve">is also ongoing. However, </w:t>
      </w:r>
      <w:r w:rsidR="005A1CA9" w:rsidRPr="001735CE">
        <w:rPr>
          <w:rFonts w:ascii="Times New Roman" w:hAnsi="Times New Roman" w:cs="Times New Roman"/>
          <w:sz w:val="24"/>
          <w:szCs w:val="24"/>
        </w:rPr>
        <w:t xml:space="preserve">the </w:t>
      </w:r>
      <w:r w:rsidR="00311F35" w:rsidRPr="001735CE">
        <w:rPr>
          <w:rFonts w:ascii="Times New Roman" w:hAnsi="Times New Roman" w:cs="Times New Roman"/>
          <w:sz w:val="24"/>
          <w:szCs w:val="24"/>
        </w:rPr>
        <w:t>DTI</w:t>
      </w:r>
      <w:r w:rsidR="001735CE" w:rsidRPr="001735CE">
        <w:rPr>
          <w:rFonts w:ascii="Times New Roman" w:hAnsi="Times New Roman" w:cs="Times New Roman"/>
          <w:sz w:val="24"/>
          <w:szCs w:val="24"/>
        </w:rPr>
        <w:t>s</w:t>
      </w:r>
      <w:r w:rsidR="00311F35" w:rsidRPr="001735CE">
        <w:rPr>
          <w:rFonts w:ascii="Times New Roman" w:hAnsi="Times New Roman" w:cs="Times New Roman"/>
          <w:sz w:val="24"/>
          <w:szCs w:val="24"/>
        </w:rPr>
        <w:t xml:space="preserve"> budget</w:t>
      </w:r>
      <w:r w:rsidR="00444765" w:rsidRPr="001735CE">
        <w:rPr>
          <w:rFonts w:ascii="Times New Roman" w:hAnsi="Times New Roman" w:cs="Times New Roman"/>
          <w:sz w:val="24"/>
          <w:szCs w:val="24"/>
        </w:rPr>
        <w:t xml:space="preserve"> reflects the current fiscal constraints. </w:t>
      </w:r>
    </w:p>
    <w:p w:rsidR="00ED2778" w:rsidRPr="001735CE" w:rsidRDefault="00ED2778" w:rsidP="00135B8C">
      <w:pPr>
        <w:pStyle w:val="ListParagraph"/>
        <w:spacing w:after="0" w:line="360" w:lineRule="auto"/>
        <w:ind w:left="0"/>
        <w:jc w:val="both"/>
        <w:rPr>
          <w:rFonts w:ascii="Times New Roman" w:hAnsi="Times New Roman" w:cs="Times New Roman"/>
          <w:sz w:val="24"/>
          <w:szCs w:val="24"/>
        </w:rPr>
      </w:pPr>
    </w:p>
    <w:p w:rsidR="00E24C38" w:rsidRDefault="0063206F" w:rsidP="00135B8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 productive and labour-</w:t>
      </w:r>
      <w:r w:rsidRPr="004B544B">
        <w:rPr>
          <w:rFonts w:ascii="Times New Roman" w:hAnsi="Times New Roman" w:cs="Times New Roman"/>
          <w:sz w:val="24"/>
          <w:szCs w:val="24"/>
        </w:rPr>
        <w:t xml:space="preserve">intensive economy that creates not only unskilled </w:t>
      </w:r>
      <w:r w:rsidR="006477E5">
        <w:rPr>
          <w:rFonts w:ascii="Times New Roman" w:hAnsi="Times New Roman" w:cs="Times New Roman"/>
          <w:sz w:val="24"/>
          <w:szCs w:val="24"/>
        </w:rPr>
        <w:t xml:space="preserve">and semi-skilled </w:t>
      </w:r>
      <w:r w:rsidRPr="004B544B">
        <w:rPr>
          <w:rFonts w:ascii="Times New Roman" w:hAnsi="Times New Roman" w:cs="Times New Roman"/>
          <w:sz w:val="24"/>
          <w:szCs w:val="24"/>
        </w:rPr>
        <w:t>employment but also skilled jobs</w:t>
      </w:r>
      <w:r w:rsidR="006477E5">
        <w:rPr>
          <w:rFonts w:ascii="Times New Roman" w:hAnsi="Times New Roman" w:cs="Times New Roman"/>
          <w:sz w:val="24"/>
          <w:szCs w:val="24"/>
        </w:rPr>
        <w:t xml:space="preserve"> is being pursued</w:t>
      </w:r>
      <w:r w:rsidRPr="004B544B">
        <w:rPr>
          <w:rFonts w:ascii="Times New Roman" w:hAnsi="Times New Roman" w:cs="Times New Roman"/>
          <w:sz w:val="24"/>
          <w:szCs w:val="24"/>
        </w:rPr>
        <w:t>. One of the most recent instruments to radically transform the economy is the Black Industrialists Programme</w:t>
      </w:r>
      <w:r w:rsidR="001E46C9">
        <w:rPr>
          <w:rFonts w:ascii="Times New Roman" w:hAnsi="Times New Roman" w:cs="Times New Roman"/>
          <w:sz w:val="24"/>
          <w:szCs w:val="24"/>
        </w:rPr>
        <w:t xml:space="preserve"> </w:t>
      </w:r>
      <w:r w:rsidR="00444765">
        <w:rPr>
          <w:rFonts w:ascii="Times New Roman" w:hAnsi="Times New Roman" w:cs="Times New Roman"/>
          <w:sz w:val="24"/>
          <w:szCs w:val="24"/>
        </w:rPr>
        <w:t>as a vehicle</w:t>
      </w:r>
      <w:r w:rsidR="001E46C9">
        <w:rPr>
          <w:rFonts w:ascii="Times New Roman" w:hAnsi="Times New Roman" w:cs="Times New Roman"/>
          <w:sz w:val="24"/>
          <w:szCs w:val="24"/>
        </w:rPr>
        <w:t xml:space="preserve"> to implement the Broad-based Black Economic Empowerment legislation</w:t>
      </w:r>
      <w:r w:rsidRPr="004B544B">
        <w:rPr>
          <w:rFonts w:ascii="Times New Roman" w:hAnsi="Times New Roman" w:cs="Times New Roman"/>
          <w:sz w:val="24"/>
          <w:szCs w:val="24"/>
        </w:rPr>
        <w:t xml:space="preserve">. </w:t>
      </w:r>
      <w:r w:rsidR="006477E5">
        <w:rPr>
          <w:rFonts w:ascii="Times New Roman" w:hAnsi="Times New Roman" w:cs="Times New Roman"/>
          <w:sz w:val="24"/>
          <w:szCs w:val="24"/>
        </w:rPr>
        <w:t>The Public-</w:t>
      </w:r>
      <w:r>
        <w:rPr>
          <w:rFonts w:ascii="Times New Roman" w:hAnsi="Times New Roman" w:cs="Times New Roman"/>
          <w:sz w:val="24"/>
          <w:szCs w:val="24"/>
        </w:rPr>
        <w:t>P</w:t>
      </w:r>
      <w:r w:rsidRPr="004B544B">
        <w:rPr>
          <w:rFonts w:ascii="Times New Roman" w:hAnsi="Times New Roman" w:cs="Times New Roman"/>
          <w:sz w:val="24"/>
          <w:szCs w:val="24"/>
        </w:rPr>
        <w:t>rivate initiative</w:t>
      </w:r>
      <w:r>
        <w:rPr>
          <w:rFonts w:ascii="Times New Roman" w:hAnsi="Times New Roman" w:cs="Times New Roman"/>
          <w:sz w:val="24"/>
          <w:szCs w:val="24"/>
        </w:rPr>
        <w:t>s</w:t>
      </w:r>
      <w:r w:rsidRPr="004B544B">
        <w:rPr>
          <w:rFonts w:ascii="Times New Roman" w:hAnsi="Times New Roman" w:cs="Times New Roman"/>
          <w:sz w:val="24"/>
          <w:szCs w:val="24"/>
        </w:rPr>
        <w:t xml:space="preserve"> plus </w:t>
      </w:r>
      <w:r w:rsidR="00444765">
        <w:rPr>
          <w:rFonts w:ascii="Times New Roman" w:hAnsi="Times New Roman" w:cs="Times New Roman"/>
          <w:sz w:val="24"/>
          <w:szCs w:val="24"/>
        </w:rPr>
        <w:t xml:space="preserve">the </w:t>
      </w:r>
      <w:r w:rsidRPr="004B544B">
        <w:rPr>
          <w:rFonts w:ascii="Times New Roman" w:hAnsi="Times New Roman" w:cs="Times New Roman"/>
          <w:sz w:val="24"/>
          <w:szCs w:val="24"/>
        </w:rPr>
        <w:t>i</w:t>
      </w:r>
      <w:r w:rsidR="00294851">
        <w:rPr>
          <w:rFonts w:ascii="Times New Roman" w:hAnsi="Times New Roman" w:cs="Times New Roman"/>
          <w:sz w:val="24"/>
          <w:szCs w:val="24"/>
        </w:rPr>
        <w:t xml:space="preserve">ncentive programmes </w:t>
      </w:r>
      <w:r>
        <w:rPr>
          <w:rFonts w:ascii="Times New Roman" w:hAnsi="Times New Roman" w:cs="Times New Roman"/>
          <w:sz w:val="24"/>
          <w:szCs w:val="24"/>
        </w:rPr>
        <w:t>has led to</w:t>
      </w:r>
      <w:r w:rsidRPr="004B544B">
        <w:rPr>
          <w:rFonts w:ascii="Times New Roman" w:hAnsi="Times New Roman" w:cs="Times New Roman"/>
          <w:sz w:val="24"/>
          <w:szCs w:val="24"/>
        </w:rPr>
        <w:t xml:space="preserve"> South Africa bec</w:t>
      </w:r>
      <w:r w:rsidR="00294851">
        <w:rPr>
          <w:rFonts w:ascii="Times New Roman" w:hAnsi="Times New Roman" w:cs="Times New Roman"/>
          <w:sz w:val="24"/>
          <w:szCs w:val="24"/>
        </w:rPr>
        <w:t>oming</w:t>
      </w:r>
      <w:r w:rsidRPr="004B544B">
        <w:rPr>
          <w:rFonts w:ascii="Times New Roman" w:hAnsi="Times New Roman" w:cs="Times New Roman"/>
          <w:sz w:val="24"/>
          <w:szCs w:val="24"/>
        </w:rPr>
        <w:t xml:space="preserve"> the </w:t>
      </w:r>
      <w:r w:rsidR="00444765">
        <w:rPr>
          <w:rFonts w:ascii="Times New Roman" w:hAnsi="Times New Roman" w:cs="Times New Roman"/>
          <w:sz w:val="24"/>
          <w:szCs w:val="24"/>
        </w:rPr>
        <w:t xml:space="preserve">destination of choice </w:t>
      </w:r>
      <w:r w:rsidRPr="004B544B">
        <w:rPr>
          <w:rFonts w:ascii="Times New Roman" w:hAnsi="Times New Roman" w:cs="Times New Roman"/>
          <w:sz w:val="24"/>
          <w:szCs w:val="24"/>
        </w:rPr>
        <w:t>for Mercedes, BMW</w:t>
      </w:r>
      <w:r>
        <w:rPr>
          <w:rFonts w:ascii="Times New Roman" w:hAnsi="Times New Roman" w:cs="Times New Roman"/>
          <w:sz w:val="24"/>
          <w:szCs w:val="24"/>
        </w:rPr>
        <w:t>, Volkswage</w:t>
      </w:r>
      <w:r w:rsidRPr="004B544B">
        <w:rPr>
          <w:rFonts w:ascii="Times New Roman" w:hAnsi="Times New Roman" w:cs="Times New Roman"/>
          <w:sz w:val="24"/>
          <w:szCs w:val="24"/>
        </w:rPr>
        <w:t>n, Toyota and even Ford</w:t>
      </w:r>
      <w:r w:rsidR="00B149D1">
        <w:rPr>
          <w:rFonts w:ascii="Times New Roman" w:hAnsi="Times New Roman" w:cs="Times New Roman"/>
          <w:sz w:val="24"/>
          <w:szCs w:val="24"/>
        </w:rPr>
        <w:t>, which</w:t>
      </w:r>
      <w:r w:rsidRPr="004B544B">
        <w:rPr>
          <w:rFonts w:ascii="Times New Roman" w:hAnsi="Times New Roman" w:cs="Times New Roman"/>
          <w:sz w:val="24"/>
          <w:szCs w:val="24"/>
        </w:rPr>
        <w:t xml:space="preserve"> has recently boosted their investment by R2.5 billion</w:t>
      </w:r>
      <w:r w:rsidR="00444765">
        <w:rPr>
          <w:rFonts w:ascii="Times New Roman" w:hAnsi="Times New Roman" w:cs="Times New Roman"/>
          <w:sz w:val="24"/>
          <w:szCs w:val="24"/>
        </w:rPr>
        <w:t>. In addition, this has contribute to</w:t>
      </w:r>
      <w:r w:rsidR="00294851">
        <w:rPr>
          <w:rFonts w:ascii="Times New Roman" w:hAnsi="Times New Roman" w:cs="Times New Roman"/>
          <w:sz w:val="24"/>
          <w:szCs w:val="24"/>
        </w:rPr>
        <w:t xml:space="preserve"> improvements in competitiveness within the clothing, textiles, leather and footwear sectors</w:t>
      </w:r>
      <w:r w:rsidRPr="004B544B">
        <w:rPr>
          <w:rFonts w:ascii="Times New Roman" w:hAnsi="Times New Roman" w:cs="Times New Roman"/>
          <w:sz w:val="24"/>
          <w:szCs w:val="24"/>
        </w:rPr>
        <w:t xml:space="preserve">. </w:t>
      </w:r>
      <w:r w:rsidR="00294851">
        <w:rPr>
          <w:rFonts w:ascii="Times New Roman" w:hAnsi="Times New Roman" w:cs="Times New Roman"/>
          <w:sz w:val="24"/>
          <w:szCs w:val="24"/>
        </w:rPr>
        <w:t>Furthermore, the development of Special Economic Zones (SEZs) and the additional tax and other incentives</w:t>
      </w:r>
      <w:r w:rsidR="00444765">
        <w:rPr>
          <w:rFonts w:ascii="Times New Roman" w:hAnsi="Times New Roman" w:cs="Times New Roman"/>
          <w:sz w:val="24"/>
          <w:szCs w:val="24"/>
        </w:rPr>
        <w:t xml:space="preserve"> allocated to it</w:t>
      </w:r>
      <w:r w:rsidR="00294851">
        <w:rPr>
          <w:rFonts w:ascii="Times New Roman" w:hAnsi="Times New Roman" w:cs="Times New Roman"/>
          <w:sz w:val="24"/>
          <w:szCs w:val="24"/>
        </w:rPr>
        <w:t xml:space="preserve"> is expected to attract new investment and expansions in investment. The DTI will be spending about R1.3 billion on SEZs this financial year.</w:t>
      </w:r>
    </w:p>
    <w:p w:rsidR="00444765" w:rsidRDefault="00444765" w:rsidP="00135B8C">
      <w:pPr>
        <w:pStyle w:val="ListParagraph"/>
        <w:spacing w:after="0" w:line="360" w:lineRule="auto"/>
        <w:ind w:left="0"/>
        <w:jc w:val="both"/>
        <w:rPr>
          <w:rFonts w:ascii="Times New Roman" w:hAnsi="Times New Roman" w:cs="Times New Roman"/>
          <w:sz w:val="24"/>
          <w:szCs w:val="24"/>
        </w:rPr>
      </w:pPr>
    </w:p>
    <w:p w:rsidR="00444765" w:rsidRPr="00675023" w:rsidRDefault="00444765" w:rsidP="00135B8C">
      <w:pPr>
        <w:pStyle w:val="ListParagraph"/>
        <w:spacing w:after="0" w:line="360" w:lineRule="auto"/>
        <w:ind w:left="0"/>
        <w:jc w:val="both"/>
        <w:rPr>
          <w:rFonts w:ascii="Times New Roman" w:hAnsi="Times New Roman" w:cs="Times New Roman"/>
          <w:sz w:val="24"/>
          <w:szCs w:val="24"/>
        </w:rPr>
      </w:pPr>
      <w:r w:rsidRPr="004B544B">
        <w:rPr>
          <w:rFonts w:ascii="Times New Roman" w:hAnsi="Times New Roman" w:cs="Times New Roman"/>
          <w:sz w:val="24"/>
          <w:szCs w:val="24"/>
        </w:rPr>
        <w:t>The regulatory framework</w:t>
      </w:r>
      <w:r>
        <w:rPr>
          <w:rFonts w:ascii="Times New Roman" w:hAnsi="Times New Roman" w:cs="Times New Roman"/>
          <w:sz w:val="24"/>
          <w:szCs w:val="24"/>
        </w:rPr>
        <w:t>,</w:t>
      </w:r>
      <w:r w:rsidRPr="004B544B">
        <w:rPr>
          <w:rFonts w:ascii="Times New Roman" w:hAnsi="Times New Roman" w:cs="Times New Roman"/>
          <w:sz w:val="24"/>
          <w:szCs w:val="24"/>
        </w:rPr>
        <w:t xml:space="preserve"> </w:t>
      </w:r>
      <w:r>
        <w:rPr>
          <w:rFonts w:ascii="Times New Roman" w:hAnsi="Times New Roman" w:cs="Times New Roman"/>
          <w:sz w:val="24"/>
          <w:szCs w:val="24"/>
        </w:rPr>
        <w:t xml:space="preserve">including the companies and consumer protection legislation, provide an enabling environment for both business and consumer. Furthermore, the </w:t>
      </w:r>
      <w:r w:rsidRPr="004B544B">
        <w:rPr>
          <w:rFonts w:ascii="Times New Roman" w:hAnsi="Times New Roman" w:cs="Times New Roman"/>
          <w:sz w:val="24"/>
          <w:szCs w:val="24"/>
        </w:rPr>
        <w:t xml:space="preserve">technical </w:t>
      </w:r>
      <w:r>
        <w:rPr>
          <w:rFonts w:ascii="Times New Roman" w:hAnsi="Times New Roman" w:cs="Times New Roman"/>
          <w:sz w:val="24"/>
          <w:szCs w:val="24"/>
        </w:rPr>
        <w:t>infrastructure institutions,</w:t>
      </w:r>
      <w:r w:rsidRPr="004B544B">
        <w:rPr>
          <w:rFonts w:ascii="Times New Roman" w:hAnsi="Times New Roman" w:cs="Times New Roman"/>
          <w:sz w:val="24"/>
          <w:szCs w:val="24"/>
        </w:rPr>
        <w:t xml:space="preserve"> for example </w:t>
      </w:r>
      <w:r>
        <w:rPr>
          <w:rFonts w:ascii="Times New Roman" w:hAnsi="Times New Roman" w:cs="Times New Roman"/>
          <w:sz w:val="24"/>
          <w:szCs w:val="24"/>
        </w:rPr>
        <w:t xml:space="preserve">the </w:t>
      </w:r>
      <w:r w:rsidRPr="004B544B">
        <w:rPr>
          <w:rFonts w:ascii="Times New Roman" w:hAnsi="Times New Roman" w:cs="Times New Roman"/>
          <w:sz w:val="24"/>
          <w:szCs w:val="24"/>
        </w:rPr>
        <w:t>N</w:t>
      </w:r>
      <w:r>
        <w:rPr>
          <w:rFonts w:ascii="Times New Roman" w:hAnsi="Times New Roman" w:cs="Times New Roman"/>
          <w:sz w:val="24"/>
          <w:szCs w:val="24"/>
        </w:rPr>
        <w:t xml:space="preserve">ational </w:t>
      </w:r>
      <w:r w:rsidRPr="004B544B">
        <w:rPr>
          <w:rFonts w:ascii="Times New Roman" w:hAnsi="Times New Roman" w:cs="Times New Roman"/>
          <w:sz w:val="24"/>
          <w:szCs w:val="24"/>
        </w:rPr>
        <w:t>R</w:t>
      </w:r>
      <w:r>
        <w:rPr>
          <w:rFonts w:ascii="Times New Roman" w:hAnsi="Times New Roman" w:cs="Times New Roman"/>
          <w:sz w:val="24"/>
          <w:szCs w:val="24"/>
        </w:rPr>
        <w:t xml:space="preserve">egulator for </w:t>
      </w:r>
      <w:r w:rsidRPr="004B544B">
        <w:rPr>
          <w:rFonts w:ascii="Times New Roman" w:hAnsi="Times New Roman" w:cs="Times New Roman"/>
          <w:sz w:val="24"/>
          <w:szCs w:val="24"/>
        </w:rPr>
        <w:t>C</w:t>
      </w:r>
      <w:r>
        <w:rPr>
          <w:rFonts w:ascii="Times New Roman" w:hAnsi="Times New Roman" w:cs="Times New Roman"/>
          <w:sz w:val="24"/>
          <w:szCs w:val="24"/>
        </w:rPr>
        <w:t xml:space="preserve">ompulsory </w:t>
      </w:r>
      <w:r w:rsidRPr="004B544B">
        <w:rPr>
          <w:rFonts w:ascii="Times New Roman" w:hAnsi="Times New Roman" w:cs="Times New Roman"/>
          <w:sz w:val="24"/>
          <w:szCs w:val="24"/>
        </w:rPr>
        <w:t>S</w:t>
      </w:r>
      <w:r>
        <w:rPr>
          <w:rFonts w:ascii="Times New Roman" w:hAnsi="Times New Roman" w:cs="Times New Roman"/>
          <w:sz w:val="24"/>
          <w:szCs w:val="24"/>
        </w:rPr>
        <w:t>pecifications</w:t>
      </w:r>
      <w:r w:rsidRPr="004B544B">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4B544B">
        <w:rPr>
          <w:rFonts w:ascii="Times New Roman" w:hAnsi="Times New Roman" w:cs="Times New Roman"/>
          <w:sz w:val="24"/>
          <w:szCs w:val="24"/>
        </w:rPr>
        <w:t>S</w:t>
      </w:r>
      <w:r>
        <w:rPr>
          <w:rFonts w:ascii="Times New Roman" w:hAnsi="Times New Roman" w:cs="Times New Roman"/>
          <w:sz w:val="24"/>
          <w:szCs w:val="24"/>
        </w:rPr>
        <w:t xml:space="preserve">outh </w:t>
      </w:r>
      <w:r w:rsidRPr="004B544B">
        <w:rPr>
          <w:rFonts w:ascii="Times New Roman" w:hAnsi="Times New Roman" w:cs="Times New Roman"/>
          <w:sz w:val="24"/>
          <w:szCs w:val="24"/>
        </w:rPr>
        <w:t>A</w:t>
      </w:r>
      <w:r>
        <w:rPr>
          <w:rFonts w:ascii="Times New Roman" w:hAnsi="Times New Roman" w:cs="Times New Roman"/>
          <w:sz w:val="24"/>
          <w:szCs w:val="24"/>
        </w:rPr>
        <w:t xml:space="preserve">frican </w:t>
      </w:r>
      <w:r w:rsidRPr="004B544B">
        <w:rPr>
          <w:rFonts w:ascii="Times New Roman" w:hAnsi="Times New Roman" w:cs="Times New Roman"/>
          <w:sz w:val="24"/>
          <w:szCs w:val="24"/>
        </w:rPr>
        <w:t>B</w:t>
      </w:r>
      <w:r>
        <w:rPr>
          <w:rFonts w:ascii="Times New Roman" w:hAnsi="Times New Roman" w:cs="Times New Roman"/>
          <w:sz w:val="24"/>
          <w:szCs w:val="24"/>
        </w:rPr>
        <w:t xml:space="preserve">ureau of </w:t>
      </w:r>
      <w:r w:rsidRPr="004B544B">
        <w:rPr>
          <w:rFonts w:ascii="Times New Roman" w:hAnsi="Times New Roman" w:cs="Times New Roman"/>
          <w:sz w:val="24"/>
          <w:szCs w:val="24"/>
        </w:rPr>
        <w:t>S</w:t>
      </w:r>
      <w:r>
        <w:rPr>
          <w:rFonts w:ascii="Times New Roman" w:hAnsi="Times New Roman" w:cs="Times New Roman"/>
          <w:sz w:val="24"/>
          <w:szCs w:val="24"/>
        </w:rPr>
        <w:t>tandards,</w:t>
      </w:r>
      <w:r w:rsidRPr="004B544B">
        <w:rPr>
          <w:rFonts w:ascii="Times New Roman" w:hAnsi="Times New Roman" w:cs="Times New Roman"/>
          <w:sz w:val="24"/>
          <w:szCs w:val="24"/>
        </w:rPr>
        <w:t xml:space="preserve"> provide a sound platform that ensures the compliance of products, goods and services. </w:t>
      </w:r>
    </w:p>
    <w:p w:rsidR="00135B8C" w:rsidRDefault="00135B8C">
      <w:pPr>
        <w:rPr>
          <w:rFonts w:ascii="Times New Roman" w:hAnsi="Times New Roman" w:cs="Times New Roman"/>
          <w:b/>
          <w:sz w:val="24"/>
          <w:szCs w:val="24"/>
        </w:rPr>
      </w:pPr>
    </w:p>
    <w:p w:rsidR="00A76DF9" w:rsidRPr="00675023" w:rsidRDefault="00A76DF9" w:rsidP="00592363">
      <w:pPr>
        <w:numPr>
          <w:ilvl w:val="1"/>
          <w:numId w:val="1"/>
        </w:numPr>
        <w:spacing w:after="0" w:line="360" w:lineRule="auto"/>
        <w:jc w:val="both"/>
        <w:rPr>
          <w:rFonts w:ascii="Times New Roman" w:hAnsi="Times New Roman" w:cs="Times New Roman"/>
          <w:b/>
          <w:sz w:val="24"/>
          <w:szCs w:val="24"/>
        </w:rPr>
      </w:pPr>
      <w:r w:rsidRPr="00675023">
        <w:rPr>
          <w:rFonts w:ascii="Times New Roman" w:hAnsi="Times New Roman" w:cs="Times New Roman"/>
          <w:b/>
          <w:sz w:val="24"/>
          <w:szCs w:val="24"/>
        </w:rPr>
        <w:t>Constitutional Mandate of the Committee</w:t>
      </w:r>
    </w:p>
    <w:p w:rsidR="00A76DF9" w:rsidRPr="00675023" w:rsidRDefault="00A76DF9" w:rsidP="00592363">
      <w:pPr>
        <w:spacing w:after="0" w:line="360" w:lineRule="auto"/>
        <w:jc w:val="both"/>
        <w:rPr>
          <w:rFonts w:ascii="Times New Roman" w:hAnsi="Times New Roman" w:cs="Times New Roman"/>
          <w:sz w:val="24"/>
          <w:szCs w:val="24"/>
        </w:rPr>
      </w:pPr>
    </w:p>
    <w:p w:rsidR="00A76DF9" w:rsidRPr="00675023" w:rsidRDefault="00A76DF9" w:rsidP="00592363">
      <w:pPr>
        <w:pStyle w:val="BodyTextIndent"/>
        <w:spacing w:after="0" w:line="360" w:lineRule="auto"/>
        <w:ind w:left="0"/>
        <w:jc w:val="both"/>
        <w:rPr>
          <w:rFonts w:ascii="Times New Roman" w:hAnsi="Times New Roman" w:cs="Times New Roman"/>
          <w:sz w:val="24"/>
          <w:szCs w:val="24"/>
        </w:rPr>
      </w:pPr>
      <w:r w:rsidRPr="00675023">
        <w:rPr>
          <w:rFonts w:ascii="Times New Roman" w:hAnsi="Times New Roman" w:cs="Times New Roman"/>
          <w:sz w:val="24"/>
          <w:szCs w:val="24"/>
        </w:rPr>
        <w:t xml:space="preserve">Portfolio </w:t>
      </w:r>
      <w:r w:rsidR="007433E1" w:rsidRPr="00675023">
        <w:rPr>
          <w:rFonts w:ascii="Times New Roman" w:hAnsi="Times New Roman" w:cs="Times New Roman"/>
          <w:sz w:val="24"/>
          <w:szCs w:val="24"/>
        </w:rPr>
        <w:t>c</w:t>
      </w:r>
      <w:r w:rsidRPr="00675023">
        <w:rPr>
          <w:rFonts w:ascii="Times New Roman" w:hAnsi="Times New Roman" w:cs="Times New Roman"/>
          <w:sz w:val="24"/>
          <w:szCs w:val="24"/>
        </w:rPr>
        <w:t xml:space="preserve">ommittees exercise oversight over their respective departments and agencies in line with their Constitutional mandate set out in section 55(2) of the Constitution (No. 108 of 1996) and section 27(4) of the Public Finance Management Act (No. 1 of 1999). In addition, the Money Bills Amendment Procedure and Related Matters Act (No. 9 of 2009) also requires committees to consider and report on their department and entities’ strategic plans. Portfolio committees may also advise the Standing Committee on Appropriations in the National Assembly regarding possible amendments within a budget vote for its consideration. </w:t>
      </w:r>
    </w:p>
    <w:p w:rsidR="00A76DF9" w:rsidRPr="00675023" w:rsidRDefault="00A76DF9" w:rsidP="00592363">
      <w:pPr>
        <w:spacing w:after="0" w:line="360" w:lineRule="auto"/>
        <w:jc w:val="both"/>
        <w:rPr>
          <w:rFonts w:ascii="Times New Roman" w:hAnsi="Times New Roman" w:cs="Times New Roman"/>
          <w:sz w:val="24"/>
          <w:szCs w:val="24"/>
        </w:rPr>
      </w:pPr>
    </w:p>
    <w:p w:rsidR="00A76DF9" w:rsidRPr="00675023" w:rsidRDefault="00A76DF9" w:rsidP="00592363">
      <w:pPr>
        <w:numPr>
          <w:ilvl w:val="1"/>
          <w:numId w:val="1"/>
        </w:numPr>
        <w:spacing w:after="0" w:line="360" w:lineRule="auto"/>
        <w:jc w:val="both"/>
        <w:rPr>
          <w:rFonts w:ascii="Times New Roman" w:hAnsi="Times New Roman" w:cs="Times New Roman"/>
          <w:b/>
          <w:sz w:val="24"/>
          <w:szCs w:val="24"/>
        </w:rPr>
      </w:pPr>
      <w:r w:rsidRPr="00675023">
        <w:rPr>
          <w:rFonts w:ascii="Times New Roman" w:hAnsi="Times New Roman" w:cs="Times New Roman"/>
          <w:b/>
          <w:sz w:val="24"/>
          <w:szCs w:val="24"/>
        </w:rPr>
        <w:t>Purpose</w:t>
      </w:r>
    </w:p>
    <w:p w:rsidR="00A76DF9" w:rsidRPr="00675023" w:rsidRDefault="00A76DF9" w:rsidP="00501558">
      <w:pPr>
        <w:spacing w:after="0" w:line="360" w:lineRule="auto"/>
        <w:jc w:val="both"/>
        <w:rPr>
          <w:rFonts w:ascii="Times New Roman" w:hAnsi="Times New Roman" w:cs="Times New Roman"/>
          <w:sz w:val="24"/>
          <w:szCs w:val="24"/>
        </w:rPr>
      </w:pPr>
    </w:p>
    <w:p w:rsidR="00A76DF9" w:rsidRPr="00675023" w:rsidRDefault="00A76D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purpose of this report is for the Portfolio Committee on Trade and Industry to report on its deliberations and consideration, which is essentially the unpacking and scrutinising of the DTI’s strategic plan, annual performance plan and its associ</w:t>
      </w:r>
      <w:r w:rsidR="008E12E1" w:rsidRPr="00675023">
        <w:rPr>
          <w:rFonts w:ascii="Times New Roman" w:hAnsi="Times New Roman" w:cs="Times New Roman"/>
          <w:sz w:val="24"/>
          <w:szCs w:val="24"/>
        </w:rPr>
        <w:t>ated budget vote (Budget Vote 34</w:t>
      </w:r>
      <w:r w:rsidRPr="00675023">
        <w:rPr>
          <w:rFonts w:ascii="Times New Roman" w:hAnsi="Times New Roman" w:cs="Times New Roman"/>
          <w:sz w:val="24"/>
          <w:szCs w:val="24"/>
        </w:rPr>
        <w:t xml:space="preserve">). Furthermore, to make recommendations regarding the approval, amendment or rejection </w:t>
      </w:r>
      <w:r w:rsidRPr="00675023">
        <w:rPr>
          <w:rFonts w:ascii="Times New Roman" w:hAnsi="Times New Roman" w:cs="Times New Roman"/>
          <w:sz w:val="24"/>
          <w:szCs w:val="24"/>
        </w:rPr>
        <w:lastRenderedPageBreak/>
        <w:t>of Budget Vote 3</w:t>
      </w:r>
      <w:r w:rsidR="008E12E1" w:rsidRPr="00675023">
        <w:rPr>
          <w:rFonts w:ascii="Times New Roman" w:hAnsi="Times New Roman" w:cs="Times New Roman"/>
          <w:sz w:val="24"/>
          <w:szCs w:val="24"/>
        </w:rPr>
        <w:t>4</w:t>
      </w:r>
      <w:r w:rsidRPr="00675023">
        <w:rPr>
          <w:rFonts w:ascii="Times New Roman" w:hAnsi="Times New Roman" w:cs="Times New Roman"/>
          <w:sz w:val="24"/>
          <w:szCs w:val="24"/>
        </w:rPr>
        <w:t xml:space="preserve"> and any other recommendation regarding the implementation of the DTI’s strategic plan.</w:t>
      </w:r>
    </w:p>
    <w:p w:rsidR="0079426E" w:rsidRPr="00675023" w:rsidRDefault="0079426E" w:rsidP="00592363">
      <w:pPr>
        <w:spacing w:after="0" w:line="360" w:lineRule="auto"/>
        <w:jc w:val="both"/>
        <w:rPr>
          <w:rFonts w:ascii="Times New Roman" w:hAnsi="Times New Roman" w:cs="Times New Roman"/>
          <w:sz w:val="24"/>
          <w:szCs w:val="24"/>
        </w:rPr>
      </w:pPr>
    </w:p>
    <w:p w:rsidR="00A76DF9" w:rsidRPr="00675023" w:rsidRDefault="00A76DF9" w:rsidP="00592363">
      <w:pPr>
        <w:numPr>
          <w:ilvl w:val="1"/>
          <w:numId w:val="1"/>
        </w:numPr>
        <w:spacing w:after="0" w:line="360" w:lineRule="auto"/>
        <w:jc w:val="both"/>
        <w:rPr>
          <w:rFonts w:ascii="Times New Roman" w:hAnsi="Times New Roman" w:cs="Times New Roman"/>
          <w:b/>
          <w:sz w:val="24"/>
          <w:szCs w:val="24"/>
        </w:rPr>
      </w:pPr>
      <w:r w:rsidRPr="00675023">
        <w:rPr>
          <w:rFonts w:ascii="Times New Roman" w:hAnsi="Times New Roman" w:cs="Times New Roman"/>
          <w:b/>
          <w:sz w:val="24"/>
          <w:szCs w:val="24"/>
        </w:rPr>
        <w:t>Process</w:t>
      </w:r>
    </w:p>
    <w:p w:rsidR="00A76DF9" w:rsidRPr="00675023" w:rsidRDefault="00A76DF9" w:rsidP="00592363">
      <w:pPr>
        <w:spacing w:after="0" w:line="360" w:lineRule="auto"/>
        <w:jc w:val="both"/>
        <w:rPr>
          <w:rFonts w:ascii="Times New Roman" w:hAnsi="Times New Roman" w:cs="Times New Roman"/>
          <w:sz w:val="24"/>
          <w:szCs w:val="24"/>
        </w:rPr>
      </w:pPr>
    </w:p>
    <w:p w:rsidR="00A76DF9" w:rsidRPr="00675023" w:rsidRDefault="00A76D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committee’s consideration of Vote 3</w:t>
      </w:r>
      <w:r w:rsidR="008E12E1" w:rsidRPr="00675023">
        <w:rPr>
          <w:rFonts w:ascii="Times New Roman" w:hAnsi="Times New Roman" w:cs="Times New Roman"/>
          <w:sz w:val="24"/>
          <w:szCs w:val="24"/>
        </w:rPr>
        <w:t>4</w:t>
      </w:r>
      <w:r w:rsidRPr="00675023">
        <w:rPr>
          <w:rFonts w:ascii="Times New Roman" w:hAnsi="Times New Roman" w:cs="Times New Roman"/>
          <w:sz w:val="24"/>
          <w:szCs w:val="24"/>
        </w:rPr>
        <w:t xml:space="preserve"> involved a robust engagement with the Minister of Trade and Industry, Dr R Davies, and the Director-General, Mr L October, on </w:t>
      </w:r>
      <w:r w:rsidR="00024CCF" w:rsidRPr="00675023">
        <w:rPr>
          <w:rFonts w:ascii="Times New Roman" w:hAnsi="Times New Roman" w:cs="Times New Roman"/>
          <w:sz w:val="24"/>
          <w:szCs w:val="24"/>
        </w:rPr>
        <w:t>8</w:t>
      </w:r>
      <w:r w:rsidR="00A05EDB" w:rsidRPr="00675023">
        <w:rPr>
          <w:rFonts w:ascii="Times New Roman" w:hAnsi="Times New Roman" w:cs="Times New Roman"/>
          <w:sz w:val="24"/>
          <w:szCs w:val="24"/>
        </w:rPr>
        <w:t xml:space="preserve"> March 2016</w:t>
      </w:r>
      <w:r w:rsidRPr="00675023">
        <w:rPr>
          <w:rFonts w:ascii="Times New Roman" w:hAnsi="Times New Roman" w:cs="Times New Roman"/>
          <w:sz w:val="24"/>
          <w:szCs w:val="24"/>
        </w:rPr>
        <w:t>, when they provided the context within which the DTI’s Strategic Plan had been developed and presented its Annual Performance Plan. The DTI’s plans were discussed in relation to its mandate, which covers five key intervention areas, namely</w:t>
      </w:r>
      <w:r w:rsidRPr="00675023">
        <w:rPr>
          <w:rStyle w:val="FootnoteReference"/>
          <w:rFonts w:ascii="Times New Roman" w:hAnsi="Times New Roman" w:cs="Times New Roman"/>
          <w:sz w:val="24"/>
          <w:szCs w:val="24"/>
        </w:rPr>
        <w:footnoteReference w:id="1"/>
      </w:r>
      <w:r w:rsidRPr="00675023">
        <w:rPr>
          <w:rFonts w:ascii="Times New Roman" w:hAnsi="Times New Roman" w:cs="Times New Roman"/>
          <w:sz w:val="24"/>
          <w:szCs w:val="24"/>
        </w:rPr>
        <w:t>:</w:t>
      </w:r>
    </w:p>
    <w:p w:rsidR="00A76DF9" w:rsidRPr="00675023" w:rsidRDefault="00A76DF9" w:rsidP="00592363">
      <w:pPr>
        <w:spacing w:after="0" w:line="360" w:lineRule="auto"/>
        <w:jc w:val="both"/>
        <w:rPr>
          <w:rFonts w:ascii="Times New Roman" w:hAnsi="Times New Roman" w:cs="Times New Roman"/>
          <w:sz w:val="24"/>
          <w:szCs w:val="24"/>
        </w:rPr>
      </w:pPr>
    </w:p>
    <w:p w:rsidR="00A76DF9" w:rsidRPr="00675023" w:rsidRDefault="00A76DF9"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Industrial development.</w:t>
      </w:r>
    </w:p>
    <w:p w:rsidR="00A76DF9" w:rsidRPr="00675023" w:rsidRDefault="00A76DF9"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Trade, investment and exports.</w:t>
      </w:r>
    </w:p>
    <w:p w:rsidR="00A76DF9" w:rsidRPr="00675023" w:rsidRDefault="00A76DF9"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Broadening participation.</w:t>
      </w:r>
    </w:p>
    <w:p w:rsidR="00A76DF9" w:rsidRPr="00675023" w:rsidRDefault="00A76DF9"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Regulation.</w:t>
      </w:r>
    </w:p>
    <w:p w:rsidR="00A76DF9" w:rsidRPr="00675023" w:rsidRDefault="00A76DF9"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Administration.</w:t>
      </w:r>
    </w:p>
    <w:p w:rsidR="00A76DF9" w:rsidRPr="00675023" w:rsidRDefault="00A76DF9" w:rsidP="00592363">
      <w:pPr>
        <w:spacing w:after="0" w:line="360" w:lineRule="auto"/>
        <w:jc w:val="both"/>
        <w:rPr>
          <w:rFonts w:ascii="Times New Roman" w:hAnsi="Times New Roman" w:cs="Times New Roman"/>
          <w:sz w:val="24"/>
          <w:szCs w:val="24"/>
        </w:rPr>
      </w:pPr>
    </w:p>
    <w:p w:rsidR="00DA4858" w:rsidRPr="00675023" w:rsidRDefault="00A76D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During this engagement, the budget was unpacked against the DTI’s strategic plan and the priorities of the </w:t>
      </w:r>
      <w:r w:rsidR="00DA4858" w:rsidRPr="00675023">
        <w:rPr>
          <w:rFonts w:ascii="Times New Roman" w:hAnsi="Times New Roman" w:cs="Times New Roman"/>
          <w:sz w:val="24"/>
          <w:szCs w:val="24"/>
        </w:rPr>
        <w:t>State of the Nation</w:t>
      </w:r>
      <w:r w:rsidR="00466105" w:rsidRPr="00675023">
        <w:rPr>
          <w:rFonts w:ascii="Times New Roman" w:hAnsi="Times New Roman" w:cs="Times New Roman"/>
          <w:sz w:val="24"/>
          <w:szCs w:val="24"/>
        </w:rPr>
        <w:t xml:space="preserve"> Address (</w:t>
      </w:r>
      <w:r w:rsidRPr="00675023">
        <w:rPr>
          <w:rFonts w:ascii="Times New Roman" w:hAnsi="Times New Roman" w:cs="Times New Roman"/>
          <w:sz w:val="24"/>
          <w:szCs w:val="24"/>
        </w:rPr>
        <w:t>SONA</w:t>
      </w:r>
      <w:r w:rsidR="00466105" w:rsidRPr="00675023">
        <w:rPr>
          <w:rFonts w:ascii="Times New Roman" w:hAnsi="Times New Roman" w:cs="Times New Roman"/>
          <w:sz w:val="24"/>
          <w:szCs w:val="24"/>
        </w:rPr>
        <w:t>)</w:t>
      </w:r>
      <w:r w:rsidRPr="00675023">
        <w:rPr>
          <w:rFonts w:ascii="Times New Roman" w:hAnsi="Times New Roman" w:cs="Times New Roman"/>
          <w:sz w:val="24"/>
          <w:szCs w:val="24"/>
        </w:rPr>
        <w:t xml:space="preserve"> within the prevailing economic climate. This required the committee to evaluate the alignment of incentives and other instruments of industrial and trade policy objectives to ensure that the stated objectives are met.</w:t>
      </w:r>
    </w:p>
    <w:p w:rsidR="00DA4858" w:rsidRPr="00675023" w:rsidRDefault="00DA4858" w:rsidP="00592363">
      <w:pPr>
        <w:spacing w:after="0" w:line="360" w:lineRule="auto"/>
        <w:jc w:val="both"/>
        <w:rPr>
          <w:rFonts w:ascii="Times New Roman" w:hAnsi="Times New Roman" w:cs="Times New Roman"/>
          <w:sz w:val="24"/>
          <w:szCs w:val="24"/>
        </w:rPr>
      </w:pPr>
    </w:p>
    <w:p w:rsidR="00DA4858" w:rsidRPr="00675023" w:rsidRDefault="00DA4858"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The committee also considered the following entities’ strategic and annual performance plans on </w:t>
      </w:r>
      <w:r w:rsidR="00024CCF" w:rsidRPr="00675023">
        <w:rPr>
          <w:rFonts w:ascii="Times New Roman" w:hAnsi="Times New Roman" w:cs="Times New Roman"/>
          <w:sz w:val="24"/>
          <w:szCs w:val="24"/>
        </w:rPr>
        <w:t xml:space="preserve">9 and 15 March </w:t>
      </w:r>
      <w:r w:rsidRPr="00675023">
        <w:rPr>
          <w:rFonts w:ascii="Times New Roman" w:hAnsi="Times New Roman" w:cs="Times New Roman"/>
          <w:sz w:val="24"/>
          <w:szCs w:val="24"/>
        </w:rPr>
        <w:t>201</w:t>
      </w:r>
      <w:r w:rsidR="00024CCF" w:rsidRPr="00675023">
        <w:rPr>
          <w:rFonts w:ascii="Times New Roman" w:hAnsi="Times New Roman" w:cs="Times New Roman"/>
          <w:sz w:val="24"/>
          <w:szCs w:val="24"/>
        </w:rPr>
        <w:t>6 and 5 April 2016</w:t>
      </w:r>
      <w:r w:rsidRPr="00675023">
        <w:rPr>
          <w:rFonts w:ascii="Times New Roman" w:hAnsi="Times New Roman" w:cs="Times New Roman"/>
          <w:sz w:val="24"/>
          <w:szCs w:val="24"/>
        </w:rPr>
        <w:t>:</w:t>
      </w:r>
    </w:p>
    <w:p w:rsidR="00253CF6" w:rsidRPr="00675023" w:rsidRDefault="00253CF6" w:rsidP="00592363">
      <w:pPr>
        <w:spacing w:after="0" w:line="360" w:lineRule="auto"/>
        <w:jc w:val="both"/>
        <w:rPr>
          <w:rFonts w:ascii="Times New Roman" w:hAnsi="Times New Roman" w:cs="Times New Roman"/>
          <w:sz w:val="24"/>
          <w:szCs w:val="24"/>
        </w:rPr>
      </w:pPr>
    </w:p>
    <w:p w:rsidR="00AE4914" w:rsidRPr="00675023" w:rsidRDefault="00253CF6"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Companies Tribunal</w:t>
      </w:r>
      <w:r w:rsidR="00BD44F7" w:rsidRPr="00675023">
        <w:rPr>
          <w:rFonts w:ascii="Times New Roman" w:hAnsi="Times New Roman" w:cs="Times New Roman"/>
          <w:sz w:val="24"/>
          <w:szCs w:val="24"/>
        </w:rPr>
        <w:t>.</w:t>
      </w:r>
    </w:p>
    <w:p w:rsidR="007878B8" w:rsidRPr="00675023" w:rsidRDefault="007878B8"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National Consumer Tribunal (NCT)</w:t>
      </w:r>
      <w:r w:rsidR="00BD44F7" w:rsidRPr="00675023">
        <w:rPr>
          <w:rFonts w:ascii="Times New Roman" w:hAnsi="Times New Roman" w:cs="Times New Roman"/>
          <w:sz w:val="24"/>
          <w:szCs w:val="24"/>
        </w:rPr>
        <w:t>.</w:t>
      </w:r>
    </w:p>
    <w:p w:rsidR="00024CCF" w:rsidRPr="00675023" w:rsidRDefault="00024CCF" w:rsidP="00592363">
      <w:pPr>
        <w:pStyle w:val="ListParagraph"/>
        <w:numPr>
          <w:ilvl w:val="0"/>
          <w:numId w:val="3"/>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National Gambling Board (NGB)</w:t>
      </w:r>
      <w:r w:rsidR="00BD44F7" w:rsidRPr="00675023">
        <w:rPr>
          <w:rFonts w:ascii="Times New Roman" w:hAnsi="Times New Roman" w:cs="Times New Roman"/>
          <w:sz w:val="24"/>
          <w:szCs w:val="24"/>
        </w:rPr>
        <w:t>.</w:t>
      </w:r>
    </w:p>
    <w:p w:rsidR="00A71385" w:rsidRDefault="00A71385" w:rsidP="00592363">
      <w:pPr>
        <w:spacing w:after="0" w:line="360" w:lineRule="auto"/>
        <w:jc w:val="both"/>
        <w:rPr>
          <w:rFonts w:ascii="Times New Roman" w:hAnsi="Times New Roman" w:cs="Times New Roman"/>
          <w:sz w:val="24"/>
          <w:szCs w:val="24"/>
        </w:rPr>
      </w:pPr>
    </w:p>
    <w:p w:rsidR="002B788E" w:rsidRDefault="002B788E" w:rsidP="00592363">
      <w:pPr>
        <w:spacing w:after="0" w:line="360" w:lineRule="auto"/>
        <w:jc w:val="both"/>
        <w:rPr>
          <w:rFonts w:ascii="Times New Roman" w:hAnsi="Times New Roman" w:cs="Times New Roman"/>
          <w:sz w:val="24"/>
          <w:szCs w:val="24"/>
        </w:rPr>
      </w:pPr>
    </w:p>
    <w:p w:rsidR="002B788E" w:rsidRDefault="002B788E" w:rsidP="00592363">
      <w:pPr>
        <w:spacing w:after="0" w:line="360" w:lineRule="auto"/>
        <w:jc w:val="both"/>
        <w:rPr>
          <w:rFonts w:ascii="Times New Roman" w:hAnsi="Times New Roman" w:cs="Times New Roman"/>
          <w:sz w:val="24"/>
          <w:szCs w:val="24"/>
        </w:rPr>
      </w:pPr>
    </w:p>
    <w:p w:rsidR="002B788E" w:rsidRDefault="002B788E" w:rsidP="00592363">
      <w:pPr>
        <w:spacing w:after="0" w:line="360" w:lineRule="auto"/>
        <w:jc w:val="both"/>
        <w:rPr>
          <w:rFonts w:ascii="Times New Roman" w:hAnsi="Times New Roman" w:cs="Times New Roman"/>
          <w:sz w:val="24"/>
          <w:szCs w:val="24"/>
        </w:rPr>
      </w:pPr>
    </w:p>
    <w:p w:rsidR="002B788E" w:rsidRDefault="002B788E" w:rsidP="00592363">
      <w:pPr>
        <w:spacing w:after="0" w:line="360" w:lineRule="auto"/>
        <w:jc w:val="both"/>
        <w:rPr>
          <w:rFonts w:ascii="Times New Roman" w:hAnsi="Times New Roman" w:cs="Times New Roman"/>
          <w:sz w:val="24"/>
          <w:szCs w:val="24"/>
        </w:rPr>
      </w:pPr>
    </w:p>
    <w:p w:rsidR="002B788E" w:rsidRPr="00675023" w:rsidRDefault="002B788E" w:rsidP="00592363">
      <w:pPr>
        <w:spacing w:after="0" w:line="360" w:lineRule="auto"/>
        <w:jc w:val="both"/>
        <w:rPr>
          <w:rFonts w:ascii="Times New Roman" w:hAnsi="Times New Roman" w:cs="Times New Roman"/>
          <w:sz w:val="24"/>
          <w:szCs w:val="24"/>
        </w:rPr>
      </w:pPr>
    </w:p>
    <w:p w:rsidR="00D73D30" w:rsidRPr="00675023" w:rsidRDefault="00D73D30" w:rsidP="00592363">
      <w:pPr>
        <w:pStyle w:val="ListParagraph"/>
        <w:numPr>
          <w:ilvl w:val="0"/>
          <w:numId w:val="2"/>
        </w:numPr>
        <w:spacing w:after="0" w:line="360" w:lineRule="auto"/>
        <w:ind w:left="284" w:hanging="284"/>
        <w:jc w:val="both"/>
        <w:rPr>
          <w:rFonts w:ascii="Times New Roman" w:hAnsi="Times New Roman" w:cs="Times New Roman"/>
          <w:b/>
          <w:sz w:val="24"/>
          <w:szCs w:val="24"/>
        </w:rPr>
      </w:pPr>
      <w:r w:rsidRPr="00675023">
        <w:rPr>
          <w:rFonts w:ascii="Times New Roman" w:hAnsi="Times New Roman" w:cs="Times New Roman"/>
          <w:b/>
          <w:sz w:val="24"/>
          <w:szCs w:val="24"/>
        </w:rPr>
        <w:lastRenderedPageBreak/>
        <w:t>Budget Vote 3</w:t>
      </w:r>
      <w:r w:rsidR="001129F1" w:rsidRPr="00675023">
        <w:rPr>
          <w:rFonts w:ascii="Times New Roman" w:hAnsi="Times New Roman" w:cs="Times New Roman"/>
          <w:b/>
          <w:sz w:val="24"/>
          <w:szCs w:val="24"/>
        </w:rPr>
        <w:t>4</w:t>
      </w:r>
      <w:r w:rsidRPr="00675023">
        <w:rPr>
          <w:rFonts w:ascii="Times New Roman" w:hAnsi="Times New Roman" w:cs="Times New Roman"/>
          <w:b/>
          <w:sz w:val="24"/>
          <w:szCs w:val="24"/>
        </w:rPr>
        <w:t>: Department of Trade and Industry</w:t>
      </w:r>
    </w:p>
    <w:p w:rsidR="00D73D30" w:rsidRPr="00675023" w:rsidRDefault="00D73D30" w:rsidP="00592363">
      <w:pPr>
        <w:spacing w:after="0" w:line="360" w:lineRule="auto"/>
        <w:jc w:val="both"/>
        <w:rPr>
          <w:rFonts w:ascii="Times New Roman" w:hAnsi="Times New Roman" w:cs="Times New Roman"/>
          <w:b/>
          <w:sz w:val="24"/>
          <w:szCs w:val="24"/>
        </w:rPr>
      </w:pPr>
    </w:p>
    <w:p w:rsidR="00D73D30" w:rsidRPr="00675023" w:rsidRDefault="00356491" w:rsidP="00592363">
      <w:pPr>
        <w:pStyle w:val="ListParagraph"/>
        <w:numPr>
          <w:ilvl w:val="1"/>
          <w:numId w:val="2"/>
        </w:numPr>
        <w:spacing w:after="0" w:line="360" w:lineRule="auto"/>
        <w:ind w:left="567" w:hanging="567"/>
        <w:jc w:val="both"/>
        <w:rPr>
          <w:rFonts w:ascii="Times New Roman" w:hAnsi="Times New Roman" w:cs="Times New Roman"/>
          <w:b/>
          <w:sz w:val="24"/>
          <w:szCs w:val="24"/>
        </w:rPr>
      </w:pPr>
      <w:r w:rsidRPr="00675023">
        <w:rPr>
          <w:rFonts w:ascii="Times New Roman" w:hAnsi="Times New Roman" w:cs="Times New Roman"/>
          <w:b/>
          <w:iCs/>
          <w:sz w:val="24"/>
          <w:szCs w:val="24"/>
        </w:rPr>
        <w:t>Strategic Plan 201</w:t>
      </w:r>
      <w:r w:rsidR="00A05EDB" w:rsidRPr="00675023">
        <w:rPr>
          <w:rFonts w:ascii="Times New Roman" w:hAnsi="Times New Roman" w:cs="Times New Roman"/>
          <w:b/>
          <w:iCs/>
          <w:sz w:val="24"/>
          <w:szCs w:val="24"/>
        </w:rPr>
        <w:t>6</w:t>
      </w:r>
      <w:r w:rsidRPr="00675023">
        <w:rPr>
          <w:rFonts w:ascii="Times New Roman" w:hAnsi="Times New Roman" w:cs="Times New Roman"/>
          <w:b/>
          <w:iCs/>
          <w:sz w:val="24"/>
          <w:szCs w:val="24"/>
        </w:rPr>
        <w:t>/202</w:t>
      </w:r>
      <w:r w:rsidR="00A05EDB" w:rsidRPr="00675023">
        <w:rPr>
          <w:rFonts w:ascii="Times New Roman" w:hAnsi="Times New Roman" w:cs="Times New Roman"/>
          <w:b/>
          <w:iCs/>
          <w:sz w:val="24"/>
          <w:szCs w:val="24"/>
        </w:rPr>
        <w:t>1</w:t>
      </w:r>
      <w:r w:rsidRPr="00675023">
        <w:rPr>
          <w:rFonts w:ascii="Times New Roman" w:hAnsi="Times New Roman" w:cs="Times New Roman"/>
          <w:b/>
          <w:iCs/>
          <w:sz w:val="24"/>
          <w:szCs w:val="24"/>
        </w:rPr>
        <w:t xml:space="preserve"> </w:t>
      </w:r>
    </w:p>
    <w:p w:rsidR="00356491" w:rsidRPr="00675023" w:rsidRDefault="00356491" w:rsidP="00592363">
      <w:pPr>
        <w:spacing w:after="0" w:line="360" w:lineRule="auto"/>
        <w:jc w:val="both"/>
        <w:rPr>
          <w:rFonts w:ascii="Times New Roman" w:hAnsi="Times New Roman" w:cs="Times New Roman"/>
          <w:b/>
          <w:sz w:val="24"/>
          <w:szCs w:val="24"/>
        </w:rPr>
      </w:pPr>
    </w:p>
    <w:p w:rsidR="00A05EDB"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w:t>
      </w:r>
      <w:r w:rsidR="00E31670" w:rsidRPr="00675023">
        <w:rPr>
          <w:rFonts w:ascii="Times New Roman" w:eastAsia="Calibri" w:hAnsi="Times New Roman" w:cs="Times New Roman"/>
          <w:sz w:val="24"/>
          <w:szCs w:val="24"/>
        </w:rPr>
        <w:t>DTI</w:t>
      </w:r>
      <w:r w:rsidRPr="00675023">
        <w:rPr>
          <w:rFonts w:ascii="Times New Roman" w:eastAsia="Calibri" w:hAnsi="Times New Roman" w:cs="Times New Roman"/>
          <w:sz w:val="24"/>
          <w:szCs w:val="24"/>
        </w:rPr>
        <w:t xml:space="preserve"> is the custodian of the country’s industrial policy, </w:t>
      </w:r>
      <w:r w:rsidR="00BD44F7" w:rsidRPr="00675023">
        <w:rPr>
          <w:rFonts w:ascii="Times New Roman" w:eastAsia="Calibri" w:hAnsi="Times New Roman" w:cs="Times New Roman"/>
          <w:sz w:val="24"/>
          <w:szCs w:val="24"/>
        </w:rPr>
        <w:t>its</w:t>
      </w:r>
      <w:r w:rsidRPr="00675023">
        <w:rPr>
          <w:rFonts w:ascii="Times New Roman" w:eastAsia="Calibri" w:hAnsi="Times New Roman" w:cs="Times New Roman"/>
          <w:sz w:val="24"/>
          <w:szCs w:val="24"/>
        </w:rPr>
        <w:t xml:space="preserve"> strategic goals and programmes support the achievement of the country’s goals as articulated in the National Development Plan (NDP), particularly the creation of employment. This is done through the facilitation of industrialisation and economic development that results in the promotion of trade. </w:t>
      </w:r>
    </w:p>
    <w:p w:rsidR="00BD44F7" w:rsidRPr="00675023" w:rsidRDefault="00BD44F7" w:rsidP="00592363">
      <w:pPr>
        <w:autoSpaceDE w:val="0"/>
        <w:autoSpaceDN w:val="0"/>
        <w:adjustRightInd w:val="0"/>
        <w:spacing w:after="0" w:line="360" w:lineRule="auto"/>
        <w:jc w:val="both"/>
        <w:rPr>
          <w:rFonts w:ascii="Times New Roman" w:eastAsia="Calibri" w:hAnsi="Times New Roman" w:cs="Times New Roman"/>
          <w:sz w:val="24"/>
          <w:szCs w:val="24"/>
        </w:rPr>
      </w:pPr>
    </w:p>
    <w:p w:rsidR="00A05EDB" w:rsidRPr="00675023" w:rsidRDefault="00A05EDB" w:rsidP="00592363">
      <w:pPr>
        <w:spacing w:after="0" w:line="360" w:lineRule="auto"/>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strategic goals of the </w:t>
      </w:r>
      <w:r w:rsidR="00E31670" w:rsidRPr="00675023">
        <w:rPr>
          <w:rFonts w:ascii="Times New Roman" w:eastAsia="Calibri" w:hAnsi="Times New Roman" w:cs="Times New Roman"/>
          <w:sz w:val="24"/>
          <w:szCs w:val="24"/>
        </w:rPr>
        <w:t>DTI</w:t>
      </w:r>
      <w:r w:rsidRPr="00675023">
        <w:rPr>
          <w:rFonts w:ascii="Times New Roman" w:eastAsia="Calibri" w:hAnsi="Times New Roman" w:cs="Times New Roman"/>
          <w:sz w:val="24"/>
          <w:szCs w:val="24"/>
        </w:rPr>
        <w:t xml:space="preserve"> are to:</w:t>
      </w:r>
    </w:p>
    <w:p w:rsidR="00E6796D" w:rsidRPr="00675023" w:rsidRDefault="00E6796D" w:rsidP="00592363">
      <w:pPr>
        <w:spacing w:after="0" w:line="360" w:lineRule="auto"/>
        <w:rPr>
          <w:rFonts w:ascii="Times New Roman" w:eastAsia="Calibri" w:hAnsi="Times New Roman" w:cs="Times New Roman"/>
          <w:sz w:val="24"/>
          <w:szCs w:val="24"/>
        </w:rPr>
      </w:pPr>
    </w:p>
    <w:p w:rsidR="00A05EDB" w:rsidRPr="00675023" w:rsidRDefault="00A05EDB" w:rsidP="00294851">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“Facilitate transformation of the economy to promote industrial development, investment, competitiveness and employment creation;</w:t>
      </w:r>
    </w:p>
    <w:p w:rsidR="00A05EDB" w:rsidRPr="00675023" w:rsidRDefault="00A05EDB" w:rsidP="00294851">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Build mutually beneficial regional and global relations to advance South Africa’s trade, industrial policy and economic development objectives;</w:t>
      </w:r>
    </w:p>
    <w:p w:rsidR="00A05EDB" w:rsidRPr="00675023" w:rsidRDefault="00A05EDB" w:rsidP="00294851">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Facilitate broad-based economic participation through targeted interventions to achieve more inclusive growth;</w:t>
      </w:r>
    </w:p>
    <w:p w:rsidR="00A05EDB" w:rsidRPr="00675023" w:rsidRDefault="00A05EDB" w:rsidP="00294851">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Create a fair regulatory environment that enables investment, trade and enterprise development in an equitable and socially responsible manner; and</w:t>
      </w:r>
    </w:p>
    <w:p w:rsidR="00A05EDB" w:rsidRPr="00675023" w:rsidRDefault="00A05EDB" w:rsidP="00294851">
      <w:pPr>
        <w:numPr>
          <w:ilvl w:val="0"/>
          <w:numId w:val="5"/>
        </w:numPr>
        <w:autoSpaceDE w:val="0"/>
        <w:autoSpaceDN w:val="0"/>
        <w:adjustRightInd w:val="0"/>
        <w:spacing w:after="0" w:line="360" w:lineRule="auto"/>
        <w:ind w:left="426" w:hanging="426"/>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Promote a professional, ethical, dynamic, competitive and customer-focused working environment that ensures effective and efficient service delivery.”</w:t>
      </w:r>
      <w:r w:rsidRPr="00675023">
        <w:rPr>
          <w:rFonts w:ascii="Times New Roman" w:eastAsia="Calibri" w:hAnsi="Times New Roman" w:cs="Times New Roman"/>
          <w:sz w:val="24"/>
          <w:szCs w:val="24"/>
          <w:vertAlign w:val="superscript"/>
        </w:rPr>
        <w:footnoteReference w:id="2"/>
      </w:r>
    </w:p>
    <w:p w:rsidR="00A05EDB" w:rsidRPr="00675023" w:rsidRDefault="00A05EDB" w:rsidP="00592363">
      <w:pPr>
        <w:spacing w:after="0" w:line="360" w:lineRule="auto"/>
        <w:contextualSpacing/>
        <w:jc w:val="both"/>
        <w:rPr>
          <w:rFonts w:ascii="Times New Roman" w:eastAsia="Calibri" w:hAnsi="Times New Roman" w:cs="Times New Roman"/>
          <w:sz w:val="24"/>
          <w:szCs w:val="24"/>
        </w:rPr>
      </w:pPr>
    </w:p>
    <w:p w:rsidR="00A05EDB" w:rsidRPr="00675023" w:rsidRDefault="00A05EDB" w:rsidP="00592363">
      <w:pPr>
        <w:spacing w:after="0" w:line="360" w:lineRule="auto"/>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w:t>
      </w:r>
      <w:r w:rsidR="00E31670" w:rsidRPr="00675023">
        <w:rPr>
          <w:rFonts w:ascii="Times New Roman" w:eastAsia="Calibri" w:hAnsi="Times New Roman" w:cs="Times New Roman"/>
          <w:sz w:val="24"/>
          <w:szCs w:val="24"/>
        </w:rPr>
        <w:t xml:space="preserve">DTI’s </w:t>
      </w:r>
      <w:r w:rsidRPr="00675023">
        <w:rPr>
          <w:rFonts w:ascii="Times New Roman" w:eastAsia="Calibri" w:hAnsi="Times New Roman" w:cs="Times New Roman"/>
          <w:sz w:val="24"/>
          <w:szCs w:val="24"/>
        </w:rPr>
        <w:t xml:space="preserve">programmes changed in the 2014/15 financial year. This </w:t>
      </w:r>
      <w:r w:rsidR="001E46C9">
        <w:rPr>
          <w:rFonts w:ascii="Times New Roman" w:eastAsia="Calibri" w:hAnsi="Times New Roman" w:cs="Times New Roman"/>
          <w:sz w:val="24"/>
          <w:szCs w:val="24"/>
        </w:rPr>
        <w:t>stemm</w:t>
      </w:r>
      <w:r w:rsidR="001E46C9" w:rsidRPr="00675023">
        <w:rPr>
          <w:rFonts w:ascii="Times New Roman" w:eastAsia="Calibri" w:hAnsi="Times New Roman" w:cs="Times New Roman"/>
          <w:sz w:val="24"/>
          <w:szCs w:val="24"/>
        </w:rPr>
        <w:t xml:space="preserve">ed </w:t>
      </w:r>
      <w:r w:rsidRPr="00675023">
        <w:rPr>
          <w:rFonts w:ascii="Times New Roman" w:eastAsia="Calibri" w:hAnsi="Times New Roman" w:cs="Times New Roman"/>
          <w:sz w:val="24"/>
          <w:szCs w:val="24"/>
        </w:rPr>
        <w:t xml:space="preserve">from the establishment of the </w:t>
      </w:r>
      <w:r w:rsidR="00E31670" w:rsidRPr="00675023">
        <w:rPr>
          <w:rFonts w:ascii="Times New Roman" w:eastAsia="Calibri" w:hAnsi="Times New Roman" w:cs="Times New Roman"/>
          <w:sz w:val="24"/>
          <w:szCs w:val="24"/>
        </w:rPr>
        <w:t xml:space="preserve">Department of </w:t>
      </w:r>
      <w:r w:rsidRPr="00675023">
        <w:rPr>
          <w:rFonts w:ascii="Times New Roman" w:eastAsia="Calibri" w:hAnsi="Times New Roman" w:cs="Times New Roman"/>
          <w:sz w:val="24"/>
          <w:szCs w:val="24"/>
        </w:rPr>
        <w:t>Small Business Development</w:t>
      </w:r>
      <w:r w:rsidR="00E31670"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 which is mandated to promote and develop small businesses and cooperatives through economic and legislative drivers that stimulate entrepreneurship to contribute to economic transformation in the country. This led to the transfer of a number of the </w:t>
      </w:r>
      <w:r w:rsidR="00E31670" w:rsidRPr="00675023">
        <w:rPr>
          <w:rFonts w:ascii="Times New Roman" w:eastAsia="Calibri" w:hAnsi="Times New Roman" w:cs="Times New Roman"/>
          <w:sz w:val="24"/>
          <w:szCs w:val="24"/>
        </w:rPr>
        <w:t xml:space="preserve">DTI’s </w:t>
      </w:r>
      <w:r w:rsidRPr="00675023">
        <w:rPr>
          <w:rFonts w:ascii="Times New Roman" w:eastAsia="Calibri" w:hAnsi="Times New Roman" w:cs="Times New Roman"/>
          <w:sz w:val="24"/>
          <w:szCs w:val="24"/>
        </w:rPr>
        <w:t>activities</w:t>
      </w:r>
      <w:r w:rsidR="00E31670"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 hence the reconfiguring and renaming of programme 3 from the Broadening Participation Programme to the Special Economic Zones and Econ</w:t>
      </w:r>
      <w:r w:rsidR="005257FD" w:rsidRPr="00675023">
        <w:rPr>
          <w:rFonts w:ascii="Times New Roman" w:eastAsia="Calibri" w:hAnsi="Times New Roman" w:cs="Times New Roman"/>
          <w:sz w:val="24"/>
          <w:szCs w:val="24"/>
        </w:rPr>
        <w:t xml:space="preserve">omic Transformation programme. </w:t>
      </w:r>
      <w:r w:rsidR="007B6264" w:rsidRPr="00675023">
        <w:rPr>
          <w:rFonts w:ascii="Times New Roman" w:eastAsia="Calibri" w:hAnsi="Times New Roman" w:cs="Times New Roman"/>
          <w:sz w:val="24"/>
          <w:szCs w:val="24"/>
        </w:rPr>
        <w:t>This programme is targeted at Special Economic Zones, which are an intervention of the IPAP, and the Black Industrialists initiative, which is an intervention to broaden economic participation in line with the DTI’s strategic objective to facilitate broad-based economic participation</w:t>
      </w:r>
      <w:r w:rsidR="007B6264" w:rsidRPr="00675023">
        <w:rPr>
          <w:rStyle w:val="FootnoteReference"/>
          <w:rFonts w:ascii="Times New Roman" w:eastAsia="Calibri" w:hAnsi="Times New Roman" w:cs="Times New Roman"/>
          <w:sz w:val="24"/>
          <w:szCs w:val="24"/>
        </w:rPr>
        <w:footnoteReference w:id="3"/>
      </w:r>
      <w:r w:rsidR="007B6264" w:rsidRPr="00675023">
        <w:rPr>
          <w:rFonts w:ascii="Times New Roman" w:eastAsia="Calibri" w:hAnsi="Times New Roman" w:cs="Times New Roman"/>
          <w:sz w:val="24"/>
          <w:szCs w:val="24"/>
        </w:rPr>
        <w:t>.</w:t>
      </w:r>
    </w:p>
    <w:p w:rsidR="00E31670" w:rsidRPr="00675023" w:rsidRDefault="00E31670" w:rsidP="00592363">
      <w:pPr>
        <w:spacing w:after="0" w:line="360" w:lineRule="auto"/>
        <w:contextualSpacing/>
        <w:jc w:val="both"/>
        <w:rPr>
          <w:rFonts w:ascii="Times New Roman" w:eastAsia="Calibri" w:hAnsi="Times New Roman" w:cs="Times New Roman"/>
          <w:sz w:val="24"/>
          <w:szCs w:val="24"/>
        </w:rPr>
      </w:pPr>
    </w:p>
    <w:p w:rsidR="00BB2902" w:rsidRDefault="00E31670" w:rsidP="00592363">
      <w:pPr>
        <w:spacing w:after="0" w:line="360" w:lineRule="auto"/>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Furthermore, programme 7, Trade and Investment South Africa, was </w:t>
      </w:r>
      <w:r w:rsidR="001E46C9">
        <w:rPr>
          <w:rFonts w:ascii="Times New Roman" w:eastAsia="Calibri" w:hAnsi="Times New Roman" w:cs="Times New Roman"/>
          <w:sz w:val="24"/>
          <w:szCs w:val="24"/>
        </w:rPr>
        <w:t>divided</w:t>
      </w:r>
      <w:r w:rsidR="001E46C9" w:rsidRPr="00675023">
        <w:rPr>
          <w:rFonts w:ascii="Times New Roman" w:eastAsia="Calibri" w:hAnsi="Times New Roman" w:cs="Times New Roman"/>
          <w:sz w:val="24"/>
          <w:szCs w:val="24"/>
        </w:rPr>
        <w:t xml:space="preserve"> </w:t>
      </w:r>
      <w:r w:rsidRPr="00675023">
        <w:rPr>
          <w:rFonts w:ascii="Times New Roman" w:eastAsia="Calibri" w:hAnsi="Times New Roman" w:cs="Times New Roman"/>
          <w:sz w:val="24"/>
          <w:szCs w:val="24"/>
        </w:rPr>
        <w:t xml:space="preserve">in this financial year to create the new programme 7, Trade Export South Africa, and programme 8, Investment South Africa. </w:t>
      </w:r>
    </w:p>
    <w:p w:rsidR="00BB2902" w:rsidRDefault="00BB2902" w:rsidP="006477E5">
      <w:pPr>
        <w:spacing w:after="0" w:line="360" w:lineRule="auto"/>
        <w:contextualSpacing/>
        <w:jc w:val="center"/>
        <w:rPr>
          <w:rFonts w:ascii="Times New Roman" w:eastAsia="Calibri" w:hAnsi="Times New Roman" w:cs="Times New Roman"/>
          <w:sz w:val="24"/>
          <w:szCs w:val="24"/>
        </w:rPr>
      </w:pPr>
      <w:r w:rsidRPr="007E21C4">
        <w:rPr>
          <w:rFonts w:ascii="Times New Roman" w:eastAsia="Calibri" w:hAnsi="Times New Roman" w:cs="Times New Roman"/>
          <w:noProof/>
          <w:sz w:val="24"/>
          <w:szCs w:val="24"/>
          <w:lang w:eastAsia="en-ZA"/>
        </w:rPr>
        <mc:AlternateContent>
          <mc:Choice Requires="wps">
            <w:drawing>
              <wp:anchor distT="0" distB="0" distL="114300" distR="114300" simplePos="0" relativeHeight="251657728" behindDoc="0" locked="0" layoutInCell="1" allowOverlap="1" wp14:anchorId="019C0092" wp14:editId="58CE7F29">
                <wp:simplePos x="0" y="0"/>
                <wp:positionH relativeFrom="column">
                  <wp:posOffset>2864779</wp:posOffset>
                </wp:positionH>
                <wp:positionV relativeFrom="paragraph">
                  <wp:posOffset>1040765</wp:posOffset>
                </wp:positionV>
                <wp:extent cx="649357" cy="278296"/>
                <wp:effectExtent l="0" t="19050" r="36830" b="45720"/>
                <wp:wrapNone/>
                <wp:docPr id="10" name="Righ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357" cy="278296"/>
                        </a:xfrm>
                        <a:prstGeom prst="rightArrow">
                          <a:avLst>
                            <a:gd name="adj1" fmla="val 50000"/>
                            <a:gd name="adj2" fmla="val 41810"/>
                          </a:avLst>
                        </a:prstGeom>
                        <a:solidFill>
                          <a:srgbClr val="A5A5A5"/>
                        </a:solidFill>
                        <a:ln w="9525">
                          <a:solidFill>
                            <a:srgbClr val="A5A5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E9F5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5.55pt;margin-top:81.95pt;width:51.15pt;height: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" adj="17730" fillcolor="#a5a5a5" strokecolor="#a5a5a5"/>
            </w:pict>
          </mc:Fallback>
        </mc:AlternateContent>
      </w:r>
      <w:r w:rsidRPr="007E21C4">
        <w:rPr>
          <w:rFonts w:ascii="Times New Roman" w:eastAsia="Calibri" w:hAnsi="Times New Roman" w:cs="Times New Roman"/>
          <w:noProof/>
          <w:sz w:val="24"/>
          <w:szCs w:val="24"/>
          <w:lang w:eastAsia="en-ZA"/>
        </w:rPr>
        <w:drawing>
          <wp:inline distT="0" distB="0" distL="0" distR="0" wp14:anchorId="04F1227D" wp14:editId="31C4C524">
            <wp:extent cx="4429496" cy="2624446"/>
            <wp:effectExtent l="0" t="0" r="0" b="508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646" cy="2656530"/>
                    </a:xfrm>
                    <a:prstGeom prst="rect">
                      <a:avLst/>
                    </a:prstGeom>
                    <a:noFill/>
                  </pic:spPr>
                </pic:pic>
              </a:graphicData>
            </a:graphic>
          </wp:inline>
        </w:drawing>
      </w:r>
    </w:p>
    <w:p w:rsidR="00BB2902" w:rsidRDefault="00BB2902" w:rsidP="00592363">
      <w:pPr>
        <w:spacing w:after="0" w:line="360" w:lineRule="auto"/>
        <w:contextualSpacing/>
        <w:jc w:val="both"/>
        <w:rPr>
          <w:rFonts w:ascii="Times New Roman" w:eastAsia="Calibri" w:hAnsi="Times New Roman" w:cs="Times New Roman"/>
          <w:b/>
          <w:sz w:val="24"/>
          <w:szCs w:val="24"/>
        </w:rPr>
      </w:pPr>
      <w:r w:rsidRPr="007E21C4">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 xml:space="preserve">1: </w:t>
      </w:r>
      <w:r w:rsidR="001E46C9">
        <w:rPr>
          <w:rFonts w:ascii="Times New Roman" w:eastAsia="Calibri" w:hAnsi="Times New Roman" w:cs="Times New Roman"/>
          <w:b/>
          <w:sz w:val="24"/>
          <w:szCs w:val="24"/>
        </w:rPr>
        <w:t xml:space="preserve">Division of </w:t>
      </w:r>
      <w:r>
        <w:rPr>
          <w:rFonts w:ascii="Times New Roman" w:eastAsia="Calibri" w:hAnsi="Times New Roman" w:cs="Times New Roman"/>
          <w:b/>
          <w:sz w:val="24"/>
          <w:szCs w:val="24"/>
        </w:rPr>
        <w:t xml:space="preserve">former Programme </w:t>
      </w:r>
      <w:r w:rsidR="00B149D1">
        <w:rPr>
          <w:rFonts w:ascii="Times New Roman" w:eastAsia="Calibri" w:hAnsi="Times New Roman" w:cs="Times New Roman"/>
          <w:b/>
          <w:sz w:val="24"/>
          <w:szCs w:val="24"/>
        </w:rPr>
        <w:t>7</w:t>
      </w:r>
      <w:r w:rsidR="00E23D0F">
        <w:rPr>
          <w:rFonts w:ascii="Times New Roman" w:eastAsia="Calibri" w:hAnsi="Times New Roman" w:cs="Times New Roman"/>
          <w:b/>
          <w:sz w:val="24"/>
          <w:szCs w:val="24"/>
        </w:rPr>
        <w:t>: Trade and Investment South Africa</w:t>
      </w:r>
      <w:r>
        <w:rPr>
          <w:rStyle w:val="FootnoteReference"/>
          <w:rFonts w:ascii="Times New Roman" w:eastAsia="Calibri" w:hAnsi="Times New Roman" w:cs="Times New Roman"/>
          <w:b/>
          <w:sz w:val="24"/>
          <w:szCs w:val="24"/>
        </w:rPr>
        <w:footnoteReference w:id="4"/>
      </w:r>
    </w:p>
    <w:p w:rsidR="00294851" w:rsidRDefault="00294851" w:rsidP="00592363">
      <w:pPr>
        <w:spacing w:after="0" w:line="360" w:lineRule="auto"/>
        <w:contextualSpacing/>
        <w:jc w:val="both"/>
        <w:rPr>
          <w:rFonts w:ascii="Times New Roman" w:eastAsia="Calibri" w:hAnsi="Times New Roman" w:cs="Times New Roman"/>
          <w:sz w:val="24"/>
          <w:szCs w:val="24"/>
        </w:rPr>
      </w:pPr>
    </w:p>
    <w:p w:rsidR="00E31670" w:rsidRPr="00675023" w:rsidRDefault="00E31670" w:rsidP="00592363">
      <w:pPr>
        <w:spacing w:after="0" w:line="360" w:lineRule="auto"/>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Therefore, the DTI now has the following 8 programmes responsible for implementing its mandate:</w:t>
      </w:r>
    </w:p>
    <w:p w:rsidR="00E31670" w:rsidRPr="00675023" w:rsidRDefault="00E31670" w:rsidP="00592363">
      <w:pPr>
        <w:spacing w:after="0" w:line="360" w:lineRule="auto"/>
        <w:contextualSpacing/>
        <w:jc w:val="both"/>
        <w:rPr>
          <w:rFonts w:ascii="Times New Roman" w:eastAsia="Calibri" w:hAnsi="Times New Roman" w:cs="Times New Roman"/>
          <w:sz w:val="24"/>
          <w:szCs w:val="24"/>
        </w:rPr>
      </w:pPr>
    </w:p>
    <w:p w:rsidR="00E31670" w:rsidRPr="00675023"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1: Administration</w:t>
      </w:r>
    </w:p>
    <w:p w:rsidR="00E31670" w:rsidRPr="007E21C4"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2: International Trade and Economic Development</w:t>
      </w:r>
    </w:p>
    <w:p w:rsidR="00E31670" w:rsidRPr="00675023"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3: Special Economic Zones and Economic Transformation</w:t>
      </w:r>
    </w:p>
    <w:p w:rsidR="00E31670" w:rsidRPr="00675023"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4: Industrial Development</w:t>
      </w:r>
    </w:p>
    <w:p w:rsidR="00E31670" w:rsidRPr="00675023"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5:Consumer and Corporate Regulation</w:t>
      </w:r>
    </w:p>
    <w:p w:rsidR="00E31670" w:rsidRPr="00675023"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6: Incentive Administration and Development</w:t>
      </w:r>
    </w:p>
    <w:p w:rsidR="00E31670" w:rsidRPr="00675023"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7: Trade Export South Africa</w:t>
      </w:r>
    </w:p>
    <w:p w:rsidR="00E31670" w:rsidRPr="007E21C4" w:rsidRDefault="00E31670" w:rsidP="007E21C4">
      <w:pPr>
        <w:pStyle w:val="ListParagraph"/>
        <w:numPr>
          <w:ilvl w:val="0"/>
          <w:numId w:val="36"/>
        </w:num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Programme 8: Investment South Africa</w:t>
      </w:r>
    </w:p>
    <w:p w:rsidR="005257FD" w:rsidRPr="00675023" w:rsidRDefault="005257FD" w:rsidP="00592363">
      <w:pPr>
        <w:spacing w:after="0" w:line="360" w:lineRule="auto"/>
        <w:contextualSpacing/>
        <w:jc w:val="both"/>
        <w:rPr>
          <w:rFonts w:ascii="Times New Roman" w:eastAsia="Calibri" w:hAnsi="Times New Roman" w:cs="Times New Roman"/>
          <w:sz w:val="24"/>
          <w:szCs w:val="24"/>
        </w:rPr>
      </w:pPr>
    </w:p>
    <w:p w:rsidR="00A05EDB" w:rsidRPr="00675023" w:rsidRDefault="00A05EDB" w:rsidP="007E21C4">
      <w:pPr>
        <w:pStyle w:val="ListParagraph"/>
        <w:numPr>
          <w:ilvl w:val="1"/>
          <w:numId w:val="2"/>
        </w:numPr>
        <w:spacing w:after="0" w:line="360" w:lineRule="auto"/>
        <w:ind w:left="567" w:hanging="567"/>
        <w:jc w:val="both"/>
        <w:rPr>
          <w:rFonts w:ascii="Times New Roman" w:hAnsi="Times New Roman" w:cs="Times New Roman"/>
          <w:sz w:val="24"/>
          <w:szCs w:val="24"/>
        </w:rPr>
      </w:pPr>
      <w:bookmarkStart w:id="1" w:name="_Toc445039763"/>
      <w:r w:rsidRPr="007E21C4">
        <w:rPr>
          <w:rFonts w:ascii="Times New Roman" w:hAnsi="Times New Roman" w:cs="Times New Roman"/>
          <w:b/>
          <w:sz w:val="24"/>
          <w:szCs w:val="24"/>
        </w:rPr>
        <w:t>Policy Priorities for 2016/17</w:t>
      </w:r>
      <w:bookmarkEnd w:id="1"/>
    </w:p>
    <w:p w:rsidR="00A05EDB" w:rsidRPr="00675023" w:rsidRDefault="00A05EDB" w:rsidP="00592363">
      <w:pPr>
        <w:spacing w:after="0" w:line="360" w:lineRule="auto"/>
        <w:jc w:val="both"/>
        <w:rPr>
          <w:rFonts w:ascii="Times New Roman" w:hAnsi="Times New Roman" w:cs="Times New Roman"/>
          <w:b/>
          <w:bCs/>
          <w:sz w:val="24"/>
          <w:szCs w:val="24"/>
        </w:rPr>
      </w:pPr>
    </w:p>
    <w:p w:rsidR="00A05EDB" w:rsidRPr="00675023" w:rsidRDefault="00A05EDB"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South Africa’s policy priorities are </w:t>
      </w:r>
      <w:r w:rsidR="00E31670" w:rsidRPr="00675023">
        <w:rPr>
          <w:rFonts w:ascii="Times New Roman" w:hAnsi="Times New Roman" w:cs="Times New Roman"/>
          <w:sz w:val="24"/>
          <w:szCs w:val="24"/>
        </w:rPr>
        <w:t xml:space="preserve">economic </w:t>
      </w:r>
      <w:r w:rsidRPr="00675023">
        <w:rPr>
          <w:rFonts w:ascii="Times New Roman" w:hAnsi="Times New Roman" w:cs="Times New Roman"/>
          <w:sz w:val="24"/>
          <w:szCs w:val="24"/>
        </w:rPr>
        <w:t xml:space="preserve">growth, economic participation and social development. According to the NDP, the 2015 Medium Term Budget Policy Statement </w:t>
      </w:r>
      <w:r w:rsidRPr="00675023">
        <w:rPr>
          <w:rFonts w:ascii="Times New Roman" w:hAnsi="Times New Roman" w:cs="Times New Roman"/>
          <w:sz w:val="24"/>
          <w:szCs w:val="24"/>
        </w:rPr>
        <w:lastRenderedPageBreak/>
        <w:t>(MTBPS) and the 2014-19 Medium Term Strategic Framework (MTSF)</w:t>
      </w:r>
      <w:r w:rsidR="00D91046" w:rsidRPr="00675023">
        <w:rPr>
          <w:rFonts w:ascii="Times New Roman" w:hAnsi="Times New Roman" w:cs="Times New Roman"/>
          <w:sz w:val="24"/>
          <w:szCs w:val="24"/>
        </w:rPr>
        <w:t>,</w:t>
      </w:r>
      <w:r w:rsidRPr="00675023">
        <w:rPr>
          <w:rFonts w:ascii="Times New Roman" w:hAnsi="Times New Roman" w:cs="Times New Roman"/>
          <w:sz w:val="24"/>
          <w:szCs w:val="24"/>
        </w:rPr>
        <w:t xml:space="preserve"> for economic growth to be achieved and jobs </w:t>
      </w:r>
      <w:r w:rsidR="00D91046" w:rsidRPr="00675023">
        <w:rPr>
          <w:rFonts w:ascii="Times New Roman" w:hAnsi="Times New Roman" w:cs="Times New Roman"/>
          <w:sz w:val="24"/>
          <w:szCs w:val="24"/>
        </w:rPr>
        <w:t xml:space="preserve">to be </w:t>
      </w:r>
      <w:r w:rsidRPr="00675023">
        <w:rPr>
          <w:rFonts w:ascii="Times New Roman" w:hAnsi="Times New Roman" w:cs="Times New Roman"/>
          <w:sz w:val="24"/>
          <w:szCs w:val="24"/>
        </w:rPr>
        <w:t>created</w:t>
      </w:r>
      <w:r w:rsidR="00D91046" w:rsidRPr="00675023">
        <w:rPr>
          <w:rFonts w:ascii="Times New Roman" w:hAnsi="Times New Roman" w:cs="Times New Roman"/>
          <w:sz w:val="24"/>
          <w:szCs w:val="24"/>
        </w:rPr>
        <w:t>,</w:t>
      </w:r>
      <w:r w:rsidRPr="00675023">
        <w:rPr>
          <w:rFonts w:ascii="Times New Roman" w:hAnsi="Times New Roman" w:cs="Times New Roman"/>
          <w:sz w:val="24"/>
          <w:szCs w:val="24"/>
        </w:rPr>
        <w:t xml:space="preserve"> the following conditions have to be met:</w:t>
      </w:r>
      <w:r w:rsidRPr="00675023">
        <w:rPr>
          <w:rStyle w:val="FootnoteReference"/>
          <w:rFonts w:ascii="Times New Roman" w:hAnsi="Times New Roman" w:cs="Times New Roman"/>
          <w:sz w:val="24"/>
          <w:szCs w:val="24"/>
        </w:rPr>
        <w:footnoteReference w:id="5"/>
      </w:r>
    </w:p>
    <w:p w:rsidR="00A01C19" w:rsidRPr="00675023" w:rsidRDefault="00A01C19" w:rsidP="00592363">
      <w:pPr>
        <w:spacing w:after="0" w:line="360" w:lineRule="auto"/>
        <w:jc w:val="both"/>
        <w:rPr>
          <w:rFonts w:ascii="Times New Roman" w:hAnsi="Times New Roman" w:cs="Times New Roman"/>
          <w:sz w:val="24"/>
          <w:szCs w:val="24"/>
        </w:rPr>
      </w:pPr>
    </w:p>
    <w:p w:rsidR="00A05EDB" w:rsidRPr="00675023" w:rsidRDefault="00A05EDB" w:rsidP="00592363">
      <w:pPr>
        <w:pStyle w:val="ListParagraph"/>
        <w:numPr>
          <w:ilvl w:val="0"/>
          <w:numId w:val="7"/>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w:t>
      </w:r>
      <w:r w:rsidR="005B7034" w:rsidRPr="00675023">
        <w:rPr>
          <w:rFonts w:ascii="Times New Roman" w:hAnsi="Times New Roman" w:cs="Times New Roman"/>
          <w:sz w:val="24"/>
          <w:szCs w:val="24"/>
        </w:rPr>
        <w:t xml:space="preserve">Sustained </w:t>
      </w:r>
      <w:r w:rsidRPr="00675023">
        <w:rPr>
          <w:rFonts w:ascii="Times New Roman" w:hAnsi="Times New Roman" w:cs="Times New Roman"/>
          <w:sz w:val="24"/>
          <w:szCs w:val="24"/>
        </w:rPr>
        <w:t>high levels of public investment and increasing private investment, consumption so that a greater share of investment can be financed from domestic savings”</w:t>
      </w:r>
      <w:r w:rsidR="005B7034" w:rsidRPr="00675023">
        <w:rPr>
          <w:rFonts w:ascii="Times New Roman" w:hAnsi="Times New Roman" w:cs="Times New Roman"/>
          <w:sz w:val="24"/>
          <w:szCs w:val="24"/>
        </w:rPr>
        <w:t>, and</w:t>
      </w:r>
      <w:r w:rsidRPr="00675023">
        <w:rPr>
          <w:rFonts w:ascii="Times New Roman" w:hAnsi="Times New Roman" w:cs="Times New Roman"/>
          <w:sz w:val="24"/>
          <w:szCs w:val="24"/>
        </w:rPr>
        <w:t xml:space="preserve"> </w:t>
      </w:r>
    </w:p>
    <w:p w:rsidR="00A05EDB" w:rsidRPr="00675023" w:rsidRDefault="00A05EDB" w:rsidP="00592363">
      <w:pPr>
        <w:pStyle w:val="ListParagraph"/>
        <w:numPr>
          <w:ilvl w:val="0"/>
          <w:numId w:val="7"/>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“Supported rapid growth in exports, and maintaining a competitive real exchange rate to boost economic output and job creation”.</w:t>
      </w:r>
    </w:p>
    <w:p w:rsidR="00A05EDB" w:rsidRPr="00675023" w:rsidRDefault="00A05EDB" w:rsidP="00592363">
      <w:pPr>
        <w:pStyle w:val="ListParagraph"/>
        <w:spacing w:after="0" w:line="360" w:lineRule="auto"/>
        <w:jc w:val="both"/>
        <w:rPr>
          <w:rFonts w:ascii="Times New Roman" w:hAnsi="Times New Roman" w:cs="Times New Roman"/>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hAnsi="Times New Roman" w:cs="Times New Roman"/>
          <w:sz w:val="24"/>
          <w:szCs w:val="24"/>
        </w:rPr>
        <w:t>The 2015 MTBPS emphasis</w:t>
      </w:r>
      <w:r w:rsidR="005B7034" w:rsidRPr="00675023">
        <w:rPr>
          <w:rFonts w:ascii="Times New Roman" w:hAnsi="Times New Roman" w:cs="Times New Roman"/>
          <w:sz w:val="24"/>
          <w:szCs w:val="24"/>
        </w:rPr>
        <w:t>ed</w:t>
      </w:r>
      <w:r w:rsidRPr="00675023">
        <w:rPr>
          <w:rFonts w:ascii="Times New Roman" w:hAnsi="Times New Roman" w:cs="Times New Roman"/>
          <w:sz w:val="24"/>
          <w:szCs w:val="24"/>
        </w:rPr>
        <w:t xml:space="preserve"> “building infrastructure, investment promotion and growing trade linkages”</w:t>
      </w:r>
      <w:r w:rsidRPr="00675023">
        <w:rPr>
          <w:rStyle w:val="FootnoteReference"/>
          <w:rFonts w:ascii="Times New Roman" w:hAnsi="Times New Roman" w:cs="Times New Roman"/>
          <w:sz w:val="24"/>
          <w:szCs w:val="24"/>
        </w:rPr>
        <w:footnoteReference w:id="6"/>
      </w:r>
      <w:r w:rsidRPr="00675023">
        <w:rPr>
          <w:rFonts w:ascii="Times New Roman" w:hAnsi="Times New Roman" w:cs="Times New Roman"/>
          <w:sz w:val="24"/>
          <w:szCs w:val="24"/>
        </w:rPr>
        <w:t>. There is</w:t>
      </w:r>
      <w:r w:rsidR="005B7034" w:rsidRPr="00675023">
        <w:rPr>
          <w:rFonts w:ascii="Times New Roman" w:hAnsi="Times New Roman" w:cs="Times New Roman"/>
          <w:sz w:val="24"/>
          <w:szCs w:val="24"/>
        </w:rPr>
        <w:t xml:space="preserve"> a</w:t>
      </w:r>
      <w:r w:rsidRPr="00675023">
        <w:rPr>
          <w:rFonts w:ascii="Times New Roman" w:hAnsi="Times New Roman" w:cs="Times New Roman"/>
          <w:sz w:val="24"/>
          <w:szCs w:val="24"/>
        </w:rPr>
        <w:t xml:space="preserve"> clear alignment between the </w:t>
      </w:r>
      <w:r w:rsidR="005B7034" w:rsidRPr="00675023">
        <w:rPr>
          <w:rFonts w:ascii="Times New Roman" w:hAnsi="Times New Roman" w:cs="Times New Roman"/>
          <w:sz w:val="24"/>
          <w:szCs w:val="24"/>
        </w:rPr>
        <w:t xml:space="preserve">DTI’s </w:t>
      </w:r>
      <w:r w:rsidRPr="00675023">
        <w:rPr>
          <w:rFonts w:ascii="Times New Roman" w:hAnsi="Times New Roman" w:cs="Times New Roman"/>
          <w:sz w:val="24"/>
          <w:szCs w:val="24"/>
        </w:rPr>
        <w:t xml:space="preserve">work as per its strategic objectives, the NDP, the 2015 MTBPS and the 2014-2019 MTSF. In line with this, the </w:t>
      </w:r>
      <w:r w:rsidR="005B7034" w:rsidRPr="00675023">
        <w:rPr>
          <w:rFonts w:ascii="Times New Roman" w:hAnsi="Times New Roman" w:cs="Times New Roman"/>
          <w:sz w:val="24"/>
          <w:szCs w:val="24"/>
        </w:rPr>
        <w:t xml:space="preserve">DTI’s </w:t>
      </w:r>
      <w:r w:rsidRPr="00675023">
        <w:rPr>
          <w:rFonts w:ascii="Times New Roman" w:hAnsi="Times New Roman" w:cs="Times New Roman"/>
          <w:sz w:val="24"/>
          <w:szCs w:val="24"/>
        </w:rPr>
        <w:t xml:space="preserve">priorities as articulated by the President in his 2016 State of the Nation Address are to provide support for </w:t>
      </w:r>
      <w:r w:rsidR="005B7034" w:rsidRPr="00675023">
        <w:rPr>
          <w:rFonts w:ascii="Times New Roman" w:hAnsi="Times New Roman" w:cs="Times New Roman"/>
          <w:sz w:val="24"/>
          <w:szCs w:val="24"/>
        </w:rPr>
        <w:t xml:space="preserve">the </w:t>
      </w:r>
      <w:r w:rsidRPr="00675023">
        <w:rPr>
          <w:rFonts w:ascii="Times New Roman" w:hAnsi="Times New Roman" w:cs="Times New Roman"/>
          <w:sz w:val="24"/>
          <w:szCs w:val="24"/>
        </w:rPr>
        <w:t xml:space="preserve">manufacturing </w:t>
      </w:r>
      <w:r w:rsidR="005B7034" w:rsidRPr="00675023">
        <w:rPr>
          <w:rFonts w:ascii="Times New Roman" w:hAnsi="Times New Roman" w:cs="Times New Roman"/>
          <w:sz w:val="24"/>
          <w:szCs w:val="24"/>
        </w:rPr>
        <w:t>sector</w:t>
      </w:r>
      <w:r w:rsidRPr="00675023">
        <w:rPr>
          <w:rFonts w:ascii="Times New Roman" w:hAnsi="Times New Roman" w:cs="Times New Roman"/>
          <w:sz w:val="24"/>
          <w:szCs w:val="24"/>
        </w:rPr>
        <w:t xml:space="preserve">; </w:t>
      </w:r>
      <w:r w:rsidR="005B7034" w:rsidRPr="00675023">
        <w:rPr>
          <w:rFonts w:ascii="Times New Roman" w:hAnsi="Times New Roman" w:cs="Times New Roman"/>
          <w:sz w:val="24"/>
          <w:szCs w:val="24"/>
        </w:rPr>
        <w:t xml:space="preserve">to </w:t>
      </w:r>
      <w:r w:rsidRPr="00675023">
        <w:rPr>
          <w:rFonts w:ascii="Times New Roman" w:hAnsi="Times New Roman" w:cs="Times New Roman"/>
          <w:sz w:val="24"/>
          <w:szCs w:val="24"/>
        </w:rPr>
        <w:t xml:space="preserve">promote international trade; </w:t>
      </w:r>
      <w:r w:rsidR="005B7034" w:rsidRPr="00675023">
        <w:rPr>
          <w:rFonts w:ascii="Times New Roman" w:hAnsi="Times New Roman" w:cs="Times New Roman"/>
          <w:sz w:val="24"/>
          <w:szCs w:val="24"/>
        </w:rPr>
        <w:t xml:space="preserve">to </w:t>
      </w:r>
      <w:r w:rsidRPr="00675023">
        <w:rPr>
          <w:rFonts w:ascii="Times New Roman" w:hAnsi="Times New Roman" w:cs="Times New Roman"/>
          <w:sz w:val="24"/>
          <w:szCs w:val="24"/>
        </w:rPr>
        <w:t xml:space="preserve">promote investment; and </w:t>
      </w:r>
      <w:r w:rsidR="005B7034" w:rsidRPr="00675023">
        <w:rPr>
          <w:rFonts w:ascii="Times New Roman" w:hAnsi="Times New Roman" w:cs="Times New Roman"/>
          <w:sz w:val="24"/>
          <w:szCs w:val="24"/>
        </w:rPr>
        <w:t xml:space="preserve">to </w:t>
      </w:r>
      <w:r w:rsidRPr="00675023">
        <w:rPr>
          <w:rFonts w:ascii="Times New Roman" w:hAnsi="Times New Roman" w:cs="Times New Roman"/>
          <w:sz w:val="24"/>
          <w:szCs w:val="24"/>
        </w:rPr>
        <w:t>promote Broad-Based Black Economic Empowerment.</w:t>
      </w:r>
      <w:r w:rsidRPr="00675023">
        <w:rPr>
          <w:rStyle w:val="FootnoteReference"/>
          <w:rFonts w:ascii="Times New Roman" w:hAnsi="Times New Roman" w:cs="Times New Roman"/>
          <w:sz w:val="24"/>
          <w:szCs w:val="24"/>
        </w:rPr>
        <w:footnoteReference w:id="7"/>
      </w:r>
      <w:r w:rsidRPr="00675023">
        <w:rPr>
          <w:rFonts w:ascii="Times New Roman" w:hAnsi="Times New Roman" w:cs="Times New Roman"/>
          <w:sz w:val="24"/>
          <w:szCs w:val="24"/>
        </w:rPr>
        <w:t xml:space="preserve"> </w:t>
      </w:r>
      <w:r w:rsidRPr="00675023">
        <w:rPr>
          <w:rFonts w:ascii="Times New Roman" w:eastAsia="Calibri" w:hAnsi="Times New Roman" w:cs="Times New Roman"/>
          <w:sz w:val="24"/>
          <w:szCs w:val="24"/>
        </w:rPr>
        <w:t xml:space="preserve">The </w:t>
      </w:r>
      <w:r w:rsidR="005B7034" w:rsidRPr="00675023">
        <w:rPr>
          <w:rFonts w:ascii="Times New Roman" w:eastAsia="Calibri" w:hAnsi="Times New Roman" w:cs="Times New Roman"/>
          <w:sz w:val="24"/>
          <w:szCs w:val="24"/>
        </w:rPr>
        <w:t xml:space="preserve">DTI </w:t>
      </w:r>
      <w:r w:rsidRPr="00675023">
        <w:rPr>
          <w:rFonts w:ascii="Times New Roman" w:eastAsia="Calibri" w:hAnsi="Times New Roman" w:cs="Times New Roman"/>
          <w:sz w:val="24"/>
          <w:szCs w:val="24"/>
        </w:rPr>
        <w:t>expands on these aims in its Strategic Plan (2015/2020), and sets its strategic objectives as follows</w:t>
      </w:r>
      <w:r w:rsidR="005B7034" w:rsidRPr="00675023">
        <w:rPr>
          <w:rFonts w:ascii="Times New Roman" w:eastAsia="Calibri" w:hAnsi="Times New Roman" w:cs="Times New Roman"/>
          <w:sz w:val="24"/>
          <w:szCs w:val="24"/>
        </w:rPr>
        <w:t>:</w:t>
      </w:r>
      <w:r w:rsidRPr="00675023">
        <w:rPr>
          <w:rStyle w:val="FootnoteReference"/>
          <w:rFonts w:ascii="Times New Roman" w:eastAsia="Calibri" w:hAnsi="Times New Roman" w:cs="Times New Roman"/>
          <w:sz w:val="24"/>
          <w:szCs w:val="24"/>
        </w:rPr>
        <w:footnoteReference w:id="8"/>
      </w:r>
      <w:r w:rsidRPr="00675023">
        <w:rPr>
          <w:rFonts w:ascii="Times New Roman" w:eastAsia="Calibri" w:hAnsi="Times New Roman" w:cs="Times New Roman"/>
          <w:sz w:val="24"/>
          <w:szCs w:val="24"/>
        </w:rPr>
        <w:t xml:space="preserve"> </w:t>
      </w:r>
    </w:p>
    <w:p w:rsidR="00A01C19" w:rsidRPr="00675023" w:rsidRDefault="00A01C19" w:rsidP="00592363">
      <w:pPr>
        <w:spacing w:after="0" w:line="360" w:lineRule="auto"/>
        <w:jc w:val="both"/>
        <w:rPr>
          <w:rFonts w:ascii="Times New Roman" w:hAnsi="Times New Roman" w:cs="Times New Roman"/>
          <w:sz w:val="24"/>
          <w:szCs w:val="24"/>
        </w:rPr>
      </w:pPr>
    </w:p>
    <w:p w:rsidR="00A05EDB" w:rsidRPr="00675023" w:rsidRDefault="00A05EDB" w:rsidP="00592363">
      <w:pPr>
        <w:numPr>
          <w:ilvl w:val="0"/>
          <w:numId w:val="9"/>
        </w:numPr>
        <w:tabs>
          <w:tab w:val="left" w:pos="360"/>
        </w:tabs>
        <w:spacing w:after="0" w:line="360" w:lineRule="auto"/>
        <w:ind w:left="360"/>
        <w:jc w:val="both"/>
        <w:rPr>
          <w:rFonts w:ascii="Times New Roman" w:eastAsia="Calibri" w:hAnsi="Times New Roman" w:cs="Times New Roman"/>
          <w:b/>
          <w:sz w:val="24"/>
          <w:szCs w:val="24"/>
        </w:rPr>
      </w:pPr>
      <w:r w:rsidRPr="00675023">
        <w:rPr>
          <w:rFonts w:ascii="Times New Roman" w:hAnsi="Times New Roman" w:cs="Times New Roman"/>
          <w:b/>
          <w:sz w:val="24"/>
          <w:szCs w:val="24"/>
        </w:rPr>
        <w:t xml:space="preserve">Providing Manufacturing </w:t>
      </w:r>
      <w:r w:rsidR="005B7034" w:rsidRPr="00675023">
        <w:rPr>
          <w:rFonts w:ascii="Times New Roman" w:hAnsi="Times New Roman" w:cs="Times New Roman"/>
          <w:b/>
          <w:sz w:val="24"/>
          <w:szCs w:val="24"/>
        </w:rPr>
        <w:t xml:space="preserve">Sector </w:t>
      </w:r>
      <w:r w:rsidRPr="00675023">
        <w:rPr>
          <w:rFonts w:ascii="Times New Roman" w:hAnsi="Times New Roman" w:cs="Times New Roman"/>
          <w:b/>
          <w:sz w:val="24"/>
          <w:szCs w:val="24"/>
        </w:rPr>
        <w:t>Support and Promoting</w:t>
      </w:r>
      <w:r w:rsidRPr="00675023">
        <w:rPr>
          <w:rFonts w:ascii="Times New Roman" w:eastAsia="Calibri" w:hAnsi="Times New Roman" w:cs="Times New Roman"/>
          <w:b/>
          <w:sz w:val="24"/>
          <w:szCs w:val="24"/>
        </w:rPr>
        <w:t xml:space="preserve"> </w:t>
      </w:r>
      <w:r w:rsidRPr="00675023">
        <w:rPr>
          <w:rFonts w:ascii="Times New Roman" w:hAnsi="Times New Roman" w:cs="Times New Roman"/>
          <w:b/>
          <w:sz w:val="24"/>
          <w:szCs w:val="24"/>
        </w:rPr>
        <w:t xml:space="preserve">Investment: </w:t>
      </w:r>
      <w:r w:rsidRPr="00675023">
        <w:rPr>
          <w:rFonts w:ascii="Times New Roman" w:eastAsia="Calibri" w:hAnsi="Times New Roman" w:cs="Times New Roman"/>
          <w:sz w:val="24"/>
          <w:szCs w:val="24"/>
        </w:rPr>
        <w:t>Facilitating the transformation of the economy to promote industrial development, investment, competitiveness and employment creation</w:t>
      </w:r>
      <w:r w:rsidR="005B7034" w:rsidRPr="00675023">
        <w:rPr>
          <w:rFonts w:ascii="Times New Roman" w:eastAsia="Calibri" w:hAnsi="Times New Roman" w:cs="Times New Roman"/>
          <w:sz w:val="24"/>
          <w:szCs w:val="24"/>
        </w:rPr>
        <w:t>; i</w:t>
      </w:r>
      <w:r w:rsidRPr="00675023">
        <w:rPr>
          <w:rFonts w:ascii="Times New Roman" w:eastAsia="Calibri" w:hAnsi="Times New Roman" w:cs="Times New Roman"/>
          <w:sz w:val="24"/>
          <w:szCs w:val="24"/>
        </w:rPr>
        <w:t>n particular</w:t>
      </w:r>
      <w:r w:rsidR="005B7034"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 the implementation of the Industrial Policy Action Plan</w:t>
      </w:r>
      <w:r w:rsidR="005B7034" w:rsidRPr="00675023">
        <w:rPr>
          <w:rFonts w:ascii="Times New Roman" w:eastAsia="Calibri" w:hAnsi="Times New Roman" w:cs="Times New Roman"/>
          <w:sz w:val="24"/>
          <w:szCs w:val="24"/>
        </w:rPr>
        <w:t xml:space="preserve"> (IPAP)</w:t>
      </w:r>
      <w:r w:rsidRPr="00675023">
        <w:rPr>
          <w:rFonts w:ascii="Times New Roman" w:eastAsia="Calibri" w:hAnsi="Times New Roman" w:cs="Times New Roman"/>
          <w:sz w:val="24"/>
          <w:szCs w:val="24"/>
        </w:rPr>
        <w:t xml:space="preserve">. </w:t>
      </w:r>
    </w:p>
    <w:p w:rsidR="00A05EDB" w:rsidRPr="007E21C4" w:rsidRDefault="00A05EDB" w:rsidP="00592363">
      <w:pPr>
        <w:numPr>
          <w:ilvl w:val="0"/>
          <w:numId w:val="9"/>
        </w:numPr>
        <w:tabs>
          <w:tab w:val="left" w:pos="360"/>
        </w:tabs>
        <w:spacing w:after="0" w:line="360" w:lineRule="auto"/>
        <w:ind w:left="360"/>
        <w:jc w:val="both"/>
        <w:rPr>
          <w:rFonts w:ascii="Times New Roman" w:hAnsi="Times New Roman" w:cs="Times New Roman"/>
          <w:b/>
          <w:sz w:val="24"/>
          <w:szCs w:val="24"/>
        </w:rPr>
      </w:pPr>
      <w:r w:rsidRPr="00675023">
        <w:rPr>
          <w:rFonts w:ascii="Times New Roman" w:hAnsi="Times New Roman" w:cs="Times New Roman"/>
          <w:b/>
          <w:sz w:val="24"/>
          <w:szCs w:val="24"/>
        </w:rPr>
        <w:t xml:space="preserve">Promoting Broad-Based Black Economic Empowerment: </w:t>
      </w:r>
      <w:r w:rsidRPr="00675023">
        <w:rPr>
          <w:rFonts w:ascii="Times New Roman" w:eastAsia="Calibri" w:hAnsi="Times New Roman" w:cs="Times New Roman"/>
          <w:sz w:val="24"/>
          <w:szCs w:val="24"/>
        </w:rPr>
        <w:t xml:space="preserve">Facilitating broad-based </w:t>
      </w:r>
      <w:r w:rsidR="005B7034" w:rsidRPr="00675023">
        <w:rPr>
          <w:rFonts w:ascii="Times New Roman" w:eastAsia="Calibri" w:hAnsi="Times New Roman" w:cs="Times New Roman"/>
          <w:sz w:val="24"/>
          <w:szCs w:val="24"/>
        </w:rPr>
        <w:t xml:space="preserve">black </w:t>
      </w:r>
      <w:r w:rsidRPr="00675023">
        <w:rPr>
          <w:rFonts w:ascii="Times New Roman" w:eastAsia="Calibri" w:hAnsi="Times New Roman" w:cs="Times New Roman"/>
          <w:sz w:val="24"/>
          <w:szCs w:val="24"/>
        </w:rPr>
        <w:t>economic participation through targeted interventions to achieve more inclusive growth</w:t>
      </w:r>
      <w:r w:rsidR="00C7600B" w:rsidRPr="00675023">
        <w:rPr>
          <w:rFonts w:ascii="Times New Roman" w:eastAsia="Calibri" w:hAnsi="Times New Roman" w:cs="Times New Roman"/>
          <w:sz w:val="24"/>
          <w:szCs w:val="24"/>
        </w:rPr>
        <w:t>; i</w:t>
      </w:r>
      <w:r w:rsidRPr="00675023">
        <w:rPr>
          <w:rFonts w:ascii="Times New Roman" w:eastAsia="Calibri" w:hAnsi="Times New Roman" w:cs="Times New Roman"/>
          <w:sz w:val="24"/>
          <w:szCs w:val="24"/>
        </w:rPr>
        <w:t xml:space="preserve">n particular, the promotion of Black Industrialists. </w:t>
      </w:r>
    </w:p>
    <w:p w:rsidR="00A05EDB" w:rsidRPr="00675023" w:rsidRDefault="00A05EDB" w:rsidP="007E21C4">
      <w:pPr>
        <w:numPr>
          <w:ilvl w:val="0"/>
          <w:numId w:val="9"/>
        </w:numPr>
        <w:tabs>
          <w:tab w:val="left" w:pos="360"/>
        </w:tabs>
        <w:spacing w:after="0" w:line="360" w:lineRule="auto"/>
        <w:ind w:left="360"/>
        <w:jc w:val="both"/>
        <w:rPr>
          <w:rFonts w:ascii="Times New Roman" w:hAnsi="Times New Roman" w:cs="Times New Roman"/>
          <w:bCs/>
          <w:sz w:val="24"/>
          <w:szCs w:val="24"/>
        </w:rPr>
      </w:pPr>
      <w:r w:rsidRPr="00675023">
        <w:rPr>
          <w:rFonts w:ascii="Times New Roman" w:hAnsi="Times New Roman" w:cs="Times New Roman"/>
          <w:b/>
          <w:sz w:val="24"/>
          <w:szCs w:val="24"/>
        </w:rPr>
        <w:t>Promoting International Trade:</w:t>
      </w:r>
      <w:r w:rsidR="005B7034" w:rsidRPr="00675023">
        <w:rPr>
          <w:rFonts w:ascii="Times New Roman" w:hAnsi="Times New Roman" w:cs="Times New Roman"/>
          <w:b/>
          <w:sz w:val="24"/>
          <w:szCs w:val="24"/>
        </w:rPr>
        <w:t xml:space="preserve"> </w:t>
      </w:r>
      <w:r w:rsidRPr="00675023">
        <w:rPr>
          <w:rFonts w:ascii="Times New Roman" w:eastAsia="Calibri" w:hAnsi="Times New Roman" w:cs="Times New Roman"/>
          <w:sz w:val="24"/>
          <w:szCs w:val="24"/>
        </w:rPr>
        <w:t>Building mutually beneficial regional and global relations to advance South Africa’s trade, industrial policy and economic development objectives.</w:t>
      </w:r>
      <w:r w:rsidRPr="00675023">
        <w:rPr>
          <w:rFonts w:ascii="Times New Roman" w:hAnsi="Times New Roman" w:cs="Times New Roman"/>
          <w:bCs/>
          <w:sz w:val="24"/>
          <w:szCs w:val="24"/>
        </w:rPr>
        <w:t xml:space="preserve"> </w:t>
      </w:r>
    </w:p>
    <w:p w:rsidR="00A05EDB" w:rsidRPr="00675023" w:rsidRDefault="00A05EDB" w:rsidP="00592363">
      <w:pPr>
        <w:pStyle w:val="ListParagraph"/>
        <w:spacing w:after="0" w:line="360" w:lineRule="auto"/>
        <w:jc w:val="both"/>
        <w:rPr>
          <w:rFonts w:ascii="Times New Roman" w:hAnsi="Times New Roman" w:cs="Times New Roman"/>
          <w:bCs/>
          <w:sz w:val="24"/>
          <w:szCs w:val="24"/>
        </w:rPr>
      </w:pPr>
      <w:r w:rsidRPr="00675023">
        <w:rPr>
          <w:rFonts w:ascii="Times New Roman" w:hAnsi="Times New Roman" w:cs="Times New Roman"/>
          <w:bCs/>
          <w:sz w:val="24"/>
          <w:szCs w:val="24"/>
        </w:rPr>
        <w:t xml:space="preserve">  </w:t>
      </w:r>
    </w:p>
    <w:p w:rsidR="00A05EDB" w:rsidRPr="00675023" w:rsidRDefault="001E46C9" w:rsidP="00592363">
      <w:pPr>
        <w:pStyle w:val="ListParagraph"/>
        <w:spacing w:after="0" w:line="360" w:lineRule="auto"/>
        <w:ind w:left="0"/>
        <w:jc w:val="both"/>
        <w:rPr>
          <w:rFonts w:ascii="Times New Roman" w:hAnsi="Times New Roman" w:cs="Times New Roman"/>
          <w:sz w:val="24"/>
          <w:szCs w:val="24"/>
        </w:rPr>
      </w:pPr>
      <w:r w:rsidRPr="00675023">
        <w:rPr>
          <w:rFonts w:ascii="Times New Roman" w:hAnsi="Times New Roman" w:cs="Times New Roman"/>
          <w:sz w:val="24"/>
          <w:szCs w:val="24"/>
        </w:rPr>
        <w:t xml:space="preserve">To </w:t>
      </w:r>
      <w:r>
        <w:rPr>
          <w:rFonts w:ascii="Times New Roman" w:hAnsi="Times New Roman" w:cs="Times New Roman"/>
          <w:sz w:val="24"/>
          <w:szCs w:val="24"/>
        </w:rPr>
        <w:t xml:space="preserve">support </w:t>
      </w:r>
      <w:r w:rsidR="00A05EDB" w:rsidRPr="00675023">
        <w:rPr>
          <w:rFonts w:ascii="Times New Roman" w:hAnsi="Times New Roman" w:cs="Times New Roman"/>
          <w:sz w:val="24"/>
          <w:szCs w:val="24"/>
        </w:rPr>
        <w:t xml:space="preserve">the strategic objectives, the Department has identified a number of interventions to accelerate the achievement of the </w:t>
      </w:r>
      <w:r w:rsidR="00C7600B" w:rsidRPr="00675023">
        <w:rPr>
          <w:rFonts w:ascii="Times New Roman" w:hAnsi="Times New Roman" w:cs="Times New Roman"/>
          <w:sz w:val="24"/>
          <w:szCs w:val="24"/>
        </w:rPr>
        <w:t xml:space="preserve">broader </w:t>
      </w:r>
      <w:r w:rsidR="00A05EDB" w:rsidRPr="00675023">
        <w:rPr>
          <w:rFonts w:ascii="Times New Roman" w:hAnsi="Times New Roman" w:cs="Times New Roman"/>
          <w:sz w:val="24"/>
          <w:szCs w:val="24"/>
        </w:rPr>
        <w:t>strategic objectives</w:t>
      </w:r>
      <w:r>
        <w:rPr>
          <w:rFonts w:ascii="Times New Roman" w:hAnsi="Times New Roman" w:cs="Times New Roman"/>
          <w:sz w:val="24"/>
          <w:szCs w:val="24"/>
        </w:rPr>
        <w:t>, which the</w:t>
      </w:r>
      <w:r w:rsidR="00A05EDB" w:rsidRPr="00675023">
        <w:rPr>
          <w:rFonts w:ascii="Times New Roman" w:hAnsi="Times New Roman" w:cs="Times New Roman"/>
          <w:sz w:val="24"/>
          <w:szCs w:val="24"/>
        </w:rPr>
        <w:t xml:space="preserve"> President</w:t>
      </w:r>
      <w:r>
        <w:rPr>
          <w:rFonts w:ascii="Times New Roman" w:hAnsi="Times New Roman" w:cs="Times New Roman"/>
          <w:sz w:val="24"/>
          <w:szCs w:val="24"/>
        </w:rPr>
        <w:t xml:space="preserve"> underlined</w:t>
      </w:r>
      <w:r w:rsidR="00A05EDB" w:rsidRPr="00675023">
        <w:rPr>
          <w:rFonts w:ascii="Times New Roman" w:hAnsi="Times New Roman" w:cs="Times New Roman"/>
          <w:sz w:val="24"/>
          <w:szCs w:val="24"/>
        </w:rPr>
        <w:t xml:space="preserve"> in his 2016 State of the Nation Address, </w:t>
      </w:r>
      <w:r>
        <w:rPr>
          <w:rFonts w:ascii="Times New Roman" w:hAnsi="Times New Roman" w:cs="Times New Roman"/>
          <w:sz w:val="24"/>
          <w:szCs w:val="24"/>
        </w:rPr>
        <w:t>namely</w:t>
      </w:r>
      <w:r w:rsidR="00A05EDB" w:rsidRPr="00675023">
        <w:rPr>
          <w:rFonts w:ascii="Times New Roman" w:hAnsi="Times New Roman" w:cs="Times New Roman"/>
          <w:sz w:val="24"/>
          <w:szCs w:val="24"/>
        </w:rPr>
        <w:t>:</w:t>
      </w:r>
    </w:p>
    <w:p w:rsidR="00A01C19" w:rsidRPr="00675023" w:rsidRDefault="00A01C19" w:rsidP="00592363">
      <w:pPr>
        <w:pStyle w:val="ListParagraph"/>
        <w:spacing w:after="0" w:line="360" w:lineRule="auto"/>
        <w:ind w:left="0"/>
        <w:jc w:val="both"/>
        <w:rPr>
          <w:rFonts w:ascii="Times New Roman" w:hAnsi="Times New Roman" w:cs="Times New Roman"/>
          <w:bCs/>
          <w:sz w:val="24"/>
          <w:szCs w:val="24"/>
        </w:rPr>
      </w:pPr>
    </w:p>
    <w:p w:rsidR="00A05EDB" w:rsidRPr="00675023" w:rsidRDefault="00A05EDB" w:rsidP="00592363">
      <w:pPr>
        <w:numPr>
          <w:ilvl w:val="0"/>
          <w:numId w:val="6"/>
        </w:numPr>
        <w:spacing w:after="0" w:line="360" w:lineRule="auto"/>
        <w:ind w:hanging="294"/>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lastRenderedPageBreak/>
        <w:t xml:space="preserve">The development </w:t>
      </w:r>
      <w:r w:rsidR="00C7600B" w:rsidRPr="00675023">
        <w:rPr>
          <w:rFonts w:ascii="Times New Roman" w:hAnsi="Times New Roman" w:cs="Times New Roman"/>
          <w:sz w:val="24"/>
          <w:szCs w:val="24"/>
          <w:lang w:eastAsia="en-ZA"/>
        </w:rPr>
        <w:t xml:space="preserve">of an </w:t>
      </w:r>
      <w:r w:rsidRPr="00675023">
        <w:rPr>
          <w:rFonts w:ascii="Times New Roman" w:hAnsi="Times New Roman" w:cs="Times New Roman"/>
          <w:sz w:val="24"/>
          <w:szCs w:val="24"/>
          <w:lang w:eastAsia="en-ZA"/>
        </w:rPr>
        <w:t>Inter-Ministerial Committee on Investment Promotion;</w:t>
      </w:r>
    </w:p>
    <w:p w:rsidR="00A05EDB" w:rsidRPr="00675023" w:rsidRDefault="001E46C9" w:rsidP="00592363">
      <w:pPr>
        <w:numPr>
          <w:ilvl w:val="0"/>
          <w:numId w:val="6"/>
        </w:numPr>
        <w:spacing w:after="0" w:line="360" w:lineRule="auto"/>
        <w:ind w:hanging="294"/>
        <w:jc w:val="both"/>
        <w:rPr>
          <w:rFonts w:ascii="Times New Roman" w:hAnsi="Times New Roman" w:cs="Times New Roman"/>
          <w:sz w:val="24"/>
          <w:szCs w:val="24"/>
        </w:rPr>
      </w:pPr>
      <w:r w:rsidRPr="00675023">
        <w:rPr>
          <w:rFonts w:ascii="Times New Roman" w:hAnsi="Times New Roman" w:cs="Times New Roman"/>
          <w:sz w:val="24"/>
          <w:szCs w:val="24"/>
        </w:rPr>
        <w:t>The One</w:t>
      </w:r>
      <w:r w:rsidRPr="00675023">
        <w:rPr>
          <w:rFonts w:ascii="Times New Roman" w:hAnsi="Times New Roman" w:cs="Times New Roman"/>
          <w:sz w:val="24"/>
          <w:szCs w:val="24"/>
          <w:lang w:eastAsia="en-ZA"/>
        </w:rPr>
        <w:t xml:space="preserve"> Stop Shop/Invest South Africa initiative</w:t>
      </w:r>
      <w:r w:rsidR="00A05EDB" w:rsidRPr="00675023">
        <w:rPr>
          <w:rFonts w:ascii="Times New Roman" w:hAnsi="Times New Roman" w:cs="Times New Roman"/>
          <w:sz w:val="24"/>
          <w:szCs w:val="24"/>
        </w:rPr>
        <w:t xml:space="preserve">; and </w:t>
      </w:r>
    </w:p>
    <w:p w:rsidR="00A05EDB" w:rsidRPr="00675023" w:rsidRDefault="001E46C9" w:rsidP="00592363">
      <w:pPr>
        <w:numPr>
          <w:ilvl w:val="0"/>
          <w:numId w:val="6"/>
        </w:numPr>
        <w:shd w:val="clear" w:color="auto" w:fill="FFFFFF"/>
        <w:spacing w:after="0" w:line="360" w:lineRule="auto"/>
        <w:ind w:hanging="294"/>
        <w:jc w:val="both"/>
        <w:rPr>
          <w:rFonts w:ascii="Times New Roman" w:hAnsi="Times New Roman" w:cs="Times New Roman"/>
          <w:sz w:val="24"/>
          <w:szCs w:val="24"/>
          <w:lang w:eastAsia="en-ZA"/>
        </w:rPr>
      </w:pPr>
      <w:r w:rsidRPr="00675023">
        <w:rPr>
          <w:rFonts w:ascii="Times New Roman" w:hAnsi="Times New Roman" w:cs="Times New Roman"/>
          <w:sz w:val="24"/>
          <w:szCs w:val="24"/>
        </w:rPr>
        <w:t>The launch of the Black Industrialists Programme</w:t>
      </w:r>
      <w:r w:rsidR="00A05EDB" w:rsidRPr="00675023">
        <w:rPr>
          <w:rFonts w:ascii="Times New Roman" w:hAnsi="Times New Roman" w:cs="Times New Roman"/>
          <w:sz w:val="24"/>
          <w:szCs w:val="24"/>
          <w:lang w:eastAsia="en-ZA"/>
        </w:rPr>
        <w:t xml:space="preserve">. </w:t>
      </w:r>
    </w:p>
    <w:p w:rsidR="00A05EDB" w:rsidRPr="00675023" w:rsidRDefault="00A05EDB" w:rsidP="00592363">
      <w:pPr>
        <w:spacing w:after="0" w:line="360" w:lineRule="auto"/>
        <w:jc w:val="both"/>
        <w:rPr>
          <w:rFonts w:ascii="Times New Roman" w:hAnsi="Times New Roman" w:cs="Times New Roman"/>
          <w:b/>
          <w:bCs/>
          <w:sz w:val="24"/>
          <w:szCs w:val="24"/>
        </w:rPr>
      </w:pPr>
    </w:p>
    <w:p w:rsidR="00A05EDB" w:rsidRPr="00675023" w:rsidRDefault="005645A9" w:rsidP="007E21C4">
      <w:pPr>
        <w:pStyle w:val="ListParagraph"/>
        <w:numPr>
          <w:ilvl w:val="1"/>
          <w:numId w:val="2"/>
        </w:numPr>
        <w:spacing w:after="0" w:line="360" w:lineRule="auto"/>
        <w:ind w:left="567" w:hanging="567"/>
        <w:jc w:val="both"/>
        <w:rPr>
          <w:rFonts w:ascii="Times New Roman" w:hAnsi="Times New Roman" w:cs="Times New Roman"/>
          <w:sz w:val="24"/>
          <w:szCs w:val="24"/>
        </w:rPr>
      </w:pPr>
      <w:bookmarkStart w:id="2" w:name="_Toc445039764"/>
      <w:r w:rsidRPr="00675023">
        <w:rPr>
          <w:rFonts w:ascii="Times New Roman" w:hAnsi="Times New Roman" w:cs="Times New Roman"/>
          <w:b/>
          <w:sz w:val="24"/>
          <w:szCs w:val="24"/>
        </w:rPr>
        <w:t xml:space="preserve">2016/17 </w:t>
      </w:r>
      <w:r w:rsidR="00A05EDB" w:rsidRPr="007E21C4">
        <w:rPr>
          <w:rFonts w:ascii="Times New Roman" w:hAnsi="Times New Roman" w:cs="Times New Roman"/>
          <w:b/>
          <w:sz w:val="24"/>
          <w:szCs w:val="24"/>
        </w:rPr>
        <w:t>Budget</w:t>
      </w:r>
      <w:bookmarkEnd w:id="2"/>
    </w:p>
    <w:p w:rsidR="00A05EDB" w:rsidRPr="00675023" w:rsidRDefault="00A05EDB" w:rsidP="00592363">
      <w:pPr>
        <w:spacing w:after="0" w:line="360" w:lineRule="auto"/>
        <w:jc w:val="both"/>
        <w:rPr>
          <w:rFonts w:ascii="Times New Roman" w:hAnsi="Times New Roman" w:cs="Times New Roman"/>
          <w:b/>
          <w:bCs/>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w:t>
      </w:r>
      <w:r w:rsidR="00A46BDC" w:rsidRPr="00675023">
        <w:rPr>
          <w:rFonts w:ascii="Times New Roman" w:eastAsia="Calibri" w:hAnsi="Times New Roman" w:cs="Times New Roman"/>
          <w:sz w:val="24"/>
          <w:szCs w:val="24"/>
        </w:rPr>
        <w:t xml:space="preserve">DTI’s </w:t>
      </w:r>
      <w:r w:rsidRPr="00675023">
        <w:rPr>
          <w:rFonts w:ascii="Times New Roman" w:eastAsia="Calibri" w:hAnsi="Times New Roman" w:cs="Times New Roman"/>
          <w:sz w:val="24"/>
          <w:szCs w:val="24"/>
        </w:rPr>
        <w:t>budget has increased from R9.</w:t>
      </w:r>
      <w:r w:rsidR="00A46BDC" w:rsidRPr="00675023">
        <w:rPr>
          <w:rFonts w:ascii="Times New Roman" w:eastAsia="Calibri" w:hAnsi="Times New Roman" w:cs="Times New Roman"/>
          <w:sz w:val="24"/>
          <w:szCs w:val="24"/>
        </w:rPr>
        <w:t>5</w:t>
      </w:r>
      <w:r w:rsidRPr="00675023">
        <w:rPr>
          <w:rFonts w:ascii="Times New Roman" w:eastAsia="Calibri" w:hAnsi="Times New Roman" w:cs="Times New Roman"/>
          <w:sz w:val="24"/>
          <w:szCs w:val="24"/>
        </w:rPr>
        <w:t xml:space="preserve"> billion in </w:t>
      </w:r>
      <w:r w:rsidR="00D8394F" w:rsidRPr="00675023">
        <w:rPr>
          <w:rFonts w:ascii="Times New Roman" w:eastAsia="Calibri" w:hAnsi="Times New Roman" w:cs="Times New Roman"/>
          <w:sz w:val="24"/>
          <w:szCs w:val="24"/>
        </w:rPr>
        <w:t xml:space="preserve">the </w:t>
      </w:r>
      <w:r w:rsidRPr="00675023">
        <w:rPr>
          <w:rFonts w:ascii="Times New Roman" w:eastAsia="Calibri" w:hAnsi="Times New Roman" w:cs="Times New Roman"/>
          <w:sz w:val="24"/>
          <w:szCs w:val="24"/>
        </w:rPr>
        <w:t xml:space="preserve">2015/16 </w:t>
      </w:r>
      <w:r w:rsidR="00D8394F" w:rsidRPr="00675023">
        <w:rPr>
          <w:rFonts w:ascii="Times New Roman" w:eastAsia="Calibri" w:hAnsi="Times New Roman" w:cs="Times New Roman"/>
          <w:sz w:val="24"/>
          <w:szCs w:val="24"/>
        </w:rPr>
        <w:t xml:space="preserve">financial year </w:t>
      </w:r>
      <w:r w:rsidRPr="00675023">
        <w:rPr>
          <w:rFonts w:ascii="Times New Roman" w:eastAsia="Calibri" w:hAnsi="Times New Roman" w:cs="Times New Roman"/>
          <w:sz w:val="24"/>
          <w:szCs w:val="24"/>
        </w:rPr>
        <w:t xml:space="preserve">to R10.3 billion in the 2016/17 financial year, an increase of R829.7 million in real terms. </w:t>
      </w:r>
      <w:r w:rsidR="007B6264" w:rsidRPr="00675023">
        <w:rPr>
          <w:rFonts w:ascii="Times New Roman" w:eastAsia="Calibri" w:hAnsi="Times New Roman" w:cs="Times New Roman"/>
          <w:sz w:val="24"/>
          <w:szCs w:val="24"/>
        </w:rPr>
        <w:t xml:space="preserve">Therefore, the DTI’s budget will increase by 2 percent in real terms for the 2016/17 financial year. </w:t>
      </w:r>
      <w:r w:rsidRPr="00675023">
        <w:rPr>
          <w:rFonts w:ascii="Times New Roman" w:eastAsia="Calibri" w:hAnsi="Times New Roman" w:cs="Times New Roman"/>
          <w:sz w:val="24"/>
          <w:szCs w:val="24"/>
        </w:rPr>
        <w:t>Given the inflation estimates of 6.</w:t>
      </w:r>
      <w:r w:rsidR="003F3B11" w:rsidRPr="00675023">
        <w:rPr>
          <w:rFonts w:ascii="Times New Roman" w:eastAsia="Calibri" w:hAnsi="Times New Roman" w:cs="Times New Roman"/>
          <w:sz w:val="24"/>
          <w:szCs w:val="24"/>
        </w:rPr>
        <w:t>2</w:t>
      </w:r>
      <w:r w:rsidRPr="00675023">
        <w:rPr>
          <w:rFonts w:ascii="Times New Roman" w:eastAsia="Calibri" w:hAnsi="Times New Roman" w:cs="Times New Roman"/>
          <w:sz w:val="24"/>
          <w:szCs w:val="24"/>
        </w:rPr>
        <w:t xml:space="preserve"> percent and </w:t>
      </w:r>
      <w:r w:rsidR="003F3B11" w:rsidRPr="00675023">
        <w:rPr>
          <w:rFonts w:ascii="Times New Roman" w:eastAsia="Calibri" w:hAnsi="Times New Roman" w:cs="Times New Roman"/>
          <w:sz w:val="24"/>
          <w:szCs w:val="24"/>
        </w:rPr>
        <w:t>5</w:t>
      </w:r>
      <w:r w:rsidRPr="00675023">
        <w:rPr>
          <w:rFonts w:ascii="Times New Roman" w:eastAsia="Calibri" w:hAnsi="Times New Roman" w:cs="Times New Roman"/>
          <w:sz w:val="24"/>
          <w:szCs w:val="24"/>
        </w:rPr>
        <w:t>.</w:t>
      </w:r>
      <w:r w:rsidR="003F3B11" w:rsidRPr="00675023">
        <w:rPr>
          <w:rFonts w:ascii="Times New Roman" w:eastAsia="Calibri" w:hAnsi="Times New Roman" w:cs="Times New Roman"/>
          <w:sz w:val="24"/>
          <w:szCs w:val="24"/>
        </w:rPr>
        <w:t>9</w:t>
      </w:r>
      <w:r w:rsidRPr="00675023">
        <w:rPr>
          <w:rFonts w:ascii="Times New Roman" w:eastAsia="Calibri" w:hAnsi="Times New Roman" w:cs="Times New Roman"/>
          <w:sz w:val="24"/>
          <w:szCs w:val="24"/>
        </w:rPr>
        <w:t xml:space="preserve"> percent for the </w:t>
      </w:r>
      <w:r w:rsidR="00687FFE">
        <w:rPr>
          <w:rFonts w:ascii="Times New Roman" w:eastAsia="Calibri" w:hAnsi="Times New Roman" w:cs="Times New Roman"/>
          <w:sz w:val="24"/>
          <w:szCs w:val="24"/>
        </w:rPr>
        <w:t>outer</w:t>
      </w:r>
      <w:r w:rsidRPr="00675023">
        <w:rPr>
          <w:rFonts w:ascii="Times New Roman" w:eastAsia="Calibri" w:hAnsi="Times New Roman" w:cs="Times New Roman"/>
          <w:sz w:val="24"/>
          <w:szCs w:val="24"/>
        </w:rPr>
        <w:t xml:space="preserve"> two years respectively, the budget is expected to decline to R8.2 billion </w:t>
      </w:r>
      <w:r w:rsidR="00687FFE">
        <w:rPr>
          <w:rFonts w:ascii="Times New Roman" w:eastAsia="Calibri" w:hAnsi="Times New Roman" w:cs="Times New Roman"/>
          <w:sz w:val="24"/>
          <w:szCs w:val="24"/>
        </w:rPr>
        <w:t xml:space="preserve">and R7.2 billion </w:t>
      </w:r>
      <w:r w:rsidRPr="00675023">
        <w:rPr>
          <w:rFonts w:ascii="Times New Roman" w:eastAsia="Calibri" w:hAnsi="Times New Roman" w:cs="Times New Roman"/>
          <w:sz w:val="24"/>
          <w:szCs w:val="24"/>
        </w:rPr>
        <w:t xml:space="preserve">in 2017/18 </w:t>
      </w:r>
      <w:r w:rsidR="00687FFE">
        <w:rPr>
          <w:rFonts w:ascii="Times New Roman" w:eastAsia="Calibri" w:hAnsi="Times New Roman" w:cs="Times New Roman"/>
          <w:sz w:val="24"/>
          <w:szCs w:val="24"/>
        </w:rPr>
        <w:t xml:space="preserve">and 2018/19 </w:t>
      </w:r>
      <w:r w:rsidRPr="00675023">
        <w:rPr>
          <w:rFonts w:ascii="Times New Roman" w:eastAsia="Calibri" w:hAnsi="Times New Roman" w:cs="Times New Roman"/>
          <w:sz w:val="24"/>
          <w:szCs w:val="24"/>
        </w:rPr>
        <w:t>in real terms</w:t>
      </w:r>
      <w:r w:rsidR="00687FFE">
        <w:rPr>
          <w:rFonts w:ascii="Times New Roman" w:eastAsia="Calibri" w:hAnsi="Times New Roman" w:cs="Times New Roman"/>
          <w:sz w:val="24"/>
          <w:szCs w:val="24"/>
        </w:rPr>
        <w:t xml:space="preserve"> respectively</w:t>
      </w:r>
      <w:r w:rsidRPr="00675023">
        <w:rPr>
          <w:rFonts w:ascii="Times New Roman" w:eastAsia="Calibri" w:hAnsi="Times New Roman" w:cs="Times New Roman"/>
          <w:sz w:val="24"/>
          <w:szCs w:val="24"/>
        </w:rPr>
        <w:t>.</w:t>
      </w:r>
      <w:r w:rsidRPr="00675023">
        <w:rPr>
          <w:rStyle w:val="FootnoteReference"/>
          <w:rFonts w:ascii="Times New Roman" w:eastAsia="Calibri" w:hAnsi="Times New Roman" w:cs="Times New Roman"/>
          <w:sz w:val="24"/>
          <w:szCs w:val="24"/>
        </w:rPr>
        <w:footnoteReference w:id="9"/>
      </w:r>
    </w:p>
    <w:p w:rsidR="003E5A41" w:rsidRPr="00675023" w:rsidRDefault="003E5A41" w:rsidP="007E21C4">
      <w:pPr>
        <w:spacing w:after="0" w:line="360" w:lineRule="auto"/>
        <w:jc w:val="center"/>
        <w:rPr>
          <w:rFonts w:ascii="Times New Roman" w:eastAsia="Calibri" w:hAnsi="Times New Roman" w:cs="Times New Roman"/>
          <w:sz w:val="24"/>
          <w:szCs w:val="24"/>
        </w:rPr>
      </w:pPr>
      <w:r w:rsidRPr="007E21C4">
        <w:rPr>
          <w:rFonts w:ascii="Times New Roman" w:hAnsi="Times New Roman" w:cs="Times New Roman"/>
          <w:noProof/>
          <w:sz w:val="24"/>
          <w:szCs w:val="24"/>
          <w:lang w:eastAsia="en-ZA"/>
        </w:rPr>
        <w:drawing>
          <wp:inline distT="0" distB="0" distL="0" distR="0" wp14:anchorId="7D675193" wp14:editId="7FB1629E">
            <wp:extent cx="3618689" cy="1941087"/>
            <wp:effectExtent l="0" t="0" r="1270" b="254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3D0F" w:rsidRPr="00675023" w:rsidRDefault="00E23D0F" w:rsidP="00E23D0F">
      <w:pPr>
        <w:spacing w:after="0" w:line="360" w:lineRule="auto"/>
        <w:jc w:val="both"/>
        <w:rPr>
          <w:rFonts w:ascii="Times New Roman" w:eastAsia="Calibri" w:hAnsi="Times New Roman" w:cs="Times New Roman"/>
          <w:b/>
          <w:sz w:val="24"/>
          <w:szCs w:val="24"/>
        </w:rPr>
      </w:pPr>
      <w:r w:rsidRPr="00675023">
        <w:rPr>
          <w:rFonts w:ascii="Times New Roman" w:eastAsia="Calibri" w:hAnsi="Times New Roman" w:cs="Times New Roman"/>
          <w:b/>
          <w:sz w:val="24"/>
          <w:szCs w:val="24"/>
        </w:rPr>
        <w:t>Figure 2:</w:t>
      </w:r>
      <w:r w:rsidRPr="00675023">
        <w:rPr>
          <w:rFonts w:ascii="Times New Roman" w:hAnsi="Times New Roman" w:cs="Times New Roman"/>
          <w:b/>
          <w:sz w:val="24"/>
          <w:szCs w:val="24"/>
        </w:rPr>
        <w:t xml:space="preserve"> </w:t>
      </w:r>
      <w:r w:rsidRPr="00675023">
        <w:rPr>
          <w:rFonts w:ascii="Times New Roman" w:eastAsia="Calibri" w:hAnsi="Times New Roman" w:cs="Times New Roman"/>
          <w:b/>
          <w:sz w:val="24"/>
          <w:szCs w:val="24"/>
        </w:rPr>
        <w:t>Overview of the Budget Allocation: 2015/16 – 2018/19</w:t>
      </w:r>
    </w:p>
    <w:p w:rsidR="00336E70" w:rsidRDefault="00A05EDB" w:rsidP="004E7BBC">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Source: </w:t>
      </w:r>
      <w:r w:rsidR="00A46BDC" w:rsidRPr="00675023">
        <w:rPr>
          <w:rFonts w:ascii="Times New Roman" w:eastAsia="Calibri" w:hAnsi="Times New Roman" w:cs="Times New Roman"/>
          <w:sz w:val="24"/>
          <w:szCs w:val="24"/>
        </w:rPr>
        <w:t xml:space="preserve">calculations based on </w:t>
      </w:r>
      <w:r w:rsidRPr="00675023">
        <w:rPr>
          <w:rFonts w:ascii="Times New Roman" w:eastAsia="Calibri" w:hAnsi="Times New Roman" w:cs="Times New Roman"/>
          <w:sz w:val="24"/>
          <w:szCs w:val="24"/>
        </w:rPr>
        <w:t xml:space="preserve">National Treasury (2016) </w:t>
      </w:r>
    </w:p>
    <w:p w:rsidR="00336E70" w:rsidRDefault="00336E70" w:rsidP="007E21C4">
      <w:pPr>
        <w:spacing w:after="0" w:line="360" w:lineRule="auto"/>
        <w:rPr>
          <w:rFonts w:ascii="Times New Roman" w:eastAsia="Calibri" w:hAnsi="Times New Roman" w:cs="Times New Roman"/>
          <w:sz w:val="24"/>
          <w:szCs w:val="24"/>
        </w:rPr>
      </w:pPr>
    </w:p>
    <w:p w:rsidR="00DF2510" w:rsidRDefault="00336E70" w:rsidP="004E7BB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terms of the economic classification, the main budget allocation will be spent on </w:t>
      </w:r>
      <w:r w:rsidR="004E7BBC">
        <w:rPr>
          <w:rFonts w:ascii="Times New Roman" w:eastAsia="Calibri" w:hAnsi="Times New Roman" w:cs="Times New Roman"/>
          <w:sz w:val="24"/>
          <w:szCs w:val="24"/>
        </w:rPr>
        <w:t xml:space="preserve">transfers and subsidies (84.9 percent of the total budget), followed by current payments (14.8 percent of the total budget) and payments for capital assets (0.3 percent of the total budget) in the 2016/17 financial year. Transfers and subsidies increased by 4.1 percent in real terms from the 2015/16 financial year to the 2016/17 financial year. This increase was due to the real increase of transfers to private enterprises related to incentives. Most other types of transfers decreased in real terms. </w:t>
      </w:r>
      <w:r w:rsidR="00A925CB">
        <w:rPr>
          <w:rFonts w:ascii="Times New Roman" w:eastAsia="Calibri" w:hAnsi="Times New Roman" w:cs="Times New Roman"/>
          <w:sz w:val="24"/>
          <w:szCs w:val="24"/>
        </w:rPr>
        <w:t>Current payments are made up of compensation of employees (60.8 percent of current payments) and goods and services (39.2 percent of current payments). Overall, current payments decreased by 8.1 percent in real terms</w:t>
      </w:r>
      <w:r w:rsidR="00C9609F">
        <w:rPr>
          <w:rFonts w:ascii="Times New Roman" w:eastAsia="Calibri" w:hAnsi="Times New Roman" w:cs="Times New Roman"/>
          <w:sz w:val="24"/>
          <w:szCs w:val="24"/>
        </w:rPr>
        <w:t>, w</w:t>
      </w:r>
      <w:r w:rsidR="0018738C">
        <w:rPr>
          <w:rFonts w:ascii="Times New Roman" w:eastAsia="Calibri" w:hAnsi="Times New Roman" w:cs="Times New Roman"/>
          <w:sz w:val="24"/>
          <w:szCs w:val="24"/>
        </w:rPr>
        <w:t xml:space="preserve">ith goods and services showing the largest </w:t>
      </w:r>
      <w:r w:rsidR="00DA4661">
        <w:rPr>
          <w:rFonts w:ascii="Times New Roman" w:eastAsia="Calibri" w:hAnsi="Times New Roman" w:cs="Times New Roman"/>
          <w:sz w:val="24"/>
          <w:szCs w:val="24"/>
        </w:rPr>
        <w:t xml:space="preserve">real </w:t>
      </w:r>
      <w:r w:rsidR="0018738C">
        <w:rPr>
          <w:rFonts w:ascii="Times New Roman" w:eastAsia="Calibri" w:hAnsi="Times New Roman" w:cs="Times New Roman"/>
          <w:sz w:val="24"/>
          <w:szCs w:val="24"/>
        </w:rPr>
        <w:t>decrease</w:t>
      </w:r>
      <w:r w:rsidR="00DA4661">
        <w:rPr>
          <w:rFonts w:ascii="Times New Roman" w:eastAsia="Calibri" w:hAnsi="Times New Roman" w:cs="Times New Roman"/>
          <w:sz w:val="24"/>
          <w:szCs w:val="24"/>
        </w:rPr>
        <w:t xml:space="preserve"> of 15.3 percent</w:t>
      </w:r>
      <w:r w:rsidR="0018738C">
        <w:rPr>
          <w:rFonts w:ascii="Times New Roman" w:eastAsia="Calibri" w:hAnsi="Times New Roman" w:cs="Times New Roman"/>
          <w:sz w:val="24"/>
          <w:szCs w:val="24"/>
        </w:rPr>
        <w:t>.</w:t>
      </w:r>
      <w:r w:rsidR="004E7BBC">
        <w:rPr>
          <w:rFonts w:ascii="Times New Roman" w:eastAsia="Calibri" w:hAnsi="Times New Roman" w:cs="Times New Roman"/>
          <w:sz w:val="24"/>
          <w:szCs w:val="24"/>
        </w:rPr>
        <w:t xml:space="preserve"> </w:t>
      </w:r>
      <w:r w:rsidR="00DF2510">
        <w:rPr>
          <w:rFonts w:ascii="Times New Roman" w:eastAsia="Calibri" w:hAnsi="Times New Roman" w:cs="Times New Roman"/>
          <w:sz w:val="24"/>
          <w:szCs w:val="24"/>
        </w:rPr>
        <w:t>The three line items that receive the largest allocations under goods and services were:</w:t>
      </w:r>
    </w:p>
    <w:p w:rsidR="00DF2510" w:rsidRDefault="00DF2510" w:rsidP="004E7BBC">
      <w:pPr>
        <w:spacing w:after="0" w:line="360" w:lineRule="auto"/>
        <w:jc w:val="both"/>
        <w:rPr>
          <w:rFonts w:ascii="Times New Roman" w:eastAsia="Calibri" w:hAnsi="Times New Roman" w:cs="Times New Roman"/>
          <w:sz w:val="24"/>
          <w:szCs w:val="24"/>
        </w:rPr>
      </w:pPr>
    </w:p>
    <w:p w:rsidR="00DF2510" w:rsidRDefault="00DF2510" w:rsidP="007E21C4">
      <w:pPr>
        <w:pStyle w:val="ListParagraph"/>
        <w:numPr>
          <w:ilvl w:val="0"/>
          <w:numId w:val="4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Operating leases, which received 36.7 percent of the goods and services budget and decreased in real terms by 16.9 percent;</w:t>
      </w:r>
    </w:p>
    <w:p w:rsidR="00DF2510" w:rsidRDefault="00DF2510" w:rsidP="007E21C4">
      <w:pPr>
        <w:pStyle w:val="ListParagraph"/>
        <w:numPr>
          <w:ilvl w:val="0"/>
          <w:numId w:val="4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Travel and subsistence, which received 17.7 percent of the goods and services budget and decreased in real terms by 4.2 percent; and</w:t>
      </w:r>
    </w:p>
    <w:p w:rsidR="00A05EDB" w:rsidRPr="007E21C4" w:rsidRDefault="00DF2510" w:rsidP="007E21C4">
      <w:pPr>
        <w:pStyle w:val="ListParagraph"/>
        <w:numPr>
          <w:ilvl w:val="0"/>
          <w:numId w:val="40"/>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Consultants for business and advisory services, which received 11 percent of the goods and services budget and decreased in real terms by 14.7 percent.</w:t>
      </w:r>
    </w:p>
    <w:p w:rsidR="00E1031A" w:rsidRPr="00675023" w:rsidRDefault="00E1031A" w:rsidP="00E1031A">
      <w:pPr>
        <w:spacing w:after="0" w:line="360" w:lineRule="auto"/>
        <w:jc w:val="both"/>
        <w:rPr>
          <w:rFonts w:ascii="Times New Roman" w:eastAsia="Calibri" w:hAnsi="Times New Roman" w:cs="Times New Roman"/>
          <w:sz w:val="24"/>
          <w:szCs w:val="24"/>
        </w:rPr>
      </w:pPr>
    </w:p>
    <w:p w:rsidR="00A05EDB" w:rsidRPr="00675023" w:rsidRDefault="00A05EDB" w:rsidP="00501558">
      <w:pPr>
        <w:pStyle w:val="Heading2"/>
        <w:keepLines w:val="0"/>
        <w:numPr>
          <w:ilvl w:val="2"/>
          <w:numId w:val="41"/>
        </w:numPr>
        <w:spacing w:before="0" w:line="360" w:lineRule="auto"/>
        <w:rPr>
          <w:rFonts w:ascii="Times New Roman" w:eastAsia="Calibri" w:hAnsi="Times New Roman" w:cs="Times New Roman"/>
          <w:b/>
          <w:color w:val="auto"/>
          <w:sz w:val="24"/>
          <w:szCs w:val="24"/>
        </w:rPr>
      </w:pPr>
      <w:bookmarkStart w:id="3" w:name="_Toc445039765"/>
      <w:r w:rsidRPr="00675023">
        <w:rPr>
          <w:rFonts w:ascii="Times New Roman" w:eastAsia="Calibri" w:hAnsi="Times New Roman" w:cs="Times New Roman"/>
          <w:b/>
          <w:color w:val="auto"/>
          <w:sz w:val="24"/>
          <w:szCs w:val="24"/>
        </w:rPr>
        <w:t>Budget Allocation by Programme</w:t>
      </w:r>
      <w:bookmarkEnd w:id="3"/>
    </w:p>
    <w:p w:rsidR="00A05EDB" w:rsidRPr="00675023" w:rsidRDefault="00A05EDB" w:rsidP="007E21C4">
      <w:pPr>
        <w:spacing w:after="0" w:line="360" w:lineRule="auto"/>
        <w:contextualSpacing/>
        <w:jc w:val="both"/>
        <w:rPr>
          <w:rFonts w:ascii="Times New Roman" w:eastAsia="Calibri" w:hAnsi="Times New Roman" w:cs="Times New Roman"/>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In line with the </w:t>
      </w:r>
      <w:r w:rsidR="003F3B11" w:rsidRPr="00675023">
        <w:rPr>
          <w:rFonts w:ascii="Times New Roman" w:eastAsia="Calibri" w:hAnsi="Times New Roman" w:cs="Times New Roman"/>
          <w:sz w:val="24"/>
          <w:szCs w:val="24"/>
        </w:rPr>
        <w:t xml:space="preserve">DTI’s </w:t>
      </w:r>
      <w:r w:rsidRPr="00675023">
        <w:rPr>
          <w:rFonts w:ascii="Times New Roman" w:eastAsia="Calibri" w:hAnsi="Times New Roman" w:cs="Times New Roman"/>
          <w:sz w:val="24"/>
          <w:szCs w:val="24"/>
        </w:rPr>
        <w:t>mandate and strategic objective of “</w:t>
      </w:r>
      <w:r w:rsidR="003F3B11" w:rsidRPr="00675023">
        <w:rPr>
          <w:rFonts w:ascii="Times New Roman" w:eastAsia="Calibri" w:hAnsi="Times New Roman" w:cs="Times New Roman"/>
          <w:sz w:val="24"/>
          <w:szCs w:val="24"/>
        </w:rPr>
        <w:t xml:space="preserve">facilitating </w:t>
      </w:r>
      <w:r w:rsidRPr="00675023">
        <w:rPr>
          <w:rFonts w:ascii="Times New Roman" w:eastAsia="Calibri" w:hAnsi="Times New Roman" w:cs="Times New Roman"/>
          <w:sz w:val="24"/>
          <w:szCs w:val="24"/>
        </w:rPr>
        <w:t>transformation of the economy to promote industrial development, investment, competitiveness and employment creation”</w:t>
      </w:r>
      <w:r w:rsidRPr="00675023">
        <w:rPr>
          <w:rStyle w:val="FootnoteReference"/>
          <w:rFonts w:ascii="Times New Roman" w:eastAsia="Calibri" w:hAnsi="Times New Roman" w:cs="Times New Roman"/>
          <w:sz w:val="24"/>
          <w:szCs w:val="24"/>
        </w:rPr>
        <w:footnoteReference w:id="10"/>
      </w:r>
      <w:r w:rsidRPr="00675023">
        <w:rPr>
          <w:rFonts w:ascii="Times New Roman" w:eastAsia="Calibri" w:hAnsi="Times New Roman" w:cs="Times New Roman"/>
          <w:sz w:val="24"/>
          <w:szCs w:val="24"/>
        </w:rPr>
        <w:t xml:space="preserve">, the two largest programmes in terms of the share of the budget are the </w:t>
      </w:r>
      <w:r w:rsidRPr="00675023">
        <w:rPr>
          <w:rFonts w:ascii="Times New Roman" w:hAnsi="Times New Roman" w:cs="Times New Roman"/>
          <w:sz w:val="24"/>
          <w:szCs w:val="24"/>
          <w:lang w:eastAsia="en-ZA"/>
        </w:rPr>
        <w:t xml:space="preserve">Incentive </w:t>
      </w:r>
      <w:r w:rsidR="00803F45" w:rsidRPr="00675023">
        <w:rPr>
          <w:rFonts w:ascii="Times New Roman" w:eastAsia="Calibri" w:hAnsi="Times New Roman" w:cs="Times New Roman"/>
          <w:sz w:val="24"/>
          <w:szCs w:val="24"/>
        </w:rPr>
        <w:t xml:space="preserve">Development </w:t>
      </w:r>
      <w:r w:rsidR="003F3B11" w:rsidRPr="00675023">
        <w:rPr>
          <w:rFonts w:ascii="Times New Roman" w:eastAsia="Calibri" w:hAnsi="Times New Roman" w:cs="Times New Roman"/>
          <w:sz w:val="24"/>
          <w:szCs w:val="24"/>
        </w:rPr>
        <w:t xml:space="preserve">and </w:t>
      </w:r>
      <w:r w:rsidR="00803F45" w:rsidRPr="00675023">
        <w:rPr>
          <w:rFonts w:ascii="Times New Roman" w:hAnsi="Times New Roman" w:cs="Times New Roman"/>
          <w:sz w:val="24"/>
          <w:szCs w:val="24"/>
          <w:lang w:eastAsia="en-ZA"/>
        </w:rPr>
        <w:t>Administration</w:t>
      </w:r>
      <w:r w:rsidR="00803F45" w:rsidRPr="00675023">
        <w:rPr>
          <w:rFonts w:ascii="Times New Roman" w:eastAsia="Calibri" w:hAnsi="Times New Roman" w:cs="Times New Roman"/>
          <w:sz w:val="24"/>
          <w:szCs w:val="24"/>
        </w:rPr>
        <w:t xml:space="preserve"> </w:t>
      </w:r>
      <w:r w:rsidRPr="00675023">
        <w:rPr>
          <w:rFonts w:ascii="Times New Roman" w:eastAsia="Calibri" w:hAnsi="Times New Roman" w:cs="Times New Roman"/>
          <w:sz w:val="24"/>
          <w:szCs w:val="24"/>
        </w:rPr>
        <w:t>Programme, at approximately 6</w:t>
      </w:r>
      <w:r w:rsidR="00007291">
        <w:rPr>
          <w:rFonts w:ascii="Times New Roman" w:eastAsia="Calibri" w:hAnsi="Times New Roman" w:cs="Times New Roman"/>
          <w:sz w:val="24"/>
          <w:szCs w:val="24"/>
        </w:rPr>
        <w:t>7</w:t>
      </w:r>
      <w:r w:rsidRPr="00675023">
        <w:rPr>
          <w:rFonts w:ascii="Times New Roman" w:eastAsia="Calibri" w:hAnsi="Times New Roman" w:cs="Times New Roman"/>
          <w:sz w:val="24"/>
          <w:szCs w:val="24"/>
        </w:rPr>
        <w:t xml:space="preserve"> percent and the </w:t>
      </w:r>
      <w:r w:rsidRPr="00675023">
        <w:rPr>
          <w:rFonts w:ascii="Times New Roman" w:hAnsi="Times New Roman" w:cs="Times New Roman"/>
          <w:sz w:val="24"/>
          <w:szCs w:val="24"/>
          <w:lang w:eastAsia="en-ZA"/>
        </w:rPr>
        <w:t>Industrial Development</w:t>
      </w:r>
      <w:r w:rsidRPr="00675023">
        <w:rPr>
          <w:rFonts w:ascii="Times New Roman" w:eastAsia="Calibri" w:hAnsi="Times New Roman" w:cs="Times New Roman"/>
          <w:sz w:val="24"/>
          <w:szCs w:val="24"/>
        </w:rPr>
        <w:t xml:space="preserve"> Programme with a 17 percent share of the 2016/17 budget.  The rest of the budget is allocated to the six other programmes</w:t>
      </w:r>
      <w:r w:rsidR="007B6264" w:rsidRPr="00675023">
        <w:rPr>
          <w:rFonts w:ascii="Times New Roman" w:eastAsia="Calibri" w:hAnsi="Times New Roman" w:cs="Times New Roman"/>
          <w:sz w:val="24"/>
          <w:szCs w:val="24"/>
        </w:rPr>
        <w:t xml:space="preserve"> (see Figure </w:t>
      </w:r>
      <w:r w:rsidR="00007291">
        <w:rPr>
          <w:rFonts w:ascii="Times New Roman" w:eastAsia="Calibri" w:hAnsi="Times New Roman" w:cs="Times New Roman"/>
          <w:sz w:val="24"/>
          <w:szCs w:val="24"/>
        </w:rPr>
        <w:t>3</w:t>
      </w:r>
      <w:r w:rsidR="007B6264" w:rsidRPr="00675023">
        <w:rPr>
          <w:rFonts w:ascii="Times New Roman" w:eastAsia="Calibri" w:hAnsi="Times New Roman" w:cs="Times New Roman"/>
          <w:sz w:val="24"/>
          <w:szCs w:val="24"/>
        </w:rPr>
        <w:t xml:space="preserve"> below).</w:t>
      </w:r>
      <w:r w:rsidRPr="00675023">
        <w:rPr>
          <w:rFonts w:ascii="Times New Roman" w:eastAsia="Calibri" w:hAnsi="Times New Roman" w:cs="Times New Roman"/>
          <w:sz w:val="24"/>
          <w:szCs w:val="24"/>
        </w:rPr>
        <w:t xml:space="preserve"> </w:t>
      </w:r>
    </w:p>
    <w:p w:rsidR="00235CFE" w:rsidRPr="00675023" w:rsidRDefault="00235CFE" w:rsidP="00592363">
      <w:pPr>
        <w:spacing w:after="0" w:line="360" w:lineRule="auto"/>
        <w:jc w:val="both"/>
        <w:rPr>
          <w:rFonts w:ascii="Times New Roman" w:eastAsia="Calibri" w:hAnsi="Times New Roman" w:cs="Times New Roman"/>
          <w:sz w:val="24"/>
          <w:szCs w:val="24"/>
        </w:rPr>
      </w:pPr>
    </w:p>
    <w:p w:rsidR="00235CFE" w:rsidRPr="00675023" w:rsidRDefault="00235CFE" w:rsidP="007E21C4">
      <w:pPr>
        <w:spacing w:after="0" w:line="360" w:lineRule="auto"/>
        <w:jc w:val="center"/>
        <w:rPr>
          <w:rFonts w:ascii="Times New Roman" w:eastAsia="Calibri" w:hAnsi="Times New Roman" w:cs="Times New Roman"/>
          <w:sz w:val="24"/>
          <w:szCs w:val="24"/>
        </w:rPr>
      </w:pPr>
      <w:r w:rsidRPr="00675023">
        <w:rPr>
          <w:rFonts w:ascii="Times New Roman" w:eastAsia="Calibri" w:hAnsi="Times New Roman" w:cs="Times New Roman"/>
          <w:b/>
          <w:noProof/>
          <w:sz w:val="24"/>
          <w:szCs w:val="24"/>
          <w:lang w:eastAsia="en-ZA"/>
        </w:rPr>
        <w:drawing>
          <wp:inline distT="0" distB="0" distL="0" distR="0" wp14:anchorId="53214F18" wp14:editId="3FE423C3">
            <wp:extent cx="3993205" cy="2534056"/>
            <wp:effectExtent l="0" t="0" r="762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4917" cy="2541488"/>
                    </a:xfrm>
                    <a:prstGeom prst="rect">
                      <a:avLst/>
                    </a:prstGeom>
                    <a:noFill/>
                  </pic:spPr>
                </pic:pic>
              </a:graphicData>
            </a:graphic>
          </wp:inline>
        </w:drawing>
      </w:r>
    </w:p>
    <w:p w:rsidR="00E23D0F" w:rsidRPr="00675023" w:rsidRDefault="00E23D0F" w:rsidP="00E23D0F">
      <w:pPr>
        <w:spacing w:after="0" w:line="360" w:lineRule="auto"/>
        <w:jc w:val="both"/>
        <w:rPr>
          <w:rFonts w:ascii="Times New Roman" w:eastAsia="Calibri" w:hAnsi="Times New Roman" w:cs="Times New Roman"/>
          <w:b/>
          <w:sz w:val="24"/>
          <w:szCs w:val="24"/>
        </w:rPr>
      </w:pPr>
      <w:r w:rsidRPr="00675023">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3</w:t>
      </w:r>
      <w:r w:rsidRPr="00675023">
        <w:rPr>
          <w:rFonts w:ascii="Times New Roman" w:eastAsia="Calibri" w:hAnsi="Times New Roman" w:cs="Times New Roman"/>
          <w:b/>
          <w:sz w:val="24"/>
          <w:szCs w:val="24"/>
        </w:rPr>
        <w:t>: Budget Allocation by Programme: 2016/17 Financial Year</w:t>
      </w:r>
    </w:p>
    <w:p w:rsidR="00A05EDB" w:rsidRPr="00A51ABD" w:rsidRDefault="00A05EDB" w:rsidP="00592363">
      <w:pPr>
        <w:spacing w:after="0" w:line="360" w:lineRule="auto"/>
        <w:jc w:val="both"/>
        <w:rPr>
          <w:rFonts w:ascii="Times New Roman" w:eastAsia="Calibri" w:hAnsi="Times New Roman" w:cs="Times New Roman"/>
          <w:sz w:val="20"/>
          <w:szCs w:val="20"/>
        </w:rPr>
      </w:pPr>
      <w:r w:rsidRPr="00A51ABD">
        <w:rPr>
          <w:rFonts w:ascii="Times New Roman" w:eastAsia="Calibri" w:hAnsi="Times New Roman" w:cs="Times New Roman"/>
          <w:sz w:val="20"/>
          <w:szCs w:val="20"/>
        </w:rPr>
        <w:t xml:space="preserve">Source: </w:t>
      </w:r>
      <w:r w:rsidR="003F3B11" w:rsidRPr="00A51ABD">
        <w:rPr>
          <w:rFonts w:ascii="Times New Roman" w:eastAsia="Calibri" w:hAnsi="Times New Roman" w:cs="Times New Roman"/>
          <w:sz w:val="20"/>
          <w:szCs w:val="20"/>
        </w:rPr>
        <w:t xml:space="preserve">calculations based on </w:t>
      </w:r>
      <w:r w:rsidRPr="00A51ABD">
        <w:rPr>
          <w:rFonts w:ascii="Times New Roman" w:eastAsia="Calibri" w:hAnsi="Times New Roman" w:cs="Times New Roman"/>
          <w:sz w:val="20"/>
          <w:szCs w:val="20"/>
        </w:rPr>
        <w:t>National Treasury’s Estimates of National Expenditure data (2016)</w:t>
      </w:r>
    </w:p>
    <w:p w:rsidR="00235CFE" w:rsidRPr="00675023" w:rsidRDefault="00235CFE" w:rsidP="00592363">
      <w:pPr>
        <w:spacing w:after="0" w:line="360" w:lineRule="auto"/>
        <w:jc w:val="both"/>
        <w:rPr>
          <w:rFonts w:ascii="Times New Roman" w:eastAsia="Calibri" w:hAnsi="Times New Roman" w:cs="Times New Roman"/>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At a programme level, the budget of five (5) programmes (</w:t>
      </w:r>
      <w:r w:rsidRPr="00675023">
        <w:rPr>
          <w:rFonts w:ascii="Times New Roman" w:hAnsi="Times New Roman" w:cs="Times New Roman"/>
          <w:sz w:val="24"/>
          <w:szCs w:val="24"/>
          <w:lang w:eastAsia="en-ZA"/>
        </w:rPr>
        <w:t xml:space="preserve">Administration, Industrial Development, Consumer and Corporate Regulation, Trade Export South Africa, and Investment South Africa) decreased by 10 percent, 17 percent, 0.7 percent, 18 percent, and 6.5 percent in real terms respectively. </w:t>
      </w:r>
      <w:r w:rsidR="00803F45" w:rsidRPr="00675023">
        <w:rPr>
          <w:rFonts w:ascii="Times New Roman" w:hAnsi="Times New Roman" w:cs="Times New Roman"/>
          <w:sz w:val="24"/>
          <w:szCs w:val="24"/>
          <w:lang w:eastAsia="en-ZA"/>
        </w:rPr>
        <w:t xml:space="preserve">The budgets </w:t>
      </w:r>
      <w:r w:rsidRPr="00675023">
        <w:rPr>
          <w:rFonts w:ascii="Times New Roman" w:hAnsi="Times New Roman" w:cs="Times New Roman"/>
          <w:sz w:val="24"/>
          <w:szCs w:val="24"/>
          <w:lang w:eastAsia="en-ZA"/>
        </w:rPr>
        <w:t xml:space="preserve">of three (3) programmes increased, these </w:t>
      </w:r>
      <w:r w:rsidRPr="00675023">
        <w:rPr>
          <w:rFonts w:ascii="Times New Roman" w:hAnsi="Times New Roman" w:cs="Times New Roman"/>
          <w:sz w:val="24"/>
          <w:szCs w:val="24"/>
          <w:lang w:eastAsia="en-ZA"/>
        </w:rPr>
        <w:lastRenderedPageBreak/>
        <w:t xml:space="preserve">include the International Trade and Economic Development </w:t>
      </w:r>
      <w:r w:rsidRPr="00675023">
        <w:rPr>
          <w:rFonts w:ascii="Times New Roman" w:eastAsia="Calibri" w:hAnsi="Times New Roman" w:cs="Times New Roman"/>
          <w:sz w:val="24"/>
          <w:szCs w:val="24"/>
        </w:rPr>
        <w:t>programme</w:t>
      </w:r>
      <w:r w:rsidRPr="00675023">
        <w:rPr>
          <w:rFonts w:ascii="Times New Roman" w:hAnsi="Times New Roman" w:cs="Times New Roman"/>
          <w:sz w:val="24"/>
          <w:szCs w:val="24"/>
          <w:lang w:eastAsia="en-ZA"/>
        </w:rPr>
        <w:t xml:space="preserve"> with an increase of 1.7 percent; Special Economic Zones and Economic Transformation </w:t>
      </w:r>
      <w:r w:rsidRPr="00675023">
        <w:rPr>
          <w:rFonts w:ascii="Times New Roman" w:eastAsia="Calibri" w:hAnsi="Times New Roman" w:cs="Times New Roman"/>
          <w:sz w:val="24"/>
          <w:szCs w:val="24"/>
        </w:rPr>
        <w:t xml:space="preserve">programme with an increase of 13.2 percent; and Incentive Development and Administration programme with an increase of 13.4 percent in real terms. </w:t>
      </w:r>
    </w:p>
    <w:p w:rsidR="00294851" w:rsidRDefault="00294851">
      <w:pPr>
        <w:rPr>
          <w:rFonts w:ascii="Times New Roman" w:eastAsia="Calibri" w:hAnsi="Times New Roman" w:cs="Times New Roman"/>
          <w:b/>
          <w:sz w:val="24"/>
          <w:szCs w:val="24"/>
        </w:rPr>
      </w:pPr>
    </w:p>
    <w:p w:rsidR="00A05EDB" w:rsidRPr="00675023" w:rsidRDefault="00A05EDB" w:rsidP="00592363">
      <w:pPr>
        <w:pStyle w:val="ListParagraph"/>
        <w:spacing w:after="0" w:line="360" w:lineRule="auto"/>
        <w:ind w:left="0"/>
        <w:jc w:val="both"/>
        <w:rPr>
          <w:rFonts w:ascii="Times New Roman" w:eastAsia="Calibri" w:hAnsi="Times New Roman" w:cs="Times New Roman"/>
          <w:b/>
          <w:sz w:val="24"/>
          <w:szCs w:val="24"/>
        </w:rPr>
      </w:pPr>
      <w:r w:rsidRPr="00675023">
        <w:rPr>
          <w:rFonts w:ascii="Times New Roman" w:eastAsia="Calibri" w:hAnsi="Times New Roman" w:cs="Times New Roman"/>
          <w:b/>
          <w:sz w:val="24"/>
          <w:szCs w:val="24"/>
        </w:rPr>
        <w:t>Table 1: Budget Allocation by Programme: 2016/17 Financial Year</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1205"/>
        <w:gridCol w:w="1205"/>
        <w:gridCol w:w="1275"/>
        <w:gridCol w:w="1276"/>
        <w:gridCol w:w="1276"/>
      </w:tblGrid>
      <w:tr w:rsidR="006477E5" w:rsidRPr="00675023" w:rsidTr="00007291">
        <w:trPr>
          <w:trHeight w:val="765"/>
        </w:trPr>
        <w:tc>
          <w:tcPr>
            <w:tcW w:w="3715" w:type="dxa"/>
            <w:vMerge w:val="restart"/>
            <w:shd w:val="clear" w:color="auto" w:fill="BFBFBF" w:themeFill="background1" w:themeFillShade="BF"/>
            <w:noWrap/>
            <w:vAlign w:val="bottom"/>
            <w:hideMark/>
          </w:tcPr>
          <w:p w:rsidR="006477E5" w:rsidRDefault="006477E5" w:rsidP="00294851">
            <w:pPr>
              <w:spacing w:after="0" w:line="360" w:lineRule="auto"/>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Programme</w:t>
            </w:r>
          </w:p>
          <w:p w:rsidR="006477E5" w:rsidRPr="007E21C4" w:rsidRDefault="006477E5" w:rsidP="00294851">
            <w:pPr>
              <w:spacing w:after="0" w:line="360" w:lineRule="auto"/>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(R’ million)</w:t>
            </w:r>
          </w:p>
        </w:tc>
        <w:tc>
          <w:tcPr>
            <w:tcW w:w="2410" w:type="dxa"/>
            <w:gridSpan w:val="2"/>
            <w:shd w:val="clear" w:color="auto" w:fill="BFBFBF" w:themeFill="background1" w:themeFillShade="BF"/>
            <w:vAlign w:val="center"/>
            <w:hideMark/>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Budget</w:t>
            </w:r>
          </w:p>
        </w:tc>
        <w:tc>
          <w:tcPr>
            <w:tcW w:w="1275" w:type="dxa"/>
            <w:shd w:val="clear" w:color="auto" w:fill="BFBFBF" w:themeFill="background1" w:themeFillShade="BF"/>
            <w:vAlign w:val="center"/>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Nomina</w:t>
            </w:r>
            <w:r>
              <w:rPr>
                <w:rFonts w:ascii="Times New Roman" w:hAnsi="Times New Roman" w:cs="Times New Roman"/>
                <w:b/>
                <w:bCs/>
                <w:sz w:val="20"/>
                <w:szCs w:val="20"/>
                <w:lang w:eastAsia="en-ZA"/>
              </w:rPr>
              <w:t>l Increase /Decrease</w:t>
            </w:r>
          </w:p>
        </w:tc>
        <w:tc>
          <w:tcPr>
            <w:tcW w:w="1276" w:type="dxa"/>
            <w:shd w:val="clear" w:color="auto" w:fill="BFBFBF" w:themeFill="background1" w:themeFillShade="BF"/>
            <w:vAlign w:val="center"/>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Rea</w:t>
            </w:r>
            <w:r>
              <w:rPr>
                <w:rFonts w:ascii="Times New Roman" w:hAnsi="Times New Roman" w:cs="Times New Roman"/>
                <w:b/>
                <w:bCs/>
                <w:sz w:val="20"/>
                <w:szCs w:val="20"/>
                <w:lang w:eastAsia="en-ZA"/>
              </w:rPr>
              <w:t>l Increase /Decrease</w:t>
            </w:r>
          </w:p>
        </w:tc>
        <w:tc>
          <w:tcPr>
            <w:tcW w:w="1276" w:type="dxa"/>
            <w:shd w:val="clear" w:color="auto" w:fill="BFBFBF" w:themeFill="background1" w:themeFillShade="BF"/>
            <w:vAlign w:val="center"/>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 xml:space="preserve">Real Percent change </w:t>
            </w:r>
            <w:r w:rsidRPr="00675023">
              <w:rPr>
                <w:rFonts w:ascii="Times New Roman" w:hAnsi="Times New Roman" w:cs="Times New Roman"/>
                <w:b/>
                <w:bCs/>
                <w:sz w:val="20"/>
                <w:szCs w:val="20"/>
                <w:lang w:eastAsia="en-ZA"/>
              </w:rPr>
              <w:t>(%)</w:t>
            </w:r>
          </w:p>
        </w:tc>
      </w:tr>
      <w:tr w:rsidR="006477E5" w:rsidRPr="00675023" w:rsidTr="00007291">
        <w:trPr>
          <w:trHeight w:val="255"/>
        </w:trPr>
        <w:tc>
          <w:tcPr>
            <w:tcW w:w="3715" w:type="dxa"/>
            <w:vMerge/>
            <w:shd w:val="clear" w:color="auto" w:fill="70AD47"/>
            <w:noWrap/>
            <w:vAlign w:val="bottom"/>
            <w:hideMark/>
          </w:tcPr>
          <w:p w:rsidR="006477E5" w:rsidRPr="007E21C4" w:rsidRDefault="006477E5" w:rsidP="00294851">
            <w:pPr>
              <w:spacing w:after="0" w:line="360" w:lineRule="auto"/>
              <w:jc w:val="center"/>
              <w:rPr>
                <w:rFonts w:ascii="Times New Roman" w:hAnsi="Times New Roman" w:cs="Times New Roman"/>
                <w:b/>
                <w:bCs/>
                <w:sz w:val="20"/>
                <w:szCs w:val="20"/>
                <w:lang w:eastAsia="en-ZA"/>
              </w:rPr>
            </w:pPr>
          </w:p>
        </w:tc>
        <w:tc>
          <w:tcPr>
            <w:tcW w:w="1205" w:type="dxa"/>
            <w:shd w:val="clear" w:color="auto" w:fill="BFBFBF" w:themeFill="background1" w:themeFillShade="BF"/>
            <w:noWrap/>
            <w:vAlign w:val="center"/>
            <w:hideMark/>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Pr>
                <w:rFonts w:ascii="Times New Roman" w:hAnsi="Times New Roman" w:cs="Times New Roman"/>
                <w:b/>
                <w:bCs/>
                <w:sz w:val="20"/>
                <w:szCs w:val="20"/>
                <w:lang w:eastAsia="en-ZA"/>
              </w:rPr>
              <w:t xml:space="preserve">2015/16 </w:t>
            </w:r>
          </w:p>
        </w:tc>
        <w:tc>
          <w:tcPr>
            <w:tcW w:w="1205" w:type="dxa"/>
            <w:shd w:val="clear" w:color="auto" w:fill="BFBFBF" w:themeFill="background1" w:themeFillShade="BF"/>
            <w:noWrap/>
            <w:vAlign w:val="center"/>
            <w:hideMark/>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Pr>
                <w:rFonts w:ascii="Times New Roman" w:hAnsi="Times New Roman" w:cs="Times New Roman"/>
                <w:b/>
                <w:bCs/>
                <w:sz w:val="20"/>
                <w:szCs w:val="20"/>
                <w:lang w:eastAsia="en-ZA"/>
              </w:rPr>
              <w:t>2016/17</w:t>
            </w:r>
          </w:p>
        </w:tc>
        <w:tc>
          <w:tcPr>
            <w:tcW w:w="3827" w:type="dxa"/>
            <w:gridSpan w:val="3"/>
            <w:shd w:val="clear" w:color="auto" w:fill="BFBFBF" w:themeFill="background1" w:themeFillShade="BF"/>
            <w:vAlign w:val="center"/>
          </w:tcPr>
          <w:p w:rsidR="006477E5" w:rsidRPr="007E21C4" w:rsidRDefault="006477E5" w:rsidP="00294851">
            <w:pPr>
              <w:spacing w:after="0" w:line="360" w:lineRule="auto"/>
              <w:jc w:val="center"/>
              <w:rPr>
                <w:rFonts w:ascii="Times New Roman" w:hAnsi="Times New Roman" w:cs="Times New Roman"/>
                <w:b/>
                <w:bCs/>
                <w:sz w:val="20"/>
                <w:szCs w:val="20"/>
                <w:lang w:eastAsia="en-ZA"/>
              </w:rPr>
            </w:pPr>
            <w:r>
              <w:rPr>
                <w:rFonts w:ascii="Times New Roman" w:hAnsi="Times New Roman" w:cs="Times New Roman"/>
                <w:b/>
                <w:bCs/>
                <w:sz w:val="20"/>
                <w:szCs w:val="20"/>
                <w:lang w:eastAsia="en-ZA"/>
              </w:rPr>
              <w:t>2015/16 – 2016/17</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Administration</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768.3</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736.6</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-31.7</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-77.3</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-10.06 </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International Trade and Economic Development</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116.6</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126.4</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9.8</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2.0</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1.70 </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Special Economic Zones and Economic Transformation</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89.7</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108.3</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18.6</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11.9</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13.24 </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Industrial Development</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1 964.3</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1 735.7</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-228.6</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-336.1</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-17.11 </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Consumer and Corporate Regulation</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296.4</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313.5</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17.1</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-2.3</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-0.77 </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Incentive Development and Administration</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5 827.6</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6 922.4</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1 094.8</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666.2</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11.43 </w:t>
            </w:r>
          </w:p>
        </w:tc>
      </w:tr>
      <w:tr w:rsidR="00294851" w:rsidRPr="00675023" w:rsidTr="00007291">
        <w:trPr>
          <w:trHeight w:val="255"/>
        </w:trPr>
        <w:tc>
          <w:tcPr>
            <w:tcW w:w="3715" w:type="dxa"/>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Trade Export South Africa</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386.8</w:t>
            </w:r>
          </w:p>
        </w:tc>
        <w:tc>
          <w:tcPr>
            <w:tcW w:w="1205"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336.5</w:t>
            </w:r>
          </w:p>
        </w:tc>
        <w:tc>
          <w:tcPr>
            <w:tcW w:w="1275" w:type="dxa"/>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-50.3</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-71.1</w:t>
            </w:r>
          </w:p>
        </w:tc>
        <w:tc>
          <w:tcPr>
            <w:tcW w:w="1276" w:type="dxa"/>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-18.37 </w:t>
            </w:r>
          </w:p>
        </w:tc>
      </w:tr>
      <w:tr w:rsidR="00294851" w:rsidRPr="00675023" w:rsidTr="00007291">
        <w:trPr>
          <w:trHeight w:val="255"/>
        </w:trPr>
        <w:tc>
          <w:tcPr>
            <w:tcW w:w="3715" w:type="dxa"/>
            <w:tcBorders>
              <w:bottom w:val="single" w:sz="4" w:space="0" w:color="auto"/>
            </w:tcBorders>
            <w:shd w:val="clear" w:color="auto" w:fill="auto"/>
            <w:noWrap/>
            <w:vAlign w:val="bottom"/>
            <w:hideMark/>
          </w:tcPr>
          <w:p w:rsidR="006477E5" w:rsidRPr="007E21C4" w:rsidRDefault="006477E5" w:rsidP="00294851">
            <w:pPr>
              <w:spacing w:after="0" w:line="360" w:lineRule="auto"/>
              <w:rPr>
                <w:rFonts w:ascii="Times New Roman" w:hAnsi="Times New Roman" w:cs="Times New Roman"/>
                <w:sz w:val="20"/>
                <w:szCs w:val="20"/>
                <w:lang w:eastAsia="en-ZA"/>
              </w:rPr>
            </w:pPr>
            <w:r w:rsidRPr="007E21C4">
              <w:rPr>
                <w:rFonts w:ascii="Times New Roman" w:hAnsi="Times New Roman" w:cs="Times New Roman"/>
                <w:sz w:val="20"/>
                <w:szCs w:val="20"/>
                <w:lang w:eastAsia="en-ZA"/>
              </w:rPr>
              <w:t>Investment South Africa</w:t>
            </w:r>
          </w:p>
        </w:tc>
        <w:tc>
          <w:tcPr>
            <w:tcW w:w="1205" w:type="dxa"/>
            <w:tcBorders>
              <w:bottom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48.3</w:t>
            </w:r>
          </w:p>
        </w:tc>
        <w:tc>
          <w:tcPr>
            <w:tcW w:w="1205" w:type="dxa"/>
            <w:tcBorders>
              <w:bottom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48.1</w:t>
            </w:r>
          </w:p>
        </w:tc>
        <w:tc>
          <w:tcPr>
            <w:tcW w:w="1275" w:type="dxa"/>
            <w:tcBorders>
              <w:bottom w:val="single" w:sz="4" w:space="0" w:color="auto"/>
            </w:tcBorders>
            <w:vAlign w:val="center"/>
          </w:tcPr>
          <w:p w:rsidR="006477E5" w:rsidRPr="007E21C4" w:rsidRDefault="006477E5" w:rsidP="00294851">
            <w:pPr>
              <w:spacing w:after="0" w:line="360" w:lineRule="auto"/>
              <w:jc w:val="right"/>
              <w:rPr>
                <w:rFonts w:ascii="Times New Roman" w:hAnsi="Times New Roman" w:cs="Times New Roman"/>
                <w:sz w:val="20"/>
                <w:szCs w:val="20"/>
              </w:rPr>
            </w:pPr>
            <w:r w:rsidRPr="007E21C4">
              <w:rPr>
                <w:rFonts w:ascii="Times New Roman" w:hAnsi="Times New Roman" w:cs="Times New Roman"/>
                <w:sz w:val="20"/>
                <w:szCs w:val="20"/>
              </w:rPr>
              <w:t>-0.2</w:t>
            </w:r>
          </w:p>
        </w:tc>
        <w:tc>
          <w:tcPr>
            <w:tcW w:w="1276" w:type="dxa"/>
            <w:tcBorders>
              <w:bottom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-3.2</w:t>
            </w:r>
          </w:p>
        </w:tc>
        <w:tc>
          <w:tcPr>
            <w:tcW w:w="1276" w:type="dxa"/>
            <w:tcBorders>
              <w:bottom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sz w:val="20"/>
                <w:szCs w:val="20"/>
                <w:lang w:eastAsia="en-ZA"/>
              </w:rPr>
            </w:pPr>
            <w:r w:rsidRPr="007E21C4">
              <w:rPr>
                <w:rFonts w:ascii="Times New Roman" w:hAnsi="Times New Roman" w:cs="Times New Roman"/>
                <w:sz w:val="20"/>
                <w:szCs w:val="20"/>
                <w:lang w:eastAsia="en-ZA"/>
              </w:rPr>
              <w:t xml:space="preserve">-6.54 </w:t>
            </w:r>
          </w:p>
        </w:tc>
      </w:tr>
      <w:tr w:rsidR="00294851" w:rsidRPr="00675023" w:rsidTr="006477E5">
        <w:trPr>
          <w:trHeight w:val="255"/>
        </w:trPr>
        <w:tc>
          <w:tcPr>
            <w:tcW w:w="3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7E5" w:rsidRPr="007E21C4" w:rsidRDefault="006477E5" w:rsidP="00294851">
            <w:pPr>
              <w:spacing w:after="0" w:line="360" w:lineRule="auto"/>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TOTAL</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9 497.8</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10 327.5</w:t>
            </w:r>
          </w:p>
        </w:tc>
        <w:tc>
          <w:tcPr>
            <w:tcW w:w="1275" w:type="dxa"/>
            <w:tcBorders>
              <w:top w:val="single" w:sz="4" w:space="0" w:color="auto"/>
              <w:left w:val="single" w:sz="4" w:space="0" w:color="auto"/>
              <w:bottom w:val="single" w:sz="4" w:space="0" w:color="auto"/>
              <w:right w:val="single" w:sz="4" w:space="0" w:color="auto"/>
            </w:tcBorders>
            <w:vAlign w:val="center"/>
          </w:tcPr>
          <w:p w:rsidR="006477E5" w:rsidRPr="007E21C4" w:rsidRDefault="006477E5" w:rsidP="00294851">
            <w:pPr>
              <w:spacing w:after="0" w:line="360" w:lineRule="auto"/>
              <w:jc w:val="right"/>
              <w:rPr>
                <w:rFonts w:ascii="Times New Roman" w:hAnsi="Times New Roman" w:cs="Times New Roman"/>
                <w:b/>
                <w:sz w:val="20"/>
                <w:szCs w:val="20"/>
                <w:lang w:eastAsia="en-ZA"/>
              </w:rPr>
            </w:pPr>
            <w:r w:rsidRPr="007E21C4">
              <w:rPr>
                <w:rFonts w:ascii="Times New Roman" w:hAnsi="Times New Roman" w:cs="Times New Roman"/>
                <w:b/>
                <w:sz w:val="20"/>
                <w:szCs w:val="20"/>
              </w:rPr>
              <w:t>829.7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190.3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7E5" w:rsidRPr="007E21C4" w:rsidRDefault="006477E5" w:rsidP="00294851">
            <w:pPr>
              <w:spacing w:after="0" w:line="360" w:lineRule="auto"/>
              <w:jc w:val="right"/>
              <w:rPr>
                <w:rFonts w:ascii="Times New Roman" w:hAnsi="Times New Roman" w:cs="Times New Roman"/>
                <w:b/>
                <w:bCs/>
                <w:sz w:val="20"/>
                <w:szCs w:val="20"/>
                <w:lang w:eastAsia="en-ZA"/>
              </w:rPr>
            </w:pPr>
            <w:r w:rsidRPr="007E21C4">
              <w:rPr>
                <w:rFonts w:ascii="Times New Roman" w:hAnsi="Times New Roman" w:cs="Times New Roman"/>
                <w:b/>
                <w:bCs/>
                <w:sz w:val="20"/>
                <w:szCs w:val="20"/>
                <w:lang w:eastAsia="en-ZA"/>
              </w:rPr>
              <w:t xml:space="preserve">2.00 </w:t>
            </w:r>
          </w:p>
        </w:tc>
      </w:tr>
    </w:tbl>
    <w:p w:rsidR="00A05EDB" w:rsidRPr="00A51ABD" w:rsidRDefault="006477E5" w:rsidP="00592363">
      <w:pPr>
        <w:spacing w:after="0" w:line="360" w:lineRule="auto"/>
        <w:jc w:val="both"/>
        <w:rPr>
          <w:rFonts w:ascii="Times New Roman" w:eastAsia="Calibri" w:hAnsi="Times New Roman" w:cs="Times New Roman"/>
          <w:sz w:val="20"/>
          <w:szCs w:val="20"/>
        </w:rPr>
      </w:pPr>
      <w:r w:rsidRPr="00A51ABD">
        <w:rPr>
          <w:rFonts w:ascii="Times New Roman" w:eastAsia="Calibri" w:hAnsi="Times New Roman" w:cs="Times New Roman"/>
          <w:sz w:val="20"/>
          <w:szCs w:val="20"/>
        </w:rPr>
        <w:t>Source: calculations based on National Treasury (2016)</w:t>
      </w:r>
    </w:p>
    <w:p w:rsidR="00235CFE" w:rsidRPr="00675023" w:rsidRDefault="00235CFE" w:rsidP="00592363">
      <w:pPr>
        <w:spacing w:after="0" w:line="360" w:lineRule="auto"/>
        <w:jc w:val="both"/>
        <w:rPr>
          <w:rFonts w:ascii="Times New Roman" w:eastAsia="Calibri" w:hAnsi="Times New Roman" w:cs="Times New Roman"/>
          <w:sz w:val="24"/>
          <w:szCs w:val="24"/>
        </w:rPr>
      </w:pPr>
    </w:p>
    <w:p w:rsidR="005257FD" w:rsidRPr="00675023" w:rsidRDefault="00A05EDB" w:rsidP="00501558">
      <w:pPr>
        <w:pStyle w:val="Heading3"/>
        <w:keepLines w:val="0"/>
        <w:numPr>
          <w:ilvl w:val="2"/>
          <w:numId w:val="41"/>
        </w:numPr>
        <w:spacing w:before="0" w:line="360" w:lineRule="auto"/>
        <w:rPr>
          <w:rFonts w:ascii="Times New Roman" w:eastAsia="Calibri" w:hAnsi="Times New Roman" w:cs="Times New Roman"/>
          <w:b/>
          <w:color w:val="auto"/>
        </w:rPr>
      </w:pPr>
      <w:bookmarkStart w:id="4" w:name="_Toc445039766"/>
      <w:r w:rsidRPr="00675023">
        <w:rPr>
          <w:rFonts w:ascii="Times New Roman" w:eastAsia="Calibri" w:hAnsi="Times New Roman" w:cs="Times New Roman"/>
          <w:b/>
          <w:color w:val="auto"/>
        </w:rPr>
        <w:t>Programme 1: Administration</w:t>
      </w:r>
      <w:bookmarkEnd w:id="4"/>
    </w:p>
    <w:p w:rsidR="005257FD" w:rsidRPr="00675023" w:rsidRDefault="005257FD" w:rsidP="00592363">
      <w:pPr>
        <w:spacing w:after="0" w:line="360" w:lineRule="auto"/>
        <w:rPr>
          <w:rFonts w:ascii="Times New Roman" w:hAnsi="Times New Roman" w:cs="Times New Roman"/>
          <w:sz w:val="24"/>
          <w:szCs w:val="24"/>
        </w:rPr>
      </w:pPr>
    </w:p>
    <w:p w:rsidR="00A05EDB" w:rsidRPr="00675023" w:rsidRDefault="00A05EDB" w:rsidP="00592363">
      <w:p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rPr>
        <w:t xml:space="preserve">The </w:t>
      </w:r>
      <w:r w:rsidR="00D8394F" w:rsidRPr="00675023">
        <w:rPr>
          <w:rFonts w:ascii="Times New Roman" w:hAnsi="Times New Roman" w:cs="Times New Roman"/>
          <w:sz w:val="24"/>
          <w:szCs w:val="24"/>
        </w:rPr>
        <w:t xml:space="preserve">Administration </w:t>
      </w:r>
      <w:r w:rsidRPr="00675023">
        <w:rPr>
          <w:rFonts w:ascii="Times New Roman" w:hAnsi="Times New Roman" w:cs="Times New Roman"/>
          <w:sz w:val="24"/>
          <w:szCs w:val="24"/>
        </w:rPr>
        <w:t xml:space="preserve">programme is responsible for providing strategic support and management to the </w:t>
      </w:r>
      <w:r w:rsidR="00D8394F" w:rsidRPr="00675023">
        <w:rPr>
          <w:rFonts w:ascii="Times New Roman" w:hAnsi="Times New Roman" w:cs="Times New Roman"/>
          <w:sz w:val="24"/>
          <w:szCs w:val="24"/>
        </w:rPr>
        <w:t xml:space="preserve">DTI </w:t>
      </w:r>
      <w:r w:rsidRPr="00675023">
        <w:rPr>
          <w:rFonts w:ascii="Times New Roman" w:hAnsi="Times New Roman" w:cs="Times New Roman"/>
          <w:sz w:val="24"/>
          <w:szCs w:val="24"/>
        </w:rPr>
        <w:t xml:space="preserve">and its entities. The programme also ensures successful implementation of the </w:t>
      </w:r>
      <w:r w:rsidR="00D8394F" w:rsidRPr="00675023">
        <w:rPr>
          <w:rFonts w:ascii="Times New Roman" w:hAnsi="Times New Roman" w:cs="Times New Roman"/>
          <w:sz w:val="24"/>
          <w:szCs w:val="24"/>
        </w:rPr>
        <w:t xml:space="preserve">DTI’s </w:t>
      </w:r>
      <w:r w:rsidRPr="00675023">
        <w:rPr>
          <w:rFonts w:ascii="Times New Roman" w:hAnsi="Times New Roman" w:cs="Times New Roman"/>
          <w:sz w:val="24"/>
          <w:szCs w:val="24"/>
        </w:rPr>
        <w:t xml:space="preserve">mandate. </w:t>
      </w:r>
      <w:r w:rsidR="00D8394F" w:rsidRPr="00675023">
        <w:rPr>
          <w:rFonts w:ascii="Times New Roman" w:hAnsi="Times New Roman" w:cs="Times New Roman"/>
          <w:sz w:val="24"/>
          <w:szCs w:val="24"/>
        </w:rPr>
        <w:t xml:space="preserve">This programme is the fourth smallest programme by budget allocation, accounting for 3 percent of the DTI’s total budget for the 2016/17 financial year or R736.6 </w:t>
      </w:r>
      <w:r w:rsidR="00D8394F" w:rsidRPr="00675023">
        <w:rPr>
          <w:rFonts w:ascii="Times New Roman" w:hAnsi="Times New Roman" w:cs="Times New Roman"/>
          <w:sz w:val="24"/>
          <w:szCs w:val="24"/>
          <w:lang w:eastAsia="en-ZA"/>
        </w:rPr>
        <w:t>million</w:t>
      </w:r>
      <w:r w:rsidR="00D8394F" w:rsidRPr="00675023">
        <w:rPr>
          <w:rFonts w:ascii="Times New Roman" w:hAnsi="Times New Roman" w:cs="Times New Roman"/>
          <w:sz w:val="24"/>
          <w:szCs w:val="24"/>
        </w:rPr>
        <w:t xml:space="preserve">. </w:t>
      </w:r>
      <w:r w:rsidRPr="00675023">
        <w:rPr>
          <w:rFonts w:ascii="Times New Roman" w:hAnsi="Times New Roman" w:cs="Times New Roman"/>
          <w:sz w:val="24"/>
          <w:szCs w:val="24"/>
          <w:lang w:eastAsia="en-ZA"/>
        </w:rPr>
        <w:t>The budget decreased by R31.7</w:t>
      </w:r>
      <w:r w:rsidR="00D8394F" w:rsidRPr="00675023">
        <w:rPr>
          <w:rFonts w:ascii="Times New Roman" w:hAnsi="Times New Roman" w:cs="Times New Roman"/>
          <w:sz w:val="24"/>
          <w:szCs w:val="24"/>
          <w:lang w:eastAsia="en-ZA"/>
        </w:rPr>
        <w:t xml:space="preserve"> </w:t>
      </w:r>
      <w:r w:rsidRPr="00675023">
        <w:rPr>
          <w:rFonts w:ascii="Times New Roman" w:hAnsi="Times New Roman" w:cs="Times New Roman"/>
          <w:sz w:val="24"/>
          <w:szCs w:val="24"/>
          <w:lang w:eastAsia="en-ZA"/>
        </w:rPr>
        <w:t>million (10 percent in real terms) from R768.3 millio</w:t>
      </w:r>
      <w:r w:rsidR="006F2694" w:rsidRPr="00675023">
        <w:rPr>
          <w:rFonts w:ascii="Times New Roman" w:hAnsi="Times New Roman" w:cs="Times New Roman"/>
          <w:sz w:val="24"/>
          <w:szCs w:val="24"/>
          <w:lang w:eastAsia="en-ZA"/>
        </w:rPr>
        <w:t xml:space="preserve">n </w:t>
      </w:r>
      <w:r w:rsidR="00D8394F" w:rsidRPr="00675023">
        <w:rPr>
          <w:rFonts w:ascii="Times New Roman" w:hAnsi="Times New Roman" w:cs="Times New Roman"/>
          <w:sz w:val="24"/>
          <w:szCs w:val="24"/>
          <w:lang w:eastAsia="en-ZA"/>
        </w:rPr>
        <w:t xml:space="preserve">in </w:t>
      </w:r>
      <w:r w:rsidR="006F2694" w:rsidRPr="00675023">
        <w:rPr>
          <w:rFonts w:ascii="Times New Roman" w:hAnsi="Times New Roman" w:cs="Times New Roman"/>
          <w:sz w:val="24"/>
          <w:szCs w:val="24"/>
          <w:lang w:eastAsia="en-ZA"/>
        </w:rPr>
        <w:t xml:space="preserve">the previous financial year. </w:t>
      </w:r>
    </w:p>
    <w:p w:rsidR="00235CFE" w:rsidRPr="00675023" w:rsidRDefault="00235CFE" w:rsidP="00592363">
      <w:pPr>
        <w:spacing w:after="0" w:line="360" w:lineRule="auto"/>
        <w:jc w:val="both"/>
        <w:rPr>
          <w:rFonts w:ascii="Times New Roman" w:eastAsia="Calibri" w:hAnsi="Times New Roman" w:cs="Times New Roman"/>
          <w:sz w:val="24"/>
          <w:szCs w:val="24"/>
        </w:rPr>
      </w:pPr>
    </w:p>
    <w:p w:rsidR="00A05EDB" w:rsidRPr="00675023" w:rsidRDefault="00A05EDB" w:rsidP="00501558">
      <w:pPr>
        <w:pStyle w:val="Heading3"/>
        <w:keepLines w:val="0"/>
        <w:numPr>
          <w:ilvl w:val="2"/>
          <w:numId w:val="41"/>
        </w:numPr>
        <w:spacing w:before="0" w:line="360" w:lineRule="auto"/>
        <w:rPr>
          <w:rFonts w:ascii="Times New Roman" w:eastAsia="Calibri" w:hAnsi="Times New Roman" w:cs="Times New Roman"/>
          <w:b/>
          <w:color w:val="auto"/>
        </w:rPr>
      </w:pPr>
      <w:bookmarkStart w:id="5" w:name="_Toc445039767"/>
      <w:r w:rsidRPr="00675023">
        <w:rPr>
          <w:rFonts w:ascii="Times New Roman" w:eastAsia="Calibri" w:hAnsi="Times New Roman" w:cs="Times New Roman"/>
          <w:b/>
          <w:color w:val="auto"/>
        </w:rPr>
        <w:t>Programme 2: International Trade and Economic Development (ITED)</w:t>
      </w:r>
      <w:bookmarkEnd w:id="5"/>
    </w:p>
    <w:p w:rsidR="006F2694" w:rsidRPr="00675023" w:rsidRDefault="006F2694" w:rsidP="00592363">
      <w:pPr>
        <w:autoSpaceDE w:val="0"/>
        <w:autoSpaceDN w:val="0"/>
        <w:adjustRightInd w:val="0"/>
        <w:spacing w:after="0" w:line="360" w:lineRule="auto"/>
        <w:jc w:val="both"/>
        <w:rPr>
          <w:rFonts w:ascii="Times New Roman" w:eastAsia="Calibri" w:hAnsi="Times New Roman" w:cs="Times New Roman"/>
          <w:b/>
          <w:sz w:val="24"/>
          <w:szCs w:val="24"/>
        </w:rPr>
      </w:pPr>
    </w:p>
    <w:p w:rsidR="00A05EDB"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ITED programme focuses on building bilateral and multilateral trade relations, relations that facilitate the building of an equitable multilateral trading system; strengthen trade and investment relationships; and promote African development. The programme has two (2) sub-programmes, the International Trade Development and the African Multilateral Economic Development sub-programmes. </w:t>
      </w:r>
    </w:p>
    <w:p w:rsidR="00235CFE" w:rsidRPr="00675023" w:rsidRDefault="00235CFE" w:rsidP="00592363">
      <w:pPr>
        <w:autoSpaceDE w:val="0"/>
        <w:autoSpaceDN w:val="0"/>
        <w:adjustRightInd w:val="0"/>
        <w:spacing w:after="0" w:line="360" w:lineRule="auto"/>
        <w:jc w:val="both"/>
        <w:rPr>
          <w:rFonts w:ascii="Times New Roman" w:eastAsia="Calibri" w:hAnsi="Times New Roman" w:cs="Times New Roman"/>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lang w:val="en-US"/>
        </w:rPr>
        <w:t xml:space="preserve">The </w:t>
      </w:r>
      <w:r w:rsidRPr="00675023">
        <w:rPr>
          <w:rFonts w:ascii="Times New Roman" w:eastAsia="Calibri" w:hAnsi="Times New Roman" w:cs="Times New Roman"/>
          <w:sz w:val="24"/>
          <w:szCs w:val="24"/>
        </w:rPr>
        <w:t xml:space="preserve">ITED programme is the third smallest programme based on the </w:t>
      </w:r>
      <w:r w:rsidR="007E7FF6" w:rsidRPr="00675023">
        <w:rPr>
          <w:rFonts w:ascii="Times New Roman" w:eastAsia="Calibri" w:hAnsi="Times New Roman" w:cs="Times New Roman"/>
          <w:sz w:val="24"/>
          <w:szCs w:val="24"/>
        </w:rPr>
        <w:t xml:space="preserve">DTI’s </w:t>
      </w:r>
      <w:r w:rsidRPr="00675023">
        <w:rPr>
          <w:rFonts w:ascii="Times New Roman" w:eastAsia="Calibri" w:hAnsi="Times New Roman" w:cs="Times New Roman"/>
          <w:sz w:val="24"/>
          <w:szCs w:val="24"/>
        </w:rPr>
        <w:t>budget allocations. With a budget of R126.3 million</w:t>
      </w:r>
      <w:r w:rsidR="007E7FF6" w:rsidRPr="00675023">
        <w:rPr>
          <w:rFonts w:ascii="Times New Roman" w:eastAsia="Calibri" w:hAnsi="Times New Roman" w:cs="Times New Roman"/>
          <w:sz w:val="24"/>
          <w:szCs w:val="24"/>
        </w:rPr>
        <w:t xml:space="preserve"> in the 2016/17 financial year</w:t>
      </w:r>
      <w:r w:rsidRPr="00675023">
        <w:rPr>
          <w:rFonts w:ascii="Times New Roman" w:eastAsia="Calibri" w:hAnsi="Times New Roman" w:cs="Times New Roman"/>
          <w:sz w:val="24"/>
          <w:szCs w:val="24"/>
        </w:rPr>
        <w:t xml:space="preserve">, the programme accounts for 1 percent of the </w:t>
      </w:r>
      <w:r w:rsidR="007E7FF6" w:rsidRPr="00675023">
        <w:rPr>
          <w:rFonts w:ascii="Times New Roman" w:eastAsia="Calibri" w:hAnsi="Times New Roman" w:cs="Times New Roman"/>
          <w:sz w:val="24"/>
          <w:szCs w:val="24"/>
        </w:rPr>
        <w:t xml:space="preserve">DTI’s </w:t>
      </w:r>
      <w:r w:rsidRPr="00675023">
        <w:rPr>
          <w:rFonts w:ascii="Times New Roman" w:eastAsia="Calibri" w:hAnsi="Times New Roman" w:cs="Times New Roman"/>
          <w:sz w:val="24"/>
          <w:szCs w:val="24"/>
        </w:rPr>
        <w:t>total budget. The programme’s budget will increase from R116.5 million in the 2015/16 financial year to R126.3 million for the 2016/17 financial year. In real terms</w:t>
      </w:r>
      <w:r w:rsidR="007E7FF6"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 the budget has increased by 1.7 percent. </w:t>
      </w:r>
    </w:p>
    <w:p w:rsidR="00A05EDB" w:rsidRPr="00675023" w:rsidRDefault="00A05EDB" w:rsidP="00592363">
      <w:pPr>
        <w:spacing w:after="0" w:line="360" w:lineRule="auto"/>
        <w:jc w:val="both"/>
        <w:rPr>
          <w:rFonts w:ascii="Times New Roman" w:eastAsia="Calibri" w:hAnsi="Times New Roman" w:cs="Times New Roman"/>
          <w:sz w:val="24"/>
          <w:szCs w:val="24"/>
        </w:rPr>
      </w:pPr>
    </w:p>
    <w:p w:rsidR="00A05EDB" w:rsidRPr="00675023" w:rsidRDefault="00A05EDB" w:rsidP="00501558">
      <w:pPr>
        <w:pStyle w:val="Heading3"/>
        <w:keepLines w:val="0"/>
        <w:numPr>
          <w:ilvl w:val="2"/>
          <w:numId w:val="41"/>
        </w:numPr>
        <w:spacing w:before="0" w:line="360" w:lineRule="auto"/>
        <w:rPr>
          <w:rFonts w:ascii="Times New Roman" w:eastAsia="Calibri" w:hAnsi="Times New Roman" w:cs="Times New Roman"/>
          <w:b/>
        </w:rPr>
      </w:pPr>
      <w:bookmarkStart w:id="6" w:name="_Toc445039768"/>
      <w:r w:rsidRPr="00675023">
        <w:rPr>
          <w:rFonts w:ascii="Times New Roman" w:eastAsia="Calibri" w:hAnsi="Times New Roman" w:cs="Times New Roman"/>
          <w:b/>
          <w:color w:val="auto"/>
        </w:rPr>
        <w:t>Programme 3: Special Economic Zones and Economic Transformation</w:t>
      </w:r>
      <w:bookmarkEnd w:id="6"/>
    </w:p>
    <w:p w:rsidR="00A05EDB" w:rsidRPr="00675023" w:rsidRDefault="00A05EDB" w:rsidP="00592363">
      <w:pPr>
        <w:spacing w:after="0" w:line="360" w:lineRule="auto"/>
        <w:rPr>
          <w:rFonts w:ascii="Times New Roman" w:eastAsia="Calibri" w:hAnsi="Times New Roman" w:cs="Times New Roman"/>
          <w:b/>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purpose of the programme is </w:t>
      </w:r>
      <w:r w:rsidR="007E7FF6" w:rsidRPr="00675023">
        <w:rPr>
          <w:rFonts w:ascii="Times New Roman" w:eastAsia="Calibri" w:hAnsi="Times New Roman" w:cs="Times New Roman"/>
          <w:sz w:val="24"/>
          <w:szCs w:val="24"/>
        </w:rPr>
        <w:t xml:space="preserve">to </w:t>
      </w:r>
      <w:r w:rsidRPr="00675023">
        <w:rPr>
          <w:rFonts w:ascii="Times New Roman" w:eastAsia="Calibri" w:hAnsi="Times New Roman" w:cs="Times New Roman"/>
          <w:sz w:val="24"/>
          <w:szCs w:val="24"/>
        </w:rPr>
        <w:t xml:space="preserve">promote inclusive economic </w:t>
      </w:r>
      <w:r w:rsidR="007E7FF6" w:rsidRPr="00675023">
        <w:rPr>
          <w:rFonts w:ascii="Times New Roman" w:eastAsia="Calibri" w:hAnsi="Times New Roman" w:cs="Times New Roman"/>
          <w:sz w:val="24"/>
          <w:szCs w:val="24"/>
        </w:rPr>
        <w:t xml:space="preserve">development </w:t>
      </w:r>
      <w:r w:rsidRPr="00675023">
        <w:rPr>
          <w:rFonts w:ascii="Times New Roman" w:eastAsia="Calibri" w:hAnsi="Times New Roman" w:cs="Times New Roman"/>
          <w:sz w:val="24"/>
          <w:szCs w:val="24"/>
        </w:rPr>
        <w:t xml:space="preserve">and to industrialise the economy through developing and funding Special Economic Zones. The focus of this programme is mainly the implementation of two pieces of legislation, the Special Economic Zones Act </w:t>
      </w:r>
      <w:r w:rsidR="007E7FF6" w:rsidRPr="00675023">
        <w:rPr>
          <w:rFonts w:ascii="Times New Roman" w:eastAsia="Calibri" w:hAnsi="Times New Roman" w:cs="Times New Roman"/>
          <w:sz w:val="24"/>
          <w:szCs w:val="24"/>
        </w:rPr>
        <w:t xml:space="preserve">(No. </w:t>
      </w:r>
      <w:r w:rsidRPr="00675023">
        <w:rPr>
          <w:rFonts w:ascii="Times New Roman" w:eastAsia="Calibri" w:hAnsi="Times New Roman" w:cs="Times New Roman"/>
          <w:sz w:val="24"/>
          <w:szCs w:val="24"/>
        </w:rPr>
        <w:t>16 of 2014</w:t>
      </w:r>
      <w:r w:rsidR="007E7FF6"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 and the Broad</w:t>
      </w:r>
      <w:r w:rsidR="007E7FF6"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Based Black Economic Empowerment Act </w:t>
      </w:r>
      <w:r w:rsidR="007E7FF6" w:rsidRPr="00675023">
        <w:rPr>
          <w:rFonts w:ascii="Times New Roman" w:eastAsia="Calibri" w:hAnsi="Times New Roman" w:cs="Times New Roman"/>
          <w:sz w:val="24"/>
          <w:szCs w:val="24"/>
        </w:rPr>
        <w:t xml:space="preserve">(No. </w:t>
      </w:r>
      <w:r w:rsidRPr="00675023">
        <w:rPr>
          <w:rFonts w:ascii="Times New Roman" w:eastAsia="Calibri" w:hAnsi="Times New Roman" w:cs="Times New Roman"/>
          <w:sz w:val="24"/>
          <w:szCs w:val="24"/>
        </w:rPr>
        <w:t>46 of 2013</w:t>
      </w:r>
      <w:r w:rsidR="007E7FF6"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w:t>
      </w:r>
    </w:p>
    <w:p w:rsidR="00235CFE" w:rsidRPr="00675023" w:rsidRDefault="00235CFE" w:rsidP="00592363">
      <w:pPr>
        <w:spacing w:after="0" w:line="360" w:lineRule="auto"/>
        <w:jc w:val="both"/>
        <w:rPr>
          <w:rFonts w:ascii="Times New Roman" w:eastAsia="Calibri" w:hAnsi="Times New Roman" w:cs="Times New Roman"/>
          <w:sz w:val="24"/>
          <w:szCs w:val="24"/>
        </w:rPr>
      </w:pPr>
    </w:p>
    <w:p w:rsidR="00A05EDB" w:rsidRPr="00675023" w:rsidRDefault="007E7FF6"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w:t>
      </w:r>
      <w:r w:rsidR="00A05EDB" w:rsidRPr="00675023">
        <w:rPr>
          <w:rFonts w:ascii="Times New Roman" w:eastAsia="Calibri" w:hAnsi="Times New Roman" w:cs="Times New Roman"/>
          <w:sz w:val="24"/>
          <w:szCs w:val="24"/>
        </w:rPr>
        <w:t>programme’s budget for the 2016/17 financial year will increase by 13.2 percent to R108.2 million. The programme budget for the 2016/17 financial year of R108.2 million accounts for a 1 perc</w:t>
      </w:r>
      <w:r w:rsidR="006F2694" w:rsidRPr="00675023">
        <w:rPr>
          <w:rFonts w:ascii="Times New Roman" w:eastAsia="Calibri" w:hAnsi="Times New Roman" w:cs="Times New Roman"/>
          <w:sz w:val="24"/>
          <w:szCs w:val="24"/>
        </w:rPr>
        <w:t xml:space="preserve">ent share of the total budget. </w:t>
      </w:r>
    </w:p>
    <w:p w:rsidR="00235CFE" w:rsidRPr="00675023" w:rsidRDefault="00235CFE" w:rsidP="00592363">
      <w:pPr>
        <w:spacing w:after="0" w:line="360" w:lineRule="auto"/>
        <w:jc w:val="both"/>
        <w:rPr>
          <w:rFonts w:ascii="Times New Roman" w:eastAsia="Calibri" w:hAnsi="Times New Roman" w:cs="Times New Roman"/>
          <w:sz w:val="24"/>
          <w:szCs w:val="24"/>
        </w:rPr>
      </w:pPr>
    </w:p>
    <w:p w:rsidR="00A05EDB" w:rsidRPr="00675023" w:rsidRDefault="007E7FF6" w:rsidP="00592363">
      <w:pPr>
        <w:spacing w:after="0" w:line="360" w:lineRule="auto"/>
        <w:contextualSpacing/>
        <w:jc w:val="both"/>
        <w:rPr>
          <w:rFonts w:ascii="Times New Roman" w:hAnsi="Times New Roman" w:cs="Times New Roman"/>
          <w:sz w:val="24"/>
          <w:szCs w:val="24"/>
        </w:rPr>
      </w:pPr>
      <w:r w:rsidRPr="00675023">
        <w:rPr>
          <w:rFonts w:ascii="Times New Roman" w:hAnsi="Times New Roman" w:cs="Times New Roman"/>
          <w:sz w:val="24"/>
          <w:szCs w:val="24"/>
          <w:lang w:eastAsia="en-ZA"/>
        </w:rPr>
        <w:t xml:space="preserve">The programme consists of 3 sub-programmes, namely: </w:t>
      </w:r>
      <w:r w:rsidR="00FF6827" w:rsidRPr="00675023">
        <w:rPr>
          <w:rFonts w:ascii="Times New Roman" w:hAnsi="Times New Roman" w:cs="Times New Roman"/>
          <w:sz w:val="24"/>
          <w:szCs w:val="24"/>
          <w:lang w:eastAsia="en-ZA"/>
        </w:rPr>
        <w:t xml:space="preserve">Enterprise Competitiveness, Equity and Empowerment, and Spatial Industrial Economic Development. The Enterprise Competitiveness sub-programme develops and deploys technologies and skills development programmes to stimulate industrialisation and structural change. The </w:t>
      </w:r>
      <w:r w:rsidR="00A05EDB" w:rsidRPr="00675023">
        <w:rPr>
          <w:rFonts w:ascii="Times New Roman" w:hAnsi="Times New Roman" w:cs="Times New Roman"/>
          <w:sz w:val="24"/>
          <w:szCs w:val="24"/>
          <w:lang w:eastAsia="en-ZA"/>
        </w:rPr>
        <w:t xml:space="preserve">Equity and Empowerment </w:t>
      </w:r>
      <w:r w:rsidR="00FF6827" w:rsidRPr="00675023">
        <w:rPr>
          <w:rFonts w:ascii="Times New Roman" w:hAnsi="Times New Roman" w:cs="Times New Roman"/>
          <w:sz w:val="24"/>
          <w:szCs w:val="24"/>
          <w:lang w:eastAsia="en-ZA"/>
        </w:rPr>
        <w:t xml:space="preserve">sub-programme </w:t>
      </w:r>
      <w:r w:rsidR="00A05EDB" w:rsidRPr="00675023">
        <w:rPr>
          <w:rFonts w:ascii="Times New Roman" w:hAnsi="Times New Roman" w:cs="Times New Roman"/>
          <w:sz w:val="24"/>
          <w:szCs w:val="24"/>
          <w:lang w:eastAsia="en-ZA"/>
        </w:rPr>
        <w:t>promotes broad</w:t>
      </w:r>
      <w:r w:rsidR="00FF6827" w:rsidRPr="00675023">
        <w:rPr>
          <w:rFonts w:ascii="Times New Roman" w:hAnsi="Times New Roman" w:cs="Times New Roman"/>
          <w:sz w:val="24"/>
          <w:szCs w:val="24"/>
          <w:lang w:eastAsia="en-ZA"/>
        </w:rPr>
        <w:t>-</w:t>
      </w:r>
      <w:r w:rsidR="00A05EDB" w:rsidRPr="00675023">
        <w:rPr>
          <w:rFonts w:ascii="Times New Roman" w:hAnsi="Times New Roman" w:cs="Times New Roman"/>
          <w:sz w:val="24"/>
          <w:szCs w:val="24"/>
          <w:lang w:eastAsia="en-ZA"/>
        </w:rPr>
        <w:t xml:space="preserve">based black economic empowerment and the real growth of the economy through the Black Industrialists programme. </w:t>
      </w:r>
      <w:r w:rsidR="00FF6827" w:rsidRPr="00675023">
        <w:rPr>
          <w:rFonts w:ascii="Times New Roman" w:hAnsi="Times New Roman" w:cs="Times New Roman"/>
          <w:sz w:val="24"/>
          <w:szCs w:val="24"/>
          <w:lang w:eastAsia="en-ZA"/>
        </w:rPr>
        <w:t xml:space="preserve">While the </w:t>
      </w:r>
      <w:r w:rsidR="00A05EDB" w:rsidRPr="00675023">
        <w:rPr>
          <w:rFonts w:ascii="Times New Roman" w:hAnsi="Times New Roman" w:cs="Times New Roman"/>
          <w:sz w:val="24"/>
          <w:szCs w:val="24"/>
          <w:lang w:eastAsia="en-ZA"/>
        </w:rPr>
        <w:t xml:space="preserve">Spatial Industrial </w:t>
      </w:r>
      <w:r w:rsidR="00FF6827" w:rsidRPr="00675023">
        <w:rPr>
          <w:rFonts w:ascii="Times New Roman" w:hAnsi="Times New Roman" w:cs="Times New Roman"/>
          <w:sz w:val="24"/>
          <w:szCs w:val="24"/>
          <w:lang w:eastAsia="en-ZA"/>
        </w:rPr>
        <w:t xml:space="preserve">Economic </w:t>
      </w:r>
      <w:r w:rsidR="00A05EDB" w:rsidRPr="00675023">
        <w:rPr>
          <w:rFonts w:ascii="Times New Roman" w:hAnsi="Times New Roman" w:cs="Times New Roman"/>
          <w:sz w:val="24"/>
          <w:szCs w:val="24"/>
          <w:lang w:eastAsia="en-ZA"/>
        </w:rPr>
        <w:t xml:space="preserve">Development </w:t>
      </w:r>
      <w:r w:rsidR="00FF6827" w:rsidRPr="00675023">
        <w:rPr>
          <w:rFonts w:ascii="Times New Roman" w:hAnsi="Times New Roman" w:cs="Times New Roman"/>
          <w:sz w:val="24"/>
          <w:szCs w:val="24"/>
          <w:lang w:eastAsia="en-ZA"/>
        </w:rPr>
        <w:t xml:space="preserve">sub-programme </w:t>
      </w:r>
      <w:r w:rsidR="00A05EDB" w:rsidRPr="00675023">
        <w:rPr>
          <w:rFonts w:ascii="Times New Roman" w:hAnsi="Times New Roman" w:cs="Times New Roman"/>
          <w:sz w:val="24"/>
          <w:szCs w:val="24"/>
          <w:lang w:eastAsia="en-ZA"/>
        </w:rPr>
        <w:t xml:space="preserve">responds to the need to </w:t>
      </w:r>
      <w:r w:rsidR="00FF6827" w:rsidRPr="00675023">
        <w:rPr>
          <w:rFonts w:ascii="Times New Roman" w:hAnsi="Times New Roman" w:cs="Times New Roman"/>
          <w:sz w:val="24"/>
          <w:szCs w:val="24"/>
          <w:lang w:eastAsia="en-ZA"/>
        </w:rPr>
        <w:t>decentralise economic development through special economic zones and other mechanisms</w:t>
      </w:r>
      <w:r w:rsidR="00A05EDB" w:rsidRPr="00675023">
        <w:rPr>
          <w:rFonts w:ascii="Times New Roman" w:hAnsi="Times New Roman" w:cs="Times New Roman"/>
          <w:sz w:val="24"/>
          <w:szCs w:val="24"/>
          <w:lang w:eastAsia="en-ZA"/>
        </w:rPr>
        <w:t>.</w:t>
      </w:r>
      <w:r w:rsidR="00A05EDB" w:rsidRPr="00675023">
        <w:rPr>
          <w:rStyle w:val="FootnoteReference"/>
          <w:rFonts w:ascii="Times New Roman" w:hAnsi="Times New Roman" w:cs="Times New Roman"/>
          <w:sz w:val="24"/>
          <w:szCs w:val="24"/>
          <w:lang w:eastAsia="en-ZA"/>
        </w:rPr>
        <w:footnoteReference w:id="11"/>
      </w:r>
      <w:r w:rsidR="00A05EDB" w:rsidRPr="00675023">
        <w:rPr>
          <w:rFonts w:ascii="Times New Roman" w:hAnsi="Times New Roman" w:cs="Times New Roman"/>
          <w:sz w:val="24"/>
          <w:szCs w:val="24"/>
          <w:lang w:eastAsia="en-ZA"/>
        </w:rPr>
        <w:t xml:space="preserve"> </w:t>
      </w:r>
    </w:p>
    <w:p w:rsidR="00A51ABD" w:rsidRPr="00675023" w:rsidRDefault="00A51ABD" w:rsidP="00592363">
      <w:pPr>
        <w:spacing w:after="0" w:line="360" w:lineRule="auto"/>
        <w:contextualSpacing/>
        <w:jc w:val="both"/>
        <w:rPr>
          <w:rFonts w:ascii="Times New Roman" w:hAnsi="Times New Roman" w:cs="Times New Roman"/>
          <w:sz w:val="24"/>
          <w:szCs w:val="24"/>
          <w:lang w:eastAsia="en-ZA"/>
        </w:rPr>
      </w:pPr>
    </w:p>
    <w:p w:rsidR="00A05EDB" w:rsidRPr="00675023" w:rsidRDefault="00A05EDB" w:rsidP="00501558">
      <w:pPr>
        <w:pStyle w:val="Heading3"/>
        <w:keepLines w:val="0"/>
        <w:numPr>
          <w:ilvl w:val="2"/>
          <w:numId w:val="41"/>
        </w:numPr>
        <w:spacing w:before="0" w:line="360" w:lineRule="auto"/>
        <w:rPr>
          <w:rFonts w:ascii="Times New Roman" w:eastAsia="Calibri" w:hAnsi="Times New Roman" w:cs="Times New Roman"/>
          <w:b/>
          <w:color w:val="auto"/>
        </w:rPr>
      </w:pPr>
      <w:bookmarkStart w:id="7" w:name="_Toc445039769"/>
      <w:r w:rsidRPr="00675023">
        <w:rPr>
          <w:rFonts w:ascii="Times New Roman" w:eastAsia="Calibri" w:hAnsi="Times New Roman" w:cs="Times New Roman"/>
          <w:b/>
          <w:color w:val="auto"/>
        </w:rPr>
        <w:t>Programme 4: Industrial Development</w:t>
      </w:r>
      <w:bookmarkEnd w:id="7"/>
    </w:p>
    <w:p w:rsidR="005257FD" w:rsidRPr="00675023" w:rsidRDefault="005257FD" w:rsidP="00592363">
      <w:pPr>
        <w:spacing w:after="0" w:line="360" w:lineRule="auto"/>
        <w:rPr>
          <w:rFonts w:ascii="Times New Roman" w:hAnsi="Times New Roman" w:cs="Times New Roman"/>
          <w:sz w:val="24"/>
          <w:szCs w:val="24"/>
        </w:rPr>
      </w:pPr>
    </w:p>
    <w:p w:rsidR="00A05EDB" w:rsidRPr="00675023" w:rsidRDefault="00A05EDB"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The Industrial Development Programme is responsible for the design and implementation of policies, strategies and programmes to develop the manufacturing and related sectors of the economy with the aim of contributing to the creation of decent jobs, adding </w:t>
      </w:r>
      <w:r w:rsidR="00585245">
        <w:rPr>
          <w:rFonts w:ascii="Times New Roman" w:hAnsi="Times New Roman" w:cs="Times New Roman"/>
          <w:sz w:val="24"/>
          <w:szCs w:val="24"/>
        </w:rPr>
        <w:t xml:space="preserve">higher </w:t>
      </w:r>
      <w:r w:rsidRPr="00675023">
        <w:rPr>
          <w:rFonts w:ascii="Times New Roman" w:hAnsi="Times New Roman" w:cs="Times New Roman"/>
          <w:sz w:val="24"/>
          <w:szCs w:val="24"/>
        </w:rPr>
        <w:t xml:space="preserve">value to manufactured products and enhancing competitiveness in the domestic and export markets. Industrial development is also at the core of the </w:t>
      </w:r>
      <w:r w:rsidR="00FF6827" w:rsidRPr="00675023">
        <w:rPr>
          <w:rFonts w:ascii="Times New Roman" w:hAnsi="Times New Roman" w:cs="Times New Roman"/>
          <w:sz w:val="24"/>
          <w:szCs w:val="24"/>
        </w:rPr>
        <w:t xml:space="preserve">DTI’s </w:t>
      </w:r>
      <w:r w:rsidRPr="00675023">
        <w:rPr>
          <w:rFonts w:ascii="Times New Roman" w:hAnsi="Times New Roman" w:cs="Times New Roman"/>
          <w:sz w:val="24"/>
          <w:szCs w:val="24"/>
        </w:rPr>
        <w:t xml:space="preserve">work as outlined in the strategic objectives. </w:t>
      </w:r>
    </w:p>
    <w:p w:rsidR="00E1031A" w:rsidRPr="00675023" w:rsidRDefault="00E1031A" w:rsidP="00592363">
      <w:pPr>
        <w:spacing w:after="0" w:line="360" w:lineRule="auto"/>
        <w:jc w:val="both"/>
        <w:rPr>
          <w:rFonts w:ascii="Times New Roman" w:hAnsi="Times New Roman" w:cs="Times New Roman"/>
          <w:sz w:val="24"/>
          <w:szCs w:val="24"/>
        </w:rPr>
      </w:pPr>
    </w:p>
    <w:p w:rsidR="00A05EDB" w:rsidRPr="00675023" w:rsidRDefault="00A05EDB" w:rsidP="00592363">
      <w:p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rPr>
        <w:t xml:space="preserve">The programme is the second largest by budget allocation, Industrial Development takes up a 17 percent share of the </w:t>
      </w:r>
      <w:r w:rsidR="00FF6827" w:rsidRPr="00675023">
        <w:rPr>
          <w:rFonts w:ascii="Times New Roman" w:hAnsi="Times New Roman" w:cs="Times New Roman"/>
          <w:sz w:val="24"/>
          <w:szCs w:val="24"/>
        </w:rPr>
        <w:t xml:space="preserve">DTI’s </w:t>
      </w:r>
      <w:r w:rsidRPr="00675023">
        <w:rPr>
          <w:rFonts w:ascii="Times New Roman" w:hAnsi="Times New Roman" w:cs="Times New Roman"/>
          <w:sz w:val="24"/>
          <w:szCs w:val="24"/>
        </w:rPr>
        <w:t xml:space="preserve">budget to fund two significant sub-programmes: the </w:t>
      </w:r>
      <w:r w:rsidRPr="00675023">
        <w:rPr>
          <w:rFonts w:ascii="Times New Roman" w:hAnsi="Times New Roman" w:cs="Times New Roman"/>
          <w:sz w:val="24"/>
          <w:szCs w:val="24"/>
          <w:lang w:eastAsia="en-ZA"/>
        </w:rPr>
        <w:t xml:space="preserve">Industrial Competitiveness and the Customised Sector </w:t>
      </w:r>
      <w:r w:rsidR="00FF6827" w:rsidRPr="00675023">
        <w:rPr>
          <w:rFonts w:ascii="Times New Roman" w:hAnsi="Times New Roman" w:cs="Times New Roman"/>
          <w:sz w:val="24"/>
          <w:szCs w:val="24"/>
          <w:lang w:eastAsia="en-ZA"/>
        </w:rPr>
        <w:t>sub-programmes</w:t>
      </w:r>
      <w:r w:rsidRPr="00675023">
        <w:rPr>
          <w:rFonts w:ascii="Times New Roman" w:hAnsi="Times New Roman" w:cs="Times New Roman"/>
          <w:sz w:val="24"/>
          <w:szCs w:val="24"/>
          <w:lang w:eastAsia="en-ZA"/>
        </w:rPr>
        <w:t xml:space="preserve">, which both assist </w:t>
      </w:r>
      <w:r w:rsidR="00FF6827" w:rsidRPr="00675023">
        <w:rPr>
          <w:rFonts w:ascii="Times New Roman" w:hAnsi="Times New Roman" w:cs="Times New Roman"/>
          <w:sz w:val="24"/>
          <w:szCs w:val="24"/>
          <w:lang w:eastAsia="en-ZA"/>
        </w:rPr>
        <w:t xml:space="preserve">the </w:t>
      </w:r>
      <w:r w:rsidRPr="00675023">
        <w:rPr>
          <w:rFonts w:ascii="Times New Roman" w:hAnsi="Times New Roman" w:cs="Times New Roman"/>
          <w:sz w:val="24"/>
          <w:szCs w:val="24"/>
          <w:lang w:eastAsia="en-ZA"/>
        </w:rPr>
        <w:t xml:space="preserve">manufacturing </w:t>
      </w:r>
      <w:r w:rsidR="00FF6827" w:rsidRPr="00675023">
        <w:rPr>
          <w:rFonts w:ascii="Times New Roman" w:hAnsi="Times New Roman" w:cs="Times New Roman"/>
          <w:sz w:val="24"/>
          <w:szCs w:val="24"/>
          <w:lang w:eastAsia="en-ZA"/>
        </w:rPr>
        <w:t>sector</w:t>
      </w:r>
      <w:r w:rsidR="00DF2A92" w:rsidRPr="00675023">
        <w:rPr>
          <w:rFonts w:ascii="Times New Roman" w:hAnsi="Times New Roman" w:cs="Times New Roman"/>
          <w:sz w:val="24"/>
          <w:szCs w:val="24"/>
          <w:lang w:eastAsia="en-ZA"/>
        </w:rPr>
        <w:t xml:space="preserve"> </w:t>
      </w:r>
      <w:r w:rsidRPr="00675023">
        <w:rPr>
          <w:rFonts w:ascii="Times New Roman" w:hAnsi="Times New Roman" w:cs="Times New Roman"/>
          <w:sz w:val="24"/>
          <w:szCs w:val="24"/>
          <w:lang w:eastAsia="en-ZA"/>
        </w:rPr>
        <w:t xml:space="preserve">in particular. This programme </w:t>
      </w:r>
      <w:r w:rsidR="00FF6827" w:rsidRPr="00675023">
        <w:rPr>
          <w:rFonts w:ascii="Times New Roman" w:hAnsi="Times New Roman" w:cs="Times New Roman"/>
          <w:sz w:val="24"/>
          <w:szCs w:val="24"/>
          <w:lang w:eastAsia="en-ZA"/>
        </w:rPr>
        <w:t xml:space="preserve">is responsible for </w:t>
      </w:r>
      <w:r w:rsidRPr="00675023">
        <w:rPr>
          <w:rFonts w:ascii="Times New Roman" w:hAnsi="Times New Roman" w:cs="Times New Roman"/>
          <w:sz w:val="24"/>
          <w:szCs w:val="24"/>
          <w:lang w:eastAsia="en-ZA"/>
        </w:rPr>
        <w:t xml:space="preserve">the </w:t>
      </w:r>
      <w:r w:rsidR="00FF6827" w:rsidRPr="00675023">
        <w:rPr>
          <w:rFonts w:ascii="Times New Roman" w:hAnsi="Times New Roman" w:cs="Times New Roman"/>
          <w:sz w:val="24"/>
          <w:szCs w:val="24"/>
          <w:lang w:eastAsia="en-ZA"/>
        </w:rPr>
        <w:t xml:space="preserve">development and </w:t>
      </w:r>
      <w:r w:rsidRPr="00675023">
        <w:rPr>
          <w:rFonts w:ascii="Times New Roman" w:hAnsi="Times New Roman" w:cs="Times New Roman"/>
          <w:sz w:val="24"/>
          <w:szCs w:val="24"/>
          <w:lang w:eastAsia="en-ZA"/>
        </w:rPr>
        <w:t>implementation of the IPAP</w:t>
      </w:r>
      <w:r w:rsidR="00DF2A92" w:rsidRPr="00675023">
        <w:rPr>
          <w:rFonts w:ascii="Times New Roman" w:hAnsi="Times New Roman" w:cs="Times New Roman"/>
          <w:sz w:val="24"/>
          <w:szCs w:val="24"/>
          <w:lang w:eastAsia="en-ZA"/>
        </w:rPr>
        <w:t>, as well as overseeing the technical infrastructure institutions, namely the National Metrology Institute of South Africa, the National Regulator for Compulsory Specifications, the South African Bureau of Standards, and the South African National Accreditation System</w:t>
      </w:r>
      <w:r w:rsidRPr="00675023">
        <w:rPr>
          <w:rFonts w:ascii="Times New Roman" w:hAnsi="Times New Roman" w:cs="Times New Roman"/>
          <w:sz w:val="24"/>
          <w:szCs w:val="24"/>
          <w:lang w:eastAsia="en-ZA"/>
        </w:rPr>
        <w:t>.</w:t>
      </w:r>
    </w:p>
    <w:p w:rsidR="00E1031A" w:rsidRPr="00675023" w:rsidRDefault="00E1031A" w:rsidP="00592363">
      <w:pPr>
        <w:spacing w:after="0" w:line="360" w:lineRule="auto"/>
        <w:jc w:val="both"/>
        <w:rPr>
          <w:rFonts w:ascii="Times New Roman" w:hAnsi="Times New Roman" w:cs="Times New Roman"/>
          <w:sz w:val="24"/>
          <w:szCs w:val="24"/>
          <w:lang w:eastAsia="en-ZA"/>
        </w:rPr>
      </w:pPr>
    </w:p>
    <w:p w:rsidR="00A05EDB" w:rsidRPr="00675023" w:rsidRDefault="00A05EDB"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programme’s budget will decrease from R1.96 billion in the 2015/16 financial year to R1.74 billion in the 2016/17 financial year, a decrea</w:t>
      </w:r>
      <w:r w:rsidR="006F2694" w:rsidRPr="00675023">
        <w:rPr>
          <w:rFonts w:ascii="Times New Roman" w:hAnsi="Times New Roman" w:cs="Times New Roman"/>
          <w:sz w:val="24"/>
          <w:szCs w:val="24"/>
        </w:rPr>
        <w:t>se of 17 percent in real terms.</w:t>
      </w:r>
    </w:p>
    <w:p w:rsidR="00E1031A" w:rsidRPr="00675023" w:rsidRDefault="00E1031A" w:rsidP="00592363">
      <w:pPr>
        <w:spacing w:after="0" w:line="360" w:lineRule="auto"/>
        <w:jc w:val="both"/>
        <w:rPr>
          <w:rFonts w:ascii="Times New Roman" w:hAnsi="Times New Roman" w:cs="Times New Roman"/>
          <w:sz w:val="24"/>
          <w:szCs w:val="24"/>
        </w:rPr>
      </w:pPr>
    </w:p>
    <w:p w:rsidR="00A05EDB" w:rsidRPr="00675023" w:rsidRDefault="00A05EDB" w:rsidP="00501558">
      <w:pPr>
        <w:pStyle w:val="Heading3"/>
        <w:keepLines w:val="0"/>
        <w:numPr>
          <w:ilvl w:val="2"/>
          <w:numId w:val="41"/>
        </w:numPr>
        <w:spacing w:before="0" w:line="360" w:lineRule="auto"/>
        <w:rPr>
          <w:rFonts w:ascii="Times New Roman" w:eastAsia="Calibri" w:hAnsi="Times New Roman" w:cs="Times New Roman"/>
          <w:b/>
        </w:rPr>
      </w:pPr>
      <w:bookmarkStart w:id="8" w:name="_Toc445039770"/>
      <w:r w:rsidRPr="00675023">
        <w:rPr>
          <w:rFonts w:ascii="Times New Roman" w:eastAsia="Calibri" w:hAnsi="Times New Roman" w:cs="Times New Roman"/>
          <w:b/>
          <w:color w:val="auto"/>
        </w:rPr>
        <w:t xml:space="preserve">Programme 5: Consumer and Corporate Regulation </w:t>
      </w:r>
      <w:bookmarkEnd w:id="8"/>
    </w:p>
    <w:p w:rsidR="00A05EDB" w:rsidRPr="00675023" w:rsidRDefault="00A05EDB" w:rsidP="00592363">
      <w:pPr>
        <w:spacing w:after="0" w:line="360" w:lineRule="auto"/>
        <w:rPr>
          <w:rFonts w:ascii="Times New Roman" w:eastAsia="Calibri" w:hAnsi="Times New Roman" w:cs="Times New Roman"/>
          <w:b/>
          <w:sz w:val="24"/>
          <w:szCs w:val="24"/>
        </w:rPr>
      </w:pPr>
    </w:p>
    <w:p w:rsidR="00A05EDB"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The Consumer and Corporate Regulation Programme is aimed at “developing and implementing coherent, predictable and transparent regulatory solutions that facilitate easy access to redress and efficient regulation for economic citizens”</w:t>
      </w:r>
      <w:r w:rsidRPr="00675023">
        <w:rPr>
          <w:rFonts w:ascii="Times New Roman" w:eastAsia="Calibri" w:hAnsi="Times New Roman" w:cs="Times New Roman"/>
          <w:sz w:val="24"/>
          <w:szCs w:val="24"/>
          <w:vertAlign w:val="superscript"/>
        </w:rPr>
        <w:footnoteReference w:id="12"/>
      </w:r>
      <w:r w:rsidRPr="00675023">
        <w:rPr>
          <w:rFonts w:ascii="Times New Roman" w:eastAsia="Calibri" w:hAnsi="Times New Roman" w:cs="Times New Roman"/>
          <w:sz w:val="24"/>
          <w:szCs w:val="24"/>
        </w:rPr>
        <w:t xml:space="preserve">. The </w:t>
      </w:r>
      <w:r w:rsidR="00DF2A92" w:rsidRPr="00675023">
        <w:rPr>
          <w:rFonts w:ascii="Times New Roman" w:eastAsia="Calibri" w:hAnsi="Times New Roman" w:cs="Times New Roman"/>
          <w:sz w:val="24"/>
          <w:szCs w:val="24"/>
        </w:rPr>
        <w:t xml:space="preserve">Programme is responsible for developing policies and the regulatory framework to assist business activities, increase access to economic opportunities for small and marginalised businesses and individuals, and protect consumers. </w:t>
      </w:r>
    </w:p>
    <w:p w:rsidR="00DF2A92" w:rsidRPr="00675023" w:rsidRDefault="00DF2A92" w:rsidP="00592363">
      <w:pPr>
        <w:autoSpaceDE w:val="0"/>
        <w:autoSpaceDN w:val="0"/>
        <w:adjustRightInd w:val="0"/>
        <w:spacing w:after="0" w:line="360" w:lineRule="auto"/>
        <w:jc w:val="both"/>
        <w:rPr>
          <w:rFonts w:ascii="Times New Roman" w:eastAsia="Calibri" w:hAnsi="Times New Roman" w:cs="Times New Roman"/>
          <w:sz w:val="24"/>
          <w:szCs w:val="24"/>
        </w:rPr>
      </w:pPr>
    </w:p>
    <w:p w:rsidR="00DF2A92" w:rsidRPr="00675023" w:rsidRDefault="00DF2A92"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The programme’s budget for the 2016/17 financial year will be R313.5 million. The budget increased from R296.3 million</w:t>
      </w:r>
      <w:r w:rsidR="00C8414C" w:rsidRPr="00675023">
        <w:rPr>
          <w:rFonts w:ascii="Times New Roman" w:eastAsia="Calibri" w:hAnsi="Times New Roman" w:cs="Times New Roman"/>
          <w:sz w:val="24"/>
          <w:szCs w:val="24"/>
        </w:rPr>
        <w:t>;</w:t>
      </w:r>
      <w:r w:rsidRPr="00675023">
        <w:rPr>
          <w:rFonts w:ascii="Times New Roman" w:eastAsia="Calibri" w:hAnsi="Times New Roman" w:cs="Times New Roman"/>
          <w:sz w:val="24"/>
          <w:szCs w:val="24"/>
        </w:rPr>
        <w:t xml:space="preserve"> however, in real terms the budget decreased by 1 percent.</w:t>
      </w:r>
    </w:p>
    <w:p w:rsidR="00E1031A" w:rsidRPr="00675023" w:rsidRDefault="00E1031A" w:rsidP="00592363">
      <w:pPr>
        <w:autoSpaceDE w:val="0"/>
        <w:autoSpaceDN w:val="0"/>
        <w:adjustRightInd w:val="0"/>
        <w:spacing w:after="0" w:line="360" w:lineRule="auto"/>
        <w:jc w:val="both"/>
        <w:rPr>
          <w:rFonts w:ascii="Times New Roman" w:eastAsia="Calibri" w:hAnsi="Times New Roman" w:cs="Times New Roman"/>
          <w:sz w:val="24"/>
          <w:szCs w:val="24"/>
        </w:rPr>
      </w:pPr>
    </w:p>
    <w:p w:rsidR="00C8414C"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Within this programme there are three sub-programmes, namely</w:t>
      </w:r>
      <w:r w:rsidR="00C8414C" w:rsidRPr="00675023">
        <w:rPr>
          <w:rFonts w:ascii="Times New Roman" w:eastAsia="Calibri" w:hAnsi="Times New Roman" w:cs="Times New Roman"/>
          <w:sz w:val="24"/>
          <w:szCs w:val="24"/>
        </w:rPr>
        <w:t>:</w:t>
      </w:r>
    </w:p>
    <w:p w:rsidR="00A05EDB"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p>
    <w:p w:rsidR="00A05EDB" w:rsidRPr="00675023" w:rsidRDefault="00A05EDB" w:rsidP="00592363">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Policy and Legislative Development; </w:t>
      </w:r>
    </w:p>
    <w:p w:rsidR="00A05EDB" w:rsidRPr="00675023" w:rsidRDefault="00A05EDB" w:rsidP="00592363">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Enforcement and Compliance; and </w:t>
      </w:r>
    </w:p>
    <w:p w:rsidR="00A05EDB" w:rsidRPr="00675023" w:rsidRDefault="00A05EDB" w:rsidP="00592363">
      <w:pPr>
        <w:numPr>
          <w:ilvl w:val="0"/>
          <w:numId w:val="8"/>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Regulatory Services</w:t>
      </w:r>
    </w:p>
    <w:p w:rsidR="006F2694" w:rsidRPr="00675023" w:rsidRDefault="006F2694" w:rsidP="00592363">
      <w:pPr>
        <w:autoSpaceDE w:val="0"/>
        <w:autoSpaceDN w:val="0"/>
        <w:adjustRightInd w:val="0"/>
        <w:spacing w:after="0" w:line="360" w:lineRule="auto"/>
        <w:jc w:val="both"/>
        <w:rPr>
          <w:rFonts w:ascii="Times New Roman" w:eastAsia="Calibri" w:hAnsi="Times New Roman" w:cs="Times New Roman"/>
          <w:sz w:val="24"/>
          <w:szCs w:val="24"/>
        </w:rPr>
      </w:pPr>
    </w:p>
    <w:p w:rsidR="00A05EDB" w:rsidRPr="00675023" w:rsidRDefault="00C8414C"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The Regulatory Services sub-programme remains the largest of the three sub-programmes in terms of budget allocation, as it is responsible for overseeing and transferring funds to the DTI’s entities which support and implement this programme’s mandate. These entities including the Companies and Intellectual Property Commission (CIPC), the Companies Tribunal (CT), the National Consumer Commission (NCC), the National Consumer Tribunal (NCT), the National Credit Regulator (NCR), the National Gambling Board (NGB), and the National Lotteries Commission (NLC).  However, the CIPC and NLC are self-funded.</w:t>
      </w:r>
    </w:p>
    <w:p w:rsidR="00E1031A" w:rsidRPr="00675023" w:rsidRDefault="00E1031A" w:rsidP="00592363">
      <w:pPr>
        <w:autoSpaceDE w:val="0"/>
        <w:autoSpaceDN w:val="0"/>
        <w:adjustRightInd w:val="0"/>
        <w:spacing w:after="0" w:line="360" w:lineRule="auto"/>
        <w:jc w:val="both"/>
        <w:rPr>
          <w:rFonts w:ascii="Times New Roman" w:eastAsia="Calibri" w:hAnsi="Times New Roman" w:cs="Times New Roman"/>
          <w:sz w:val="24"/>
          <w:szCs w:val="24"/>
        </w:rPr>
      </w:pPr>
    </w:p>
    <w:p w:rsidR="00A05EDB" w:rsidRPr="00675023" w:rsidRDefault="00A05EDB" w:rsidP="00592363">
      <w:pPr>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Th</w:t>
      </w:r>
      <w:r w:rsidR="00C8414C" w:rsidRPr="00675023">
        <w:rPr>
          <w:rFonts w:ascii="Times New Roman" w:eastAsia="Calibri" w:hAnsi="Times New Roman" w:cs="Times New Roman"/>
          <w:sz w:val="24"/>
          <w:szCs w:val="24"/>
        </w:rPr>
        <w:t>e overall</w:t>
      </w:r>
      <w:r w:rsidRPr="00675023">
        <w:rPr>
          <w:rFonts w:ascii="Times New Roman" w:eastAsia="Calibri" w:hAnsi="Times New Roman" w:cs="Times New Roman"/>
          <w:sz w:val="24"/>
          <w:szCs w:val="24"/>
        </w:rPr>
        <w:t xml:space="preserve"> decline </w:t>
      </w:r>
      <w:r w:rsidR="00C8414C" w:rsidRPr="00675023">
        <w:rPr>
          <w:rFonts w:ascii="Times New Roman" w:eastAsia="Calibri" w:hAnsi="Times New Roman" w:cs="Times New Roman"/>
          <w:sz w:val="24"/>
          <w:szCs w:val="24"/>
        </w:rPr>
        <w:t xml:space="preserve">in the programme’s budget </w:t>
      </w:r>
      <w:r w:rsidRPr="00675023">
        <w:rPr>
          <w:rFonts w:ascii="Times New Roman" w:eastAsia="Calibri" w:hAnsi="Times New Roman" w:cs="Times New Roman"/>
          <w:sz w:val="24"/>
          <w:szCs w:val="24"/>
        </w:rPr>
        <w:t xml:space="preserve">is </w:t>
      </w:r>
      <w:r w:rsidR="00C8414C" w:rsidRPr="00675023">
        <w:rPr>
          <w:rFonts w:ascii="Times New Roman" w:eastAsia="Calibri" w:hAnsi="Times New Roman" w:cs="Times New Roman"/>
          <w:sz w:val="24"/>
          <w:szCs w:val="24"/>
        </w:rPr>
        <w:t xml:space="preserve">as </w:t>
      </w:r>
      <w:r w:rsidRPr="00675023">
        <w:rPr>
          <w:rFonts w:ascii="Times New Roman" w:eastAsia="Calibri" w:hAnsi="Times New Roman" w:cs="Times New Roman"/>
          <w:sz w:val="24"/>
          <w:szCs w:val="24"/>
        </w:rPr>
        <w:t>a result of the comparatively large budget of the regulatory services sub-programme falling by 2.1 percent in real terms, while the smaller budgets of</w:t>
      </w:r>
      <w:r w:rsidR="00C8414C" w:rsidRPr="00675023">
        <w:rPr>
          <w:rFonts w:ascii="Times New Roman" w:eastAsia="Calibri" w:hAnsi="Times New Roman" w:cs="Times New Roman"/>
          <w:sz w:val="24"/>
          <w:szCs w:val="24"/>
        </w:rPr>
        <w:t xml:space="preserve"> the</w:t>
      </w:r>
      <w:r w:rsidRPr="00675023">
        <w:rPr>
          <w:rFonts w:ascii="Times New Roman" w:eastAsia="Calibri" w:hAnsi="Times New Roman" w:cs="Times New Roman"/>
          <w:sz w:val="24"/>
          <w:szCs w:val="24"/>
        </w:rPr>
        <w:t xml:space="preserve"> Policy and Legislative Development, and </w:t>
      </w:r>
      <w:r w:rsidR="00C8414C" w:rsidRPr="00675023">
        <w:rPr>
          <w:rFonts w:ascii="Times New Roman" w:eastAsia="Calibri" w:hAnsi="Times New Roman" w:cs="Times New Roman"/>
          <w:sz w:val="24"/>
          <w:szCs w:val="24"/>
        </w:rPr>
        <w:t xml:space="preserve">the </w:t>
      </w:r>
      <w:r w:rsidRPr="00675023">
        <w:rPr>
          <w:rFonts w:ascii="Times New Roman" w:eastAsia="Calibri" w:hAnsi="Times New Roman" w:cs="Times New Roman"/>
          <w:sz w:val="24"/>
          <w:szCs w:val="24"/>
        </w:rPr>
        <w:t xml:space="preserve">Enforcement and Compliance sub-programmes increased in real terms by 13 percent and 1 percent </w:t>
      </w:r>
      <w:r w:rsidR="006F2694" w:rsidRPr="00675023">
        <w:rPr>
          <w:rFonts w:ascii="Times New Roman" w:eastAsia="Calibri" w:hAnsi="Times New Roman" w:cs="Times New Roman"/>
          <w:sz w:val="24"/>
          <w:szCs w:val="24"/>
        </w:rPr>
        <w:t xml:space="preserve">respectively. </w:t>
      </w:r>
    </w:p>
    <w:p w:rsidR="00A05EDB" w:rsidRPr="00675023" w:rsidRDefault="00A05EDB" w:rsidP="00592363">
      <w:pPr>
        <w:autoSpaceDE w:val="0"/>
        <w:autoSpaceDN w:val="0"/>
        <w:adjustRightInd w:val="0"/>
        <w:spacing w:after="0" w:line="360" w:lineRule="auto"/>
        <w:contextualSpacing/>
        <w:jc w:val="both"/>
        <w:rPr>
          <w:rFonts w:ascii="Times New Roman" w:eastAsia="Calibri" w:hAnsi="Times New Roman" w:cs="Times New Roman"/>
          <w:sz w:val="24"/>
          <w:szCs w:val="24"/>
        </w:rPr>
      </w:pPr>
    </w:p>
    <w:p w:rsidR="00A05EDB" w:rsidRPr="00675023" w:rsidRDefault="00A05EDB" w:rsidP="00592363">
      <w:pPr>
        <w:autoSpaceDE w:val="0"/>
        <w:autoSpaceDN w:val="0"/>
        <w:adjustRightInd w:val="0"/>
        <w:spacing w:after="0" w:line="360" w:lineRule="auto"/>
        <w:contextualSpacing/>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In line with th</w:t>
      </w:r>
      <w:r w:rsidR="00C8414C" w:rsidRPr="00675023">
        <w:rPr>
          <w:rFonts w:ascii="Times New Roman" w:hAnsi="Times New Roman" w:cs="Times New Roman"/>
          <w:sz w:val="24"/>
          <w:szCs w:val="24"/>
          <w:lang w:eastAsia="en-ZA"/>
        </w:rPr>
        <w:t>e committee’s previous</w:t>
      </w:r>
      <w:r w:rsidRPr="00675023">
        <w:rPr>
          <w:rFonts w:ascii="Times New Roman" w:hAnsi="Times New Roman" w:cs="Times New Roman"/>
          <w:sz w:val="24"/>
          <w:szCs w:val="24"/>
          <w:lang w:eastAsia="en-ZA"/>
        </w:rPr>
        <w:t xml:space="preserve"> request</w:t>
      </w:r>
      <w:r w:rsidR="00C8414C" w:rsidRPr="00675023">
        <w:rPr>
          <w:rFonts w:ascii="Times New Roman" w:hAnsi="Times New Roman" w:cs="Times New Roman"/>
          <w:sz w:val="24"/>
          <w:szCs w:val="24"/>
          <w:lang w:eastAsia="en-ZA"/>
        </w:rPr>
        <w:t>s that the regulatory entities’ budget be increased</w:t>
      </w:r>
      <w:r w:rsidRPr="00675023">
        <w:rPr>
          <w:rFonts w:ascii="Times New Roman" w:hAnsi="Times New Roman" w:cs="Times New Roman"/>
          <w:sz w:val="24"/>
          <w:szCs w:val="24"/>
          <w:lang w:eastAsia="en-ZA"/>
        </w:rPr>
        <w:t xml:space="preserve">, the 2016/17 budget shows that transfers to entities will increase from R213 million in </w:t>
      </w:r>
      <w:r w:rsidR="00C8414C" w:rsidRPr="00675023">
        <w:rPr>
          <w:rFonts w:ascii="Times New Roman" w:hAnsi="Times New Roman" w:cs="Times New Roman"/>
          <w:sz w:val="24"/>
          <w:szCs w:val="24"/>
          <w:lang w:eastAsia="en-ZA"/>
        </w:rPr>
        <w:t xml:space="preserve">the </w:t>
      </w:r>
      <w:r w:rsidRPr="00675023">
        <w:rPr>
          <w:rFonts w:ascii="Times New Roman" w:hAnsi="Times New Roman" w:cs="Times New Roman"/>
          <w:sz w:val="24"/>
          <w:szCs w:val="24"/>
          <w:lang w:eastAsia="en-ZA"/>
        </w:rPr>
        <w:t xml:space="preserve">2015/16 </w:t>
      </w:r>
      <w:r w:rsidR="00C8414C" w:rsidRPr="00675023">
        <w:rPr>
          <w:rFonts w:ascii="Times New Roman" w:hAnsi="Times New Roman" w:cs="Times New Roman"/>
          <w:sz w:val="24"/>
          <w:szCs w:val="24"/>
          <w:lang w:eastAsia="en-ZA"/>
        </w:rPr>
        <w:t xml:space="preserve">financial year </w:t>
      </w:r>
      <w:r w:rsidRPr="00675023">
        <w:rPr>
          <w:rFonts w:ascii="Times New Roman" w:hAnsi="Times New Roman" w:cs="Times New Roman"/>
          <w:sz w:val="24"/>
          <w:szCs w:val="24"/>
          <w:lang w:eastAsia="en-ZA"/>
        </w:rPr>
        <w:t xml:space="preserve">to R218 million for the 2016/17 financial year.  However, this is </w:t>
      </w:r>
      <w:r w:rsidR="00585245">
        <w:rPr>
          <w:rFonts w:ascii="Times New Roman" w:hAnsi="Times New Roman" w:cs="Times New Roman"/>
          <w:sz w:val="24"/>
          <w:szCs w:val="24"/>
          <w:lang w:eastAsia="en-ZA"/>
        </w:rPr>
        <w:t xml:space="preserve">still </w:t>
      </w:r>
      <w:r w:rsidRPr="00675023">
        <w:rPr>
          <w:rFonts w:ascii="Times New Roman" w:hAnsi="Times New Roman" w:cs="Times New Roman"/>
          <w:sz w:val="24"/>
          <w:szCs w:val="24"/>
          <w:lang w:eastAsia="en-ZA"/>
        </w:rPr>
        <w:t xml:space="preserve">a decrease in real terms. </w:t>
      </w:r>
    </w:p>
    <w:p w:rsidR="005257FD" w:rsidRPr="00675023" w:rsidRDefault="005257FD" w:rsidP="00592363">
      <w:pPr>
        <w:autoSpaceDE w:val="0"/>
        <w:autoSpaceDN w:val="0"/>
        <w:adjustRightInd w:val="0"/>
        <w:spacing w:after="0" w:line="360" w:lineRule="auto"/>
        <w:contextualSpacing/>
        <w:jc w:val="both"/>
        <w:rPr>
          <w:rFonts w:ascii="Times New Roman" w:hAnsi="Times New Roman" w:cs="Times New Roman"/>
          <w:sz w:val="24"/>
          <w:szCs w:val="24"/>
          <w:lang w:eastAsia="en-ZA"/>
        </w:rPr>
      </w:pPr>
    </w:p>
    <w:p w:rsidR="00A05EDB" w:rsidRPr="00675023" w:rsidRDefault="00A05EDB" w:rsidP="00501558">
      <w:pPr>
        <w:pStyle w:val="Heading3"/>
        <w:keepLines w:val="0"/>
        <w:numPr>
          <w:ilvl w:val="2"/>
          <w:numId w:val="41"/>
        </w:numPr>
        <w:spacing w:before="0" w:line="360" w:lineRule="auto"/>
        <w:rPr>
          <w:rFonts w:ascii="Times New Roman" w:eastAsia="Calibri" w:hAnsi="Times New Roman" w:cs="Times New Roman"/>
          <w:b/>
          <w:color w:val="auto"/>
        </w:rPr>
      </w:pPr>
      <w:bookmarkStart w:id="9" w:name="_Toc445039771"/>
      <w:r w:rsidRPr="00675023">
        <w:rPr>
          <w:rFonts w:ascii="Times New Roman" w:eastAsia="Calibri" w:hAnsi="Times New Roman" w:cs="Times New Roman"/>
          <w:b/>
          <w:color w:val="auto"/>
        </w:rPr>
        <w:t>Programme 6: Incentive Development and Administration</w:t>
      </w:r>
      <w:bookmarkEnd w:id="9"/>
      <w:r w:rsidRPr="00675023">
        <w:rPr>
          <w:rFonts w:ascii="Times New Roman" w:eastAsia="Calibri" w:hAnsi="Times New Roman" w:cs="Times New Roman"/>
          <w:b/>
          <w:color w:val="auto"/>
        </w:rPr>
        <w:t xml:space="preserve"> </w:t>
      </w:r>
    </w:p>
    <w:p w:rsidR="00A05EDB"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p>
    <w:p w:rsidR="00A05EDB" w:rsidRPr="00675023" w:rsidRDefault="00A05EDB" w:rsidP="00592363">
      <w:pPr>
        <w:pStyle w:val="ListParagraph"/>
        <w:spacing w:after="0" w:line="360" w:lineRule="auto"/>
        <w:ind w:left="0"/>
        <w:jc w:val="both"/>
        <w:rPr>
          <w:rFonts w:ascii="Times New Roman" w:hAnsi="Times New Roman" w:cs="Times New Roman"/>
          <w:sz w:val="24"/>
          <w:szCs w:val="24"/>
          <w:lang w:eastAsia="en-ZA"/>
        </w:rPr>
      </w:pPr>
      <w:r w:rsidRPr="00675023">
        <w:rPr>
          <w:rFonts w:ascii="Times New Roman" w:hAnsi="Times New Roman" w:cs="Times New Roman"/>
          <w:sz w:val="24"/>
          <w:szCs w:val="24"/>
        </w:rPr>
        <w:t>The</w:t>
      </w:r>
      <w:r w:rsidRPr="00675023">
        <w:rPr>
          <w:rFonts w:ascii="Times New Roman" w:hAnsi="Times New Roman" w:cs="Times New Roman"/>
          <w:b/>
          <w:bCs/>
          <w:sz w:val="24"/>
          <w:szCs w:val="24"/>
        </w:rPr>
        <w:t xml:space="preserve"> </w:t>
      </w:r>
      <w:r w:rsidRPr="00675023">
        <w:rPr>
          <w:rFonts w:ascii="Times New Roman" w:hAnsi="Times New Roman" w:cs="Times New Roman"/>
          <w:bCs/>
          <w:sz w:val="24"/>
          <w:szCs w:val="24"/>
        </w:rPr>
        <w:t>Incentive Development</w:t>
      </w:r>
      <w:r w:rsidR="00C8414C" w:rsidRPr="00675023">
        <w:rPr>
          <w:rFonts w:ascii="Times New Roman" w:hAnsi="Times New Roman" w:cs="Times New Roman"/>
          <w:bCs/>
          <w:sz w:val="24"/>
          <w:szCs w:val="24"/>
        </w:rPr>
        <w:t xml:space="preserve"> and </w:t>
      </w:r>
      <w:r w:rsidRPr="00675023">
        <w:rPr>
          <w:rFonts w:ascii="Times New Roman" w:hAnsi="Times New Roman" w:cs="Times New Roman"/>
          <w:bCs/>
          <w:sz w:val="24"/>
          <w:szCs w:val="24"/>
        </w:rPr>
        <w:t>Administration</w:t>
      </w:r>
      <w:r w:rsidRPr="00675023">
        <w:rPr>
          <w:rFonts w:ascii="Times New Roman" w:hAnsi="Times New Roman" w:cs="Times New Roman"/>
          <w:sz w:val="24"/>
          <w:szCs w:val="24"/>
        </w:rPr>
        <w:t xml:space="preserve"> Programme is responsible for improving the </w:t>
      </w:r>
      <w:r w:rsidR="00C8414C" w:rsidRPr="00675023">
        <w:rPr>
          <w:rFonts w:ascii="Times New Roman" w:hAnsi="Times New Roman" w:cs="Times New Roman"/>
          <w:sz w:val="24"/>
          <w:szCs w:val="24"/>
        </w:rPr>
        <w:t xml:space="preserve">DTI’s </w:t>
      </w:r>
      <w:r w:rsidRPr="00675023">
        <w:rPr>
          <w:rFonts w:ascii="Times New Roman" w:hAnsi="Times New Roman" w:cs="Times New Roman"/>
          <w:sz w:val="24"/>
          <w:szCs w:val="24"/>
        </w:rPr>
        <w:t xml:space="preserve">incentive administration through designing and implementing incentives and programmes that support investment, competitiveness, employment creation and equity. This programme captures the core mandate of the </w:t>
      </w:r>
      <w:r w:rsidR="00C8414C" w:rsidRPr="00675023">
        <w:rPr>
          <w:rFonts w:ascii="Times New Roman" w:hAnsi="Times New Roman" w:cs="Times New Roman"/>
          <w:sz w:val="24"/>
          <w:szCs w:val="24"/>
        </w:rPr>
        <w:t>DTI</w:t>
      </w:r>
      <w:r w:rsidR="006F2694" w:rsidRPr="00675023">
        <w:rPr>
          <w:rFonts w:ascii="Times New Roman" w:hAnsi="Times New Roman" w:cs="Times New Roman"/>
          <w:sz w:val="24"/>
          <w:szCs w:val="24"/>
        </w:rPr>
        <w:t>.</w:t>
      </w:r>
      <w:r w:rsidR="00C8414C" w:rsidRPr="00675023">
        <w:rPr>
          <w:rFonts w:ascii="Times New Roman" w:hAnsi="Times New Roman" w:cs="Times New Roman"/>
          <w:sz w:val="24"/>
          <w:szCs w:val="24"/>
        </w:rPr>
        <w:t xml:space="preserve"> </w:t>
      </w:r>
      <w:r w:rsidRPr="00675023">
        <w:rPr>
          <w:rFonts w:ascii="Times New Roman" w:hAnsi="Times New Roman" w:cs="Times New Roman"/>
          <w:sz w:val="24"/>
          <w:szCs w:val="24"/>
        </w:rPr>
        <w:t xml:space="preserve">For the 2016/17 financial year, the Programme </w:t>
      </w:r>
      <w:r w:rsidR="00C8414C" w:rsidRPr="00675023">
        <w:rPr>
          <w:rFonts w:ascii="Times New Roman" w:hAnsi="Times New Roman" w:cs="Times New Roman"/>
          <w:sz w:val="24"/>
          <w:szCs w:val="24"/>
        </w:rPr>
        <w:t xml:space="preserve">has </w:t>
      </w:r>
      <w:r w:rsidRPr="00675023">
        <w:rPr>
          <w:rFonts w:ascii="Times New Roman" w:hAnsi="Times New Roman" w:cs="Times New Roman"/>
          <w:sz w:val="24"/>
          <w:szCs w:val="24"/>
        </w:rPr>
        <w:t xml:space="preserve">the largest </w:t>
      </w:r>
      <w:r w:rsidR="00C8414C" w:rsidRPr="00675023">
        <w:rPr>
          <w:rFonts w:ascii="Times New Roman" w:hAnsi="Times New Roman" w:cs="Times New Roman"/>
          <w:sz w:val="24"/>
          <w:szCs w:val="24"/>
        </w:rPr>
        <w:t xml:space="preserve">share of the budget, </w:t>
      </w:r>
      <w:r w:rsidRPr="00675023">
        <w:rPr>
          <w:rFonts w:ascii="Times New Roman" w:hAnsi="Times New Roman" w:cs="Times New Roman"/>
          <w:sz w:val="24"/>
          <w:szCs w:val="24"/>
        </w:rPr>
        <w:t>accounting for 67 percent of the total budget with a value of R</w:t>
      </w:r>
      <w:r w:rsidRPr="00675023">
        <w:rPr>
          <w:rFonts w:ascii="Times New Roman" w:hAnsi="Times New Roman" w:cs="Times New Roman"/>
          <w:sz w:val="24"/>
          <w:szCs w:val="24"/>
          <w:lang w:eastAsia="en-ZA"/>
        </w:rPr>
        <w:t xml:space="preserve">6.9 billion. This increase is in line with the </w:t>
      </w:r>
      <w:r w:rsidR="00C8414C" w:rsidRPr="00675023">
        <w:rPr>
          <w:rFonts w:ascii="Times New Roman" w:hAnsi="Times New Roman" w:cs="Times New Roman"/>
          <w:sz w:val="24"/>
          <w:szCs w:val="24"/>
          <w:lang w:eastAsia="en-ZA"/>
        </w:rPr>
        <w:t xml:space="preserve">committee’s </w:t>
      </w:r>
      <w:r w:rsidRPr="00675023">
        <w:rPr>
          <w:rFonts w:ascii="Times New Roman" w:hAnsi="Times New Roman" w:cs="Times New Roman"/>
          <w:sz w:val="24"/>
          <w:szCs w:val="24"/>
          <w:lang w:eastAsia="en-ZA"/>
        </w:rPr>
        <w:t xml:space="preserve">recommendation </w:t>
      </w:r>
      <w:r w:rsidR="00C8414C" w:rsidRPr="00675023">
        <w:rPr>
          <w:rFonts w:ascii="Times New Roman" w:hAnsi="Times New Roman" w:cs="Times New Roman"/>
          <w:sz w:val="24"/>
          <w:szCs w:val="24"/>
          <w:lang w:eastAsia="en-ZA"/>
        </w:rPr>
        <w:t xml:space="preserve">that the incentive programmes be strengthened to improve </w:t>
      </w:r>
      <w:r w:rsidR="00C8414C" w:rsidRPr="00675023">
        <w:rPr>
          <w:rFonts w:ascii="Times New Roman" w:hAnsi="Times New Roman" w:cs="Times New Roman"/>
          <w:sz w:val="24"/>
          <w:szCs w:val="24"/>
        </w:rPr>
        <w:t>their</w:t>
      </w:r>
      <w:r w:rsidRPr="00675023">
        <w:rPr>
          <w:rFonts w:ascii="Times New Roman" w:hAnsi="Times New Roman" w:cs="Times New Roman"/>
          <w:sz w:val="24"/>
          <w:szCs w:val="24"/>
        </w:rPr>
        <w:t xml:space="preserve"> impact, particularly in terms of job creation; increase</w:t>
      </w:r>
      <w:r w:rsidR="00C8414C" w:rsidRPr="00675023">
        <w:rPr>
          <w:rFonts w:ascii="Times New Roman" w:hAnsi="Times New Roman" w:cs="Times New Roman"/>
          <w:sz w:val="24"/>
          <w:szCs w:val="24"/>
        </w:rPr>
        <w:t>d</w:t>
      </w:r>
      <w:r w:rsidRPr="00675023">
        <w:rPr>
          <w:rFonts w:ascii="Times New Roman" w:hAnsi="Times New Roman" w:cs="Times New Roman"/>
          <w:sz w:val="24"/>
          <w:szCs w:val="24"/>
        </w:rPr>
        <w:t xml:space="preserve"> industrial competitiveness; and broade</w:t>
      </w:r>
      <w:r w:rsidR="00C8414C" w:rsidRPr="00675023">
        <w:rPr>
          <w:rFonts w:ascii="Times New Roman" w:hAnsi="Times New Roman" w:cs="Times New Roman"/>
          <w:sz w:val="24"/>
          <w:szCs w:val="24"/>
        </w:rPr>
        <w:t>r</w:t>
      </w:r>
      <w:r w:rsidRPr="00675023">
        <w:rPr>
          <w:rFonts w:ascii="Times New Roman" w:hAnsi="Times New Roman" w:cs="Times New Roman"/>
          <w:sz w:val="24"/>
          <w:szCs w:val="24"/>
        </w:rPr>
        <w:t xml:space="preserve"> participation of enterprises in the economy</w:t>
      </w:r>
      <w:r w:rsidRPr="00675023">
        <w:rPr>
          <w:rStyle w:val="FootnoteReference"/>
          <w:rFonts w:ascii="Times New Roman" w:hAnsi="Times New Roman" w:cs="Times New Roman"/>
          <w:sz w:val="24"/>
          <w:szCs w:val="24"/>
        </w:rPr>
        <w:footnoteReference w:id="13"/>
      </w:r>
      <w:r w:rsidRPr="00675023">
        <w:rPr>
          <w:rFonts w:ascii="Times New Roman" w:hAnsi="Times New Roman" w:cs="Times New Roman"/>
          <w:sz w:val="24"/>
          <w:szCs w:val="24"/>
        </w:rPr>
        <w:t>.</w:t>
      </w:r>
      <w:r w:rsidRPr="00675023">
        <w:rPr>
          <w:rFonts w:ascii="Times New Roman" w:hAnsi="Times New Roman" w:cs="Times New Roman"/>
          <w:color w:val="FF0000"/>
          <w:sz w:val="24"/>
          <w:szCs w:val="24"/>
        </w:rPr>
        <w:t xml:space="preserve"> </w:t>
      </w:r>
      <w:r w:rsidRPr="00675023">
        <w:rPr>
          <w:rFonts w:ascii="Times New Roman" w:hAnsi="Times New Roman" w:cs="Times New Roman"/>
          <w:sz w:val="24"/>
          <w:szCs w:val="24"/>
          <w:lang w:eastAsia="en-ZA"/>
        </w:rPr>
        <w:t>The R1</w:t>
      </w:r>
      <w:r w:rsidR="00C8414C" w:rsidRPr="00675023">
        <w:rPr>
          <w:rFonts w:ascii="Times New Roman" w:hAnsi="Times New Roman" w:cs="Times New Roman"/>
          <w:sz w:val="24"/>
          <w:szCs w:val="24"/>
          <w:lang w:eastAsia="en-ZA"/>
        </w:rPr>
        <w:t xml:space="preserve"> </w:t>
      </w:r>
      <w:r w:rsidRPr="00675023">
        <w:rPr>
          <w:rFonts w:ascii="Times New Roman" w:hAnsi="Times New Roman" w:cs="Times New Roman"/>
          <w:sz w:val="24"/>
          <w:szCs w:val="24"/>
          <w:lang w:eastAsia="en-ZA"/>
        </w:rPr>
        <w:t xml:space="preserve">billion increase in the budget amounts to a real increase of 11 percent, most of which is allocated towards infrastructure investment, to create a better environment to encourage industrial growth. The Manufacturing </w:t>
      </w:r>
      <w:r w:rsidR="00C8414C" w:rsidRPr="00675023">
        <w:rPr>
          <w:rFonts w:ascii="Times New Roman" w:hAnsi="Times New Roman" w:cs="Times New Roman"/>
          <w:sz w:val="24"/>
          <w:szCs w:val="24"/>
          <w:lang w:eastAsia="en-ZA"/>
        </w:rPr>
        <w:t xml:space="preserve">Incentives </w:t>
      </w:r>
      <w:r w:rsidRPr="00675023">
        <w:rPr>
          <w:rFonts w:ascii="Times New Roman" w:hAnsi="Times New Roman" w:cs="Times New Roman"/>
          <w:sz w:val="24"/>
          <w:szCs w:val="24"/>
          <w:lang w:eastAsia="en-ZA"/>
        </w:rPr>
        <w:t xml:space="preserve">sub-programme has the largest share of the budget at R4.9 billion, followed by </w:t>
      </w:r>
      <w:r w:rsidR="00C8414C" w:rsidRPr="00675023">
        <w:rPr>
          <w:rFonts w:ascii="Times New Roman" w:hAnsi="Times New Roman" w:cs="Times New Roman"/>
          <w:sz w:val="24"/>
          <w:szCs w:val="24"/>
          <w:lang w:eastAsia="en-ZA"/>
        </w:rPr>
        <w:t xml:space="preserve">the </w:t>
      </w:r>
      <w:r w:rsidRPr="00675023">
        <w:rPr>
          <w:rFonts w:ascii="Times New Roman" w:hAnsi="Times New Roman" w:cs="Times New Roman"/>
          <w:sz w:val="24"/>
          <w:szCs w:val="24"/>
          <w:lang w:eastAsia="en-ZA"/>
        </w:rPr>
        <w:t>Infrastructure Investment Support su</w:t>
      </w:r>
      <w:r w:rsidR="006F2694" w:rsidRPr="00675023">
        <w:rPr>
          <w:rFonts w:ascii="Times New Roman" w:hAnsi="Times New Roman" w:cs="Times New Roman"/>
          <w:sz w:val="24"/>
          <w:szCs w:val="24"/>
          <w:lang w:eastAsia="en-ZA"/>
        </w:rPr>
        <w:t xml:space="preserve">b-programme with R1.7 billion. </w:t>
      </w:r>
    </w:p>
    <w:p w:rsidR="00E1031A" w:rsidRPr="00675023" w:rsidRDefault="00E1031A" w:rsidP="00592363">
      <w:pPr>
        <w:pStyle w:val="ListParagraph"/>
        <w:spacing w:after="0" w:line="360" w:lineRule="auto"/>
        <w:ind w:left="0"/>
        <w:jc w:val="both"/>
        <w:rPr>
          <w:rFonts w:ascii="Times New Roman" w:hAnsi="Times New Roman" w:cs="Times New Roman"/>
          <w:sz w:val="24"/>
          <w:szCs w:val="24"/>
          <w:lang w:eastAsia="en-ZA"/>
        </w:rPr>
      </w:pPr>
    </w:p>
    <w:p w:rsidR="00A05EDB" w:rsidRPr="00675023" w:rsidRDefault="00A05EDB"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The Competitiveness and </w:t>
      </w:r>
      <w:r w:rsidR="00B879D5" w:rsidRPr="00675023">
        <w:rPr>
          <w:rFonts w:ascii="Times New Roman" w:eastAsia="Calibri" w:hAnsi="Times New Roman" w:cs="Times New Roman"/>
          <w:sz w:val="24"/>
          <w:szCs w:val="24"/>
        </w:rPr>
        <w:t xml:space="preserve">Export </w:t>
      </w:r>
      <w:r w:rsidRPr="00675023">
        <w:rPr>
          <w:rFonts w:ascii="Times New Roman" w:eastAsia="Calibri" w:hAnsi="Times New Roman" w:cs="Times New Roman"/>
          <w:sz w:val="24"/>
          <w:szCs w:val="24"/>
        </w:rPr>
        <w:t xml:space="preserve">sub-programme which previously was a part of this programme has been moved to the Trade Export South Africa programme.  </w:t>
      </w:r>
    </w:p>
    <w:p w:rsidR="00E1031A" w:rsidRPr="00675023" w:rsidRDefault="00E1031A" w:rsidP="00592363">
      <w:pPr>
        <w:autoSpaceDE w:val="0"/>
        <w:autoSpaceDN w:val="0"/>
        <w:adjustRightInd w:val="0"/>
        <w:spacing w:after="0" w:line="360" w:lineRule="auto"/>
        <w:jc w:val="both"/>
        <w:rPr>
          <w:rFonts w:ascii="Times New Roman" w:eastAsia="Calibri" w:hAnsi="Times New Roman" w:cs="Times New Roman"/>
          <w:sz w:val="24"/>
          <w:szCs w:val="24"/>
        </w:rPr>
      </w:pPr>
    </w:p>
    <w:p w:rsidR="00F248C4" w:rsidRPr="00675023" w:rsidRDefault="00A05EDB" w:rsidP="00501558">
      <w:pPr>
        <w:pStyle w:val="Heading3"/>
        <w:keepLines w:val="0"/>
        <w:numPr>
          <w:ilvl w:val="2"/>
          <w:numId w:val="41"/>
        </w:numPr>
        <w:spacing w:before="0" w:line="360" w:lineRule="auto"/>
        <w:rPr>
          <w:rFonts w:ascii="Times New Roman" w:eastAsia="Calibri" w:hAnsi="Times New Roman" w:cs="Times New Roman"/>
          <w:b/>
          <w:color w:val="auto"/>
        </w:rPr>
      </w:pPr>
      <w:bookmarkStart w:id="10" w:name="_Toc445039772"/>
      <w:r w:rsidRPr="00675023">
        <w:rPr>
          <w:rFonts w:ascii="Times New Roman" w:eastAsia="Calibri" w:hAnsi="Times New Roman" w:cs="Times New Roman"/>
          <w:b/>
          <w:color w:val="auto"/>
        </w:rPr>
        <w:t>Programme 7: Trade Export South Africa</w:t>
      </w:r>
      <w:bookmarkEnd w:id="10"/>
    </w:p>
    <w:p w:rsidR="00F248C4" w:rsidRPr="00675023" w:rsidRDefault="00F248C4" w:rsidP="00592363">
      <w:pPr>
        <w:spacing w:after="0" w:line="360" w:lineRule="auto"/>
        <w:rPr>
          <w:rFonts w:ascii="Times New Roman" w:hAnsi="Times New Roman" w:cs="Times New Roman"/>
          <w:sz w:val="24"/>
          <w:szCs w:val="24"/>
        </w:rPr>
      </w:pPr>
    </w:p>
    <w:p w:rsidR="00A05EDB" w:rsidRPr="00675023" w:rsidRDefault="00B879D5" w:rsidP="00592363">
      <w:pPr>
        <w:autoSpaceDE w:val="0"/>
        <w:autoSpaceDN w:val="0"/>
        <w:adjustRightInd w:val="0"/>
        <w:spacing w:after="0" w:line="360" w:lineRule="auto"/>
        <w:jc w:val="both"/>
        <w:rPr>
          <w:rFonts w:ascii="Times New Roman" w:eastAsia="Calibri" w:hAnsi="Times New Roman" w:cs="Times New Roman"/>
          <w:sz w:val="24"/>
          <w:szCs w:val="24"/>
        </w:rPr>
      </w:pPr>
      <w:r w:rsidRPr="00675023">
        <w:rPr>
          <w:rFonts w:ascii="Times New Roman" w:eastAsia="Calibri" w:hAnsi="Times New Roman" w:cs="Times New Roman"/>
          <w:sz w:val="24"/>
          <w:szCs w:val="24"/>
        </w:rPr>
        <w:t xml:space="preserve">As mentioned earlier, </w:t>
      </w:r>
      <w:r w:rsidR="00A05EDB" w:rsidRPr="00675023">
        <w:rPr>
          <w:rFonts w:ascii="Times New Roman" w:eastAsia="Calibri" w:hAnsi="Times New Roman" w:cs="Times New Roman"/>
          <w:sz w:val="24"/>
          <w:szCs w:val="24"/>
        </w:rPr>
        <w:t xml:space="preserve">the Trade and Investment South Africa Programme </w:t>
      </w:r>
      <w:r w:rsidRPr="00675023">
        <w:rPr>
          <w:rFonts w:ascii="Times New Roman" w:eastAsia="Calibri" w:hAnsi="Times New Roman" w:cs="Times New Roman"/>
          <w:sz w:val="24"/>
          <w:szCs w:val="24"/>
        </w:rPr>
        <w:t xml:space="preserve">was part of the former Trade and Investment South Africa programme, which has been divided </w:t>
      </w:r>
      <w:r w:rsidR="00A05EDB" w:rsidRPr="00675023">
        <w:rPr>
          <w:rFonts w:ascii="Times New Roman" w:eastAsia="Calibri" w:hAnsi="Times New Roman" w:cs="Times New Roman"/>
          <w:sz w:val="24"/>
          <w:szCs w:val="24"/>
        </w:rPr>
        <w:t>into two programmes, namely</w:t>
      </w:r>
      <w:r w:rsidRPr="00675023">
        <w:rPr>
          <w:rFonts w:ascii="Times New Roman" w:eastAsia="Calibri" w:hAnsi="Times New Roman" w:cs="Times New Roman"/>
          <w:sz w:val="24"/>
          <w:szCs w:val="24"/>
        </w:rPr>
        <w:t>:</w:t>
      </w:r>
      <w:r w:rsidR="00A05EDB" w:rsidRPr="00675023">
        <w:rPr>
          <w:rFonts w:ascii="Times New Roman" w:eastAsia="Calibri" w:hAnsi="Times New Roman" w:cs="Times New Roman"/>
          <w:sz w:val="24"/>
          <w:szCs w:val="24"/>
        </w:rPr>
        <w:t xml:space="preserve"> Trade Export South Africa</w:t>
      </w:r>
      <w:r w:rsidRPr="00675023">
        <w:rPr>
          <w:rFonts w:ascii="Times New Roman" w:eastAsia="Calibri" w:hAnsi="Times New Roman" w:cs="Times New Roman"/>
          <w:sz w:val="24"/>
          <w:szCs w:val="24"/>
        </w:rPr>
        <w:t>,</w:t>
      </w:r>
      <w:r w:rsidR="00A05EDB" w:rsidRPr="00675023">
        <w:rPr>
          <w:rFonts w:ascii="Times New Roman" w:eastAsia="Calibri" w:hAnsi="Times New Roman" w:cs="Times New Roman"/>
          <w:sz w:val="24"/>
          <w:szCs w:val="24"/>
        </w:rPr>
        <w:t xml:space="preserve"> and Investment South Africa. </w:t>
      </w:r>
    </w:p>
    <w:p w:rsidR="00E1031A" w:rsidRPr="00675023" w:rsidRDefault="00E1031A" w:rsidP="00592363">
      <w:pPr>
        <w:autoSpaceDE w:val="0"/>
        <w:autoSpaceDN w:val="0"/>
        <w:adjustRightInd w:val="0"/>
        <w:spacing w:after="0" w:line="360" w:lineRule="auto"/>
        <w:jc w:val="both"/>
        <w:rPr>
          <w:rFonts w:ascii="Times New Roman" w:hAnsi="Times New Roman" w:cs="Times New Roman"/>
          <w:sz w:val="24"/>
          <w:szCs w:val="24"/>
        </w:rPr>
      </w:pPr>
    </w:p>
    <w:p w:rsidR="00A05EDB" w:rsidRPr="00675023" w:rsidRDefault="00A05EDB" w:rsidP="00592363">
      <w:pPr>
        <w:autoSpaceDE w:val="0"/>
        <w:autoSpaceDN w:val="0"/>
        <w:adjustRightInd w:val="0"/>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Trade Export South Africa programme is aimed </w:t>
      </w:r>
      <w:r w:rsidR="00B879D5" w:rsidRPr="00675023">
        <w:rPr>
          <w:rFonts w:ascii="Times New Roman" w:hAnsi="Times New Roman" w:cs="Times New Roman"/>
          <w:sz w:val="24"/>
          <w:szCs w:val="24"/>
        </w:rPr>
        <w:t xml:space="preserve">at </w:t>
      </w:r>
      <w:r w:rsidRPr="00675023">
        <w:rPr>
          <w:rFonts w:ascii="Times New Roman" w:hAnsi="Times New Roman" w:cs="Times New Roman"/>
          <w:sz w:val="24"/>
          <w:szCs w:val="24"/>
        </w:rPr>
        <w:t>promoting South African products in high growth markets; facilitating markets for South African manufactured products and services; and enhancing the ongoing promot</w:t>
      </w:r>
      <w:r w:rsidR="00F248C4" w:rsidRPr="00675023">
        <w:rPr>
          <w:rFonts w:ascii="Times New Roman" w:hAnsi="Times New Roman" w:cs="Times New Roman"/>
          <w:sz w:val="24"/>
          <w:szCs w:val="24"/>
        </w:rPr>
        <w:t xml:space="preserve">ion of exports. </w:t>
      </w:r>
    </w:p>
    <w:p w:rsidR="00E1031A" w:rsidRPr="00675023" w:rsidRDefault="00E1031A" w:rsidP="00592363">
      <w:pPr>
        <w:autoSpaceDE w:val="0"/>
        <w:autoSpaceDN w:val="0"/>
        <w:adjustRightInd w:val="0"/>
        <w:spacing w:after="0" w:line="360" w:lineRule="auto"/>
        <w:jc w:val="both"/>
        <w:rPr>
          <w:rFonts w:ascii="Times New Roman" w:hAnsi="Times New Roman" w:cs="Times New Roman"/>
          <w:sz w:val="24"/>
          <w:szCs w:val="24"/>
        </w:rPr>
      </w:pPr>
    </w:p>
    <w:p w:rsidR="00A05EDB" w:rsidRPr="00675023" w:rsidRDefault="00A05EDB" w:rsidP="00592363">
      <w:p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rPr>
        <w:t xml:space="preserve">With a programme budget of R336.5 million for the 2016/17 financial year, the </w:t>
      </w:r>
      <w:r w:rsidRPr="00675023">
        <w:rPr>
          <w:rFonts w:ascii="Times New Roman" w:hAnsi="Times New Roman" w:cs="Times New Roman"/>
          <w:bCs/>
          <w:sz w:val="24"/>
          <w:szCs w:val="24"/>
        </w:rPr>
        <w:t>Trade and Investment South Africa</w:t>
      </w:r>
      <w:r w:rsidRPr="00675023">
        <w:rPr>
          <w:rFonts w:ascii="Times New Roman" w:hAnsi="Times New Roman" w:cs="Times New Roman"/>
          <w:sz w:val="24"/>
          <w:szCs w:val="24"/>
          <w:lang w:eastAsia="en-ZA"/>
        </w:rPr>
        <w:t xml:space="preserve"> Programme accounts for 3 per cent of the Department’s total budget. </w:t>
      </w:r>
    </w:p>
    <w:p w:rsidR="00A05EDB" w:rsidRPr="00675023" w:rsidRDefault="00A05EDB" w:rsidP="00592363">
      <w:pPr>
        <w:spacing w:after="0" w:line="360" w:lineRule="auto"/>
        <w:jc w:val="both"/>
        <w:rPr>
          <w:rFonts w:ascii="Times New Roman" w:hAnsi="Times New Roman" w:cs="Times New Roman"/>
          <w:sz w:val="24"/>
          <w:szCs w:val="24"/>
          <w:lang w:eastAsia="en-ZA"/>
        </w:rPr>
      </w:pPr>
    </w:p>
    <w:p w:rsidR="00A05EDB" w:rsidRPr="00675023" w:rsidRDefault="00A05EDB" w:rsidP="00592363">
      <w:pPr>
        <w:spacing w:after="0" w:line="360" w:lineRule="auto"/>
        <w:jc w:val="both"/>
        <w:rPr>
          <w:rFonts w:ascii="Times New Roman" w:hAnsi="Times New Roman" w:cs="Times New Roman"/>
          <w:bCs/>
          <w:sz w:val="24"/>
          <w:szCs w:val="24"/>
        </w:rPr>
      </w:pPr>
      <w:r w:rsidRPr="00675023">
        <w:rPr>
          <w:rFonts w:ascii="Times New Roman" w:hAnsi="Times New Roman" w:cs="Times New Roman"/>
          <w:bCs/>
          <w:sz w:val="24"/>
          <w:szCs w:val="24"/>
        </w:rPr>
        <w:t xml:space="preserve">In line with the country’s renewed focus on increasing trade relations with Africa and deepening regional integration, the newly formed African Bilateral Economic Development </w:t>
      </w:r>
      <w:r w:rsidR="00B879D5" w:rsidRPr="00675023">
        <w:rPr>
          <w:rFonts w:ascii="Times New Roman" w:hAnsi="Times New Roman" w:cs="Times New Roman"/>
          <w:bCs/>
          <w:sz w:val="24"/>
          <w:szCs w:val="24"/>
        </w:rPr>
        <w:t>sub-</w:t>
      </w:r>
      <w:r w:rsidRPr="00675023">
        <w:rPr>
          <w:rFonts w:ascii="Times New Roman" w:hAnsi="Times New Roman" w:cs="Times New Roman"/>
          <w:bCs/>
          <w:sz w:val="24"/>
          <w:szCs w:val="24"/>
        </w:rPr>
        <w:t xml:space="preserve">programme will be allocated R21.1 million in the 2016/17 financial year. </w:t>
      </w:r>
      <w:r w:rsidR="00B879D5" w:rsidRPr="00675023">
        <w:rPr>
          <w:rFonts w:ascii="Times New Roman" w:hAnsi="Times New Roman" w:cs="Times New Roman"/>
          <w:bCs/>
          <w:sz w:val="24"/>
          <w:szCs w:val="24"/>
        </w:rPr>
        <w:t>This had formerly been the responsibility of the International Trade and Economic Development programme.</w:t>
      </w:r>
    </w:p>
    <w:p w:rsidR="00E1031A" w:rsidRPr="00675023" w:rsidRDefault="00E1031A" w:rsidP="00592363">
      <w:pPr>
        <w:spacing w:after="0" w:line="360" w:lineRule="auto"/>
        <w:jc w:val="both"/>
        <w:rPr>
          <w:rFonts w:ascii="Times New Roman" w:hAnsi="Times New Roman" w:cs="Times New Roman"/>
          <w:bCs/>
          <w:sz w:val="24"/>
          <w:szCs w:val="24"/>
        </w:rPr>
      </w:pPr>
    </w:p>
    <w:p w:rsidR="00A05EDB" w:rsidRPr="00675023" w:rsidRDefault="00A05EDB" w:rsidP="00501558">
      <w:pPr>
        <w:pStyle w:val="Heading3"/>
        <w:keepLines w:val="0"/>
        <w:numPr>
          <w:ilvl w:val="2"/>
          <w:numId w:val="41"/>
        </w:numPr>
        <w:spacing w:before="0" w:line="360" w:lineRule="auto"/>
        <w:rPr>
          <w:rFonts w:ascii="Times New Roman" w:hAnsi="Times New Roman" w:cs="Times New Roman"/>
          <w:b/>
          <w:color w:val="auto"/>
        </w:rPr>
      </w:pPr>
      <w:bookmarkStart w:id="11" w:name="_Toc445039773"/>
      <w:r w:rsidRPr="00675023">
        <w:rPr>
          <w:rFonts w:ascii="Times New Roman" w:hAnsi="Times New Roman" w:cs="Times New Roman"/>
          <w:b/>
          <w:color w:val="auto"/>
        </w:rPr>
        <w:t>Programme 8: Investment South Africa</w:t>
      </w:r>
      <w:bookmarkEnd w:id="11"/>
    </w:p>
    <w:p w:rsidR="00A05EDB" w:rsidRPr="00675023" w:rsidRDefault="00A05EDB" w:rsidP="00592363">
      <w:pPr>
        <w:spacing w:after="0" w:line="360" w:lineRule="auto"/>
        <w:jc w:val="both"/>
        <w:rPr>
          <w:rFonts w:ascii="Times New Roman" w:hAnsi="Times New Roman" w:cs="Times New Roman"/>
          <w:bCs/>
          <w:sz w:val="24"/>
          <w:szCs w:val="24"/>
        </w:rPr>
      </w:pPr>
    </w:p>
    <w:p w:rsidR="00A05EDB" w:rsidRPr="00675023" w:rsidRDefault="00A05EDB" w:rsidP="00592363">
      <w:pPr>
        <w:autoSpaceDE w:val="0"/>
        <w:autoSpaceDN w:val="0"/>
        <w:adjustRightInd w:val="0"/>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In the 2016 State of the Nation Address, President Zuma announced the One Stop Shop/Invest South Africa initiative that will increase investment into the country by removing red tape as well as legislative and regulatory blockages. The purpose of the programme is stated as to “</w:t>
      </w:r>
      <w:r w:rsidR="00B879D5" w:rsidRPr="00675023">
        <w:rPr>
          <w:rFonts w:ascii="Times New Roman" w:hAnsi="Times New Roman" w:cs="Times New Roman"/>
          <w:sz w:val="24"/>
          <w:szCs w:val="24"/>
          <w:lang w:eastAsia="en-ZA"/>
        </w:rPr>
        <w:t xml:space="preserve">support </w:t>
      </w:r>
      <w:r w:rsidRPr="00675023">
        <w:rPr>
          <w:rFonts w:ascii="Times New Roman" w:hAnsi="Times New Roman" w:cs="Times New Roman"/>
          <w:sz w:val="24"/>
          <w:szCs w:val="24"/>
          <w:lang w:eastAsia="en-ZA"/>
        </w:rPr>
        <w:t>foreign direct investment flows and domestic investment by providing a one-stop shop for investment promotion, investor facilitation and aftercare support for investors”</w:t>
      </w:r>
      <w:r w:rsidRPr="00675023">
        <w:rPr>
          <w:rStyle w:val="FootnoteReference"/>
          <w:rFonts w:ascii="Times New Roman" w:hAnsi="Times New Roman" w:cs="Times New Roman"/>
          <w:sz w:val="24"/>
          <w:szCs w:val="24"/>
          <w:lang w:eastAsia="en-ZA"/>
        </w:rPr>
        <w:footnoteReference w:id="14"/>
      </w:r>
      <w:r w:rsidRPr="00675023">
        <w:rPr>
          <w:rFonts w:ascii="Times New Roman" w:hAnsi="Times New Roman" w:cs="Times New Roman"/>
          <w:sz w:val="24"/>
          <w:szCs w:val="24"/>
          <w:lang w:eastAsia="en-ZA"/>
        </w:rPr>
        <w:t xml:space="preserve">. While the programme is new, the activities aligned to it had already been </w:t>
      </w:r>
      <w:r w:rsidR="00F248C4" w:rsidRPr="00675023">
        <w:rPr>
          <w:rFonts w:ascii="Times New Roman" w:hAnsi="Times New Roman" w:cs="Times New Roman"/>
          <w:sz w:val="24"/>
          <w:szCs w:val="24"/>
          <w:lang w:eastAsia="en-ZA"/>
        </w:rPr>
        <w:t xml:space="preserve">implemented by the </w:t>
      </w:r>
      <w:r w:rsidR="00B879D5" w:rsidRPr="00675023">
        <w:rPr>
          <w:rFonts w:ascii="Times New Roman" w:hAnsi="Times New Roman" w:cs="Times New Roman"/>
          <w:sz w:val="24"/>
          <w:szCs w:val="24"/>
          <w:lang w:eastAsia="en-ZA"/>
        </w:rPr>
        <w:t>DTI as part of the former Trade and Investment South Africa programme</w:t>
      </w:r>
      <w:r w:rsidR="00F248C4" w:rsidRPr="00675023">
        <w:rPr>
          <w:rFonts w:ascii="Times New Roman" w:hAnsi="Times New Roman" w:cs="Times New Roman"/>
          <w:sz w:val="24"/>
          <w:szCs w:val="24"/>
          <w:lang w:eastAsia="en-ZA"/>
        </w:rPr>
        <w:t xml:space="preserve">. </w:t>
      </w:r>
    </w:p>
    <w:p w:rsidR="00E1031A" w:rsidRPr="00675023" w:rsidRDefault="00E1031A" w:rsidP="00592363">
      <w:pPr>
        <w:autoSpaceDE w:val="0"/>
        <w:autoSpaceDN w:val="0"/>
        <w:adjustRightInd w:val="0"/>
        <w:spacing w:after="0" w:line="360" w:lineRule="auto"/>
        <w:jc w:val="both"/>
        <w:rPr>
          <w:rFonts w:ascii="Times New Roman" w:hAnsi="Times New Roman" w:cs="Times New Roman"/>
          <w:sz w:val="24"/>
          <w:szCs w:val="24"/>
          <w:lang w:eastAsia="en-ZA"/>
        </w:rPr>
      </w:pPr>
    </w:p>
    <w:p w:rsidR="00F248C4" w:rsidRPr="00675023" w:rsidRDefault="00A05EDB" w:rsidP="00592363">
      <w:pPr>
        <w:autoSpaceDE w:val="0"/>
        <w:autoSpaceDN w:val="0"/>
        <w:adjustRightInd w:val="0"/>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The programme is allocated R48 million for the 2016/17 financial year, transla</w:t>
      </w:r>
      <w:r w:rsidR="002530A3">
        <w:rPr>
          <w:rFonts w:ascii="Times New Roman" w:hAnsi="Times New Roman" w:cs="Times New Roman"/>
          <w:sz w:val="24"/>
          <w:szCs w:val="24"/>
          <w:lang w:eastAsia="en-ZA"/>
        </w:rPr>
        <w:t xml:space="preserve">ting to 1 percent of the </w:t>
      </w:r>
      <w:r w:rsidRPr="00675023">
        <w:rPr>
          <w:rFonts w:ascii="Times New Roman" w:hAnsi="Times New Roman" w:cs="Times New Roman"/>
          <w:sz w:val="24"/>
          <w:szCs w:val="24"/>
          <w:lang w:eastAsia="en-ZA"/>
        </w:rPr>
        <w:t xml:space="preserve">budget. The Investment and </w:t>
      </w:r>
      <w:r w:rsidR="001D7B80" w:rsidRPr="00675023">
        <w:rPr>
          <w:rFonts w:ascii="Times New Roman" w:hAnsi="Times New Roman" w:cs="Times New Roman"/>
          <w:sz w:val="24"/>
          <w:szCs w:val="24"/>
          <w:lang w:eastAsia="en-ZA"/>
        </w:rPr>
        <w:t>Inter-Departmental Clearing House</w:t>
      </w:r>
      <w:r w:rsidRPr="00675023">
        <w:rPr>
          <w:rFonts w:ascii="Times New Roman" w:hAnsi="Times New Roman" w:cs="Times New Roman"/>
          <w:sz w:val="24"/>
          <w:szCs w:val="24"/>
          <w:lang w:eastAsia="en-ZA"/>
        </w:rPr>
        <w:t xml:space="preserve"> sub-programme which specifically deals with the activities of the One Stop Shop has a budget of R4</w:t>
      </w:r>
      <w:r w:rsidR="001D7B80" w:rsidRPr="00675023">
        <w:rPr>
          <w:rFonts w:ascii="Times New Roman" w:hAnsi="Times New Roman" w:cs="Times New Roman"/>
          <w:sz w:val="24"/>
          <w:szCs w:val="24"/>
          <w:lang w:eastAsia="en-ZA"/>
        </w:rPr>
        <w:t xml:space="preserve"> </w:t>
      </w:r>
      <w:r w:rsidRPr="00675023">
        <w:rPr>
          <w:rFonts w:ascii="Times New Roman" w:hAnsi="Times New Roman" w:cs="Times New Roman"/>
          <w:sz w:val="24"/>
          <w:szCs w:val="24"/>
          <w:lang w:eastAsia="en-ZA"/>
        </w:rPr>
        <w:t>m</w:t>
      </w:r>
      <w:r w:rsidR="005257FD" w:rsidRPr="00675023">
        <w:rPr>
          <w:rFonts w:ascii="Times New Roman" w:hAnsi="Times New Roman" w:cs="Times New Roman"/>
          <w:sz w:val="24"/>
          <w:szCs w:val="24"/>
          <w:lang w:eastAsia="en-ZA"/>
        </w:rPr>
        <w:t xml:space="preserve">illion for the </w:t>
      </w:r>
      <w:r w:rsidR="001D7B80" w:rsidRPr="00675023">
        <w:rPr>
          <w:rFonts w:ascii="Times New Roman" w:hAnsi="Times New Roman" w:cs="Times New Roman"/>
          <w:sz w:val="24"/>
          <w:szCs w:val="24"/>
          <w:lang w:eastAsia="en-ZA"/>
        </w:rPr>
        <w:t xml:space="preserve">2016/17 </w:t>
      </w:r>
      <w:r w:rsidR="005257FD" w:rsidRPr="00675023">
        <w:rPr>
          <w:rFonts w:ascii="Times New Roman" w:hAnsi="Times New Roman" w:cs="Times New Roman"/>
          <w:sz w:val="24"/>
          <w:szCs w:val="24"/>
          <w:lang w:eastAsia="en-ZA"/>
        </w:rPr>
        <w:t xml:space="preserve">financial year. </w:t>
      </w:r>
    </w:p>
    <w:p w:rsidR="00E1031A" w:rsidRPr="00675023" w:rsidRDefault="00E1031A" w:rsidP="00592363">
      <w:pPr>
        <w:autoSpaceDE w:val="0"/>
        <w:autoSpaceDN w:val="0"/>
        <w:adjustRightInd w:val="0"/>
        <w:spacing w:after="0" w:line="360" w:lineRule="auto"/>
        <w:jc w:val="both"/>
        <w:rPr>
          <w:rFonts w:ascii="Times New Roman" w:hAnsi="Times New Roman" w:cs="Times New Roman"/>
          <w:sz w:val="24"/>
          <w:szCs w:val="24"/>
          <w:lang w:eastAsia="en-ZA"/>
        </w:rPr>
      </w:pPr>
    </w:p>
    <w:p w:rsidR="00313391" w:rsidRPr="00675023" w:rsidRDefault="00313391" w:rsidP="00592363">
      <w:pPr>
        <w:pStyle w:val="ListParagraph"/>
        <w:numPr>
          <w:ilvl w:val="1"/>
          <w:numId w:val="2"/>
        </w:numPr>
        <w:spacing w:after="0" w:line="360" w:lineRule="auto"/>
        <w:ind w:left="567" w:hanging="567"/>
        <w:jc w:val="both"/>
        <w:rPr>
          <w:rFonts w:ascii="Times New Roman" w:hAnsi="Times New Roman" w:cs="Times New Roman"/>
          <w:b/>
          <w:sz w:val="24"/>
          <w:szCs w:val="24"/>
        </w:rPr>
      </w:pPr>
      <w:r w:rsidRPr="00675023">
        <w:rPr>
          <w:rFonts w:ascii="Times New Roman" w:hAnsi="Times New Roman" w:cs="Times New Roman"/>
          <w:b/>
          <w:sz w:val="24"/>
          <w:szCs w:val="24"/>
        </w:rPr>
        <w:t>Key issues raised by the committee during its deliberations</w:t>
      </w:r>
    </w:p>
    <w:p w:rsidR="00313391" w:rsidRPr="00675023" w:rsidRDefault="00313391" w:rsidP="00592363">
      <w:pPr>
        <w:spacing w:after="0" w:line="360" w:lineRule="auto"/>
        <w:jc w:val="both"/>
        <w:rPr>
          <w:rFonts w:ascii="Times New Roman" w:hAnsi="Times New Roman" w:cs="Times New Roman"/>
          <w:sz w:val="24"/>
          <w:szCs w:val="24"/>
        </w:rPr>
      </w:pPr>
    </w:p>
    <w:p w:rsidR="00C241A0" w:rsidRPr="00675023" w:rsidRDefault="00C241A0"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During it</w:t>
      </w:r>
      <w:r w:rsidR="00361A02" w:rsidRPr="00675023">
        <w:rPr>
          <w:rFonts w:ascii="Times New Roman" w:hAnsi="Times New Roman" w:cs="Times New Roman"/>
          <w:sz w:val="24"/>
          <w:szCs w:val="24"/>
        </w:rPr>
        <w:t>s</w:t>
      </w:r>
      <w:r w:rsidRPr="00675023">
        <w:rPr>
          <w:rFonts w:ascii="Times New Roman" w:hAnsi="Times New Roman" w:cs="Times New Roman"/>
          <w:sz w:val="24"/>
          <w:szCs w:val="24"/>
        </w:rPr>
        <w:t xml:space="preserve"> deliberations</w:t>
      </w:r>
      <w:r w:rsidR="000C70C5" w:rsidRPr="00675023">
        <w:rPr>
          <w:rFonts w:ascii="Times New Roman" w:hAnsi="Times New Roman" w:cs="Times New Roman"/>
          <w:sz w:val="24"/>
          <w:szCs w:val="24"/>
        </w:rPr>
        <w:t>,</w:t>
      </w:r>
      <w:r w:rsidRPr="00675023">
        <w:rPr>
          <w:rFonts w:ascii="Times New Roman" w:hAnsi="Times New Roman" w:cs="Times New Roman"/>
          <w:sz w:val="24"/>
          <w:szCs w:val="24"/>
        </w:rPr>
        <w:t xml:space="preserve"> the committee raised a number of concerns relating to industrial policy, energy, the promotion of black industrialists and the verification of Black Economic Empowerment, among other</w:t>
      </w:r>
      <w:r w:rsidR="00361A02" w:rsidRPr="00675023">
        <w:rPr>
          <w:rFonts w:ascii="Times New Roman" w:hAnsi="Times New Roman" w:cs="Times New Roman"/>
          <w:sz w:val="24"/>
          <w:szCs w:val="24"/>
        </w:rPr>
        <w:t>s, which are captured below:</w:t>
      </w:r>
    </w:p>
    <w:p w:rsidR="00F942A4" w:rsidRPr="00675023" w:rsidRDefault="00F942A4" w:rsidP="00592363">
      <w:pPr>
        <w:spacing w:after="0" w:line="360" w:lineRule="auto"/>
        <w:jc w:val="both"/>
        <w:rPr>
          <w:rFonts w:ascii="Times New Roman" w:hAnsi="Times New Roman" w:cs="Times New Roman"/>
          <w:sz w:val="24"/>
          <w:szCs w:val="24"/>
        </w:rPr>
      </w:pPr>
    </w:p>
    <w:p w:rsidR="00186842" w:rsidRPr="00186842" w:rsidRDefault="00186842" w:rsidP="00186842">
      <w:pPr>
        <w:pStyle w:val="ListParagraph"/>
        <w:numPr>
          <w:ilvl w:val="0"/>
          <w:numId w:val="11"/>
        </w:numPr>
        <w:spacing w:after="0" w:line="360" w:lineRule="auto"/>
        <w:ind w:hanging="357"/>
        <w:jc w:val="both"/>
        <w:rPr>
          <w:rFonts w:ascii="Times New Roman" w:hAnsi="Times New Roman" w:cs="Times New Roman"/>
          <w:sz w:val="24"/>
        </w:rPr>
      </w:pPr>
      <w:r w:rsidRPr="00186842">
        <w:rPr>
          <w:rFonts w:ascii="Times New Roman" w:hAnsi="Times New Roman" w:cs="Times New Roman"/>
          <w:i/>
          <w:sz w:val="24"/>
        </w:rPr>
        <w:t>The impact of Industrial Parks with respect to job creation and addressing the apartheid legacy:</w:t>
      </w:r>
      <w:r w:rsidRPr="00186842">
        <w:rPr>
          <w:rFonts w:ascii="Times New Roman" w:hAnsi="Times New Roman" w:cs="Times New Roman"/>
          <w:sz w:val="24"/>
        </w:rPr>
        <w:t xml:space="preserve"> The committee acknowledge</w:t>
      </w:r>
      <w:r w:rsidR="00682162">
        <w:rPr>
          <w:rFonts w:ascii="Times New Roman" w:hAnsi="Times New Roman" w:cs="Times New Roman"/>
          <w:sz w:val="24"/>
        </w:rPr>
        <w:t>d</w:t>
      </w:r>
      <w:r w:rsidRPr="00186842">
        <w:rPr>
          <w:rFonts w:ascii="Times New Roman" w:hAnsi="Times New Roman" w:cs="Times New Roman"/>
          <w:sz w:val="24"/>
        </w:rPr>
        <w:t xml:space="preserve"> the positive impact </w:t>
      </w:r>
      <w:r w:rsidR="00682162">
        <w:rPr>
          <w:rFonts w:ascii="Times New Roman" w:hAnsi="Times New Roman" w:cs="Times New Roman"/>
          <w:sz w:val="24"/>
        </w:rPr>
        <w:t xml:space="preserve">that </w:t>
      </w:r>
      <w:r w:rsidRPr="00186842">
        <w:rPr>
          <w:rFonts w:ascii="Times New Roman" w:hAnsi="Times New Roman" w:cs="Times New Roman"/>
          <w:sz w:val="24"/>
        </w:rPr>
        <w:t xml:space="preserve">Industrial Parks </w:t>
      </w:r>
      <w:r w:rsidR="00682162">
        <w:rPr>
          <w:rFonts w:ascii="Times New Roman" w:hAnsi="Times New Roman" w:cs="Times New Roman"/>
          <w:sz w:val="24"/>
        </w:rPr>
        <w:t xml:space="preserve">could have </w:t>
      </w:r>
      <w:r w:rsidRPr="00186842">
        <w:rPr>
          <w:rFonts w:ascii="Times New Roman" w:hAnsi="Times New Roman" w:cs="Times New Roman"/>
          <w:sz w:val="24"/>
        </w:rPr>
        <w:t>with respect to job creation, especially in the former homelands</w:t>
      </w:r>
      <w:r w:rsidR="00682162">
        <w:rPr>
          <w:rFonts w:ascii="Times New Roman" w:hAnsi="Times New Roman" w:cs="Times New Roman"/>
          <w:sz w:val="24"/>
        </w:rPr>
        <w:t xml:space="preserve"> and close to townships</w:t>
      </w:r>
      <w:r w:rsidRPr="00186842">
        <w:rPr>
          <w:rFonts w:ascii="Times New Roman" w:hAnsi="Times New Roman" w:cs="Times New Roman"/>
          <w:sz w:val="24"/>
        </w:rPr>
        <w:t xml:space="preserve">. The DTI informed the committee that Industrial Parks represents an opportunity for stimulating local economic development, foreign </w:t>
      </w:r>
      <w:r w:rsidR="00682162">
        <w:rPr>
          <w:rFonts w:ascii="Times New Roman" w:hAnsi="Times New Roman" w:cs="Times New Roman"/>
          <w:sz w:val="24"/>
        </w:rPr>
        <w:t xml:space="preserve">direct </w:t>
      </w:r>
      <w:r w:rsidRPr="00186842">
        <w:rPr>
          <w:rFonts w:ascii="Times New Roman" w:hAnsi="Times New Roman" w:cs="Times New Roman"/>
          <w:sz w:val="24"/>
        </w:rPr>
        <w:t xml:space="preserve">investment and job creation. </w:t>
      </w:r>
    </w:p>
    <w:p w:rsidR="00186842" w:rsidRPr="00186842" w:rsidRDefault="00186842" w:rsidP="00186842">
      <w:pPr>
        <w:pStyle w:val="ListParagraph"/>
        <w:numPr>
          <w:ilvl w:val="0"/>
          <w:numId w:val="11"/>
        </w:numPr>
        <w:spacing w:after="0" w:line="360" w:lineRule="auto"/>
        <w:ind w:hanging="357"/>
        <w:jc w:val="both"/>
        <w:rPr>
          <w:rFonts w:ascii="Times New Roman" w:hAnsi="Times New Roman" w:cs="Times New Roman"/>
          <w:sz w:val="24"/>
        </w:rPr>
      </w:pPr>
      <w:r w:rsidRPr="00186842">
        <w:rPr>
          <w:rFonts w:ascii="Times New Roman" w:hAnsi="Times New Roman" w:cs="Times New Roman"/>
          <w:i/>
          <w:sz w:val="24"/>
        </w:rPr>
        <w:t>Risks that would impede the DTI</w:t>
      </w:r>
      <w:r w:rsidR="00682162">
        <w:rPr>
          <w:rFonts w:ascii="Times New Roman" w:hAnsi="Times New Roman" w:cs="Times New Roman"/>
          <w:i/>
          <w:sz w:val="24"/>
        </w:rPr>
        <w:t>’</w:t>
      </w:r>
      <w:r w:rsidRPr="00186842">
        <w:rPr>
          <w:rFonts w:ascii="Times New Roman" w:hAnsi="Times New Roman" w:cs="Times New Roman"/>
          <w:i/>
          <w:sz w:val="24"/>
        </w:rPr>
        <w:t>s ability to achieve its objectives as it relates to fraud and corruption, and the non-achievement of performance targets by entities:</w:t>
      </w:r>
      <w:r w:rsidRPr="00186842">
        <w:rPr>
          <w:rFonts w:ascii="Times New Roman" w:hAnsi="Times New Roman" w:cs="Times New Roman"/>
          <w:sz w:val="24"/>
        </w:rPr>
        <w:t xml:space="preserve"> The committee raised its concern</w:t>
      </w:r>
      <w:r w:rsidR="00682162">
        <w:rPr>
          <w:rFonts w:ascii="Times New Roman" w:hAnsi="Times New Roman" w:cs="Times New Roman"/>
          <w:sz w:val="24"/>
        </w:rPr>
        <w:t>s</w:t>
      </w:r>
      <w:r w:rsidRPr="00186842">
        <w:rPr>
          <w:rFonts w:ascii="Times New Roman" w:hAnsi="Times New Roman" w:cs="Times New Roman"/>
          <w:sz w:val="24"/>
        </w:rPr>
        <w:t xml:space="preserve"> with respect to the strategic risks that would impede the DTI</w:t>
      </w:r>
      <w:r w:rsidR="00682162">
        <w:rPr>
          <w:rFonts w:ascii="Times New Roman" w:hAnsi="Times New Roman" w:cs="Times New Roman"/>
          <w:sz w:val="24"/>
        </w:rPr>
        <w:t>’</w:t>
      </w:r>
      <w:r w:rsidRPr="00186842">
        <w:rPr>
          <w:rFonts w:ascii="Times New Roman" w:hAnsi="Times New Roman" w:cs="Times New Roman"/>
          <w:sz w:val="24"/>
        </w:rPr>
        <w:t xml:space="preserve">s ability to achieve its strategic objectives. </w:t>
      </w:r>
      <w:r w:rsidR="00682162">
        <w:rPr>
          <w:rFonts w:ascii="Times New Roman" w:hAnsi="Times New Roman" w:cs="Times New Roman"/>
          <w:sz w:val="24"/>
        </w:rPr>
        <w:t xml:space="preserve">The </w:t>
      </w:r>
      <w:r w:rsidRPr="00186842">
        <w:rPr>
          <w:rFonts w:ascii="Times New Roman" w:hAnsi="Times New Roman" w:cs="Times New Roman"/>
          <w:sz w:val="24"/>
        </w:rPr>
        <w:t>DTI informed the committee that it ha</w:t>
      </w:r>
      <w:r w:rsidR="00682162">
        <w:rPr>
          <w:rFonts w:ascii="Times New Roman" w:hAnsi="Times New Roman" w:cs="Times New Roman"/>
          <w:sz w:val="24"/>
        </w:rPr>
        <w:t>d</w:t>
      </w:r>
      <w:r w:rsidRPr="00186842">
        <w:rPr>
          <w:rFonts w:ascii="Times New Roman" w:hAnsi="Times New Roman" w:cs="Times New Roman"/>
          <w:sz w:val="24"/>
        </w:rPr>
        <w:t xml:space="preserve"> appointed an external service provider to conduct a fraud risk assessment to improve its internal controls. With regard to the monitoring of the entities, the DTI informed the committee that it recognise</w:t>
      </w:r>
      <w:r w:rsidR="004F2CA5">
        <w:rPr>
          <w:rFonts w:ascii="Times New Roman" w:hAnsi="Times New Roman" w:cs="Times New Roman"/>
          <w:sz w:val="24"/>
        </w:rPr>
        <w:t>d</w:t>
      </w:r>
      <w:r w:rsidRPr="00186842">
        <w:rPr>
          <w:rFonts w:ascii="Times New Roman" w:hAnsi="Times New Roman" w:cs="Times New Roman"/>
          <w:sz w:val="24"/>
        </w:rPr>
        <w:t xml:space="preserve"> that the quarterly monitoring </w:t>
      </w:r>
      <w:r w:rsidR="004F2CA5">
        <w:rPr>
          <w:rFonts w:ascii="Times New Roman" w:hAnsi="Times New Roman" w:cs="Times New Roman"/>
          <w:sz w:val="24"/>
        </w:rPr>
        <w:t>had been</w:t>
      </w:r>
      <w:r w:rsidRPr="00186842">
        <w:rPr>
          <w:rFonts w:ascii="Times New Roman" w:hAnsi="Times New Roman" w:cs="Times New Roman"/>
          <w:sz w:val="24"/>
        </w:rPr>
        <w:t xml:space="preserve"> reactive</w:t>
      </w:r>
      <w:r w:rsidR="004F2CA5">
        <w:rPr>
          <w:rFonts w:ascii="Times New Roman" w:hAnsi="Times New Roman" w:cs="Times New Roman"/>
          <w:sz w:val="24"/>
        </w:rPr>
        <w:t>. Consequently, it</w:t>
      </w:r>
      <w:r w:rsidRPr="00186842">
        <w:rPr>
          <w:rFonts w:ascii="Times New Roman" w:hAnsi="Times New Roman" w:cs="Times New Roman"/>
          <w:sz w:val="24"/>
        </w:rPr>
        <w:t xml:space="preserve"> had adopted an integrated approach which would allow the assessment of the quality of </w:t>
      </w:r>
      <w:r w:rsidR="004F2CA5">
        <w:rPr>
          <w:rFonts w:ascii="Times New Roman" w:hAnsi="Times New Roman" w:cs="Times New Roman"/>
          <w:sz w:val="24"/>
        </w:rPr>
        <w:t xml:space="preserve">the entities’ </w:t>
      </w:r>
      <w:r w:rsidRPr="00186842">
        <w:rPr>
          <w:rFonts w:ascii="Times New Roman" w:hAnsi="Times New Roman" w:cs="Times New Roman"/>
          <w:sz w:val="24"/>
        </w:rPr>
        <w:t xml:space="preserve">internal targets and not simply </w:t>
      </w:r>
      <w:r w:rsidR="004F2CA5">
        <w:rPr>
          <w:rFonts w:ascii="Times New Roman" w:hAnsi="Times New Roman" w:cs="Times New Roman"/>
          <w:sz w:val="24"/>
        </w:rPr>
        <w:t>their performance against these</w:t>
      </w:r>
      <w:r w:rsidRPr="00186842">
        <w:rPr>
          <w:rFonts w:ascii="Times New Roman" w:hAnsi="Times New Roman" w:cs="Times New Roman"/>
          <w:sz w:val="24"/>
        </w:rPr>
        <w:t xml:space="preserve">. </w:t>
      </w:r>
      <w:r w:rsidR="004F2CA5">
        <w:rPr>
          <w:rFonts w:ascii="Times New Roman" w:hAnsi="Times New Roman" w:cs="Times New Roman"/>
          <w:sz w:val="24"/>
        </w:rPr>
        <w:t xml:space="preserve">The </w:t>
      </w:r>
      <w:r w:rsidRPr="00186842">
        <w:rPr>
          <w:rFonts w:ascii="Times New Roman" w:hAnsi="Times New Roman" w:cs="Times New Roman"/>
          <w:sz w:val="24"/>
        </w:rPr>
        <w:t xml:space="preserve">DTI envisaged </w:t>
      </w:r>
      <w:r w:rsidR="004F2CA5">
        <w:rPr>
          <w:rFonts w:ascii="Times New Roman" w:hAnsi="Times New Roman" w:cs="Times New Roman"/>
          <w:sz w:val="24"/>
        </w:rPr>
        <w:t xml:space="preserve">that it would </w:t>
      </w:r>
      <w:r w:rsidRPr="00186842">
        <w:rPr>
          <w:rFonts w:ascii="Times New Roman" w:hAnsi="Times New Roman" w:cs="Times New Roman"/>
          <w:sz w:val="24"/>
        </w:rPr>
        <w:t>actively participate when entities develop their A</w:t>
      </w:r>
      <w:r w:rsidR="004F2CA5">
        <w:rPr>
          <w:rFonts w:ascii="Times New Roman" w:hAnsi="Times New Roman" w:cs="Times New Roman"/>
          <w:sz w:val="24"/>
        </w:rPr>
        <w:t xml:space="preserve">nnual </w:t>
      </w:r>
      <w:r w:rsidRPr="00186842">
        <w:rPr>
          <w:rFonts w:ascii="Times New Roman" w:hAnsi="Times New Roman" w:cs="Times New Roman"/>
          <w:sz w:val="24"/>
        </w:rPr>
        <w:t>P</w:t>
      </w:r>
      <w:r w:rsidR="004F2CA5">
        <w:rPr>
          <w:rFonts w:ascii="Times New Roman" w:hAnsi="Times New Roman" w:cs="Times New Roman"/>
          <w:sz w:val="24"/>
        </w:rPr>
        <w:t xml:space="preserve">erformance </w:t>
      </w:r>
      <w:r w:rsidRPr="00186842">
        <w:rPr>
          <w:rFonts w:ascii="Times New Roman" w:hAnsi="Times New Roman" w:cs="Times New Roman"/>
          <w:sz w:val="24"/>
        </w:rPr>
        <w:t>P</w:t>
      </w:r>
      <w:r w:rsidR="004F2CA5">
        <w:rPr>
          <w:rFonts w:ascii="Times New Roman" w:hAnsi="Times New Roman" w:cs="Times New Roman"/>
          <w:sz w:val="24"/>
        </w:rPr>
        <w:t>lan</w:t>
      </w:r>
      <w:r w:rsidRPr="00186842">
        <w:rPr>
          <w:rFonts w:ascii="Times New Roman" w:hAnsi="Times New Roman" w:cs="Times New Roman"/>
          <w:sz w:val="24"/>
        </w:rPr>
        <w:t xml:space="preserve">s to ensure that targets </w:t>
      </w:r>
      <w:r w:rsidR="004F2CA5">
        <w:rPr>
          <w:rFonts w:ascii="Times New Roman" w:hAnsi="Times New Roman" w:cs="Times New Roman"/>
          <w:sz w:val="24"/>
        </w:rPr>
        <w:t xml:space="preserve">adhere to the </w:t>
      </w:r>
      <w:r w:rsidR="004F2CA5" w:rsidRPr="00186842">
        <w:rPr>
          <w:rFonts w:ascii="Times New Roman" w:hAnsi="Times New Roman" w:cs="Times New Roman"/>
          <w:sz w:val="24"/>
        </w:rPr>
        <w:t>SMART</w:t>
      </w:r>
      <w:r w:rsidR="004F2CA5">
        <w:rPr>
          <w:rFonts w:ascii="Times New Roman" w:hAnsi="Times New Roman" w:cs="Times New Roman"/>
          <w:sz w:val="24"/>
        </w:rPr>
        <w:t xml:space="preserve"> principles</w:t>
      </w:r>
      <w:r w:rsidR="004F2CA5">
        <w:rPr>
          <w:rStyle w:val="FootnoteReference"/>
          <w:rFonts w:ascii="Times New Roman" w:hAnsi="Times New Roman" w:cs="Times New Roman"/>
          <w:sz w:val="24"/>
        </w:rPr>
        <w:footnoteReference w:id="15"/>
      </w:r>
      <w:r w:rsidRPr="00186842">
        <w:rPr>
          <w:rFonts w:ascii="Times New Roman" w:hAnsi="Times New Roman" w:cs="Times New Roman"/>
          <w:sz w:val="24"/>
        </w:rPr>
        <w:t xml:space="preserve">. </w:t>
      </w:r>
    </w:p>
    <w:p w:rsidR="00186842" w:rsidRPr="00186842" w:rsidRDefault="00186842" w:rsidP="00186842">
      <w:pPr>
        <w:pStyle w:val="ListParagraph"/>
        <w:numPr>
          <w:ilvl w:val="0"/>
          <w:numId w:val="11"/>
        </w:numPr>
        <w:spacing w:after="0" w:line="360" w:lineRule="auto"/>
        <w:ind w:hanging="357"/>
        <w:jc w:val="both"/>
        <w:rPr>
          <w:rFonts w:ascii="Times New Roman" w:hAnsi="Times New Roman" w:cs="Times New Roman"/>
          <w:i/>
          <w:sz w:val="24"/>
        </w:rPr>
      </w:pPr>
      <w:r w:rsidRPr="00186842">
        <w:rPr>
          <w:rFonts w:ascii="Times New Roman" w:hAnsi="Times New Roman" w:cs="Times New Roman"/>
          <w:i/>
          <w:sz w:val="24"/>
        </w:rPr>
        <w:t xml:space="preserve">The beneficiation drive of government with reference to the mining sector and the specific products identified: </w:t>
      </w:r>
      <w:r w:rsidRPr="00186842">
        <w:rPr>
          <w:rFonts w:ascii="Times New Roman" w:hAnsi="Times New Roman" w:cs="Times New Roman"/>
          <w:sz w:val="24"/>
        </w:rPr>
        <w:t xml:space="preserve">The committee raised its concern with respect to the slow uptake of both government and the private sector with regard to </w:t>
      </w:r>
      <w:r w:rsidR="005D3A55">
        <w:rPr>
          <w:rFonts w:ascii="Times New Roman" w:hAnsi="Times New Roman" w:cs="Times New Roman"/>
          <w:sz w:val="24"/>
        </w:rPr>
        <w:t xml:space="preserve">mineral </w:t>
      </w:r>
      <w:r w:rsidRPr="00186842">
        <w:rPr>
          <w:rFonts w:ascii="Times New Roman" w:hAnsi="Times New Roman" w:cs="Times New Roman"/>
          <w:sz w:val="24"/>
        </w:rPr>
        <w:t>beneficiation. The DTI informed the committee that two sectors had been identified</w:t>
      </w:r>
      <w:r w:rsidR="005D3A55">
        <w:rPr>
          <w:rFonts w:ascii="Times New Roman" w:hAnsi="Times New Roman" w:cs="Times New Roman"/>
          <w:sz w:val="24"/>
        </w:rPr>
        <w:t>. The first is</w:t>
      </w:r>
      <w:r w:rsidRPr="00186842">
        <w:rPr>
          <w:rFonts w:ascii="Times New Roman" w:hAnsi="Times New Roman" w:cs="Times New Roman"/>
          <w:sz w:val="24"/>
        </w:rPr>
        <w:t xml:space="preserve"> mining equipment. Th</w:t>
      </w:r>
      <w:r w:rsidR="005D3A55">
        <w:rPr>
          <w:rFonts w:ascii="Times New Roman" w:hAnsi="Times New Roman" w:cs="Times New Roman"/>
          <w:sz w:val="24"/>
        </w:rPr>
        <w:t>ere</w:t>
      </w:r>
      <w:r w:rsidRPr="00186842">
        <w:rPr>
          <w:rFonts w:ascii="Times New Roman" w:hAnsi="Times New Roman" w:cs="Times New Roman"/>
          <w:sz w:val="24"/>
        </w:rPr>
        <w:t xml:space="preserve"> is a programme similar to the automotive sector which would be looking at how mining companies should be encourage</w:t>
      </w:r>
      <w:r w:rsidR="005D3A55">
        <w:rPr>
          <w:rFonts w:ascii="Times New Roman" w:hAnsi="Times New Roman" w:cs="Times New Roman"/>
          <w:sz w:val="24"/>
        </w:rPr>
        <w:t>d</w:t>
      </w:r>
      <w:r w:rsidRPr="00186842">
        <w:rPr>
          <w:rFonts w:ascii="Times New Roman" w:hAnsi="Times New Roman" w:cs="Times New Roman"/>
          <w:sz w:val="24"/>
        </w:rPr>
        <w:t xml:space="preserve"> to purchase locally produc</w:t>
      </w:r>
      <w:r w:rsidR="005D3A55">
        <w:rPr>
          <w:rFonts w:ascii="Times New Roman" w:hAnsi="Times New Roman" w:cs="Times New Roman"/>
          <w:sz w:val="24"/>
        </w:rPr>
        <w:t>ed</w:t>
      </w:r>
      <w:r w:rsidRPr="00186842">
        <w:rPr>
          <w:rFonts w:ascii="Times New Roman" w:hAnsi="Times New Roman" w:cs="Times New Roman"/>
          <w:sz w:val="24"/>
        </w:rPr>
        <w:t xml:space="preserve"> mining equipment</w:t>
      </w:r>
      <w:r w:rsidR="005D3A55">
        <w:rPr>
          <w:rFonts w:ascii="Times New Roman" w:hAnsi="Times New Roman" w:cs="Times New Roman"/>
          <w:sz w:val="24"/>
        </w:rPr>
        <w:t>,</w:t>
      </w:r>
      <w:r w:rsidRPr="00186842">
        <w:rPr>
          <w:rFonts w:ascii="Times New Roman" w:hAnsi="Times New Roman" w:cs="Times New Roman"/>
          <w:sz w:val="24"/>
        </w:rPr>
        <w:t xml:space="preserve"> as well as produc</w:t>
      </w:r>
      <w:r w:rsidR="005D3A55">
        <w:rPr>
          <w:rFonts w:ascii="Times New Roman" w:hAnsi="Times New Roman" w:cs="Times New Roman"/>
          <w:sz w:val="24"/>
        </w:rPr>
        <w:t>tion</w:t>
      </w:r>
      <w:r w:rsidRPr="00186842">
        <w:rPr>
          <w:rFonts w:ascii="Times New Roman" w:hAnsi="Times New Roman" w:cs="Times New Roman"/>
          <w:sz w:val="24"/>
        </w:rPr>
        <w:t xml:space="preserve"> for the export market. The </w:t>
      </w:r>
      <w:r w:rsidR="005D3A55">
        <w:rPr>
          <w:rFonts w:ascii="Times New Roman" w:hAnsi="Times New Roman" w:cs="Times New Roman"/>
          <w:sz w:val="24"/>
        </w:rPr>
        <w:t xml:space="preserve">second </w:t>
      </w:r>
      <w:r w:rsidRPr="00186842">
        <w:rPr>
          <w:rFonts w:ascii="Times New Roman" w:hAnsi="Times New Roman" w:cs="Times New Roman"/>
          <w:sz w:val="24"/>
        </w:rPr>
        <w:t>sector is for platinum</w:t>
      </w:r>
      <w:r w:rsidR="005D3A55">
        <w:rPr>
          <w:rFonts w:ascii="Times New Roman" w:hAnsi="Times New Roman" w:cs="Times New Roman"/>
          <w:sz w:val="24"/>
        </w:rPr>
        <w:t>-</w:t>
      </w:r>
      <w:r w:rsidRPr="00186842">
        <w:rPr>
          <w:rFonts w:ascii="Times New Roman" w:hAnsi="Times New Roman" w:cs="Times New Roman"/>
          <w:sz w:val="24"/>
        </w:rPr>
        <w:t>based fuels cells to drive economic development. Impala Platinum is building a 1.6 megawatt fuel cell plant in collaboration with the Department of Science and Technology. The technology’s demand for the use of platinum could provide additional avenues for beneficiation of Platinum Group Metals (PMGs).</w:t>
      </w:r>
    </w:p>
    <w:p w:rsidR="00186842" w:rsidRDefault="00186842" w:rsidP="00186842">
      <w:pPr>
        <w:pStyle w:val="ListParagraph"/>
        <w:numPr>
          <w:ilvl w:val="0"/>
          <w:numId w:val="11"/>
        </w:numPr>
        <w:spacing w:after="0" w:line="360" w:lineRule="auto"/>
        <w:ind w:hanging="357"/>
        <w:jc w:val="both"/>
        <w:rPr>
          <w:rFonts w:ascii="Times New Roman" w:hAnsi="Times New Roman" w:cs="Times New Roman"/>
          <w:sz w:val="24"/>
        </w:rPr>
      </w:pPr>
      <w:r w:rsidRPr="00186842">
        <w:rPr>
          <w:rFonts w:ascii="Times New Roman" w:hAnsi="Times New Roman" w:cs="Times New Roman"/>
          <w:i/>
          <w:sz w:val="24"/>
        </w:rPr>
        <w:t>The rationale for the decline in the investment leverag</w:t>
      </w:r>
      <w:r w:rsidR="00501DA0">
        <w:rPr>
          <w:rFonts w:ascii="Times New Roman" w:hAnsi="Times New Roman" w:cs="Times New Roman"/>
          <w:i/>
          <w:sz w:val="24"/>
        </w:rPr>
        <w:t>ing</w:t>
      </w:r>
      <w:r w:rsidRPr="00186842">
        <w:rPr>
          <w:rFonts w:ascii="Times New Roman" w:hAnsi="Times New Roman" w:cs="Times New Roman"/>
          <w:i/>
          <w:sz w:val="24"/>
        </w:rPr>
        <w:t xml:space="preserve"> targets over the </w:t>
      </w:r>
      <w:r w:rsidR="00501DA0">
        <w:rPr>
          <w:rFonts w:ascii="Times New Roman" w:hAnsi="Times New Roman" w:cs="Times New Roman"/>
          <w:i/>
          <w:sz w:val="24"/>
        </w:rPr>
        <w:t>Medium Term Expenditure Framework (</w:t>
      </w:r>
      <w:r w:rsidRPr="00186842">
        <w:rPr>
          <w:rFonts w:ascii="Times New Roman" w:hAnsi="Times New Roman" w:cs="Times New Roman"/>
          <w:i/>
          <w:sz w:val="24"/>
        </w:rPr>
        <w:t>MTEF</w:t>
      </w:r>
      <w:r w:rsidR="00501DA0">
        <w:rPr>
          <w:rFonts w:ascii="Times New Roman" w:hAnsi="Times New Roman" w:cs="Times New Roman"/>
          <w:i/>
          <w:sz w:val="24"/>
        </w:rPr>
        <w:t>)</w:t>
      </w:r>
      <w:r w:rsidRPr="00186842">
        <w:rPr>
          <w:rFonts w:ascii="Times New Roman" w:hAnsi="Times New Roman" w:cs="Times New Roman"/>
          <w:i/>
          <w:sz w:val="24"/>
        </w:rPr>
        <w:t xml:space="preserve"> period and its relation to attracting future investment: </w:t>
      </w:r>
      <w:r w:rsidRPr="00186842">
        <w:rPr>
          <w:rFonts w:ascii="Times New Roman" w:hAnsi="Times New Roman" w:cs="Times New Roman"/>
          <w:sz w:val="24"/>
        </w:rPr>
        <w:t>The committee raised a concern around the perceived decline in the investment leverag</w:t>
      </w:r>
      <w:r w:rsidR="00501DA0">
        <w:rPr>
          <w:rFonts w:ascii="Times New Roman" w:hAnsi="Times New Roman" w:cs="Times New Roman"/>
          <w:sz w:val="24"/>
        </w:rPr>
        <w:t>ing</w:t>
      </w:r>
      <w:r w:rsidRPr="00186842">
        <w:rPr>
          <w:rFonts w:ascii="Times New Roman" w:hAnsi="Times New Roman" w:cs="Times New Roman"/>
          <w:sz w:val="24"/>
        </w:rPr>
        <w:t xml:space="preserve"> target over the MTEF period. The DTI </w:t>
      </w:r>
      <w:r w:rsidR="00501DA0">
        <w:rPr>
          <w:rFonts w:ascii="Times New Roman" w:hAnsi="Times New Roman" w:cs="Times New Roman"/>
          <w:sz w:val="24"/>
        </w:rPr>
        <w:t xml:space="preserve">responded </w:t>
      </w:r>
      <w:r w:rsidRPr="00186842">
        <w:rPr>
          <w:rFonts w:ascii="Times New Roman" w:hAnsi="Times New Roman" w:cs="Times New Roman"/>
          <w:sz w:val="24"/>
        </w:rPr>
        <w:t xml:space="preserve">that </w:t>
      </w:r>
      <w:r w:rsidR="00501DA0" w:rsidRPr="00186842">
        <w:rPr>
          <w:rFonts w:ascii="Times New Roman" w:hAnsi="Times New Roman" w:cs="Times New Roman"/>
          <w:sz w:val="24"/>
        </w:rPr>
        <w:t xml:space="preserve">investment </w:t>
      </w:r>
      <w:r w:rsidRPr="00186842">
        <w:rPr>
          <w:rFonts w:ascii="Times New Roman" w:hAnsi="Times New Roman" w:cs="Times New Roman"/>
          <w:sz w:val="24"/>
        </w:rPr>
        <w:t>is currently 17 per cent of G</w:t>
      </w:r>
      <w:r w:rsidR="00501DA0">
        <w:rPr>
          <w:rFonts w:ascii="Times New Roman" w:hAnsi="Times New Roman" w:cs="Times New Roman"/>
          <w:sz w:val="24"/>
        </w:rPr>
        <w:t xml:space="preserve">ross </w:t>
      </w:r>
      <w:r w:rsidRPr="00186842">
        <w:rPr>
          <w:rFonts w:ascii="Times New Roman" w:hAnsi="Times New Roman" w:cs="Times New Roman"/>
          <w:sz w:val="24"/>
        </w:rPr>
        <w:t>D</w:t>
      </w:r>
      <w:r w:rsidR="00501DA0">
        <w:rPr>
          <w:rFonts w:ascii="Times New Roman" w:hAnsi="Times New Roman" w:cs="Times New Roman"/>
          <w:sz w:val="24"/>
        </w:rPr>
        <w:t xml:space="preserve">omestic </w:t>
      </w:r>
      <w:r w:rsidRPr="00186842">
        <w:rPr>
          <w:rFonts w:ascii="Times New Roman" w:hAnsi="Times New Roman" w:cs="Times New Roman"/>
          <w:sz w:val="24"/>
        </w:rPr>
        <w:t>P</w:t>
      </w:r>
      <w:r w:rsidR="00501DA0">
        <w:rPr>
          <w:rFonts w:ascii="Times New Roman" w:hAnsi="Times New Roman" w:cs="Times New Roman"/>
          <w:sz w:val="24"/>
        </w:rPr>
        <w:t>roduct</w:t>
      </w:r>
      <w:r w:rsidRPr="00186842">
        <w:rPr>
          <w:rFonts w:ascii="Times New Roman" w:hAnsi="Times New Roman" w:cs="Times New Roman"/>
          <w:sz w:val="24"/>
        </w:rPr>
        <w:t xml:space="preserve"> with the goal to double investment to ensure a 5 per cent growth. The reference to the decline in the investment target relates to the Manufacturing Competitive Enhancement Programme</w:t>
      </w:r>
      <w:r w:rsidR="00501DA0">
        <w:rPr>
          <w:rFonts w:ascii="Times New Roman" w:hAnsi="Times New Roman" w:cs="Times New Roman"/>
          <w:sz w:val="24"/>
        </w:rPr>
        <w:t xml:space="preserve"> (MCEP),</w:t>
      </w:r>
      <w:r w:rsidRPr="00186842">
        <w:rPr>
          <w:rFonts w:ascii="Times New Roman" w:hAnsi="Times New Roman" w:cs="Times New Roman"/>
          <w:sz w:val="24"/>
        </w:rPr>
        <w:t xml:space="preserve"> which has come to an end. The MCEP was a specific programme design</w:t>
      </w:r>
      <w:r w:rsidR="00501DA0">
        <w:rPr>
          <w:rFonts w:ascii="Times New Roman" w:hAnsi="Times New Roman" w:cs="Times New Roman"/>
          <w:sz w:val="24"/>
        </w:rPr>
        <w:t>ed</w:t>
      </w:r>
      <w:r w:rsidRPr="00186842">
        <w:rPr>
          <w:rFonts w:ascii="Times New Roman" w:hAnsi="Times New Roman" w:cs="Times New Roman"/>
          <w:sz w:val="24"/>
        </w:rPr>
        <w:t xml:space="preserve"> to deal with a specific crisis and was never projected to be a long-term programme. Due to the massive slowdown in South Africa’s exports to the European Union</w:t>
      </w:r>
      <w:r w:rsidR="00501DA0">
        <w:rPr>
          <w:rFonts w:ascii="Times New Roman" w:hAnsi="Times New Roman" w:cs="Times New Roman"/>
          <w:sz w:val="24"/>
        </w:rPr>
        <w:t>,</w:t>
      </w:r>
      <w:r w:rsidRPr="00186842">
        <w:rPr>
          <w:rFonts w:ascii="Times New Roman" w:hAnsi="Times New Roman" w:cs="Times New Roman"/>
          <w:sz w:val="24"/>
        </w:rPr>
        <w:t xml:space="preserve"> it was decided to put in a rescue package </w:t>
      </w:r>
      <w:r w:rsidR="00501DA0">
        <w:rPr>
          <w:rFonts w:ascii="Times New Roman" w:hAnsi="Times New Roman" w:cs="Times New Roman"/>
          <w:sz w:val="24"/>
        </w:rPr>
        <w:t xml:space="preserve">in place at the time </w:t>
      </w:r>
      <w:r w:rsidRPr="00186842">
        <w:rPr>
          <w:rFonts w:ascii="Times New Roman" w:hAnsi="Times New Roman" w:cs="Times New Roman"/>
          <w:sz w:val="24"/>
        </w:rPr>
        <w:t>for the manufacturing sector to deal with the crisis.</w:t>
      </w:r>
      <w:r w:rsidRPr="00186842">
        <w:rPr>
          <w:rFonts w:ascii="Times New Roman" w:hAnsi="Times New Roman" w:cs="Times New Roman"/>
          <w:i/>
          <w:sz w:val="24"/>
        </w:rPr>
        <w:t xml:space="preserve"> </w:t>
      </w:r>
      <w:r w:rsidR="00501DA0" w:rsidRPr="007E21C4">
        <w:rPr>
          <w:rFonts w:ascii="Times New Roman" w:hAnsi="Times New Roman" w:cs="Times New Roman"/>
          <w:sz w:val="24"/>
        </w:rPr>
        <w:t>The</w:t>
      </w:r>
      <w:r w:rsidR="00501DA0">
        <w:rPr>
          <w:rFonts w:ascii="Times New Roman" w:hAnsi="Times New Roman" w:cs="Times New Roman"/>
          <w:i/>
          <w:sz w:val="24"/>
        </w:rPr>
        <w:t xml:space="preserve"> </w:t>
      </w:r>
      <w:r w:rsidRPr="00186842">
        <w:rPr>
          <w:rFonts w:ascii="Times New Roman" w:hAnsi="Times New Roman" w:cs="Times New Roman"/>
          <w:sz w:val="24"/>
        </w:rPr>
        <w:t xml:space="preserve">DTI was of the view that it was not economically sound to continuously subsidise the private sector but that </w:t>
      </w:r>
      <w:r w:rsidR="00501DA0">
        <w:rPr>
          <w:rFonts w:ascii="Times New Roman" w:hAnsi="Times New Roman" w:cs="Times New Roman"/>
          <w:sz w:val="24"/>
        </w:rPr>
        <w:t>it</w:t>
      </w:r>
      <w:r w:rsidRPr="00186842">
        <w:rPr>
          <w:rFonts w:ascii="Times New Roman" w:hAnsi="Times New Roman" w:cs="Times New Roman"/>
          <w:sz w:val="24"/>
        </w:rPr>
        <w:t xml:space="preserve"> should use other programmes to stimulate manufacturing and sharpen exports to the continent. The </w:t>
      </w:r>
      <w:r w:rsidR="00501DA0">
        <w:rPr>
          <w:rFonts w:ascii="Times New Roman" w:hAnsi="Times New Roman" w:cs="Times New Roman"/>
          <w:sz w:val="24"/>
        </w:rPr>
        <w:t xml:space="preserve">conclusion of the </w:t>
      </w:r>
      <w:r w:rsidRPr="00186842">
        <w:rPr>
          <w:rFonts w:ascii="Times New Roman" w:hAnsi="Times New Roman" w:cs="Times New Roman"/>
          <w:sz w:val="24"/>
        </w:rPr>
        <w:t xml:space="preserve">MCEP programme </w:t>
      </w:r>
      <w:r w:rsidR="00501DA0">
        <w:rPr>
          <w:rFonts w:ascii="Times New Roman" w:hAnsi="Times New Roman" w:cs="Times New Roman"/>
          <w:sz w:val="24"/>
        </w:rPr>
        <w:t xml:space="preserve">would </w:t>
      </w:r>
      <w:r w:rsidRPr="00186842">
        <w:rPr>
          <w:rFonts w:ascii="Times New Roman" w:hAnsi="Times New Roman" w:cs="Times New Roman"/>
          <w:sz w:val="24"/>
        </w:rPr>
        <w:t xml:space="preserve">mean a reduction in incentives. This would also require that </w:t>
      </w:r>
      <w:r w:rsidR="00501DA0">
        <w:rPr>
          <w:rFonts w:ascii="Times New Roman" w:hAnsi="Times New Roman" w:cs="Times New Roman"/>
          <w:sz w:val="24"/>
        </w:rPr>
        <w:t xml:space="preserve">the </w:t>
      </w:r>
      <w:r w:rsidRPr="00186842">
        <w:rPr>
          <w:rFonts w:ascii="Times New Roman" w:hAnsi="Times New Roman" w:cs="Times New Roman"/>
          <w:sz w:val="24"/>
        </w:rPr>
        <w:t xml:space="preserve">DTI lower its targets as it would assist fewer companies. The reduction in targets also relates to the projected lower growth forecast amid global and local economic conditions. </w:t>
      </w:r>
      <w:r w:rsidR="00501DA0">
        <w:rPr>
          <w:rFonts w:ascii="Times New Roman" w:hAnsi="Times New Roman" w:cs="Times New Roman"/>
          <w:sz w:val="24"/>
        </w:rPr>
        <w:t>It wa</w:t>
      </w:r>
      <w:r w:rsidRPr="00186842">
        <w:rPr>
          <w:rFonts w:ascii="Times New Roman" w:hAnsi="Times New Roman" w:cs="Times New Roman"/>
          <w:sz w:val="24"/>
        </w:rPr>
        <w:t xml:space="preserve">s of the view that other programmes would </w:t>
      </w:r>
      <w:r w:rsidR="00501DA0" w:rsidRPr="00186842">
        <w:rPr>
          <w:rFonts w:ascii="Times New Roman" w:hAnsi="Times New Roman" w:cs="Times New Roman"/>
          <w:sz w:val="24"/>
        </w:rPr>
        <w:t xml:space="preserve">still </w:t>
      </w:r>
      <w:r w:rsidRPr="00186842">
        <w:rPr>
          <w:rFonts w:ascii="Times New Roman" w:hAnsi="Times New Roman" w:cs="Times New Roman"/>
          <w:sz w:val="24"/>
        </w:rPr>
        <w:t xml:space="preserve">be able to stimulate manufacturing. </w:t>
      </w:r>
      <w:r w:rsidR="00501DA0">
        <w:rPr>
          <w:rFonts w:ascii="Times New Roman" w:hAnsi="Times New Roman" w:cs="Times New Roman"/>
          <w:sz w:val="24"/>
        </w:rPr>
        <w:t xml:space="preserve">A </w:t>
      </w:r>
      <w:r w:rsidRPr="00186842">
        <w:rPr>
          <w:rFonts w:ascii="Times New Roman" w:hAnsi="Times New Roman" w:cs="Times New Roman"/>
          <w:sz w:val="24"/>
        </w:rPr>
        <w:t>specific programme</w:t>
      </w:r>
      <w:r w:rsidR="00501DA0">
        <w:rPr>
          <w:rFonts w:ascii="Times New Roman" w:hAnsi="Times New Roman" w:cs="Times New Roman"/>
          <w:sz w:val="24"/>
        </w:rPr>
        <w:t>,</w:t>
      </w:r>
      <w:r w:rsidRPr="00186842">
        <w:rPr>
          <w:rFonts w:ascii="Times New Roman" w:hAnsi="Times New Roman" w:cs="Times New Roman"/>
          <w:sz w:val="24"/>
        </w:rPr>
        <w:t xml:space="preserve"> such as for agro-processing</w:t>
      </w:r>
      <w:r w:rsidR="00501DA0">
        <w:rPr>
          <w:rFonts w:ascii="Times New Roman" w:hAnsi="Times New Roman" w:cs="Times New Roman"/>
          <w:sz w:val="24"/>
        </w:rPr>
        <w:t>,</w:t>
      </w:r>
      <w:r w:rsidRPr="00186842">
        <w:rPr>
          <w:rFonts w:ascii="Times New Roman" w:hAnsi="Times New Roman" w:cs="Times New Roman"/>
          <w:sz w:val="24"/>
        </w:rPr>
        <w:t xml:space="preserve"> should be created</w:t>
      </w:r>
      <w:r w:rsidR="00501DA0">
        <w:rPr>
          <w:rFonts w:ascii="Times New Roman" w:hAnsi="Times New Roman" w:cs="Times New Roman"/>
          <w:sz w:val="24"/>
        </w:rPr>
        <w:t>,</w:t>
      </w:r>
      <w:r w:rsidRPr="00186842">
        <w:rPr>
          <w:rFonts w:ascii="Times New Roman" w:hAnsi="Times New Roman" w:cs="Times New Roman"/>
          <w:sz w:val="24"/>
        </w:rPr>
        <w:t xml:space="preserve"> as it would stimulate the agricultural sector</w:t>
      </w:r>
      <w:r w:rsidR="00501DA0">
        <w:rPr>
          <w:rFonts w:ascii="Times New Roman" w:hAnsi="Times New Roman" w:cs="Times New Roman"/>
          <w:sz w:val="24"/>
        </w:rPr>
        <w:t xml:space="preserve">, which has </w:t>
      </w:r>
      <w:r w:rsidRPr="00186842">
        <w:rPr>
          <w:rFonts w:ascii="Times New Roman" w:hAnsi="Times New Roman" w:cs="Times New Roman"/>
          <w:sz w:val="24"/>
        </w:rPr>
        <w:t xml:space="preserve">a </w:t>
      </w:r>
      <w:r w:rsidR="00501DA0">
        <w:rPr>
          <w:rFonts w:ascii="Times New Roman" w:hAnsi="Times New Roman" w:cs="Times New Roman"/>
          <w:sz w:val="24"/>
        </w:rPr>
        <w:t xml:space="preserve">significant </w:t>
      </w:r>
      <w:r w:rsidRPr="00186842">
        <w:rPr>
          <w:rFonts w:ascii="Times New Roman" w:hAnsi="Times New Roman" w:cs="Times New Roman"/>
          <w:sz w:val="24"/>
        </w:rPr>
        <w:t>job multiplier effect. The DTI is in support of creating specific incentive programme</w:t>
      </w:r>
      <w:r w:rsidR="00501DA0">
        <w:rPr>
          <w:rFonts w:ascii="Times New Roman" w:hAnsi="Times New Roman" w:cs="Times New Roman"/>
          <w:sz w:val="24"/>
        </w:rPr>
        <w:t>s</w:t>
      </w:r>
      <w:r w:rsidRPr="00186842">
        <w:rPr>
          <w:rFonts w:ascii="Times New Roman" w:hAnsi="Times New Roman" w:cs="Times New Roman"/>
          <w:sz w:val="24"/>
        </w:rPr>
        <w:t xml:space="preserve"> but acknowledged that in the current economic environment and with the budgetary constraints it may be a challenge. </w:t>
      </w:r>
      <w:r w:rsidR="00713DFE">
        <w:rPr>
          <w:rFonts w:ascii="Times New Roman" w:hAnsi="Times New Roman" w:cs="Times New Roman"/>
          <w:sz w:val="24"/>
        </w:rPr>
        <w:t xml:space="preserve">Furthermore, </w:t>
      </w:r>
      <w:r w:rsidR="00713DFE" w:rsidRPr="00186842">
        <w:rPr>
          <w:rFonts w:ascii="Times New Roman" w:hAnsi="Times New Roman" w:cs="Times New Roman"/>
          <w:sz w:val="24"/>
        </w:rPr>
        <w:t xml:space="preserve">the </w:t>
      </w:r>
      <w:r w:rsidRPr="00186842">
        <w:rPr>
          <w:rFonts w:ascii="Times New Roman" w:hAnsi="Times New Roman" w:cs="Times New Roman"/>
          <w:sz w:val="24"/>
        </w:rPr>
        <w:t xml:space="preserve">DTI </w:t>
      </w:r>
      <w:r w:rsidR="00713DFE">
        <w:rPr>
          <w:rFonts w:ascii="Times New Roman" w:hAnsi="Times New Roman" w:cs="Times New Roman"/>
          <w:sz w:val="24"/>
        </w:rPr>
        <w:t xml:space="preserve">also noted </w:t>
      </w:r>
      <w:r w:rsidR="00713DFE" w:rsidRPr="00186842">
        <w:rPr>
          <w:rFonts w:ascii="Times New Roman" w:hAnsi="Times New Roman" w:cs="Times New Roman"/>
          <w:sz w:val="24"/>
        </w:rPr>
        <w:t>key investment</w:t>
      </w:r>
      <w:r w:rsidR="00713DFE">
        <w:rPr>
          <w:rFonts w:ascii="Times New Roman" w:hAnsi="Times New Roman" w:cs="Times New Roman"/>
          <w:sz w:val="24"/>
        </w:rPr>
        <w:t>s</w:t>
      </w:r>
      <w:r w:rsidR="00713DFE" w:rsidRPr="00186842">
        <w:rPr>
          <w:rFonts w:ascii="Times New Roman" w:hAnsi="Times New Roman" w:cs="Times New Roman"/>
          <w:sz w:val="24"/>
        </w:rPr>
        <w:t xml:space="preserve"> </w:t>
      </w:r>
      <w:r w:rsidR="00713DFE">
        <w:rPr>
          <w:rFonts w:ascii="Times New Roman" w:hAnsi="Times New Roman" w:cs="Times New Roman"/>
          <w:sz w:val="24"/>
        </w:rPr>
        <w:t xml:space="preserve">which </w:t>
      </w:r>
      <w:r w:rsidR="00713DFE" w:rsidRPr="00186842">
        <w:rPr>
          <w:rFonts w:ascii="Times New Roman" w:hAnsi="Times New Roman" w:cs="Times New Roman"/>
          <w:sz w:val="24"/>
        </w:rPr>
        <w:t>were announced in the automotive sector by Mercedes, BMW, Goodyear, Volkswagen (VW), Beijing Auto Works, the Metair Group and General Motors</w:t>
      </w:r>
      <w:r w:rsidR="00713DFE">
        <w:rPr>
          <w:rFonts w:ascii="Times New Roman" w:hAnsi="Times New Roman" w:cs="Times New Roman"/>
          <w:sz w:val="24"/>
        </w:rPr>
        <w:t xml:space="preserve">, as well as affirmations of </w:t>
      </w:r>
      <w:r w:rsidR="00713DFE" w:rsidRPr="00186842">
        <w:rPr>
          <w:rFonts w:ascii="Times New Roman" w:hAnsi="Times New Roman" w:cs="Times New Roman"/>
          <w:sz w:val="24"/>
        </w:rPr>
        <w:t xml:space="preserve">South Africa as the regional manufacturing hub </w:t>
      </w:r>
      <w:r w:rsidR="00713DFE">
        <w:rPr>
          <w:rFonts w:ascii="Times New Roman" w:hAnsi="Times New Roman" w:cs="Times New Roman"/>
          <w:sz w:val="24"/>
        </w:rPr>
        <w:t xml:space="preserve">from </w:t>
      </w:r>
      <w:r w:rsidR="00713DFE" w:rsidRPr="00186842">
        <w:rPr>
          <w:rFonts w:ascii="Times New Roman" w:hAnsi="Times New Roman" w:cs="Times New Roman"/>
          <w:sz w:val="24"/>
        </w:rPr>
        <w:t xml:space="preserve">Nestle, Unilever, Hisense and Samsung </w:t>
      </w:r>
      <w:r w:rsidR="00713DFE">
        <w:rPr>
          <w:rFonts w:ascii="Times New Roman" w:hAnsi="Times New Roman" w:cs="Times New Roman"/>
          <w:sz w:val="24"/>
        </w:rPr>
        <w:t>who are</w:t>
      </w:r>
      <w:r w:rsidR="00713DFE" w:rsidRPr="00186842">
        <w:rPr>
          <w:rFonts w:ascii="Times New Roman" w:hAnsi="Times New Roman" w:cs="Times New Roman"/>
          <w:sz w:val="24"/>
        </w:rPr>
        <w:t xml:space="preserve"> investing in the country.</w:t>
      </w:r>
    </w:p>
    <w:p w:rsidR="001E5AEF" w:rsidRPr="00186842" w:rsidRDefault="001E5AEF" w:rsidP="001E5AEF">
      <w:pPr>
        <w:pStyle w:val="ListParagraph"/>
        <w:numPr>
          <w:ilvl w:val="0"/>
          <w:numId w:val="11"/>
        </w:numPr>
        <w:spacing w:after="0" w:line="360" w:lineRule="auto"/>
        <w:ind w:hanging="357"/>
        <w:jc w:val="both"/>
        <w:rPr>
          <w:rFonts w:ascii="Times New Roman" w:hAnsi="Times New Roman" w:cs="Times New Roman"/>
          <w:sz w:val="24"/>
        </w:rPr>
      </w:pPr>
      <w:r w:rsidRPr="00186842">
        <w:rPr>
          <w:rFonts w:ascii="Times New Roman" w:hAnsi="Times New Roman" w:cs="Times New Roman"/>
          <w:i/>
          <w:sz w:val="24"/>
        </w:rPr>
        <w:t xml:space="preserve">Impact of </w:t>
      </w:r>
      <w:r>
        <w:rPr>
          <w:rFonts w:ascii="Times New Roman" w:hAnsi="Times New Roman" w:cs="Times New Roman"/>
          <w:i/>
          <w:sz w:val="24"/>
        </w:rPr>
        <w:t xml:space="preserve">the </w:t>
      </w:r>
      <w:r w:rsidRPr="00186842">
        <w:rPr>
          <w:rFonts w:ascii="Times New Roman" w:hAnsi="Times New Roman" w:cs="Times New Roman"/>
          <w:i/>
          <w:sz w:val="24"/>
        </w:rPr>
        <w:t>Investment Act on future investment:</w:t>
      </w:r>
      <w:r w:rsidRPr="00186842">
        <w:rPr>
          <w:rFonts w:ascii="Times New Roman" w:hAnsi="Times New Roman" w:cs="Times New Roman"/>
          <w:sz w:val="24"/>
        </w:rPr>
        <w:t xml:space="preserve"> The DTI informed the committee that there </w:t>
      </w:r>
      <w:r>
        <w:rPr>
          <w:rFonts w:ascii="Times New Roman" w:hAnsi="Times New Roman" w:cs="Times New Roman"/>
          <w:sz w:val="24"/>
        </w:rPr>
        <w:t>were</w:t>
      </w:r>
      <w:r w:rsidRPr="00186842">
        <w:rPr>
          <w:rFonts w:ascii="Times New Roman" w:hAnsi="Times New Roman" w:cs="Times New Roman"/>
          <w:sz w:val="24"/>
        </w:rPr>
        <w:t xml:space="preserve"> always risk associated with the implementation of any new legislation and the impact of the </w:t>
      </w:r>
      <w:r>
        <w:rPr>
          <w:rFonts w:ascii="Times New Roman" w:hAnsi="Times New Roman" w:cs="Times New Roman"/>
          <w:sz w:val="24"/>
        </w:rPr>
        <w:t xml:space="preserve">Protection of </w:t>
      </w:r>
      <w:r w:rsidRPr="00186842">
        <w:rPr>
          <w:rFonts w:ascii="Times New Roman" w:hAnsi="Times New Roman" w:cs="Times New Roman"/>
          <w:sz w:val="24"/>
        </w:rPr>
        <w:t xml:space="preserve">Investment </w:t>
      </w:r>
      <w:r>
        <w:rPr>
          <w:rFonts w:ascii="Times New Roman" w:hAnsi="Times New Roman" w:cs="Times New Roman"/>
          <w:sz w:val="24"/>
        </w:rPr>
        <w:t>Act</w:t>
      </w:r>
      <w:r w:rsidRPr="00186842">
        <w:rPr>
          <w:rFonts w:ascii="Times New Roman" w:hAnsi="Times New Roman" w:cs="Times New Roman"/>
          <w:sz w:val="24"/>
        </w:rPr>
        <w:t xml:space="preserve"> on real investment must still be tested. Notwithstanding the new legislation</w:t>
      </w:r>
      <w:r>
        <w:rPr>
          <w:rFonts w:ascii="Times New Roman" w:hAnsi="Times New Roman" w:cs="Times New Roman"/>
          <w:sz w:val="24"/>
        </w:rPr>
        <w:t>,</w:t>
      </w:r>
      <w:r w:rsidRPr="00186842">
        <w:rPr>
          <w:rFonts w:ascii="Times New Roman" w:hAnsi="Times New Roman" w:cs="Times New Roman"/>
          <w:sz w:val="24"/>
        </w:rPr>
        <w:t xml:space="preserve"> BMW and VW are expanding their business in South Africa</w:t>
      </w:r>
      <w:r>
        <w:rPr>
          <w:rFonts w:ascii="Times New Roman" w:hAnsi="Times New Roman" w:cs="Times New Roman"/>
          <w:sz w:val="24"/>
        </w:rPr>
        <w:t>.</w:t>
      </w:r>
      <w:r w:rsidRPr="00186842">
        <w:rPr>
          <w:rFonts w:ascii="Times New Roman" w:hAnsi="Times New Roman" w:cs="Times New Roman"/>
          <w:sz w:val="24"/>
        </w:rPr>
        <w:t xml:space="preserve"> Despite the economic slowdown</w:t>
      </w:r>
      <w:r>
        <w:rPr>
          <w:rFonts w:ascii="Times New Roman" w:hAnsi="Times New Roman" w:cs="Times New Roman"/>
          <w:sz w:val="24"/>
        </w:rPr>
        <w:t>,</w:t>
      </w:r>
      <w:r w:rsidRPr="00186842">
        <w:rPr>
          <w:rFonts w:ascii="Times New Roman" w:hAnsi="Times New Roman" w:cs="Times New Roman"/>
          <w:sz w:val="24"/>
        </w:rPr>
        <w:t xml:space="preserve"> </w:t>
      </w:r>
      <w:r>
        <w:rPr>
          <w:rFonts w:ascii="Times New Roman" w:hAnsi="Times New Roman" w:cs="Times New Roman"/>
          <w:sz w:val="24"/>
        </w:rPr>
        <w:t>BMW announced that it planned</w:t>
      </w:r>
      <w:r w:rsidRPr="00186842">
        <w:rPr>
          <w:rFonts w:ascii="Times New Roman" w:hAnsi="Times New Roman" w:cs="Times New Roman"/>
          <w:sz w:val="24"/>
        </w:rPr>
        <w:t xml:space="preserve"> to invest more than </w:t>
      </w:r>
      <w:r>
        <w:rPr>
          <w:rFonts w:ascii="Times New Roman" w:hAnsi="Times New Roman" w:cs="Times New Roman"/>
          <w:sz w:val="24"/>
        </w:rPr>
        <w:t>US$</w:t>
      </w:r>
      <w:r w:rsidRPr="00186842">
        <w:rPr>
          <w:rFonts w:ascii="Times New Roman" w:hAnsi="Times New Roman" w:cs="Times New Roman"/>
          <w:sz w:val="24"/>
        </w:rPr>
        <w:t xml:space="preserve">417 million in its South African operation to start production of the X3 sport utility vehicle (SUV).  </w:t>
      </w:r>
      <w:r>
        <w:rPr>
          <w:rFonts w:ascii="Times New Roman" w:hAnsi="Times New Roman" w:cs="Times New Roman"/>
          <w:sz w:val="24"/>
        </w:rPr>
        <w:t xml:space="preserve">The </w:t>
      </w:r>
      <w:r w:rsidRPr="00186842">
        <w:rPr>
          <w:rFonts w:ascii="Times New Roman" w:hAnsi="Times New Roman" w:cs="Times New Roman"/>
          <w:sz w:val="24"/>
        </w:rPr>
        <w:t>DTI is therefore of the view that since the promulgation of the Act</w:t>
      </w:r>
      <w:r>
        <w:rPr>
          <w:rFonts w:ascii="Times New Roman" w:hAnsi="Times New Roman" w:cs="Times New Roman"/>
          <w:sz w:val="24"/>
        </w:rPr>
        <w:t>,</w:t>
      </w:r>
      <w:r w:rsidRPr="00186842">
        <w:rPr>
          <w:rFonts w:ascii="Times New Roman" w:hAnsi="Times New Roman" w:cs="Times New Roman"/>
          <w:sz w:val="24"/>
        </w:rPr>
        <w:t xml:space="preserve"> </w:t>
      </w:r>
      <w:r>
        <w:rPr>
          <w:rFonts w:ascii="Times New Roman" w:hAnsi="Times New Roman" w:cs="Times New Roman"/>
          <w:sz w:val="24"/>
        </w:rPr>
        <w:t xml:space="preserve">there has been </w:t>
      </w:r>
      <w:r w:rsidRPr="00186842">
        <w:rPr>
          <w:rFonts w:ascii="Times New Roman" w:hAnsi="Times New Roman" w:cs="Times New Roman"/>
          <w:sz w:val="24"/>
        </w:rPr>
        <w:t xml:space="preserve">significant investments in the country. The DTI had also undertaken international roadshows to explain the rationale behind the new investment legislation. </w:t>
      </w:r>
    </w:p>
    <w:p w:rsidR="001E5AEF" w:rsidRPr="002A70C9" w:rsidRDefault="001E5AEF" w:rsidP="001E5AEF">
      <w:pPr>
        <w:pStyle w:val="ListParagraph"/>
        <w:numPr>
          <w:ilvl w:val="0"/>
          <w:numId w:val="11"/>
        </w:numPr>
        <w:spacing w:after="0" w:line="360" w:lineRule="auto"/>
        <w:ind w:hanging="357"/>
        <w:jc w:val="both"/>
        <w:rPr>
          <w:rFonts w:ascii="Times New Roman" w:hAnsi="Times New Roman" w:cs="Times New Roman"/>
          <w:i/>
          <w:sz w:val="24"/>
        </w:rPr>
      </w:pPr>
      <w:r w:rsidRPr="00186842">
        <w:rPr>
          <w:rFonts w:ascii="Times New Roman" w:hAnsi="Times New Roman" w:cs="Times New Roman"/>
          <w:i/>
          <w:sz w:val="24"/>
        </w:rPr>
        <w:t xml:space="preserve">The investment pipeline: </w:t>
      </w:r>
      <w:r w:rsidRPr="00186842">
        <w:rPr>
          <w:rFonts w:ascii="Times New Roman" w:hAnsi="Times New Roman" w:cs="Times New Roman"/>
          <w:sz w:val="24"/>
        </w:rPr>
        <w:t>The DTI informed the committee that</w:t>
      </w:r>
      <w:r>
        <w:rPr>
          <w:rFonts w:ascii="Times New Roman" w:hAnsi="Times New Roman" w:cs="Times New Roman"/>
          <w:sz w:val="24"/>
        </w:rPr>
        <w:t xml:space="preserve"> the investment pipeline is being</w:t>
      </w:r>
      <w:r w:rsidRPr="00186842">
        <w:rPr>
          <w:rFonts w:ascii="Times New Roman" w:hAnsi="Times New Roman" w:cs="Times New Roman"/>
          <w:sz w:val="24"/>
        </w:rPr>
        <w:t xml:space="preserve"> monitored by the DTI. South Africa is going through a learning curve with respect to new industri</w:t>
      </w:r>
      <w:r>
        <w:rPr>
          <w:rFonts w:ascii="Times New Roman" w:hAnsi="Times New Roman" w:cs="Times New Roman"/>
          <w:sz w:val="24"/>
        </w:rPr>
        <w:t>es and there is a view that these</w:t>
      </w:r>
      <w:r w:rsidRPr="00186842">
        <w:rPr>
          <w:rFonts w:ascii="Times New Roman" w:hAnsi="Times New Roman" w:cs="Times New Roman"/>
          <w:sz w:val="24"/>
        </w:rPr>
        <w:t xml:space="preserve"> industries cannot be incentivised indefinitely and that a timeframe should be attached. </w:t>
      </w:r>
      <w:r>
        <w:rPr>
          <w:rFonts w:ascii="Times New Roman" w:hAnsi="Times New Roman" w:cs="Times New Roman"/>
          <w:sz w:val="24"/>
        </w:rPr>
        <w:t xml:space="preserve">The </w:t>
      </w:r>
      <w:r w:rsidRPr="00186842">
        <w:rPr>
          <w:rFonts w:ascii="Times New Roman" w:hAnsi="Times New Roman" w:cs="Times New Roman"/>
          <w:sz w:val="24"/>
        </w:rPr>
        <w:t xml:space="preserve">DTI made reference to the MCEP which had a five year timeframe. </w:t>
      </w:r>
      <w:r w:rsidR="00AE43BF">
        <w:rPr>
          <w:rFonts w:ascii="Times New Roman" w:hAnsi="Times New Roman" w:cs="Times New Roman"/>
          <w:sz w:val="24"/>
        </w:rPr>
        <w:t xml:space="preserve">It indicated that it </w:t>
      </w:r>
      <w:r>
        <w:rPr>
          <w:rFonts w:ascii="Times New Roman" w:hAnsi="Times New Roman" w:cs="Times New Roman"/>
          <w:sz w:val="24"/>
        </w:rPr>
        <w:t>c</w:t>
      </w:r>
      <w:r w:rsidRPr="00186842">
        <w:rPr>
          <w:rFonts w:ascii="Times New Roman" w:hAnsi="Times New Roman" w:cs="Times New Roman"/>
          <w:sz w:val="24"/>
        </w:rPr>
        <w:t>ould only support incentive programme</w:t>
      </w:r>
      <w:r>
        <w:rPr>
          <w:rFonts w:ascii="Times New Roman" w:hAnsi="Times New Roman" w:cs="Times New Roman"/>
          <w:sz w:val="24"/>
        </w:rPr>
        <w:t>s</w:t>
      </w:r>
      <w:r w:rsidRPr="00186842">
        <w:rPr>
          <w:rFonts w:ascii="Times New Roman" w:hAnsi="Times New Roman" w:cs="Times New Roman"/>
          <w:sz w:val="24"/>
        </w:rPr>
        <w:t xml:space="preserve"> with fixed terms given the current low growth trajectory. </w:t>
      </w:r>
      <w:r w:rsidR="00AE43BF">
        <w:rPr>
          <w:rFonts w:ascii="Times New Roman" w:hAnsi="Times New Roman" w:cs="Times New Roman"/>
          <w:sz w:val="24"/>
        </w:rPr>
        <w:t xml:space="preserve">It also </w:t>
      </w:r>
      <w:r w:rsidRPr="00186842">
        <w:rPr>
          <w:rFonts w:ascii="Times New Roman" w:hAnsi="Times New Roman" w:cs="Times New Roman"/>
          <w:sz w:val="24"/>
        </w:rPr>
        <w:t xml:space="preserve">reiterated that although the MCEP had </w:t>
      </w:r>
      <w:r>
        <w:rPr>
          <w:rFonts w:ascii="Times New Roman" w:hAnsi="Times New Roman" w:cs="Times New Roman"/>
          <w:sz w:val="24"/>
        </w:rPr>
        <w:t>ended</w:t>
      </w:r>
      <w:r w:rsidR="00AE43BF">
        <w:rPr>
          <w:rFonts w:ascii="Times New Roman" w:hAnsi="Times New Roman" w:cs="Times New Roman"/>
          <w:sz w:val="24"/>
        </w:rPr>
        <w:t>,</w:t>
      </w:r>
      <w:r>
        <w:rPr>
          <w:rFonts w:ascii="Times New Roman" w:hAnsi="Times New Roman" w:cs="Times New Roman"/>
          <w:sz w:val="24"/>
        </w:rPr>
        <w:t xml:space="preserve"> </w:t>
      </w:r>
      <w:r w:rsidRPr="00186842">
        <w:rPr>
          <w:rFonts w:ascii="Times New Roman" w:hAnsi="Times New Roman" w:cs="Times New Roman"/>
          <w:sz w:val="24"/>
        </w:rPr>
        <w:t xml:space="preserve">support for the manufacturing sector </w:t>
      </w:r>
      <w:r w:rsidR="00AE43BF">
        <w:rPr>
          <w:rFonts w:ascii="Times New Roman" w:hAnsi="Times New Roman" w:cs="Times New Roman"/>
          <w:sz w:val="24"/>
        </w:rPr>
        <w:t xml:space="preserve">would continue and </w:t>
      </w:r>
      <w:r w:rsidRPr="00186842">
        <w:rPr>
          <w:rFonts w:ascii="Times New Roman" w:hAnsi="Times New Roman" w:cs="Times New Roman"/>
          <w:sz w:val="24"/>
        </w:rPr>
        <w:t xml:space="preserve">sectors outside manufacturing </w:t>
      </w:r>
      <w:r w:rsidR="00AE43BF">
        <w:rPr>
          <w:rFonts w:ascii="Times New Roman" w:hAnsi="Times New Roman" w:cs="Times New Roman"/>
          <w:sz w:val="24"/>
        </w:rPr>
        <w:t xml:space="preserve">were </w:t>
      </w:r>
      <w:r w:rsidRPr="00186842">
        <w:rPr>
          <w:rFonts w:ascii="Times New Roman" w:hAnsi="Times New Roman" w:cs="Times New Roman"/>
          <w:sz w:val="24"/>
        </w:rPr>
        <w:t>equally important for the economy.</w:t>
      </w:r>
    </w:p>
    <w:p w:rsidR="002A70C9" w:rsidRPr="002A70C9" w:rsidRDefault="002A70C9" w:rsidP="002A70C9">
      <w:pPr>
        <w:pStyle w:val="ListParagraph"/>
        <w:numPr>
          <w:ilvl w:val="0"/>
          <w:numId w:val="11"/>
        </w:numPr>
        <w:tabs>
          <w:tab w:val="left" w:pos="4028"/>
        </w:tabs>
        <w:spacing w:line="360" w:lineRule="auto"/>
        <w:jc w:val="both"/>
        <w:rPr>
          <w:rFonts w:ascii="Times New Roman" w:hAnsi="Times New Roman" w:cs="Times New Roman"/>
          <w:sz w:val="24"/>
          <w:szCs w:val="24"/>
        </w:rPr>
      </w:pPr>
      <w:r w:rsidRPr="002A70C9">
        <w:rPr>
          <w:rFonts w:ascii="Times New Roman" w:hAnsi="Times New Roman" w:cs="Times New Roman"/>
          <w:i/>
          <w:sz w:val="24"/>
          <w:szCs w:val="24"/>
        </w:rPr>
        <w:t>Status of the One Stop Shop (OSS) concept:</w:t>
      </w:r>
      <w:r w:rsidRPr="002A70C9">
        <w:rPr>
          <w:rFonts w:ascii="Times New Roman" w:hAnsi="Times New Roman" w:cs="Times New Roman"/>
          <w:sz w:val="24"/>
          <w:szCs w:val="24"/>
        </w:rPr>
        <w:t xml:space="preserve"> The committee welcomed the establishment of the OSS to facilitate the delivery of government services to investors. The DTI informed the committee that an Inter-Ministerial Committee was established to improve the support and assistance to investors. An investment division within the DTI was also established to focus on investment promotion, facilitation and aftercare. This is to improve the turn-around time for investors as they would be able to engage multiple agencies for permits and licences through one vehicle.  </w:t>
      </w:r>
    </w:p>
    <w:p w:rsidR="00186842" w:rsidRPr="00186842" w:rsidRDefault="00186842" w:rsidP="00186842">
      <w:pPr>
        <w:pStyle w:val="ListParagraph"/>
        <w:numPr>
          <w:ilvl w:val="0"/>
          <w:numId w:val="11"/>
        </w:numPr>
        <w:spacing w:after="0" w:line="360" w:lineRule="auto"/>
        <w:ind w:hanging="357"/>
        <w:jc w:val="both"/>
        <w:rPr>
          <w:rFonts w:ascii="Times New Roman" w:hAnsi="Times New Roman" w:cs="Times New Roman"/>
          <w:sz w:val="24"/>
        </w:rPr>
      </w:pPr>
      <w:r w:rsidRPr="00186842">
        <w:rPr>
          <w:rFonts w:ascii="Times New Roman" w:hAnsi="Times New Roman" w:cs="Times New Roman"/>
          <w:i/>
          <w:sz w:val="24"/>
        </w:rPr>
        <w:t xml:space="preserve">Film incentives and its links to specialised skills rather than unskilled labour: </w:t>
      </w:r>
      <w:r w:rsidRPr="00186842">
        <w:rPr>
          <w:rFonts w:ascii="Times New Roman" w:hAnsi="Times New Roman" w:cs="Times New Roman"/>
          <w:sz w:val="24"/>
        </w:rPr>
        <w:t>Although the committee welcomes the impact of the film incentives on job creation</w:t>
      </w:r>
      <w:r w:rsidR="00713DFE">
        <w:rPr>
          <w:rFonts w:ascii="Times New Roman" w:hAnsi="Times New Roman" w:cs="Times New Roman"/>
          <w:sz w:val="24"/>
        </w:rPr>
        <w:t>,</w:t>
      </w:r>
      <w:r w:rsidRPr="00186842">
        <w:rPr>
          <w:rFonts w:ascii="Times New Roman" w:hAnsi="Times New Roman" w:cs="Times New Roman"/>
          <w:sz w:val="24"/>
        </w:rPr>
        <w:t xml:space="preserve"> it remains concern</w:t>
      </w:r>
      <w:r w:rsidR="00713DFE">
        <w:rPr>
          <w:rFonts w:ascii="Times New Roman" w:hAnsi="Times New Roman" w:cs="Times New Roman"/>
          <w:sz w:val="24"/>
        </w:rPr>
        <w:t>ed</w:t>
      </w:r>
      <w:r w:rsidRPr="00186842">
        <w:rPr>
          <w:rFonts w:ascii="Times New Roman" w:hAnsi="Times New Roman" w:cs="Times New Roman"/>
          <w:sz w:val="24"/>
        </w:rPr>
        <w:t xml:space="preserve"> that </w:t>
      </w:r>
      <w:r w:rsidR="00713DFE">
        <w:rPr>
          <w:rFonts w:ascii="Times New Roman" w:hAnsi="Times New Roman" w:cs="Times New Roman"/>
          <w:sz w:val="24"/>
        </w:rPr>
        <w:t>this is</w:t>
      </w:r>
      <w:r w:rsidRPr="00186842">
        <w:rPr>
          <w:rFonts w:ascii="Times New Roman" w:hAnsi="Times New Roman" w:cs="Times New Roman"/>
          <w:sz w:val="24"/>
        </w:rPr>
        <w:t xml:space="preserve"> only with respect to highly specialised skills within the industry. Dependence on one or two niche sectors would not bode well for any country’s economy. Most industrialised countries have a diverse economy to enable</w:t>
      </w:r>
      <w:r w:rsidR="00713DFE">
        <w:rPr>
          <w:rFonts w:ascii="Times New Roman" w:hAnsi="Times New Roman" w:cs="Times New Roman"/>
          <w:sz w:val="24"/>
        </w:rPr>
        <w:t xml:space="preserve"> them</w:t>
      </w:r>
      <w:r w:rsidRPr="00186842">
        <w:rPr>
          <w:rFonts w:ascii="Times New Roman" w:hAnsi="Times New Roman" w:cs="Times New Roman"/>
          <w:sz w:val="24"/>
        </w:rPr>
        <w:t xml:space="preserve"> to deal with cris</w:t>
      </w:r>
      <w:r w:rsidR="00713DFE">
        <w:rPr>
          <w:rFonts w:ascii="Times New Roman" w:hAnsi="Times New Roman" w:cs="Times New Roman"/>
          <w:sz w:val="24"/>
        </w:rPr>
        <w:t>e</w:t>
      </w:r>
      <w:r w:rsidRPr="00186842">
        <w:rPr>
          <w:rFonts w:ascii="Times New Roman" w:hAnsi="Times New Roman" w:cs="Times New Roman"/>
          <w:sz w:val="24"/>
        </w:rPr>
        <w:t xml:space="preserve">s more effectively. </w:t>
      </w:r>
      <w:r w:rsidR="00713DFE">
        <w:rPr>
          <w:rFonts w:ascii="Times New Roman" w:hAnsi="Times New Roman" w:cs="Times New Roman"/>
          <w:sz w:val="24"/>
        </w:rPr>
        <w:t xml:space="preserve">It was of the view that </w:t>
      </w:r>
      <w:r w:rsidR="00713DFE" w:rsidRPr="00186842">
        <w:rPr>
          <w:rFonts w:ascii="Times New Roman" w:hAnsi="Times New Roman" w:cs="Times New Roman"/>
          <w:sz w:val="24"/>
        </w:rPr>
        <w:t xml:space="preserve">more </w:t>
      </w:r>
      <w:r w:rsidRPr="00186842">
        <w:rPr>
          <w:rFonts w:ascii="Times New Roman" w:hAnsi="Times New Roman" w:cs="Times New Roman"/>
          <w:sz w:val="24"/>
        </w:rPr>
        <w:t>unskilled jobs within the manufacturing sector should be prioritised.  The DTI informed the committee that one of the objectives of the IPAP was to create a diversified economy. South Africa should continue providing incentives to the film industry</w:t>
      </w:r>
      <w:r w:rsidR="00713DFE">
        <w:rPr>
          <w:rFonts w:ascii="Times New Roman" w:hAnsi="Times New Roman" w:cs="Times New Roman"/>
          <w:sz w:val="24"/>
        </w:rPr>
        <w:t xml:space="preserve">, while </w:t>
      </w:r>
      <w:r w:rsidRPr="00186842">
        <w:rPr>
          <w:rFonts w:ascii="Times New Roman" w:hAnsi="Times New Roman" w:cs="Times New Roman"/>
          <w:sz w:val="24"/>
        </w:rPr>
        <w:t>ensur</w:t>
      </w:r>
      <w:r w:rsidR="00713DFE">
        <w:rPr>
          <w:rFonts w:ascii="Times New Roman" w:hAnsi="Times New Roman" w:cs="Times New Roman"/>
          <w:sz w:val="24"/>
        </w:rPr>
        <w:t>ing</w:t>
      </w:r>
      <w:r w:rsidRPr="00186842">
        <w:rPr>
          <w:rFonts w:ascii="Times New Roman" w:hAnsi="Times New Roman" w:cs="Times New Roman"/>
          <w:sz w:val="24"/>
        </w:rPr>
        <w:t xml:space="preserve"> that labour</w:t>
      </w:r>
      <w:r w:rsidR="00713DFE">
        <w:rPr>
          <w:rFonts w:ascii="Times New Roman" w:hAnsi="Times New Roman" w:cs="Times New Roman"/>
          <w:sz w:val="24"/>
        </w:rPr>
        <w:t>-</w:t>
      </w:r>
      <w:r w:rsidRPr="00186842">
        <w:rPr>
          <w:rFonts w:ascii="Times New Roman" w:hAnsi="Times New Roman" w:cs="Times New Roman"/>
          <w:sz w:val="24"/>
        </w:rPr>
        <w:t xml:space="preserve">intensive sectors such as manufacturing receives the necessary incentives to stimulate economic growth and job creation. To achieve full employment, all sectors of the economy should grow. </w:t>
      </w:r>
      <w:r w:rsidR="00713DFE">
        <w:rPr>
          <w:rFonts w:ascii="Times New Roman" w:hAnsi="Times New Roman" w:cs="Times New Roman"/>
          <w:sz w:val="24"/>
        </w:rPr>
        <w:t xml:space="preserve">For instance, </w:t>
      </w:r>
      <w:r w:rsidR="00713DFE" w:rsidRPr="00186842">
        <w:rPr>
          <w:rFonts w:ascii="Times New Roman" w:hAnsi="Times New Roman" w:cs="Times New Roman"/>
          <w:sz w:val="24"/>
        </w:rPr>
        <w:t>agro</w:t>
      </w:r>
      <w:r w:rsidRPr="00186842">
        <w:rPr>
          <w:rFonts w:ascii="Times New Roman" w:hAnsi="Times New Roman" w:cs="Times New Roman"/>
          <w:sz w:val="24"/>
        </w:rPr>
        <w:t>-processing has the potential to stimulate growth within the agricultural sector and would contribute to the creation of low and unskilled jobs.</w:t>
      </w:r>
    </w:p>
    <w:p w:rsidR="00186842" w:rsidRPr="00186842" w:rsidRDefault="00186842" w:rsidP="00186842">
      <w:pPr>
        <w:pStyle w:val="ListParagraph"/>
        <w:numPr>
          <w:ilvl w:val="0"/>
          <w:numId w:val="11"/>
        </w:numPr>
        <w:spacing w:after="0" w:line="360" w:lineRule="auto"/>
        <w:ind w:hanging="357"/>
        <w:jc w:val="both"/>
        <w:rPr>
          <w:rFonts w:ascii="Times New Roman" w:hAnsi="Times New Roman" w:cs="Times New Roman"/>
          <w:sz w:val="24"/>
        </w:rPr>
      </w:pPr>
      <w:r w:rsidRPr="00186842">
        <w:rPr>
          <w:rFonts w:ascii="Times New Roman" w:hAnsi="Times New Roman" w:cs="Times New Roman"/>
          <w:i/>
          <w:sz w:val="24"/>
        </w:rPr>
        <w:t xml:space="preserve">The need for a strategic shift by </w:t>
      </w:r>
      <w:r w:rsidR="00713DFE">
        <w:rPr>
          <w:rFonts w:ascii="Times New Roman" w:hAnsi="Times New Roman" w:cs="Times New Roman"/>
          <w:i/>
          <w:sz w:val="24"/>
        </w:rPr>
        <w:t xml:space="preserve">the </w:t>
      </w:r>
      <w:r w:rsidRPr="00186842">
        <w:rPr>
          <w:rFonts w:ascii="Times New Roman" w:hAnsi="Times New Roman" w:cs="Times New Roman"/>
          <w:i/>
          <w:sz w:val="24"/>
        </w:rPr>
        <w:t xml:space="preserve">DTI </w:t>
      </w:r>
      <w:r w:rsidR="00713DFE">
        <w:rPr>
          <w:rFonts w:ascii="Times New Roman" w:hAnsi="Times New Roman" w:cs="Times New Roman"/>
          <w:i/>
          <w:sz w:val="24"/>
        </w:rPr>
        <w:t xml:space="preserve">to </w:t>
      </w:r>
      <w:r w:rsidRPr="00186842">
        <w:rPr>
          <w:rFonts w:ascii="Times New Roman" w:hAnsi="Times New Roman" w:cs="Times New Roman"/>
          <w:i/>
          <w:sz w:val="24"/>
        </w:rPr>
        <w:t xml:space="preserve">focus on job creation: </w:t>
      </w:r>
      <w:r w:rsidRPr="00186842">
        <w:rPr>
          <w:rFonts w:ascii="Times New Roman" w:hAnsi="Times New Roman" w:cs="Times New Roman"/>
          <w:sz w:val="24"/>
        </w:rPr>
        <w:t>The committee highlighted the importance of DTI</w:t>
      </w:r>
      <w:r w:rsidR="00713DFE">
        <w:rPr>
          <w:rFonts w:ascii="Times New Roman" w:hAnsi="Times New Roman" w:cs="Times New Roman"/>
          <w:sz w:val="24"/>
        </w:rPr>
        <w:t>’</w:t>
      </w:r>
      <w:r w:rsidRPr="00186842">
        <w:rPr>
          <w:rFonts w:ascii="Times New Roman" w:hAnsi="Times New Roman" w:cs="Times New Roman"/>
          <w:sz w:val="24"/>
        </w:rPr>
        <w:t>s contribution to job creation. The DTI informed the committee that a complex relationship exist</w:t>
      </w:r>
      <w:r w:rsidR="00713DFE">
        <w:rPr>
          <w:rFonts w:ascii="Times New Roman" w:hAnsi="Times New Roman" w:cs="Times New Roman"/>
          <w:sz w:val="24"/>
        </w:rPr>
        <w:t>s</w:t>
      </w:r>
      <w:r w:rsidRPr="00186842">
        <w:rPr>
          <w:rFonts w:ascii="Times New Roman" w:hAnsi="Times New Roman" w:cs="Times New Roman"/>
          <w:sz w:val="24"/>
        </w:rPr>
        <w:t xml:space="preserve"> between direct and indirect jobs. For example</w:t>
      </w:r>
      <w:r w:rsidR="00713DFE">
        <w:rPr>
          <w:rFonts w:ascii="Times New Roman" w:hAnsi="Times New Roman" w:cs="Times New Roman"/>
          <w:sz w:val="24"/>
        </w:rPr>
        <w:t>,</w:t>
      </w:r>
      <w:r w:rsidRPr="00186842">
        <w:rPr>
          <w:rFonts w:ascii="Times New Roman" w:hAnsi="Times New Roman" w:cs="Times New Roman"/>
          <w:sz w:val="24"/>
        </w:rPr>
        <w:t xml:space="preserve"> the automotive industry requires steel, plastic</w:t>
      </w:r>
      <w:r w:rsidR="00713DFE">
        <w:rPr>
          <w:rFonts w:ascii="Times New Roman" w:hAnsi="Times New Roman" w:cs="Times New Roman"/>
          <w:sz w:val="24"/>
        </w:rPr>
        <w:t xml:space="preserve"> and</w:t>
      </w:r>
      <w:r w:rsidRPr="00186842">
        <w:rPr>
          <w:rFonts w:ascii="Times New Roman" w:hAnsi="Times New Roman" w:cs="Times New Roman"/>
          <w:sz w:val="24"/>
        </w:rPr>
        <w:t xml:space="preserve"> rubber </w:t>
      </w:r>
      <w:r w:rsidR="00713DFE">
        <w:rPr>
          <w:rFonts w:ascii="Times New Roman" w:hAnsi="Times New Roman" w:cs="Times New Roman"/>
          <w:sz w:val="24"/>
        </w:rPr>
        <w:t xml:space="preserve">components, </w:t>
      </w:r>
      <w:r w:rsidRPr="00186842">
        <w:rPr>
          <w:rFonts w:ascii="Times New Roman" w:hAnsi="Times New Roman" w:cs="Times New Roman"/>
          <w:sz w:val="24"/>
        </w:rPr>
        <w:t xml:space="preserve">which stimulates these manufacturing sectors creating a downstream linkage for local job creation. </w:t>
      </w:r>
      <w:r w:rsidR="00713DFE">
        <w:rPr>
          <w:rFonts w:ascii="Times New Roman" w:hAnsi="Times New Roman" w:cs="Times New Roman"/>
          <w:sz w:val="24"/>
        </w:rPr>
        <w:t xml:space="preserve">The </w:t>
      </w:r>
      <w:r w:rsidRPr="00186842">
        <w:rPr>
          <w:rFonts w:ascii="Times New Roman" w:hAnsi="Times New Roman" w:cs="Times New Roman"/>
          <w:sz w:val="24"/>
        </w:rPr>
        <w:t xml:space="preserve">DTI was of the view that if the critical manufacturing sectors are stimulated it would lead to the creation of </w:t>
      </w:r>
      <w:r w:rsidR="00713DFE">
        <w:rPr>
          <w:rFonts w:ascii="Times New Roman" w:hAnsi="Times New Roman" w:cs="Times New Roman"/>
          <w:sz w:val="24"/>
        </w:rPr>
        <w:t xml:space="preserve">more </w:t>
      </w:r>
      <w:r w:rsidRPr="00186842">
        <w:rPr>
          <w:rFonts w:ascii="Times New Roman" w:hAnsi="Times New Roman" w:cs="Times New Roman"/>
          <w:sz w:val="24"/>
        </w:rPr>
        <w:t>indirect jobs.</w:t>
      </w:r>
      <w:r w:rsidRPr="00186842">
        <w:rPr>
          <w:rFonts w:ascii="Times New Roman" w:hAnsi="Times New Roman" w:cs="Times New Roman"/>
          <w:b/>
          <w:i/>
          <w:color w:val="FF0000"/>
          <w:sz w:val="24"/>
        </w:rPr>
        <w:t xml:space="preserve"> </w:t>
      </w:r>
    </w:p>
    <w:p w:rsidR="00186842" w:rsidRPr="00186842" w:rsidRDefault="00186842" w:rsidP="00186842">
      <w:pPr>
        <w:pStyle w:val="ListParagraph"/>
        <w:numPr>
          <w:ilvl w:val="0"/>
          <w:numId w:val="11"/>
        </w:numPr>
        <w:spacing w:after="0" w:line="360" w:lineRule="auto"/>
        <w:ind w:hanging="357"/>
        <w:contextualSpacing w:val="0"/>
        <w:jc w:val="both"/>
        <w:rPr>
          <w:rFonts w:ascii="Times New Roman" w:hAnsi="Times New Roman" w:cs="Times New Roman"/>
          <w:sz w:val="24"/>
        </w:rPr>
      </w:pPr>
      <w:r w:rsidRPr="00186842">
        <w:rPr>
          <w:rFonts w:ascii="Times New Roman" w:hAnsi="Times New Roman" w:cs="Times New Roman"/>
          <w:i/>
          <w:sz w:val="24"/>
        </w:rPr>
        <w:t xml:space="preserve">The verification process of </w:t>
      </w:r>
      <w:r w:rsidR="000A5045">
        <w:rPr>
          <w:rFonts w:ascii="Times New Roman" w:hAnsi="Times New Roman" w:cs="Times New Roman"/>
          <w:i/>
          <w:sz w:val="24"/>
        </w:rPr>
        <w:t xml:space="preserve">the </w:t>
      </w:r>
      <w:r w:rsidRPr="00186842">
        <w:rPr>
          <w:rFonts w:ascii="Times New Roman" w:hAnsi="Times New Roman" w:cs="Times New Roman"/>
          <w:i/>
          <w:sz w:val="24"/>
        </w:rPr>
        <w:t>S</w:t>
      </w:r>
      <w:r w:rsidR="000A5045">
        <w:rPr>
          <w:rFonts w:ascii="Times New Roman" w:hAnsi="Times New Roman" w:cs="Times New Roman"/>
          <w:i/>
          <w:sz w:val="24"/>
        </w:rPr>
        <w:t xml:space="preserve">outh </w:t>
      </w:r>
      <w:r w:rsidRPr="00186842">
        <w:rPr>
          <w:rFonts w:ascii="Times New Roman" w:hAnsi="Times New Roman" w:cs="Times New Roman"/>
          <w:i/>
          <w:sz w:val="24"/>
        </w:rPr>
        <w:t>A</w:t>
      </w:r>
      <w:r w:rsidR="000A5045">
        <w:rPr>
          <w:rFonts w:ascii="Times New Roman" w:hAnsi="Times New Roman" w:cs="Times New Roman"/>
          <w:i/>
          <w:sz w:val="24"/>
        </w:rPr>
        <w:t xml:space="preserve">frican </w:t>
      </w:r>
      <w:r w:rsidRPr="00186842">
        <w:rPr>
          <w:rFonts w:ascii="Times New Roman" w:hAnsi="Times New Roman" w:cs="Times New Roman"/>
          <w:i/>
          <w:sz w:val="24"/>
        </w:rPr>
        <w:t>B</w:t>
      </w:r>
      <w:r w:rsidR="000A5045">
        <w:rPr>
          <w:rFonts w:ascii="Times New Roman" w:hAnsi="Times New Roman" w:cs="Times New Roman"/>
          <w:i/>
          <w:sz w:val="24"/>
        </w:rPr>
        <w:t xml:space="preserve">ureau of </w:t>
      </w:r>
      <w:r w:rsidRPr="00186842">
        <w:rPr>
          <w:rFonts w:ascii="Times New Roman" w:hAnsi="Times New Roman" w:cs="Times New Roman"/>
          <w:i/>
          <w:sz w:val="24"/>
        </w:rPr>
        <w:t>S</w:t>
      </w:r>
      <w:r w:rsidR="000A5045">
        <w:rPr>
          <w:rFonts w:ascii="Times New Roman" w:hAnsi="Times New Roman" w:cs="Times New Roman"/>
          <w:i/>
          <w:sz w:val="24"/>
        </w:rPr>
        <w:t>tandards</w:t>
      </w:r>
      <w:r w:rsidRPr="00186842">
        <w:rPr>
          <w:rFonts w:ascii="Times New Roman" w:hAnsi="Times New Roman" w:cs="Times New Roman"/>
          <w:i/>
          <w:sz w:val="24"/>
        </w:rPr>
        <w:t xml:space="preserve"> in terms of local content:</w:t>
      </w:r>
      <w:r w:rsidRPr="00186842">
        <w:rPr>
          <w:rFonts w:ascii="Times New Roman" w:hAnsi="Times New Roman" w:cs="Times New Roman"/>
          <w:sz w:val="24"/>
        </w:rPr>
        <w:t xml:space="preserve"> The DTI informed the committee that verification should not become a regulatory and cost barrier to companies. A system of self-declaration and spot checking is required and failure to comply should lead to severe sanctions. Currently, the right policy and compliance instruments do not exist, but </w:t>
      </w:r>
      <w:r w:rsidR="005920AA">
        <w:rPr>
          <w:rFonts w:ascii="Times New Roman" w:hAnsi="Times New Roman" w:cs="Times New Roman"/>
          <w:sz w:val="24"/>
        </w:rPr>
        <w:t>these</w:t>
      </w:r>
      <w:r w:rsidRPr="00186842">
        <w:rPr>
          <w:rFonts w:ascii="Times New Roman" w:hAnsi="Times New Roman" w:cs="Times New Roman"/>
          <w:sz w:val="24"/>
        </w:rPr>
        <w:t xml:space="preserve"> should be supportive of industrialisation</w:t>
      </w:r>
      <w:r w:rsidR="005920AA">
        <w:rPr>
          <w:rFonts w:ascii="Times New Roman" w:hAnsi="Times New Roman" w:cs="Times New Roman"/>
          <w:sz w:val="24"/>
        </w:rPr>
        <w:t xml:space="preserve"> and</w:t>
      </w:r>
      <w:r w:rsidRPr="00186842">
        <w:rPr>
          <w:rFonts w:ascii="Times New Roman" w:hAnsi="Times New Roman" w:cs="Times New Roman"/>
          <w:sz w:val="24"/>
        </w:rPr>
        <w:t xml:space="preserve"> ensure traceability of local content. Also critical is to develop a culture in both the public and private sector to buy local. </w:t>
      </w:r>
    </w:p>
    <w:p w:rsidR="00294851" w:rsidRDefault="00294851">
      <w:pPr>
        <w:rPr>
          <w:rFonts w:ascii="Times New Roman" w:hAnsi="Times New Roman" w:cs="Times New Roman"/>
          <w:sz w:val="24"/>
          <w:szCs w:val="24"/>
        </w:rPr>
      </w:pPr>
    </w:p>
    <w:p w:rsidR="000121A3" w:rsidRPr="00675023" w:rsidRDefault="000121A3" w:rsidP="00592363">
      <w:pPr>
        <w:pStyle w:val="ListParagraph"/>
        <w:numPr>
          <w:ilvl w:val="0"/>
          <w:numId w:val="2"/>
        </w:numPr>
        <w:spacing w:after="0" w:line="360" w:lineRule="auto"/>
        <w:ind w:left="284" w:hanging="284"/>
        <w:jc w:val="both"/>
        <w:rPr>
          <w:rFonts w:ascii="Times New Roman" w:hAnsi="Times New Roman" w:cs="Times New Roman"/>
          <w:b/>
          <w:sz w:val="24"/>
          <w:szCs w:val="24"/>
        </w:rPr>
      </w:pPr>
      <w:r w:rsidRPr="00675023">
        <w:rPr>
          <w:rFonts w:ascii="Times New Roman" w:hAnsi="Times New Roman" w:cs="Times New Roman"/>
          <w:b/>
          <w:sz w:val="24"/>
          <w:szCs w:val="24"/>
        </w:rPr>
        <w:t>Entities reporting to the Minister of Trade and Industry</w:t>
      </w:r>
    </w:p>
    <w:p w:rsidR="000121A3" w:rsidRPr="007E21C4" w:rsidRDefault="000121A3" w:rsidP="00592363">
      <w:pPr>
        <w:spacing w:after="0" w:line="360" w:lineRule="auto"/>
        <w:jc w:val="both"/>
        <w:rPr>
          <w:rFonts w:ascii="Times New Roman" w:hAnsi="Times New Roman" w:cs="Times New Roman"/>
          <w:sz w:val="24"/>
          <w:szCs w:val="24"/>
        </w:rPr>
      </w:pPr>
    </w:p>
    <w:p w:rsidR="000D079A" w:rsidRPr="00675023" w:rsidRDefault="000D079A"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Currently, 13 entities are reporting to the Minister. However, for the budget process the committee agreed to consider the strategic a</w:t>
      </w:r>
      <w:r w:rsidR="00A05EDB" w:rsidRPr="00675023">
        <w:rPr>
          <w:rFonts w:ascii="Times New Roman" w:hAnsi="Times New Roman" w:cs="Times New Roman"/>
          <w:sz w:val="24"/>
          <w:szCs w:val="24"/>
        </w:rPr>
        <w:t xml:space="preserve">nd annual performance plans of </w:t>
      </w:r>
      <w:r w:rsidR="008B5534" w:rsidRPr="00675023">
        <w:rPr>
          <w:rFonts w:ascii="Times New Roman" w:hAnsi="Times New Roman" w:cs="Times New Roman"/>
          <w:sz w:val="24"/>
          <w:szCs w:val="24"/>
        </w:rPr>
        <w:t>three</w:t>
      </w:r>
      <w:r w:rsidR="00A05EDB" w:rsidRPr="00675023">
        <w:rPr>
          <w:rFonts w:ascii="Times New Roman" w:hAnsi="Times New Roman" w:cs="Times New Roman"/>
          <w:sz w:val="24"/>
          <w:szCs w:val="24"/>
        </w:rPr>
        <w:t xml:space="preserve"> </w:t>
      </w:r>
      <w:r w:rsidRPr="00675023">
        <w:rPr>
          <w:rFonts w:ascii="Times New Roman" w:hAnsi="Times New Roman" w:cs="Times New Roman"/>
          <w:sz w:val="24"/>
          <w:szCs w:val="24"/>
        </w:rPr>
        <w:t xml:space="preserve">entities. The committee based this decision on </w:t>
      </w:r>
      <w:r w:rsidR="005A3646" w:rsidRPr="00675023">
        <w:rPr>
          <w:rFonts w:ascii="Times New Roman" w:hAnsi="Times New Roman" w:cs="Times New Roman"/>
          <w:sz w:val="24"/>
          <w:szCs w:val="24"/>
        </w:rPr>
        <w:t xml:space="preserve">the </w:t>
      </w:r>
      <w:r w:rsidR="008B5534" w:rsidRPr="00675023">
        <w:rPr>
          <w:rFonts w:ascii="Times New Roman" w:hAnsi="Times New Roman" w:cs="Times New Roman"/>
          <w:sz w:val="24"/>
          <w:szCs w:val="24"/>
        </w:rPr>
        <w:t xml:space="preserve">frequency that it had overseen these </w:t>
      </w:r>
      <w:r w:rsidRPr="00675023">
        <w:rPr>
          <w:rFonts w:ascii="Times New Roman" w:hAnsi="Times New Roman" w:cs="Times New Roman"/>
          <w:sz w:val="24"/>
          <w:szCs w:val="24"/>
        </w:rPr>
        <w:t>entities</w:t>
      </w:r>
      <w:r w:rsidR="008B5534" w:rsidRPr="00675023">
        <w:rPr>
          <w:rFonts w:ascii="Times New Roman" w:hAnsi="Times New Roman" w:cs="Times New Roman"/>
          <w:sz w:val="24"/>
          <w:szCs w:val="24"/>
        </w:rPr>
        <w:t xml:space="preserve"> and their</w:t>
      </w:r>
      <w:r w:rsidRPr="00675023">
        <w:rPr>
          <w:rFonts w:ascii="Times New Roman" w:hAnsi="Times New Roman" w:cs="Times New Roman"/>
          <w:sz w:val="24"/>
          <w:szCs w:val="24"/>
        </w:rPr>
        <w:t xml:space="preserve"> </w:t>
      </w:r>
      <w:r w:rsidR="005A3646" w:rsidRPr="00675023">
        <w:rPr>
          <w:rFonts w:ascii="Times New Roman" w:hAnsi="Times New Roman" w:cs="Times New Roman"/>
          <w:sz w:val="24"/>
          <w:szCs w:val="24"/>
        </w:rPr>
        <w:t>contribution</w:t>
      </w:r>
      <w:r w:rsidRPr="00675023">
        <w:rPr>
          <w:rFonts w:ascii="Times New Roman" w:hAnsi="Times New Roman" w:cs="Times New Roman"/>
          <w:sz w:val="24"/>
          <w:szCs w:val="24"/>
        </w:rPr>
        <w:t xml:space="preserve"> to economic transformation. </w:t>
      </w:r>
      <w:r w:rsidR="00CA006A" w:rsidRPr="00675023">
        <w:rPr>
          <w:rFonts w:ascii="Times New Roman" w:hAnsi="Times New Roman" w:cs="Times New Roman"/>
          <w:sz w:val="24"/>
          <w:szCs w:val="24"/>
        </w:rPr>
        <w:t xml:space="preserve">The table below indicates the budgetary allocations for the </w:t>
      </w:r>
      <w:r w:rsidR="008B5534" w:rsidRPr="00675023">
        <w:rPr>
          <w:rFonts w:ascii="Times New Roman" w:hAnsi="Times New Roman" w:cs="Times New Roman"/>
          <w:sz w:val="24"/>
          <w:szCs w:val="24"/>
        </w:rPr>
        <w:t xml:space="preserve">three </w:t>
      </w:r>
      <w:r w:rsidR="00CA006A" w:rsidRPr="00675023">
        <w:rPr>
          <w:rFonts w:ascii="Times New Roman" w:hAnsi="Times New Roman" w:cs="Times New Roman"/>
          <w:sz w:val="24"/>
          <w:szCs w:val="24"/>
        </w:rPr>
        <w:t>entities for the 201</w:t>
      </w:r>
      <w:r w:rsidR="008B5534" w:rsidRPr="00675023">
        <w:rPr>
          <w:rFonts w:ascii="Times New Roman" w:hAnsi="Times New Roman" w:cs="Times New Roman"/>
          <w:sz w:val="24"/>
          <w:szCs w:val="24"/>
        </w:rPr>
        <w:t>6</w:t>
      </w:r>
      <w:r w:rsidR="00CA006A" w:rsidRPr="00675023">
        <w:rPr>
          <w:rFonts w:ascii="Times New Roman" w:hAnsi="Times New Roman" w:cs="Times New Roman"/>
          <w:sz w:val="24"/>
          <w:szCs w:val="24"/>
        </w:rPr>
        <w:t>/1</w:t>
      </w:r>
      <w:r w:rsidR="008B5534" w:rsidRPr="00675023">
        <w:rPr>
          <w:rFonts w:ascii="Times New Roman" w:hAnsi="Times New Roman" w:cs="Times New Roman"/>
          <w:sz w:val="24"/>
          <w:szCs w:val="24"/>
        </w:rPr>
        <w:t>7</w:t>
      </w:r>
      <w:r w:rsidR="00CA006A" w:rsidRPr="00675023">
        <w:rPr>
          <w:rFonts w:ascii="Times New Roman" w:hAnsi="Times New Roman" w:cs="Times New Roman"/>
          <w:sz w:val="24"/>
          <w:szCs w:val="24"/>
        </w:rPr>
        <w:t xml:space="preserve"> financial year.</w:t>
      </w:r>
    </w:p>
    <w:p w:rsidR="00CA006A" w:rsidRPr="00675023" w:rsidRDefault="00CA006A" w:rsidP="00592363">
      <w:pPr>
        <w:spacing w:after="0" w:line="360" w:lineRule="auto"/>
        <w:jc w:val="both"/>
        <w:rPr>
          <w:rFonts w:ascii="Times New Roman" w:hAnsi="Times New Roman" w:cs="Times New Roman"/>
          <w:sz w:val="24"/>
          <w:szCs w:val="24"/>
        </w:rPr>
      </w:pPr>
    </w:p>
    <w:p w:rsidR="000D079A" w:rsidRPr="00675023" w:rsidRDefault="00101603" w:rsidP="00592363">
      <w:pPr>
        <w:spacing w:after="0" w:line="360" w:lineRule="auto"/>
        <w:jc w:val="both"/>
        <w:rPr>
          <w:rFonts w:ascii="Times New Roman" w:hAnsi="Times New Roman" w:cs="Times New Roman"/>
          <w:b/>
          <w:sz w:val="24"/>
          <w:szCs w:val="24"/>
        </w:rPr>
      </w:pPr>
      <w:r w:rsidRPr="00675023">
        <w:rPr>
          <w:rFonts w:ascii="Times New Roman" w:hAnsi="Times New Roman" w:cs="Times New Roman"/>
          <w:b/>
          <w:sz w:val="24"/>
          <w:szCs w:val="24"/>
        </w:rPr>
        <w:t>Table 2</w:t>
      </w:r>
      <w:r w:rsidR="00797227" w:rsidRPr="00675023">
        <w:rPr>
          <w:rFonts w:ascii="Times New Roman" w:hAnsi="Times New Roman" w:cs="Times New Roman"/>
          <w:b/>
          <w:sz w:val="24"/>
          <w:szCs w:val="24"/>
        </w:rPr>
        <w:t>: Budget allocations for the 201</w:t>
      </w:r>
      <w:r w:rsidR="008B5534" w:rsidRPr="00675023">
        <w:rPr>
          <w:rFonts w:ascii="Times New Roman" w:hAnsi="Times New Roman" w:cs="Times New Roman"/>
          <w:b/>
          <w:sz w:val="24"/>
          <w:szCs w:val="24"/>
        </w:rPr>
        <w:t>6</w:t>
      </w:r>
      <w:r w:rsidR="00797227" w:rsidRPr="00675023">
        <w:rPr>
          <w:rFonts w:ascii="Times New Roman" w:hAnsi="Times New Roman" w:cs="Times New Roman"/>
          <w:b/>
          <w:sz w:val="24"/>
          <w:szCs w:val="24"/>
        </w:rPr>
        <w:t>/1</w:t>
      </w:r>
      <w:r w:rsidR="008B5534" w:rsidRPr="00675023">
        <w:rPr>
          <w:rFonts w:ascii="Times New Roman" w:hAnsi="Times New Roman" w:cs="Times New Roman"/>
          <w:b/>
          <w:sz w:val="24"/>
          <w:szCs w:val="24"/>
        </w:rPr>
        <w:t>7</w:t>
      </w:r>
      <w:r w:rsidR="00797227" w:rsidRPr="00675023">
        <w:rPr>
          <w:rFonts w:ascii="Times New Roman" w:hAnsi="Times New Roman" w:cs="Times New Roman"/>
          <w:b/>
          <w:sz w:val="24"/>
          <w:szCs w:val="24"/>
        </w:rPr>
        <w:t xml:space="preserve"> financial year</w:t>
      </w:r>
    </w:p>
    <w:tbl>
      <w:tblPr>
        <w:tblStyle w:val="TableGrid"/>
        <w:tblW w:w="0" w:type="auto"/>
        <w:tblLook w:val="04A0" w:firstRow="1" w:lastRow="0" w:firstColumn="1" w:lastColumn="0" w:noHBand="0" w:noVBand="1"/>
      </w:tblPr>
      <w:tblGrid>
        <w:gridCol w:w="1838"/>
        <w:gridCol w:w="2806"/>
        <w:gridCol w:w="1447"/>
        <w:gridCol w:w="1701"/>
        <w:gridCol w:w="1224"/>
      </w:tblGrid>
      <w:tr w:rsidR="0091366B" w:rsidRPr="00675023" w:rsidTr="007E21C4">
        <w:tc>
          <w:tcPr>
            <w:tcW w:w="1838" w:type="dxa"/>
            <w:shd w:val="clear" w:color="auto" w:fill="BFBFBF" w:themeFill="background1" w:themeFillShade="BF"/>
          </w:tcPr>
          <w:p w:rsidR="005A3646" w:rsidRPr="00675023" w:rsidRDefault="005A3646" w:rsidP="00592363">
            <w:pPr>
              <w:spacing w:line="360" w:lineRule="auto"/>
              <w:jc w:val="center"/>
              <w:rPr>
                <w:rFonts w:ascii="Times New Roman" w:hAnsi="Times New Roman" w:cs="Times New Roman"/>
                <w:b/>
                <w:sz w:val="20"/>
                <w:szCs w:val="24"/>
              </w:rPr>
            </w:pPr>
            <w:r w:rsidRPr="007E21C4">
              <w:rPr>
                <w:rFonts w:ascii="Times New Roman" w:hAnsi="Times New Roman" w:cs="Times New Roman"/>
                <w:b/>
                <w:sz w:val="20"/>
                <w:szCs w:val="24"/>
              </w:rPr>
              <w:t>Programme</w:t>
            </w:r>
          </w:p>
          <w:p w:rsidR="008B5534" w:rsidRPr="007E21C4" w:rsidRDefault="008B5534" w:rsidP="00592363">
            <w:pPr>
              <w:spacing w:line="360" w:lineRule="auto"/>
              <w:jc w:val="center"/>
              <w:rPr>
                <w:rFonts w:ascii="Times New Roman" w:hAnsi="Times New Roman" w:cs="Times New Roman"/>
                <w:b/>
                <w:sz w:val="20"/>
                <w:szCs w:val="24"/>
              </w:rPr>
            </w:pPr>
            <w:r w:rsidRPr="00675023">
              <w:rPr>
                <w:rFonts w:ascii="Times New Roman" w:hAnsi="Times New Roman" w:cs="Times New Roman"/>
                <w:b/>
                <w:sz w:val="20"/>
                <w:szCs w:val="24"/>
              </w:rPr>
              <w:t>(R thousands)</w:t>
            </w:r>
          </w:p>
        </w:tc>
        <w:tc>
          <w:tcPr>
            <w:tcW w:w="2806" w:type="dxa"/>
            <w:shd w:val="clear" w:color="auto" w:fill="BFBFBF" w:themeFill="background1" w:themeFillShade="BF"/>
          </w:tcPr>
          <w:p w:rsidR="005A3646" w:rsidRPr="007E21C4" w:rsidRDefault="005A3646" w:rsidP="00592363">
            <w:pPr>
              <w:spacing w:line="360" w:lineRule="auto"/>
              <w:jc w:val="center"/>
              <w:rPr>
                <w:rFonts w:ascii="Times New Roman" w:hAnsi="Times New Roman" w:cs="Times New Roman"/>
                <w:b/>
                <w:sz w:val="20"/>
                <w:szCs w:val="24"/>
              </w:rPr>
            </w:pPr>
            <w:r w:rsidRPr="007E21C4">
              <w:rPr>
                <w:rFonts w:ascii="Times New Roman" w:hAnsi="Times New Roman" w:cs="Times New Roman"/>
                <w:b/>
                <w:sz w:val="20"/>
                <w:szCs w:val="24"/>
              </w:rPr>
              <w:t>Entity</w:t>
            </w:r>
          </w:p>
        </w:tc>
        <w:tc>
          <w:tcPr>
            <w:tcW w:w="1447" w:type="dxa"/>
            <w:shd w:val="clear" w:color="auto" w:fill="BFBFBF" w:themeFill="background1" w:themeFillShade="BF"/>
          </w:tcPr>
          <w:p w:rsidR="005A3646" w:rsidRPr="007E21C4" w:rsidRDefault="005A3646" w:rsidP="00592363">
            <w:pPr>
              <w:spacing w:line="360" w:lineRule="auto"/>
              <w:jc w:val="center"/>
              <w:rPr>
                <w:rFonts w:ascii="Times New Roman" w:hAnsi="Times New Roman" w:cs="Times New Roman"/>
                <w:b/>
                <w:sz w:val="20"/>
                <w:szCs w:val="24"/>
              </w:rPr>
            </w:pPr>
            <w:r w:rsidRPr="007E21C4">
              <w:rPr>
                <w:rFonts w:ascii="Times New Roman" w:hAnsi="Times New Roman" w:cs="Times New Roman"/>
                <w:b/>
                <w:sz w:val="20"/>
                <w:szCs w:val="24"/>
              </w:rPr>
              <w:t>Total Budget</w:t>
            </w:r>
          </w:p>
        </w:tc>
        <w:tc>
          <w:tcPr>
            <w:tcW w:w="1701" w:type="dxa"/>
            <w:shd w:val="clear" w:color="auto" w:fill="BFBFBF" w:themeFill="background1" w:themeFillShade="BF"/>
          </w:tcPr>
          <w:p w:rsidR="005A3646" w:rsidRPr="007E21C4" w:rsidRDefault="005A3646" w:rsidP="00592363">
            <w:pPr>
              <w:spacing w:line="360" w:lineRule="auto"/>
              <w:jc w:val="center"/>
              <w:rPr>
                <w:rFonts w:ascii="Times New Roman" w:hAnsi="Times New Roman" w:cs="Times New Roman"/>
                <w:b/>
                <w:sz w:val="20"/>
                <w:szCs w:val="24"/>
              </w:rPr>
            </w:pPr>
            <w:r w:rsidRPr="007E21C4">
              <w:rPr>
                <w:rFonts w:ascii="Times New Roman" w:hAnsi="Times New Roman" w:cs="Times New Roman"/>
                <w:b/>
                <w:sz w:val="20"/>
                <w:szCs w:val="24"/>
              </w:rPr>
              <w:t>DTI Transfer</w:t>
            </w:r>
          </w:p>
        </w:tc>
        <w:tc>
          <w:tcPr>
            <w:tcW w:w="1224" w:type="dxa"/>
            <w:shd w:val="clear" w:color="auto" w:fill="BFBFBF" w:themeFill="background1" w:themeFillShade="BF"/>
          </w:tcPr>
          <w:p w:rsidR="005A3646" w:rsidRPr="007E21C4" w:rsidRDefault="005A3646" w:rsidP="00592363">
            <w:pPr>
              <w:spacing w:line="360" w:lineRule="auto"/>
              <w:jc w:val="center"/>
              <w:rPr>
                <w:rFonts w:ascii="Times New Roman" w:hAnsi="Times New Roman" w:cs="Times New Roman"/>
                <w:b/>
                <w:sz w:val="20"/>
                <w:szCs w:val="24"/>
              </w:rPr>
            </w:pPr>
            <w:r w:rsidRPr="007E21C4">
              <w:rPr>
                <w:rFonts w:ascii="Times New Roman" w:hAnsi="Times New Roman" w:cs="Times New Roman"/>
                <w:b/>
                <w:sz w:val="20"/>
                <w:szCs w:val="24"/>
              </w:rPr>
              <w:t>% of Budget</w:t>
            </w:r>
          </w:p>
        </w:tc>
      </w:tr>
      <w:tr w:rsidR="008B5534" w:rsidRPr="00675023" w:rsidTr="007E21C4">
        <w:tc>
          <w:tcPr>
            <w:tcW w:w="1838" w:type="dxa"/>
            <w:vMerge w:val="restart"/>
          </w:tcPr>
          <w:p w:rsidR="008B5534" w:rsidRPr="007E21C4" w:rsidRDefault="008B5534" w:rsidP="00592363">
            <w:pPr>
              <w:spacing w:line="360" w:lineRule="auto"/>
              <w:jc w:val="left"/>
              <w:rPr>
                <w:rFonts w:ascii="Times New Roman" w:hAnsi="Times New Roman" w:cs="Times New Roman"/>
                <w:sz w:val="20"/>
                <w:szCs w:val="24"/>
              </w:rPr>
            </w:pPr>
            <w:r w:rsidRPr="007E21C4">
              <w:rPr>
                <w:rFonts w:ascii="Times New Roman" w:hAnsi="Times New Roman" w:cs="Times New Roman"/>
                <w:sz w:val="20"/>
                <w:szCs w:val="24"/>
              </w:rPr>
              <w:t>Consumer and Corporate Regulation</w:t>
            </w:r>
          </w:p>
        </w:tc>
        <w:tc>
          <w:tcPr>
            <w:tcW w:w="2806" w:type="dxa"/>
          </w:tcPr>
          <w:p w:rsidR="008B5534" w:rsidRPr="007E21C4" w:rsidRDefault="008B5534" w:rsidP="00592363">
            <w:pPr>
              <w:spacing w:line="360" w:lineRule="auto"/>
              <w:jc w:val="left"/>
              <w:rPr>
                <w:rFonts w:ascii="Times New Roman" w:hAnsi="Times New Roman" w:cs="Times New Roman"/>
                <w:sz w:val="20"/>
                <w:szCs w:val="24"/>
              </w:rPr>
            </w:pPr>
            <w:r w:rsidRPr="00675023">
              <w:rPr>
                <w:rFonts w:ascii="Times New Roman" w:hAnsi="Times New Roman" w:cs="Times New Roman"/>
                <w:sz w:val="20"/>
                <w:szCs w:val="24"/>
              </w:rPr>
              <w:t>Companies Tribunal</w:t>
            </w:r>
            <w:r w:rsidRPr="00675023" w:rsidDel="008B5534">
              <w:rPr>
                <w:rFonts w:ascii="Times New Roman" w:hAnsi="Times New Roman" w:cs="Times New Roman"/>
                <w:sz w:val="20"/>
                <w:szCs w:val="24"/>
              </w:rPr>
              <w:t xml:space="preserve"> </w:t>
            </w:r>
          </w:p>
        </w:tc>
        <w:tc>
          <w:tcPr>
            <w:tcW w:w="1447" w:type="dxa"/>
            <w:vAlign w:val="center"/>
          </w:tcPr>
          <w:p w:rsidR="008B5534" w:rsidRPr="007E21C4" w:rsidRDefault="008B5534" w:rsidP="007E21C4">
            <w:pPr>
              <w:spacing w:line="360" w:lineRule="auto"/>
              <w:jc w:val="right"/>
              <w:rPr>
                <w:rFonts w:ascii="Times New Roman" w:hAnsi="Times New Roman" w:cs="Times New Roman"/>
                <w:sz w:val="20"/>
                <w:szCs w:val="24"/>
              </w:rPr>
            </w:pPr>
            <w:r w:rsidRPr="00675023">
              <w:rPr>
                <w:rFonts w:ascii="Times New Roman" w:hAnsi="Times New Roman" w:cs="Times New Roman"/>
                <w:sz w:val="20"/>
                <w:szCs w:val="24"/>
              </w:rPr>
              <w:t>22 690</w:t>
            </w:r>
          </w:p>
        </w:tc>
        <w:tc>
          <w:tcPr>
            <w:tcW w:w="1701" w:type="dxa"/>
            <w:vAlign w:val="center"/>
          </w:tcPr>
          <w:p w:rsidR="008B5534" w:rsidRPr="007E21C4" w:rsidRDefault="008B5534" w:rsidP="007E21C4">
            <w:pPr>
              <w:spacing w:line="360" w:lineRule="auto"/>
              <w:jc w:val="right"/>
              <w:rPr>
                <w:rFonts w:ascii="Times New Roman" w:hAnsi="Times New Roman" w:cs="Times New Roman"/>
                <w:sz w:val="20"/>
                <w:szCs w:val="24"/>
              </w:rPr>
            </w:pPr>
            <w:r w:rsidRPr="00675023">
              <w:rPr>
                <w:rFonts w:ascii="Times New Roman" w:hAnsi="Times New Roman" w:cs="Times New Roman"/>
                <w:sz w:val="20"/>
                <w:szCs w:val="24"/>
              </w:rPr>
              <w:t>15 069</w:t>
            </w:r>
          </w:p>
        </w:tc>
        <w:tc>
          <w:tcPr>
            <w:tcW w:w="1224" w:type="dxa"/>
            <w:vAlign w:val="center"/>
          </w:tcPr>
          <w:p w:rsidR="008B5534" w:rsidRPr="007E21C4" w:rsidRDefault="00D50583" w:rsidP="007E21C4">
            <w:pPr>
              <w:spacing w:line="360" w:lineRule="auto"/>
              <w:jc w:val="center"/>
              <w:rPr>
                <w:rFonts w:ascii="Times New Roman" w:hAnsi="Times New Roman" w:cs="Times New Roman"/>
                <w:sz w:val="20"/>
                <w:szCs w:val="24"/>
              </w:rPr>
            </w:pPr>
            <w:r w:rsidRPr="00675023">
              <w:rPr>
                <w:rFonts w:ascii="Times New Roman" w:hAnsi="Times New Roman" w:cs="Times New Roman"/>
                <w:sz w:val="20"/>
                <w:szCs w:val="24"/>
              </w:rPr>
              <w:t>66.4</w:t>
            </w:r>
          </w:p>
        </w:tc>
      </w:tr>
      <w:tr w:rsidR="008B5534" w:rsidRPr="00675023" w:rsidTr="007E21C4">
        <w:tc>
          <w:tcPr>
            <w:tcW w:w="1838" w:type="dxa"/>
            <w:vMerge/>
          </w:tcPr>
          <w:p w:rsidR="008B5534" w:rsidRPr="007E21C4" w:rsidRDefault="008B5534" w:rsidP="00592363">
            <w:pPr>
              <w:spacing w:line="360" w:lineRule="auto"/>
              <w:jc w:val="left"/>
              <w:rPr>
                <w:rFonts w:ascii="Times New Roman" w:hAnsi="Times New Roman" w:cs="Times New Roman"/>
                <w:sz w:val="20"/>
                <w:szCs w:val="24"/>
              </w:rPr>
            </w:pPr>
          </w:p>
        </w:tc>
        <w:tc>
          <w:tcPr>
            <w:tcW w:w="2806" w:type="dxa"/>
          </w:tcPr>
          <w:p w:rsidR="008B5534" w:rsidRPr="007E21C4" w:rsidRDefault="008B5534" w:rsidP="00592363">
            <w:pPr>
              <w:spacing w:line="360" w:lineRule="auto"/>
              <w:jc w:val="left"/>
              <w:rPr>
                <w:rFonts w:ascii="Times New Roman" w:hAnsi="Times New Roman" w:cs="Times New Roman"/>
                <w:sz w:val="20"/>
                <w:szCs w:val="24"/>
              </w:rPr>
            </w:pPr>
            <w:r w:rsidRPr="00675023">
              <w:rPr>
                <w:rFonts w:ascii="Times New Roman" w:hAnsi="Times New Roman" w:cs="Times New Roman"/>
                <w:sz w:val="20"/>
                <w:szCs w:val="24"/>
              </w:rPr>
              <w:t>National Consumer Tribunal</w:t>
            </w:r>
          </w:p>
        </w:tc>
        <w:tc>
          <w:tcPr>
            <w:tcW w:w="1447" w:type="dxa"/>
            <w:vAlign w:val="center"/>
          </w:tcPr>
          <w:p w:rsidR="008B5534" w:rsidRPr="007E21C4" w:rsidRDefault="008B5534" w:rsidP="007E21C4">
            <w:pPr>
              <w:spacing w:line="360" w:lineRule="auto"/>
              <w:jc w:val="right"/>
              <w:rPr>
                <w:rFonts w:ascii="Times New Roman" w:hAnsi="Times New Roman" w:cs="Times New Roman"/>
                <w:sz w:val="20"/>
                <w:szCs w:val="24"/>
              </w:rPr>
            </w:pPr>
            <w:r w:rsidRPr="00675023">
              <w:rPr>
                <w:rFonts w:ascii="Times New Roman" w:hAnsi="Times New Roman" w:cs="Times New Roman"/>
                <w:sz w:val="20"/>
                <w:szCs w:val="24"/>
              </w:rPr>
              <w:t>51 242</w:t>
            </w:r>
          </w:p>
        </w:tc>
        <w:tc>
          <w:tcPr>
            <w:tcW w:w="1701" w:type="dxa"/>
            <w:vAlign w:val="center"/>
          </w:tcPr>
          <w:p w:rsidR="008B5534" w:rsidRPr="007E21C4" w:rsidRDefault="008B5534" w:rsidP="007E21C4">
            <w:pPr>
              <w:spacing w:line="360" w:lineRule="auto"/>
              <w:jc w:val="right"/>
              <w:rPr>
                <w:rFonts w:ascii="Times New Roman" w:hAnsi="Times New Roman" w:cs="Times New Roman"/>
                <w:sz w:val="20"/>
                <w:szCs w:val="24"/>
              </w:rPr>
            </w:pPr>
            <w:r w:rsidRPr="00675023">
              <w:rPr>
                <w:rFonts w:ascii="Times New Roman" w:hAnsi="Times New Roman" w:cs="Times New Roman"/>
                <w:sz w:val="20"/>
                <w:szCs w:val="24"/>
              </w:rPr>
              <w:t>46 151</w:t>
            </w:r>
          </w:p>
        </w:tc>
        <w:tc>
          <w:tcPr>
            <w:tcW w:w="1224" w:type="dxa"/>
            <w:vAlign w:val="center"/>
          </w:tcPr>
          <w:p w:rsidR="008B5534" w:rsidRPr="007E21C4" w:rsidRDefault="00D50583" w:rsidP="007E21C4">
            <w:pPr>
              <w:spacing w:line="360" w:lineRule="auto"/>
              <w:jc w:val="center"/>
              <w:rPr>
                <w:rFonts w:ascii="Times New Roman" w:hAnsi="Times New Roman" w:cs="Times New Roman"/>
                <w:sz w:val="20"/>
                <w:szCs w:val="24"/>
              </w:rPr>
            </w:pPr>
            <w:r w:rsidRPr="00675023">
              <w:rPr>
                <w:rFonts w:ascii="Times New Roman" w:hAnsi="Times New Roman" w:cs="Times New Roman"/>
                <w:sz w:val="20"/>
                <w:szCs w:val="24"/>
              </w:rPr>
              <w:t>90.1</w:t>
            </w:r>
          </w:p>
        </w:tc>
      </w:tr>
      <w:tr w:rsidR="008B5534" w:rsidRPr="00675023" w:rsidTr="007E21C4">
        <w:tc>
          <w:tcPr>
            <w:tcW w:w="1838" w:type="dxa"/>
            <w:vMerge/>
          </w:tcPr>
          <w:p w:rsidR="008B5534" w:rsidRPr="007E21C4" w:rsidRDefault="008B5534" w:rsidP="00592363">
            <w:pPr>
              <w:spacing w:line="360" w:lineRule="auto"/>
              <w:jc w:val="left"/>
              <w:rPr>
                <w:rFonts w:ascii="Times New Roman" w:hAnsi="Times New Roman" w:cs="Times New Roman"/>
                <w:sz w:val="20"/>
                <w:szCs w:val="24"/>
              </w:rPr>
            </w:pPr>
          </w:p>
        </w:tc>
        <w:tc>
          <w:tcPr>
            <w:tcW w:w="2806" w:type="dxa"/>
          </w:tcPr>
          <w:p w:rsidR="008B5534" w:rsidRPr="007E21C4" w:rsidRDefault="008B5534">
            <w:pPr>
              <w:spacing w:line="360" w:lineRule="auto"/>
              <w:jc w:val="left"/>
              <w:rPr>
                <w:rFonts w:ascii="Times New Roman" w:hAnsi="Times New Roman" w:cs="Times New Roman"/>
                <w:sz w:val="20"/>
                <w:szCs w:val="24"/>
              </w:rPr>
            </w:pPr>
            <w:r w:rsidRPr="007E21C4">
              <w:rPr>
                <w:rFonts w:ascii="Times New Roman" w:hAnsi="Times New Roman" w:cs="Times New Roman"/>
                <w:sz w:val="20"/>
                <w:szCs w:val="24"/>
              </w:rPr>
              <w:t xml:space="preserve">National </w:t>
            </w:r>
            <w:r w:rsidRPr="00675023">
              <w:rPr>
                <w:rFonts w:ascii="Times New Roman" w:hAnsi="Times New Roman" w:cs="Times New Roman"/>
                <w:sz w:val="20"/>
                <w:szCs w:val="24"/>
              </w:rPr>
              <w:t>Gambling Board</w:t>
            </w:r>
          </w:p>
        </w:tc>
        <w:tc>
          <w:tcPr>
            <w:tcW w:w="1447" w:type="dxa"/>
            <w:vAlign w:val="center"/>
          </w:tcPr>
          <w:p w:rsidR="008B5534" w:rsidRPr="007E21C4" w:rsidRDefault="008B5534" w:rsidP="00B07318">
            <w:pPr>
              <w:spacing w:line="360" w:lineRule="auto"/>
              <w:jc w:val="right"/>
              <w:rPr>
                <w:rFonts w:ascii="Times New Roman" w:hAnsi="Times New Roman" w:cs="Times New Roman"/>
                <w:sz w:val="20"/>
                <w:szCs w:val="24"/>
              </w:rPr>
            </w:pPr>
            <w:r w:rsidRPr="00675023">
              <w:rPr>
                <w:rFonts w:ascii="Times New Roman" w:hAnsi="Times New Roman" w:cs="Times New Roman"/>
                <w:sz w:val="20"/>
                <w:szCs w:val="24"/>
              </w:rPr>
              <w:t>4</w:t>
            </w:r>
            <w:r w:rsidR="00656B82">
              <w:rPr>
                <w:rFonts w:ascii="Times New Roman" w:hAnsi="Times New Roman" w:cs="Times New Roman"/>
                <w:sz w:val="20"/>
                <w:szCs w:val="24"/>
              </w:rPr>
              <w:t>3 693</w:t>
            </w:r>
          </w:p>
        </w:tc>
        <w:tc>
          <w:tcPr>
            <w:tcW w:w="1701" w:type="dxa"/>
            <w:vAlign w:val="center"/>
          </w:tcPr>
          <w:p w:rsidR="008B5534" w:rsidRPr="007E21C4" w:rsidRDefault="008B5534" w:rsidP="007E21C4">
            <w:pPr>
              <w:spacing w:line="360" w:lineRule="auto"/>
              <w:jc w:val="right"/>
              <w:rPr>
                <w:rFonts w:ascii="Times New Roman" w:hAnsi="Times New Roman" w:cs="Times New Roman"/>
                <w:sz w:val="20"/>
                <w:szCs w:val="24"/>
              </w:rPr>
            </w:pPr>
            <w:r w:rsidRPr="00675023">
              <w:rPr>
                <w:rFonts w:ascii="Times New Roman" w:hAnsi="Times New Roman" w:cs="Times New Roman"/>
                <w:sz w:val="20"/>
                <w:szCs w:val="24"/>
              </w:rPr>
              <w:t>30 121</w:t>
            </w:r>
          </w:p>
        </w:tc>
        <w:tc>
          <w:tcPr>
            <w:tcW w:w="1224" w:type="dxa"/>
            <w:vAlign w:val="center"/>
          </w:tcPr>
          <w:p w:rsidR="008B5534" w:rsidRPr="007E21C4" w:rsidRDefault="00656B82" w:rsidP="00B07318">
            <w:pPr>
              <w:spacing w:line="360" w:lineRule="auto"/>
              <w:jc w:val="center"/>
              <w:rPr>
                <w:rFonts w:ascii="Times New Roman" w:hAnsi="Times New Roman" w:cs="Times New Roman"/>
                <w:sz w:val="20"/>
                <w:szCs w:val="24"/>
              </w:rPr>
            </w:pPr>
            <w:r>
              <w:rPr>
                <w:rFonts w:ascii="Times New Roman" w:hAnsi="Times New Roman" w:cs="Times New Roman"/>
                <w:sz w:val="20"/>
                <w:szCs w:val="24"/>
              </w:rPr>
              <w:t>68</w:t>
            </w:r>
            <w:r w:rsidR="00D50583" w:rsidRPr="00675023">
              <w:rPr>
                <w:rFonts w:ascii="Times New Roman" w:hAnsi="Times New Roman" w:cs="Times New Roman"/>
                <w:sz w:val="20"/>
                <w:szCs w:val="24"/>
              </w:rPr>
              <w:t>.</w:t>
            </w:r>
            <w:r>
              <w:rPr>
                <w:rFonts w:ascii="Times New Roman" w:hAnsi="Times New Roman" w:cs="Times New Roman"/>
                <w:sz w:val="20"/>
                <w:szCs w:val="24"/>
              </w:rPr>
              <w:t>9</w:t>
            </w:r>
          </w:p>
        </w:tc>
      </w:tr>
    </w:tbl>
    <w:p w:rsidR="00196694" w:rsidRPr="00501558" w:rsidRDefault="00656B82" w:rsidP="00592363">
      <w:pPr>
        <w:spacing w:after="0" w:line="360" w:lineRule="auto"/>
        <w:jc w:val="both"/>
        <w:rPr>
          <w:rFonts w:ascii="Times New Roman" w:hAnsi="Times New Roman" w:cs="Times New Roman"/>
          <w:sz w:val="20"/>
          <w:szCs w:val="24"/>
        </w:rPr>
      </w:pPr>
      <w:r w:rsidRPr="00501558">
        <w:rPr>
          <w:rFonts w:ascii="Times New Roman" w:hAnsi="Times New Roman" w:cs="Times New Roman"/>
          <w:sz w:val="20"/>
          <w:szCs w:val="24"/>
        </w:rPr>
        <w:t>Source: National Treasury (2016)</w:t>
      </w:r>
    </w:p>
    <w:p w:rsidR="00656B82" w:rsidRPr="00675023" w:rsidRDefault="00656B82" w:rsidP="00592363">
      <w:pPr>
        <w:spacing w:after="0" w:line="360" w:lineRule="auto"/>
        <w:jc w:val="both"/>
        <w:rPr>
          <w:rFonts w:ascii="Times New Roman" w:hAnsi="Times New Roman" w:cs="Times New Roman"/>
          <w:b/>
          <w:i/>
          <w:sz w:val="24"/>
          <w:szCs w:val="24"/>
        </w:rPr>
      </w:pPr>
    </w:p>
    <w:p w:rsidR="00D27D12" w:rsidRPr="00675023" w:rsidRDefault="00473DFB" w:rsidP="00592363">
      <w:pPr>
        <w:pStyle w:val="ListParagraph"/>
        <w:numPr>
          <w:ilvl w:val="1"/>
          <w:numId w:val="2"/>
        </w:numPr>
        <w:spacing w:after="0" w:line="360" w:lineRule="auto"/>
        <w:ind w:left="567" w:hanging="567"/>
        <w:jc w:val="both"/>
        <w:rPr>
          <w:rFonts w:ascii="Times New Roman" w:hAnsi="Times New Roman" w:cs="Times New Roman"/>
          <w:b/>
          <w:sz w:val="24"/>
          <w:szCs w:val="24"/>
        </w:rPr>
      </w:pPr>
      <w:r w:rsidRPr="00675023">
        <w:rPr>
          <w:rFonts w:ascii="Times New Roman" w:hAnsi="Times New Roman" w:cs="Times New Roman"/>
          <w:b/>
          <w:sz w:val="24"/>
          <w:szCs w:val="24"/>
        </w:rPr>
        <w:t xml:space="preserve">Companies Tribunal </w:t>
      </w:r>
    </w:p>
    <w:p w:rsidR="00473DFB" w:rsidRPr="00675023" w:rsidRDefault="00473DFB" w:rsidP="00592363">
      <w:pPr>
        <w:pStyle w:val="ListParagraph"/>
        <w:spacing w:after="0" w:line="360" w:lineRule="auto"/>
        <w:ind w:left="567"/>
        <w:jc w:val="both"/>
        <w:rPr>
          <w:rFonts w:ascii="Times New Roman" w:hAnsi="Times New Roman" w:cs="Times New Roman"/>
          <w:b/>
          <w:sz w:val="24"/>
          <w:szCs w:val="24"/>
        </w:rPr>
      </w:pPr>
    </w:p>
    <w:p w:rsidR="00473DFB" w:rsidRPr="005728D4" w:rsidRDefault="00473DFB" w:rsidP="005728D4">
      <w:pPr>
        <w:widowControl w:val="0"/>
        <w:overflowPunct w:val="0"/>
        <w:autoSpaceDE w:val="0"/>
        <w:autoSpaceDN w:val="0"/>
        <w:adjustRightInd w:val="0"/>
        <w:spacing w:after="0" w:line="360" w:lineRule="auto"/>
        <w:ind w:left="10"/>
        <w:jc w:val="both"/>
        <w:rPr>
          <w:rFonts w:ascii="Times New Roman" w:hAnsi="Times New Roman" w:cs="Times New Roman"/>
          <w:sz w:val="24"/>
        </w:rPr>
      </w:pPr>
      <w:r w:rsidRPr="00675023">
        <w:rPr>
          <w:rFonts w:ascii="Times New Roman" w:hAnsi="Times New Roman" w:cs="Times New Roman"/>
          <w:sz w:val="24"/>
          <w:szCs w:val="24"/>
        </w:rPr>
        <w:t>The Companies Tribunal was established in terms of</w:t>
      </w:r>
      <w:r w:rsidR="00DD1EF8" w:rsidRPr="00675023">
        <w:rPr>
          <w:rFonts w:ascii="Times New Roman" w:hAnsi="Times New Roman" w:cs="Times New Roman"/>
          <w:sz w:val="24"/>
          <w:szCs w:val="24"/>
        </w:rPr>
        <w:t xml:space="preserve"> section 193 of </w:t>
      </w:r>
      <w:r w:rsidRPr="00675023">
        <w:rPr>
          <w:rFonts w:ascii="Times New Roman" w:hAnsi="Times New Roman" w:cs="Times New Roman"/>
          <w:sz w:val="24"/>
          <w:szCs w:val="24"/>
        </w:rPr>
        <w:t xml:space="preserve">the Companies Act (No.71 of 2008), and started its operation in September 2012. </w:t>
      </w:r>
      <w:r w:rsidR="007874F9">
        <w:rPr>
          <w:rFonts w:ascii="Times New Roman" w:hAnsi="Times New Roman" w:cs="Times New Roman"/>
          <w:sz w:val="24"/>
          <w:szCs w:val="24"/>
        </w:rPr>
        <w:t xml:space="preserve">Its core mandate is </w:t>
      </w:r>
      <w:r w:rsidRPr="00675023">
        <w:rPr>
          <w:rFonts w:ascii="Times New Roman" w:hAnsi="Times New Roman" w:cs="Times New Roman"/>
          <w:sz w:val="24"/>
          <w:szCs w:val="24"/>
        </w:rPr>
        <w:t xml:space="preserve">to ensure that disputes </w:t>
      </w:r>
      <w:r w:rsidR="007874F9">
        <w:rPr>
          <w:rFonts w:ascii="Times New Roman" w:hAnsi="Times New Roman" w:cs="Times New Roman"/>
          <w:sz w:val="24"/>
          <w:szCs w:val="24"/>
        </w:rPr>
        <w:t xml:space="preserve">falling under the </w:t>
      </w:r>
      <w:r w:rsidR="007874F9" w:rsidRPr="00675023">
        <w:rPr>
          <w:rFonts w:ascii="Times New Roman" w:hAnsi="Times New Roman" w:cs="Times New Roman"/>
          <w:sz w:val="24"/>
          <w:szCs w:val="24"/>
        </w:rPr>
        <w:t xml:space="preserve">Companies </w:t>
      </w:r>
      <w:r w:rsidR="007874F9">
        <w:rPr>
          <w:rFonts w:ascii="Times New Roman" w:hAnsi="Times New Roman" w:cs="Times New Roman"/>
          <w:sz w:val="24"/>
          <w:szCs w:val="24"/>
        </w:rPr>
        <w:t xml:space="preserve">Act </w:t>
      </w:r>
      <w:r w:rsidRPr="00675023">
        <w:rPr>
          <w:rFonts w:ascii="Times New Roman" w:hAnsi="Times New Roman" w:cs="Times New Roman"/>
          <w:sz w:val="24"/>
          <w:szCs w:val="24"/>
        </w:rPr>
        <w:t>are resolved speedily and cost effectively</w:t>
      </w:r>
      <w:r w:rsidR="007874F9">
        <w:rPr>
          <w:rFonts w:ascii="Times New Roman" w:hAnsi="Times New Roman" w:cs="Times New Roman"/>
          <w:sz w:val="24"/>
          <w:szCs w:val="24"/>
        </w:rPr>
        <w:t xml:space="preserve"> by adjudicating applications or providing alternative dispute resolution, namely </w:t>
      </w:r>
      <w:r w:rsidR="007874F9" w:rsidRPr="005728D4">
        <w:rPr>
          <w:rFonts w:ascii="Times New Roman" w:hAnsi="Times New Roman" w:cs="Times New Roman"/>
          <w:sz w:val="24"/>
        </w:rPr>
        <w:t>conciliation, mediation and arbitration options</w:t>
      </w:r>
      <w:r w:rsidRPr="00675023">
        <w:rPr>
          <w:rFonts w:ascii="Times New Roman" w:hAnsi="Times New Roman" w:cs="Times New Roman"/>
          <w:sz w:val="24"/>
          <w:szCs w:val="24"/>
        </w:rPr>
        <w:t xml:space="preserve">. </w:t>
      </w:r>
      <w:r w:rsidR="005728D4">
        <w:rPr>
          <w:rFonts w:ascii="Times New Roman" w:hAnsi="Times New Roman" w:cs="Times New Roman"/>
          <w:sz w:val="24"/>
          <w:szCs w:val="24"/>
        </w:rPr>
        <w:t xml:space="preserve">This is achieved by offering </w:t>
      </w:r>
      <w:r w:rsidRPr="005728D4">
        <w:rPr>
          <w:rFonts w:ascii="Times New Roman" w:hAnsi="Times New Roman" w:cs="Times New Roman"/>
          <w:sz w:val="24"/>
        </w:rPr>
        <w:t>free</w:t>
      </w:r>
      <w:r w:rsidR="005728D4" w:rsidRPr="005728D4">
        <w:rPr>
          <w:rFonts w:ascii="Times New Roman" w:hAnsi="Times New Roman" w:cs="Times New Roman"/>
          <w:sz w:val="24"/>
        </w:rPr>
        <w:t xml:space="preserve"> services</w:t>
      </w:r>
      <w:r w:rsidRPr="005728D4">
        <w:rPr>
          <w:rFonts w:ascii="Times New Roman" w:hAnsi="Times New Roman" w:cs="Times New Roman"/>
          <w:sz w:val="24"/>
        </w:rPr>
        <w:t xml:space="preserve">, </w:t>
      </w:r>
      <w:r w:rsidR="005728D4">
        <w:rPr>
          <w:rFonts w:ascii="Times New Roman" w:hAnsi="Times New Roman" w:cs="Times New Roman"/>
          <w:sz w:val="24"/>
        </w:rPr>
        <w:t xml:space="preserve">informal </w:t>
      </w:r>
      <w:r w:rsidRPr="005728D4">
        <w:rPr>
          <w:rFonts w:ascii="Times New Roman" w:hAnsi="Times New Roman" w:cs="Times New Roman"/>
          <w:sz w:val="24"/>
        </w:rPr>
        <w:t xml:space="preserve">proceedings and </w:t>
      </w:r>
      <w:r w:rsidR="005728D4">
        <w:rPr>
          <w:rFonts w:ascii="Times New Roman" w:hAnsi="Times New Roman" w:cs="Times New Roman"/>
          <w:sz w:val="24"/>
        </w:rPr>
        <w:t xml:space="preserve">speedily issued </w:t>
      </w:r>
      <w:r w:rsidRPr="005728D4">
        <w:rPr>
          <w:rFonts w:ascii="Times New Roman" w:hAnsi="Times New Roman" w:cs="Times New Roman"/>
          <w:sz w:val="24"/>
        </w:rPr>
        <w:t xml:space="preserve">decisions to reduce the cost of doing business </w:t>
      </w:r>
      <w:r w:rsidR="005728D4">
        <w:rPr>
          <w:rFonts w:ascii="Times New Roman" w:hAnsi="Times New Roman" w:cs="Times New Roman"/>
          <w:sz w:val="24"/>
        </w:rPr>
        <w:t xml:space="preserve">relative to </w:t>
      </w:r>
      <w:r w:rsidRPr="005728D4">
        <w:rPr>
          <w:rFonts w:ascii="Times New Roman" w:hAnsi="Times New Roman" w:cs="Times New Roman"/>
          <w:sz w:val="24"/>
        </w:rPr>
        <w:t xml:space="preserve">court processes. </w:t>
      </w:r>
    </w:p>
    <w:p w:rsidR="00656B82" w:rsidRDefault="00656B82" w:rsidP="00592363">
      <w:pPr>
        <w:pStyle w:val="Default"/>
        <w:spacing w:line="360" w:lineRule="auto"/>
        <w:jc w:val="both"/>
        <w:rPr>
          <w:rFonts w:ascii="Times New Roman" w:hAnsi="Times New Roman" w:cs="Times New Roman"/>
          <w:color w:val="auto"/>
        </w:rPr>
      </w:pPr>
    </w:p>
    <w:p w:rsidR="00473DFB" w:rsidRPr="00675023" w:rsidRDefault="00473DFB"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Strategic Goals of the Companies Tribunal</w:t>
      </w:r>
    </w:p>
    <w:p w:rsidR="00473DFB" w:rsidRPr="00675023" w:rsidRDefault="00473DFB" w:rsidP="00592363">
      <w:pPr>
        <w:pStyle w:val="Default"/>
        <w:spacing w:line="360" w:lineRule="auto"/>
        <w:jc w:val="both"/>
        <w:rPr>
          <w:rFonts w:ascii="Times New Roman" w:hAnsi="Times New Roman" w:cs="Times New Roman"/>
          <w:color w:val="auto"/>
        </w:rPr>
      </w:pPr>
    </w:p>
    <w:p w:rsidR="00473DFB" w:rsidRDefault="00473DFB" w:rsidP="00592363">
      <w:pPr>
        <w:pStyle w:val="Default"/>
        <w:spacing w:line="360" w:lineRule="auto"/>
        <w:jc w:val="both"/>
        <w:rPr>
          <w:rFonts w:ascii="Times New Roman" w:hAnsi="Times New Roman" w:cs="Times New Roman"/>
          <w:color w:val="auto"/>
        </w:rPr>
      </w:pPr>
      <w:r w:rsidRPr="00675023">
        <w:rPr>
          <w:rFonts w:ascii="Times New Roman" w:hAnsi="Times New Roman" w:cs="Times New Roman"/>
        </w:rPr>
        <w:t xml:space="preserve">The Tribunal’s </w:t>
      </w:r>
      <w:r w:rsidRPr="00675023">
        <w:rPr>
          <w:rFonts w:ascii="Times New Roman" w:hAnsi="Times New Roman" w:cs="Times New Roman"/>
          <w:color w:val="auto"/>
        </w:rPr>
        <w:t xml:space="preserve">strategic objectives are driven by </w:t>
      </w:r>
      <w:r w:rsidR="005728D4">
        <w:rPr>
          <w:rFonts w:ascii="Times New Roman" w:hAnsi="Times New Roman" w:cs="Times New Roman"/>
          <w:color w:val="auto"/>
        </w:rPr>
        <w:t>its core mandate</w:t>
      </w:r>
      <w:r w:rsidRPr="00675023">
        <w:rPr>
          <w:rFonts w:ascii="Times New Roman" w:hAnsi="Times New Roman" w:cs="Times New Roman"/>
          <w:color w:val="auto"/>
        </w:rPr>
        <w:t>.</w:t>
      </w:r>
      <w:r w:rsidR="005728D4">
        <w:rPr>
          <w:rFonts w:ascii="Times New Roman" w:hAnsi="Times New Roman" w:cs="Times New Roman"/>
          <w:color w:val="auto"/>
        </w:rPr>
        <w:t xml:space="preserve"> The strategic goals and outcomes are as follows:</w:t>
      </w:r>
      <w:r w:rsidRPr="00675023">
        <w:rPr>
          <w:rFonts w:ascii="Times New Roman" w:hAnsi="Times New Roman" w:cs="Times New Roman"/>
          <w:color w:val="auto"/>
        </w:rPr>
        <w:t xml:space="preserve"> </w:t>
      </w:r>
    </w:p>
    <w:p w:rsidR="00656B82" w:rsidRPr="00675023" w:rsidRDefault="00656B82" w:rsidP="00592363">
      <w:pPr>
        <w:pStyle w:val="Default"/>
        <w:spacing w:line="360" w:lineRule="auto"/>
        <w:jc w:val="both"/>
        <w:rPr>
          <w:rFonts w:ascii="Times New Roman" w:hAnsi="Times New Roman" w:cs="Times New Roman"/>
          <w:color w:val="auto"/>
        </w:rPr>
      </w:pPr>
    </w:p>
    <w:p w:rsidR="00473DFB" w:rsidRPr="00675023" w:rsidRDefault="00473DFB" w:rsidP="00592363">
      <w:pPr>
        <w:pStyle w:val="Default"/>
        <w:spacing w:line="360" w:lineRule="auto"/>
        <w:jc w:val="both"/>
        <w:rPr>
          <w:rFonts w:ascii="Times New Roman" w:hAnsi="Times New Roman" w:cs="Times New Roman"/>
          <w:b/>
          <w:color w:val="auto"/>
        </w:rPr>
      </w:pPr>
      <w:r w:rsidRPr="00675023">
        <w:rPr>
          <w:rFonts w:ascii="Times New Roman" w:hAnsi="Times New Roman" w:cs="Times New Roman"/>
          <w:b/>
          <w:color w:val="auto"/>
        </w:rPr>
        <w:t xml:space="preserve">Table </w:t>
      </w:r>
      <w:r w:rsidR="00DF2510">
        <w:rPr>
          <w:rFonts w:ascii="Times New Roman" w:hAnsi="Times New Roman" w:cs="Times New Roman"/>
          <w:b/>
          <w:color w:val="auto"/>
        </w:rPr>
        <w:t>3</w:t>
      </w:r>
      <w:r w:rsidRPr="00675023">
        <w:rPr>
          <w:rFonts w:ascii="Times New Roman" w:hAnsi="Times New Roman" w:cs="Times New Roman"/>
          <w:b/>
          <w:color w:val="auto"/>
        </w:rPr>
        <w:t>: Strategic Goals and Outcomes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812"/>
      </w:tblGrid>
      <w:tr w:rsidR="00473DFB" w:rsidRPr="00675023" w:rsidTr="007E21C4">
        <w:trPr>
          <w:trHeight w:val="362"/>
          <w:tblHeader/>
        </w:trPr>
        <w:tc>
          <w:tcPr>
            <w:tcW w:w="3681" w:type="dxa"/>
            <w:shd w:val="clear" w:color="auto" w:fill="BFBFBF" w:themeFill="background1" w:themeFillShade="BF"/>
            <w:vAlign w:val="center"/>
          </w:tcPr>
          <w:p w:rsidR="00473DFB" w:rsidRPr="007E21C4" w:rsidRDefault="00473DFB" w:rsidP="00592363">
            <w:pPr>
              <w:pStyle w:val="Default"/>
              <w:spacing w:line="360" w:lineRule="auto"/>
              <w:jc w:val="center"/>
              <w:rPr>
                <w:rFonts w:ascii="Times New Roman" w:hAnsi="Times New Roman" w:cs="Times New Roman"/>
                <w:color w:val="auto"/>
                <w:sz w:val="22"/>
              </w:rPr>
            </w:pPr>
            <w:r w:rsidRPr="007E21C4">
              <w:rPr>
                <w:rFonts w:ascii="Times New Roman" w:hAnsi="Times New Roman" w:cs="Times New Roman"/>
                <w:b/>
                <w:bCs/>
                <w:color w:val="auto"/>
                <w:sz w:val="22"/>
              </w:rPr>
              <w:t>Strategic Goals</w:t>
            </w:r>
          </w:p>
        </w:tc>
        <w:tc>
          <w:tcPr>
            <w:tcW w:w="5812" w:type="dxa"/>
            <w:shd w:val="clear" w:color="auto" w:fill="BFBFBF" w:themeFill="background1" w:themeFillShade="BF"/>
            <w:vAlign w:val="center"/>
          </w:tcPr>
          <w:p w:rsidR="00473DFB" w:rsidRPr="007E21C4" w:rsidRDefault="00473DFB" w:rsidP="00592363">
            <w:pPr>
              <w:pStyle w:val="Default"/>
              <w:spacing w:line="360" w:lineRule="auto"/>
              <w:jc w:val="center"/>
              <w:rPr>
                <w:rFonts w:ascii="Times New Roman" w:hAnsi="Times New Roman" w:cs="Times New Roman"/>
                <w:color w:val="auto"/>
                <w:sz w:val="22"/>
              </w:rPr>
            </w:pPr>
            <w:r w:rsidRPr="007E21C4">
              <w:rPr>
                <w:rFonts w:ascii="Times New Roman" w:hAnsi="Times New Roman" w:cs="Times New Roman"/>
                <w:b/>
                <w:bCs/>
                <w:color w:val="auto"/>
                <w:sz w:val="22"/>
              </w:rPr>
              <w:t>Strategic Outcomes</w:t>
            </w:r>
          </w:p>
        </w:tc>
      </w:tr>
      <w:tr w:rsidR="00473DFB" w:rsidRPr="00675023" w:rsidTr="007E21C4">
        <w:trPr>
          <w:trHeight w:val="634"/>
        </w:trPr>
        <w:tc>
          <w:tcPr>
            <w:tcW w:w="3681" w:type="dxa"/>
          </w:tcPr>
          <w:p w:rsidR="00473DFB" w:rsidRPr="007E21C4" w:rsidRDefault="005728D4">
            <w:pPr>
              <w:pStyle w:val="Default"/>
              <w:spacing w:line="360" w:lineRule="auto"/>
              <w:rPr>
                <w:rFonts w:ascii="Times New Roman" w:hAnsi="Times New Roman" w:cs="Times New Roman"/>
                <w:color w:val="auto"/>
                <w:sz w:val="22"/>
              </w:rPr>
            </w:pPr>
            <w:r>
              <w:rPr>
                <w:rFonts w:ascii="Times New Roman" w:hAnsi="Times New Roman" w:cs="Times New Roman"/>
                <w:color w:val="auto"/>
                <w:sz w:val="22"/>
              </w:rPr>
              <w:t xml:space="preserve">To </w:t>
            </w:r>
            <w:r w:rsidRPr="00675023">
              <w:rPr>
                <w:rFonts w:ascii="Times New Roman" w:hAnsi="Times New Roman" w:cs="Times New Roman"/>
                <w:color w:val="auto"/>
                <w:sz w:val="22"/>
              </w:rPr>
              <w:t xml:space="preserve">adjudicate </w:t>
            </w:r>
            <w:r w:rsidR="00473DFB" w:rsidRPr="007E21C4">
              <w:rPr>
                <w:rFonts w:ascii="Times New Roman" w:hAnsi="Times New Roman" w:cs="Times New Roman"/>
                <w:color w:val="auto"/>
                <w:sz w:val="22"/>
              </w:rPr>
              <w:t>and make orders in</w:t>
            </w:r>
            <w:r>
              <w:rPr>
                <w:rFonts w:ascii="Times New Roman" w:hAnsi="Times New Roman" w:cs="Times New Roman"/>
                <w:color w:val="auto"/>
                <w:sz w:val="22"/>
              </w:rPr>
              <w:t xml:space="preserve"> relation to any application.</w:t>
            </w:r>
          </w:p>
        </w:tc>
        <w:tc>
          <w:tcPr>
            <w:tcW w:w="5812" w:type="dxa"/>
          </w:tcPr>
          <w:p w:rsidR="00473DFB" w:rsidRPr="007E21C4" w:rsidRDefault="00473DFB">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Adjudicate applications timeously, fairly and in a transparent manner </w:t>
            </w:r>
          </w:p>
        </w:tc>
      </w:tr>
      <w:tr w:rsidR="00473DFB" w:rsidRPr="00675023" w:rsidTr="007E21C4">
        <w:trPr>
          <w:trHeight w:val="700"/>
        </w:trPr>
        <w:tc>
          <w:tcPr>
            <w:tcW w:w="3681" w:type="dxa"/>
          </w:tcPr>
          <w:p w:rsidR="00473DFB" w:rsidRPr="007E21C4" w:rsidRDefault="005728D4" w:rsidP="005728D4">
            <w:pPr>
              <w:pStyle w:val="Default"/>
              <w:spacing w:line="360" w:lineRule="auto"/>
              <w:rPr>
                <w:rFonts w:ascii="Times New Roman" w:hAnsi="Times New Roman" w:cs="Times New Roman"/>
                <w:color w:val="auto"/>
                <w:sz w:val="22"/>
              </w:rPr>
            </w:pPr>
            <w:r>
              <w:rPr>
                <w:rFonts w:ascii="Times New Roman" w:hAnsi="Times New Roman" w:cs="Times New Roman"/>
                <w:color w:val="auto"/>
                <w:sz w:val="22"/>
              </w:rPr>
              <w:t>To resolve</w:t>
            </w:r>
            <w:r w:rsidR="00473DFB" w:rsidRPr="007E21C4">
              <w:rPr>
                <w:rFonts w:ascii="Times New Roman" w:hAnsi="Times New Roman" w:cs="Times New Roman"/>
                <w:color w:val="auto"/>
                <w:sz w:val="22"/>
              </w:rPr>
              <w:t xml:space="preserve"> disputes in terms of Alternative Dispute Resolution</w:t>
            </w:r>
          </w:p>
        </w:tc>
        <w:tc>
          <w:tcPr>
            <w:tcW w:w="5812" w:type="dxa"/>
          </w:tcPr>
          <w:p w:rsidR="00473DFB" w:rsidRPr="007E21C4" w:rsidRDefault="00473DFB">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Resolve disputes in a cost effective, informal and timeous manner. </w:t>
            </w:r>
          </w:p>
        </w:tc>
      </w:tr>
      <w:tr w:rsidR="00473DFB" w:rsidRPr="00675023" w:rsidTr="007E21C4">
        <w:trPr>
          <w:trHeight w:val="452"/>
        </w:trPr>
        <w:tc>
          <w:tcPr>
            <w:tcW w:w="3681" w:type="dxa"/>
          </w:tcPr>
          <w:p w:rsidR="00473DFB" w:rsidRPr="007E21C4" w:rsidRDefault="005728D4">
            <w:pPr>
              <w:pStyle w:val="Default"/>
              <w:spacing w:line="360" w:lineRule="auto"/>
              <w:rPr>
                <w:rFonts w:ascii="Times New Roman" w:hAnsi="Times New Roman" w:cs="Times New Roman"/>
                <w:color w:val="auto"/>
                <w:sz w:val="22"/>
              </w:rPr>
            </w:pPr>
            <w:r>
              <w:rPr>
                <w:rFonts w:ascii="Times New Roman" w:hAnsi="Times New Roman" w:cs="Times New Roman"/>
                <w:color w:val="auto"/>
                <w:sz w:val="22"/>
              </w:rPr>
              <w:t xml:space="preserve">To </w:t>
            </w:r>
            <w:r w:rsidRPr="00675023">
              <w:rPr>
                <w:rFonts w:ascii="Times New Roman" w:hAnsi="Times New Roman" w:cs="Times New Roman"/>
                <w:color w:val="auto"/>
                <w:sz w:val="22"/>
              </w:rPr>
              <w:t xml:space="preserve">ensure </w:t>
            </w:r>
            <w:r w:rsidR="00473DFB" w:rsidRPr="007E21C4">
              <w:rPr>
                <w:rFonts w:ascii="Times New Roman" w:hAnsi="Times New Roman" w:cs="Times New Roman"/>
                <w:color w:val="auto"/>
                <w:sz w:val="22"/>
              </w:rPr>
              <w:t xml:space="preserve">operational effectiveness and efficiency of the Tribunal </w:t>
            </w:r>
          </w:p>
        </w:tc>
        <w:tc>
          <w:tcPr>
            <w:tcW w:w="5812" w:type="dxa"/>
          </w:tcPr>
          <w:p w:rsidR="00473DFB" w:rsidRPr="007E21C4" w:rsidRDefault="00473DFB">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To recruit, appoint and develop competent staff for the Tribunal </w:t>
            </w:r>
          </w:p>
          <w:p w:rsidR="00473DFB" w:rsidRPr="007E21C4" w:rsidRDefault="00473DFB">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To build a body of knowledge around company law </w:t>
            </w:r>
          </w:p>
          <w:p w:rsidR="00473DFB" w:rsidRPr="007E21C4" w:rsidRDefault="00473DFB">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To promote and maintain sound corporate governance </w:t>
            </w:r>
          </w:p>
          <w:p w:rsidR="00473DFB" w:rsidRPr="007E21C4" w:rsidRDefault="00473DFB">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To ensure the efficient management of cases </w:t>
            </w:r>
          </w:p>
        </w:tc>
      </w:tr>
      <w:tr w:rsidR="00473DFB" w:rsidRPr="00675023" w:rsidTr="00473DFB">
        <w:trPr>
          <w:trHeight w:val="293"/>
        </w:trPr>
        <w:tc>
          <w:tcPr>
            <w:tcW w:w="3681" w:type="dxa"/>
            <w:vAlign w:val="center"/>
          </w:tcPr>
          <w:p w:rsidR="00473DFB" w:rsidRPr="007E21C4" w:rsidRDefault="00473DFB" w:rsidP="00592363">
            <w:pPr>
              <w:pStyle w:val="Default"/>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Effective stakeholder engagement </w:t>
            </w:r>
          </w:p>
          <w:p w:rsidR="00473DFB" w:rsidRPr="007E21C4" w:rsidRDefault="00473DFB" w:rsidP="00592363">
            <w:pPr>
              <w:pStyle w:val="Default"/>
              <w:spacing w:line="360" w:lineRule="auto"/>
              <w:rPr>
                <w:rFonts w:ascii="Times New Roman" w:hAnsi="Times New Roman" w:cs="Times New Roman"/>
                <w:color w:val="auto"/>
                <w:sz w:val="22"/>
              </w:rPr>
            </w:pPr>
          </w:p>
        </w:tc>
        <w:tc>
          <w:tcPr>
            <w:tcW w:w="5812" w:type="dxa"/>
            <w:vAlign w:val="center"/>
          </w:tcPr>
          <w:p w:rsidR="00473DFB" w:rsidRPr="007E21C4" w:rsidRDefault="00473DFB"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educate members of the public and raise awareness regarding the Tribunal</w:t>
            </w:r>
          </w:p>
        </w:tc>
      </w:tr>
    </w:tbl>
    <w:p w:rsidR="00473DFB" w:rsidRPr="00A51ABD" w:rsidRDefault="00473DFB" w:rsidP="00592363">
      <w:pPr>
        <w:pStyle w:val="Default"/>
        <w:spacing w:line="360" w:lineRule="auto"/>
        <w:jc w:val="both"/>
        <w:rPr>
          <w:rFonts w:ascii="Times New Roman" w:hAnsi="Times New Roman" w:cs="Times New Roman"/>
          <w:bCs/>
          <w:color w:val="auto"/>
          <w:sz w:val="20"/>
          <w:szCs w:val="20"/>
        </w:rPr>
      </w:pPr>
      <w:r w:rsidRPr="00A51ABD">
        <w:rPr>
          <w:rFonts w:ascii="Times New Roman" w:hAnsi="Times New Roman" w:cs="Times New Roman"/>
          <w:bCs/>
          <w:color w:val="auto"/>
          <w:sz w:val="20"/>
          <w:szCs w:val="20"/>
        </w:rPr>
        <w:t>Source: Companies Tribunal (2016a)</w:t>
      </w:r>
    </w:p>
    <w:p w:rsidR="00473DFB" w:rsidRPr="00675023" w:rsidRDefault="00473DFB" w:rsidP="00592363">
      <w:pPr>
        <w:pStyle w:val="Default"/>
        <w:spacing w:line="360" w:lineRule="auto"/>
        <w:jc w:val="both"/>
        <w:rPr>
          <w:rFonts w:ascii="Times New Roman" w:hAnsi="Times New Roman" w:cs="Times New Roman"/>
          <w:b/>
          <w:bCs/>
          <w:color w:val="auto"/>
        </w:rPr>
      </w:pPr>
    </w:p>
    <w:p w:rsidR="00473DFB" w:rsidRPr="00675023" w:rsidRDefault="00473DFB"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 xml:space="preserve">Annual Performance Plan </w:t>
      </w:r>
    </w:p>
    <w:p w:rsidR="00473DFB" w:rsidRPr="00675023" w:rsidRDefault="00473DFB" w:rsidP="00592363">
      <w:pPr>
        <w:pStyle w:val="Default"/>
        <w:spacing w:line="360" w:lineRule="auto"/>
        <w:jc w:val="both"/>
        <w:rPr>
          <w:rFonts w:ascii="Times New Roman" w:hAnsi="Times New Roman" w:cs="Times New Roman"/>
          <w:b/>
          <w:bCs/>
          <w:color w:val="auto"/>
        </w:rPr>
      </w:pPr>
    </w:p>
    <w:p w:rsidR="00473DFB" w:rsidRPr="00675023" w:rsidRDefault="00473DFB"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The Companies Tribunal has two programmes through which it undertakes its work, namely the administration </w:t>
      </w:r>
      <w:r w:rsidR="006F2694" w:rsidRPr="00675023">
        <w:rPr>
          <w:rFonts w:ascii="Times New Roman" w:hAnsi="Times New Roman" w:cs="Times New Roman"/>
          <w:sz w:val="24"/>
          <w:szCs w:val="24"/>
        </w:rPr>
        <w:t>and the adjudication programme</w:t>
      </w:r>
      <w:r w:rsidR="007F7B37" w:rsidRPr="00675023">
        <w:rPr>
          <w:rFonts w:ascii="Times New Roman" w:hAnsi="Times New Roman" w:cs="Times New Roman"/>
          <w:sz w:val="24"/>
          <w:szCs w:val="24"/>
        </w:rPr>
        <w:t>s</w:t>
      </w:r>
      <w:r w:rsidR="006F2694" w:rsidRPr="00675023">
        <w:rPr>
          <w:rFonts w:ascii="Times New Roman" w:hAnsi="Times New Roman" w:cs="Times New Roman"/>
          <w:sz w:val="24"/>
          <w:szCs w:val="24"/>
        </w:rPr>
        <w:t>.</w:t>
      </w:r>
    </w:p>
    <w:p w:rsidR="000D1C6F" w:rsidRPr="00675023" w:rsidRDefault="000D1C6F" w:rsidP="00592363">
      <w:pPr>
        <w:spacing w:after="0" w:line="360" w:lineRule="auto"/>
        <w:jc w:val="both"/>
        <w:rPr>
          <w:rFonts w:ascii="Times New Roman" w:hAnsi="Times New Roman" w:cs="Times New Roman"/>
          <w:sz w:val="24"/>
          <w:szCs w:val="24"/>
        </w:rPr>
      </w:pPr>
    </w:p>
    <w:p w:rsidR="007C1A08" w:rsidRPr="007E21C4" w:rsidRDefault="00007291" w:rsidP="007E21C4">
      <w:pPr>
        <w:pStyle w:val="ListParagraph"/>
        <w:numPr>
          <w:ilvl w:val="3"/>
          <w:numId w:val="2"/>
        </w:numPr>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Programme 1: </w:t>
      </w:r>
      <w:r w:rsidR="00473DFB" w:rsidRPr="00675023">
        <w:rPr>
          <w:rFonts w:ascii="Times New Roman" w:hAnsi="Times New Roman" w:cs="Times New Roman"/>
          <w:b/>
          <w:sz w:val="24"/>
          <w:szCs w:val="24"/>
        </w:rPr>
        <w:t>Adjudication</w:t>
      </w:r>
      <w:r w:rsidR="00DF2510">
        <w:rPr>
          <w:rFonts w:ascii="Times New Roman" w:hAnsi="Times New Roman" w:cs="Times New Roman"/>
          <w:b/>
          <w:sz w:val="24"/>
          <w:szCs w:val="24"/>
        </w:rPr>
        <w:t xml:space="preserve"> Programme</w:t>
      </w:r>
      <w:r w:rsidR="00473DFB" w:rsidRPr="007E21C4">
        <w:rPr>
          <w:rFonts w:ascii="Times New Roman" w:hAnsi="Times New Roman" w:cs="Times New Roman"/>
          <w:b/>
          <w:sz w:val="24"/>
          <w:szCs w:val="24"/>
        </w:rPr>
        <w:t xml:space="preserve"> </w:t>
      </w:r>
    </w:p>
    <w:p w:rsidR="007C1A08" w:rsidRDefault="007C1A08" w:rsidP="00592363">
      <w:pPr>
        <w:spacing w:after="0" w:line="360" w:lineRule="auto"/>
        <w:jc w:val="both"/>
        <w:rPr>
          <w:rFonts w:ascii="Times New Roman" w:hAnsi="Times New Roman" w:cs="Times New Roman"/>
          <w:sz w:val="24"/>
          <w:szCs w:val="24"/>
        </w:rPr>
      </w:pPr>
    </w:p>
    <w:p w:rsidR="00473DFB" w:rsidRPr="00675023" w:rsidRDefault="00F26E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This </w:t>
      </w:r>
      <w:r w:rsidR="00473DFB" w:rsidRPr="00675023">
        <w:rPr>
          <w:rFonts w:ascii="Times New Roman" w:hAnsi="Times New Roman" w:cs="Times New Roman"/>
          <w:sz w:val="24"/>
          <w:szCs w:val="24"/>
        </w:rPr>
        <w:t>programme deals with adjudication and making orders in relation to applications made in terms of the Companies Act</w:t>
      </w:r>
      <w:r w:rsidRPr="00675023">
        <w:rPr>
          <w:rFonts w:ascii="Times New Roman" w:hAnsi="Times New Roman" w:cs="Times New Roman"/>
          <w:sz w:val="24"/>
          <w:szCs w:val="24"/>
        </w:rPr>
        <w:t>,</w:t>
      </w:r>
      <w:r w:rsidR="00473DFB" w:rsidRPr="00675023">
        <w:rPr>
          <w:rFonts w:ascii="Times New Roman" w:hAnsi="Times New Roman" w:cs="Times New Roman"/>
          <w:sz w:val="24"/>
          <w:szCs w:val="24"/>
        </w:rPr>
        <w:t xml:space="preserve"> as well as resolving disputes </w:t>
      </w:r>
      <w:r w:rsidRPr="00675023">
        <w:rPr>
          <w:rFonts w:ascii="Times New Roman" w:hAnsi="Times New Roman" w:cs="Times New Roman"/>
          <w:sz w:val="24"/>
          <w:szCs w:val="24"/>
        </w:rPr>
        <w:t>through</w:t>
      </w:r>
      <w:r w:rsidR="00473DFB" w:rsidRPr="00675023">
        <w:rPr>
          <w:rFonts w:ascii="Times New Roman" w:hAnsi="Times New Roman" w:cs="Times New Roman"/>
          <w:sz w:val="24"/>
          <w:szCs w:val="24"/>
        </w:rPr>
        <w:t xml:space="preserve"> Alternative Dispute Resolution. Adjudication and the resolving of disputes based on the papers filed by the Tribunal is a task of the members of the Tribunal. Hearings may be held depending on the nature of</w:t>
      </w:r>
      <w:r w:rsidR="006F2694" w:rsidRPr="00675023">
        <w:rPr>
          <w:rFonts w:ascii="Times New Roman" w:hAnsi="Times New Roman" w:cs="Times New Roman"/>
          <w:sz w:val="24"/>
          <w:szCs w:val="24"/>
        </w:rPr>
        <w:t xml:space="preserve"> the case being adjudicated on.</w:t>
      </w:r>
    </w:p>
    <w:p w:rsidR="00F73BD0" w:rsidRDefault="00F73BD0" w:rsidP="00592363">
      <w:pPr>
        <w:spacing w:after="0" w:line="360" w:lineRule="auto"/>
        <w:jc w:val="both"/>
        <w:rPr>
          <w:rFonts w:ascii="Times New Roman" w:hAnsi="Times New Roman" w:cs="Times New Roman"/>
          <w:sz w:val="24"/>
          <w:szCs w:val="24"/>
        </w:rPr>
      </w:pPr>
    </w:p>
    <w:p w:rsidR="007C1A08" w:rsidRPr="007E21C4" w:rsidRDefault="00DF2510" w:rsidP="002B788E">
      <w:pPr>
        <w:rPr>
          <w:rFonts w:ascii="Times New Roman" w:hAnsi="Times New Roman" w:cs="Times New Roman"/>
          <w:b/>
          <w:sz w:val="24"/>
          <w:szCs w:val="24"/>
        </w:rPr>
      </w:pPr>
      <w:r>
        <w:rPr>
          <w:rFonts w:ascii="Times New Roman" w:hAnsi="Times New Roman" w:cs="Times New Roman"/>
          <w:b/>
          <w:sz w:val="24"/>
          <w:szCs w:val="24"/>
        </w:rPr>
        <w:t>Table 4</w:t>
      </w:r>
      <w:r w:rsidR="007C1A08" w:rsidRPr="00675023">
        <w:rPr>
          <w:rFonts w:ascii="Times New Roman" w:hAnsi="Times New Roman" w:cs="Times New Roman"/>
          <w:b/>
          <w:sz w:val="24"/>
          <w:szCs w:val="24"/>
        </w:rPr>
        <w:t>: Adjudication Programme Performance Plan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3"/>
        <w:gridCol w:w="6549"/>
        <w:gridCol w:w="1276"/>
      </w:tblGrid>
      <w:tr w:rsidR="00473DFB" w:rsidRPr="00675023" w:rsidTr="007E21C4">
        <w:trPr>
          <w:trHeight w:val="482"/>
        </w:trPr>
        <w:tc>
          <w:tcPr>
            <w:tcW w:w="1673" w:type="dxa"/>
            <w:shd w:val="clear" w:color="auto" w:fill="BFBFBF" w:themeFill="background1" w:themeFillShade="BF"/>
            <w:vAlign w:val="bottom"/>
          </w:tcPr>
          <w:p w:rsidR="00473DFB" w:rsidRPr="007E21C4" w:rsidRDefault="00473DFB" w:rsidP="00592363">
            <w:pPr>
              <w:pStyle w:val="Default"/>
              <w:spacing w:line="360" w:lineRule="auto"/>
              <w:jc w:val="center"/>
              <w:rPr>
                <w:rFonts w:ascii="Times New Roman" w:hAnsi="Times New Roman" w:cs="Times New Roman"/>
                <w:color w:val="auto"/>
                <w:sz w:val="22"/>
              </w:rPr>
            </w:pPr>
            <w:r w:rsidRPr="007E21C4">
              <w:rPr>
                <w:rFonts w:ascii="Times New Roman" w:hAnsi="Times New Roman" w:cs="Times New Roman"/>
                <w:b/>
                <w:bCs/>
                <w:color w:val="auto"/>
                <w:sz w:val="22"/>
              </w:rPr>
              <w:t>Strategic Objective</w:t>
            </w:r>
          </w:p>
        </w:tc>
        <w:tc>
          <w:tcPr>
            <w:tcW w:w="6549" w:type="dxa"/>
            <w:tcBorders>
              <w:bottom w:val="single" w:sz="4" w:space="0" w:color="auto"/>
            </w:tcBorders>
            <w:shd w:val="clear" w:color="auto" w:fill="BFBFBF" w:themeFill="background1" w:themeFillShade="BF"/>
            <w:vAlign w:val="center"/>
          </w:tcPr>
          <w:p w:rsidR="00473DFB" w:rsidRPr="007E21C4" w:rsidRDefault="00473DFB" w:rsidP="00592363">
            <w:pPr>
              <w:pStyle w:val="Default"/>
              <w:spacing w:line="360" w:lineRule="auto"/>
              <w:jc w:val="center"/>
              <w:rPr>
                <w:rFonts w:ascii="Times New Roman" w:hAnsi="Times New Roman" w:cs="Times New Roman"/>
                <w:color w:val="auto"/>
                <w:sz w:val="22"/>
              </w:rPr>
            </w:pPr>
            <w:r w:rsidRPr="007E21C4">
              <w:rPr>
                <w:rFonts w:ascii="Times New Roman" w:hAnsi="Times New Roman" w:cs="Times New Roman"/>
                <w:b/>
                <w:bCs/>
                <w:color w:val="auto"/>
                <w:sz w:val="22"/>
              </w:rPr>
              <w:t>Performance Indicators</w:t>
            </w:r>
          </w:p>
        </w:tc>
        <w:tc>
          <w:tcPr>
            <w:tcW w:w="1276" w:type="dxa"/>
            <w:shd w:val="clear" w:color="auto" w:fill="BFBFBF" w:themeFill="background1" w:themeFillShade="BF"/>
            <w:vAlign w:val="bottom"/>
          </w:tcPr>
          <w:p w:rsidR="00473DFB" w:rsidRPr="007E21C4" w:rsidRDefault="00473DFB" w:rsidP="00592363">
            <w:pPr>
              <w:pStyle w:val="Default"/>
              <w:spacing w:line="360" w:lineRule="auto"/>
              <w:jc w:val="center"/>
              <w:rPr>
                <w:rFonts w:ascii="Times New Roman" w:hAnsi="Times New Roman" w:cs="Times New Roman"/>
                <w:color w:val="auto"/>
                <w:sz w:val="22"/>
              </w:rPr>
            </w:pPr>
            <w:r w:rsidRPr="007E21C4">
              <w:rPr>
                <w:rFonts w:ascii="Times New Roman" w:hAnsi="Times New Roman" w:cs="Times New Roman"/>
                <w:b/>
                <w:bCs/>
                <w:color w:val="auto"/>
                <w:sz w:val="22"/>
              </w:rPr>
              <w:t>2016/17 Targets</w:t>
            </w:r>
          </w:p>
        </w:tc>
      </w:tr>
      <w:tr w:rsidR="00473DFB" w:rsidRPr="00675023" w:rsidTr="007E21C4">
        <w:trPr>
          <w:trHeight w:val="2302"/>
        </w:trPr>
        <w:tc>
          <w:tcPr>
            <w:tcW w:w="1673" w:type="dxa"/>
          </w:tcPr>
          <w:p w:rsidR="00473DFB" w:rsidRPr="007E21C4" w:rsidRDefault="00473DFB" w:rsidP="00592363">
            <w:pPr>
              <w:pStyle w:val="Default"/>
              <w:spacing w:line="360" w:lineRule="auto"/>
              <w:jc w:val="both"/>
              <w:rPr>
                <w:rFonts w:ascii="Times New Roman" w:hAnsi="Times New Roman" w:cs="Times New Roman"/>
                <w:color w:val="auto"/>
                <w:sz w:val="22"/>
              </w:rPr>
            </w:pPr>
            <w:r w:rsidRPr="007E21C4">
              <w:rPr>
                <w:rFonts w:ascii="Times New Roman" w:hAnsi="Times New Roman" w:cs="Times New Roman"/>
                <w:color w:val="auto"/>
                <w:sz w:val="22"/>
              </w:rPr>
              <w:t xml:space="preserve">Adjudicate applications timeously, fairly and in a transparent manner </w:t>
            </w:r>
          </w:p>
        </w:tc>
        <w:tc>
          <w:tcPr>
            <w:tcW w:w="6549" w:type="dxa"/>
          </w:tcPr>
          <w:p w:rsidR="00473DFB" w:rsidRPr="00675023" w:rsidRDefault="00473DFB" w:rsidP="00592363">
            <w:pPr>
              <w:pStyle w:val="Default"/>
              <w:spacing w:line="360" w:lineRule="auto"/>
              <w:jc w:val="both"/>
              <w:rPr>
                <w:rFonts w:ascii="Times New Roman" w:hAnsi="Times New Roman" w:cs="Times New Roman"/>
                <w:color w:val="auto"/>
                <w:sz w:val="22"/>
              </w:rPr>
            </w:pPr>
            <w:r w:rsidRPr="007E21C4">
              <w:rPr>
                <w:rFonts w:ascii="Times New Roman" w:hAnsi="Times New Roman" w:cs="Times New Roman"/>
                <w:color w:val="auto"/>
                <w:sz w:val="22"/>
              </w:rPr>
              <w:t xml:space="preserve">Percentage of decisions and orders issued within 30 working days after the final date of the hearing </w:t>
            </w:r>
          </w:p>
          <w:p w:rsidR="00F26EF9" w:rsidRPr="007E21C4" w:rsidRDefault="00F26EF9" w:rsidP="00592363">
            <w:pPr>
              <w:pStyle w:val="Default"/>
              <w:spacing w:line="360" w:lineRule="auto"/>
              <w:jc w:val="both"/>
              <w:rPr>
                <w:rFonts w:ascii="Times New Roman" w:hAnsi="Times New Roman" w:cs="Times New Roman"/>
                <w:color w:val="auto"/>
                <w:sz w:val="22"/>
              </w:rPr>
            </w:pPr>
          </w:p>
          <w:p w:rsidR="00473DFB" w:rsidRPr="00675023" w:rsidRDefault="00473DFB" w:rsidP="007E21C4">
            <w:pPr>
              <w:pStyle w:val="Default"/>
              <w:spacing w:line="360" w:lineRule="auto"/>
              <w:jc w:val="both"/>
              <w:rPr>
                <w:rFonts w:ascii="Times New Roman" w:hAnsi="Times New Roman" w:cs="Times New Roman"/>
                <w:color w:val="auto"/>
                <w:sz w:val="22"/>
              </w:rPr>
            </w:pPr>
            <w:r w:rsidRPr="007E21C4">
              <w:rPr>
                <w:rFonts w:ascii="Times New Roman" w:hAnsi="Times New Roman" w:cs="Times New Roman"/>
                <w:color w:val="auto"/>
                <w:sz w:val="22"/>
              </w:rPr>
              <w:t>Percentage of decisions and orders issued within 30 days after the date of allocation</w:t>
            </w:r>
          </w:p>
          <w:p w:rsidR="00F26EF9" w:rsidRPr="007E21C4" w:rsidRDefault="00F26EF9" w:rsidP="007E21C4">
            <w:pPr>
              <w:pStyle w:val="Default"/>
              <w:spacing w:line="360" w:lineRule="auto"/>
              <w:jc w:val="both"/>
              <w:rPr>
                <w:rFonts w:ascii="Times New Roman" w:hAnsi="Times New Roman" w:cs="Times New Roman"/>
                <w:color w:val="auto"/>
                <w:sz w:val="22"/>
              </w:rPr>
            </w:pPr>
          </w:p>
          <w:p w:rsidR="00473DFB" w:rsidRPr="007E21C4" w:rsidRDefault="00473DFB" w:rsidP="00675023">
            <w:pPr>
              <w:pStyle w:val="Default"/>
              <w:spacing w:line="360" w:lineRule="auto"/>
              <w:jc w:val="both"/>
              <w:rPr>
                <w:rFonts w:ascii="Times New Roman" w:hAnsi="Times New Roman" w:cs="Times New Roman"/>
                <w:color w:val="auto"/>
                <w:sz w:val="22"/>
              </w:rPr>
            </w:pPr>
            <w:r w:rsidRPr="007E21C4">
              <w:rPr>
                <w:rFonts w:ascii="Times New Roman" w:hAnsi="Times New Roman" w:cs="Times New Roman"/>
                <w:sz w:val="22"/>
              </w:rPr>
              <w:t>Percentage of cases finalized in terms of Alternative Dispute Resolution (ADR) within 25 working</w:t>
            </w:r>
            <w:r w:rsidR="00F26EF9" w:rsidRPr="00675023">
              <w:rPr>
                <w:rFonts w:ascii="Times New Roman" w:hAnsi="Times New Roman" w:cs="Times New Roman"/>
                <w:color w:val="auto"/>
                <w:sz w:val="22"/>
              </w:rPr>
              <w:t xml:space="preserve"> </w:t>
            </w:r>
            <w:r w:rsidRPr="007E21C4">
              <w:rPr>
                <w:rFonts w:ascii="Times New Roman" w:hAnsi="Times New Roman" w:cs="Times New Roman"/>
                <w:color w:val="auto"/>
                <w:sz w:val="22"/>
              </w:rPr>
              <w:t>days after the date of final hearing or final submission by parties whichever is applicable</w:t>
            </w:r>
          </w:p>
        </w:tc>
        <w:tc>
          <w:tcPr>
            <w:tcW w:w="1276" w:type="dxa"/>
          </w:tcPr>
          <w:p w:rsidR="00473DFB" w:rsidRPr="007E21C4" w:rsidRDefault="00473DFB" w:rsidP="00592363">
            <w:pPr>
              <w:pStyle w:val="Default"/>
              <w:spacing w:line="360" w:lineRule="auto"/>
              <w:jc w:val="both"/>
              <w:rPr>
                <w:rFonts w:ascii="Times New Roman" w:hAnsi="Times New Roman" w:cs="Times New Roman"/>
                <w:color w:val="auto"/>
                <w:sz w:val="22"/>
              </w:rPr>
            </w:pPr>
            <w:r w:rsidRPr="007E21C4">
              <w:rPr>
                <w:rFonts w:ascii="Times New Roman" w:hAnsi="Times New Roman" w:cs="Times New Roman"/>
                <w:color w:val="auto"/>
                <w:sz w:val="22"/>
              </w:rPr>
              <w:t xml:space="preserve">90% </w:t>
            </w:r>
          </w:p>
          <w:p w:rsidR="00473DFB" w:rsidRPr="007E21C4" w:rsidRDefault="00473DFB" w:rsidP="00592363">
            <w:pPr>
              <w:pStyle w:val="Default"/>
              <w:spacing w:line="360" w:lineRule="auto"/>
              <w:jc w:val="both"/>
              <w:rPr>
                <w:rFonts w:ascii="Times New Roman" w:hAnsi="Times New Roman" w:cs="Times New Roman"/>
                <w:color w:val="auto"/>
                <w:sz w:val="22"/>
              </w:rPr>
            </w:pPr>
          </w:p>
          <w:p w:rsidR="00F26EF9" w:rsidRPr="007E21C4" w:rsidRDefault="00F26EF9" w:rsidP="00592363">
            <w:pPr>
              <w:pStyle w:val="Default"/>
              <w:spacing w:line="360" w:lineRule="auto"/>
              <w:jc w:val="both"/>
              <w:rPr>
                <w:rFonts w:ascii="Times New Roman" w:hAnsi="Times New Roman" w:cs="Times New Roman"/>
                <w:color w:val="auto"/>
                <w:sz w:val="22"/>
              </w:rPr>
            </w:pPr>
          </w:p>
          <w:p w:rsidR="00473DFB" w:rsidRPr="007E21C4" w:rsidRDefault="00473DFB" w:rsidP="00592363">
            <w:pPr>
              <w:pStyle w:val="Default"/>
              <w:spacing w:line="360" w:lineRule="auto"/>
              <w:jc w:val="both"/>
              <w:rPr>
                <w:rFonts w:ascii="Times New Roman" w:hAnsi="Times New Roman" w:cs="Times New Roman"/>
                <w:color w:val="auto"/>
                <w:sz w:val="22"/>
              </w:rPr>
            </w:pPr>
            <w:r w:rsidRPr="007E21C4">
              <w:rPr>
                <w:rFonts w:ascii="Times New Roman" w:hAnsi="Times New Roman" w:cs="Times New Roman"/>
                <w:color w:val="auto"/>
                <w:sz w:val="22"/>
              </w:rPr>
              <w:t>90%</w:t>
            </w:r>
          </w:p>
          <w:p w:rsidR="00473DFB" w:rsidRPr="007E21C4" w:rsidRDefault="00473DFB" w:rsidP="00592363">
            <w:pPr>
              <w:pStyle w:val="Default"/>
              <w:spacing w:line="360" w:lineRule="auto"/>
              <w:jc w:val="both"/>
              <w:rPr>
                <w:rFonts w:ascii="Times New Roman" w:hAnsi="Times New Roman" w:cs="Times New Roman"/>
                <w:color w:val="auto"/>
                <w:sz w:val="22"/>
              </w:rPr>
            </w:pPr>
          </w:p>
          <w:p w:rsidR="00473DFB" w:rsidRPr="007E21C4" w:rsidRDefault="00473DFB" w:rsidP="00592363">
            <w:pPr>
              <w:pStyle w:val="Default"/>
              <w:spacing w:line="360" w:lineRule="auto"/>
              <w:jc w:val="both"/>
              <w:rPr>
                <w:rFonts w:ascii="Times New Roman" w:hAnsi="Times New Roman" w:cs="Times New Roman"/>
                <w:color w:val="auto"/>
                <w:sz w:val="22"/>
              </w:rPr>
            </w:pPr>
          </w:p>
          <w:p w:rsidR="00473DFB" w:rsidRPr="007E21C4" w:rsidRDefault="00473DFB" w:rsidP="00592363">
            <w:pPr>
              <w:pStyle w:val="Default"/>
              <w:spacing w:line="360" w:lineRule="auto"/>
              <w:jc w:val="both"/>
              <w:rPr>
                <w:rFonts w:ascii="Times New Roman" w:hAnsi="Times New Roman" w:cs="Times New Roman"/>
                <w:b/>
                <w:color w:val="auto"/>
                <w:sz w:val="22"/>
              </w:rPr>
            </w:pPr>
            <w:r w:rsidRPr="007E21C4">
              <w:rPr>
                <w:rFonts w:ascii="Times New Roman" w:hAnsi="Times New Roman" w:cs="Times New Roman"/>
                <w:color w:val="auto"/>
                <w:sz w:val="22"/>
              </w:rPr>
              <w:t>75%</w:t>
            </w:r>
          </w:p>
        </w:tc>
      </w:tr>
    </w:tbl>
    <w:p w:rsidR="00473DFB" w:rsidRPr="00A51ABD" w:rsidRDefault="00473DFB" w:rsidP="00592363">
      <w:pPr>
        <w:pStyle w:val="Default"/>
        <w:spacing w:line="360" w:lineRule="auto"/>
        <w:jc w:val="both"/>
        <w:rPr>
          <w:rFonts w:ascii="Times New Roman" w:hAnsi="Times New Roman" w:cs="Times New Roman"/>
          <w:bCs/>
          <w:color w:val="auto"/>
          <w:sz w:val="20"/>
          <w:szCs w:val="20"/>
        </w:rPr>
      </w:pPr>
      <w:r w:rsidRPr="00A51ABD">
        <w:rPr>
          <w:rFonts w:ascii="Times New Roman" w:hAnsi="Times New Roman" w:cs="Times New Roman"/>
          <w:bCs/>
          <w:color w:val="auto"/>
          <w:sz w:val="20"/>
          <w:szCs w:val="20"/>
        </w:rPr>
        <w:t>Source: Companies Tribunal (2016b)</w:t>
      </w:r>
    </w:p>
    <w:p w:rsidR="006F2694" w:rsidRPr="00675023" w:rsidRDefault="006F2694" w:rsidP="00592363">
      <w:pPr>
        <w:spacing w:after="0" w:line="360" w:lineRule="auto"/>
        <w:jc w:val="both"/>
        <w:rPr>
          <w:rFonts w:ascii="Times New Roman" w:hAnsi="Times New Roman" w:cs="Times New Roman"/>
          <w:sz w:val="24"/>
          <w:szCs w:val="24"/>
        </w:rPr>
      </w:pPr>
    </w:p>
    <w:p w:rsidR="007C1A08" w:rsidRDefault="00007291" w:rsidP="007E21C4">
      <w:pPr>
        <w:pStyle w:val="ListParagraph"/>
        <w:numPr>
          <w:ilvl w:val="3"/>
          <w:numId w:val="2"/>
        </w:numPr>
        <w:spacing w:after="0" w:line="36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t xml:space="preserve">Programme 2: </w:t>
      </w:r>
      <w:r w:rsidR="00473DFB" w:rsidRPr="00675023">
        <w:rPr>
          <w:rFonts w:ascii="Times New Roman" w:hAnsi="Times New Roman" w:cs="Times New Roman"/>
          <w:b/>
          <w:sz w:val="24"/>
          <w:szCs w:val="24"/>
        </w:rPr>
        <w:t>Administration</w:t>
      </w:r>
    </w:p>
    <w:p w:rsidR="007C1A08" w:rsidRDefault="007C1A08" w:rsidP="00592363">
      <w:pPr>
        <w:spacing w:after="0" w:line="360" w:lineRule="auto"/>
        <w:jc w:val="both"/>
        <w:rPr>
          <w:rFonts w:ascii="Times New Roman" w:hAnsi="Times New Roman" w:cs="Times New Roman"/>
          <w:b/>
          <w:sz w:val="24"/>
          <w:szCs w:val="24"/>
        </w:rPr>
      </w:pPr>
    </w:p>
    <w:p w:rsidR="00473DFB" w:rsidRDefault="00F26E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This </w:t>
      </w:r>
      <w:r w:rsidR="00473DFB" w:rsidRPr="00675023">
        <w:rPr>
          <w:rFonts w:ascii="Times New Roman" w:hAnsi="Times New Roman" w:cs="Times New Roman"/>
          <w:sz w:val="24"/>
          <w:szCs w:val="24"/>
        </w:rPr>
        <w:t>programme ensur</w:t>
      </w:r>
      <w:r w:rsidRPr="00675023">
        <w:rPr>
          <w:rFonts w:ascii="Times New Roman" w:hAnsi="Times New Roman" w:cs="Times New Roman"/>
          <w:sz w:val="24"/>
          <w:szCs w:val="24"/>
        </w:rPr>
        <w:t>es</w:t>
      </w:r>
      <w:r w:rsidR="00473DFB" w:rsidRPr="00675023">
        <w:rPr>
          <w:rFonts w:ascii="Times New Roman" w:hAnsi="Times New Roman" w:cs="Times New Roman"/>
          <w:sz w:val="24"/>
          <w:szCs w:val="24"/>
        </w:rPr>
        <w:t xml:space="preserve"> operational efficiency, effectiveness and effective stakeholder engagement.</w:t>
      </w:r>
      <w:r w:rsidR="00473DFB" w:rsidRPr="00675023">
        <w:rPr>
          <w:rFonts w:ascii="Times New Roman" w:hAnsi="Times New Roman" w:cs="Times New Roman"/>
          <w:b/>
          <w:sz w:val="24"/>
          <w:szCs w:val="24"/>
        </w:rPr>
        <w:t xml:space="preserve"> </w:t>
      </w:r>
      <w:r w:rsidR="00473DFB" w:rsidRPr="00675023">
        <w:rPr>
          <w:rFonts w:ascii="Times New Roman" w:hAnsi="Times New Roman" w:cs="Times New Roman"/>
          <w:sz w:val="24"/>
          <w:szCs w:val="24"/>
        </w:rPr>
        <w:t xml:space="preserve">In this regard, the presence </w:t>
      </w:r>
      <w:r w:rsidRPr="00675023">
        <w:rPr>
          <w:rFonts w:ascii="Times New Roman" w:hAnsi="Times New Roman" w:cs="Times New Roman"/>
          <w:sz w:val="24"/>
          <w:szCs w:val="24"/>
        </w:rPr>
        <w:t xml:space="preserve">of </w:t>
      </w:r>
      <w:r w:rsidR="00473DFB" w:rsidRPr="00675023">
        <w:rPr>
          <w:rFonts w:ascii="Times New Roman" w:hAnsi="Times New Roman" w:cs="Times New Roman"/>
          <w:sz w:val="24"/>
          <w:szCs w:val="24"/>
        </w:rPr>
        <w:t>effective</w:t>
      </w:r>
      <w:r w:rsidR="00473DFB" w:rsidRPr="00675023">
        <w:rPr>
          <w:rFonts w:ascii="Times New Roman" w:hAnsi="Times New Roman" w:cs="Times New Roman"/>
          <w:b/>
          <w:sz w:val="24"/>
          <w:szCs w:val="24"/>
        </w:rPr>
        <w:t xml:space="preserve"> </w:t>
      </w:r>
      <w:r w:rsidRPr="00675023">
        <w:rPr>
          <w:rFonts w:ascii="Times New Roman" w:hAnsi="Times New Roman" w:cs="Times New Roman"/>
          <w:sz w:val="24"/>
          <w:szCs w:val="24"/>
        </w:rPr>
        <w:t>financial management, human resource management, information technology, knowledge management, stakeholder management</w:t>
      </w:r>
      <w:r w:rsidR="00473DFB" w:rsidRPr="00675023">
        <w:rPr>
          <w:rFonts w:ascii="Times New Roman" w:hAnsi="Times New Roman" w:cs="Times New Roman"/>
          <w:sz w:val="24"/>
          <w:szCs w:val="24"/>
        </w:rPr>
        <w:t xml:space="preserve"> and </w:t>
      </w:r>
      <w:r w:rsidRPr="00675023">
        <w:rPr>
          <w:rFonts w:ascii="Times New Roman" w:hAnsi="Times New Roman" w:cs="Times New Roman"/>
          <w:sz w:val="24"/>
          <w:szCs w:val="24"/>
        </w:rPr>
        <w:t xml:space="preserve">legal services </w:t>
      </w:r>
      <w:r w:rsidR="00473DFB" w:rsidRPr="00675023">
        <w:rPr>
          <w:rFonts w:ascii="Times New Roman" w:hAnsi="Times New Roman" w:cs="Times New Roman"/>
          <w:sz w:val="24"/>
          <w:szCs w:val="24"/>
        </w:rPr>
        <w:t>contributes to the creation of effecti</w:t>
      </w:r>
      <w:r w:rsidR="006F2694" w:rsidRPr="00675023">
        <w:rPr>
          <w:rFonts w:ascii="Times New Roman" w:hAnsi="Times New Roman" w:cs="Times New Roman"/>
          <w:sz w:val="24"/>
          <w:szCs w:val="24"/>
        </w:rPr>
        <w:t>ve and well</w:t>
      </w:r>
      <w:r w:rsidRPr="00675023">
        <w:rPr>
          <w:rFonts w:ascii="Times New Roman" w:hAnsi="Times New Roman" w:cs="Times New Roman"/>
          <w:sz w:val="24"/>
          <w:szCs w:val="24"/>
        </w:rPr>
        <w:t>-</w:t>
      </w:r>
      <w:r w:rsidR="006F2694" w:rsidRPr="00675023">
        <w:rPr>
          <w:rFonts w:ascii="Times New Roman" w:hAnsi="Times New Roman" w:cs="Times New Roman"/>
          <w:sz w:val="24"/>
          <w:szCs w:val="24"/>
        </w:rPr>
        <w:t>managed operations.</w:t>
      </w:r>
    </w:p>
    <w:p w:rsidR="00CF4ADF" w:rsidRDefault="00CF4ADF" w:rsidP="00592363">
      <w:pPr>
        <w:spacing w:after="0" w:line="360" w:lineRule="auto"/>
        <w:jc w:val="both"/>
        <w:rPr>
          <w:rFonts w:ascii="Times New Roman" w:hAnsi="Times New Roman" w:cs="Times New Roman"/>
          <w:sz w:val="24"/>
          <w:szCs w:val="24"/>
        </w:rPr>
      </w:pPr>
    </w:p>
    <w:p w:rsidR="00CF4ADF" w:rsidRDefault="00CF4ADF" w:rsidP="005923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number of performance indicators were developed. However, the following were important for the CT to achieve its mandate during the 2016/17 financial year:</w:t>
      </w:r>
      <w:r>
        <w:rPr>
          <w:rStyle w:val="FootnoteReference"/>
          <w:rFonts w:ascii="Times New Roman" w:hAnsi="Times New Roman" w:cs="Times New Roman"/>
          <w:sz w:val="24"/>
          <w:szCs w:val="24"/>
        </w:rPr>
        <w:footnoteReference w:id="16"/>
      </w:r>
    </w:p>
    <w:p w:rsidR="00CF4ADF" w:rsidRDefault="00CF4ADF" w:rsidP="00592363">
      <w:pPr>
        <w:spacing w:after="0" w:line="360" w:lineRule="auto"/>
        <w:jc w:val="both"/>
        <w:rPr>
          <w:rFonts w:ascii="Times New Roman" w:hAnsi="Times New Roman" w:cs="Times New Roman"/>
          <w:sz w:val="24"/>
          <w:szCs w:val="24"/>
        </w:rPr>
      </w:pPr>
    </w:p>
    <w:p w:rsidR="00CF4ADF" w:rsidRDefault="00CF4ADF" w:rsidP="007E21C4">
      <w:pPr>
        <w:pStyle w:val="ListParagraph"/>
        <w:numPr>
          <w:ilvl w:val="0"/>
          <w:numId w:val="37"/>
        </w:numPr>
        <w:spacing w:after="0" w:line="360" w:lineRule="auto"/>
        <w:jc w:val="both"/>
        <w:rPr>
          <w:rFonts w:ascii="Times New Roman" w:hAnsi="Times New Roman" w:cs="Times New Roman"/>
        </w:rPr>
      </w:pPr>
      <w:r>
        <w:rPr>
          <w:rFonts w:ascii="Times New Roman" w:hAnsi="Times New Roman" w:cs="Times New Roman"/>
          <w:sz w:val="24"/>
          <w:szCs w:val="24"/>
        </w:rPr>
        <w:t>The development and partial implementation of a case management system.</w:t>
      </w:r>
    </w:p>
    <w:p w:rsidR="00CF4ADF" w:rsidRPr="007E21C4" w:rsidRDefault="00CF4ADF" w:rsidP="007E21C4">
      <w:pPr>
        <w:pStyle w:val="ListParagraph"/>
        <w:numPr>
          <w:ilvl w:val="0"/>
          <w:numId w:val="37"/>
        </w:numPr>
        <w:spacing w:after="0" w:line="360" w:lineRule="auto"/>
        <w:jc w:val="both"/>
        <w:rPr>
          <w:rFonts w:ascii="Times New Roman" w:hAnsi="Times New Roman" w:cs="Times New Roman"/>
          <w:sz w:val="28"/>
          <w:szCs w:val="24"/>
        </w:rPr>
      </w:pPr>
      <w:r w:rsidRPr="007E21C4">
        <w:rPr>
          <w:rFonts w:ascii="Times New Roman" w:hAnsi="Times New Roman" w:cs="Times New Roman"/>
          <w:color w:val="000000"/>
          <w:sz w:val="24"/>
          <w:szCs w:val="24"/>
        </w:rPr>
        <w:t xml:space="preserve">Participation in eight outreach programmes and/or </w:t>
      </w:r>
      <w:r w:rsidRPr="007E21C4">
        <w:rPr>
          <w:rFonts w:ascii="Times New Roman" w:hAnsi="Times New Roman" w:cs="Times New Roman"/>
          <w:sz w:val="24"/>
        </w:rPr>
        <w:t xml:space="preserve">exhibitions targeting business people, aspiring business people and the youth in the following areas: </w:t>
      </w:r>
      <w:r w:rsidRPr="007E21C4">
        <w:rPr>
          <w:rFonts w:ascii="Times New Roman" w:hAnsi="Times New Roman" w:cs="Times New Roman"/>
          <w:color w:val="000000"/>
          <w:sz w:val="24"/>
          <w:szCs w:val="24"/>
        </w:rPr>
        <w:t>Kimberley, Bloemfontein, Port Elizabeth, Potchefstroom, Mogale City, Emalahleni, Richards Bay, and Mafikeng.</w:t>
      </w:r>
    </w:p>
    <w:p w:rsidR="00F73BD0" w:rsidRDefault="00F73BD0" w:rsidP="00592363">
      <w:pPr>
        <w:pStyle w:val="Default"/>
        <w:spacing w:line="360" w:lineRule="auto"/>
        <w:jc w:val="both"/>
        <w:rPr>
          <w:rFonts w:ascii="Times New Roman" w:hAnsi="Times New Roman" w:cs="Times New Roman"/>
          <w:bCs/>
          <w:color w:val="auto"/>
        </w:rPr>
      </w:pPr>
    </w:p>
    <w:p w:rsidR="00F350B5" w:rsidRDefault="00F350B5">
      <w:pPr>
        <w:rPr>
          <w:rFonts w:ascii="Times New Roman" w:hAnsi="Times New Roman" w:cs="Times New Roman"/>
          <w:b/>
          <w:sz w:val="24"/>
          <w:szCs w:val="24"/>
        </w:rPr>
      </w:pPr>
      <w:r>
        <w:rPr>
          <w:rFonts w:ascii="Times New Roman" w:hAnsi="Times New Roman" w:cs="Times New Roman"/>
          <w:b/>
          <w:sz w:val="24"/>
          <w:szCs w:val="24"/>
        </w:rPr>
        <w:br w:type="page"/>
      </w:r>
    </w:p>
    <w:p w:rsidR="00473DFB" w:rsidRPr="007E21C4" w:rsidRDefault="00473DFB" w:rsidP="007E21C4">
      <w:pPr>
        <w:pStyle w:val="ListParagraph"/>
        <w:numPr>
          <w:ilvl w:val="2"/>
          <w:numId w:val="2"/>
        </w:numPr>
        <w:spacing w:after="0" w:line="360" w:lineRule="auto"/>
        <w:ind w:left="709" w:hanging="709"/>
        <w:jc w:val="both"/>
        <w:rPr>
          <w:rFonts w:ascii="Times New Roman" w:hAnsi="Times New Roman" w:cs="Times New Roman"/>
          <w:b/>
        </w:rPr>
      </w:pPr>
      <w:r w:rsidRPr="007E21C4">
        <w:rPr>
          <w:rFonts w:ascii="Times New Roman" w:hAnsi="Times New Roman" w:cs="Times New Roman"/>
          <w:b/>
          <w:sz w:val="24"/>
          <w:szCs w:val="24"/>
        </w:rPr>
        <w:t>Medium Term Budget Analysis</w:t>
      </w:r>
      <w:r w:rsidRPr="007E21C4" w:rsidDel="0004053A">
        <w:rPr>
          <w:rFonts w:ascii="Times New Roman" w:hAnsi="Times New Roman" w:cs="Times New Roman"/>
          <w:b/>
          <w:sz w:val="24"/>
          <w:szCs w:val="24"/>
        </w:rPr>
        <w:t xml:space="preserve"> </w:t>
      </w:r>
    </w:p>
    <w:p w:rsidR="00473DFB" w:rsidRPr="00675023" w:rsidRDefault="00473DFB" w:rsidP="00592363">
      <w:pPr>
        <w:spacing w:after="0" w:line="360" w:lineRule="auto"/>
        <w:jc w:val="both"/>
        <w:rPr>
          <w:rFonts w:ascii="Times New Roman" w:hAnsi="Times New Roman" w:cs="Times New Roman"/>
          <w:sz w:val="24"/>
          <w:szCs w:val="24"/>
        </w:rPr>
      </w:pPr>
    </w:p>
    <w:p w:rsidR="00473DFB" w:rsidRPr="007E21C4" w:rsidRDefault="00473DFB"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7E21C4">
        <w:rPr>
          <w:rFonts w:ascii="Times New Roman" w:hAnsi="Times New Roman" w:cs="Times New Roman"/>
          <w:b/>
          <w:sz w:val="24"/>
          <w:szCs w:val="24"/>
        </w:rPr>
        <w:t>Income</w:t>
      </w:r>
    </w:p>
    <w:p w:rsidR="006F2694" w:rsidRPr="00675023" w:rsidRDefault="006F2694" w:rsidP="00592363">
      <w:pPr>
        <w:pStyle w:val="Default"/>
        <w:spacing w:line="360" w:lineRule="auto"/>
        <w:jc w:val="both"/>
        <w:rPr>
          <w:rFonts w:ascii="Times New Roman" w:hAnsi="Times New Roman" w:cs="Times New Roman"/>
          <w:color w:val="auto"/>
        </w:rPr>
      </w:pPr>
    </w:p>
    <w:p w:rsidR="00473DFB" w:rsidRPr="00675023" w:rsidRDefault="00473DFB" w:rsidP="00592363">
      <w:pPr>
        <w:pStyle w:val="Default"/>
        <w:spacing w:line="360" w:lineRule="auto"/>
        <w:jc w:val="both"/>
        <w:rPr>
          <w:rFonts w:ascii="Times New Roman" w:hAnsi="Times New Roman" w:cs="Times New Roman"/>
        </w:rPr>
      </w:pPr>
      <w:r w:rsidRPr="00675023">
        <w:rPr>
          <w:rFonts w:ascii="Times New Roman" w:hAnsi="Times New Roman" w:cs="Times New Roman"/>
          <w:color w:val="auto"/>
        </w:rPr>
        <w:t xml:space="preserve">For the 2016/17 financial year, the </w:t>
      </w:r>
      <w:r w:rsidR="00A052D9">
        <w:rPr>
          <w:rFonts w:ascii="Times New Roman" w:hAnsi="Times New Roman" w:cs="Times New Roman"/>
          <w:color w:val="auto"/>
        </w:rPr>
        <w:t>CT</w:t>
      </w:r>
      <w:r w:rsidRPr="00675023">
        <w:rPr>
          <w:rFonts w:ascii="Times New Roman" w:hAnsi="Times New Roman" w:cs="Times New Roman"/>
          <w:color w:val="auto"/>
        </w:rPr>
        <w:t>’s expected income amounts to R22.</w:t>
      </w:r>
      <w:r w:rsidR="00656B82">
        <w:rPr>
          <w:rFonts w:ascii="Times New Roman" w:hAnsi="Times New Roman" w:cs="Times New Roman"/>
          <w:color w:val="auto"/>
        </w:rPr>
        <w:t>7</w:t>
      </w:r>
      <w:r w:rsidRPr="00675023">
        <w:rPr>
          <w:rFonts w:ascii="Times New Roman" w:hAnsi="Times New Roman" w:cs="Times New Roman"/>
          <w:color w:val="auto"/>
        </w:rPr>
        <w:t xml:space="preserve"> million. The budgeted income shows an increase of R3.9 million (</w:t>
      </w:r>
      <w:r w:rsidR="00605477" w:rsidRPr="00675023">
        <w:rPr>
          <w:rFonts w:ascii="Times New Roman" w:hAnsi="Times New Roman" w:cs="Times New Roman"/>
          <w:color w:val="auto"/>
        </w:rPr>
        <w:t xml:space="preserve">a </w:t>
      </w:r>
      <w:r w:rsidRPr="00675023">
        <w:rPr>
          <w:rFonts w:ascii="Times New Roman" w:hAnsi="Times New Roman" w:cs="Times New Roman"/>
          <w:color w:val="auto"/>
        </w:rPr>
        <w:t xml:space="preserve">21.3 percent increase in nominal terms or 13.8 percent increase in real terms) compared to the previous </w:t>
      </w:r>
      <w:r w:rsidR="00605477" w:rsidRPr="00675023">
        <w:rPr>
          <w:rFonts w:ascii="Times New Roman" w:hAnsi="Times New Roman" w:cs="Times New Roman"/>
          <w:color w:val="auto"/>
        </w:rPr>
        <w:t xml:space="preserve">financial </w:t>
      </w:r>
      <w:r w:rsidRPr="00675023">
        <w:rPr>
          <w:rFonts w:ascii="Times New Roman" w:hAnsi="Times New Roman" w:cs="Times New Roman"/>
          <w:color w:val="auto"/>
        </w:rPr>
        <w:t xml:space="preserve">year. Transfers from the </w:t>
      </w:r>
      <w:r w:rsidR="00605477" w:rsidRPr="00675023">
        <w:rPr>
          <w:rFonts w:ascii="Times New Roman" w:hAnsi="Times New Roman" w:cs="Times New Roman"/>
          <w:color w:val="auto"/>
        </w:rPr>
        <w:t xml:space="preserve">DTI </w:t>
      </w:r>
      <w:r w:rsidRPr="00675023">
        <w:rPr>
          <w:rFonts w:ascii="Times New Roman" w:hAnsi="Times New Roman" w:cs="Times New Roman"/>
          <w:color w:val="auto"/>
        </w:rPr>
        <w:t xml:space="preserve">are expected to amount to R15 million (66 percent of the total budgeted income) while other income is expected </w:t>
      </w:r>
      <w:r w:rsidR="00605477" w:rsidRPr="00675023">
        <w:rPr>
          <w:rFonts w:ascii="Times New Roman" w:hAnsi="Times New Roman" w:cs="Times New Roman"/>
          <w:color w:val="auto"/>
        </w:rPr>
        <w:t xml:space="preserve">to </w:t>
      </w:r>
      <w:r w:rsidRPr="00675023">
        <w:rPr>
          <w:rFonts w:ascii="Times New Roman" w:hAnsi="Times New Roman" w:cs="Times New Roman"/>
          <w:color w:val="auto"/>
        </w:rPr>
        <w:t xml:space="preserve">be </w:t>
      </w:r>
      <w:r w:rsidR="00605477" w:rsidRPr="00675023">
        <w:rPr>
          <w:rFonts w:ascii="Times New Roman" w:hAnsi="Times New Roman" w:cs="Times New Roman"/>
          <w:color w:val="auto"/>
        </w:rPr>
        <w:t xml:space="preserve">about </w:t>
      </w:r>
      <w:r w:rsidRPr="00675023">
        <w:rPr>
          <w:rFonts w:ascii="Times New Roman" w:hAnsi="Times New Roman" w:cs="Times New Roman"/>
          <w:color w:val="auto"/>
        </w:rPr>
        <w:t xml:space="preserve">R7.6 million.  Income from transfers from the </w:t>
      </w:r>
      <w:r w:rsidR="00605477" w:rsidRPr="00675023">
        <w:rPr>
          <w:rFonts w:ascii="Times New Roman" w:hAnsi="Times New Roman" w:cs="Times New Roman"/>
          <w:color w:val="auto"/>
        </w:rPr>
        <w:t xml:space="preserve">DTI </w:t>
      </w:r>
      <w:r w:rsidRPr="00675023">
        <w:rPr>
          <w:rFonts w:ascii="Times New Roman" w:hAnsi="Times New Roman" w:cs="Times New Roman"/>
          <w:color w:val="auto"/>
        </w:rPr>
        <w:t xml:space="preserve">show a </w:t>
      </w:r>
      <w:r w:rsidR="00605477" w:rsidRPr="00675023">
        <w:rPr>
          <w:rFonts w:ascii="Times New Roman" w:hAnsi="Times New Roman" w:cs="Times New Roman"/>
          <w:color w:val="auto"/>
        </w:rPr>
        <w:t xml:space="preserve">real </w:t>
      </w:r>
      <w:r w:rsidRPr="00675023">
        <w:rPr>
          <w:rFonts w:ascii="Times New Roman" w:hAnsi="Times New Roman" w:cs="Times New Roman"/>
          <w:color w:val="auto"/>
        </w:rPr>
        <w:t>decrease of 0.6 percent and other income show a</w:t>
      </w:r>
      <w:r w:rsidR="00605477" w:rsidRPr="00675023">
        <w:rPr>
          <w:rFonts w:ascii="Times New Roman" w:hAnsi="Times New Roman" w:cs="Times New Roman"/>
          <w:color w:val="auto"/>
        </w:rPr>
        <w:t xml:space="preserve"> real</w:t>
      </w:r>
      <w:r w:rsidRPr="00675023">
        <w:rPr>
          <w:rFonts w:ascii="Times New Roman" w:hAnsi="Times New Roman" w:cs="Times New Roman"/>
          <w:color w:val="auto"/>
        </w:rPr>
        <w:t xml:space="preserve"> increase of approximately 59 percent in real terms from the 2015/</w:t>
      </w:r>
      <w:r w:rsidRPr="00675023">
        <w:rPr>
          <w:rFonts w:ascii="Times New Roman" w:hAnsi="Times New Roman" w:cs="Times New Roman"/>
        </w:rPr>
        <w:t xml:space="preserve">16 financial year. </w:t>
      </w:r>
    </w:p>
    <w:p w:rsidR="006F2694" w:rsidRPr="00675023" w:rsidRDefault="006F2694" w:rsidP="00592363">
      <w:pPr>
        <w:pStyle w:val="Default"/>
        <w:spacing w:line="360" w:lineRule="auto"/>
        <w:jc w:val="both"/>
        <w:rPr>
          <w:rFonts w:ascii="Times New Roman" w:hAnsi="Times New Roman" w:cs="Times New Roman"/>
        </w:rPr>
      </w:pPr>
    </w:p>
    <w:p w:rsidR="00473DFB" w:rsidRPr="00675023" w:rsidRDefault="00473DFB" w:rsidP="00592363">
      <w:pPr>
        <w:pStyle w:val="Default"/>
        <w:spacing w:line="360" w:lineRule="auto"/>
        <w:jc w:val="both"/>
        <w:rPr>
          <w:rFonts w:ascii="Times New Roman" w:hAnsi="Times New Roman" w:cs="Times New Roman"/>
          <w:b/>
          <w:color w:val="auto"/>
        </w:rPr>
      </w:pPr>
      <w:r w:rsidRPr="00675023">
        <w:rPr>
          <w:rFonts w:ascii="Times New Roman" w:hAnsi="Times New Roman" w:cs="Times New Roman"/>
          <w:b/>
        </w:rPr>
        <w:t xml:space="preserve">Table </w:t>
      </w:r>
      <w:r w:rsidR="00DF2510">
        <w:rPr>
          <w:rFonts w:ascii="Times New Roman" w:hAnsi="Times New Roman" w:cs="Times New Roman"/>
          <w:b/>
        </w:rPr>
        <w:t>5</w:t>
      </w:r>
      <w:r w:rsidRPr="00675023">
        <w:rPr>
          <w:rFonts w:ascii="Times New Roman" w:hAnsi="Times New Roman" w:cs="Times New Roman"/>
          <w:b/>
        </w:rPr>
        <w:t>: Budgeted Income 2016/17 – 2018/19</w:t>
      </w:r>
    </w:p>
    <w:tbl>
      <w:tblPr>
        <w:tblW w:w="9498" w:type="dxa"/>
        <w:tblInd w:w="-5" w:type="dxa"/>
        <w:tblLayout w:type="fixed"/>
        <w:tblLook w:val="04A0" w:firstRow="1" w:lastRow="0" w:firstColumn="1" w:lastColumn="0" w:noHBand="0" w:noVBand="1"/>
      </w:tblPr>
      <w:tblGrid>
        <w:gridCol w:w="2379"/>
        <w:gridCol w:w="24"/>
        <w:gridCol w:w="1134"/>
        <w:gridCol w:w="992"/>
        <w:gridCol w:w="1134"/>
        <w:gridCol w:w="993"/>
        <w:gridCol w:w="1422"/>
        <w:gridCol w:w="1420"/>
      </w:tblGrid>
      <w:tr w:rsidR="00605477" w:rsidRPr="00675023" w:rsidTr="007E21C4">
        <w:trPr>
          <w:trHeight w:val="535"/>
        </w:trPr>
        <w:tc>
          <w:tcPr>
            <w:tcW w:w="237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rsidR="00DF2510" w:rsidRDefault="00605477" w:rsidP="007E21C4">
            <w:pPr>
              <w:spacing w:after="0" w:line="360" w:lineRule="auto"/>
              <w:ind w:firstLine="104"/>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Revenue</w:t>
            </w:r>
          </w:p>
          <w:p w:rsidR="00605477" w:rsidRPr="007E21C4" w:rsidRDefault="00DF2510" w:rsidP="007E21C4">
            <w:pPr>
              <w:spacing w:after="0" w:line="360" w:lineRule="auto"/>
              <w:ind w:firstLine="104"/>
              <w:rPr>
                <w:rFonts w:ascii="Times New Roman" w:hAnsi="Times New Roman" w:cs="Times New Roman"/>
                <w:b/>
                <w:bCs/>
                <w:sz w:val="20"/>
                <w:szCs w:val="24"/>
                <w:lang w:eastAsia="en-ZA"/>
              </w:rPr>
            </w:pPr>
            <w:r>
              <w:rPr>
                <w:rFonts w:ascii="Times New Roman" w:hAnsi="Times New Roman" w:cs="Times New Roman"/>
                <w:b/>
                <w:bCs/>
                <w:sz w:val="20"/>
                <w:szCs w:val="24"/>
                <w:lang w:eastAsia="en-ZA"/>
              </w:rPr>
              <w:t>(R thousand)</w:t>
            </w:r>
          </w:p>
        </w:tc>
        <w:tc>
          <w:tcPr>
            <w:tcW w:w="115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5477" w:rsidRPr="007E21C4" w:rsidRDefault="00605477"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Revised estimate </w:t>
            </w:r>
          </w:p>
        </w:tc>
        <w:tc>
          <w:tcPr>
            <w:tcW w:w="311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05477" w:rsidRPr="007E21C4" w:rsidRDefault="00605477" w:rsidP="00DF25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Medium-term expenditure estimate</w:t>
            </w:r>
          </w:p>
        </w:tc>
        <w:tc>
          <w:tcPr>
            <w:tcW w:w="14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5477" w:rsidRPr="00675023" w:rsidRDefault="00605477" w:rsidP="00DF25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Growth</w:t>
            </w:r>
          </w:p>
        </w:tc>
        <w:tc>
          <w:tcPr>
            <w:tcW w:w="1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5477" w:rsidRPr="007E21C4" w:rsidRDefault="00605477" w:rsidP="00DF25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Real Growth</w:t>
            </w:r>
          </w:p>
        </w:tc>
      </w:tr>
      <w:tr w:rsidR="00605477" w:rsidRPr="00675023" w:rsidTr="007E21C4">
        <w:trPr>
          <w:trHeight w:val="255"/>
        </w:trPr>
        <w:tc>
          <w:tcPr>
            <w:tcW w:w="2379" w:type="dxa"/>
            <w:vMerge/>
            <w:tcBorders>
              <w:left w:val="single" w:sz="4" w:space="0" w:color="auto"/>
              <w:bottom w:val="single" w:sz="4" w:space="0" w:color="auto"/>
              <w:right w:val="single" w:sz="4" w:space="0" w:color="auto"/>
            </w:tcBorders>
            <w:shd w:val="clear" w:color="auto" w:fill="00B050"/>
            <w:noWrap/>
            <w:vAlign w:val="bottom"/>
            <w:hideMark/>
          </w:tcPr>
          <w:p w:rsidR="00605477" w:rsidRPr="007E21C4" w:rsidRDefault="00605477" w:rsidP="00592363">
            <w:pPr>
              <w:spacing w:after="0" w:line="360" w:lineRule="auto"/>
              <w:rPr>
                <w:rFonts w:ascii="Times New Roman" w:hAnsi="Times New Roman" w:cs="Times New Roman"/>
                <w:sz w:val="20"/>
                <w:szCs w:val="24"/>
                <w:lang w:eastAsia="en-ZA"/>
              </w:rPr>
            </w:pPr>
          </w:p>
        </w:tc>
        <w:tc>
          <w:tcPr>
            <w:tcW w:w="1158"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605477" w:rsidRPr="007E21C4" w:rsidRDefault="00605477"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2015/16</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605477" w:rsidRPr="007E21C4" w:rsidRDefault="00605477"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2016/17</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605477" w:rsidRPr="007E21C4" w:rsidRDefault="00605477"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2017/18</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rsidR="00605477" w:rsidRPr="007E21C4" w:rsidRDefault="00605477"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2018/19</w:t>
            </w:r>
          </w:p>
        </w:tc>
        <w:tc>
          <w:tcPr>
            <w:tcW w:w="284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05477" w:rsidRPr="007E21C4" w:rsidRDefault="00605477" w:rsidP="007E21C4">
            <w:pPr>
              <w:spacing w:after="0" w:line="360" w:lineRule="auto"/>
              <w:jc w:val="center"/>
              <w:rPr>
                <w:rFonts w:ascii="Times New Roman" w:hAnsi="Times New Roman" w:cs="Times New Roman"/>
                <w:b/>
                <w:bCs/>
                <w:sz w:val="20"/>
                <w:szCs w:val="24"/>
                <w:lang w:eastAsia="en-ZA"/>
              </w:rPr>
            </w:pPr>
            <w:r w:rsidRPr="00675023">
              <w:rPr>
                <w:rFonts w:ascii="Times New Roman" w:hAnsi="Times New Roman" w:cs="Times New Roman"/>
                <w:b/>
                <w:bCs/>
                <w:sz w:val="20"/>
                <w:szCs w:val="24"/>
                <w:lang w:eastAsia="en-ZA"/>
              </w:rPr>
              <w:t>2015/16 - 2016/17</w:t>
            </w:r>
          </w:p>
        </w:tc>
      </w:tr>
      <w:tr w:rsidR="00473DFB" w:rsidRPr="00675023" w:rsidTr="007E21C4">
        <w:trPr>
          <w:trHeight w:val="255"/>
        </w:trPr>
        <w:tc>
          <w:tcPr>
            <w:tcW w:w="2403" w:type="dxa"/>
            <w:gridSpan w:val="2"/>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Other non-tax revenue</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4 488</w:t>
            </w:r>
          </w:p>
        </w:tc>
        <w:tc>
          <w:tcPr>
            <w:tcW w:w="992"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7 621</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7 285</w:t>
            </w:r>
          </w:p>
        </w:tc>
        <w:tc>
          <w:tcPr>
            <w:tcW w:w="99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8 044</w:t>
            </w:r>
          </w:p>
        </w:tc>
        <w:tc>
          <w:tcPr>
            <w:tcW w:w="1422" w:type="dxa"/>
            <w:tcBorders>
              <w:top w:val="single" w:sz="4" w:space="0" w:color="auto"/>
              <w:left w:val="nil"/>
              <w:bottom w:val="single" w:sz="4" w:space="0" w:color="auto"/>
              <w:right w:val="single" w:sz="4" w:space="0" w:color="auto"/>
            </w:tcBorders>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rPr>
              <w:t>3 133.0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DFB" w:rsidRPr="007E21C4" w:rsidRDefault="00473DFB" w:rsidP="007E21C4">
            <w:pPr>
              <w:spacing w:after="0" w:line="360" w:lineRule="auto"/>
              <w:jc w:val="center"/>
              <w:rPr>
                <w:rFonts w:ascii="Times New Roman" w:hAnsi="Times New Roman" w:cs="Times New Roman"/>
                <w:sz w:val="20"/>
                <w:szCs w:val="24"/>
                <w:lang w:eastAsia="en-ZA"/>
              </w:rPr>
            </w:pPr>
            <w:r w:rsidRPr="007E21C4">
              <w:rPr>
                <w:rFonts w:ascii="Times New Roman" w:hAnsi="Times New Roman" w:cs="Times New Roman"/>
                <w:sz w:val="20"/>
                <w:szCs w:val="24"/>
                <w:lang w:eastAsia="en-ZA"/>
              </w:rPr>
              <w:t>59.3</w:t>
            </w:r>
          </w:p>
        </w:tc>
      </w:tr>
      <w:tr w:rsidR="00473DFB" w:rsidRPr="00675023" w:rsidTr="007E21C4">
        <w:trPr>
          <w:trHeight w:val="255"/>
        </w:trPr>
        <w:tc>
          <w:tcPr>
            <w:tcW w:w="2403" w:type="dxa"/>
            <w:gridSpan w:val="2"/>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Transfers received</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14 221</w:t>
            </w:r>
          </w:p>
        </w:tc>
        <w:tc>
          <w:tcPr>
            <w:tcW w:w="992"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15 069</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15 822</w:t>
            </w:r>
          </w:p>
        </w:tc>
        <w:tc>
          <w:tcPr>
            <w:tcW w:w="99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16 740</w:t>
            </w:r>
          </w:p>
        </w:tc>
        <w:tc>
          <w:tcPr>
            <w:tcW w:w="1422" w:type="dxa"/>
            <w:tcBorders>
              <w:top w:val="single" w:sz="4" w:space="0" w:color="auto"/>
              <w:left w:val="nil"/>
              <w:bottom w:val="single" w:sz="4" w:space="0" w:color="auto"/>
              <w:right w:val="single" w:sz="4" w:space="0" w:color="auto"/>
            </w:tcBorders>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rPr>
              <w:t>848.0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DFB" w:rsidRPr="007E21C4" w:rsidRDefault="00473DFB" w:rsidP="007E21C4">
            <w:pPr>
              <w:spacing w:after="0" w:line="360" w:lineRule="auto"/>
              <w:jc w:val="center"/>
              <w:rPr>
                <w:rFonts w:ascii="Times New Roman" w:hAnsi="Times New Roman" w:cs="Times New Roman"/>
                <w:sz w:val="20"/>
                <w:szCs w:val="24"/>
                <w:lang w:eastAsia="en-ZA"/>
              </w:rPr>
            </w:pPr>
            <w:r w:rsidRPr="007E21C4">
              <w:rPr>
                <w:rFonts w:ascii="Times New Roman" w:hAnsi="Times New Roman" w:cs="Times New Roman"/>
                <w:sz w:val="20"/>
                <w:szCs w:val="24"/>
                <w:lang w:eastAsia="en-ZA"/>
              </w:rPr>
              <w:t>-0.6%</w:t>
            </w:r>
          </w:p>
        </w:tc>
      </w:tr>
      <w:tr w:rsidR="00473DFB" w:rsidRPr="00675023" w:rsidTr="007E21C4">
        <w:trPr>
          <w:trHeight w:val="255"/>
        </w:trPr>
        <w:tc>
          <w:tcPr>
            <w:tcW w:w="2403" w:type="dxa"/>
            <w:gridSpan w:val="2"/>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Total revenue</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18 709</w:t>
            </w:r>
          </w:p>
        </w:tc>
        <w:tc>
          <w:tcPr>
            <w:tcW w:w="992"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22 690</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23 107</w:t>
            </w:r>
          </w:p>
        </w:tc>
        <w:tc>
          <w:tcPr>
            <w:tcW w:w="99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24 784</w:t>
            </w:r>
          </w:p>
        </w:tc>
        <w:tc>
          <w:tcPr>
            <w:tcW w:w="1422" w:type="dxa"/>
            <w:tcBorders>
              <w:top w:val="single" w:sz="4" w:space="0" w:color="auto"/>
              <w:left w:val="nil"/>
              <w:bottom w:val="single" w:sz="4" w:space="0" w:color="auto"/>
              <w:right w:val="single" w:sz="4" w:space="0" w:color="auto"/>
            </w:tcBorders>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3 981.0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DFB" w:rsidRPr="007E21C4" w:rsidRDefault="00473DFB"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13.8</w:t>
            </w:r>
          </w:p>
        </w:tc>
      </w:tr>
    </w:tbl>
    <w:p w:rsidR="00473DFB" w:rsidRPr="00A51ABD" w:rsidRDefault="00473DFB" w:rsidP="00592363">
      <w:pPr>
        <w:spacing w:after="0" w:line="360" w:lineRule="auto"/>
        <w:jc w:val="both"/>
        <w:rPr>
          <w:rFonts w:ascii="Times New Roman" w:hAnsi="Times New Roman" w:cs="Times New Roman"/>
          <w:sz w:val="20"/>
          <w:szCs w:val="20"/>
        </w:rPr>
      </w:pPr>
      <w:r w:rsidRPr="00A51ABD">
        <w:rPr>
          <w:rFonts w:ascii="Times New Roman" w:hAnsi="Times New Roman" w:cs="Times New Roman"/>
          <w:sz w:val="20"/>
          <w:szCs w:val="20"/>
        </w:rPr>
        <w:t xml:space="preserve">Source: National Treasury (2016) </w:t>
      </w:r>
    </w:p>
    <w:p w:rsidR="00473DFB" w:rsidRPr="00675023" w:rsidRDefault="00473DFB" w:rsidP="00592363">
      <w:pPr>
        <w:spacing w:after="0" w:line="360" w:lineRule="auto"/>
        <w:jc w:val="both"/>
        <w:rPr>
          <w:rFonts w:ascii="Times New Roman" w:hAnsi="Times New Roman" w:cs="Times New Roman"/>
          <w:sz w:val="24"/>
          <w:szCs w:val="24"/>
        </w:rPr>
      </w:pPr>
    </w:p>
    <w:p w:rsidR="00473DFB" w:rsidRPr="007E21C4" w:rsidRDefault="00473DFB"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7E21C4">
        <w:rPr>
          <w:rFonts w:ascii="Times New Roman" w:hAnsi="Times New Roman" w:cs="Times New Roman"/>
          <w:b/>
          <w:sz w:val="24"/>
          <w:szCs w:val="24"/>
        </w:rPr>
        <w:t xml:space="preserve">Expenditure </w:t>
      </w:r>
    </w:p>
    <w:p w:rsidR="00473DFB" w:rsidRPr="00675023" w:rsidRDefault="00473DFB" w:rsidP="00592363">
      <w:pPr>
        <w:spacing w:after="0" w:line="360" w:lineRule="auto"/>
        <w:jc w:val="both"/>
        <w:rPr>
          <w:rFonts w:ascii="Times New Roman" w:hAnsi="Times New Roman" w:cs="Times New Roman"/>
          <w:sz w:val="24"/>
          <w:szCs w:val="24"/>
        </w:rPr>
      </w:pPr>
    </w:p>
    <w:p w:rsidR="00473DFB" w:rsidRPr="00675023" w:rsidRDefault="00473DFB"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In terms of budget allocation by programme, of the two programmes the entity has, the largest programme is the Administration programme accounting for approximately 80.1 percent of the total budget. The Adjudication programme is therefore allocated the remaining 19 percent of the budget. Compared to the previous financial year, the Administration programme</w:t>
      </w:r>
      <w:r w:rsidR="003E24B8" w:rsidRPr="00675023">
        <w:rPr>
          <w:rFonts w:ascii="Times New Roman" w:hAnsi="Times New Roman" w:cs="Times New Roman"/>
          <w:sz w:val="24"/>
          <w:szCs w:val="24"/>
        </w:rPr>
        <w:t>’s</w:t>
      </w:r>
      <w:r w:rsidRPr="00675023">
        <w:rPr>
          <w:rFonts w:ascii="Times New Roman" w:hAnsi="Times New Roman" w:cs="Times New Roman"/>
          <w:sz w:val="24"/>
          <w:szCs w:val="24"/>
        </w:rPr>
        <w:t xml:space="preserve"> budget will increase by 17.2 percent and the Adjudicatio</w:t>
      </w:r>
      <w:r w:rsidR="006F2694" w:rsidRPr="00675023">
        <w:rPr>
          <w:rFonts w:ascii="Times New Roman" w:hAnsi="Times New Roman" w:cs="Times New Roman"/>
          <w:sz w:val="24"/>
          <w:szCs w:val="24"/>
        </w:rPr>
        <w:t xml:space="preserve">n by 1 percent in real terms.  </w:t>
      </w:r>
    </w:p>
    <w:p w:rsidR="000D1C6F" w:rsidRPr="00675023" w:rsidRDefault="000D1C6F" w:rsidP="00592363">
      <w:pPr>
        <w:spacing w:after="0" w:line="360" w:lineRule="auto"/>
        <w:jc w:val="both"/>
        <w:rPr>
          <w:rFonts w:ascii="Times New Roman" w:hAnsi="Times New Roman" w:cs="Times New Roman"/>
          <w:sz w:val="24"/>
          <w:szCs w:val="24"/>
        </w:rPr>
      </w:pPr>
    </w:p>
    <w:p w:rsidR="00473DFB" w:rsidRPr="00675023" w:rsidRDefault="00473DFB" w:rsidP="00592363">
      <w:pPr>
        <w:widowControl w:val="0"/>
        <w:overflowPunct w:val="0"/>
        <w:autoSpaceDE w:val="0"/>
        <w:autoSpaceDN w:val="0"/>
        <w:adjustRightInd w:val="0"/>
        <w:spacing w:after="0" w:line="360" w:lineRule="auto"/>
        <w:ind w:left="10"/>
        <w:jc w:val="both"/>
        <w:rPr>
          <w:rFonts w:ascii="Times New Roman" w:hAnsi="Times New Roman" w:cs="Times New Roman"/>
          <w:sz w:val="24"/>
          <w:szCs w:val="24"/>
        </w:rPr>
      </w:pPr>
      <w:r w:rsidRPr="00675023">
        <w:rPr>
          <w:rFonts w:ascii="Times New Roman" w:hAnsi="Times New Roman" w:cs="Times New Roman"/>
          <w:sz w:val="24"/>
          <w:szCs w:val="24"/>
        </w:rPr>
        <w:t>The Tribunal notes that use of Alternative Dispute Resolution services is expected to increase over the 5 year period</w:t>
      </w:r>
      <w:r w:rsidR="003E24B8" w:rsidRPr="00675023">
        <w:rPr>
          <w:rFonts w:ascii="Times New Roman" w:hAnsi="Times New Roman" w:cs="Times New Roman"/>
          <w:sz w:val="24"/>
          <w:szCs w:val="24"/>
        </w:rPr>
        <w:t>.</w:t>
      </w:r>
      <w:r w:rsidRPr="00675023">
        <w:rPr>
          <w:rFonts w:ascii="Times New Roman" w:hAnsi="Times New Roman" w:cs="Times New Roman"/>
          <w:sz w:val="24"/>
          <w:szCs w:val="24"/>
        </w:rPr>
        <w:t xml:space="preserve"> </w:t>
      </w:r>
      <w:r w:rsidR="003E24B8" w:rsidRPr="00675023">
        <w:rPr>
          <w:rFonts w:ascii="Times New Roman" w:hAnsi="Times New Roman" w:cs="Times New Roman"/>
          <w:sz w:val="24"/>
          <w:szCs w:val="24"/>
        </w:rPr>
        <w:t>However</w:t>
      </w:r>
      <w:r w:rsidRPr="00675023">
        <w:rPr>
          <w:rFonts w:ascii="Times New Roman" w:hAnsi="Times New Roman" w:cs="Times New Roman"/>
          <w:sz w:val="24"/>
          <w:szCs w:val="24"/>
        </w:rPr>
        <w:t>, the Adjudication budget increases by merely 1 percent in the current financial years and will increase marginally in the t</w:t>
      </w:r>
      <w:r w:rsidR="006F2694" w:rsidRPr="00675023">
        <w:rPr>
          <w:rFonts w:ascii="Times New Roman" w:hAnsi="Times New Roman" w:cs="Times New Roman"/>
          <w:sz w:val="24"/>
          <w:szCs w:val="24"/>
        </w:rPr>
        <w:t xml:space="preserve">wo financial years thereafter. </w:t>
      </w:r>
    </w:p>
    <w:p w:rsidR="000D1C6F" w:rsidRDefault="000D1C6F" w:rsidP="00592363">
      <w:pPr>
        <w:widowControl w:val="0"/>
        <w:overflowPunct w:val="0"/>
        <w:autoSpaceDE w:val="0"/>
        <w:autoSpaceDN w:val="0"/>
        <w:adjustRightInd w:val="0"/>
        <w:spacing w:after="0" w:line="360" w:lineRule="auto"/>
        <w:ind w:left="10"/>
        <w:jc w:val="both"/>
        <w:rPr>
          <w:rFonts w:ascii="Times New Roman" w:hAnsi="Times New Roman" w:cs="Times New Roman"/>
          <w:sz w:val="24"/>
          <w:szCs w:val="24"/>
        </w:rPr>
      </w:pPr>
    </w:p>
    <w:p w:rsidR="00F350B5" w:rsidRDefault="00F350B5">
      <w:pPr>
        <w:rPr>
          <w:rFonts w:ascii="Times New Roman" w:hAnsi="Times New Roman" w:cs="Times New Roman"/>
          <w:b/>
          <w:color w:val="000000"/>
          <w:sz w:val="24"/>
          <w:szCs w:val="24"/>
        </w:rPr>
      </w:pPr>
      <w:r>
        <w:rPr>
          <w:rFonts w:ascii="Times New Roman" w:hAnsi="Times New Roman" w:cs="Times New Roman"/>
          <w:b/>
        </w:rPr>
        <w:br w:type="page"/>
      </w:r>
    </w:p>
    <w:p w:rsidR="00473DFB" w:rsidRPr="00675023" w:rsidRDefault="00473DFB" w:rsidP="00592363">
      <w:pPr>
        <w:pStyle w:val="Default"/>
        <w:spacing w:line="360" w:lineRule="auto"/>
        <w:jc w:val="both"/>
        <w:rPr>
          <w:rFonts w:ascii="Times New Roman" w:hAnsi="Times New Roman" w:cs="Times New Roman"/>
          <w:b/>
          <w:color w:val="auto"/>
        </w:rPr>
      </w:pPr>
      <w:r w:rsidRPr="00675023">
        <w:rPr>
          <w:rFonts w:ascii="Times New Roman" w:hAnsi="Times New Roman" w:cs="Times New Roman"/>
          <w:b/>
        </w:rPr>
        <w:t xml:space="preserve">Table </w:t>
      </w:r>
      <w:r w:rsidR="00DF2510">
        <w:rPr>
          <w:rFonts w:ascii="Times New Roman" w:hAnsi="Times New Roman" w:cs="Times New Roman"/>
          <w:b/>
        </w:rPr>
        <w:t>6</w:t>
      </w:r>
      <w:r w:rsidRPr="00675023">
        <w:rPr>
          <w:rFonts w:ascii="Times New Roman" w:hAnsi="Times New Roman" w:cs="Times New Roman"/>
          <w:b/>
        </w:rPr>
        <w:t>: Expenditure by Programme 2016/17 – 2018/19</w:t>
      </w:r>
    </w:p>
    <w:tbl>
      <w:tblPr>
        <w:tblW w:w="9493" w:type="dxa"/>
        <w:tblLayout w:type="fixed"/>
        <w:tblLook w:val="04A0" w:firstRow="1" w:lastRow="0" w:firstColumn="1" w:lastColumn="0" w:noHBand="0" w:noVBand="1"/>
      </w:tblPr>
      <w:tblGrid>
        <w:gridCol w:w="2122"/>
        <w:gridCol w:w="1275"/>
        <w:gridCol w:w="1134"/>
        <w:gridCol w:w="1134"/>
        <w:gridCol w:w="1134"/>
        <w:gridCol w:w="1276"/>
        <w:gridCol w:w="71"/>
        <w:gridCol w:w="1347"/>
      </w:tblGrid>
      <w:tr w:rsidR="003E24B8" w:rsidRPr="00675023" w:rsidTr="007E21C4">
        <w:trPr>
          <w:trHeight w:val="520"/>
        </w:trPr>
        <w:tc>
          <w:tcPr>
            <w:tcW w:w="212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24B8" w:rsidRDefault="003E24B8"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Programme</w:t>
            </w:r>
          </w:p>
          <w:p w:rsidR="00DF2510" w:rsidRPr="007E21C4" w:rsidRDefault="00DF2510" w:rsidP="00592363">
            <w:pPr>
              <w:spacing w:after="0" w:line="360" w:lineRule="auto"/>
              <w:jc w:val="center"/>
              <w:rPr>
                <w:rFonts w:ascii="Times New Roman" w:hAnsi="Times New Roman" w:cs="Times New Roman"/>
                <w:b/>
                <w:bCs/>
                <w:sz w:val="20"/>
                <w:szCs w:val="24"/>
                <w:lang w:eastAsia="en-ZA"/>
              </w:rPr>
            </w:pPr>
            <w:r>
              <w:rPr>
                <w:rFonts w:ascii="Times New Roman" w:hAnsi="Times New Roman" w:cs="Times New Roman"/>
                <w:b/>
                <w:bCs/>
                <w:sz w:val="20"/>
                <w:szCs w:val="24"/>
                <w:lang w:eastAsia="en-ZA"/>
              </w:rPr>
              <w:t>(R thousand)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24B8" w:rsidRPr="007E21C4" w:rsidRDefault="003E24B8"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Revised estimate </w:t>
            </w:r>
          </w:p>
        </w:tc>
        <w:tc>
          <w:tcPr>
            <w:tcW w:w="340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24B8" w:rsidRPr="007E21C4" w:rsidRDefault="003E24B8" w:rsidP="00DF25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Medium-term expenditure estimate</w:t>
            </w:r>
          </w:p>
        </w:tc>
        <w:tc>
          <w:tcPr>
            <w:tcW w:w="13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24B8" w:rsidRPr="00675023" w:rsidRDefault="003E24B8" w:rsidP="00DF25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Growth </w:t>
            </w:r>
          </w:p>
        </w:tc>
        <w:tc>
          <w:tcPr>
            <w:tcW w:w="13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E24B8" w:rsidRPr="007E21C4" w:rsidRDefault="003E24B8" w:rsidP="0067502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 Real Growth </w:t>
            </w:r>
          </w:p>
        </w:tc>
      </w:tr>
      <w:tr w:rsidR="003E24B8" w:rsidRPr="00675023" w:rsidTr="007E21C4">
        <w:trPr>
          <w:trHeight w:val="25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3E24B8" w:rsidRPr="007E21C4" w:rsidRDefault="003E24B8" w:rsidP="00592363">
            <w:pPr>
              <w:spacing w:after="0" w:line="360" w:lineRule="auto"/>
              <w:rPr>
                <w:rFonts w:ascii="Times New Roman" w:hAnsi="Times New Roman" w:cs="Times New Roman"/>
                <w:b/>
                <w:bCs/>
                <w:sz w:val="20"/>
                <w:szCs w:val="24"/>
                <w:lang w:eastAsia="en-ZA"/>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rsidR="003E24B8" w:rsidRPr="007E21C4" w:rsidRDefault="003E24B8"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2015/16</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3E24B8" w:rsidRPr="007E21C4" w:rsidRDefault="003E24B8"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2016/17</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3E24B8" w:rsidRPr="007E21C4" w:rsidRDefault="003E24B8"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2017/18</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3E24B8" w:rsidRPr="007E21C4" w:rsidRDefault="003E24B8"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2018/19</w:t>
            </w:r>
          </w:p>
        </w:tc>
        <w:tc>
          <w:tcPr>
            <w:tcW w:w="269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E24B8" w:rsidRPr="007E21C4" w:rsidRDefault="003E24B8" w:rsidP="007E21C4">
            <w:pPr>
              <w:spacing w:after="0" w:line="360" w:lineRule="auto"/>
              <w:jc w:val="center"/>
              <w:rPr>
                <w:rFonts w:ascii="Times New Roman" w:hAnsi="Times New Roman" w:cs="Times New Roman"/>
                <w:b/>
                <w:bCs/>
                <w:sz w:val="20"/>
                <w:szCs w:val="24"/>
                <w:lang w:eastAsia="en-ZA"/>
              </w:rPr>
            </w:pPr>
            <w:r w:rsidRPr="00675023">
              <w:rPr>
                <w:rFonts w:ascii="Times New Roman" w:hAnsi="Times New Roman" w:cs="Times New Roman"/>
                <w:b/>
                <w:bCs/>
                <w:sz w:val="20"/>
                <w:szCs w:val="24"/>
                <w:lang w:eastAsia="en-ZA"/>
              </w:rPr>
              <w:t>2015/16 - 2016/17</w:t>
            </w:r>
          </w:p>
        </w:tc>
      </w:tr>
      <w:tr w:rsidR="00473DFB" w:rsidRPr="00675023" w:rsidTr="007E21C4">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Administration</w:t>
            </w:r>
          </w:p>
        </w:tc>
        <w:tc>
          <w:tcPr>
            <w:tcW w:w="1275"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14 672</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18 342</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18 330</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19 542</w:t>
            </w:r>
          </w:p>
        </w:tc>
        <w:tc>
          <w:tcPr>
            <w:tcW w:w="1276" w:type="dxa"/>
            <w:tcBorders>
              <w:top w:val="nil"/>
              <w:left w:val="nil"/>
              <w:bottom w:val="single" w:sz="4" w:space="0" w:color="auto"/>
              <w:right w:val="single" w:sz="4" w:space="0" w:color="auto"/>
            </w:tcBorders>
            <w:shd w:val="clear" w:color="auto" w:fill="auto"/>
            <w:vAlign w:val="bottom"/>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rPr>
              <w:t>3 670.0</w:t>
            </w:r>
          </w:p>
        </w:tc>
        <w:tc>
          <w:tcPr>
            <w:tcW w:w="1418" w:type="dxa"/>
            <w:gridSpan w:val="2"/>
            <w:tcBorders>
              <w:top w:val="nil"/>
              <w:left w:val="nil"/>
              <w:bottom w:val="single" w:sz="4" w:space="0" w:color="auto"/>
              <w:right w:val="single" w:sz="4" w:space="0" w:color="auto"/>
            </w:tcBorders>
            <w:vAlign w:val="center"/>
          </w:tcPr>
          <w:p w:rsidR="00473DFB" w:rsidRPr="007E21C4" w:rsidRDefault="00473DFB" w:rsidP="007E21C4">
            <w:pPr>
              <w:spacing w:after="0" w:line="360" w:lineRule="auto"/>
              <w:jc w:val="center"/>
              <w:rPr>
                <w:rFonts w:ascii="Times New Roman" w:hAnsi="Times New Roman" w:cs="Times New Roman"/>
                <w:sz w:val="20"/>
                <w:szCs w:val="24"/>
                <w:lang w:eastAsia="en-ZA"/>
              </w:rPr>
            </w:pPr>
            <w:r w:rsidRPr="007E21C4">
              <w:rPr>
                <w:rFonts w:ascii="Times New Roman" w:hAnsi="Times New Roman" w:cs="Times New Roman"/>
                <w:sz w:val="20"/>
                <w:szCs w:val="24"/>
                <w:lang w:eastAsia="en-ZA"/>
              </w:rPr>
              <w:t>17.2</w:t>
            </w:r>
          </w:p>
        </w:tc>
      </w:tr>
      <w:tr w:rsidR="00473DFB" w:rsidRPr="00675023" w:rsidTr="007E21C4">
        <w:trPr>
          <w:trHeight w:val="255"/>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Adjudication</w:t>
            </w:r>
          </w:p>
        </w:tc>
        <w:tc>
          <w:tcPr>
            <w:tcW w:w="1275"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4 037</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4 348</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4 777</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5 242</w:t>
            </w:r>
          </w:p>
        </w:tc>
        <w:tc>
          <w:tcPr>
            <w:tcW w:w="1276" w:type="dxa"/>
            <w:tcBorders>
              <w:top w:val="nil"/>
              <w:left w:val="nil"/>
              <w:bottom w:val="single" w:sz="4" w:space="0" w:color="auto"/>
              <w:right w:val="single" w:sz="4" w:space="0" w:color="auto"/>
            </w:tcBorders>
            <w:shd w:val="clear" w:color="auto" w:fill="auto"/>
            <w:vAlign w:val="bottom"/>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rPr>
              <w:t>311.0</w:t>
            </w:r>
          </w:p>
        </w:tc>
        <w:tc>
          <w:tcPr>
            <w:tcW w:w="1418" w:type="dxa"/>
            <w:gridSpan w:val="2"/>
            <w:tcBorders>
              <w:top w:val="nil"/>
              <w:left w:val="nil"/>
              <w:bottom w:val="single" w:sz="4" w:space="0" w:color="auto"/>
              <w:right w:val="single" w:sz="4" w:space="0" w:color="auto"/>
            </w:tcBorders>
            <w:vAlign w:val="center"/>
          </w:tcPr>
          <w:p w:rsidR="00473DFB" w:rsidRPr="007E21C4" w:rsidRDefault="00473DFB" w:rsidP="007E21C4">
            <w:pPr>
              <w:spacing w:after="0" w:line="360" w:lineRule="auto"/>
              <w:jc w:val="center"/>
              <w:rPr>
                <w:rFonts w:ascii="Times New Roman" w:hAnsi="Times New Roman" w:cs="Times New Roman"/>
                <w:sz w:val="20"/>
                <w:szCs w:val="24"/>
                <w:lang w:eastAsia="en-ZA"/>
              </w:rPr>
            </w:pPr>
            <w:r w:rsidRPr="007E21C4">
              <w:rPr>
                <w:rFonts w:ascii="Times New Roman" w:hAnsi="Times New Roman" w:cs="Times New Roman"/>
                <w:sz w:val="20"/>
                <w:szCs w:val="24"/>
                <w:lang w:eastAsia="en-ZA"/>
              </w:rPr>
              <w:t>1.0</w:t>
            </w:r>
          </w:p>
        </w:tc>
      </w:tr>
      <w:tr w:rsidR="00473DFB" w:rsidRPr="00675023" w:rsidTr="007E21C4">
        <w:trPr>
          <w:trHeight w:val="270"/>
        </w:trPr>
        <w:tc>
          <w:tcPr>
            <w:tcW w:w="2122"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Total</w:t>
            </w:r>
          </w:p>
        </w:tc>
        <w:tc>
          <w:tcPr>
            <w:tcW w:w="1275"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18 709</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22 690</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23 107</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24 784</w:t>
            </w:r>
          </w:p>
        </w:tc>
        <w:tc>
          <w:tcPr>
            <w:tcW w:w="1276" w:type="dxa"/>
            <w:tcBorders>
              <w:top w:val="nil"/>
              <w:left w:val="nil"/>
              <w:bottom w:val="single" w:sz="4" w:space="0" w:color="auto"/>
              <w:right w:val="single" w:sz="4" w:space="0" w:color="auto"/>
            </w:tcBorders>
            <w:shd w:val="clear" w:color="auto" w:fill="auto"/>
            <w:vAlign w:val="bottom"/>
            <w:hideMark/>
          </w:tcPr>
          <w:p w:rsidR="00473DFB" w:rsidRPr="007E21C4" w:rsidRDefault="00473DFB" w:rsidP="00592363">
            <w:pPr>
              <w:spacing w:after="0" w:line="360" w:lineRule="auto"/>
              <w:jc w:val="right"/>
              <w:rPr>
                <w:rFonts w:ascii="Times New Roman" w:hAnsi="Times New Roman" w:cs="Times New Roman"/>
                <w:b/>
                <w:sz w:val="20"/>
                <w:szCs w:val="24"/>
                <w:lang w:eastAsia="en-ZA"/>
              </w:rPr>
            </w:pPr>
            <w:r w:rsidRPr="007E21C4">
              <w:rPr>
                <w:rFonts w:ascii="Times New Roman" w:hAnsi="Times New Roman" w:cs="Times New Roman"/>
                <w:b/>
                <w:sz w:val="20"/>
                <w:szCs w:val="24"/>
              </w:rPr>
              <w:t>3 670.0</w:t>
            </w:r>
          </w:p>
        </w:tc>
        <w:tc>
          <w:tcPr>
            <w:tcW w:w="1418" w:type="dxa"/>
            <w:gridSpan w:val="2"/>
            <w:tcBorders>
              <w:top w:val="nil"/>
              <w:left w:val="nil"/>
              <w:bottom w:val="single" w:sz="4" w:space="0" w:color="auto"/>
              <w:right w:val="single" w:sz="4" w:space="0" w:color="auto"/>
            </w:tcBorders>
            <w:vAlign w:val="center"/>
          </w:tcPr>
          <w:p w:rsidR="00473DFB" w:rsidRPr="007E21C4" w:rsidRDefault="00473DFB" w:rsidP="007E21C4">
            <w:pPr>
              <w:spacing w:after="0" w:line="360" w:lineRule="auto"/>
              <w:jc w:val="center"/>
              <w:rPr>
                <w:rFonts w:ascii="Times New Roman" w:hAnsi="Times New Roman" w:cs="Times New Roman"/>
                <w:b/>
                <w:sz w:val="20"/>
                <w:szCs w:val="24"/>
                <w:lang w:eastAsia="en-ZA"/>
              </w:rPr>
            </w:pPr>
            <w:r w:rsidRPr="007E21C4">
              <w:rPr>
                <w:rFonts w:ascii="Times New Roman" w:hAnsi="Times New Roman" w:cs="Times New Roman"/>
                <w:b/>
                <w:sz w:val="20"/>
                <w:szCs w:val="24"/>
                <w:lang w:eastAsia="en-ZA"/>
              </w:rPr>
              <w:t>13.8</w:t>
            </w:r>
          </w:p>
        </w:tc>
      </w:tr>
    </w:tbl>
    <w:p w:rsidR="00473DFB" w:rsidRPr="00A51ABD" w:rsidRDefault="00473DFB" w:rsidP="00592363">
      <w:pPr>
        <w:spacing w:after="0" w:line="360" w:lineRule="auto"/>
        <w:jc w:val="both"/>
        <w:rPr>
          <w:rFonts w:ascii="Times New Roman" w:hAnsi="Times New Roman" w:cs="Times New Roman"/>
          <w:sz w:val="20"/>
          <w:szCs w:val="20"/>
        </w:rPr>
      </w:pPr>
      <w:r w:rsidRPr="00A51ABD">
        <w:rPr>
          <w:rFonts w:ascii="Times New Roman" w:hAnsi="Times New Roman" w:cs="Times New Roman"/>
          <w:sz w:val="20"/>
          <w:szCs w:val="20"/>
        </w:rPr>
        <w:t>So</w:t>
      </w:r>
      <w:r w:rsidR="006F2694" w:rsidRPr="00A51ABD">
        <w:rPr>
          <w:rFonts w:ascii="Times New Roman" w:hAnsi="Times New Roman" w:cs="Times New Roman"/>
          <w:sz w:val="20"/>
          <w:szCs w:val="20"/>
        </w:rPr>
        <w:t xml:space="preserve">urce: National Treasury (2016) </w:t>
      </w:r>
    </w:p>
    <w:p w:rsidR="000D1C6F" w:rsidRPr="00675023" w:rsidRDefault="000D1C6F" w:rsidP="00592363">
      <w:pPr>
        <w:autoSpaceDE w:val="0"/>
        <w:autoSpaceDN w:val="0"/>
        <w:adjustRightInd w:val="0"/>
        <w:spacing w:after="0" w:line="360" w:lineRule="auto"/>
        <w:jc w:val="both"/>
        <w:rPr>
          <w:rFonts w:ascii="Times New Roman" w:hAnsi="Times New Roman" w:cs="Times New Roman"/>
          <w:sz w:val="24"/>
          <w:szCs w:val="24"/>
        </w:rPr>
      </w:pPr>
    </w:p>
    <w:p w:rsidR="00473DFB" w:rsidRPr="00675023" w:rsidRDefault="00473DFB" w:rsidP="00592363">
      <w:pPr>
        <w:autoSpaceDE w:val="0"/>
        <w:autoSpaceDN w:val="0"/>
        <w:adjustRightInd w:val="0"/>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In terms of expenditure by category, expenditure of the entity is mainly </w:t>
      </w:r>
      <w:r w:rsidR="003E24B8" w:rsidRPr="00675023">
        <w:rPr>
          <w:rFonts w:ascii="Times New Roman" w:hAnsi="Times New Roman" w:cs="Times New Roman"/>
          <w:sz w:val="24"/>
          <w:szCs w:val="24"/>
        </w:rPr>
        <w:t>for</w:t>
      </w:r>
      <w:r w:rsidRPr="00675023">
        <w:rPr>
          <w:rFonts w:ascii="Times New Roman" w:hAnsi="Times New Roman" w:cs="Times New Roman"/>
          <w:sz w:val="24"/>
          <w:szCs w:val="24"/>
        </w:rPr>
        <w:t xml:space="preserve"> the compensation of employees and expenditure on goods and services.  Compensation </w:t>
      </w:r>
      <w:r w:rsidR="003E24B8" w:rsidRPr="00675023">
        <w:rPr>
          <w:rFonts w:ascii="Times New Roman" w:hAnsi="Times New Roman" w:cs="Times New Roman"/>
          <w:sz w:val="24"/>
          <w:szCs w:val="24"/>
        </w:rPr>
        <w:t xml:space="preserve">of </w:t>
      </w:r>
      <w:r w:rsidRPr="00675023">
        <w:rPr>
          <w:rFonts w:ascii="Times New Roman" w:hAnsi="Times New Roman" w:cs="Times New Roman"/>
          <w:sz w:val="24"/>
          <w:szCs w:val="24"/>
        </w:rPr>
        <w:t>employees account</w:t>
      </w:r>
      <w:r w:rsidR="003E24B8" w:rsidRPr="00675023">
        <w:rPr>
          <w:rFonts w:ascii="Times New Roman" w:hAnsi="Times New Roman" w:cs="Times New Roman"/>
          <w:sz w:val="24"/>
          <w:szCs w:val="24"/>
        </w:rPr>
        <w:t>s</w:t>
      </w:r>
      <w:r w:rsidRPr="00675023">
        <w:rPr>
          <w:rFonts w:ascii="Times New Roman" w:hAnsi="Times New Roman" w:cs="Times New Roman"/>
          <w:sz w:val="24"/>
          <w:szCs w:val="24"/>
        </w:rPr>
        <w:t xml:space="preserve"> for 56 percent of total expenditure while expenditure on goods and services account</w:t>
      </w:r>
      <w:r w:rsidR="003E24B8" w:rsidRPr="00675023">
        <w:rPr>
          <w:rFonts w:ascii="Times New Roman" w:hAnsi="Times New Roman" w:cs="Times New Roman"/>
          <w:sz w:val="24"/>
          <w:szCs w:val="24"/>
        </w:rPr>
        <w:t>s</w:t>
      </w:r>
      <w:r w:rsidRPr="00675023">
        <w:rPr>
          <w:rFonts w:ascii="Times New Roman" w:hAnsi="Times New Roman" w:cs="Times New Roman"/>
          <w:sz w:val="24"/>
          <w:szCs w:val="24"/>
        </w:rPr>
        <w:t xml:space="preserve"> for 43 percent. </w:t>
      </w:r>
    </w:p>
    <w:p w:rsidR="006F2694" w:rsidRPr="00675023" w:rsidRDefault="006F2694" w:rsidP="00592363">
      <w:pPr>
        <w:autoSpaceDE w:val="0"/>
        <w:autoSpaceDN w:val="0"/>
        <w:adjustRightInd w:val="0"/>
        <w:spacing w:after="0" w:line="360" w:lineRule="auto"/>
        <w:jc w:val="both"/>
        <w:rPr>
          <w:rFonts w:ascii="Times New Roman" w:hAnsi="Times New Roman" w:cs="Times New Roman"/>
          <w:sz w:val="24"/>
          <w:szCs w:val="24"/>
        </w:rPr>
      </w:pPr>
    </w:p>
    <w:p w:rsidR="00473DFB" w:rsidRPr="00675023" w:rsidRDefault="00473DFB" w:rsidP="00592363">
      <w:pPr>
        <w:pStyle w:val="Default"/>
        <w:spacing w:line="360" w:lineRule="auto"/>
        <w:jc w:val="both"/>
        <w:rPr>
          <w:rFonts w:ascii="Times New Roman" w:hAnsi="Times New Roman" w:cs="Times New Roman"/>
          <w:b/>
          <w:color w:val="auto"/>
        </w:rPr>
      </w:pPr>
      <w:r w:rsidRPr="00675023">
        <w:rPr>
          <w:rFonts w:ascii="Times New Roman" w:hAnsi="Times New Roman" w:cs="Times New Roman"/>
          <w:b/>
        </w:rPr>
        <w:t xml:space="preserve">Table </w:t>
      </w:r>
      <w:r w:rsidR="00DF2510">
        <w:rPr>
          <w:rFonts w:ascii="Times New Roman" w:hAnsi="Times New Roman" w:cs="Times New Roman"/>
          <w:b/>
        </w:rPr>
        <w:t>7</w:t>
      </w:r>
      <w:r w:rsidRPr="00675023">
        <w:rPr>
          <w:rFonts w:ascii="Times New Roman" w:hAnsi="Times New Roman" w:cs="Times New Roman"/>
          <w:b/>
        </w:rPr>
        <w:t xml:space="preserve">: Expenditure by </w:t>
      </w:r>
      <w:r w:rsidR="00A052D9">
        <w:rPr>
          <w:rFonts w:ascii="Times New Roman" w:hAnsi="Times New Roman" w:cs="Times New Roman"/>
          <w:b/>
        </w:rPr>
        <w:t>Category</w:t>
      </w:r>
      <w:r w:rsidR="00A052D9" w:rsidRPr="00675023">
        <w:rPr>
          <w:rFonts w:ascii="Times New Roman" w:hAnsi="Times New Roman" w:cs="Times New Roman"/>
          <w:b/>
        </w:rPr>
        <w:t xml:space="preserve"> </w:t>
      </w:r>
      <w:r w:rsidRPr="00675023">
        <w:rPr>
          <w:rFonts w:ascii="Times New Roman" w:hAnsi="Times New Roman" w:cs="Times New Roman"/>
          <w:b/>
        </w:rPr>
        <w:t>2016/17 – 2018/19</w:t>
      </w:r>
    </w:p>
    <w:tbl>
      <w:tblPr>
        <w:tblW w:w="9498" w:type="dxa"/>
        <w:tblInd w:w="-5" w:type="dxa"/>
        <w:tblLook w:val="04A0" w:firstRow="1" w:lastRow="0" w:firstColumn="1" w:lastColumn="0" w:noHBand="0" w:noVBand="1"/>
      </w:tblPr>
      <w:tblGrid>
        <w:gridCol w:w="4253"/>
        <w:gridCol w:w="1253"/>
        <w:gridCol w:w="1530"/>
        <w:gridCol w:w="1328"/>
        <w:gridCol w:w="1134"/>
      </w:tblGrid>
      <w:tr w:rsidR="00473DFB" w:rsidRPr="00675023" w:rsidTr="007E21C4">
        <w:trPr>
          <w:trHeight w:val="580"/>
        </w:trPr>
        <w:tc>
          <w:tcPr>
            <w:tcW w:w="4253" w:type="dxa"/>
            <w:vMerge w:val="restart"/>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473DFB" w:rsidRDefault="00473DFB" w:rsidP="00592363">
            <w:pPr>
              <w:spacing w:after="0" w:line="360" w:lineRule="auto"/>
              <w:rPr>
                <w:rFonts w:ascii="Times New Roman" w:hAnsi="Times New Roman" w:cs="Times New Roman"/>
                <w:b/>
                <w:sz w:val="20"/>
                <w:szCs w:val="24"/>
                <w:lang w:eastAsia="en-ZA"/>
              </w:rPr>
            </w:pPr>
            <w:r w:rsidRPr="007E21C4">
              <w:rPr>
                <w:rFonts w:ascii="Times New Roman" w:hAnsi="Times New Roman" w:cs="Times New Roman"/>
                <w:sz w:val="20"/>
                <w:szCs w:val="24"/>
                <w:lang w:eastAsia="en-ZA"/>
              </w:rPr>
              <w:t> </w:t>
            </w:r>
            <w:r w:rsidRPr="007E21C4">
              <w:rPr>
                <w:rFonts w:ascii="Times New Roman" w:hAnsi="Times New Roman" w:cs="Times New Roman"/>
                <w:b/>
                <w:sz w:val="20"/>
                <w:szCs w:val="24"/>
                <w:lang w:eastAsia="en-ZA"/>
              </w:rPr>
              <w:t>Expenditure</w:t>
            </w:r>
          </w:p>
          <w:p w:rsidR="00DF2510" w:rsidRPr="007E21C4" w:rsidRDefault="00DF2510" w:rsidP="00592363">
            <w:pPr>
              <w:spacing w:after="0" w:line="360" w:lineRule="auto"/>
              <w:rPr>
                <w:rFonts w:ascii="Times New Roman" w:hAnsi="Times New Roman" w:cs="Times New Roman"/>
                <w:b/>
                <w:bCs/>
                <w:sz w:val="20"/>
                <w:szCs w:val="24"/>
                <w:lang w:eastAsia="en-ZA"/>
              </w:rPr>
            </w:pPr>
            <w:r>
              <w:rPr>
                <w:rFonts w:ascii="Times New Roman" w:hAnsi="Times New Roman" w:cs="Times New Roman"/>
                <w:b/>
                <w:sz w:val="20"/>
                <w:szCs w:val="24"/>
                <w:lang w:eastAsia="en-ZA"/>
              </w:rPr>
              <w:t>(R thousand)</w:t>
            </w:r>
          </w:p>
        </w:tc>
        <w:tc>
          <w:tcPr>
            <w:tcW w:w="1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3DFB" w:rsidRPr="007E21C4" w:rsidRDefault="00473DFB" w:rsidP="00DF2510">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Revised estimate </w:t>
            </w:r>
          </w:p>
        </w:tc>
        <w:tc>
          <w:tcPr>
            <w:tcW w:w="399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73DFB" w:rsidRPr="007E21C4" w:rsidRDefault="00473DFB" w:rsidP="00DF25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Medium-term expenditure estimate </w:t>
            </w:r>
          </w:p>
        </w:tc>
      </w:tr>
      <w:tr w:rsidR="00473DFB" w:rsidRPr="00675023" w:rsidTr="007E21C4">
        <w:trPr>
          <w:trHeight w:val="285"/>
        </w:trPr>
        <w:tc>
          <w:tcPr>
            <w:tcW w:w="4253" w:type="dxa"/>
            <w:vMerge/>
            <w:tcBorders>
              <w:left w:val="single" w:sz="4" w:space="0" w:color="auto"/>
              <w:bottom w:val="single" w:sz="4" w:space="0" w:color="auto"/>
              <w:right w:val="single" w:sz="4" w:space="0" w:color="auto"/>
            </w:tcBorders>
            <w:shd w:val="clear" w:color="auto" w:fill="BFBFBF" w:themeFill="background1" w:themeFillShade="BF"/>
            <w:noWrap/>
            <w:vAlign w:val="bottom"/>
            <w:hideMark/>
          </w:tcPr>
          <w:p w:rsidR="00473DFB" w:rsidRPr="007E21C4" w:rsidRDefault="00473DFB" w:rsidP="00592363">
            <w:pPr>
              <w:spacing w:after="0" w:line="360" w:lineRule="auto"/>
              <w:rPr>
                <w:rFonts w:ascii="Times New Roman" w:hAnsi="Times New Roman" w:cs="Times New Roman"/>
                <w:sz w:val="20"/>
                <w:szCs w:val="24"/>
                <w:lang w:eastAsia="en-ZA"/>
              </w:rPr>
            </w:pPr>
          </w:p>
        </w:tc>
        <w:tc>
          <w:tcPr>
            <w:tcW w:w="1253" w:type="dxa"/>
            <w:tcBorders>
              <w:top w:val="nil"/>
              <w:left w:val="nil"/>
              <w:bottom w:val="single" w:sz="4" w:space="0" w:color="auto"/>
              <w:right w:val="single" w:sz="4" w:space="0" w:color="auto"/>
            </w:tcBorders>
            <w:shd w:val="clear" w:color="auto" w:fill="BFBFBF" w:themeFill="background1" w:themeFillShade="BF"/>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2015/16</w:t>
            </w:r>
          </w:p>
        </w:tc>
        <w:tc>
          <w:tcPr>
            <w:tcW w:w="1530" w:type="dxa"/>
            <w:tcBorders>
              <w:top w:val="nil"/>
              <w:left w:val="nil"/>
              <w:bottom w:val="single" w:sz="4" w:space="0" w:color="auto"/>
              <w:right w:val="single" w:sz="4" w:space="0" w:color="auto"/>
            </w:tcBorders>
            <w:shd w:val="clear" w:color="auto" w:fill="BFBFBF" w:themeFill="background1" w:themeFillShade="BF"/>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2016/17</w:t>
            </w:r>
          </w:p>
        </w:tc>
        <w:tc>
          <w:tcPr>
            <w:tcW w:w="1328" w:type="dxa"/>
            <w:tcBorders>
              <w:top w:val="nil"/>
              <w:left w:val="nil"/>
              <w:bottom w:val="single" w:sz="4" w:space="0" w:color="auto"/>
              <w:right w:val="single" w:sz="4" w:space="0" w:color="auto"/>
            </w:tcBorders>
            <w:shd w:val="clear" w:color="auto" w:fill="BFBFBF" w:themeFill="background1" w:themeFillShade="BF"/>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2017/18</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2018/19</w:t>
            </w:r>
          </w:p>
        </w:tc>
      </w:tr>
      <w:tr w:rsidR="00473DFB" w:rsidRPr="00675023" w:rsidTr="00473DFB">
        <w:trPr>
          <w:trHeight w:val="2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Compensation of employees</w:t>
            </w:r>
          </w:p>
        </w:tc>
        <w:tc>
          <w:tcPr>
            <w:tcW w:w="125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11 233</w:t>
            </w:r>
          </w:p>
        </w:tc>
        <w:tc>
          <w:tcPr>
            <w:tcW w:w="1530"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12 780</w:t>
            </w:r>
          </w:p>
        </w:tc>
        <w:tc>
          <w:tcPr>
            <w:tcW w:w="1328"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13 815</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14 786</w:t>
            </w:r>
          </w:p>
        </w:tc>
      </w:tr>
      <w:tr w:rsidR="00473DFB" w:rsidRPr="00675023" w:rsidTr="00473DFB">
        <w:trPr>
          <w:trHeight w:val="2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Goods and services</w:t>
            </w:r>
          </w:p>
        </w:tc>
        <w:tc>
          <w:tcPr>
            <w:tcW w:w="125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7 284</w:t>
            </w:r>
          </w:p>
        </w:tc>
        <w:tc>
          <w:tcPr>
            <w:tcW w:w="1530"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9 808</w:t>
            </w:r>
          </w:p>
        </w:tc>
        <w:tc>
          <w:tcPr>
            <w:tcW w:w="1328"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9 191</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9 898</w:t>
            </w:r>
          </w:p>
        </w:tc>
      </w:tr>
      <w:tr w:rsidR="00473DFB" w:rsidRPr="00675023" w:rsidTr="00473DFB">
        <w:trPr>
          <w:trHeight w:val="2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Depreciation</w:t>
            </w:r>
          </w:p>
        </w:tc>
        <w:tc>
          <w:tcPr>
            <w:tcW w:w="125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192</w:t>
            </w:r>
          </w:p>
        </w:tc>
        <w:tc>
          <w:tcPr>
            <w:tcW w:w="1530"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102</w:t>
            </w:r>
          </w:p>
        </w:tc>
        <w:tc>
          <w:tcPr>
            <w:tcW w:w="1328"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101</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100</w:t>
            </w:r>
          </w:p>
        </w:tc>
      </w:tr>
      <w:tr w:rsidR="00473DFB" w:rsidRPr="00675023" w:rsidTr="00473DFB">
        <w:trPr>
          <w:trHeight w:val="285"/>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Total expenditure</w:t>
            </w:r>
          </w:p>
        </w:tc>
        <w:tc>
          <w:tcPr>
            <w:tcW w:w="1253"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18 709</w:t>
            </w:r>
          </w:p>
        </w:tc>
        <w:tc>
          <w:tcPr>
            <w:tcW w:w="1530"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22 690</w:t>
            </w:r>
          </w:p>
        </w:tc>
        <w:tc>
          <w:tcPr>
            <w:tcW w:w="1328"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23 107</w:t>
            </w:r>
          </w:p>
        </w:tc>
        <w:tc>
          <w:tcPr>
            <w:tcW w:w="1134" w:type="dxa"/>
            <w:tcBorders>
              <w:top w:val="nil"/>
              <w:left w:val="nil"/>
              <w:bottom w:val="single" w:sz="4" w:space="0" w:color="auto"/>
              <w:right w:val="single" w:sz="4" w:space="0" w:color="auto"/>
            </w:tcBorders>
            <w:shd w:val="clear" w:color="auto" w:fill="auto"/>
            <w:vAlign w:val="center"/>
            <w:hideMark/>
          </w:tcPr>
          <w:p w:rsidR="00473DFB" w:rsidRPr="007E21C4" w:rsidRDefault="00473DFB"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24 784</w:t>
            </w:r>
          </w:p>
        </w:tc>
      </w:tr>
    </w:tbl>
    <w:p w:rsidR="00473DFB" w:rsidRPr="00A51ABD" w:rsidRDefault="00473DFB" w:rsidP="00592363">
      <w:pPr>
        <w:spacing w:after="0" w:line="360" w:lineRule="auto"/>
        <w:jc w:val="both"/>
        <w:rPr>
          <w:rFonts w:ascii="Times New Roman" w:hAnsi="Times New Roman" w:cs="Times New Roman"/>
          <w:sz w:val="20"/>
          <w:szCs w:val="20"/>
        </w:rPr>
      </w:pPr>
      <w:r w:rsidRPr="00A51ABD">
        <w:rPr>
          <w:rFonts w:ascii="Times New Roman" w:hAnsi="Times New Roman" w:cs="Times New Roman"/>
          <w:sz w:val="20"/>
          <w:szCs w:val="20"/>
        </w:rPr>
        <w:t>So</w:t>
      </w:r>
      <w:r w:rsidR="006F2694" w:rsidRPr="00A51ABD">
        <w:rPr>
          <w:rFonts w:ascii="Times New Roman" w:hAnsi="Times New Roman" w:cs="Times New Roman"/>
          <w:sz w:val="20"/>
          <w:szCs w:val="20"/>
        </w:rPr>
        <w:t xml:space="preserve">urce: National Treasury (2016) </w:t>
      </w:r>
    </w:p>
    <w:p w:rsidR="00BE4C6C" w:rsidRPr="00675023" w:rsidRDefault="00BE4C6C" w:rsidP="00592363">
      <w:pPr>
        <w:spacing w:after="0" w:line="360" w:lineRule="auto"/>
        <w:jc w:val="both"/>
        <w:rPr>
          <w:rFonts w:ascii="Times New Roman" w:hAnsi="Times New Roman" w:cs="Times New Roman"/>
          <w:sz w:val="24"/>
          <w:szCs w:val="24"/>
        </w:rPr>
      </w:pPr>
    </w:p>
    <w:p w:rsidR="00BE4C6C" w:rsidRPr="00675023" w:rsidRDefault="00BE4C6C"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Compensation of employees will increase by 6.6 percent and expenditure on goods and services by 26 percent in real terms in the current financial year compared to the previous year. The increase in compensation of employees is an inflationary increase as no new employees will be recruited in the financial year. The increase in expenditure on goods and services is due to possible increases in the total members’ fees paid that will result because of the expected increase in the number of cases referred to the Tribunal.</w:t>
      </w:r>
    </w:p>
    <w:p w:rsidR="00C87219" w:rsidRPr="00675023" w:rsidRDefault="00C87219" w:rsidP="00592363">
      <w:pPr>
        <w:spacing w:after="0" w:line="360" w:lineRule="auto"/>
        <w:jc w:val="both"/>
        <w:rPr>
          <w:rFonts w:ascii="Times New Roman" w:hAnsi="Times New Roman" w:cs="Times New Roman"/>
          <w:sz w:val="24"/>
          <w:szCs w:val="24"/>
        </w:rPr>
      </w:pPr>
    </w:p>
    <w:p w:rsidR="00D27D12" w:rsidRPr="00675023" w:rsidRDefault="00D27D12" w:rsidP="007E21C4">
      <w:pPr>
        <w:pStyle w:val="ListParagraph"/>
        <w:numPr>
          <w:ilvl w:val="2"/>
          <w:numId w:val="2"/>
        </w:numPr>
        <w:spacing w:after="0" w:line="360" w:lineRule="auto"/>
        <w:ind w:left="709" w:hanging="709"/>
        <w:jc w:val="both"/>
        <w:rPr>
          <w:rFonts w:ascii="Times New Roman" w:hAnsi="Times New Roman" w:cs="Times New Roman"/>
          <w:b/>
          <w:sz w:val="24"/>
          <w:szCs w:val="24"/>
        </w:rPr>
      </w:pPr>
      <w:r w:rsidRPr="00675023">
        <w:rPr>
          <w:rFonts w:ascii="Times New Roman" w:hAnsi="Times New Roman" w:cs="Times New Roman"/>
          <w:b/>
          <w:sz w:val="24"/>
          <w:szCs w:val="24"/>
        </w:rPr>
        <w:t xml:space="preserve">Key issues raised by the </w:t>
      </w:r>
      <w:r w:rsidR="006B1BE0" w:rsidRPr="00675023">
        <w:rPr>
          <w:rFonts w:ascii="Times New Roman" w:hAnsi="Times New Roman" w:cs="Times New Roman"/>
          <w:b/>
          <w:sz w:val="24"/>
          <w:szCs w:val="24"/>
        </w:rPr>
        <w:t>c</w:t>
      </w:r>
      <w:r w:rsidRPr="00675023">
        <w:rPr>
          <w:rFonts w:ascii="Times New Roman" w:hAnsi="Times New Roman" w:cs="Times New Roman"/>
          <w:b/>
          <w:sz w:val="24"/>
          <w:szCs w:val="24"/>
        </w:rPr>
        <w:t>ommittee during its deliberations</w:t>
      </w:r>
    </w:p>
    <w:p w:rsidR="00D27D12" w:rsidRPr="00675023" w:rsidRDefault="00D27D12" w:rsidP="00592363">
      <w:pPr>
        <w:autoSpaceDE w:val="0"/>
        <w:autoSpaceDN w:val="0"/>
        <w:adjustRightInd w:val="0"/>
        <w:spacing w:after="0" w:line="360" w:lineRule="auto"/>
        <w:jc w:val="both"/>
        <w:rPr>
          <w:rFonts w:ascii="Times New Roman" w:hAnsi="Times New Roman" w:cs="Times New Roman"/>
          <w:b/>
          <w:sz w:val="24"/>
          <w:szCs w:val="24"/>
        </w:rPr>
      </w:pPr>
    </w:p>
    <w:p w:rsidR="00D27D12" w:rsidRDefault="00D27D12"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During its deliberations, the committee raised a number of</w:t>
      </w:r>
      <w:r w:rsidR="006F2694" w:rsidRPr="00675023">
        <w:rPr>
          <w:rFonts w:ascii="Times New Roman" w:hAnsi="Times New Roman" w:cs="Times New Roman"/>
          <w:sz w:val="24"/>
          <w:szCs w:val="24"/>
        </w:rPr>
        <w:t xml:space="preserve"> </w:t>
      </w:r>
      <w:r w:rsidR="00A15410" w:rsidRPr="00675023">
        <w:rPr>
          <w:rFonts w:ascii="Times New Roman" w:hAnsi="Times New Roman" w:cs="Times New Roman"/>
          <w:sz w:val="24"/>
          <w:szCs w:val="24"/>
        </w:rPr>
        <w:t xml:space="preserve">issues </w:t>
      </w:r>
      <w:r w:rsidR="006F2694" w:rsidRPr="00675023">
        <w:rPr>
          <w:rFonts w:ascii="Times New Roman" w:hAnsi="Times New Roman" w:cs="Times New Roman"/>
          <w:sz w:val="24"/>
          <w:szCs w:val="24"/>
        </w:rPr>
        <w:t>which are captured below:</w:t>
      </w:r>
    </w:p>
    <w:p w:rsidR="004423B3" w:rsidRPr="00675023" w:rsidRDefault="004423B3" w:rsidP="00592363">
      <w:pPr>
        <w:spacing w:after="0" w:line="360" w:lineRule="auto"/>
        <w:jc w:val="both"/>
        <w:rPr>
          <w:rFonts w:ascii="Times New Roman" w:hAnsi="Times New Roman" w:cs="Times New Roman"/>
          <w:sz w:val="24"/>
          <w:szCs w:val="24"/>
        </w:rPr>
      </w:pPr>
    </w:p>
    <w:p w:rsidR="006F2694" w:rsidRPr="00675023" w:rsidRDefault="006F2694" w:rsidP="00592363">
      <w:pPr>
        <w:pStyle w:val="ListParagraph"/>
        <w:numPr>
          <w:ilvl w:val="0"/>
          <w:numId w:val="16"/>
        </w:numPr>
        <w:spacing w:after="0" w:line="360" w:lineRule="auto"/>
        <w:ind w:left="360"/>
        <w:jc w:val="both"/>
        <w:rPr>
          <w:rFonts w:ascii="Times New Roman" w:eastAsia="Times New Roman" w:hAnsi="Times New Roman" w:cs="Times New Roman"/>
          <w:i/>
          <w:sz w:val="24"/>
          <w:szCs w:val="24"/>
        </w:rPr>
      </w:pPr>
      <w:r w:rsidRPr="00675023">
        <w:rPr>
          <w:rFonts w:ascii="Times New Roman" w:eastAsia="Times New Roman" w:hAnsi="Times New Roman" w:cs="Times New Roman"/>
          <w:i/>
          <w:sz w:val="24"/>
          <w:szCs w:val="24"/>
        </w:rPr>
        <w:t xml:space="preserve">The nature of cases considered by the CT: </w:t>
      </w:r>
      <w:r w:rsidRPr="007E21C4">
        <w:rPr>
          <w:rFonts w:ascii="Times New Roman" w:eastAsia="Times New Roman" w:hAnsi="Times New Roman" w:cs="Times New Roman"/>
          <w:sz w:val="24"/>
          <w:szCs w:val="24"/>
        </w:rPr>
        <w:t xml:space="preserve">The CT informed the committee that no cases of a transformative nature had been considered. Cases considered by the CT </w:t>
      </w:r>
      <w:r w:rsidR="004423B3">
        <w:rPr>
          <w:rFonts w:ascii="Times New Roman" w:eastAsia="Times New Roman" w:hAnsi="Times New Roman" w:cs="Times New Roman"/>
          <w:sz w:val="24"/>
          <w:szCs w:val="24"/>
        </w:rPr>
        <w:t>are mainly</w:t>
      </w:r>
      <w:r w:rsidRPr="007E21C4">
        <w:rPr>
          <w:rFonts w:ascii="Times New Roman" w:eastAsia="Times New Roman" w:hAnsi="Times New Roman" w:cs="Times New Roman"/>
          <w:sz w:val="24"/>
          <w:szCs w:val="24"/>
        </w:rPr>
        <w:t xml:space="preserve"> around non-payment of dividends. Cases around fronting are referred to the courts because it is a criminal act.</w:t>
      </w:r>
      <w:r w:rsidRPr="00675023">
        <w:rPr>
          <w:rFonts w:ascii="Times New Roman" w:eastAsia="Times New Roman" w:hAnsi="Times New Roman" w:cs="Times New Roman"/>
          <w:i/>
          <w:sz w:val="24"/>
          <w:szCs w:val="24"/>
        </w:rPr>
        <w:t xml:space="preserve"> </w:t>
      </w:r>
    </w:p>
    <w:p w:rsidR="006F2694" w:rsidRPr="00675023" w:rsidRDefault="006F2694" w:rsidP="00592363">
      <w:pPr>
        <w:pStyle w:val="ListParagraph"/>
        <w:numPr>
          <w:ilvl w:val="0"/>
          <w:numId w:val="16"/>
        </w:numPr>
        <w:spacing w:after="0" w:line="360" w:lineRule="auto"/>
        <w:ind w:left="360"/>
        <w:jc w:val="both"/>
        <w:rPr>
          <w:rFonts w:ascii="Times New Roman" w:eastAsia="Times New Roman" w:hAnsi="Times New Roman" w:cs="Times New Roman"/>
          <w:i/>
          <w:sz w:val="24"/>
          <w:szCs w:val="24"/>
        </w:rPr>
      </w:pPr>
      <w:r w:rsidRPr="00675023">
        <w:rPr>
          <w:rFonts w:ascii="Times New Roman" w:eastAsia="Times New Roman" w:hAnsi="Times New Roman" w:cs="Times New Roman"/>
          <w:i/>
          <w:sz w:val="24"/>
          <w:szCs w:val="24"/>
        </w:rPr>
        <w:t>The number of full</w:t>
      </w:r>
      <w:r w:rsidR="00585245">
        <w:rPr>
          <w:rFonts w:ascii="Times New Roman" w:eastAsia="Times New Roman" w:hAnsi="Times New Roman" w:cs="Times New Roman"/>
          <w:i/>
          <w:sz w:val="24"/>
          <w:szCs w:val="24"/>
        </w:rPr>
        <w:t>-</w:t>
      </w:r>
      <w:r w:rsidRPr="00675023">
        <w:rPr>
          <w:rFonts w:ascii="Times New Roman" w:eastAsia="Times New Roman" w:hAnsi="Times New Roman" w:cs="Times New Roman"/>
          <w:i/>
          <w:sz w:val="24"/>
          <w:szCs w:val="24"/>
        </w:rPr>
        <w:t xml:space="preserve">time and part-time tribunal members and their salaries for the last financial year: </w:t>
      </w:r>
      <w:r w:rsidRPr="00675023">
        <w:rPr>
          <w:rFonts w:ascii="Times New Roman" w:eastAsia="Times New Roman" w:hAnsi="Times New Roman" w:cs="Times New Roman"/>
          <w:sz w:val="24"/>
          <w:szCs w:val="24"/>
        </w:rPr>
        <w:t>The CT informed the committee that currently there is only one full-time member wh</w:t>
      </w:r>
      <w:r w:rsidR="004423B3">
        <w:rPr>
          <w:rFonts w:ascii="Times New Roman" w:eastAsia="Times New Roman" w:hAnsi="Times New Roman" w:cs="Times New Roman"/>
          <w:sz w:val="24"/>
          <w:szCs w:val="24"/>
        </w:rPr>
        <w:t>ose</w:t>
      </w:r>
      <w:r w:rsidRPr="00675023">
        <w:rPr>
          <w:rFonts w:ascii="Times New Roman" w:eastAsia="Times New Roman" w:hAnsi="Times New Roman" w:cs="Times New Roman"/>
          <w:sz w:val="24"/>
          <w:szCs w:val="24"/>
        </w:rPr>
        <w:t xml:space="preserve"> annual cost to company</w:t>
      </w:r>
      <w:r w:rsidR="004423B3">
        <w:rPr>
          <w:rFonts w:ascii="Times New Roman" w:eastAsia="Times New Roman" w:hAnsi="Times New Roman" w:cs="Times New Roman"/>
          <w:sz w:val="24"/>
          <w:szCs w:val="24"/>
        </w:rPr>
        <w:t xml:space="preserve"> package</w:t>
      </w:r>
      <w:r w:rsidRPr="00675023">
        <w:rPr>
          <w:rFonts w:ascii="Times New Roman" w:eastAsia="Times New Roman" w:hAnsi="Times New Roman" w:cs="Times New Roman"/>
          <w:sz w:val="24"/>
          <w:szCs w:val="24"/>
        </w:rPr>
        <w:t xml:space="preserve"> is </w:t>
      </w:r>
      <w:r w:rsidRPr="00675023">
        <w:rPr>
          <w:rFonts w:ascii="Times New Roman" w:hAnsi="Times New Roman" w:cs="Times New Roman"/>
          <w:sz w:val="24"/>
          <w:szCs w:val="24"/>
        </w:rPr>
        <w:t>R1 428 186. The full</w:t>
      </w:r>
      <w:r w:rsidR="004423B3">
        <w:rPr>
          <w:rFonts w:ascii="Times New Roman" w:hAnsi="Times New Roman" w:cs="Times New Roman"/>
          <w:sz w:val="24"/>
          <w:szCs w:val="24"/>
        </w:rPr>
        <w:t>-</w:t>
      </w:r>
      <w:r w:rsidRPr="00675023">
        <w:rPr>
          <w:rFonts w:ascii="Times New Roman" w:hAnsi="Times New Roman" w:cs="Times New Roman"/>
          <w:sz w:val="24"/>
          <w:szCs w:val="24"/>
        </w:rPr>
        <w:t xml:space="preserve">time tribunal member is responsible for the daily operation of the CT, adjudication of cases and alternative dispute mechanism matters. The part-time tribunal members are remunerated for adjudicating cases, attending to alternative dispute resolution cases, tribunal meetings, seminars, workshops and training organised by </w:t>
      </w:r>
      <w:r w:rsidR="004423B3">
        <w:rPr>
          <w:rFonts w:ascii="Times New Roman" w:hAnsi="Times New Roman" w:cs="Times New Roman"/>
          <w:sz w:val="24"/>
          <w:szCs w:val="24"/>
        </w:rPr>
        <w:t xml:space="preserve">the </w:t>
      </w:r>
      <w:r w:rsidRPr="00675023">
        <w:rPr>
          <w:rFonts w:ascii="Times New Roman" w:hAnsi="Times New Roman" w:cs="Times New Roman"/>
          <w:sz w:val="24"/>
          <w:szCs w:val="24"/>
        </w:rPr>
        <w:t>Tribunal. Part-time tribunal members receive a monthly allowance for their cell phone, tablet and 3G data and are reimburse</w:t>
      </w:r>
      <w:r w:rsidR="004423B3">
        <w:rPr>
          <w:rFonts w:ascii="Times New Roman" w:hAnsi="Times New Roman" w:cs="Times New Roman"/>
          <w:sz w:val="24"/>
          <w:szCs w:val="24"/>
        </w:rPr>
        <w:t>d</w:t>
      </w:r>
      <w:r w:rsidRPr="00675023">
        <w:rPr>
          <w:rFonts w:ascii="Times New Roman" w:hAnsi="Times New Roman" w:cs="Times New Roman"/>
          <w:sz w:val="24"/>
          <w:szCs w:val="24"/>
        </w:rPr>
        <w:t xml:space="preserve"> for travel expenses</w:t>
      </w:r>
      <w:r w:rsidR="004423B3" w:rsidRPr="004423B3">
        <w:rPr>
          <w:rFonts w:ascii="Times New Roman" w:hAnsi="Times New Roman" w:cs="Times New Roman"/>
          <w:sz w:val="24"/>
          <w:szCs w:val="24"/>
        </w:rPr>
        <w:t xml:space="preserve"> </w:t>
      </w:r>
      <w:r w:rsidR="004423B3" w:rsidRPr="00675023">
        <w:rPr>
          <w:rFonts w:ascii="Times New Roman" w:hAnsi="Times New Roman" w:cs="Times New Roman"/>
          <w:sz w:val="24"/>
          <w:szCs w:val="24"/>
        </w:rPr>
        <w:t>calculated using the Department of Transport</w:t>
      </w:r>
      <w:r w:rsidR="004423B3">
        <w:rPr>
          <w:rFonts w:ascii="Times New Roman" w:hAnsi="Times New Roman" w:cs="Times New Roman"/>
          <w:sz w:val="24"/>
          <w:szCs w:val="24"/>
        </w:rPr>
        <w:t>’s</w:t>
      </w:r>
      <w:r w:rsidR="004423B3" w:rsidRPr="00675023">
        <w:rPr>
          <w:rFonts w:ascii="Times New Roman" w:hAnsi="Times New Roman" w:cs="Times New Roman"/>
          <w:sz w:val="24"/>
          <w:szCs w:val="24"/>
        </w:rPr>
        <w:t xml:space="preserve"> rates</w:t>
      </w:r>
      <w:r w:rsidRPr="00675023">
        <w:rPr>
          <w:rFonts w:ascii="Times New Roman" w:hAnsi="Times New Roman" w:cs="Times New Roman"/>
          <w:sz w:val="24"/>
          <w:szCs w:val="24"/>
        </w:rPr>
        <w:t xml:space="preserve">. The daily rate for part-time members is R5 000.00 and for the </w:t>
      </w:r>
      <w:r w:rsidR="004423B3" w:rsidRPr="00675023">
        <w:rPr>
          <w:rFonts w:ascii="Times New Roman" w:hAnsi="Times New Roman" w:cs="Times New Roman"/>
          <w:sz w:val="24"/>
          <w:szCs w:val="24"/>
        </w:rPr>
        <w:t>deputy chair</w:t>
      </w:r>
      <w:r w:rsidR="004423B3">
        <w:rPr>
          <w:rFonts w:ascii="Times New Roman" w:hAnsi="Times New Roman" w:cs="Times New Roman"/>
          <w:sz w:val="24"/>
          <w:szCs w:val="24"/>
        </w:rPr>
        <w:t>person</w:t>
      </w:r>
      <w:r w:rsidRPr="00675023">
        <w:rPr>
          <w:rFonts w:ascii="Times New Roman" w:hAnsi="Times New Roman" w:cs="Times New Roman"/>
          <w:sz w:val="24"/>
          <w:szCs w:val="24"/>
        </w:rPr>
        <w:t xml:space="preserve"> is R6</w:t>
      </w:r>
      <w:r w:rsidR="004423B3">
        <w:rPr>
          <w:rFonts w:ascii="Times New Roman" w:hAnsi="Times New Roman" w:cs="Times New Roman"/>
          <w:sz w:val="24"/>
          <w:szCs w:val="24"/>
        </w:rPr>
        <w:t> </w:t>
      </w:r>
      <w:r w:rsidRPr="00675023">
        <w:rPr>
          <w:rFonts w:ascii="Times New Roman" w:hAnsi="Times New Roman" w:cs="Times New Roman"/>
          <w:sz w:val="24"/>
          <w:szCs w:val="24"/>
        </w:rPr>
        <w:t>000.00.</w:t>
      </w:r>
    </w:p>
    <w:p w:rsidR="006F2694" w:rsidRPr="004423B3" w:rsidRDefault="006F2694" w:rsidP="004423B3">
      <w:pPr>
        <w:pStyle w:val="ListParagraph"/>
        <w:numPr>
          <w:ilvl w:val="0"/>
          <w:numId w:val="16"/>
        </w:numPr>
        <w:spacing w:after="0" w:line="360" w:lineRule="auto"/>
        <w:ind w:left="360"/>
        <w:jc w:val="both"/>
        <w:rPr>
          <w:rFonts w:ascii="Times New Roman" w:hAnsi="Times New Roman" w:cs="Times New Roman"/>
          <w:sz w:val="24"/>
          <w:szCs w:val="24"/>
        </w:rPr>
      </w:pPr>
      <w:r w:rsidRPr="004423B3">
        <w:rPr>
          <w:rFonts w:ascii="Times New Roman" w:eastAsia="Times New Roman" w:hAnsi="Times New Roman" w:cs="Times New Roman"/>
          <w:i/>
          <w:sz w:val="24"/>
          <w:szCs w:val="24"/>
        </w:rPr>
        <w:t xml:space="preserve">The breakdown of the chairperson’s earnings: </w:t>
      </w:r>
      <w:r w:rsidRPr="004423B3">
        <w:rPr>
          <w:rFonts w:ascii="Times New Roman" w:hAnsi="Times New Roman" w:cs="Times New Roman"/>
          <w:sz w:val="24"/>
          <w:szCs w:val="24"/>
        </w:rPr>
        <w:t xml:space="preserve">The </w:t>
      </w:r>
      <w:r w:rsidR="0074520E" w:rsidRPr="004423B3">
        <w:rPr>
          <w:rFonts w:ascii="Times New Roman" w:hAnsi="Times New Roman" w:cs="Times New Roman"/>
          <w:sz w:val="24"/>
          <w:szCs w:val="24"/>
        </w:rPr>
        <w:t xml:space="preserve">chairperson </w:t>
      </w:r>
      <w:r w:rsidRPr="004423B3">
        <w:rPr>
          <w:rFonts w:ascii="Times New Roman" w:hAnsi="Times New Roman" w:cs="Times New Roman"/>
          <w:sz w:val="24"/>
          <w:szCs w:val="24"/>
        </w:rPr>
        <w:t xml:space="preserve">is remunerated </w:t>
      </w:r>
      <w:r w:rsidR="004423B3" w:rsidRPr="004423B3">
        <w:rPr>
          <w:rFonts w:ascii="Times New Roman" w:hAnsi="Times New Roman" w:cs="Times New Roman"/>
          <w:sz w:val="24"/>
          <w:szCs w:val="24"/>
        </w:rPr>
        <w:t xml:space="preserve">and reimbursed on a similar basis as other part-time members. </w:t>
      </w:r>
      <w:r w:rsidRPr="004423B3">
        <w:rPr>
          <w:rFonts w:ascii="Times New Roman" w:hAnsi="Times New Roman" w:cs="Times New Roman"/>
          <w:sz w:val="24"/>
          <w:szCs w:val="24"/>
        </w:rPr>
        <w:t xml:space="preserve">He also receives a stipend for attending to strategic and operational matters in his capacity as </w:t>
      </w:r>
      <w:r w:rsidR="004423B3" w:rsidRPr="004423B3">
        <w:rPr>
          <w:rFonts w:ascii="Times New Roman" w:hAnsi="Times New Roman" w:cs="Times New Roman"/>
          <w:sz w:val="24"/>
          <w:szCs w:val="24"/>
        </w:rPr>
        <w:t xml:space="preserve">the </w:t>
      </w:r>
      <w:r w:rsidRPr="004423B3">
        <w:rPr>
          <w:rFonts w:ascii="Times New Roman" w:hAnsi="Times New Roman" w:cs="Times New Roman"/>
          <w:sz w:val="24"/>
          <w:szCs w:val="24"/>
        </w:rPr>
        <w:t xml:space="preserve">Accounting Authority. The daily rate for </w:t>
      </w:r>
      <w:r w:rsidR="0074520E">
        <w:rPr>
          <w:rFonts w:ascii="Times New Roman" w:hAnsi="Times New Roman" w:cs="Times New Roman"/>
          <w:sz w:val="24"/>
          <w:szCs w:val="24"/>
        </w:rPr>
        <w:t xml:space="preserve">the </w:t>
      </w:r>
      <w:r w:rsidR="0074520E" w:rsidRPr="004423B3">
        <w:rPr>
          <w:rFonts w:ascii="Times New Roman" w:hAnsi="Times New Roman" w:cs="Times New Roman"/>
          <w:sz w:val="24"/>
          <w:szCs w:val="24"/>
        </w:rPr>
        <w:t xml:space="preserve">chairperson </w:t>
      </w:r>
      <w:r w:rsidRPr="004423B3">
        <w:rPr>
          <w:rFonts w:ascii="Times New Roman" w:hAnsi="Times New Roman" w:cs="Times New Roman"/>
          <w:sz w:val="24"/>
          <w:szCs w:val="24"/>
        </w:rPr>
        <w:t xml:space="preserve">is R7 000.00. The CT informed the committee that the </w:t>
      </w:r>
      <w:r w:rsidR="0074520E" w:rsidRPr="004423B3">
        <w:rPr>
          <w:rFonts w:ascii="Times New Roman" w:hAnsi="Times New Roman" w:cs="Times New Roman"/>
          <w:sz w:val="24"/>
          <w:szCs w:val="24"/>
        </w:rPr>
        <w:t xml:space="preserve">chairperson </w:t>
      </w:r>
      <w:r w:rsidRPr="004423B3">
        <w:rPr>
          <w:rFonts w:ascii="Times New Roman" w:hAnsi="Times New Roman" w:cs="Times New Roman"/>
          <w:sz w:val="24"/>
          <w:szCs w:val="24"/>
        </w:rPr>
        <w:t>ha</w:t>
      </w:r>
      <w:r w:rsidR="0074520E">
        <w:rPr>
          <w:rFonts w:ascii="Times New Roman" w:hAnsi="Times New Roman" w:cs="Times New Roman"/>
          <w:sz w:val="24"/>
          <w:szCs w:val="24"/>
        </w:rPr>
        <w:t>d</w:t>
      </w:r>
      <w:r w:rsidRPr="004423B3">
        <w:rPr>
          <w:rFonts w:ascii="Times New Roman" w:hAnsi="Times New Roman" w:cs="Times New Roman"/>
          <w:sz w:val="24"/>
          <w:szCs w:val="24"/>
        </w:rPr>
        <w:t xml:space="preserve"> not submitted any travel claims for the 2015/16 financial year. The </w:t>
      </w:r>
      <w:r w:rsidR="0074520E" w:rsidRPr="004423B3">
        <w:rPr>
          <w:rFonts w:ascii="Times New Roman" w:hAnsi="Times New Roman" w:cs="Times New Roman"/>
          <w:sz w:val="24"/>
          <w:szCs w:val="24"/>
        </w:rPr>
        <w:t xml:space="preserve">chairperson’s </w:t>
      </w:r>
      <w:r w:rsidRPr="004423B3">
        <w:rPr>
          <w:rFonts w:ascii="Times New Roman" w:hAnsi="Times New Roman" w:cs="Times New Roman"/>
          <w:sz w:val="24"/>
          <w:szCs w:val="24"/>
        </w:rPr>
        <w:t>remuneration for 2015/16 financial year was as follows:</w:t>
      </w:r>
    </w:p>
    <w:tbl>
      <w:tblPr>
        <w:tblStyle w:val="TableGrid"/>
        <w:tblW w:w="3203" w:type="pct"/>
        <w:tblInd w:w="1526" w:type="dxa"/>
        <w:tblLook w:val="04A0" w:firstRow="1" w:lastRow="0" w:firstColumn="1" w:lastColumn="0" w:noHBand="0" w:noVBand="1"/>
      </w:tblPr>
      <w:tblGrid>
        <w:gridCol w:w="4621"/>
        <w:gridCol w:w="1299"/>
      </w:tblGrid>
      <w:tr w:rsidR="008B0245" w:rsidTr="007E21C4">
        <w:tc>
          <w:tcPr>
            <w:tcW w:w="3903" w:type="pct"/>
          </w:tcPr>
          <w:p w:rsidR="008B0245" w:rsidRDefault="008B0245" w:rsidP="0059236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Fees</w:t>
            </w:r>
          </w:p>
        </w:tc>
        <w:tc>
          <w:tcPr>
            <w:tcW w:w="1097" w:type="pct"/>
            <w:vAlign w:val="center"/>
          </w:tcPr>
          <w:p w:rsidR="008B0245" w:rsidRDefault="008B0245" w:rsidP="007E21C4">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301 020</w:t>
            </w:r>
          </w:p>
        </w:tc>
      </w:tr>
      <w:tr w:rsidR="008B0245" w:rsidTr="007E21C4">
        <w:tc>
          <w:tcPr>
            <w:tcW w:w="3903" w:type="pct"/>
          </w:tcPr>
          <w:p w:rsidR="008B0245" w:rsidRDefault="008B0245" w:rsidP="0059236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Allowances</w:t>
            </w:r>
          </w:p>
        </w:tc>
        <w:tc>
          <w:tcPr>
            <w:tcW w:w="1097" w:type="pct"/>
            <w:vAlign w:val="center"/>
          </w:tcPr>
          <w:p w:rsidR="008B0245" w:rsidRDefault="008B0245" w:rsidP="007E21C4">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18 000</w:t>
            </w:r>
          </w:p>
        </w:tc>
      </w:tr>
      <w:tr w:rsidR="008B0245" w:rsidTr="007E21C4">
        <w:tc>
          <w:tcPr>
            <w:tcW w:w="3903" w:type="pct"/>
          </w:tcPr>
          <w:p w:rsidR="008B0245" w:rsidRDefault="008B0245" w:rsidP="0059236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Reimbursive Expenditure</w:t>
            </w:r>
          </w:p>
        </w:tc>
        <w:tc>
          <w:tcPr>
            <w:tcW w:w="1097" w:type="pct"/>
            <w:vAlign w:val="center"/>
          </w:tcPr>
          <w:p w:rsidR="008B0245" w:rsidRDefault="008B0245" w:rsidP="007E21C4">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w:t>
            </w:r>
          </w:p>
        </w:tc>
      </w:tr>
      <w:tr w:rsidR="008B0245" w:rsidTr="007E21C4">
        <w:tc>
          <w:tcPr>
            <w:tcW w:w="3903" w:type="pct"/>
          </w:tcPr>
          <w:p w:rsidR="008B0245" w:rsidRDefault="008B0245" w:rsidP="007E21C4">
            <w:pPr>
              <w:pStyle w:val="ListParagraph"/>
              <w:tabs>
                <w:tab w:val="left" w:pos="3438"/>
              </w:tabs>
              <w:spacing w:line="360" w:lineRule="auto"/>
              <w:ind w:left="0"/>
              <w:rPr>
                <w:rFonts w:ascii="Times New Roman" w:hAnsi="Times New Roman" w:cs="Times New Roman"/>
                <w:sz w:val="24"/>
                <w:szCs w:val="24"/>
              </w:rPr>
            </w:pPr>
            <w:r>
              <w:rPr>
                <w:rFonts w:ascii="Times New Roman" w:hAnsi="Times New Roman" w:cs="Times New Roman"/>
                <w:sz w:val="24"/>
                <w:szCs w:val="24"/>
              </w:rPr>
              <w:t>Skills Development Levy</w:t>
            </w:r>
          </w:p>
        </w:tc>
        <w:tc>
          <w:tcPr>
            <w:tcW w:w="1097" w:type="pct"/>
            <w:vAlign w:val="center"/>
          </w:tcPr>
          <w:p w:rsidR="008B0245" w:rsidRDefault="008B0245" w:rsidP="007E21C4">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rPr>
              <w:t>3 280</w:t>
            </w:r>
          </w:p>
        </w:tc>
      </w:tr>
      <w:tr w:rsidR="008B0245" w:rsidTr="007E21C4">
        <w:tc>
          <w:tcPr>
            <w:tcW w:w="3903" w:type="pct"/>
          </w:tcPr>
          <w:p w:rsidR="008B0245" w:rsidRPr="007E21C4" w:rsidRDefault="008B0245" w:rsidP="00592363">
            <w:pPr>
              <w:pStyle w:val="ListParagraph"/>
              <w:spacing w:line="360" w:lineRule="auto"/>
              <w:ind w:left="0"/>
              <w:rPr>
                <w:rFonts w:ascii="Times New Roman" w:hAnsi="Times New Roman" w:cs="Times New Roman"/>
                <w:b/>
                <w:sz w:val="24"/>
                <w:szCs w:val="24"/>
              </w:rPr>
            </w:pPr>
            <w:r w:rsidRPr="007E21C4">
              <w:rPr>
                <w:rFonts w:ascii="Times New Roman" w:hAnsi="Times New Roman" w:cs="Times New Roman"/>
                <w:b/>
                <w:sz w:val="24"/>
                <w:szCs w:val="24"/>
              </w:rPr>
              <w:t>Total</w:t>
            </w:r>
          </w:p>
        </w:tc>
        <w:tc>
          <w:tcPr>
            <w:tcW w:w="1097" w:type="pct"/>
            <w:vAlign w:val="center"/>
          </w:tcPr>
          <w:p w:rsidR="008B0245" w:rsidRPr="007E21C4" w:rsidRDefault="008B0245" w:rsidP="007E21C4">
            <w:pPr>
              <w:pStyle w:val="ListParagraph"/>
              <w:spacing w:line="360" w:lineRule="auto"/>
              <w:ind w:left="0"/>
              <w:jc w:val="right"/>
              <w:rPr>
                <w:rFonts w:ascii="Times New Roman" w:hAnsi="Times New Roman" w:cs="Times New Roman"/>
                <w:b/>
                <w:sz w:val="24"/>
                <w:szCs w:val="24"/>
              </w:rPr>
            </w:pPr>
            <w:r>
              <w:rPr>
                <w:rFonts w:ascii="Times New Roman" w:hAnsi="Times New Roman" w:cs="Times New Roman"/>
                <w:b/>
                <w:sz w:val="24"/>
                <w:szCs w:val="24"/>
              </w:rPr>
              <w:t>331 300</w:t>
            </w:r>
          </w:p>
        </w:tc>
      </w:tr>
    </w:tbl>
    <w:p w:rsidR="006F2694" w:rsidRPr="00675023" w:rsidRDefault="006F2694" w:rsidP="00592363">
      <w:pPr>
        <w:pStyle w:val="ListParagraph"/>
        <w:numPr>
          <w:ilvl w:val="0"/>
          <w:numId w:val="12"/>
        </w:numPr>
        <w:spacing w:after="0" w:line="360" w:lineRule="auto"/>
        <w:jc w:val="both"/>
        <w:rPr>
          <w:rFonts w:ascii="Times New Roman" w:hAnsi="Times New Roman" w:cs="Times New Roman"/>
          <w:sz w:val="24"/>
          <w:szCs w:val="24"/>
        </w:rPr>
      </w:pPr>
      <w:r w:rsidRPr="00675023">
        <w:rPr>
          <w:rFonts w:ascii="Times New Roman" w:hAnsi="Times New Roman" w:cs="Times New Roman"/>
          <w:i/>
          <w:sz w:val="24"/>
          <w:szCs w:val="24"/>
        </w:rPr>
        <w:t xml:space="preserve">Fees associated with the services of the </w:t>
      </w:r>
      <w:r w:rsidR="0074520E">
        <w:rPr>
          <w:rFonts w:ascii="Times New Roman" w:hAnsi="Times New Roman" w:cs="Times New Roman"/>
          <w:i/>
          <w:sz w:val="24"/>
          <w:szCs w:val="24"/>
        </w:rPr>
        <w:t>CT</w:t>
      </w:r>
      <w:r w:rsidRPr="00675023">
        <w:rPr>
          <w:rFonts w:ascii="Times New Roman" w:hAnsi="Times New Roman" w:cs="Times New Roman"/>
          <w:i/>
          <w:sz w:val="24"/>
          <w:szCs w:val="24"/>
        </w:rPr>
        <w:t xml:space="preserve">: </w:t>
      </w:r>
      <w:r w:rsidRPr="00675023">
        <w:rPr>
          <w:rFonts w:ascii="Times New Roman" w:hAnsi="Times New Roman" w:cs="Times New Roman"/>
          <w:sz w:val="24"/>
          <w:szCs w:val="24"/>
        </w:rPr>
        <w:t xml:space="preserve">The CT informed the committee that together with the DTI the matter of charging a fee for rendering a service was considered. The CT was advised that no provision </w:t>
      </w:r>
      <w:r w:rsidR="002B5599" w:rsidRPr="00675023">
        <w:rPr>
          <w:rFonts w:ascii="Times New Roman" w:hAnsi="Times New Roman" w:cs="Times New Roman"/>
          <w:sz w:val="24"/>
          <w:szCs w:val="24"/>
        </w:rPr>
        <w:t>exist</w:t>
      </w:r>
      <w:r w:rsidR="002B5599">
        <w:rPr>
          <w:rFonts w:ascii="Times New Roman" w:hAnsi="Times New Roman" w:cs="Times New Roman"/>
          <w:sz w:val="24"/>
          <w:szCs w:val="24"/>
        </w:rPr>
        <w:t>ed</w:t>
      </w:r>
      <w:r w:rsidR="002B5599" w:rsidRPr="00675023">
        <w:rPr>
          <w:rFonts w:ascii="Times New Roman" w:hAnsi="Times New Roman" w:cs="Times New Roman"/>
          <w:sz w:val="24"/>
          <w:szCs w:val="24"/>
        </w:rPr>
        <w:t xml:space="preserve"> </w:t>
      </w:r>
      <w:r w:rsidRPr="00675023">
        <w:rPr>
          <w:rFonts w:ascii="Times New Roman" w:hAnsi="Times New Roman" w:cs="Times New Roman"/>
          <w:sz w:val="24"/>
          <w:szCs w:val="24"/>
        </w:rPr>
        <w:t xml:space="preserve">in </w:t>
      </w:r>
      <w:r w:rsidR="002B5599">
        <w:rPr>
          <w:rFonts w:ascii="Times New Roman" w:hAnsi="Times New Roman" w:cs="Times New Roman"/>
          <w:sz w:val="24"/>
          <w:szCs w:val="24"/>
        </w:rPr>
        <w:t xml:space="preserve">the </w:t>
      </w:r>
      <w:r w:rsidRPr="00675023">
        <w:rPr>
          <w:rFonts w:ascii="Times New Roman" w:hAnsi="Times New Roman" w:cs="Times New Roman"/>
          <w:sz w:val="24"/>
          <w:szCs w:val="24"/>
        </w:rPr>
        <w:t>Act that allow</w:t>
      </w:r>
      <w:r w:rsidR="002B5599">
        <w:rPr>
          <w:rFonts w:ascii="Times New Roman" w:hAnsi="Times New Roman" w:cs="Times New Roman"/>
          <w:sz w:val="24"/>
          <w:szCs w:val="24"/>
        </w:rPr>
        <w:t>ed</w:t>
      </w:r>
      <w:r w:rsidRPr="00675023">
        <w:rPr>
          <w:rFonts w:ascii="Times New Roman" w:hAnsi="Times New Roman" w:cs="Times New Roman"/>
          <w:sz w:val="24"/>
          <w:szCs w:val="24"/>
        </w:rPr>
        <w:t xml:space="preserve"> for a fee to be charged. This </w:t>
      </w:r>
      <w:r w:rsidR="002B5599">
        <w:rPr>
          <w:rFonts w:ascii="Times New Roman" w:hAnsi="Times New Roman" w:cs="Times New Roman"/>
          <w:sz w:val="24"/>
          <w:szCs w:val="24"/>
        </w:rPr>
        <w:t xml:space="preserve">could </w:t>
      </w:r>
      <w:r w:rsidRPr="00675023">
        <w:rPr>
          <w:rFonts w:ascii="Times New Roman" w:hAnsi="Times New Roman" w:cs="Times New Roman"/>
          <w:sz w:val="24"/>
          <w:szCs w:val="24"/>
        </w:rPr>
        <w:t xml:space="preserve">only </w:t>
      </w:r>
      <w:r w:rsidR="002B5599">
        <w:rPr>
          <w:rFonts w:ascii="Times New Roman" w:hAnsi="Times New Roman" w:cs="Times New Roman"/>
          <w:sz w:val="24"/>
          <w:szCs w:val="24"/>
        </w:rPr>
        <w:t xml:space="preserve">occur </w:t>
      </w:r>
      <w:r w:rsidRPr="00675023">
        <w:rPr>
          <w:rFonts w:ascii="Times New Roman" w:hAnsi="Times New Roman" w:cs="Times New Roman"/>
          <w:sz w:val="24"/>
          <w:szCs w:val="24"/>
        </w:rPr>
        <w:t xml:space="preserve">if the Act </w:t>
      </w:r>
      <w:r w:rsidR="002B5599">
        <w:rPr>
          <w:rFonts w:ascii="Times New Roman" w:hAnsi="Times New Roman" w:cs="Times New Roman"/>
          <w:sz w:val="24"/>
          <w:szCs w:val="24"/>
        </w:rPr>
        <w:t xml:space="preserve">was </w:t>
      </w:r>
      <w:r w:rsidRPr="00675023">
        <w:rPr>
          <w:rFonts w:ascii="Times New Roman" w:hAnsi="Times New Roman" w:cs="Times New Roman"/>
          <w:sz w:val="24"/>
          <w:szCs w:val="24"/>
        </w:rPr>
        <w:t xml:space="preserve">amended </w:t>
      </w:r>
      <w:r w:rsidR="002B5599">
        <w:rPr>
          <w:rFonts w:ascii="Times New Roman" w:hAnsi="Times New Roman" w:cs="Times New Roman"/>
          <w:sz w:val="24"/>
          <w:szCs w:val="24"/>
        </w:rPr>
        <w:t xml:space="preserve">to make </w:t>
      </w:r>
      <w:r w:rsidRPr="00675023">
        <w:rPr>
          <w:rFonts w:ascii="Times New Roman" w:hAnsi="Times New Roman" w:cs="Times New Roman"/>
          <w:sz w:val="24"/>
          <w:szCs w:val="24"/>
        </w:rPr>
        <w:t xml:space="preserve">provision for a clause that gives the CT the power to levy fees for services rendered. This matter should be considered in the future. </w:t>
      </w:r>
    </w:p>
    <w:p w:rsidR="002B5599" w:rsidRPr="00675023" w:rsidRDefault="002B5599" w:rsidP="002B5599">
      <w:pPr>
        <w:pStyle w:val="ListParagraph"/>
        <w:numPr>
          <w:ilvl w:val="0"/>
          <w:numId w:val="16"/>
        </w:numPr>
        <w:spacing w:after="0" w:line="360" w:lineRule="auto"/>
        <w:ind w:left="360"/>
        <w:jc w:val="both"/>
        <w:rPr>
          <w:rFonts w:ascii="Times New Roman" w:eastAsia="Times New Roman" w:hAnsi="Times New Roman" w:cs="Times New Roman"/>
          <w:i/>
          <w:sz w:val="24"/>
          <w:szCs w:val="24"/>
        </w:rPr>
      </w:pPr>
      <w:r w:rsidRPr="00675023">
        <w:rPr>
          <w:rFonts w:ascii="Times New Roman" w:eastAsia="Times New Roman" w:hAnsi="Times New Roman" w:cs="Times New Roman"/>
          <w:i/>
          <w:sz w:val="24"/>
          <w:szCs w:val="24"/>
        </w:rPr>
        <w:t xml:space="preserve">The maximum value of fines that the CT </w:t>
      </w:r>
      <w:r>
        <w:rPr>
          <w:rFonts w:ascii="Times New Roman" w:eastAsia="Times New Roman" w:hAnsi="Times New Roman" w:cs="Times New Roman"/>
          <w:i/>
          <w:sz w:val="24"/>
          <w:szCs w:val="24"/>
        </w:rPr>
        <w:t>may</w:t>
      </w:r>
      <w:r w:rsidRPr="00675023">
        <w:rPr>
          <w:rFonts w:ascii="Times New Roman" w:eastAsia="Times New Roman" w:hAnsi="Times New Roman" w:cs="Times New Roman"/>
          <w:i/>
          <w:sz w:val="24"/>
          <w:szCs w:val="24"/>
        </w:rPr>
        <w:t xml:space="preserve"> impose: </w:t>
      </w:r>
      <w:r w:rsidRPr="00675023">
        <w:rPr>
          <w:rFonts w:ascii="Times New Roman" w:eastAsia="Times New Roman" w:hAnsi="Times New Roman" w:cs="Times New Roman"/>
          <w:sz w:val="24"/>
          <w:szCs w:val="24"/>
        </w:rPr>
        <w:t>The CT inf</w:t>
      </w:r>
      <w:r>
        <w:rPr>
          <w:rFonts w:ascii="Times New Roman" w:eastAsia="Times New Roman" w:hAnsi="Times New Roman" w:cs="Times New Roman"/>
          <w:sz w:val="24"/>
          <w:szCs w:val="24"/>
        </w:rPr>
        <w:t>ormed the committee that it did</w:t>
      </w:r>
      <w:r w:rsidRPr="00675023">
        <w:rPr>
          <w:rFonts w:ascii="Times New Roman" w:eastAsia="Times New Roman" w:hAnsi="Times New Roman" w:cs="Times New Roman"/>
          <w:sz w:val="24"/>
          <w:szCs w:val="24"/>
        </w:rPr>
        <w:t xml:space="preserve"> not have the power to impose administrative fines. Only a court in terms of section 175 of the Companies Act may impose an administrative fine. </w:t>
      </w:r>
      <w:r w:rsidRPr="00675023">
        <w:rPr>
          <w:rFonts w:ascii="Times New Roman" w:hAnsi="Times New Roman" w:cs="Times New Roman"/>
          <w:sz w:val="24"/>
          <w:szCs w:val="24"/>
        </w:rPr>
        <w:t>In terms of section 175 of the Companies Act, the court, on application by the Companies and Intellectual Property Commission (CIPC) or the Takeover Regulation Panel (TRP), may impose an administrative fine for failure by a company to comply with a compliance notice. The fine  m</w:t>
      </w:r>
      <w:r>
        <w:rPr>
          <w:rFonts w:ascii="Times New Roman" w:hAnsi="Times New Roman" w:cs="Times New Roman"/>
          <w:sz w:val="24"/>
          <w:szCs w:val="24"/>
        </w:rPr>
        <w:t>ay not exceed the greater of 10 percent</w:t>
      </w:r>
      <w:r w:rsidRPr="00675023">
        <w:rPr>
          <w:rFonts w:ascii="Times New Roman" w:hAnsi="Times New Roman" w:cs="Times New Roman"/>
          <w:sz w:val="24"/>
          <w:szCs w:val="24"/>
        </w:rPr>
        <w:t xml:space="preserve"> of the comp</w:t>
      </w:r>
      <w:r>
        <w:rPr>
          <w:rFonts w:ascii="Times New Roman" w:hAnsi="Times New Roman" w:cs="Times New Roman"/>
          <w:sz w:val="24"/>
          <w:szCs w:val="24"/>
        </w:rPr>
        <w:t>any’s turnover for the period over</w:t>
      </w:r>
      <w:r w:rsidRPr="00675023">
        <w:rPr>
          <w:rFonts w:ascii="Times New Roman" w:hAnsi="Times New Roman" w:cs="Times New Roman"/>
          <w:sz w:val="24"/>
          <w:szCs w:val="24"/>
        </w:rPr>
        <w:t xml:space="preserve"> which the company failed to comply with a compliance notice, and the maximum amount of an administrative </w:t>
      </w:r>
      <w:r>
        <w:rPr>
          <w:rFonts w:ascii="Times New Roman" w:hAnsi="Times New Roman" w:cs="Times New Roman"/>
          <w:sz w:val="24"/>
          <w:szCs w:val="24"/>
        </w:rPr>
        <w:t xml:space="preserve">fine </w:t>
      </w:r>
      <w:r w:rsidRPr="00675023">
        <w:rPr>
          <w:rFonts w:ascii="Times New Roman" w:hAnsi="Times New Roman" w:cs="Times New Roman"/>
          <w:sz w:val="24"/>
          <w:szCs w:val="24"/>
        </w:rPr>
        <w:t xml:space="preserve">which amount must be not less than R1 </w:t>
      </w:r>
      <w:r>
        <w:rPr>
          <w:rFonts w:ascii="Times New Roman" w:hAnsi="Times New Roman" w:cs="Times New Roman"/>
          <w:sz w:val="24"/>
          <w:szCs w:val="24"/>
        </w:rPr>
        <w:t>000 000 in terms of section 175</w:t>
      </w:r>
      <w:r w:rsidRPr="00675023">
        <w:rPr>
          <w:rFonts w:ascii="Times New Roman" w:hAnsi="Times New Roman" w:cs="Times New Roman"/>
          <w:sz w:val="24"/>
          <w:szCs w:val="24"/>
        </w:rPr>
        <w:t>(5) of the Act.</w:t>
      </w:r>
      <w:r w:rsidRPr="00675023">
        <w:rPr>
          <w:rFonts w:ascii="Times New Roman" w:eastAsia="Times New Roman" w:hAnsi="Times New Roman" w:cs="Times New Roman"/>
          <w:i/>
          <w:sz w:val="24"/>
          <w:szCs w:val="24"/>
        </w:rPr>
        <w:t xml:space="preserve"> </w:t>
      </w:r>
    </w:p>
    <w:p w:rsidR="006F2694" w:rsidRPr="00675023" w:rsidRDefault="006F2694" w:rsidP="00592363">
      <w:pPr>
        <w:pStyle w:val="ListParagraph"/>
        <w:numPr>
          <w:ilvl w:val="0"/>
          <w:numId w:val="16"/>
        </w:numPr>
        <w:spacing w:after="0" w:line="360" w:lineRule="auto"/>
        <w:ind w:left="360"/>
        <w:jc w:val="both"/>
        <w:rPr>
          <w:rFonts w:ascii="Times New Roman" w:eastAsia="Times New Roman" w:hAnsi="Times New Roman" w:cs="Times New Roman"/>
          <w:i/>
          <w:sz w:val="24"/>
          <w:szCs w:val="24"/>
        </w:rPr>
      </w:pPr>
      <w:r w:rsidRPr="00675023">
        <w:rPr>
          <w:rFonts w:ascii="Times New Roman" w:eastAsia="Times New Roman" w:hAnsi="Times New Roman" w:cs="Times New Roman"/>
          <w:i/>
          <w:sz w:val="24"/>
          <w:szCs w:val="24"/>
        </w:rPr>
        <w:t>The need for a remuneration policy for staff and senior executives:</w:t>
      </w:r>
      <w:r w:rsidRPr="00675023">
        <w:rPr>
          <w:rFonts w:ascii="Times New Roman" w:eastAsia="Times New Roman" w:hAnsi="Times New Roman" w:cs="Times New Roman"/>
          <w:sz w:val="24"/>
          <w:szCs w:val="24"/>
        </w:rPr>
        <w:t xml:space="preserve"> The CT ha</w:t>
      </w:r>
      <w:r w:rsidR="002B5599">
        <w:rPr>
          <w:rFonts w:ascii="Times New Roman" w:eastAsia="Times New Roman" w:hAnsi="Times New Roman" w:cs="Times New Roman"/>
          <w:sz w:val="24"/>
          <w:szCs w:val="24"/>
        </w:rPr>
        <w:t>d</w:t>
      </w:r>
      <w:r w:rsidRPr="00675023">
        <w:rPr>
          <w:rFonts w:ascii="Times New Roman" w:eastAsia="Times New Roman" w:hAnsi="Times New Roman" w:cs="Times New Roman"/>
          <w:sz w:val="24"/>
          <w:szCs w:val="24"/>
        </w:rPr>
        <w:t xml:space="preserve"> undertaken to submit its remuneration policy to the committee once completed. The CT is currently reviewing its policy to align it with </w:t>
      </w:r>
      <w:r w:rsidR="002B5599">
        <w:rPr>
          <w:rFonts w:ascii="Times New Roman" w:eastAsia="Times New Roman" w:hAnsi="Times New Roman" w:cs="Times New Roman"/>
          <w:sz w:val="24"/>
          <w:szCs w:val="24"/>
        </w:rPr>
        <w:t xml:space="preserve">the </w:t>
      </w:r>
      <w:r w:rsidRPr="00675023">
        <w:rPr>
          <w:rFonts w:ascii="Times New Roman" w:eastAsia="Times New Roman" w:hAnsi="Times New Roman" w:cs="Times New Roman"/>
          <w:sz w:val="24"/>
          <w:szCs w:val="24"/>
        </w:rPr>
        <w:t>mandate of the organisation.</w:t>
      </w:r>
    </w:p>
    <w:p w:rsidR="002B5599" w:rsidRDefault="002B5599" w:rsidP="007E21C4">
      <w:pPr>
        <w:pStyle w:val="ListParagraph"/>
        <w:numPr>
          <w:ilvl w:val="0"/>
          <w:numId w:val="16"/>
        </w:num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i/>
          <w:sz w:val="24"/>
          <w:szCs w:val="24"/>
        </w:rPr>
        <w:t xml:space="preserve">Payment of </w:t>
      </w:r>
      <w:r w:rsidRPr="00675023">
        <w:rPr>
          <w:rFonts w:ascii="Times New Roman" w:eastAsia="Times New Roman" w:hAnsi="Times New Roman" w:cs="Times New Roman"/>
          <w:i/>
          <w:sz w:val="24"/>
          <w:szCs w:val="24"/>
        </w:rPr>
        <w:t>performance bonuses</w:t>
      </w:r>
      <w:r>
        <w:rPr>
          <w:rFonts w:ascii="Times New Roman" w:eastAsia="Times New Roman" w:hAnsi="Times New Roman" w:cs="Times New Roman"/>
          <w:i/>
          <w:sz w:val="24"/>
          <w:szCs w:val="24"/>
        </w:rPr>
        <w:t xml:space="preserve"> to staff</w:t>
      </w:r>
      <w:r w:rsidRPr="0067502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CT indicated that </w:t>
      </w:r>
      <w:r w:rsidRPr="00675023">
        <w:rPr>
          <w:rFonts w:ascii="Times New Roman" w:hAnsi="Times New Roman" w:cs="Times New Roman"/>
          <w:sz w:val="24"/>
          <w:szCs w:val="24"/>
        </w:rPr>
        <w:t xml:space="preserve">no performance bonuses were paid to any staff member since the inception of </w:t>
      </w:r>
      <w:r>
        <w:rPr>
          <w:rFonts w:ascii="Times New Roman" w:hAnsi="Times New Roman" w:cs="Times New Roman"/>
          <w:sz w:val="24"/>
          <w:szCs w:val="24"/>
        </w:rPr>
        <w:t xml:space="preserve">the </w:t>
      </w:r>
      <w:r w:rsidRPr="00675023">
        <w:rPr>
          <w:rFonts w:ascii="Times New Roman" w:hAnsi="Times New Roman" w:cs="Times New Roman"/>
          <w:sz w:val="24"/>
          <w:szCs w:val="24"/>
        </w:rPr>
        <w:t xml:space="preserve">Tribunal. </w:t>
      </w:r>
    </w:p>
    <w:p w:rsidR="006F2694" w:rsidRPr="00675023" w:rsidRDefault="006F2694" w:rsidP="00592363">
      <w:pPr>
        <w:pStyle w:val="ListParagraph"/>
        <w:numPr>
          <w:ilvl w:val="0"/>
          <w:numId w:val="16"/>
        </w:numPr>
        <w:spacing w:after="0" w:line="360" w:lineRule="auto"/>
        <w:ind w:left="360"/>
        <w:jc w:val="both"/>
        <w:rPr>
          <w:rFonts w:ascii="Times New Roman" w:eastAsia="Times New Roman" w:hAnsi="Times New Roman" w:cs="Times New Roman"/>
          <w:i/>
          <w:sz w:val="24"/>
          <w:szCs w:val="24"/>
        </w:rPr>
      </w:pPr>
      <w:r w:rsidRPr="00675023">
        <w:rPr>
          <w:rFonts w:ascii="Times New Roman" w:eastAsia="Times New Roman" w:hAnsi="Times New Roman" w:cs="Times New Roman"/>
          <w:i/>
          <w:sz w:val="24"/>
          <w:szCs w:val="24"/>
        </w:rPr>
        <w:t xml:space="preserve">The impact of </w:t>
      </w:r>
      <w:r w:rsidR="002B5599">
        <w:rPr>
          <w:rFonts w:ascii="Times New Roman" w:eastAsia="Times New Roman" w:hAnsi="Times New Roman" w:cs="Times New Roman"/>
          <w:i/>
          <w:sz w:val="24"/>
          <w:szCs w:val="24"/>
        </w:rPr>
        <w:t xml:space="preserve">its </w:t>
      </w:r>
      <w:r w:rsidR="00B149D1">
        <w:rPr>
          <w:rFonts w:ascii="Times New Roman" w:eastAsia="Times New Roman" w:hAnsi="Times New Roman" w:cs="Times New Roman"/>
          <w:i/>
          <w:sz w:val="24"/>
          <w:szCs w:val="24"/>
        </w:rPr>
        <w:t>outreach programme</w:t>
      </w:r>
      <w:r w:rsidRPr="00675023">
        <w:rPr>
          <w:rFonts w:ascii="Times New Roman" w:eastAsia="Times New Roman" w:hAnsi="Times New Roman" w:cs="Times New Roman"/>
          <w:i/>
          <w:sz w:val="24"/>
          <w:szCs w:val="24"/>
        </w:rPr>
        <w:t>:</w:t>
      </w:r>
      <w:r w:rsidRPr="00675023">
        <w:rPr>
          <w:rFonts w:ascii="Times New Roman" w:eastAsia="Times New Roman" w:hAnsi="Times New Roman" w:cs="Times New Roman"/>
          <w:sz w:val="24"/>
          <w:szCs w:val="24"/>
        </w:rPr>
        <w:t xml:space="preserve"> The CT informed the committee that its outreach programmes d</w:t>
      </w:r>
      <w:r w:rsidR="00087BAD">
        <w:rPr>
          <w:rFonts w:ascii="Times New Roman" w:eastAsia="Times New Roman" w:hAnsi="Times New Roman" w:cs="Times New Roman"/>
          <w:sz w:val="24"/>
          <w:szCs w:val="24"/>
        </w:rPr>
        <w:t>id</w:t>
      </w:r>
      <w:r w:rsidRPr="00675023">
        <w:rPr>
          <w:rFonts w:ascii="Times New Roman" w:eastAsia="Times New Roman" w:hAnsi="Times New Roman" w:cs="Times New Roman"/>
          <w:sz w:val="24"/>
          <w:szCs w:val="24"/>
        </w:rPr>
        <w:t xml:space="preserve"> not exclude rural areas. The rationale for focusing in the major cities was because of the concentration of major businesses and potential entrepreneurs within </w:t>
      </w:r>
      <w:r w:rsidR="00087BAD">
        <w:rPr>
          <w:rFonts w:ascii="Times New Roman" w:eastAsia="Times New Roman" w:hAnsi="Times New Roman" w:cs="Times New Roman"/>
          <w:sz w:val="24"/>
          <w:szCs w:val="24"/>
        </w:rPr>
        <w:t>urban areas</w:t>
      </w:r>
      <w:r w:rsidRPr="00675023">
        <w:rPr>
          <w:rFonts w:ascii="Times New Roman" w:eastAsia="Times New Roman" w:hAnsi="Times New Roman" w:cs="Times New Roman"/>
          <w:sz w:val="24"/>
          <w:szCs w:val="24"/>
        </w:rPr>
        <w:t>.  The CT acknowledge</w:t>
      </w:r>
      <w:r w:rsidR="00087BAD">
        <w:rPr>
          <w:rFonts w:ascii="Times New Roman" w:eastAsia="Times New Roman" w:hAnsi="Times New Roman" w:cs="Times New Roman"/>
          <w:sz w:val="24"/>
          <w:szCs w:val="24"/>
        </w:rPr>
        <w:t>d</w:t>
      </w:r>
      <w:r w:rsidRPr="00675023">
        <w:rPr>
          <w:rFonts w:ascii="Times New Roman" w:eastAsia="Times New Roman" w:hAnsi="Times New Roman" w:cs="Times New Roman"/>
          <w:sz w:val="24"/>
          <w:szCs w:val="24"/>
        </w:rPr>
        <w:t xml:space="preserve"> that it</w:t>
      </w:r>
      <w:r w:rsidR="00087BAD">
        <w:rPr>
          <w:rFonts w:ascii="Times New Roman" w:eastAsia="Times New Roman" w:hAnsi="Times New Roman" w:cs="Times New Roman"/>
          <w:sz w:val="24"/>
          <w:szCs w:val="24"/>
        </w:rPr>
        <w:t>s</w:t>
      </w:r>
      <w:r w:rsidRPr="00675023">
        <w:rPr>
          <w:rFonts w:ascii="Times New Roman" w:eastAsia="Times New Roman" w:hAnsi="Times New Roman" w:cs="Times New Roman"/>
          <w:sz w:val="24"/>
          <w:szCs w:val="24"/>
        </w:rPr>
        <w:t xml:space="preserve"> reach should be beyond the major cities as entrepreneurial ability is not only located within the cities only.  </w:t>
      </w:r>
    </w:p>
    <w:p w:rsidR="00101603" w:rsidRPr="00675023" w:rsidRDefault="006F2694" w:rsidP="00592363">
      <w:pPr>
        <w:pStyle w:val="ListParagraph"/>
        <w:numPr>
          <w:ilvl w:val="0"/>
          <w:numId w:val="16"/>
        </w:numPr>
        <w:spacing w:after="0" w:line="360" w:lineRule="auto"/>
        <w:ind w:left="360"/>
        <w:jc w:val="both"/>
        <w:rPr>
          <w:rFonts w:ascii="Times New Roman" w:eastAsia="Times New Roman" w:hAnsi="Times New Roman" w:cs="Times New Roman"/>
          <w:b/>
          <w:i/>
          <w:sz w:val="24"/>
          <w:szCs w:val="24"/>
        </w:rPr>
      </w:pPr>
      <w:r w:rsidRPr="00675023">
        <w:rPr>
          <w:rFonts w:ascii="Times New Roman" w:eastAsia="Times New Roman" w:hAnsi="Times New Roman" w:cs="Times New Roman"/>
          <w:i/>
          <w:sz w:val="24"/>
          <w:szCs w:val="24"/>
        </w:rPr>
        <w:t>The nature of the A</w:t>
      </w:r>
      <w:r w:rsidR="00087BAD">
        <w:rPr>
          <w:rFonts w:ascii="Times New Roman" w:eastAsia="Times New Roman" w:hAnsi="Times New Roman" w:cs="Times New Roman"/>
          <w:i/>
          <w:sz w:val="24"/>
          <w:szCs w:val="24"/>
        </w:rPr>
        <w:t xml:space="preserve">lternative </w:t>
      </w:r>
      <w:r w:rsidRPr="00675023">
        <w:rPr>
          <w:rFonts w:ascii="Times New Roman" w:eastAsia="Times New Roman" w:hAnsi="Times New Roman" w:cs="Times New Roman"/>
          <w:i/>
          <w:sz w:val="24"/>
          <w:szCs w:val="24"/>
        </w:rPr>
        <w:t>D</w:t>
      </w:r>
      <w:r w:rsidR="00087BAD">
        <w:rPr>
          <w:rFonts w:ascii="Times New Roman" w:eastAsia="Times New Roman" w:hAnsi="Times New Roman" w:cs="Times New Roman"/>
          <w:i/>
          <w:sz w:val="24"/>
          <w:szCs w:val="24"/>
        </w:rPr>
        <w:t xml:space="preserve">ispute </w:t>
      </w:r>
      <w:r w:rsidRPr="00675023">
        <w:rPr>
          <w:rFonts w:ascii="Times New Roman" w:eastAsia="Times New Roman" w:hAnsi="Times New Roman" w:cs="Times New Roman"/>
          <w:i/>
          <w:sz w:val="24"/>
          <w:szCs w:val="24"/>
        </w:rPr>
        <w:t>R</w:t>
      </w:r>
      <w:r w:rsidR="00087BAD">
        <w:rPr>
          <w:rFonts w:ascii="Times New Roman" w:eastAsia="Times New Roman" w:hAnsi="Times New Roman" w:cs="Times New Roman"/>
          <w:i/>
          <w:sz w:val="24"/>
          <w:szCs w:val="24"/>
        </w:rPr>
        <w:t>esolution</w:t>
      </w:r>
      <w:r w:rsidRPr="00675023">
        <w:rPr>
          <w:rFonts w:ascii="Times New Roman" w:eastAsia="Times New Roman" w:hAnsi="Times New Roman" w:cs="Times New Roman"/>
          <w:i/>
          <w:sz w:val="24"/>
          <w:szCs w:val="24"/>
        </w:rPr>
        <w:t xml:space="preserve"> process:</w:t>
      </w:r>
      <w:r w:rsidRPr="00675023">
        <w:rPr>
          <w:rFonts w:ascii="Times New Roman" w:eastAsia="Times New Roman" w:hAnsi="Times New Roman" w:cs="Times New Roman"/>
          <w:sz w:val="24"/>
          <w:szCs w:val="24"/>
        </w:rPr>
        <w:t xml:space="preserve"> The CT informed the committee that the </w:t>
      </w:r>
      <w:r w:rsidR="00087BAD" w:rsidRPr="00675023">
        <w:rPr>
          <w:rFonts w:ascii="Times New Roman" w:eastAsia="Times New Roman" w:hAnsi="Times New Roman" w:cs="Times New Roman"/>
          <w:i/>
          <w:sz w:val="24"/>
          <w:szCs w:val="24"/>
        </w:rPr>
        <w:t>A</w:t>
      </w:r>
      <w:r w:rsidR="00087BAD">
        <w:rPr>
          <w:rFonts w:ascii="Times New Roman" w:eastAsia="Times New Roman" w:hAnsi="Times New Roman" w:cs="Times New Roman"/>
          <w:i/>
          <w:sz w:val="24"/>
          <w:szCs w:val="24"/>
        </w:rPr>
        <w:t xml:space="preserve">lternative </w:t>
      </w:r>
      <w:r w:rsidR="00087BAD" w:rsidRPr="00675023">
        <w:rPr>
          <w:rFonts w:ascii="Times New Roman" w:eastAsia="Times New Roman" w:hAnsi="Times New Roman" w:cs="Times New Roman"/>
          <w:i/>
          <w:sz w:val="24"/>
          <w:szCs w:val="24"/>
        </w:rPr>
        <w:t>D</w:t>
      </w:r>
      <w:r w:rsidR="00087BAD">
        <w:rPr>
          <w:rFonts w:ascii="Times New Roman" w:eastAsia="Times New Roman" w:hAnsi="Times New Roman" w:cs="Times New Roman"/>
          <w:i/>
          <w:sz w:val="24"/>
          <w:szCs w:val="24"/>
        </w:rPr>
        <w:t xml:space="preserve">ispute </w:t>
      </w:r>
      <w:r w:rsidR="00087BAD" w:rsidRPr="00675023">
        <w:rPr>
          <w:rFonts w:ascii="Times New Roman" w:eastAsia="Times New Roman" w:hAnsi="Times New Roman" w:cs="Times New Roman"/>
          <w:i/>
          <w:sz w:val="24"/>
          <w:szCs w:val="24"/>
        </w:rPr>
        <w:t>R</w:t>
      </w:r>
      <w:r w:rsidR="00087BAD">
        <w:rPr>
          <w:rFonts w:ascii="Times New Roman" w:eastAsia="Times New Roman" w:hAnsi="Times New Roman" w:cs="Times New Roman"/>
          <w:i/>
          <w:sz w:val="24"/>
          <w:szCs w:val="24"/>
        </w:rPr>
        <w:t>esolution</w:t>
      </w:r>
      <w:r w:rsidRPr="00675023">
        <w:rPr>
          <w:rFonts w:ascii="Times New Roman" w:eastAsia="Times New Roman" w:hAnsi="Times New Roman" w:cs="Times New Roman"/>
          <w:sz w:val="24"/>
          <w:szCs w:val="24"/>
        </w:rPr>
        <w:t xml:space="preserve"> process is voluntary but </w:t>
      </w:r>
      <w:r w:rsidR="00087BAD">
        <w:rPr>
          <w:rFonts w:ascii="Times New Roman" w:eastAsia="Times New Roman" w:hAnsi="Times New Roman" w:cs="Times New Roman"/>
          <w:sz w:val="24"/>
          <w:szCs w:val="24"/>
        </w:rPr>
        <w:t xml:space="preserve">that </w:t>
      </w:r>
      <w:r w:rsidRPr="00675023">
        <w:rPr>
          <w:rFonts w:ascii="Times New Roman" w:eastAsia="Times New Roman" w:hAnsi="Times New Roman" w:cs="Times New Roman"/>
          <w:sz w:val="24"/>
          <w:szCs w:val="24"/>
        </w:rPr>
        <w:t xml:space="preserve">the respondent is obliged to agree to appear before the dispute resolution body. </w:t>
      </w:r>
      <w:r w:rsidRPr="00675023">
        <w:rPr>
          <w:rFonts w:ascii="Times New Roman" w:hAnsi="Times New Roman" w:cs="Times New Roman"/>
          <w:sz w:val="24"/>
          <w:szCs w:val="24"/>
        </w:rPr>
        <w:t xml:space="preserve">In both the voluntary and </w:t>
      </w:r>
      <w:r w:rsidR="00087BAD">
        <w:rPr>
          <w:rFonts w:ascii="Times New Roman" w:hAnsi="Times New Roman" w:cs="Times New Roman"/>
          <w:sz w:val="24"/>
          <w:szCs w:val="24"/>
        </w:rPr>
        <w:t>mandatory</w:t>
      </w:r>
      <w:r w:rsidRPr="00675023">
        <w:rPr>
          <w:rFonts w:ascii="Times New Roman" w:hAnsi="Times New Roman" w:cs="Times New Roman"/>
          <w:sz w:val="24"/>
          <w:szCs w:val="24"/>
        </w:rPr>
        <w:t xml:space="preserve"> model</w:t>
      </w:r>
      <w:r w:rsidR="00087BAD">
        <w:rPr>
          <w:rFonts w:ascii="Times New Roman" w:hAnsi="Times New Roman" w:cs="Times New Roman"/>
          <w:sz w:val="24"/>
          <w:szCs w:val="24"/>
        </w:rPr>
        <w:t>s</w:t>
      </w:r>
      <w:r w:rsidRPr="00675023">
        <w:rPr>
          <w:rFonts w:ascii="Times New Roman" w:hAnsi="Times New Roman" w:cs="Times New Roman"/>
          <w:sz w:val="24"/>
          <w:szCs w:val="24"/>
        </w:rPr>
        <w:t>, parties to mediation and conciliation process</w:t>
      </w:r>
      <w:r w:rsidR="00087BAD">
        <w:rPr>
          <w:rFonts w:ascii="Times New Roman" w:hAnsi="Times New Roman" w:cs="Times New Roman"/>
          <w:sz w:val="24"/>
          <w:szCs w:val="24"/>
        </w:rPr>
        <w:t>es</w:t>
      </w:r>
      <w:r w:rsidRPr="00675023">
        <w:rPr>
          <w:rFonts w:ascii="Times New Roman" w:hAnsi="Times New Roman" w:cs="Times New Roman"/>
          <w:sz w:val="24"/>
          <w:szCs w:val="24"/>
        </w:rPr>
        <w:t xml:space="preserve"> must by agreement resolve the matter</w:t>
      </w:r>
      <w:r w:rsidRPr="00675023">
        <w:rPr>
          <w:rFonts w:ascii="Times New Roman" w:hAnsi="Times New Roman" w:cs="Times New Roman"/>
          <w:color w:val="FF0000"/>
          <w:sz w:val="24"/>
          <w:szCs w:val="24"/>
        </w:rPr>
        <w:t>.</w:t>
      </w:r>
    </w:p>
    <w:p w:rsidR="005257FD" w:rsidRPr="00675023" w:rsidRDefault="005257FD" w:rsidP="00592363">
      <w:pPr>
        <w:pStyle w:val="ListParagraph"/>
        <w:spacing w:after="0" w:line="360" w:lineRule="auto"/>
        <w:ind w:left="360"/>
        <w:jc w:val="both"/>
        <w:rPr>
          <w:rFonts w:ascii="Times New Roman" w:eastAsia="Times New Roman" w:hAnsi="Times New Roman" w:cs="Times New Roman"/>
          <w:b/>
          <w:i/>
          <w:sz w:val="24"/>
          <w:szCs w:val="24"/>
        </w:rPr>
      </w:pPr>
    </w:p>
    <w:p w:rsidR="00196694" w:rsidRPr="007E21C4" w:rsidRDefault="00196694" w:rsidP="007E21C4">
      <w:pPr>
        <w:pStyle w:val="ListParagraph"/>
        <w:numPr>
          <w:ilvl w:val="1"/>
          <w:numId w:val="2"/>
        </w:numPr>
        <w:spacing w:after="0" w:line="360" w:lineRule="auto"/>
        <w:ind w:left="567" w:hanging="567"/>
        <w:jc w:val="both"/>
        <w:rPr>
          <w:rFonts w:ascii="Times New Roman" w:hAnsi="Times New Roman" w:cs="Times New Roman"/>
          <w:b/>
          <w:sz w:val="24"/>
          <w:szCs w:val="24"/>
        </w:rPr>
      </w:pPr>
      <w:r w:rsidRPr="00675023">
        <w:rPr>
          <w:rFonts w:ascii="Times New Roman" w:hAnsi="Times New Roman" w:cs="Times New Roman"/>
          <w:b/>
          <w:sz w:val="24"/>
          <w:szCs w:val="24"/>
        </w:rPr>
        <w:t xml:space="preserve">National </w:t>
      </w:r>
      <w:r w:rsidR="00A477F6" w:rsidRPr="00675023">
        <w:rPr>
          <w:rFonts w:ascii="Times New Roman" w:hAnsi="Times New Roman" w:cs="Times New Roman"/>
          <w:b/>
          <w:sz w:val="24"/>
          <w:szCs w:val="24"/>
        </w:rPr>
        <w:t xml:space="preserve">Consumer </w:t>
      </w:r>
      <w:r w:rsidR="00513024" w:rsidRPr="00675023">
        <w:rPr>
          <w:rFonts w:ascii="Times New Roman" w:hAnsi="Times New Roman" w:cs="Times New Roman"/>
          <w:b/>
          <w:sz w:val="24"/>
          <w:szCs w:val="24"/>
        </w:rPr>
        <w:t xml:space="preserve">Tribunal </w:t>
      </w:r>
    </w:p>
    <w:p w:rsidR="00513024" w:rsidRPr="00675023" w:rsidRDefault="00513024" w:rsidP="00592363">
      <w:pPr>
        <w:pStyle w:val="ListParagraph"/>
        <w:spacing w:after="0" w:line="360" w:lineRule="auto"/>
        <w:ind w:left="567"/>
        <w:jc w:val="both"/>
        <w:rPr>
          <w:rFonts w:ascii="Times New Roman" w:hAnsi="Times New Roman" w:cs="Times New Roman"/>
          <w:sz w:val="24"/>
          <w:szCs w:val="24"/>
        </w:rPr>
      </w:pPr>
    </w:p>
    <w:p w:rsidR="00A15410" w:rsidRPr="00751D99" w:rsidRDefault="00A15410" w:rsidP="00751D99">
      <w:pPr>
        <w:widowControl w:val="0"/>
        <w:overflowPunct w:val="0"/>
        <w:autoSpaceDE w:val="0"/>
        <w:autoSpaceDN w:val="0"/>
        <w:adjustRightInd w:val="0"/>
        <w:spacing w:after="0" w:line="360" w:lineRule="auto"/>
        <w:ind w:left="10"/>
        <w:jc w:val="both"/>
        <w:rPr>
          <w:rFonts w:ascii="Times New Roman" w:hAnsi="Times New Roman" w:cs="Times New Roman"/>
          <w:sz w:val="32"/>
          <w:szCs w:val="24"/>
        </w:rPr>
      </w:pPr>
      <w:r w:rsidRPr="00675023">
        <w:rPr>
          <w:rFonts w:ascii="Times New Roman" w:hAnsi="Times New Roman" w:cs="Times New Roman"/>
          <w:sz w:val="24"/>
          <w:szCs w:val="24"/>
        </w:rPr>
        <w:t>The National Consumer Tribunal</w:t>
      </w:r>
      <w:r w:rsidR="00F34A54">
        <w:rPr>
          <w:rFonts w:ascii="Times New Roman" w:hAnsi="Times New Roman" w:cs="Times New Roman"/>
          <w:sz w:val="24"/>
          <w:szCs w:val="24"/>
        </w:rPr>
        <w:t xml:space="preserve"> (NCT)</w:t>
      </w:r>
      <w:r w:rsidRPr="00675023">
        <w:rPr>
          <w:rFonts w:ascii="Times New Roman" w:hAnsi="Times New Roman" w:cs="Times New Roman"/>
          <w:sz w:val="24"/>
          <w:szCs w:val="24"/>
        </w:rPr>
        <w:t xml:space="preserve"> was established in t</w:t>
      </w:r>
      <w:r w:rsidR="00F34A54">
        <w:rPr>
          <w:rFonts w:ascii="Times New Roman" w:hAnsi="Times New Roman" w:cs="Times New Roman"/>
          <w:sz w:val="24"/>
          <w:szCs w:val="24"/>
        </w:rPr>
        <w:t>erms of the National Credit Act</w:t>
      </w:r>
      <w:r w:rsidRPr="00675023">
        <w:rPr>
          <w:rFonts w:ascii="Times New Roman" w:hAnsi="Times New Roman" w:cs="Times New Roman"/>
          <w:sz w:val="24"/>
          <w:szCs w:val="24"/>
        </w:rPr>
        <w:t xml:space="preserve"> </w:t>
      </w:r>
      <w:r w:rsidR="00F34A54">
        <w:rPr>
          <w:rFonts w:ascii="Times New Roman" w:hAnsi="Times New Roman" w:cs="Times New Roman"/>
          <w:sz w:val="24"/>
          <w:szCs w:val="24"/>
        </w:rPr>
        <w:t>(</w:t>
      </w:r>
      <w:r w:rsidRPr="00675023">
        <w:rPr>
          <w:rFonts w:ascii="Times New Roman" w:hAnsi="Times New Roman" w:cs="Times New Roman"/>
          <w:sz w:val="24"/>
          <w:szCs w:val="24"/>
        </w:rPr>
        <w:t>No. 34 of 2005</w:t>
      </w:r>
      <w:r w:rsidR="00F34A54">
        <w:rPr>
          <w:rFonts w:ascii="Times New Roman" w:hAnsi="Times New Roman" w:cs="Times New Roman"/>
          <w:sz w:val="24"/>
          <w:szCs w:val="24"/>
        </w:rPr>
        <w:t>)</w:t>
      </w:r>
      <w:r w:rsidRPr="00675023">
        <w:rPr>
          <w:rFonts w:ascii="Times New Roman" w:hAnsi="Times New Roman" w:cs="Times New Roman"/>
          <w:sz w:val="24"/>
          <w:szCs w:val="24"/>
        </w:rPr>
        <w:t xml:space="preserve"> (NCA) and the Consumer Protection Act </w:t>
      </w:r>
      <w:r w:rsidR="00F34A54">
        <w:rPr>
          <w:rFonts w:ascii="Times New Roman" w:hAnsi="Times New Roman" w:cs="Times New Roman"/>
          <w:sz w:val="24"/>
          <w:szCs w:val="24"/>
        </w:rPr>
        <w:t>(</w:t>
      </w:r>
      <w:r w:rsidRPr="00675023">
        <w:rPr>
          <w:rFonts w:ascii="Times New Roman" w:hAnsi="Times New Roman" w:cs="Times New Roman"/>
          <w:sz w:val="24"/>
          <w:szCs w:val="24"/>
        </w:rPr>
        <w:t>No. 68 of 2008</w:t>
      </w:r>
      <w:r w:rsidR="00F34A54">
        <w:rPr>
          <w:rFonts w:ascii="Times New Roman" w:hAnsi="Times New Roman" w:cs="Times New Roman"/>
          <w:sz w:val="24"/>
          <w:szCs w:val="24"/>
        </w:rPr>
        <w:t>)</w:t>
      </w:r>
      <w:r w:rsidRPr="00675023">
        <w:rPr>
          <w:rFonts w:ascii="Times New Roman" w:hAnsi="Times New Roman" w:cs="Times New Roman"/>
          <w:sz w:val="24"/>
          <w:szCs w:val="24"/>
        </w:rPr>
        <w:t xml:space="preserve"> (CPA). The </w:t>
      </w:r>
      <w:r w:rsidR="00F34A54">
        <w:rPr>
          <w:rFonts w:ascii="Times New Roman" w:hAnsi="Times New Roman" w:cs="Times New Roman"/>
          <w:sz w:val="24"/>
          <w:szCs w:val="24"/>
        </w:rPr>
        <w:t xml:space="preserve">NCT </w:t>
      </w:r>
      <w:r w:rsidRPr="00675023">
        <w:rPr>
          <w:rFonts w:ascii="Times New Roman" w:hAnsi="Times New Roman" w:cs="Times New Roman"/>
          <w:sz w:val="24"/>
          <w:szCs w:val="24"/>
        </w:rPr>
        <w:t>adjudicate</w:t>
      </w:r>
      <w:r w:rsidR="00F34A54">
        <w:rPr>
          <w:rFonts w:ascii="Times New Roman" w:hAnsi="Times New Roman" w:cs="Times New Roman"/>
          <w:sz w:val="24"/>
          <w:szCs w:val="24"/>
        </w:rPr>
        <w:t>s</w:t>
      </w:r>
      <w:r w:rsidRPr="00675023">
        <w:rPr>
          <w:rFonts w:ascii="Times New Roman" w:hAnsi="Times New Roman" w:cs="Times New Roman"/>
          <w:sz w:val="24"/>
          <w:szCs w:val="24"/>
        </w:rPr>
        <w:t xml:space="preserve"> on applications and referrals in terms of the NCA</w:t>
      </w:r>
      <w:r w:rsidR="00F34A54">
        <w:rPr>
          <w:rFonts w:ascii="Times New Roman" w:hAnsi="Times New Roman" w:cs="Times New Roman"/>
          <w:sz w:val="24"/>
          <w:szCs w:val="24"/>
        </w:rPr>
        <w:t xml:space="preserve"> and CPA, and must determine whether any allegations of prohibited conduct are true and impose remedies to address such conduct</w:t>
      </w:r>
      <w:r w:rsidRPr="00675023">
        <w:rPr>
          <w:rFonts w:ascii="Times New Roman" w:hAnsi="Times New Roman" w:cs="Times New Roman"/>
          <w:sz w:val="24"/>
          <w:szCs w:val="24"/>
        </w:rPr>
        <w:t xml:space="preserve">. </w:t>
      </w:r>
      <w:r w:rsidR="00F34A54">
        <w:rPr>
          <w:rFonts w:ascii="Times New Roman" w:hAnsi="Times New Roman" w:cs="Times New Roman"/>
          <w:sz w:val="24"/>
          <w:szCs w:val="24"/>
        </w:rPr>
        <w:t xml:space="preserve">It may also </w:t>
      </w:r>
      <w:r w:rsidRPr="00F34A54">
        <w:rPr>
          <w:rFonts w:ascii="Times New Roman" w:hAnsi="Times New Roman" w:cs="Times New Roman"/>
          <w:sz w:val="24"/>
        </w:rPr>
        <w:t xml:space="preserve">review decisions by the National Credit Regulator and the National Consumer Commission; </w:t>
      </w:r>
      <w:r w:rsidR="00751D99">
        <w:rPr>
          <w:rFonts w:ascii="Times New Roman" w:hAnsi="Times New Roman" w:cs="Times New Roman"/>
          <w:sz w:val="24"/>
        </w:rPr>
        <w:t xml:space="preserve">and can deal with </w:t>
      </w:r>
      <w:r w:rsidRPr="00751D99">
        <w:rPr>
          <w:rFonts w:ascii="Times New Roman" w:hAnsi="Times New Roman" w:cs="Times New Roman"/>
          <w:sz w:val="24"/>
        </w:rPr>
        <w:t xml:space="preserve">applications for debt re-arrangement agreements </w:t>
      </w:r>
      <w:r w:rsidR="00B63F21">
        <w:rPr>
          <w:rFonts w:ascii="Times New Roman" w:hAnsi="Times New Roman" w:cs="Times New Roman"/>
          <w:sz w:val="24"/>
        </w:rPr>
        <w:t xml:space="preserve">(DRAs) </w:t>
      </w:r>
      <w:r w:rsidRPr="00751D99">
        <w:rPr>
          <w:rFonts w:ascii="Times New Roman" w:hAnsi="Times New Roman" w:cs="Times New Roman"/>
          <w:sz w:val="24"/>
        </w:rPr>
        <w:t>or consent orders in terms of the Consumer Protection Act.</w:t>
      </w:r>
      <w:r w:rsidRPr="00751D99">
        <w:rPr>
          <w:rStyle w:val="FootnoteReference"/>
          <w:rFonts w:ascii="Times New Roman" w:hAnsi="Times New Roman" w:cs="Times New Roman"/>
          <w:sz w:val="24"/>
        </w:rPr>
        <w:footnoteReference w:id="17"/>
      </w:r>
    </w:p>
    <w:p w:rsidR="00A15410" w:rsidRPr="00675023" w:rsidRDefault="00A15410" w:rsidP="00592363">
      <w:pPr>
        <w:pStyle w:val="Default"/>
        <w:spacing w:line="360" w:lineRule="auto"/>
        <w:jc w:val="both"/>
        <w:rPr>
          <w:rFonts w:ascii="Times New Roman" w:hAnsi="Times New Roman" w:cs="Times New Roman"/>
          <w:color w:val="auto"/>
        </w:rPr>
      </w:pPr>
    </w:p>
    <w:p w:rsidR="00A15410" w:rsidRPr="00675023" w:rsidRDefault="00A15410"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Strategic Goals of the National Consumer Tribunal</w:t>
      </w:r>
    </w:p>
    <w:p w:rsidR="00A15410" w:rsidRPr="00675023" w:rsidRDefault="00A15410" w:rsidP="00592363">
      <w:pPr>
        <w:pStyle w:val="Default"/>
        <w:spacing w:line="360" w:lineRule="auto"/>
        <w:jc w:val="both"/>
        <w:rPr>
          <w:rFonts w:ascii="Times New Roman" w:hAnsi="Times New Roman" w:cs="Times New Roman"/>
          <w:color w:val="auto"/>
        </w:rPr>
      </w:pPr>
    </w:p>
    <w:p w:rsidR="00A15410" w:rsidRPr="00675023" w:rsidRDefault="00A15410" w:rsidP="00592363">
      <w:pPr>
        <w:pStyle w:val="Default"/>
        <w:spacing w:line="360" w:lineRule="auto"/>
        <w:jc w:val="both"/>
        <w:rPr>
          <w:rFonts w:ascii="Times New Roman" w:hAnsi="Times New Roman" w:cs="Times New Roman"/>
          <w:color w:val="auto"/>
        </w:rPr>
      </w:pPr>
      <w:r w:rsidRPr="00675023">
        <w:rPr>
          <w:rFonts w:ascii="Times New Roman" w:hAnsi="Times New Roman" w:cs="Times New Roman"/>
          <w:color w:val="auto"/>
        </w:rPr>
        <w:t xml:space="preserve">The </w:t>
      </w:r>
      <w:r w:rsidR="00751D99">
        <w:rPr>
          <w:rFonts w:ascii="Times New Roman" w:hAnsi="Times New Roman" w:cs="Times New Roman"/>
          <w:color w:val="auto"/>
        </w:rPr>
        <w:t xml:space="preserve">NCT’s </w:t>
      </w:r>
      <w:r w:rsidRPr="00675023">
        <w:rPr>
          <w:rFonts w:ascii="Times New Roman" w:hAnsi="Times New Roman" w:cs="Times New Roman"/>
          <w:color w:val="auto"/>
        </w:rPr>
        <w:t xml:space="preserve">strategic objectives are driven by </w:t>
      </w:r>
      <w:r w:rsidR="00751D99">
        <w:rPr>
          <w:rFonts w:ascii="Times New Roman" w:hAnsi="Times New Roman" w:cs="Times New Roman"/>
          <w:color w:val="auto"/>
        </w:rPr>
        <w:t>its</w:t>
      </w:r>
      <w:r w:rsidRPr="00675023">
        <w:rPr>
          <w:rFonts w:ascii="Times New Roman" w:hAnsi="Times New Roman" w:cs="Times New Roman"/>
          <w:color w:val="auto"/>
        </w:rPr>
        <w:t xml:space="preserve"> core mandate</w:t>
      </w:r>
      <w:r w:rsidR="00751D99">
        <w:rPr>
          <w:rFonts w:ascii="Times New Roman" w:hAnsi="Times New Roman" w:cs="Times New Roman"/>
          <w:color w:val="auto"/>
        </w:rPr>
        <w:t>;</w:t>
      </w:r>
      <w:r w:rsidRPr="00675023">
        <w:rPr>
          <w:rFonts w:ascii="Times New Roman" w:hAnsi="Times New Roman" w:cs="Times New Roman"/>
          <w:color w:val="auto"/>
        </w:rPr>
        <w:t xml:space="preserve"> therefore, are mainly to adjudicate on applications and referrals in terms of the NCA and the CPA. </w:t>
      </w:r>
    </w:p>
    <w:p w:rsidR="00A15410" w:rsidRPr="00675023" w:rsidRDefault="00A15410" w:rsidP="00592363">
      <w:pPr>
        <w:pStyle w:val="Default"/>
        <w:spacing w:line="360" w:lineRule="auto"/>
        <w:jc w:val="both"/>
        <w:rPr>
          <w:rFonts w:ascii="Times New Roman" w:hAnsi="Times New Roman" w:cs="Times New Roman"/>
          <w:b/>
          <w:color w:val="auto"/>
        </w:rPr>
      </w:pPr>
      <w:r w:rsidRPr="00675023">
        <w:rPr>
          <w:rFonts w:ascii="Times New Roman" w:hAnsi="Times New Roman" w:cs="Times New Roman"/>
          <w:b/>
          <w:color w:val="auto"/>
        </w:rPr>
        <w:t xml:space="preserve">Table </w:t>
      </w:r>
      <w:r w:rsidR="00DF2510">
        <w:rPr>
          <w:rFonts w:ascii="Times New Roman" w:hAnsi="Times New Roman" w:cs="Times New Roman"/>
          <w:b/>
          <w:color w:val="auto"/>
        </w:rPr>
        <w:t>8</w:t>
      </w:r>
      <w:r w:rsidRPr="00675023">
        <w:rPr>
          <w:rFonts w:ascii="Times New Roman" w:hAnsi="Times New Roman" w:cs="Times New Roman"/>
          <w:b/>
          <w:color w:val="auto"/>
        </w:rPr>
        <w:t>: Strategic Goals and Outcomes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812"/>
      </w:tblGrid>
      <w:tr w:rsidR="00A15410" w:rsidRPr="00675023" w:rsidTr="007E21C4">
        <w:trPr>
          <w:trHeight w:val="362"/>
          <w:tblHeader/>
        </w:trPr>
        <w:tc>
          <w:tcPr>
            <w:tcW w:w="3681" w:type="dxa"/>
            <w:shd w:val="clear" w:color="auto" w:fill="BFBFBF" w:themeFill="background1" w:themeFillShade="BF"/>
            <w:vAlign w:val="center"/>
          </w:tcPr>
          <w:p w:rsidR="00A15410" w:rsidRPr="007E21C4" w:rsidRDefault="00A15410" w:rsidP="00592363">
            <w:pPr>
              <w:pStyle w:val="Default"/>
              <w:spacing w:line="360" w:lineRule="auto"/>
              <w:jc w:val="center"/>
              <w:rPr>
                <w:rFonts w:ascii="Times New Roman" w:hAnsi="Times New Roman" w:cs="Times New Roman"/>
                <w:color w:val="auto"/>
              </w:rPr>
            </w:pPr>
            <w:r w:rsidRPr="007E21C4">
              <w:rPr>
                <w:rFonts w:ascii="Times New Roman" w:hAnsi="Times New Roman" w:cs="Times New Roman"/>
                <w:b/>
                <w:bCs/>
                <w:color w:val="auto"/>
              </w:rPr>
              <w:t>Strategic Goals</w:t>
            </w:r>
          </w:p>
        </w:tc>
        <w:tc>
          <w:tcPr>
            <w:tcW w:w="5812" w:type="dxa"/>
            <w:shd w:val="clear" w:color="auto" w:fill="BFBFBF" w:themeFill="background1" w:themeFillShade="BF"/>
            <w:vAlign w:val="center"/>
          </w:tcPr>
          <w:p w:rsidR="00A15410" w:rsidRPr="007E21C4" w:rsidRDefault="00A15410" w:rsidP="00592363">
            <w:pPr>
              <w:pStyle w:val="Default"/>
              <w:spacing w:line="360" w:lineRule="auto"/>
              <w:jc w:val="center"/>
              <w:rPr>
                <w:rFonts w:ascii="Times New Roman" w:hAnsi="Times New Roman" w:cs="Times New Roman"/>
                <w:color w:val="auto"/>
              </w:rPr>
            </w:pPr>
            <w:r w:rsidRPr="007E21C4">
              <w:rPr>
                <w:rFonts w:ascii="Times New Roman" w:hAnsi="Times New Roman" w:cs="Times New Roman"/>
                <w:b/>
                <w:bCs/>
                <w:color w:val="auto"/>
              </w:rPr>
              <w:t>Strategic Outcomes</w:t>
            </w:r>
          </w:p>
        </w:tc>
      </w:tr>
      <w:tr w:rsidR="00A15410" w:rsidRPr="00675023" w:rsidTr="00751D99">
        <w:trPr>
          <w:trHeight w:val="634"/>
        </w:trPr>
        <w:tc>
          <w:tcPr>
            <w:tcW w:w="3681" w:type="dxa"/>
          </w:tcPr>
          <w:p w:rsidR="00A15410" w:rsidRPr="007E21C4" w:rsidRDefault="00A15410" w:rsidP="00751D99">
            <w:pPr>
              <w:pStyle w:val="Default"/>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effectively and efficiently manage and adjudicat</w:t>
            </w:r>
            <w:r w:rsidR="00751D99">
              <w:rPr>
                <w:rFonts w:ascii="Times New Roman" w:hAnsi="Times New Roman" w:cs="Times New Roman"/>
                <w:color w:val="auto"/>
                <w:sz w:val="22"/>
              </w:rPr>
              <w:t>e on matters brought to the NCT</w:t>
            </w:r>
          </w:p>
        </w:tc>
        <w:tc>
          <w:tcPr>
            <w:tcW w:w="5812" w:type="dxa"/>
            <w:vAlign w:val="center"/>
          </w:tcPr>
          <w:p w:rsidR="00751D99" w:rsidRPr="00751D99" w:rsidRDefault="00751D99" w:rsidP="007E21C4">
            <w:pPr>
              <w:pStyle w:val="Default"/>
              <w:numPr>
                <w:ilvl w:val="0"/>
                <w:numId w:val="12"/>
              </w:numPr>
              <w:spacing w:line="360" w:lineRule="auto"/>
              <w:rPr>
                <w:rFonts w:ascii="Times New Roman" w:hAnsi="Times New Roman" w:cs="Times New Roman"/>
                <w:color w:val="auto"/>
                <w:sz w:val="22"/>
              </w:rPr>
            </w:pPr>
            <w:r>
              <w:rPr>
                <w:rFonts w:ascii="Times New Roman" w:hAnsi="Times New Roman" w:cs="Times New Roman"/>
                <w:sz w:val="22"/>
              </w:rPr>
              <w:t>To</w:t>
            </w:r>
            <w:r w:rsidR="00A15410" w:rsidRPr="007E21C4">
              <w:rPr>
                <w:rFonts w:ascii="Times New Roman" w:hAnsi="Times New Roman" w:cs="Times New Roman"/>
                <w:sz w:val="22"/>
              </w:rPr>
              <w:t xml:space="preserve"> expedite service delivery through the expeditious finalisation of complete debt re-arrangement applications</w:t>
            </w:r>
            <w:r w:rsidR="00B63F21">
              <w:rPr>
                <w:rFonts w:ascii="Times New Roman" w:hAnsi="Times New Roman" w:cs="Times New Roman"/>
                <w:sz w:val="22"/>
              </w:rPr>
              <w:t>.</w:t>
            </w:r>
          </w:p>
          <w:p w:rsidR="00A15410" w:rsidRPr="007E21C4" w:rsidRDefault="00751D99" w:rsidP="007E21C4">
            <w:pPr>
              <w:pStyle w:val="Default"/>
              <w:numPr>
                <w:ilvl w:val="0"/>
                <w:numId w:val="12"/>
              </w:numPr>
              <w:spacing w:line="360" w:lineRule="auto"/>
              <w:rPr>
                <w:rFonts w:ascii="Times New Roman" w:hAnsi="Times New Roman" w:cs="Times New Roman"/>
                <w:sz w:val="22"/>
              </w:rPr>
            </w:pPr>
            <w:r w:rsidRPr="00675023">
              <w:rPr>
                <w:rFonts w:ascii="Times New Roman" w:hAnsi="Times New Roman" w:cs="Times New Roman"/>
              </w:rPr>
              <w:t>To</w:t>
            </w:r>
            <w:r w:rsidRPr="00751D99">
              <w:rPr>
                <w:rFonts w:ascii="Times New Roman" w:hAnsi="Times New Roman" w:cs="Times New Roman"/>
                <w:sz w:val="22"/>
              </w:rPr>
              <w:t xml:space="preserve"> </w:t>
            </w:r>
            <w:r w:rsidR="00A15410" w:rsidRPr="007E21C4">
              <w:rPr>
                <w:rFonts w:ascii="Times New Roman" w:hAnsi="Times New Roman" w:cs="Times New Roman"/>
                <w:sz w:val="22"/>
              </w:rPr>
              <w:t xml:space="preserve">expedite service </w:t>
            </w:r>
            <w:r>
              <w:rPr>
                <w:rFonts w:ascii="Times New Roman" w:hAnsi="Times New Roman" w:cs="Times New Roman"/>
                <w:sz w:val="22"/>
              </w:rPr>
              <w:t xml:space="preserve">delivery through the </w:t>
            </w:r>
            <w:r w:rsidR="00A15410" w:rsidRPr="007E21C4">
              <w:rPr>
                <w:rFonts w:ascii="Times New Roman" w:hAnsi="Times New Roman" w:cs="Times New Roman"/>
                <w:sz w:val="22"/>
              </w:rPr>
              <w:t>expeditious</w:t>
            </w:r>
            <w:r w:rsidR="00B63F21">
              <w:rPr>
                <w:rFonts w:ascii="Times New Roman" w:hAnsi="Times New Roman" w:cs="Times New Roman"/>
                <w:sz w:val="22"/>
              </w:rPr>
              <w:t xml:space="preserve"> finalisation</w:t>
            </w:r>
            <w:r w:rsidR="00A15410" w:rsidRPr="007E21C4">
              <w:rPr>
                <w:rFonts w:ascii="Times New Roman" w:hAnsi="Times New Roman" w:cs="Times New Roman"/>
                <w:sz w:val="22"/>
              </w:rPr>
              <w:t xml:space="preserve"> </w:t>
            </w:r>
            <w:r w:rsidR="002B5EE3">
              <w:rPr>
                <w:rFonts w:ascii="Times New Roman" w:hAnsi="Times New Roman" w:cs="Times New Roman"/>
                <w:sz w:val="22"/>
              </w:rPr>
              <w:t>of</w:t>
            </w:r>
            <w:r w:rsidR="00A15410" w:rsidRPr="007E21C4">
              <w:rPr>
                <w:rFonts w:ascii="Times New Roman" w:hAnsi="Times New Roman" w:cs="Times New Roman"/>
                <w:sz w:val="22"/>
              </w:rPr>
              <w:t xml:space="preserve"> non-DRA applications and referrals</w:t>
            </w:r>
            <w:r w:rsidR="00B63F21">
              <w:rPr>
                <w:rFonts w:ascii="Times New Roman" w:hAnsi="Times New Roman" w:cs="Times New Roman"/>
                <w:sz w:val="22"/>
              </w:rPr>
              <w:t>.</w:t>
            </w:r>
          </w:p>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ensure</w:t>
            </w:r>
            <w:r w:rsidR="00A477F6" w:rsidRPr="00675023">
              <w:rPr>
                <w:rFonts w:ascii="Times New Roman" w:hAnsi="Times New Roman" w:cs="Times New Roman"/>
                <w:color w:val="auto"/>
                <w:sz w:val="22"/>
              </w:rPr>
              <w:t xml:space="preserve"> </w:t>
            </w:r>
            <w:r w:rsidRPr="007E21C4">
              <w:rPr>
                <w:rFonts w:ascii="Times New Roman" w:hAnsi="Times New Roman" w:cs="Times New Roman"/>
                <w:color w:val="auto"/>
                <w:sz w:val="22"/>
              </w:rPr>
              <w:t>that the NCT</w:t>
            </w:r>
            <w:r w:rsidR="00A477F6" w:rsidRPr="00675023">
              <w:rPr>
                <w:rFonts w:ascii="Times New Roman" w:hAnsi="Times New Roman" w:cs="Times New Roman"/>
                <w:color w:val="auto"/>
                <w:sz w:val="22"/>
              </w:rPr>
              <w:t xml:space="preserve"> </w:t>
            </w:r>
            <w:r w:rsidRPr="007E21C4">
              <w:rPr>
                <w:rFonts w:ascii="Times New Roman" w:hAnsi="Times New Roman" w:cs="Times New Roman"/>
                <w:color w:val="auto"/>
                <w:sz w:val="22"/>
              </w:rPr>
              <w:t>decisions are substantively and procedurally correct.</w:t>
            </w:r>
          </w:p>
        </w:tc>
      </w:tr>
      <w:tr w:rsidR="00A15410" w:rsidRPr="00675023" w:rsidTr="00751D99">
        <w:trPr>
          <w:trHeight w:val="700"/>
        </w:trPr>
        <w:tc>
          <w:tcPr>
            <w:tcW w:w="3681" w:type="dxa"/>
          </w:tcPr>
          <w:p w:rsidR="00A15410" w:rsidRPr="007E21C4" w:rsidRDefault="00A15410" w:rsidP="00751D99">
            <w:pPr>
              <w:pStyle w:val="Default"/>
              <w:spacing w:line="360" w:lineRule="auto"/>
              <w:rPr>
                <w:rFonts w:ascii="Times New Roman" w:hAnsi="Times New Roman" w:cs="Times New Roman"/>
                <w:color w:val="auto"/>
                <w:sz w:val="22"/>
              </w:rPr>
            </w:pPr>
            <w:r w:rsidRPr="007E21C4">
              <w:rPr>
                <w:rFonts w:ascii="Times New Roman" w:hAnsi="Times New Roman" w:cs="Times New Roman"/>
                <w:color w:val="auto"/>
                <w:sz w:val="22"/>
              </w:rPr>
              <w:t>To contribute to an efficient and effective C</w:t>
            </w:r>
            <w:r w:rsidR="00751D99">
              <w:rPr>
                <w:rFonts w:ascii="Times New Roman" w:hAnsi="Times New Roman" w:cs="Times New Roman"/>
                <w:color w:val="auto"/>
                <w:sz w:val="22"/>
              </w:rPr>
              <w:t>onsumer Regulatory environment</w:t>
            </w:r>
          </w:p>
        </w:tc>
        <w:tc>
          <w:tcPr>
            <w:tcW w:w="5812" w:type="dxa"/>
            <w:vAlign w:val="center"/>
          </w:tcPr>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ensure cooperation and partnership amongst external stakeholders ongoing engagement</w:t>
            </w:r>
            <w:r w:rsidR="00B63F21">
              <w:rPr>
                <w:rFonts w:ascii="Times New Roman" w:hAnsi="Times New Roman" w:cs="Times New Roman"/>
                <w:color w:val="auto"/>
                <w:sz w:val="22"/>
              </w:rPr>
              <w:t>.</w:t>
            </w:r>
          </w:p>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 xml:space="preserve">To build Tribunal capacity through research papers or approved briefing papers on consumer protection and credit related matters, added to the NCT knowledge database. </w:t>
            </w:r>
          </w:p>
        </w:tc>
      </w:tr>
      <w:tr w:rsidR="00A15410" w:rsidRPr="00675023" w:rsidTr="007E21C4">
        <w:trPr>
          <w:trHeight w:val="1052"/>
        </w:trPr>
        <w:tc>
          <w:tcPr>
            <w:tcW w:w="3681" w:type="dxa"/>
          </w:tcPr>
          <w:p w:rsidR="00A15410" w:rsidRPr="007E21C4" w:rsidRDefault="00A15410">
            <w:pPr>
              <w:pStyle w:val="Default"/>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ensure effective and efficient Organisational Management</w:t>
            </w:r>
          </w:p>
        </w:tc>
        <w:tc>
          <w:tcPr>
            <w:tcW w:w="5812" w:type="dxa"/>
            <w:vAlign w:val="center"/>
          </w:tcPr>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effectively and efficiently manage the financial resources of the NCT</w:t>
            </w:r>
            <w:r w:rsidR="002B5EE3">
              <w:rPr>
                <w:rFonts w:ascii="Times New Roman" w:hAnsi="Times New Roman" w:cs="Times New Roman"/>
                <w:color w:val="auto"/>
                <w:sz w:val="22"/>
              </w:rPr>
              <w:t>.</w:t>
            </w:r>
          </w:p>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enhance operational efficiency by implementing an enabling ICT architecture</w:t>
            </w:r>
            <w:r w:rsidR="002B5EE3">
              <w:rPr>
                <w:rFonts w:ascii="Times New Roman" w:hAnsi="Times New Roman" w:cs="Times New Roman"/>
                <w:color w:val="auto"/>
                <w:sz w:val="22"/>
              </w:rPr>
              <w:t>.</w:t>
            </w:r>
          </w:p>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ensure that the Tribunal has adequate human resources to deliver in accordance with its mandate</w:t>
            </w:r>
            <w:r w:rsidR="002B5EE3">
              <w:rPr>
                <w:rFonts w:ascii="Times New Roman" w:hAnsi="Times New Roman" w:cs="Times New Roman"/>
                <w:color w:val="auto"/>
                <w:sz w:val="22"/>
              </w:rPr>
              <w:t>.</w:t>
            </w:r>
          </w:p>
          <w:p w:rsidR="00A15410" w:rsidRPr="007E21C4" w:rsidRDefault="00A15410" w:rsidP="00592363">
            <w:pPr>
              <w:pStyle w:val="Default"/>
              <w:numPr>
                <w:ilvl w:val="0"/>
                <w:numId w:val="12"/>
              </w:numPr>
              <w:spacing w:line="360" w:lineRule="auto"/>
              <w:rPr>
                <w:rFonts w:ascii="Times New Roman" w:hAnsi="Times New Roman" w:cs="Times New Roman"/>
                <w:color w:val="auto"/>
                <w:sz w:val="22"/>
              </w:rPr>
            </w:pPr>
            <w:r w:rsidRPr="007E21C4">
              <w:rPr>
                <w:rFonts w:ascii="Times New Roman" w:hAnsi="Times New Roman" w:cs="Times New Roman"/>
                <w:color w:val="auto"/>
                <w:sz w:val="22"/>
              </w:rPr>
              <w:t>To expand economic opportunities for historically excluded and vulnerable groups</w:t>
            </w:r>
            <w:r w:rsidR="002B5EE3">
              <w:rPr>
                <w:rFonts w:ascii="Times New Roman" w:hAnsi="Times New Roman" w:cs="Times New Roman"/>
                <w:color w:val="auto"/>
                <w:sz w:val="22"/>
              </w:rPr>
              <w:t>.</w:t>
            </w:r>
          </w:p>
        </w:tc>
      </w:tr>
    </w:tbl>
    <w:p w:rsidR="00A15410" w:rsidRPr="00C87219" w:rsidRDefault="00A15410" w:rsidP="00592363">
      <w:pPr>
        <w:pStyle w:val="Default"/>
        <w:spacing w:line="360" w:lineRule="auto"/>
        <w:jc w:val="both"/>
        <w:rPr>
          <w:rFonts w:ascii="Times New Roman" w:hAnsi="Times New Roman" w:cs="Times New Roman"/>
          <w:bCs/>
          <w:color w:val="auto"/>
          <w:sz w:val="20"/>
          <w:szCs w:val="20"/>
        </w:rPr>
      </w:pPr>
      <w:r w:rsidRPr="00C87219">
        <w:rPr>
          <w:rFonts w:ascii="Times New Roman" w:hAnsi="Times New Roman" w:cs="Times New Roman"/>
          <w:bCs/>
          <w:color w:val="auto"/>
          <w:sz w:val="20"/>
          <w:szCs w:val="20"/>
        </w:rPr>
        <w:t>Source: National Consumer Tribunal (2016a)</w:t>
      </w:r>
    </w:p>
    <w:p w:rsidR="00C87219" w:rsidRPr="00675023" w:rsidRDefault="00C87219" w:rsidP="00592363">
      <w:pPr>
        <w:pStyle w:val="Default"/>
        <w:spacing w:line="360" w:lineRule="auto"/>
        <w:jc w:val="both"/>
        <w:rPr>
          <w:rFonts w:ascii="Times New Roman" w:hAnsi="Times New Roman" w:cs="Times New Roman"/>
          <w:b/>
          <w:bCs/>
          <w:color w:val="auto"/>
        </w:rPr>
      </w:pPr>
    </w:p>
    <w:p w:rsidR="00A15410" w:rsidRPr="00675023" w:rsidRDefault="00A15410"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 xml:space="preserve">Annual Performance Plan </w:t>
      </w:r>
    </w:p>
    <w:p w:rsidR="00A15410" w:rsidRPr="00675023" w:rsidRDefault="00A15410" w:rsidP="00592363">
      <w:pPr>
        <w:pStyle w:val="Default"/>
        <w:spacing w:line="360" w:lineRule="auto"/>
        <w:jc w:val="both"/>
        <w:rPr>
          <w:rFonts w:ascii="Times New Roman" w:hAnsi="Times New Roman" w:cs="Times New Roman"/>
          <w:b/>
          <w:bCs/>
          <w:color w:val="auto"/>
        </w:rPr>
      </w:pPr>
    </w:p>
    <w:p w:rsidR="00F73BD0" w:rsidRDefault="00A15410"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The </w:t>
      </w:r>
      <w:r w:rsidR="002B5EE3">
        <w:rPr>
          <w:rFonts w:ascii="Times New Roman" w:hAnsi="Times New Roman" w:cs="Times New Roman"/>
          <w:sz w:val="24"/>
          <w:szCs w:val="24"/>
        </w:rPr>
        <w:t xml:space="preserve">NCT </w:t>
      </w:r>
      <w:r w:rsidRPr="00675023">
        <w:rPr>
          <w:rFonts w:ascii="Times New Roman" w:hAnsi="Times New Roman" w:cs="Times New Roman"/>
          <w:sz w:val="24"/>
          <w:szCs w:val="24"/>
        </w:rPr>
        <w:t xml:space="preserve">has two programmes through which it undertakes its work, namely, the administration programme and the adjudication programme. Below are performance indicators as per </w:t>
      </w:r>
      <w:r w:rsidR="002B5EE3">
        <w:rPr>
          <w:rFonts w:ascii="Times New Roman" w:hAnsi="Times New Roman" w:cs="Times New Roman"/>
          <w:sz w:val="24"/>
          <w:szCs w:val="24"/>
        </w:rPr>
        <w:t>its</w:t>
      </w:r>
      <w:r w:rsidR="002B5EE3" w:rsidRPr="00675023">
        <w:rPr>
          <w:rFonts w:ascii="Times New Roman" w:hAnsi="Times New Roman" w:cs="Times New Roman"/>
          <w:sz w:val="24"/>
          <w:szCs w:val="24"/>
        </w:rPr>
        <w:t xml:space="preserve"> </w:t>
      </w:r>
      <w:r w:rsidRPr="00675023">
        <w:rPr>
          <w:rFonts w:ascii="Times New Roman" w:hAnsi="Times New Roman" w:cs="Times New Roman"/>
          <w:sz w:val="24"/>
          <w:szCs w:val="24"/>
        </w:rPr>
        <w:t>Strategic goals for the 2016/17 financial year.</w:t>
      </w:r>
      <w:r w:rsidR="00D87AFA">
        <w:rPr>
          <w:rFonts w:ascii="Times New Roman" w:hAnsi="Times New Roman" w:cs="Times New Roman"/>
          <w:sz w:val="24"/>
          <w:szCs w:val="24"/>
        </w:rPr>
        <w:t xml:space="preserve"> </w:t>
      </w:r>
    </w:p>
    <w:p w:rsidR="00D87AFA" w:rsidRDefault="00D87AFA" w:rsidP="00B07318">
      <w:pPr>
        <w:spacing w:after="0" w:line="360" w:lineRule="auto"/>
        <w:jc w:val="both"/>
        <w:rPr>
          <w:rFonts w:ascii="Times New Roman" w:hAnsi="Times New Roman" w:cs="Times New Roman"/>
          <w:sz w:val="24"/>
          <w:szCs w:val="24"/>
        </w:rPr>
      </w:pPr>
    </w:p>
    <w:p w:rsidR="002C4966" w:rsidRPr="00501558" w:rsidRDefault="002C4966" w:rsidP="00501558">
      <w:pPr>
        <w:pStyle w:val="ListParagraph"/>
        <w:numPr>
          <w:ilvl w:val="3"/>
          <w:numId w:val="2"/>
        </w:numPr>
        <w:spacing w:after="0" w:line="360" w:lineRule="auto"/>
        <w:ind w:left="993" w:hanging="993"/>
        <w:jc w:val="both"/>
        <w:rPr>
          <w:rFonts w:ascii="Times New Roman" w:hAnsi="Times New Roman" w:cs="Times New Roman"/>
          <w:b/>
          <w:sz w:val="24"/>
          <w:szCs w:val="24"/>
        </w:rPr>
      </w:pPr>
      <w:r w:rsidRPr="00501558">
        <w:rPr>
          <w:rFonts w:ascii="Times New Roman" w:hAnsi="Times New Roman" w:cs="Times New Roman"/>
          <w:b/>
          <w:sz w:val="24"/>
          <w:szCs w:val="24"/>
        </w:rPr>
        <w:t>Programme 1: Adjudication</w:t>
      </w:r>
    </w:p>
    <w:p w:rsidR="002C4966" w:rsidRPr="00501558" w:rsidRDefault="002C4966" w:rsidP="00501558">
      <w:pPr>
        <w:spacing w:after="0" w:line="360" w:lineRule="auto"/>
        <w:jc w:val="both"/>
        <w:rPr>
          <w:rFonts w:ascii="Times New Roman" w:hAnsi="Times New Roman" w:cs="Times New Roman"/>
          <w:b/>
          <w:sz w:val="24"/>
          <w:szCs w:val="24"/>
        </w:rPr>
      </w:pPr>
    </w:p>
    <w:p w:rsidR="002C4966" w:rsidRPr="00501558" w:rsidRDefault="002C4966" w:rsidP="00501558">
      <w:pPr>
        <w:spacing w:after="0" w:line="360" w:lineRule="auto"/>
        <w:jc w:val="both"/>
        <w:rPr>
          <w:rFonts w:ascii="Times New Roman" w:eastAsia="Times New Roman" w:hAnsi="Times New Roman" w:cs="Times New Roman"/>
          <w:sz w:val="28"/>
          <w:szCs w:val="24"/>
          <w:lang w:eastAsia="en-ZA"/>
        </w:rPr>
      </w:pPr>
      <w:r w:rsidRPr="00501558">
        <w:rPr>
          <w:rFonts w:ascii="Times New Roman" w:eastAsia="Times New Roman" w:hAnsi="Times New Roman" w:cs="Times New Roman"/>
          <w:sz w:val="24"/>
          <w:lang w:val="en-GB" w:eastAsia="en-ZA"/>
        </w:rPr>
        <w:t>This programme deals with adjudication and making orders in relation to applications made in terms of the Companies Act</w:t>
      </w:r>
      <w:r>
        <w:rPr>
          <w:rFonts w:ascii="Times New Roman" w:eastAsia="Times New Roman" w:hAnsi="Times New Roman" w:cs="Times New Roman"/>
          <w:sz w:val="24"/>
          <w:lang w:val="en-GB" w:eastAsia="en-ZA"/>
        </w:rPr>
        <w:t>,</w:t>
      </w:r>
      <w:r w:rsidRPr="00501558">
        <w:rPr>
          <w:rFonts w:ascii="Times New Roman" w:eastAsia="Times New Roman" w:hAnsi="Times New Roman" w:cs="Times New Roman"/>
          <w:sz w:val="24"/>
          <w:lang w:val="en-GB" w:eastAsia="en-ZA"/>
        </w:rPr>
        <w:t xml:space="preserve"> as well as resolving disputes in terms of the Alternative Dispute Resolution. Adjudication and the resolving of disputes based on the pa</w:t>
      </w:r>
      <w:r w:rsidRPr="00B07318">
        <w:rPr>
          <w:rFonts w:ascii="Times New Roman" w:eastAsia="Times New Roman" w:hAnsi="Times New Roman" w:cs="Times New Roman"/>
          <w:sz w:val="24"/>
          <w:lang w:val="en-GB" w:eastAsia="en-ZA"/>
        </w:rPr>
        <w:t>pers fi</w:t>
      </w:r>
      <w:r w:rsidRPr="00501558">
        <w:rPr>
          <w:rFonts w:ascii="Times New Roman" w:eastAsia="Times New Roman" w:hAnsi="Times New Roman" w:cs="Times New Roman"/>
          <w:sz w:val="24"/>
          <w:lang w:val="en-GB" w:eastAsia="en-ZA"/>
        </w:rPr>
        <w:t>led by the Tribunal is a task of the members of the Tribunal. Hearings may be held, depending on the nature of the case being adjudicated on.</w:t>
      </w:r>
    </w:p>
    <w:p w:rsidR="00D87AFA" w:rsidRDefault="00D87AFA" w:rsidP="00B07318">
      <w:pPr>
        <w:spacing w:after="0" w:line="360" w:lineRule="auto"/>
        <w:jc w:val="both"/>
        <w:rPr>
          <w:rFonts w:ascii="Times New Roman" w:hAnsi="Times New Roman" w:cs="Times New Roman"/>
          <w:sz w:val="24"/>
          <w:szCs w:val="24"/>
        </w:rPr>
      </w:pPr>
    </w:p>
    <w:p w:rsidR="00A15410" w:rsidRPr="00675023" w:rsidRDefault="00A15410" w:rsidP="00501558">
      <w:pPr>
        <w:rPr>
          <w:rFonts w:ascii="Times New Roman" w:hAnsi="Times New Roman" w:cs="Times New Roman"/>
          <w:sz w:val="24"/>
          <w:szCs w:val="24"/>
        </w:rPr>
      </w:pPr>
      <w:r w:rsidRPr="00675023">
        <w:rPr>
          <w:rFonts w:ascii="Times New Roman" w:hAnsi="Times New Roman" w:cs="Times New Roman"/>
          <w:b/>
          <w:sz w:val="24"/>
          <w:szCs w:val="24"/>
        </w:rPr>
        <w:t xml:space="preserve">Table </w:t>
      </w:r>
      <w:r w:rsidR="00DF2510">
        <w:rPr>
          <w:rFonts w:ascii="Times New Roman" w:hAnsi="Times New Roman" w:cs="Times New Roman"/>
          <w:b/>
          <w:sz w:val="24"/>
          <w:szCs w:val="24"/>
        </w:rPr>
        <w:t>9</w:t>
      </w:r>
      <w:r w:rsidRPr="00675023">
        <w:rPr>
          <w:rFonts w:ascii="Times New Roman" w:hAnsi="Times New Roman" w:cs="Times New Roman"/>
          <w:b/>
          <w:sz w:val="24"/>
          <w:szCs w:val="24"/>
        </w:rPr>
        <w:t xml:space="preserve">: Adjudication Programme Performance Plan </w:t>
      </w:r>
    </w:p>
    <w:tbl>
      <w:tblPr>
        <w:tblW w:w="9498" w:type="dxa"/>
        <w:tblInd w:w="-5" w:type="dxa"/>
        <w:tblLook w:val="0420" w:firstRow="1" w:lastRow="0" w:firstColumn="0" w:lastColumn="0" w:noHBand="0" w:noVBand="1"/>
      </w:tblPr>
      <w:tblGrid>
        <w:gridCol w:w="3163"/>
        <w:gridCol w:w="4634"/>
        <w:gridCol w:w="1701"/>
      </w:tblGrid>
      <w:tr w:rsidR="00A15410" w:rsidRPr="00675023" w:rsidTr="007E21C4">
        <w:trPr>
          <w:trHeight w:val="1032"/>
        </w:trPr>
        <w:tc>
          <w:tcPr>
            <w:tcW w:w="3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5410" w:rsidRPr="007E21C4" w:rsidRDefault="00A15410" w:rsidP="007E21C4">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Strategic Goal/Outcome</w:t>
            </w:r>
          </w:p>
        </w:tc>
        <w:tc>
          <w:tcPr>
            <w:tcW w:w="46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15410" w:rsidRPr="007E21C4" w:rsidRDefault="00A15410" w:rsidP="007E21C4">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Performance Indicator</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15410" w:rsidRPr="007E21C4" w:rsidRDefault="00A15410" w:rsidP="007E21C4">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Targets</w:t>
            </w:r>
          </w:p>
          <w:p w:rsidR="00A15410" w:rsidRPr="007E21C4" w:rsidRDefault="00A15410" w:rsidP="007E21C4">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2016/2017</w:t>
            </w:r>
          </w:p>
        </w:tc>
      </w:tr>
      <w:tr w:rsidR="00A15410" w:rsidRPr="00675023" w:rsidTr="00501558">
        <w:trPr>
          <w:trHeight w:val="765"/>
        </w:trPr>
        <w:tc>
          <w:tcPr>
            <w:tcW w:w="3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15410" w:rsidRPr="007E21C4" w:rsidRDefault="00A15410" w:rsidP="00B149D1">
            <w:pPr>
              <w:spacing w:after="0" w:line="360" w:lineRule="auto"/>
              <w:rPr>
                <w:rFonts w:ascii="Times New Roman" w:hAnsi="Times New Roman" w:cs="Times New Roman"/>
                <w:szCs w:val="24"/>
                <w:lang w:eastAsia="en-ZA"/>
              </w:rPr>
            </w:pPr>
            <w:r w:rsidRPr="007E21C4">
              <w:rPr>
                <w:rFonts w:ascii="Times New Roman" w:hAnsi="Times New Roman" w:cs="Times New Roman"/>
                <w:szCs w:val="24"/>
                <w:lang w:eastAsia="en-ZA"/>
              </w:rPr>
              <w:t>To effectively and efficiently manage and adjudicate on matters brought to the NCT</w:t>
            </w:r>
          </w:p>
        </w:tc>
        <w:tc>
          <w:tcPr>
            <w:tcW w:w="4634" w:type="dxa"/>
            <w:tcBorders>
              <w:top w:val="single" w:sz="4" w:space="0" w:color="auto"/>
              <w:left w:val="nil"/>
              <w:bottom w:val="single" w:sz="4" w:space="0" w:color="auto"/>
              <w:right w:val="single" w:sz="4" w:space="0" w:color="auto"/>
            </w:tcBorders>
            <w:shd w:val="clear" w:color="auto" w:fill="auto"/>
            <w:vAlign w:val="center"/>
            <w:hideMark/>
          </w:tcPr>
          <w:p w:rsidR="00A15410" w:rsidRPr="007E21C4" w:rsidRDefault="00A15410" w:rsidP="00592363">
            <w:pPr>
              <w:spacing w:after="0" w:line="360" w:lineRule="auto"/>
              <w:rPr>
                <w:rFonts w:ascii="Times New Roman" w:hAnsi="Times New Roman" w:cs="Times New Roman"/>
                <w:szCs w:val="24"/>
                <w:lang w:eastAsia="en-ZA"/>
              </w:rPr>
            </w:pPr>
            <w:r w:rsidRPr="007E21C4">
              <w:rPr>
                <w:rFonts w:ascii="Times New Roman" w:hAnsi="Times New Roman" w:cs="Times New Roman"/>
                <w:szCs w:val="24"/>
                <w:lang w:eastAsia="en-ZA"/>
              </w:rPr>
              <w:t>Average number of days from date of complete filing of DRA to date of issuing order to filing parties</w:t>
            </w:r>
          </w:p>
        </w:tc>
        <w:tc>
          <w:tcPr>
            <w:tcW w:w="1701" w:type="dxa"/>
            <w:tcBorders>
              <w:top w:val="single" w:sz="4" w:space="0" w:color="auto"/>
              <w:left w:val="nil"/>
              <w:bottom w:val="single" w:sz="4" w:space="0" w:color="auto"/>
              <w:right w:val="single" w:sz="4" w:space="0" w:color="auto"/>
            </w:tcBorders>
            <w:shd w:val="clear" w:color="auto" w:fill="auto"/>
            <w:hideMark/>
          </w:tcPr>
          <w:p w:rsidR="00A15410" w:rsidRPr="007E21C4" w:rsidRDefault="00A15410" w:rsidP="00501558">
            <w:pPr>
              <w:spacing w:after="0" w:line="360" w:lineRule="auto"/>
              <w:jc w:val="center"/>
              <w:rPr>
                <w:rFonts w:ascii="Times New Roman" w:hAnsi="Times New Roman" w:cs="Times New Roman"/>
                <w:szCs w:val="24"/>
                <w:lang w:eastAsia="en-ZA"/>
              </w:rPr>
            </w:pPr>
            <w:r w:rsidRPr="007E21C4">
              <w:rPr>
                <w:rFonts w:ascii="Times New Roman" w:hAnsi="Times New Roman" w:cs="Times New Roman"/>
                <w:szCs w:val="24"/>
                <w:lang w:eastAsia="en-ZA"/>
              </w:rPr>
              <w:t>75 days</w:t>
            </w:r>
          </w:p>
        </w:tc>
      </w:tr>
      <w:tr w:rsidR="00A15410" w:rsidRPr="00675023" w:rsidTr="00501558">
        <w:trPr>
          <w:trHeight w:val="1020"/>
        </w:trPr>
        <w:tc>
          <w:tcPr>
            <w:tcW w:w="3163" w:type="dxa"/>
            <w:vMerge/>
            <w:tcBorders>
              <w:top w:val="single" w:sz="4" w:space="0" w:color="auto"/>
              <w:left w:val="single" w:sz="4" w:space="0" w:color="auto"/>
              <w:bottom w:val="single" w:sz="4" w:space="0" w:color="auto"/>
              <w:right w:val="single" w:sz="4" w:space="0" w:color="auto"/>
            </w:tcBorders>
            <w:vAlign w:val="center"/>
            <w:hideMark/>
          </w:tcPr>
          <w:p w:rsidR="00A15410" w:rsidRPr="007E21C4" w:rsidRDefault="00A15410" w:rsidP="00592363">
            <w:pPr>
              <w:spacing w:after="0" w:line="360" w:lineRule="auto"/>
              <w:rPr>
                <w:rFonts w:ascii="Times New Roman" w:hAnsi="Times New Roman" w:cs="Times New Roman"/>
                <w:szCs w:val="24"/>
                <w:lang w:eastAsia="en-ZA"/>
              </w:rPr>
            </w:pPr>
          </w:p>
        </w:tc>
        <w:tc>
          <w:tcPr>
            <w:tcW w:w="4634" w:type="dxa"/>
            <w:tcBorders>
              <w:top w:val="single" w:sz="4" w:space="0" w:color="auto"/>
              <w:left w:val="nil"/>
              <w:bottom w:val="single" w:sz="4" w:space="0" w:color="auto"/>
              <w:right w:val="single" w:sz="4" w:space="0" w:color="auto"/>
            </w:tcBorders>
            <w:shd w:val="clear" w:color="auto" w:fill="auto"/>
            <w:vAlign w:val="center"/>
            <w:hideMark/>
          </w:tcPr>
          <w:p w:rsidR="00A15410" w:rsidRPr="007E21C4" w:rsidRDefault="00A15410" w:rsidP="00592363">
            <w:pPr>
              <w:spacing w:after="0" w:line="360" w:lineRule="auto"/>
              <w:rPr>
                <w:rFonts w:ascii="Times New Roman" w:hAnsi="Times New Roman" w:cs="Times New Roman"/>
                <w:szCs w:val="24"/>
                <w:lang w:eastAsia="en-ZA"/>
              </w:rPr>
            </w:pPr>
            <w:r w:rsidRPr="007E21C4">
              <w:rPr>
                <w:rFonts w:ascii="Times New Roman" w:hAnsi="Times New Roman" w:cs="Times New Roman"/>
                <w:szCs w:val="24"/>
                <w:lang w:eastAsia="en-ZA"/>
              </w:rPr>
              <w:t>Average number of days from date of close of pleadings of non-DRA to date of issuing judgment to filing parties.</w:t>
            </w:r>
          </w:p>
        </w:tc>
        <w:tc>
          <w:tcPr>
            <w:tcW w:w="1701" w:type="dxa"/>
            <w:tcBorders>
              <w:top w:val="single" w:sz="4" w:space="0" w:color="auto"/>
              <w:left w:val="nil"/>
              <w:bottom w:val="single" w:sz="4" w:space="0" w:color="auto"/>
              <w:right w:val="single" w:sz="4" w:space="0" w:color="auto"/>
            </w:tcBorders>
            <w:shd w:val="clear" w:color="auto" w:fill="auto"/>
            <w:hideMark/>
          </w:tcPr>
          <w:p w:rsidR="00A15410" w:rsidRPr="007E21C4" w:rsidRDefault="00A15410" w:rsidP="00501558">
            <w:pPr>
              <w:spacing w:after="0" w:line="360" w:lineRule="auto"/>
              <w:jc w:val="center"/>
              <w:rPr>
                <w:rFonts w:ascii="Times New Roman" w:hAnsi="Times New Roman" w:cs="Times New Roman"/>
                <w:szCs w:val="24"/>
                <w:lang w:eastAsia="en-ZA"/>
              </w:rPr>
            </w:pPr>
            <w:r w:rsidRPr="007E21C4">
              <w:rPr>
                <w:rFonts w:ascii="Times New Roman" w:hAnsi="Times New Roman" w:cs="Times New Roman"/>
                <w:szCs w:val="24"/>
                <w:lang w:eastAsia="en-ZA"/>
              </w:rPr>
              <w:t>70 days</w:t>
            </w:r>
          </w:p>
        </w:tc>
      </w:tr>
      <w:tr w:rsidR="00A15410" w:rsidRPr="00675023" w:rsidTr="00501558">
        <w:trPr>
          <w:trHeight w:val="765"/>
        </w:trPr>
        <w:tc>
          <w:tcPr>
            <w:tcW w:w="3163" w:type="dxa"/>
            <w:tcBorders>
              <w:top w:val="nil"/>
              <w:left w:val="single" w:sz="4" w:space="0" w:color="auto"/>
              <w:bottom w:val="single" w:sz="4" w:space="0" w:color="auto"/>
              <w:right w:val="single" w:sz="4" w:space="0" w:color="auto"/>
            </w:tcBorders>
            <w:shd w:val="clear" w:color="auto" w:fill="auto"/>
            <w:vAlign w:val="center"/>
            <w:hideMark/>
          </w:tcPr>
          <w:p w:rsidR="00A15410" w:rsidRPr="007E21C4" w:rsidRDefault="00A15410" w:rsidP="00592363">
            <w:pPr>
              <w:spacing w:after="0" w:line="360" w:lineRule="auto"/>
              <w:rPr>
                <w:rFonts w:ascii="Times New Roman" w:hAnsi="Times New Roman" w:cs="Times New Roman"/>
                <w:szCs w:val="24"/>
                <w:lang w:eastAsia="en-ZA"/>
              </w:rPr>
            </w:pPr>
            <w:r w:rsidRPr="007E21C4">
              <w:rPr>
                <w:rFonts w:ascii="Times New Roman" w:hAnsi="Times New Roman" w:cs="Times New Roman"/>
                <w:szCs w:val="24"/>
                <w:lang w:eastAsia="en-ZA"/>
              </w:rPr>
              <w:t>To effectively and efficiently manage and adjudicate on matters brought to the NCT</w:t>
            </w:r>
          </w:p>
        </w:tc>
        <w:tc>
          <w:tcPr>
            <w:tcW w:w="4634" w:type="dxa"/>
            <w:tcBorders>
              <w:top w:val="nil"/>
              <w:left w:val="nil"/>
              <w:bottom w:val="single" w:sz="4" w:space="0" w:color="auto"/>
              <w:right w:val="single" w:sz="4" w:space="0" w:color="auto"/>
            </w:tcBorders>
            <w:shd w:val="clear" w:color="auto" w:fill="auto"/>
            <w:hideMark/>
          </w:tcPr>
          <w:p w:rsidR="00A15410" w:rsidRPr="007E21C4" w:rsidRDefault="00A15410" w:rsidP="00B07318">
            <w:pPr>
              <w:spacing w:after="0" w:line="360" w:lineRule="auto"/>
              <w:rPr>
                <w:rFonts w:ascii="Times New Roman" w:hAnsi="Times New Roman" w:cs="Times New Roman"/>
                <w:szCs w:val="24"/>
                <w:lang w:eastAsia="en-ZA"/>
              </w:rPr>
            </w:pPr>
            <w:r w:rsidRPr="007E21C4">
              <w:rPr>
                <w:rFonts w:ascii="Times New Roman" w:hAnsi="Times New Roman" w:cs="Times New Roman"/>
                <w:szCs w:val="24"/>
                <w:lang w:eastAsia="en-ZA"/>
              </w:rPr>
              <w:t>% Decisions overturned on appeal or review</w:t>
            </w:r>
          </w:p>
        </w:tc>
        <w:tc>
          <w:tcPr>
            <w:tcW w:w="1701" w:type="dxa"/>
            <w:tcBorders>
              <w:top w:val="nil"/>
              <w:left w:val="nil"/>
              <w:bottom w:val="single" w:sz="4" w:space="0" w:color="auto"/>
              <w:right w:val="single" w:sz="4" w:space="0" w:color="auto"/>
            </w:tcBorders>
            <w:shd w:val="clear" w:color="auto" w:fill="auto"/>
            <w:noWrap/>
            <w:hideMark/>
          </w:tcPr>
          <w:p w:rsidR="00A15410" w:rsidRPr="007E21C4" w:rsidRDefault="00A15410" w:rsidP="00501558">
            <w:pPr>
              <w:spacing w:after="0" w:line="360" w:lineRule="auto"/>
              <w:jc w:val="center"/>
              <w:rPr>
                <w:rFonts w:ascii="Times New Roman" w:hAnsi="Times New Roman" w:cs="Times New Roman"/>
                <w:szCs w:val="24"/>
                <w:lang w:eastAsia="en-ZA"/>
              </w:rPr>
            </w:pPr>
            <w:r w:rsidRPr="007E21C4">
              <w:rPr>
                <w:rFonts w:ascii="Times New Roman" w:hAnsi="Times New Roman" w:cs="Times New Roman"/>
                <w:szCs w:val="24"/>
                <w:lang w:eastAsia="en-ZA"/>
              </w:rPr>
              <w:t>&lt;5%</w:t>
            </w:r>
          </w:p>
        </w:tc>
      </w:tr>
    </w:tbl>
    <w:p w:rsidR="00A15410" w:rsidRPr="00C87219" w:rsidRDefault="00A15410" w:rsidP="00592363">
      <w:pPr>
        <w:pStyle w:val="Default"/>
        <w:spacing w:line="360" w:lineRule="auto"/>
        <w:jc w:val="both"/>
        <w:rPr>
          <w:rFonts w:ascii="Times New Roman" w:hAnsi="Times New Roman" w:cs="Times New Roman"/>
          <w:bCs/>
          <w:color w:val="auto"/>
          <w:sz w:val="20"/>
          <w:szCs w:val="20"/>
        </w:rPr>
      </w:pPr>
      <w:r w:rsidRPr="00C87219">
        <w:rPr>
          <w:rFonts w:ascii="Times New Roman" w:hAnsi="Times New Roman" w:cs="Times New Roman"/>
          <w:bCs/>
          <w:color w:val="auto"/>
          <w:sz w:val="20"/>
          <w:szCs w:val="20"/>
        </w:rPr>
        <w:t>Source: National Consumer Tribunal (2016b)</w:t>
      </w:r>
    </w:p>
    <w:p w:rsidR="00A15410" w:rsidRPr="00675023" w:rsidRDefault="00A15410" w:rsidP="00592363">
      <w:pPr>
        <w:spacing w:after="0" w:line="360" w:lineRule="auto"/>
        <w:jc w:val="both"/>
        <w:rPr>
          <w:rFonts w:ascii="Times New Roman" w:hAnsi="Times New Roman" w:cs="Times New Roman"/>
          <w:sz w:val="24"/>
          <w:szCs w:val="24"/>
        </w:rPr>
      </w:pPr>
    </w:p>
    <w:p w:rsidR="002C4966" w:rsidRDefault="002C4966" w:rsidP="00501558">
      <w:pPr>
        <w:pStyle w:val="ListParagraph"/>
        <w:numPr>
          <w:ilvl w:val="3"/>
          <w:numId w:val="2"/>
        </w:numPr>
        <w:spacing w:after="0" w:line="360" w:lineRule="auto"/>
        <w:ind w:left="993" w:hanging="993"/>
        <w:jc w:val="both"/>
        <w:rPr>
          <w:rFonts w:ascii="Times New Roman" w:hAnsi="Times New Roman" w:cs="Times New Roman"/>
          <w:b/>
          <w:sz w:val="24"/>
          <w:szCs w:val="24"/>
        </w:rPr>
      </w:pPr>
      <w:r>
        <w:rPr>
          <w:rFonts w:ascii="Times New Roman" w:hAnsi="Times New Roman" w:cs="Times New Roman"/>
          <w:b/>
          <w:sz w:val="24"/>
          <w:szCs w:val="24"/>
        </w:rPr>
        <w:t xml:space="preserve">Programme 2: </w:t>
      </w:r>
      <w:r w:rsidR="00A15410" w:rsidRPr="00675023">
        <w:rPr>
          <w:rFonts w:ascii="Times New Roman" w:hAnsi="Times New Roman" w:cs="Times New Roman"/>
          <w:b/>
          <w:sz w:val="24"/>
          <w:szCs w:val="24"/>
        </w:rPr>
        <w:t>Administration</w:t>
      </w:r>
    </w:p>
    <w:p w:rsidR="002C4966" w:rsidRDefault="002C4966" w:rsidP="00592363">
      <w:pPr>
        <w:spacing w:after="0" w:line="360" w:lineRule="auto"/>
        <w:jc w:val="both"/>
        <w:rPr>
          <w:rFonts w:ascii="Times New Roman" w:hAnsi="Times New Roman" w:cs="Times New Roman"/>
          <w:b/>
          <w:sz w:val="24"/>
          <w:szCs w:val="24"/>
        </w:rPr>
      </w:pPr>
    </w:p>
    <w:p w:rsidR="00A15410" w:rsidRPr="00675023" w:rsidRDefault="002B5EE3"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This </w:t>
      </w:r>
      <w:r w:rsidR="00A15410" w:rsidRPr="00675023">
        <w:rPr>
          <w:rFonts w:ascii="Times New Roman" w:hAnsi="Times New Roman" w:cs="Times New Roman"/>
          <w:sz w:val="24"/>
          <w:szCs w:val="24"/>
        </w:rPr>
        <w:t>programme deals with ensuring that the operational efficiency, effectiveness and effective stakeholder engagement.</w:t>
      </w:r>
      <w:r w:rsidR="00A15410" w:rsidRPr="00675023">
        <w:rPr>
          <w:rFonts w:ascii="Times New Roman" w:hAnsi="Times New Roman" w:cs="Times New Roman"/>
          <w:b/>
          <w:sz w:val="24"/>
          <w:szCs w:val="24"/>
        </w:rPr>
        <w:t xml:space="preserve"> </w:t>
      </w:r>
      <w:r w:rsidR="00A15410" w:rsidRPr="00675023">
        <w:rPr>
          <w:rFonts w:ascii="Times New Roman" w:hAnsi="Times New Roman" w:cs="Times New Roman"/>
          <w:sz w:val="24"/>
          <w:szCs w:val="24"/>
        </w:rPr>
        <w:t xml:space="preserve">In this regard, the presence </w:t>
      </w:r>
      <w:r>
        <w:rPr>
          <w:rFonts w:ascii="Times New Roman" w:hAnsi="Times New Roman" w:cs="Times New Roman"/>
          <w:sz w:val="24"/>
          <w:szCs w:val="24"/>
        </w:rPr>
        <w:t xml:space="preserve">of </w:t>
      </w:r>
      <w:r w:rsidR="00A15410" w:rsidRPr="00675023">
        <w:rPr>
          <w:rFonts w:ascii="Times New Roman" w:hAnsi="Times New Roman" w:cs="Times New Roman"/>
          <w:sz w:val="24"/>
          <w:szCs w:val="24"/>
        </w:rPr>
        <w:t>effective</w:t>
      </w:r>
      <w:r w:rsidR="00A15410" w:rsidRPr="00675023">
        <w:rPr>
          <w:rFonts w:ascii="Times New Roman" w:hAnsi="Times New Roman" w:cs="Times New Roman"/>
          <w:b/>
          <w:sz w:val="24"/>
          <w:szCs w:val="24"/>
        </w:rPr>
        <w:t xml:space="preserve"> </w:t>
      </w:r>
      <w:r w:rsidR="00A15410" w:rsidRPr="00675023">
        <w:rPr>
          <w:rFonts w:ascii="Times New Roman" w:hAnsi="Times New Roman" w:cs="Times New Roman"/>
          <w:sz w:val="24"/>
          <w:szCs w:val="24"/>
        </w:rPr>
        <w:t xml:space="preserve">Financial Management, Human Resource Management, Information Technology, Knowledge Management, </w:t>
      </w:r>
      <w:r>
        <w:rPr>
          <w:rFonts w:ascii="Times New Roman" w:hAnsi="Times New Roman" w:cs="Times New Roman"/>
          <w:sz w:val="24"/>
          <w:szCs w:val="24"/>
        </w:rPr>
        <w:t xml:space="preserve">and </w:t>
      </w:r>
      <w:r w:rsidR="00A15410" w:rsidRPr="00675023">
        <w:rPr>
          <w:rFonts w:ascii="Times New Roman" w:hAnsi="Times New Roman" w:cs="Times New Roman"/>
          <w:sz w:val="24"/>
          <w:szCs w:val="24"/>
        </w:rPr>
        <w:t>Stakeholder Management</w:t>
      </w:r>
      <w:r>
        <w:rPr>
          <w:rFonts w:ascii="Times New Roman" w:hAnsi="Times New Roman" w:cs="Times New Roman"/>
          <w:sz w:val="24"/>
          <w:szCs w:val="24"/>
        </w:rPr>
        <w:t>,</w:t>
      </w:r>
      <w:r w:rsidR="00A15410" w:rsidRPr="00675023">
        <w:rPr>
          <w:rFonts w:ascii="Times New Roman" w:hAnsi="Times New Roman" w:cs="Times New Roman"/>
          <w:sz w:val="24"/>
          <w:szCs w:val="24"/>
        </w:rPr>
        <w:t xml:space="preserve"> among other aspects</w:t>
      </w:r>
      <w:r>
        <w:rPr>
          <w:rFonts w:ascii="Times New Roman" w:hAnsi="Times New Roman" w:cs="Times New Roman"/>
          <w:sz w:val="24"/>
          <w:szCs w:val="24"/>
        </w:rPr>
        <w:t>,</w:t>
      </w:r>
      <w:r w:rsidR="00A15410" w:rsidRPr="00675023">
        <w:rPr>
          <w:rFonts w:ascii="Times New Roman" w:hAnsi="Times New Roman" w:cs="Times New Roman"/>
          <w:sz w:val="24"/>
          <w:szCs w:val="24"/>
        </w:rPr>
        <w:t xml:space="preserve"> contributes to the creation of effective and well</w:t>
      </w:r>
      <w:r>
        <w:rPr>
          <w:rFonts w:ascii="Times New Roman" w:hAnsi="Times New Roman" w:cs="Times New Roman"/>
          <w:sz w:val="24"/>
          <w:szCs w:val="24"/>
        </w:rPr>
        <w:t>-</w:t>
      </w:r>
      <w:r w:rsidR="00A15410" w:rsidRPr="00675023">
        <w:rPr>
          <w:rFonts w:ascii="Times New Roman" w:hAnsi="Times New Roman" w:cs="Times New Roman"/>
          <w:sz w:val="24"/>
          <w:szCs w:val="24"/>
        </w:rPr>
        <w:t>managed operations.</w:t>
      </w:r>
    </w:p>
    <w:p w:rsidR="006D0B86" w:rsidRPr="00675023" w:rsidRDefault="006D0B86" w:rsidP="00592363">
      <w:pPr>
        <w:pStyle w:val="Default"/>
        <w:spacing w:line="360" w:lineRule="auto"/>
        <w:jc w:val="both"/>
        <w:rPr>
          <w:rFonts w:ascii="Times New Roman" w:hAnsi="Times New Roman" w:cs="Times New Roman"/>
          <w:bCs/>
          <w:color w:val="auto"/>
        </w:rPr>
      </w:pPr>
    </w:p>
    <w:p w:rsidR="00A15410" w:rsidRPr="00675023" w:rsidRDefault="00A15410"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Medium Term Budget Analysis</w:t>
      </w:r>
      <w:r w:rsidRPr="007E21C4" w:rsidDel="0004053A">
        <w:rPr>
          <w:rFonts w:ascii="Times New Roman" w:hAnsi="Times New Roman" w:cs="Times New Roman"/>
          <w:b/>
          <w:sz w:val="24"/>
          <w:szCs w:val="24"/>
        </w:rPr>
        <w:t xml:space="preserve"> </w:t>
      </w:r>
    </w:p>
    <w:p w:rsidR="00A15410" w:rsidRPr="00675023" w:rsidRDefault="00A15410" w:rsidP="00592363">
      <w:pPr>
        <w:spacing w:after="0" w:line="360" w:lineRule="auto"/>
        <w:jc w:val="both"/>
        <w:rPr>
          <w:rFonts w:ascii="Times New Roman" w:hAnsi="Times New Roman" w:cs="Times New Roman"/>
          <w:sz w:val="24"/>
          <w:szCs w:val="24"/>
        </w:rPr>
      </w:pPr>
    </w:p>
    <w:p w:rsidR="00A15410" w:rsidRPr="00675023" w:rsidRDefault="00A15410" w:rsidP="000D1C6F">
      <w:pPr>
        <w:pStyle w:val="ListParagraph"/>
        <w:numPr>
          <w:ilvl w:val="3"/>
          <w:numId w:val="2"/>
        </w:numPr>
        <w:spacing w:after="0" w:line="360" w:lineRule="auto"/>
        <w:ind w:left="993" w:hanging="993"/>
        <w:jc w:val="both"/>
        <w:rPr>
          <w:rFonts w:ascii="Times New Roman" w:hAnsi="Times New Roman" w:cs="Times New Roman"/>
          <w:b/>
          <w:sz w:val="24"/>
          <w:szCs w:val="24"/>
        </w:rPr>
      </w:pPr>
      <w:r w:rsidRPr="00675023">
        <w:rPr>
          <w:rFonts w:ascii="Times New Roman" w:hAnsi="Times New Roman" w:cs="Times New Roman"/>
          <w:b/>
          <w:sz w:val="24"/>
          <w:szCs w:val="24"/>
        </w:rPr>
        <w:t>Income</w:t>
      </w:r>
    </w:p>
    <w:p w:rsidR="00A15410" w:rsidRPr="00675023" w:rsidRDefault="00A15410" w:rsidP="00F350B5">
      <w:pPr>
        <w:spacing w:after="0" w:line="360" w:lineRule="auto"/>
        <w:jc w:val="both"/>
        <w:rPr>
          <w:rFonts w:ascii="Times New Roman" w:hAnsi="Times New Roman" w:cs="Times New Roman"/>
          <w:sz w:val="24"/>
          <w:szCs w:val="24"/>
        </w:rPr>
      </w:pPr>
    </w:p>
    <w:p w:rsidR="00A15410" w:rsidRPr="00675023" w:rsidRDefault="00A15410" w:rsidP="00592363">
      <w:pPr>
        <w:pStyle w:val="Default"/>
        <w:spacing w:line="360" w:lineRule="auto"/>
        <w:jc w:val="both"/>
        <w:rPr>
          <w:rFonts w:ascii="Times New Roman" w:hAnsi="Times New Roman" w:cs="Times New Roman"/>
        </w:rPr>
      </w:pPr>
      <w:r w:rsidRPr="00675023">
        <w:rPr>
          <w:rFonts w:ascii="Times New Roman" w:hAnsi="Times New Roman" w:cs="Times New Roman"/>
          <w:color w:val="auto"/>
        </w:rPr>
        <w:t xml:space="preserve">For the 2016/17 financial year, the </w:t>
      </w:r>
      <w:r w:rsidR="00BC2204">
        <w:rPr>
          <w:rFonts w:ascii="Times New Roman" w:hAnsi="Times New Roman" w:cs="Times New Roman"/>
          <w:color w:val="auto"/>
        </w:rPr>
        <w:t>NCT</w:t>
      </w:r>
      <w:r w:rsidRPr="00675023">
        <w:rPr>
          <w:rFonts w:ascii="Times New Roman" w:hAnsi="Times New Roman" w:cs="Times New Roman"/>
          <w:color w:val="auto"/>
        </w:rPr>
        <w:t xml:space="preserve">’s expected income amounts to R51.2 million. The budgeted income shows an increase of R1.6 million in nominal terms (or 17.9 percent increase in real terms) compared to the previous year. Transfers from the </w:t>
      </w:r>
      <w:r w:rsidR="00BC2204">
        <w:rPr>
          <w:rFonts w:ascii="Times New Roman" w:hAnsi="Times New Roman" w:cs="Times New Roman"/>
          <w:color w:val="auto"/>
        </w:rPr>
        <w:t>DTI</w:t>
      </w:r>
      <w:r w:rsidR="00BC2204" w:rsidRPr="00675023">
        <w:rPr>
          <w:rFonts w:ascii="Times New Roman" w:hAnsi="Times New Roman" w:cs="Times New Roman"/>
          <w:color w:val="auto"/>
        </w:rPr>
        <w:t xml:space="preserve"> </w:t>
      </w:r>
      <w:r w:rsidRPr="00675023">
        <w:rPr>
          <w:rFonts w:ascii="Times New Roman" w:hAnsi="Times New Roman" w:cs="Times New Roman"/>
          <w:color w:val="auto"/>
        </w:rPr>
        <w:t>are expected to amount to R46.1 million (90 percent of the total budgeted income) while other income is expected by be R5.1 million, particularly from filing fees.  Despite the increase in the transfers in nominal terms, income is expected to decrease by 0.61 percent in real terms and other income (fees and interest income) show an increase of approximately 17.3 percent in real terms from the 2015/</w:t>
      </w:r>
      <w:r w:rsidRPr="00675023">
        <w:rPr>
          <w:rFonts w:ascii="Times New Roman" w:hAnsi="Times New Roman" w:cs="Times New Roman"/>
        </w:rPr>
        <w:t>16 financial year. The increase on other income is a result of increases in the filing fees by the NCT from the previous financial year into the medium term, filing fees has been increased by 60 percent for</w:t>
      </w:r>
      <w:r w:rsidR="00BC2204">
        <w:rPr>
          <w:rFonts w:ascii="Times New Roman" w:hAnsi="Times New Roman" w:cs="Times New Roman"/>
        </w:rPr>
        <w:t xml:space="preserve"> applications for</w:t>
      </w:r>
      <w:r w:rsidRPr="00675023">
        <w:rPr>
          <w:rFonts w:ascii="Times New Roman" w:hAnsi="Times New Roman" w:cs="Times New Roman"/>
        </w:rPr>
        <w:t xml:space="preserve"> debt</w:t>
      </w:r>
      <w:r w:rsidR="00BC2204">
        <w:rPr>
          <w:rFonts w:ascii="Times New Roman" w:hAnsi="Times New Roman" w:cs="Times New Roman"/>
        </w:rPr>
        <w:t xml:space="preserve"> re</w:t>
      </w:r>
      <w:r w:rsidRPr="00675023">
        <w:rPr>
          <w:rFonts w:ascii="Times New Roman" w:hAnsi="Times New Roman" w:cs="Times New Roman"/>
        </w:rPr>
        <w:t xml:space="preserve">-arrangement </w:t>
      </w:r>
      <w:r w:rsidR="00BC2204">
        <w:rPr>
          <w:rFonts w:ascii="Times New Roman" w:hAnsi="Times New Roman" w:cs="Times New Roman"/>
        </w:rPr>
        <w:t xml:space="preserve">agreements </w:t>
      </w:r>
      <w:r w:rsidRPr="00675023">
        <w:rPr>
          <w:rFonts w:ascii="Times New Roman" w:hAnsi="Times New Roman" w:cs="Times New Roman"/>
        </w:rPr>
        <w:t xml:space="preserve">and 30 percent for non-debt re-arrangement </w:t>
      </w:r>
      <w:r w:rsidR="00BC2204">
        <w:rPr>
          <w:rFonts w:ascii="Times New Roman" w:hAnsi="Times New Roman" w:cs="Times New Roman"/>
        </w:rPr>
        <w:t xml:space="preserve">agreements </w:t>
      </w:r>
      <w:r w:rsidRPr="00675023">
        <w:rPr>
          <w:rFonts w:ascii="Times New Roman" w:hAnsi="Times New Roman" w:cs="Times New Roman"/>
        </w:rPr>
        <w:t>in the 2016/17 financial year. Additional grant funding is expected to be R1.6 million in the financial year.</w:t>
      </w:r>
    </w:p>
    <w:p w:rsidR="00F350B5" w:rsidRDefault="00F350B5">
      <w:pPr>
        <w:rPr>
          <w:rFonts w:ascii="Times New Roman" w:hAnsi="Times New Roman" w:cs="Times New Roman"/>
          <w:b/>
          <w:color w:val="000000"/>
          <w:sz w:val="24"/>
          <w:szCs w:val="24"/>
        </w:rPr>
      </w:pPr>
    </w:p>
    <w:p w:rsidR="00A15410" w:rsidRPr="00675023" w:rsidRDefault="00A15410" w:rsidP="00592363">
      <w:pPr>
        <w:pStyle w:val="Default"/>
        <w:spacing w:line="360" w:lineRule="auto"/>
        <w:jc w:val="both"/>
        <w:rPr>
          <w:rFonts w:ascii="Times New Roman" w:hAnsi="Times New Roman" w:cs="Times New Roman"/>
          <w:b/>
        </w:rPr>
      </w:pPr>
      <w:r w:rsidRPr="00675023">
        <w:rPr>
          <w:rFonts w:ascii="Times New Roman" w:hAnsi="Times New Roman" w:cs="Times New Roman"/>
          <w:b/>
        </w:rPr>
        <w:t xml:space="preserve">Table </w:t>
      </w:r>
      <w:r w:rsidR="00DF2510">
        <w:rPr>
          <w:rFonts w:ascii="Times New Roman" w:hAnsi="Times New Roman" w:cs="Times New Roman"/>
          <w:b/>
        </w:rPr>
        <w:t>1</w:t>
      </w:r>
      <w:r w:rsidR="00CE68CD">
        <w:rPr>
          <w:rFonts w:ascii="Times New Roman" w:hAnsi="Times New Roman" w:cs="Times New Roman"/>
          <w:b/>
        </w:rPr>
        <w:t>0</w:t>
      </w:r>
      <w:r w:rsidRPr="00675023">
        <w:rPr>
          <w:rFonts w:ascii="Times New Roman" w:hAnsi="Times New Roman" w:cs="Times New Roman"/>
          <w:b/>
        </w:rPr>
        <w:t>: Budgeted Income 2016/17 – 2018/19</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40"/>
        <w:gridCol w:w="1434"/>
        <w:gridCol w:w="1435"/>
        <w:gridCol w:w="1409"/>
        <w:gridCol w:w="1426"/>
      </w:tblGrid>
      <w:tr w:rsidR="009508A8" w:rsidRPr="00675023" w:rsidTr="00F350B5">
        <w:trPr>
          <w:trHeight w:val="765"/>
        </w:trPr>
        <w:tc>
          <w:tcPr>
            <w:tcW w:w="3340" w:type="dxa"/>
            <w:vMerge w:val="restart"/>
            <w:shd w:val="clear" w:color="auto" w:fill="BFBFBF" w:themeFill="background1" w:themeFillShade="BF"/>
            <w:noWrap/>
            <w:vAlign w:val="bottom"/>
            <w:hideMark/>
          </w:tcPr>
          <w:p w:rsidR="009508A8" w:rsidRPr="007E21C4" w:rsidRDefault="009508A8" w:rsidP="007E21C4">
            <w:pPr>
              <w:spacing w:after="0" w:line="360" w:lineRule="auto"/>
              <w:rPr>
                <w:rFonts w:ascii="Times New Roman" w:hAnsi="Times New Roman" w:cs="Times New Roman"/>
                <w:b/>
                <w:sz w:val="20"/>
                <w:szCs w:val="24"/>
                <w:lang w:eastAsia="en-ZA"/>
              </w:rPr>
            </w:pPr>
            <w:r w:rsidRPr="007E21C4">
              <w:rPr>
                <w:rFonts w:ascii="Times New Roman" w:hAnsi="Times New Roman" w:cs="Times New Roman"/>
                <w:b/>
                <w:sz w:val="20"/>
                <w:szCs w:val="24"/>
                <w:lang w:eastAsia="en-ZA"/>
              </w:rPr>
              <w:t>R thousands</w:t>
            </w:r>
          </w:p>
        </w:tc>
        <w:tc>
          <w:tcPr>
            <w:tcW w:w="1434" w:type="dxa"/>
            <w:shd w:val="clear" w:color="auto" w:fill="BFBFBF" w:themeFill="background1" w:themeFillShade="BF"/>
            <w:vAlign w:val="center"/>
            <w:hideMark/>
          </w:tcPr>
          <w:p w:rsidR="009508A8" w:rsidRPr="009508A8" w:rsidRDefault="009508A8" w:rsidP="009508A8">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Revised estimate </w:t>
            </w:r>
          </w:p>
        </w:tc>
        <w:tc>
          <w:tcPr>
            <w:tcW w:w="1435" w:type="dxa"/>
            <w:shd w:val="clear" w:color="auto" w:fill="BFBFBF" w:themeFill="background1" w:themeFillShade="BF"/>
            <w:vAlign w:val="center"/>
          </w:tcPr>
          <w:p w:rsidR="009508A8" w:rsidRPr="007E21C4" w:rsidRDefault="009508A8" w:rsidP="009508A8">
            <w:pPr>
              <w:spacing w:after="0" w:line="360" w:lineRule="auto"/>
              <w:jc w:val="center"/>
              <w:rPr>
                <w:rFonts w:ascii="Times New Roman" w:hAnsi="Times New Roman" w:cs="Times New Roman"/>
                <w:b/>
                <w:bCs/>
                <w:sz w:val="20"/>
                <w:szCs w:val="24"/>
                <w:lang w:eastAsia="en-ZA"/>
              </w:rPr>
            </w:pPr>
            <w:r>
              <w:rPr>
                <w:rFonts w:ascii="Times New Roman" w:hAnsi="Times New Roman" w:cs="Times New Roman"/>
                <w:b/>
                <w:bCs/>
                <w:sz w:val="20"/>
                <w:szCs w:val="24"/>
                <w:lang w:eastAsia="en-ZA"/>
              </w:rPr>
              <w:t>Budget</w:t>
            </w:r>
            <w:r w:rsidRPr="007E21C4">
              <w:rPr>
                <w:rFonts w:ascii="Times New Roman" w:hAnsi="Times New Roman" w:cs="Times New Roman"/>
                <w:b/>
                <w:bCs/>
                <w:sz w:val="20"/>
                <w:szCs w:val="24"/>
                <w:lang w:eastAsia="en-ZA"/>
              </w:rPr>
              <w:t xml:space="preserve"> </w:t>
            </w:r>
          </w:p>
        </w:tc>
        <w:tc>
          <w:tcPr>
            <w:tcW w:w="1409" w:type="dxa"/>
            <w:shd w:val="clear" w:color="auto" w:fill="BFBFBF" w:themeFill="background1" w:themeFillShade="BF"/>
            <w:vAlign w:val="center"/>
            <w:hideMark/>
          </w:tcPr>
          <w:p w:rsidR="009508A8" w:rsidRPr="00675023" w:rsidRDefault="009508A8">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Growth</w:t>
            </w:r>
          </w:p>
        </w:tc>
        <w:tc>
          <w:tcPr>
            <w:tcW w:w="1426" w:type="dxa"/>
            <w:shd w:val="clear" w:color="auto" w:fill="BFBFBF" w:themeFill="background1" w:themeFillShade="BF"/>
            <w:vAlign w:val="center"/>
          </w:tcPr>
          <w:p w:rsidR="009508A8" w:rsidRPr="007E21C4" w:rsidRDefault="009508A8"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 Real Growth </w:t>
            </w:r>
          </w:p>
        </w:tc>
      </w:tr>
      <w:tr w:rsidR="009508A8" w:rsidRPr="00675023" w:rsidTr="00F350B5">
        <w:trPr>
          <w:trHeight w:val="513"/>
        </w:trPr>
        <w:tc>
          <w:tcPr>
            <w:tcW w:w="3340" w:type="dxa"/>
            <w:vMerge/>
            <w:shd w:val="clear" w:color="auto" w:fill="BFBFBF" w:themeFill="background1" w:themeFillShade="BF"/>
            <w:noWrap/>
            <w:vAlign w:val="bottom"/>
          </w:tcPr>
          <w:p w:rsidR="009508A8" w:rsidRPr="00675023" w:rsidRDefault="009508A8" w:rsidP="00592363">
            <w:pPr>
              <w:spacing w:after="0" w:line="360" w:lineRule="auto"/>
              <w:jc w:val="center"/>
              <w:rPr>
                <w:rFonts w:ascii="Times New Roman" w:hAnsi="Times New Roman" w:cs="Times New Roman"/>
                <w:sz w:val="20"/>
                <w:szCs w:val="24"/>
                <w:lang w:eastAsia="en-ZA"/>
              </w:rPr>
            </w:pPr>
          </w:p>
        </w:tc>
        <w:tc>
          <w:tcPr>
            <w:tcW w:w="1434" w:type="dxa"/>
            <w:shd w:val="clear" w:color="auto" w:fill="BFBFBF" w:themeFill="background1" w:themeFillShade="BF"/>
            <w:vAlign w:val="center"/>
          </w:tcPr>
          <w:p w:rsidR="009508A8" w:rsidRPr="00675023" w:rsidRDefault="009508A8" w:rsidP="00592363">
            <w:pPr>
              <w:spacing w:after="0" w:line="360" w:lineRule="auto"/>
              <w:jc w:val="center"/>
              <w:rPr>
                <w:rFonts w:ascii="Times New Roman" w:hAnsi="Times New Roman" w:cs="Times New Roman"/>
                <w:b/>
                <w:bCs/>
                <w:sz w:val="20"/>
                <w:szCs w:val="24"/>
                <w:lang w:eastAsia="en-ZA"/>
              </w:rPr>
            </w:pPr>
            <w:r w:rsidRPr="00892A2F">
              <w:rPr>
                <w:rFonts w:ascii="Times New Roman" w:hAnsi="Times New Roman" w:cs="Times New Roman"/>
                <w:b/>
                <w:bCs/>
                <w:sz w:val="20"/>
                <w:szCs w:val="24"/>
                <w:lang w:eastAsia="en-ZA"/>
              </w:rPr>
              <w:t>2015/16</w:t>
            </w:r>
          </w:p>
        </w:tc>
        <w:tc>
          <w:tcPr>
            <w:tcW w:w="1435" w:type="dxa"/>
            <w:shd w:val="clear" w:color="auto" w:fill="BFBFBF" w:themeFill="background1" w:themeFillShade="BF"/>
            <w:vAlign w:val="center"/>
          </w:tcPr>
          <w:p w:rsidR="009508A8" w:rsidRPr="00675023" w:rsidRDefault="009508A8" w:rsidP="00592363">
            <w:pPr>
              <w:spacing w:after="0" w:line="360" w:lineRule="auto"/>
              <w:jc w:val="center"/>
              <w:rPr>
                <w:rFonts w:ascii="Times New Roman" w:hAnsi="Times New Roman" w:cs="Times New Roman"/>
                <w:b/>
                <w:bCs/>
                <w:sz w:val="20"/>
                <w:szCs w:val="24"/>
                <w:lang w:eastAsia="en-ZA"/>
              </w:rPr>
            </w:pPr>
            <w:r w:rsidRPr="001122D8">
              <w:rPr>
                <w:rFonts w:ascii="Times New Roman" w:hAnsi="Times New Roman" w:cs="Times New Roman"/>
                <w:b/>
                <w:bCs/>
                <w:sz w:val="20"/>
                <w:szCs w:val="24"/>
                <w:lang w:eastAsia="en-ZA"/>
              </w:rPr>
              <w:t>2016/17</w:t>
            </w:r>
          </w:p>
        </w:tc>
        <w:tc>
          <w:tcPr>
            <w:tcW w:w="2835" w:type="dxa"/>
            <w:gridSpan w:val="2"/>
            <w:shd w:val="clear" w:color="auto" w:fill="BFBFBF" w:themeFill="background1" w:themeFillShade="BF"/>
            <w:vAlign w:val="center"/>
          </w:tcPr>
          <w:p w:rsidR="009508A8" w:rsidRPr="00675023" w:rsidRDefault="009508A8" w:rsidP="00592363">
            <w:pPr>
              <w:spacing w:after="0" w:line="360" w:lineRule="auto"/>
              <w:jc w:val="center"/>
              <w:rPr>
                <w:rFonts w:ascii="Times New Roman" w:hAnsi="Times New Roman" w:cs="Times New Roman"/>
                <w:b/>
                <w:bCs/>
                <w:sz w:val="20"/>
                <w:szCs w:val="24"/>
                <w:lang w:eastAsia="en-ZA"/>
              </w:rPr>
            </w:pPr>
            <w:r w:rsidRPr="00C33F20">
              <w:rPr>
                <w:rFonts w:ascii="Times New Roman" w:hAnsi="Times New Roman" w:cs="Times New Roman"/>
                <w:b/>
                <w:bCs/>
                <w:sz w:val="20"/>
                <w:szCs w:val="24"/>
                <w:lang w:eastAsia="en-ZA"/>
              </w:rPr>
              <w:t>2015/16 - 2016/17</w:t>
            </w:r>
          </w:p>
        </w:tc>
      </w:tr>
      <w:tr w:rsidR="00A15410" w:rsidRPr="00675023" w:rsidTr="00F350B5">
        <w:trPr>
          <w:trHeight w:val="300"/>
        </w:trPr>
        <w:tc>
          <w:tcPr>
            <w:tcW w:w="3340" w:type="dxa"/>
            <w:shd w:val="clear" w:color="auto" w:fill="auto"/>
            <w:vAlign w:val="center"/>
            <w:hideMark/>
          </w:tcPr>
          <w:p w:rsidR="00A15410" w:rsidRPr="007E21C4" w:rsidRDefault="00A15410"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Grant allocation</w:t>
            </w:r>
          </w:p>
        </w:tc>
        <w:tc>
          <w:tcPr>
            <w:tcW w:w="14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R43 029</w:t>
            </w:r>
          </w:p>
        </w:tc>
        <w:tc>
          <w:tcPr>
            <w:tcW w:w="1435"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R46 151</w:t>
            </w:r>
          </w:p>
        </w:tc>
        <w:tc>
          <w:tcPr>
            <w:tcW w:w="1409" w:type="dxa"/>
            <w:shd w:val="clear" w:color="auto" w:fill="auto"/>
            <w:noWrap/>
            <w:vAlign w:val="center"/>
            <w:hideMark/>
          </w:tcPr>
          <w:p w:rsidR="00A15410" w:rsidRPr="007E21C4" w:rsidRDefault="00A15410" w:rsidP="009508A8">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R43 122</w:t>
            </w:r>
          </w:p>
        </w:tc>
        <w:tc>
          <w:tcPr>
            <w:tcW w:w="1426" w:type="dxa"/>
            <w:shd w:val="clear" w:color="auto" w:fill="auto"/>
            <w:noWrap/>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0.61</w:t>
            </w:r>
          </w:p>
        </w:tc>
      </w:tr>
      <w:tr w:rsidR="00A15410" w:rsidRPr="00675023" w:rsidTr="00F350B5">
        <w:trPr>
          <w:trHeight w:val="300"/>
        </w:trPr>
        <w:tc>
          <w:tcPr>
            <w:tcW w:w="3340" w:type="dxa"/>
            <w:shd w:val="clear" w:color="auto" w:fill="auto"/>
            <w:vAlign w:val="center"/>
            <w:hideMark/>
          </w:tcPr>
          <w:p w:rsidR="00A15410" w:rsidRPr="007E21C4" w:rsidRDefault="00A15410">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Additional Grant Donor funding</w:t>
            </w:r>
          </w:p>
        </w:tc>
        <w:tc>
          <w:tcPr>
            <w:tcW w:w="14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w:t>
            </w:r>
          </w:p>
        </w:tc>
        <w:tc>
          <w:tcPr>
            <w:tcW w:w="1435" w:type="dxa"/>
            <w:shd w:val="clear" w:color="auto" w:fill="auto"/>
            <w:vAlign w:val="center"/>
            <w:hideMark/>
          </w:tcPr>
          <w:p w:rsidR="00A15410" w:rsidRPr="007E21C4" w:rsidRDefault="00A15410" w:rsidP="009508A8">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R1 620</w:t>
            </w:r>
          </w:p>
        </w:tc>
        <w:tc>
          <w:tcPr>
            <w:tcW w:w="1409" w:type="dxa"/>
            <w:shd w:val="clear" w:color="auto" w:fill="auto"/>
            <w:noWrap/>
            <w:vAlign w:val="center"/>
            <w:hideMark/>
          </w:tcPr>
          <w:p w:rsidR="00A15410" w:rsidRPr="007E21C4" w:rsidRDefault="00A15410" w:rsidP="009508A8">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R1 620</w:t>
            </w:r>
          </w:p>
        </w:tc>
        <w:tc>
          <w:tcPr>
            <w:tcW w:w="1426" w:type="dxa"/>
            <w:shd w:val="clear" w:color="auto" w:fill="auto"/>
            <w:noWrap/>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100</w:t>
            </w:r>
          </w:p>
        </w:tc>
      </w:tr>
      <w:tr w:rsidR="00A15410" w:rsidRPr="00675023" w:rsidTr="00F350B5">
        <w:trPr>
          <w:trHeight w:val="300"/>
        </w:trPr>
        <w:tc>
          <w:tcPr>
            <w:tcW w:w="3340" w:type="dxa"/>
            <w:shd w:val="clear" w:color="auto" w:fill="auto"/>
            <w:vAlign w:val="center"/>
            <w:hideMark/>
          </w:tcPr>
          <w:p w:rsidR="00A15410" w:rsidRPr="007E21C4" w:rsidRDefault="00A15410"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Other income</w:t>
            </w:r>
          </w:p>
        </w:tc>
        <w:tc>
          <w:tcPr>
            <w:tcW w:w="14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R2 775</w:t>
            </w:r>
          </w:p>
        </w:tc>
        <w:tc>
          <w:tcPr>
            <w:tcW w:w="1435" w:type="dxa"/>
            <w:shd w:val="clear" w:color="auto" w:fill="auto"/>
            <w:vAlign w:val="center"/>
            <w:hideMark/>
          </w:tcPr>
          <w:p w:rsidR="00A15410" w:rsidRPr="007E21C4" w:rsidRDefault="00A15410" w:rsidP="009508A8">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R3</w:t>
            </w:r>
            <w:r w:rsidR="009508A8">
              <w:rPr>
                <w:rFonts w:ascii="Times New Roman" w:hAnsi="Times New Roman" w:cs="Times New Roman"/>
                <w:sz w:val="20"/>
                <w:szCs w:val="24"/>
                <w:lang w:eastAsia="en-ZA"/>
              </w:rPr>
              <w:t> </w:t>
            </w:r>
            <w:r w:rsidRPr="007E21C4">
              <w:rPr>
                <w:rFonts w:ascii="Times New Roman" w:hAnsi="Times New Roman" w:cs="Times New Roman"/>
                <w:sz w:val="20"/>
                <w:szCs w:val="24"/>
                <w:lang w:eastAsia="en-ZA"/>
              </w:rPr>
              <w:t>470</w:t>
            </w:r>
            <w:r w:rsidR="009508A8">
              <w:rPr>
                <w:rFonts w:ascii="Times New Roman" w:hAnsi="Times New Roman" w:cs="Times New Roman"/>
                <w:sz w:val="20"/>
                <w:szCs w:val="24"/>
                <w:lang w:eastAsia="en-ZA"/>
              </w:rPr>
              <w:t>.</w:t>
            </w:r>
            <w:r w:rsidRPr="007E21C4">
              <w:rPr>
                <w:rFonts w:ascii="Times New Roman" w:hAnsi="Times New Roman" w:cs="Times New Roman"/>
                <w:sz w:val="20"/>
                <w:szCs w:val="24"/>
                <w:lang w:eastAsia="en-ZA"/>
              </w:rPr>
              <w:t>7</w:t>
            </w:r>
          </w:p>
        </w:tc>
        <w:tc>
          <w:tcPr>
            <w:tcW w:w="1409" w:type="dxa"/>
            <w:shd w:val="clear" w:color="auto" w:fill="auto"/>
            <w:noWrap/>
            <w:vAlign w:val="center"/>
            <w:hideMark/>
          </w:tcPr>
          <w:p w:rsidR="00A15410" w:rsidRPr="007E21C4" w:rsidRDefault="00A15410" w:rsidP="009508A8">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R695</w:t>
            </w:r>
            <w:r w:rsidR="009508A8">
              <w:rPr>
                <w:rFonts w:ascii="Times New Roman" w:hAnsi="Times New Roman" w:cs="Times New Roman"/>
                <w:sz w:val="20"/>
                <w:szCs w:val="24"/>
                <w:lang w:eastAsia="en-ZA"/>
              </w:rPr>
              <w:t>.</w:t>
            </w:r>
            <w:r w:rsidRPr="007E21C4">
              <w:rPr>
                <w:rFonts w:ascii="Times New Roman" w:hAnsi="Times New Roman" w:cs="Times New Roman"/>
                <w:sz w:val="20"/>
                <w:szCs w:val="24"/>
                <w:lang w:eastAsia="en-ZA"/>
              </w:rPr>
              <w:t>7</w:t>
            </w:r>
          </w:p>
        </w:tc>
        <w:tc>
          <w:tcPr>
            <w:tcW w:w="1426" w:type="dxa"/>
            <w:shd w:val="clear" w:color="auto" w:fill="auto"/>
            <w:noWrap/>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17.33</w:t>
            </w:r>
          </w:p>
        </w:tc>
      </w:tr>
      <w:tr w:rsidR="00A15410" w:rsidRPr="00675023" w:rsidTr="00F350B5">
        <w:trPr>
          <w:trHeight w:val="300"/>
        </w:trPr>
        <w:tc>
          <w:tcPr>
            <w:tcW w:w="3340" w:type="dxa"/>
            <w:shd w:val="clear" w:color="auto" w:fill="auto"/>
            <w:vAlign w:val="center"/>
            <w:hideMark/>
          </w:tcPr>
          <w:p w:rsidR="00A15410" w:rsidRPr="007E21C4" w:rsidRDefault="00A15410">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Surplus B</w:t>
            </w:r>
            <w:r w:rsidR="00BC2204">
              <w:rPr>
                <w:rFonts w:ascii="Times New Roman" w:hAnsi="Times New Roman" w:cs="Times New Roman"/>
                <w:sz w:val="20"/>
                <w:szCs w:val="24"/>
                <w:lang w:eastAsia="en-ZA"/>
              </w:rPr>
              <w:t xml:space="preserve">rought </w:t>
            </w:r>
            <w:r w:rsidRPr="007E21C4">
              <w:rPr>
                <w:rFonts w:ascii="Times New Roman" w:hAnsi="Times New Roman" w:cs="Times New Roman"/>
                <w:sz w:val="20"/>
                <w:szCs w:val="24"/>
                <w:lang w:eastAsia="en-ZA"/>
              </w:rPr>
              <w:t>F</w:t>
            </w:r>
            <w:r w:rsidR="00BC2204">
              <w:rPr>
                <w:rFonts w:ascii="Times New Roman" w:hAnsi="Times New Roman" w:cs="Times New Roman"/>
                <w:sz w:val="20"/>
                <w:szCs w:val="24"/>
                <w:lang w:eastAsia="en-ZA"/>
              </w:rPr>
              <w:t>orward</w:t>
            </w:r>
          </w:p>
        </w:tc>
        <w:tc>
          <w:tcPr>
            <w:tcW w:w="14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R3 786</w:t>
            </w:r>
          </w:p>
        </w:tc>
        <w:tc>
          <w:tcPr>
            <w:tcW w:w="1435"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w:t>
            </w:r>
          </w:p>
        </w:tc>
        <w:tc>
          <w:tcPr>
            <w:tcW w:w="1409" w:type="dxa"/>
            <w:shd w:val="clear" w:color="auto" w:fill="auto"/>
            <w:noWrap/>
            <w:vAlign w:val="center"/>
            <w:hideMark/>
          </w:tcPr>
          <w:p w:rsidR="00A15410" w:rsidRPr="007E21C4" w:rsidRDefault="00A15410" w:rsidP="009508A8">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-R3 786</w:t>
            </w:r>
          </w:p>
        </w:tc>
        <w:tc>
          <w:tcPr>
            <w:tcW w:w="1426" w:type="dxa"/>
            <w:shd w:val="clear" w:color="auto" w:fill="auto"/>
            <w:noWrap/>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-100</w:t>
            </w:r>
          </w:p>
        </w:tc>
      </w:tr>
      <w:tr w:rsidR="00A15410" w:rsidRPr="00675023" w:rsidTr="00F350B5">
        <w:trPr>
          <w:trHeight w:val="300"/>
        </w:trPr>
        <w:tc>
          <w:tcPr>
            <w:tcW w:w="3340" w:type="dxa"/>
            <w:shd w:val="clear" w:color="auto" w:fill="auto"/>
            <w:vAlign w:val="center"/>
            <w:hideMark/>
          </w:tcPr>
          <w:p w:rsidR="00A15410" w:rsidRPr="007E21C4" w:rsidRDefault="00A15410" w:rsidP="00592363">
            <w:pPr>
              <w:spacing w:after="0" w:line="360" w:lineRule="auto"/>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Total income</w:t>
            </w:r>
          </w:p>
        </w:tc>
        <w:tc>
          <w:tcPr>
            <w:tcW w:w="14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xml:space="preserve">R49 </w:t>
            </w:r>
            <w:r w:rsidR="00656B82">
              <w:rPr>
                <w:rFonts w:ascii="Times New Roman" w:hAnsi="Times New Roman" w:cs="Times New Roman"/>
                <w:b/>
                <w:bCs/>
                <w:sz w:val="20"/>
                <w:szCs w:val="24"/>
                <w:lang w:eastAsia="en-ZA"/>
              </w:rPr>
              <w:t>83</w:t>
            </w:r>
            <w:r w:rsidRPr="007E21C4">
              <w:rPr>
                <w:rFonts w:ascii="Times New Roman" w:hAnsi="Times New Roman" w:cs="Times New Roman"/>
                <w:b/>
                <w:bCs/>
                <w:sz w:val="20"/>
                <w:szCs w:val="24"/>
                <w:lang w:eastAsia="en-ZA"/>
              </w:rPr>
              <w:t>0</w:t>
            </w:r>
          </w:p>
        </w:tc>
        <w:tc>
          <w:tcPr>
            <w:tcW w:w="1435"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R51</w:t>
            </w:r>
            <w:r w:rsidR="009508A8">
              <w:rPr>
                <w:rFonts w:ascii="Times New Roman" w:hAnsi="Times New Roman" w:cs="Times New Roman"/>
                <w:b/>
                <w:bCs/>
                <w:sz w:val="20"/>
                <w:szCs w:val="24"/>
                <w:lang w:eastAsia="en-ZA"/>
              </w:rPr>
              <w:t> </w:t>
            </w:r>
            <w:r w:rsidRPr="007E21C4">
              <w:rPr>
                <w:rFonts w:ascii="Times New Roman" w:hAnsi="Times New Roman" w:cs="Times New Roman"/>
                <w:b/>
                <w:bCs/>
                <w:sz w:val="20"/>
                <w:szCs w:val="24"/>
                <w:lang w:eastAsia="en-ZA"/>
              </w:rPr>
              <w:t>241</w:t>
            </w:r>
            <w:r w:rsidR="009508A8">
              <w:rPr>
                <w:rFonts w:ascii="Times New Roman" w:hAnsi="Times New Roman" w:cs="Times New Roman"/>
                <w:b/>
                <w:bCs/>
                <w:sz w:val="20"/>
                <w:szCs w:val="24"/>
                <w:lang w:eastAsia="en-ZA"/>
              </w:rPr>
              <w:t>.7</w:t>
            </w:r>
          </w:p>
        </w:tc>
        <w:tc>
          <w:tcPr>
            <w:tcW w:w="1409" w:type="dxa"/>
            <w:shd w:val="clear" w:color="auto" w:fill="auto"/>
            <w:noWrap/>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R1 651 704</w:t>
            </w:r>
          </w:p>
        </w:tc>
        <w:tc>
          <w:tcPr>
            <w:tcW w:w="1426" w:type="dxa"/>
            <w:shd w:val="clear" w:color="auto" w:fill="auto"/>
            <w:noWrap/>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17.94</w:t>
            </w:r>
          </w:p>
        </w:tc>
      </w:tr>
    </w:tbl>
    <w:p w:rsidR="00A15410" w:rsidRPr="00C87219" w:rsidRDefault="00A15410" w:rsidP="00592363">
      <w:pPr>
        <w:spacing w:after="0" w:line="360" w:lineRule="auto"/>
        <w:jc w:val="both"/>
        <w:rPr>
          <w:rFonts w:ascii="Times New Roman" w:hAnsi="Times New Roman" w:cs="Times New Roman"/>
          <w:sz w:val="20"/>
          <w:szCs w:val="20"/>
        </w:rPr>
      </w:pPr>
      <w:r w:rsidRPr="00C87219">
        <w:rPr>
          <w:rFonts w:ascii="Times New Roman" w:hAnsi="Times New Roman" w:cs="Times New Roman"/>
          <w:sz w:val="20"/>
          <w:szCs w:val="20"/>
        </w:rPr>
        <w:t xml:space="preserve">Source: National Treasury (2016) </w:t>
      </w:r>
    </w:p>
    <w:p w:rsidR="00A15410" w:rsidRPr="00675023" w:rsidRDefault="00A15410" w:rsidP="00592363">
      <w:pPr>
        <w:spacing w:after="0" w:line="360" w:lineRule="auto"/>
        <w:jc w:val="both"/>
        <w:rPr>
          <w:rFonts w:ascii="Times New Roman" w:hAnsi="Times New Roman" w:cs="Times New Roman"/>
          <w:sz w:val="24"/>
          <w:szCs w:val="24"/>
        </w:rPr>
      </w:pPr>
    </w:p>
    <w:p w:rsidR="00A15410" w:rsidRPr="007E21C4" w:rsidRDefault="00A15410"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7E21C4">
        <w:rPr>
          <w:rFonts w:ascii="Times New Roman" w:hAnsi="Times New Roman" w:cs="Times New Roman"/>
          <w:b/>
          <w:sz w:val="24"/>
          <w:szCs w:val="24"/>
        </w:rPr>
        <w:t xml:space="preserve">Expenditure </w:t>
      </w:r>
    </w:p>
    <w:p w:rsidR="00A15410" w:rsidRPr="00675023" w:rsidRDefault="00A15410" w:rsidP="00592363">
      <w:pPr>
        <w:spacing w:after="0" w:line="360" w:lineRule="auto"/>
        <w:jc w:val="both"/>
        <w:rPr>
          <w:rFonts w:ascii="Times New Roman" w:hAnsi="Times New Roman" w:cs="Times New Roman"/>
          <w:sz w:val="24"/>
          <w:szCs w:val="24"/>
        </w:rPr>
      </w:pPr>
    </w:p>
    <w:p w:rsidR="00A15410" w:rsidRPr="00675023" w:rsidRDefault="00A15410"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In terms of budget allocation by programme, of the two programmes the entity has, the largest programme is the Administration programme accounting for approximately 58 percent of the total budget. The Adjudication programme is therefore allocated the remaining 42 percent of the budget. </w:t>
      </w:r>
    </w:p>
    <w:p w:rsidR="000D1C6F" w:rsidRPr="00675023" w:rsidRDefault="000D1C6F" w:rsidP="00592363">
      <w:pPr>
        <w:spacing w:after="0" w:line="360" w:lineRule="auto"/>
        <w:jc w:val="both"/>
        <w:rPr>
          <w:rFonts w:ascii="Times New Roman" w:hAnsi="Times New Roman" w:cs="Times New Roman"/>
          <w:sz w:val="24"/>
          <w:szCs w:val="24"/>
        </w:rPr>
      </w:pPr>
    </w:p>
    <w:p w:rsidR="00A15410" w:rsidRDefault="00A15410" w:rsidP="00592363">
      <w:pPr>
        <w:widowControl w:val="0"/>
        <w:overflowPunct w:val="0"/>
        <w:autoSpaceDE w:val="0"/>
        <w:autoSpaceDN w:val="0"/>
        <w:adjustRightInd w:val="0"/>
        <w:spacing w:after="0" w:line="360" w:lineRule="auto"/>
        <w:ind w:left="10"/>
        <w:jc w:val="both"/>
        <w:rPr>
          <w:rFonts w:ascii="Times New Roman" w:hAnsi="Times New Roman" w:cs="Times New Roman"/>
          <w:sz w:val="24"/>
          <w:szCs w:val="24"/>
        </w:rPr>
      </w:pPr>
      <w:r w:rsidRPr="00675023">
        <w:rPr>
          <w:rFonts w:ascii="Times New Roman" w:hAnsi="Times New Roman" w:cs="Times New Roman"/>
          <w:sz w:val="24"/>
          <w:szCs w:val="24"/>
        </w:rPr>
        <w:t xml:space="preserve">Increases in programme expenditure are marginal, this is mainly due to the small increase in the total budget for the period. The budget towards the Administration programme increases by 6 percent while the Adjudication budget declines by 1 percent.  </w:t>
      </w:r>
    </w:p>
    <w:p w:rsidR="007874F9" w:rsidRPr="00675023" w:rsidRDefault="007874F9" w:rsidP="00592363">
      <w:pPr>
        <w:widowControl w:val="0"/>
        <w:overflowPunct w:val="0"/>
        <w:autoSpaceDE w:val="0"/>
        <w:autoSpaceDN w:val="0"/>
        <w:adjustRightInd w:val="0"/>
        <w:spacing w:after="0" w:line="360" w:lineRule="auto"/>
        <w:ind w:left="10"/>
        <w:jc w:val="both"/>
        <w:rPr>
          <w:rFonts w:ascii="Times New Roman" w:hAnsi="Times New Roman" w:cs="Times New Roman"/>
          <w:sz w:val="24"/>
          <w:szCs w:val="24"/>
        </w:rPr>
      </w:pPr>
    </w:p>
    <w:p w:rsidR="00A15410" w:rsidRPr="00675023" w:rsidRDefault="00A15410" w:rsidP="00592363">
      <w:pPr>
        <w:pStyle w:val="Default"/>
        <w:spacing w:line="360" w:lineRule="auto"/>
        <w:jc w:val="both"/>
        <w:rPr>
          <w:rFonts w:ascii="Times New Roman" w:hAnsi="Times New Roman" w:cs="Times New Roman"/>
          <w:b/>
        </w:rPr>
      </w:pPr>
      <w:r w:rsidRPr="00675023">
        <w:rPr>
          <w:rFonts w:ascii="Times New Roman" w:hAnsi="Times New Roman" w:cs="Times New Roman"/>
          <w:b/>
        </w:rPr>
        <w:t xml:space="preserve">Table </w:t>
      </w:r>
      <w:r w:rsidR="00DF2510">
        <w:rPr>
          <w:rFonts w:ascii="Times New Roman" w:hAnsi="Times New Roman" w:cs="Times New Roman"/>
          <w:b/>
        </w:rPr>
        <w:t>1</w:t>
      </w:r>
      <w:r w:rsidR="00CE68CD">
        <w:rPr>
          <w:rFonts w:ascii="Times New Roman" w:hAnsi="Times New Roman" w:cs="Times New Roman"/>
          <w:b/>
        </w:rPr>
        <w:t>1</w:t>
      </w:r>
      <w:r w:rsidRPr="00675023">
        <w:rPr>
          <w:rFonts w:ascii="Times New Roman" w:hAnsi="Times New Roman" w:cs="Times New Roman"/>
          <w:b/>
        </w:rPr>
        <w:t>: Expenditure by Programme 2016/17 – 2018/19</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559"/>
        <w:gridCol w:w="1701"/>
        <w:gridCol w:w="1843"/>
      </w:tblGrid>
      <w:tr w:rsidR="00A15410" w:rsidRPr="00675023" w:rsidTr="00B149D1">
        <w:trPr>
          <w:trHeight w:val="540"/>
        </w:trPr>
        <w:tc>
          <w:tcPr>
            <w:tcW w:w="3261" w:type="dxa"/>
            <w:vMerge w:val="restart"/>
            <w:shd w:val="clear" w:color="auto" w:fill="BFBFBF" w:themeFill="background1" w:themeFillShade="BF"/>
            <w:vAlign w:val="center"/>
            <w:hideMark/>
          </w:tcPr>
          <w:p w:rsidR="00BC2204" w:rsidRDefault="00A15410" w:rsidP="00592363">
            <w:pPr>
              <w:spacing w:after="0" w:line="360" w:lineRule="auto"/>
              <w:jc w:val="center"/>
              <w:rPr>
                <w:rFonts w:ascii="Times New Roman" w:hAnsi="Times New Roman" w:cs="Times New Roman"/>
                <w:b/>
                <w:sz w:val="20"/>
                <w:szCs w:val="24"/>
                <w:lang w:eastAsia="en-ZA"/>
              </w:rPr>
            </w:pPr>
            <w:r w:rsidRPr="007E21C4">
              <w:rPr>
                <w:rFonts w:ascii="Times New Roman" w:hAnsi="Times New Roman" w:cs="Times New Roman"/>
                <w:sz w:val="20"/>
                <w:szCs w:val="24"/>
                <w:lang w:eastAsia="en-ZA"/>
              </w:rPr>
              <w:t> </w:t>
            </w:r>
            <w:r w:rsidRPr="007E21C4">
              <w:rPr>
                <w:rFonts w:ascii="Times New Roman" w:hAnsi="Times New Roman" w:cs="Times New Roman"/>
                <w:b/>
                <w:sz w:val="20"/>
                <w:szCs w:val="24"/>
                <w:lang w:eastAsia="en-ZA"/>
              </w:rPr>
              <w:t>Programme</w:t>
            </w:r>
          </w:p>
          <w:p w:rsidR="00A15410" w:rsidRPr="007E21C4" w:rsidRDefault="00BC2204" w:rsidP="00592363">
            <w:pPr>
              <w:spacing w:after="0" w:line="360" w:lineRule="auto"/>
              <w:jc w:val="center"/>
              <w:rPr>
                <w:rFonts w:ascii="Times New Roman" w:hAnsi="Times New Roman" w:cs="Times New Roman"/>
                <w:b/>
                <w:sz w:val="20"/>
                <w:szCs w:val="24"/>
                <w:lang w:eastAsia="en-ZA"/>
              </w:rPr>
            </w:pPr>
            <w:r w:rsidRPr="00BE7164">
              <w:rPr>
                <w:rFonts w:ascii="Times New Roman" w:hAnsi="Times New Roman" w:cs="Times New Roman"/>
                <w:b/>
                <w:bCs/>
                <w:sz w:val="20"/>
                <w:szCs w:val="24"/>
                <w:lang w:eastAsia="en-ZA"/>
              </w:rPr>
              <w:t>(R’000)</w:t>
            </w:r>
          </w:p>
        </w:tc>
        <w:tc>
          <w:tcPr>
            <w:tcW w:w="1134" w:type="dxa"/>
            <w:shd w:val="clear" w:color="auto" w:fill="BFBFBF" w:themeFill="background1" w:themeFillShade="BF"/>
            <w:vAlign w:val="center"/>
            <w:hideMark/>
          </w:tcPr>
          <w:p w:rsidR="00A15410" w:rsidRPr="007E21C4" w:rsidRDefault="00A154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Revised estimate</w:t>
            </w:r>
          </w:p>
        </w:tc>
        <w:tc>
          <w:tcPr>
            <w:tcW w:w="5103" w:type="dxa"/>
            <w:gridSpan w:val="3"/>
            <w:shd w:val="clear" w:color="auto" w:fill="BFBFBF" w:themeFill="background1" w:themeFillShade="BF"/>
            <w:vAlign w:val="center"/>
            <w:hideMark/>
          </w:tcPr>
          <w:p w:rsidR="00A15410" w:rsidRPr="007E21C4" w:rsidRDefault="00A15410">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Medium-term expenditure estimate</w:t>
            </w:r>
          </w:p>
        </w:tc>
      </w:tr>
      <w:tr w:rsidR="00A15410" w:rsidRPr="00675023" w:rsidTr="00B149D1">
        <w:trPr>
          <w:trHeight w:val="282"/>
        </w:trPr>
        <w:tc>
          <w:tcPr>
            <w:tcW w:w="3261" w:type="dxa"/>
            <w:vMerge/>
            <w:shd w:val="clear" w:color="auto" w:fill="BFBFBF" w:themeFill="background1" w:themeFillShade="BF"/>
            <w:vAlign w:val="center"/>
            <w:hideMark/>
          </w:tcPr>
          <w:p w:rsidR="00A15410" w:rsidRPr="007E21C4" w:rsidRDefault="00A15410" w:rsidP="00592363">
            <w:pPr>
              <w:spacing w:after="0" w:line="360" w:lineRule="auto"/>
              <w:rPr>
                <w:rFonts w:ascii="Times New Roman" w:hAnsi="Times New Roman" w:cs="Times New Roman"/>
                <w:sz w:val="20"/>
                <w:szCs w:val="24"/>
                <w:lang w:eastAsia="en-ZA"/>
              </w:rPr>
            </w:pPr>
          </w:p>
        </w:tc>
        <w:tc>
          <w:tcPr>
            <w:tcW w:w="1134" w:type="dxa"/>
            <w:shd w:val="clear" w:color="auto" w:fill="BFBFBF" w:themeFill="background1" w:themeFillShade="BF"/>
            <w:vAlign w:val="center"/>
            <w:hideMark/>
          </w:tcPr>
          <w:p w:rsidR="00A15410" w:rsidRPr="007E21C4" w:rsidRDefault="00A15410"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2015/16</w:t>
            </w:r>
          </w:p>
        </w:tc>
        <w:tc>
          <w:tcPr>
            <w:tcW w:w="1559" w:type="dxa"/>
            <w:shd w:val="clear" w:color="auto" w:fill="BFBFBF" w:themeFill="background1" w:themeFillShade="BF"/>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2016/17</w:t>
            </w:r>
          </w:p>
        </w:tc>
        <w:tc>
          <w:tcPr>
            <w:tcW w:w="1701" w:type="dxa"/>
            <w:shd w:val="clear" w:color="auto" w:fill="BFBFBF" w:themeFill="background1" w:themeFillShade="BF"/>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2017/18</w:t>
            </w:r>
          </w:p>
        </w:tc>
        <w:tc>
          <w:tcPr>
            <w:tcW w:w="1843" w:type="dxa"/>
            <w:shd w:val="clear" w:color="auto" w:fill="BFBFBF" w:themeFill="background1" w:themeFillShade="BF"/>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2018/19</w:t>
            </w:r>
          </w:p>
        </w:tc>
      </w:tr>
      <w:tr w:rsidR="00A15410" w:rsidRPr="00675023" w:rsidTr="00B149D1">
        <w:trPr>
          <w:trHeight w:val="270"/>
        </w:trPr>
        <w:tc>
          <w:tcPr>
            <w:tcW w:w="3261" w:type="dxa"/>
            <w:shd w:val="clear" w:color="auto" w:fill="auto"/>
            <w:vAlign w:val="center"/>
            <w:hideMark/>
          </w:tcPr>
          <w:p w:rsidR="00A15410" w:rsidRPr="007E21C4" w:rsidRDefault="00A15410"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Administration</w:t>
            </w:r>
          </w:p>
        </w:tc>
        <w:tc>
          <w:tcPr>
            <w:tcW w:w="11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27 889</w:t>
            </w:r>
          </w:p>
        </w:tc>
        <w:tc>
          <w:tcPr>
            <w:tcW w:w="1559"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29 498</w:t>
            </w:r>
          </w:p>
        </w:tc>
        <w:tc>
          <w:tcPr>
            <w:tcW w:w="1701"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30 651</w:t>
            </w:r>
          </w:p>
        </w:tc>
        <w:tc>
          <w:tcPr>
            <w:tcW w:w="1843"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32 658</w:t>
            </w:r>
          </w:p>
        </w:tc>
      </w:tr>
      <w:tr w:rsidR="00A15410" w:rsidRPr="00675023" w:rsidTr="00B149D1">
        <w:trPr>
          <w:trHeight w:val="270"/>
        </w:trPr>
        <w:tc>
          <w:tcPr>
            <w:tcW w:w="3261" w:type="dxa"/>
            <w:shd w:val="clear" w:color="auto" w:fill="auto"/>
            <w:vAlign w:val="center"/>
            <w:hideMark/>
          </w:tcPr>
          <w:p w:rsidR="00A15410" w:rsidRPr="007E21C4" w:rsidRDefault="00A15410" w:rsidP="00592363">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Adjudication</w:t>
            </w:r>
          </w:p>
        </w:tc>
        <w:tc>
          <w:tcPr>
            <w:tcW w:w="11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21 943</w:t>
            </w:r>
          </w:p>
        </w:tc>
        <w:tc>
          <w:tcPr>
            <w:tcW w:w="1559"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21 743</w:t>
            </w:r>
          </w:p>
        </w:tc>
        <w:tc>
          <w:tcPr>
            <w:tcW w:w="1701"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26 747</w:t>
            </w:r>
          </w:p>
        </w:tc>
        <w:tc>
          <w:tcPr>
            <w:tcW w:w="1843"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33 395</w:t>
            </w:r>
          </w:p>
        </w:tc>
      </w:tr>
      <w:tr w:rsidR="00A15410" w:rsidRPr="00675023" w:rsidTr="00B149D1">
        <w:trPr>
          <w:trHeight w:val="255"/>
        </w:trPr>
        <w:tc>
          <w:tcPr>
            <w:tcW w:w="3261" w:type="dxa"/>
            <w:shd w:val="clear" w:color="auto" w:fill="auto"/>
            <w:vAlign w:val="center"/>
            <w:hideMark/>
          </w:tcPr>
          <w:p w:rsidR="00A15410" w:rsidRPr="007E21C4" w:rsidRDefault="00A15410" w:rsidP="00592363">
            <w:pPr>
              <w:spacing w:after="0" w:line="360" w:lineRule="auto"/>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Total</w:t>
            </w:r>
          </w:p>
        </w:tc>
        <w:tc>
          <w:tcPr>
            <w:tcW w:w="1134"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49 831</w:t>
            </w:r>
          </w:p>
        </w:tc>
        <w:tc>
          <w:tcPr>
            <w:tcW w:w="1559"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51 241</w:t>
            </w:r>
          </w:p>
        </w:tc>
        <w:tc>
          <w:tcPr>
            <w:tcW w:w="1701"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57 398</w:t>
            </w:r>
          </w:p>
        </w:tc>
        <w:tc>
          <w:tcPr>
            <w:tcW w:w="1843" w:type="dxa"/>
            <w:shd w:val="clear" w:color="auto" w:fill="auto"/>
            <w:vAlign w:val="center"/>
            <w:hideMark/>
          </w:tcPr>
          <w:p w:rsidR="00A15410" w:rsidRPr="007E21C4" w:rsidRDefault="00A15410" w:rsidP="0059236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66 053</w:t>
            </w:r>
          </w:p>
        </w:tc>
      </w:tr>
    </w:tbl>
    <w:p w:rsidR="00A15410" w:rsidRPr="00C87219" w:rsidRDefault="00A15410" w:rsidP="00592363">
      <w:pPr>
        <w:spacing w:after="0" w:line="360" w:lineRule="auto"/>
        <w:jc w:val="both"/>
        <w:rPr>
          <w:rFonts w:ascii="Times New Roman" w:hAnsi="Times New Roman" w:cs="Times New Roman"/>
          <w:sz w:val="20"/>
          <w:szCs w:val="20"/>
        </w:rPr>
      </w:pPr>
      <w:r w:rsidRPr="00C87219">
        <w:rPr>
          <w:rFonts w:ascii="Times New Roman" w:hAnsi="Times New Roman" w:cs="Times New Roman"/>
          <w:sz w:val="20"/>
          <w:szCs w:val="20"/>
        </w:rPr>
        <w:t xml:space="preserve">Source: National Treasury (2016) </w:t>
      </w:r>
    </w:p>
    <w:p w:rsidR="007874F9" w:rsidRDefault="007874F9" w:rsidP="00592363">
      <w:pPr>
        <w:autoSpaceDE w:val="0"/>
        <w:autoSpaceDN w:val="0"/>
        <w:adjustRightInd w:val="0"/>
        <w:spacing w:after="0" w:line="360" w:lineRule="auto"/>
        <w:jc w:val="both"/>
        <w:rPr>
          <w:rFonts w:ascii="Times New Roman" w:hAnsi="Times New Roman" w:cs="Times New Roman"/>
          <w:sz w:val="24"/>
          <w:szCs w:val="24"/>
        </w:rPr>
      </w:pPr>
    </w:p>
    <w:p w:rsidR="00A15410" w:rsidRDefault="00A15410" w:rsidP="00592363">
      <w:pPr>
        <w:autoSpaceDE w:val="0"/>
        <w:autoSpaceDN w:val="0"/>
        <w:adjustRightInd w:val="0"/>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In terms of expenditure by category, expenditure of the entity is mainly expenditure on the compensation of employees and expenditure on goods and services.  Compensation to employees account for 52 percent of total expenditure while expenditure on goods and services account for 42 percent. Compensation of employees will increase by 2.2 percent and expenditure on goods and services decreases by 11.5 percent in real terms in the current financial year compared to the previous year. The increase in compensation of employees in an inflationary increase as no new employees will be recruited in the financial year. </w:t>
      </w:r>
    </w:p>
    <w:p w:rsidR="00DF2510" w:rsidRPr="00675023" w:rsidRDefault="00DF2510" w:rsidP="00592363">
      <w:pPr>
        <w:autoSpaceDE w:val="0"/>
        <w:autoSpaceDN w:val="0"/>
        <w:adjustRightInd w:val="0"/>
        <w:spacing w:after="0" w:line="360" w:lineRule="auto"/>
        <w:jc w:val="both"/>
        <w:rPr>
          <w:rFonts w:ascii="Times New Roman" w:hAnsi="Times New Roman" w:cs="Times New Roman"/>
          <w:sz w:val="24"/>
          <w:szCs w:val="24"/>
        </w:rPr>
      </w:pPr>
    </w:p>
    <w:p w:rsidR="006D0B86" w:rsidRPr="00675023" w:rsidRDefault="00393A62" w:rsidP="007E21C4">
      <w:pPr>
        <w:pStyle w:val="Default"/>
        <w:spacing w:line="360" w:lineRule="auto"/>
        <w:jc w:val="both"/>
      </w:pPr>
      <w:r w:rsidRPr="00675023">
        <w:rPr>
          <w:rFonts w:ascii="Times New Roman" w:hAnsi="Times New Roman" w:cs="Times New Roman"/>
          <w:b/>
        </w:rPr>
        <w:t xml:space="preserve">Table </w:t>
      </w:r>
      <w:r w:rsidR="00DF2510">
        <w:rPr>
          <w:rFonts w:ascii="Times New Roman" w:hAnsi="Times New Roman" w:cs="Times New Roman"/>
          <w:b/>
        </w:rPr>
        <w:t>1</w:t>
      </w:r>
      <w:r w:rsidR="00CE68CD">
        <w:rPr>
          <w:rFonts w:ascii="Times New Roman" w:hAnsi="Times New Roman" w:cs="Times New Roman"/>
          <w:b/>
        </w:rPr>
        <w:t>2</w:t>
      </w:r>
      <w:r w:rsidRPr="00675023">
        <w:rPr>
          <w:rFonts w:ascii="Times New Roman" w:hAnsi="Times New Roman" w:cs="Times New Roman"/>
          <w:b/>
        </w:rPr>
        <w:t>: Expenditure by Programme 2016/17 – 2018/19</w:t>
      </w:r>
    </w:p>
    <w:tbl>
      <w:tblPr>
        <w:tblpPr w:leftFromText="180" w:rightFromText="180" w:vertAnchor="text" w:horzAnchor="margin" w:tblpY="287"/>
        <w:tblW w:w="9729" w:type="dxa"/>
        <w:tblLayout w:type="fixed"/>
        <w:tblLook w:val="04A0" w:firstRow="1" w:lastRow="0" w:firstColumn="1" w:lastColumn="0" w:noHBand="0" w:noVBand="1"/>
      </w:tblPr>
      <w:tblGrid>
        <w:gridCol w:w="2972"/>
        <w:gridCol w:w="1134"/>
        <w:gridCol w:w="1134"/>
        <w:gridCol w:w="1134"/>
        <w:gridCol w:w="992"/>
        <w:gridCol w:w="1370"/>
        <w:gridCol w:w="993"/>
      </w:tblGrid>
      <w:tr w:rsidR="00393A62" w:rsidRPr="00675023" w:rsidTr="007E21C4">
        <w:trPr>
          <w:trHeight w:val="510"/>
        </w:trPr>
        <w:tc>
          <w:tcPr>
            <w:tcW w:w="29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393A62" w:rsidRDefault="00393A62" w:rsidP="00BB2902">
            <w:pPr>
              <w:spacing w:after="0" w:line="360" w:lineRule="auto"/>
              <w:jc w:val="center"/>
              <w:rPr>
                <w:rFonts w:ascii="Times New Roman" w:hAnsi="Times New Roman" w:cs="Times New Roman"/>
                <w:b/>
                <w:sz w:val="20"/>
                <w:szCs w:val="24"/>
                <w:lang w:eastAsia="en-ZA"/>
              </w:rPr>
            </w:pPr>
            <w:r w:rsidRPr="007E21C4">
              <w:rPr>
                <w:rFonts w:ascii="Times New Roman" w:hAnsi="Times New Roman" w:cs="Times New Roman"/>
                <w:b/>
                <w:sz w:val="20"/>
                <w:szCs w:val="24"/>
                <w:lang w:eastAsia="en-ZA"/>
              </w:rPr>
              <w:t>Category</w:t>
            </w:r>
          </w:p>
          <w:p w:rsidR="00393A62" w:rsidRPr="007E21C4" w:rsidRDefault="00393A62" w:rsidP="00BB2902">
            <w:pPr>
              <w:spacing w:after="0" w:line="360" w:lineRule="auto"/>
              <w:jc w:val="center"/>
              <w:rPr>
                <w:rFonts w:ascii="Times New Roman" w:hAnsi="Times New Roman" w:cs="Times New Roman"/>
                <w:b/>
                <w:sz w:val="20"/>
                <w:szCs w:val="24"/>
                <w:lang w:eastAsia="en-ZA"/>
              </w:rPr>
            </w:pPr>
            <w:r w:rsidRPr="004B0C35">
              <w:rPr>
                <w:rFonts w:ascii="Times New Roman" w:hAnsi="Times New Roman" w:cs="Times New Roman"/>
                <w:b/>
                <w:bCs/>
                <w:sz w:val="20"/>
                <w:szCs w:val="24"/>
                <w:lang w:eastAsia="en-ZA"/>
              </w:rPr>
              <w:t>(R’000)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62" w:rsidRPr="007E21C4" w:rsidRDefault="00393A62" w:rsidP="00BB2902">
            <w:pPr>
              <w:spacing w:after="0" w:line="360" w:lineRule="auto"/>
              <w:jc w:val="center"/>
              <w:rPr>
                <w:rFonts w:ascii="Times New Roman" w:hAnsi="Times New Roman" w:cs="Times New Roman"/>
                <w:b/>
                <w:bCs/>
                <w:sz w:val="20"/>
                <w:szCs w:val="24"/>
                <w:lang w:eastAsia="en-ZA"/>
              </w:rPr>
            </w:pPr>
            <w:r>
              <w:rPr>
                <w:rFonts w:ascii="Times New Roman" w:hAnsi="Times New Roman" w:cs="Times New Roman"/>
                <w:b/>
                <w:bCs/>
                <w:sz w:val="20"/>
                <w:szCs w:val="24"/>
                <w:lang w:eastAsia="en-ZA"/>
              </w:rPr>
              <w:t>Revised estimate 2015/16</w:t>
            </w:r>
          </w:p>
        </w:tc>
        <w:tc>
          <w:tcPr>
            <w:tcW w:w="3260" w:type="dxa"/>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393A62" w:rsidRPr="007E21C4" w:rsidRDefault="00393A62" w:rsidP="00F67C9F">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Medium-term expenditure estimate</w:t>
            </w:r>
          </w:p>
        </w:tc>
        <w:tc>
          <w:tcPr>
            <w:tcW w:w="137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93A62" w:rsidRPr="007E21C4" w:rsidRDefault="00393A62" w:rsidP="00AD7542">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Growth</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393A62" w:rsidRPr="007E21C4" w:rsidRDefault="00393A62" w:rsidP="0075573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Real Growth</w:t>
            </w:r>
          </w:p>
        </w:tc>
      </w:tr>
      <w:tr w:rsidR="00393A62" w:rsidRPr="00675023" w:rsidTr="00D70A5C">
        <w:trPr>
          <w:trHeight w:val="510"/>
        </w:trPr>
        <w:tc>
          <w:tcPr>
            <w:tcW w:w="297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62" w:rsidRPr="007E21C4" w:rsidRDefault="00393A62" w:rsidP="007E21C4">
            <w:pPr>
              <w:spacing w:after="0" w:line="360" w:lineRule="auto"/>
              <w:rPr>
                <w:rFonts w:ascii="Times New Roman" w:hAnsi="Times New Roman" w:cs="Times New Roman"/>
                <w:sz w:val="20"/>
                <w:szCs w:val="24"/>
                <w:lang w:eastAsia="en-ZA"/>
              </w:rPr>
            </w:pPr>
          </w:p>
        </w:tc>
        <w:tc>
          <w:tcPr>
            <w:tcW w:w="11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93A62" w:rsidRPr="007E21C4" w:rsidRDefault="00393A62" w:rsidP="007E21C4">
            <w:pPr>
              <w:spacing w:after="0" w:line="360" w:lineRule="auto"/>
              <w:jc w:val="center"/>
              <w:rPr>
                <w:rFonts w:ascii="Times New Roman" w:hAnsi="Times New Roman" w:cs="Times New Roman"/>
                <w:b/>
                <w:bCs/>
                <w:sz w:val="20"/>
                <w:szCs w:val="24"/>
                <w:lang w:eastAsia="en-ZA"/>
              </w:rPr>
            </w:pP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393A62" w:rsidRPr="007E21C4" w:rsidRDefault="00393A62"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2016/17</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393A62" w:rsidRPr="007E21C4" w:rsidRDefault="00393A62"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2017/18</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393A62" w:rsidRPr="007E21C4" w:rsidRDefault="00393A62"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2018/19</w:t>
            </w:r>
          </w:p>
        </w:tc>
        <w:tc>
          <w:tcPr>
            <w:tcW w:w="2363" w:type="dxa"/>
            <w:gridSpan w:val="2"/>
            <w:tcBorders>
              <w:top w:val="nil"/>
              <w:left w:val="nil"/>
              <w:bottom w:val="single" w:sz="4" w:space="0" w:color="auto"/>
              <w:right w:val="single" w:sz="4" w:space="0" w:color="auto"/>
            </w:tcBorders>
            <w:shd w:val="clear" w:color="auto" w:fill="BFBFBF" w:themeFill="background1" w:themeFillShade="BF"/>
            <w:vAlign w:val="center"/>
            <w:hideMark/>
          </w:tcPr>
          <w:p w:rsidR="00393A62" w:rsidRPr="007E21C4" w:rsidRDefault="00393A62" w:rsidP="007E21C4">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2015/16 - 2016/17</w:t>
            </w:r>
          </w:p>
        </w:tc>
      </w:tr>
      <w:tr w:rsidR="00393A62" w:rsidRPr="00675023" w:rsidTr="00D70A5C">
        <w:trPr>
          <w:trHeight w:val="25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93A62" w:rsidRPr="007E21C4" w:rsidRDefault="00393A62" w:rsidP="00BB2902">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Compensation of employees</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BB2902">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26 065</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F67C9F">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28 398</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AD7542">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30 123</w:t>
            </w:r>
          </w:p>
        </w:tc>
        <w:tc>
          <w:tcPr>
            <w:tcW w:w="992"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75573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32 028</w:t>
            </w:r>
          </w:p>
        </w:tc>
        <w:tc>
          <w:tcPr>
            <w:tcW w:w="1370" w:type="dxa"/>
            <w:tcBorders>
              <w:top w:val="nil"/>
              <w:left w:val="nil"/>
              <w:bottom w:val="single" w:sz="4" w:space="0" w:color="auto"/>
              <w:right w:val="single" w:sz="4" w:space="0" w:color="auto"/>
            </w:tcBorders>
            <w:shd w:val="clear" w:color="auto" w:fill="auto"/>
            <w:noWrap/>
            <w:vAlign w:val="center"/>
            <w:hideMark/>
          </w:tcPr>
          <w:p w:rsidR="00393A62" w:rsidRPr="007E21C4" w:rsidRDefault="00393A62" w:rsidP="00E23D0F">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2 333.0</w:t>
            </w:r>
          </w:p>
        </w:tc>
        <w:tc>
          <w:tcPr>
            <w:tcW w:w="993" w:type="dxa"/>
            <w:tcBorders>
              <w:top w:val="nil"/>
              <w:left w:val="nil"/>
              <w:bottom w:val="single" w:sz="4" w:space="0" w:color="auto"/>
              <w:right w:val="single" w:sz="4" w:space="0" w:color="auto"/>
            </w:tcBorders>
            <w:shd w:val="clear" w:color="auto" w:fill="auto"/>
            <w:noWrap/>
            <w:vAlign w:val="center"/>
            <w:hideMark/>
          </w:tcPr>
          <w:p w:rsidR="00393A62" w:rsidRPr="007E21C4" w:rsidRDefault="00393A62" w:rsidP="00682162">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2.2%</w:t>
            </w:r>
          </w:p>
        </w:tc>
      </w:tr>
      <w:tr w:rsidR="00393A62" w:rsidRPr="00675023" w:rsidTr="00D70A5C">
        <w:trPr>
          <w:trHeight w:val="25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93A62" w:rsidRPr="007E21C4" w:rsidRDefault="00393A62" w:rsidP="00BB2902">
            <w:pPr>
              <w:spacing w:after="0" w:line="360" w:lineRule="auto"/>
              <w:rPr>
                <w:rFonts w:ascii="Times New Roman" w:hAnsi="Times New Roman" w:cs="Times New Roman"/>
                <w:sz w:val="20"/>
                <w:szCs w:val="24"/>
                <w:lang w:eastAsia="en-ZA"/>
              </w:rPr>
            </w:pPr>
            <w:r w:rsidRPr="007E21C4">
              <w:rPr>
                <w:rFonts w:ascii="Times New Roman" w:hAnsi="Times New Roman" w:cs="Times New Roman"/>
                <w:sz w:val="20"/>
                <w:szCs w:val="24"/>
                <w:lang w:eastAsia="en-ZA"/>
              </w:rPr>
              <w:t>Goods and services</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BB2902">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22 936</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F67C9F">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21 631</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AD7542">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26 540</w:t>
            </w:r>
          </w:p>
        </w:tc>
        <w:tc>
          <w:tcPr>
            <w:tcW w:w="992"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755733">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33 167</w:t>
            </w:r>
          </w:p>
        </w:tc>
        <w:tc>
          <w:tcPr>
            <w:tcW w:w="1370" w:type="dxa"/>
            <w:tcBorders>
              <w:top w:val="nil"/>
              <w:left w:val="nil"/>
              <w:bottom w:val="single" w:sz="4" w:space="0" w:color="auto"/>
              <w:right w:val="single" w:sz="4" w:space="0" w:color="auto"/>
            </w:tcBorders>
            <w:shd w:val="clear" w:color="auto" w:fill="auto"/>
            <w:noWrap/>
            <w:vAlign w:val="center"/>
            <w:hideMark/>
          </w:tcPr>
          <w:p w:rsidR="00393A62" w:rsidRPr="007E21C4" w:rsidRDefault="00393A62" w:rsidP="00E23D0F">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- 1 305.0</w:t>
            </w:r>
          </w:p>
        </w:tc>
        <w:tc>
          <w:tcPr>
            <w:tcW w:w="993" w:type="dxa"/>
            <w:tcBorders>
              <w:top w:val="nil"/>
              <w:left w:val="nil"/>
              <w:bottom w:val="single" w:sz="4" w:space="0" w:color="auto"/>
              <w:right w:val="single" w:sz="4" w:space="0" w:color="auto"/>
            </w:tcBorders>
            <w:shd w:val="clear" w:color="auto" w:fill="auto"/>
            <w:noWrap/>
            <w:vAlign w:val="center"/>
            <w:hideMark/>
          </w:tcPr>
          <w:p w:rsidR="00393A62" w:rsidRPr="007E21C4" w:rsidRDefault="00393A62" w:rsidP="00682162">
            <w:pPr>
              <w:spacing w:after="0" w:line="360" w:lineRule="auto"/>
              <w:jc w:val="right"/>
              <w:rPr>
                <w:rFonts w:ascii="Times New Roman" w:hAnsi="Times New Roman" w:cs="Times New Roman"/>
                <w:sz w:val="20"/>
                <w:szCs w:val="24"/>
                <w:lang w:eastAsia="en-ZA"/>
              </w:rPr>
            </w:pPr>
            <w:r w:rsidRPr="007E21C4">
              <w:rPr>
                <w:rFonts w:ascii="Times New Roman" w:hAnsi="Times New Roman" w:cs="Times New Roman"/>
                <w:sz w:val="20"/>
                <w:szCs w:val="24"/>
                <w:lang w:eastAsia="en-ZA"/>
              </w:rPr>
              <w:t>-11.5%</w:t>
            </w:r>
          </w:p>
        </w:tc>
      </w:tr>
      <w:tr w:rsidR="00393A62" w:rsidRPr="00675023" w:rsidTr="00D70A5C">
        <w:trPr>
          <w:trHeight w:val="255"/>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393A62" w:rsidRPr="007E21C4" w:rsidRDefault="00393A62" w:rsidP="00BB2902">
            <w:pPr>
              <w:spacing w:after="0" w:line="360" w:lineRule="auto"/>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Total expenses</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BB2902">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49 831</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F67C9F">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51 241</w:t>
            </w:r>
          </w:p>
        </w:tc>
        <w:tc>
          <w:tcPr>
            <w:tcW w:w="1134"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AD7542">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57 398</w:t>
            </w:r>
          </w:p>
        </w:tc>
        <w:tc>
          <w:tcPr>
            <w:tcW w:w="992"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755733">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66 053</w:t>
            </w:r>
          </w:p>
        </w:tc>
        <w:tc>
          <w:tcPr>
            <w:tcW w:w="1370" w:type="dxa"/>
            <w:tcBorders>
              <w:top w:val="nil"/>
              <w:left w:val="nil"/>
              <w:bottom w:val="single" w:sz="4" w:space="0" w:color="auto"/>
              <w:right w:val="single" w:sz="4" w:space="0" w:color="auto"/>
            </w:tcBorders>
            <w:shd w:val="clear" w:color="auto" w:fill="auto"/>
            <w:vAlign w:val="center"/>
            <w:hideMark/>
          </w:tcPr>
          <w:p w:rsidR="00393A62" w:rsidRPr="007E21C4" w:rsidRDefault="00393A62" w:rsidP="00E23D0F">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1410</w:t>
            </w:r>
          </w:p>
        </w:tc>
        <w:tc>
          <w:tcPr>
            <w:tcW w:w="993" w:type="dxa"/>
            <w:tcBorders>
              <w:top w:val="nil"/>
              <w:left w:val="nil"/>
              <w:bottom w:val="single" w:sz="4" w:space="0" w:color="auto"/>
              <w:right w:val="single" w:sz="4" w:space="0" w:color="auto"/>
            </w:tcBorders>
            <w:shd w:val="clear" w:color="auto" w:fill="auto"/>
            <w:noWrap/>
            <w:vAlign w:val="center"/>
            <w:hideMark/>
          </w:tcPr>
          <w:p w:rsidR="00393A62" w:rsidRPr="007E21C4" w:rsidRDefault="00393A62" w:rsidP="00682162">
            <w:pPr>
              <w:spacing w:after="0" w:line="360" w:lineRule="auto"/>
              <w:jc w:val="right"/>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-3.54%</w:t>
            </w:r>
          </w:p>
        </w:tc>
      </w:tr>
    </w:tbl>
    <w:p w:rsidR="006D0B86" w:rsidRPr="00675023" w:rsidRDefault="006D0B86" w:rsidP="00592363">
      <w:pPr>
        <w:spacing w:after="0" w:line="360" w:lineRule="auto"/>
        <w:jc w:val="both"/>
        <w:rPr>
          <w:rFonts w:ascii="Times New Roman" w:hAnsi="Times New Roman" w:cs="Times New Roman"/>
          <w:b/>
          <w:sz w:val="24"/>
          <w:szCs w:val="24"/>
        </w:rPr>
      </w:pPr>
    </w:p>
    <w:p w:rsidR="00C87219" w:rsidRPr="00124675" w:rsidRDefault="00C87219" w:rsidP="00C87219">
      <w:pPr>
        <w:spacing w:after="0" w:line="360" w:lineRule="auto"/>
        <w:jc w:val="both"/>
        <w:rPr>
          <w:rFonts w:ascii="Times New Roman" w:hAnsi="Times New Roman" w:cs="Times New Roman"/>
          <w:sz w:val="20"/>
          <w:szCs w:val="20"/>
        </w:rPr>
      </w:pPr>
      <w:r w:rsidRPr="00124675">
        <w:rPr>
          <w:rFonts w:ascii="Times New Roman" w:hAnsi="Times New Roman" w:cs="Times New Roman"/>
          <w:sz w:val="20"/>
          <w:szCs w:val="20"/>
        </w:rPr>
        <w:t xml:space="preserve">Source: National Treasury (2016) </w:t>
      </w:r>
    </w:p>
    <w:p w:rsidR="00C87219" w:rsidRDefault="00C87219" w:rsidP="00C87219">
      <w:pPr>
        <w:pStyle w:val="ListParagraph"/>
        <w:spacing w:after="0" w:line="360" w:lineRule="auto"/>
        <w:ind w:left="709"/>
        <w:jc w:val="both"/>
        <w:rPr>
          <w:rFonts w:ascii="Times New Roman" w:hAnsi="Times New Roman" w:cs="Times New Roman"/>
          <w:b/>
          <w:sz w:val="24"/>
          <w:szCs w:val="24"/>
        </w:rPr>
      </w:pPr>
    </w:p>
    <w:p w:rsidR="00196694" w:rsidRPr="00675023" w:rsidRDefault="00196694" w:rsidP="007E21C4">
      <w:pPr>
        <w:pStyle w:val="ListParagraph"/>
        <w:numPr>
          <w:ilvl w:val="2"/>
          <w:numId w:val="2"/>
        </w:numPr>
        <w:spacing w:after="0" w:line="360" w:lineRule="auto"/>
        <w:ind w:left="709" w:hanging="709"/>
        <w:jc w:val="both"/>
        <w:rPr>
          <w:rFonts w:ascii="Times New Roman" w:hAnsi="Times New Roman" w:cs="Times New Roman"/>
          <w:b/>
          <w:sz w:val="24"/>
          <w:szCs w:val="24"/>
        </w:rPr>
      </w:pPr>
      <w:r w:rsidRPr="00675023">
        <w:rPr>
          <w:rFonts w:ascii="Times New Roman" w:hAnsi="Times New Roman" w:cs="Times New Roman"/>
          <w:b/>
          <w:sz w:val="24"/>
          <w:szCs w:val="24"/>
        </w:rPr>
        <w:t xml:space="preserve">Key issues raised by the </w:t>
      </w:r>
      <w:r w:rsidR="006B1BE0" w:rsidRPr="00675023">
        <w:rPr>
          <w:rFonts w:ascii="Times New Roman" w:hAnsi="Times New Roman" w:cs="Times New Roman"/>
          <w:b/>
          <w:sz w:val="24"/>
          <w:szCs w:val="24"/>
        </w:rPr>
        <w:t>c</w:t>
      </w:r>
      <w:r w:rsidRPr="00675023">
        <w:rPr>
          <w:rFonts w:ascii="Times New Roman" w:hAnsi="Times New Roman" w:cs="Times New Roman"/>
          <w:b/>
          <w:sz w:val="24"/>
          <w:szCs w:val="24"/>
        </w:rPr>
        <w:t>ommittee during its deliberations</w:t>
      </w:r>
    </w:p>
    <w:p w:rsidR="00196694" w:rsidRPr="00675023" w:rsidRDefault="00196694" w:rsidP="00592363">
      <w:pPr>
        <w:autoSpaceDE w:val="0"/>
        <w:autoSpaceDN w:val="0"/>
        <w:adjustRightInd w:val="0"/>
        <w:spacing w:after="0" w:line="360" w:lineRule="auto"/>
        <w:jc w:val="both"/>
        <w:rPr>
          <w:rFonts w:ascii="Times New Roman" w:hAnsi="Times New Roman" w:cs="Times New Roman"/>
          <w:b/>
          <w:sz w:val="24"/>
          <w:szCs w:val="24"/>
        </w:rPr>
      </w:pPr>
    </w:p>
    <w:p w:rsidR="00196694" w:rsidRPr="00675023" w:rsidRDefault="00196694" w:rsidP="00592363">
      <w:pPr>
        <w:autoSpaceDE w:val="0"/>
        <w:autoSpaceDN w:val="0"/>
        <w:adjustRightInd w:val="0"/>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During its deliberations, the committee raised a number of concerns relating to the N</w:t>
      </w:r>
      <w:r w:rsidR="00513024" w:rsidRPr="00675023">
        <w:rPr>
          <w:rFonts w:ascii="Times New Roman" w:hAnsi="Times New Roman" w:cs="Times New Roman"/>
          <w:sz w:val="24"/>
          <w:szCs w:val="24"/>
        </w:rPr>
        <w:t xml:space="preserve">CT </w:t>
      </w:r>
      <w:r w:rsidRPr="00675023">
        <w:rPr>
          <w:rFonts w:ascii="Times New Roman" w:hAnsi="Times New Roman" w:cs="Times New Roman"/>
          <w:sz w:val="24"/>
          <w:szCs w:val="24"/>
        </w:rPr>
        <w:t>which are captured below:</w:t>
      </w:r>
    </w:p>
    <w:p w:rsidR="00196694" w:rsidRPr="00675023" w:rsidRDefault="00196694" w:rsidP="00592363">
      <w:pPr>
        <w:autoSpaceDE w:val="0"/>
        <w:autoSpaceDN w:val="0"/>
        <w:adjustRightInd w:val="0"/>
        <w:spacing w:after="0" w:line="360" w:lineRule="auto"/>
        <w:jc w:val="both"/>
        <w:rPr>
          <w:rFonts w:ascii="Times New Roman" w:hAnsi="Times New Roman" w:cs="Times New Roman"/>
          <w:b/>
          <w:sz w:val="24"/>
          <w:szCs w:val="24"/>
        </w:rPr>
      </w:pPr>
    </w:p>
    <w:p w:rsidR="00D65F7E" w:rsidRPr="00675023" w:rsidRDefault="00D65F7E" w:rsidP="00592363">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The average number of days utilise</w:t>
      </w:r>
      <w:r w:rsidR="009508A8">
        <w:rPr>
          <w:rFonts w:ascii="Times New Roman" w:hAnsi="Times New Roman" w:cs="Times New Roman"/>
          <w:i/>
          <w:sz w:val="24"/>
          <w:szCs w:val="24"/>
        </w:rPr>
        <w:t>d</w:t>
      </w:r>
      <w:r w:rsidRPr="00675023">
        <w:rPr>
          <w:rFonts w:ascii="Times New Roman" w:hAnsi="Times New Roman" w:cs="Times New Roman"/>
          <w:i/>
          <w:sz w:val="24"/>
          <w:szCs w:val="24"/>
        </w:rPr>
        <w:t xml:space="preserve"> to finalise a non-DRA </w:t>
      </w:r>
      <w:r w:rsidR="0071732D">
        <w:rPr>
          <w:rFonts w:ascii="Times New Roman" w:hAnsi="Times New Roman" w:cs="Times New Roman"/>
          <w:i/>
          <w:sz w:val="24"/>
          <w:szCs w:val="24"/>
        </w:rPr>
        <w:t xml:space="preserve">matter </w:t>
      </w:r>
      <w:r w:rsidRPr="00675023">
        <w:rPr>
          <w:rFonts w:ascii="Times New Roman" w:hAnsi="Times New Roman" w:cs="Times New Roman"/>
          <w:i/>
          <w:sz w:val="24"/>
          <w:szCs w:val="24"/>
        </w:rPr>
        <w:t>and the new calculation for the</w:t>
      </w:r>
      <w:r w:rsidR="0071732D">
        <w:rPr>
          <w:rFonts w:ascii="Times New Roman" w:hAnsi="Times New Roman" w:cs="Times New Roman"/>
          <w:i/>
          <w:sz w:val="24"/>
          <w:szCs w:val="24"/>
        </w:rPr>
        <w:t xml:space="preserve"> turnaround time</w:t>
      </w:r>
      <w:r w:rsidRPr="00675023">
        <w:rPr>
          <w:rFonts w:ascii="Times New Roman" w:hAnsi="Times New Roman" w:cs="Times New Roman"/>
          <w:i/>
          <w:sz w:val="24"/>
          <w:szCs w:val="24"/>
        </w:rPr>
        <w:t>:</w:t>
      </w:r>
      <w:r w:rsidR="00135B8C">
        <w:rPr>
          <w:rFonts w:ascii="Times New Roman" w:hAnsi="Times New Roman" w:cs="Times New Roman"/>
          <w:sz w:val="24"/>
          <w:szCs w:val="24"/>
        </w:rPr>
        <w:t xml:space="preserve"> The 70</w:t>
      </w:r>
      <w:r w:rsidRPr="00675023">
        <w:rPr>
          <w:rFonts w:ascii="Times New Roman" w:hAnsi="Times New Roman" w:cs="Times New Roman"/>
          <w:sz w:val="24"/>
          <w:szCs w:val="24"/>
        </w:rPr>
        <w:t xml:space="preserve"> days referred to in the A</w:t>
      </w:r>
      <w:r w:rsidR="0071732D">
        <w:rPr>
          <w:rFonts w:ascii="Times New Roman" w:hAnsi="Times New Roman" w:cs="Times New Roman"/>
          <w:sz w:val="24"/>
          <w:szCs w:val="24"/>
        </w:rPr>
        <w:t xml:space="preserve">nnual </w:t>
      </w:r>
      <w:r w:rsidRPr="00675023">
        <w:rPr>
          <w:rFonts w:ascii="Times New Roman" w:hAnsi="Times New Roman" w:cs="Times New Roman"/>
          <w:sz w:val="24"/>
          <w:szCs w:val="24"/>
        </w:rPr>
        <w:t>P</w:t>
      </w:r>
      <w:r w:rsidR="0071732D">
        <w:rPr>
          <w:rFonts w:ascii="Times New Roman" w:hAnsi="Times New Roman" w:cs="Times New Roman"/>
          <w:sz w:val="24"/>
          <w:szCs w:val="24"/>
        </w:rPr>
        <w:t xml:space="preserve">erformance </w:t>
      </w:r>
      <w:r w:rsidRPr="00675023">
        <w:rPr>
          <w:rFonts w:ascii="Times New Roman" w:hAnsi="Times New Roman" w:cs="Times New Roman"/>
          <w:sz w:val="24"/>
          <w:szCs w:val="24"/>
        </w:rPr>
        <w:t>P</w:t>
      </w:r>
      <w:r w:rsidR="0071732D">
        <w:rPr>
          <w:rFonts w:ascii="Times New Roman" w:hAnsi="Times New Roman" w:cs="Times New Roman"/>
          <w:sz w:val="24"/>
          <w:szCs w:val="24"/>
        </w:rPr>
        <w:t>lan</w:t>
      </w:r>
      <w:r w:rsidRPr="00675023">
        <w:rPr>
          <w:rFonts w:ascii="Times New Roman" w:hAnsi="Times New Roman" w:cs="Times New Roman"/>
          <w:sz w:val="24"/>
          <w:szCs w:val="24"/>
        </w:rPr>
        <w:t xml:space="preserve"> is </w:t>
      </w:r>
      <w:r w:rsidR="0071732D">
        <w:rPr>
          <w:rFonts w:ascii="Times New Roman" w:hAnsi="Times New Roman" w:cs="Times New Roman"/>
          <w:sz w:val="24"/>
          <w:szCs w:val="24"/>
        </w:rPr>
        <w:t xml:space="preserve">a new target </w:t>
      </w:r>
      <w:r w:rsidRPr="00675023">
        <w:rPr>
          <w:rFonts w:ascii="Times New Roman" w:hAnsi="Times New Roman" w:cs="Times New Roman"/>
          <w:sz w:val="24"/>
          <w:szCs w:val="24"/>
        </w:rPr>
        <w:t>for the non-</w:t>
      </w:r>
      <w:r w:rsidR="0071732D">
        <w:rPr>
          <w:rFonts w:ascii="Times New Roman" w:hAnsi="Times New Roman" w:cs="Times New Roman"/>
          <w:sz w:val="24"/>
          <w:szCs w:val="24"/>
        </w:rPr>
        <w:t xml:space="preserve">DRA matters </w:t>
      </w:r>
      <w:r w:rsidRPr="00675023">
        <w:rPr>
          <w:rFonts w:ascii="Times New Roman" w:hAnsi="Times New Roman" w:cs="Times New Roman"/>
          <w:sz w:val="24"/>
          <w:szCs w:val="24"/>
        </w:rPr>
        <w:t xml:space="preserve">in the 2016/2017 financial year.  In the 2015/2016 financial year, the key performance indicators (KPI) was 150 days for the finalization of non-DRA matters from the date of close of pleadings to the issuing of the judgment.  The average turnaround time as indicated in the Quarter 3 report was 69.1 days.  </w:t>
      </w:r>
      <w:r w:rsidR="0071732D">
        <w:rPr>
          <w:rFonts w:ascii="Times New Roman" w:hAnsi="Times New Roman" w:cs="Times New Roman"/>
          <w:sz w:val="24"/>
          <w:szCs w:val="24"/>
        </w:rPr>
        <w:t xml:space="preserve">However, </w:t>
      </w:r>
      <w:r w:rsidR="0071732D" w:rsidRPr="00675023">
        <w:rPr>
          <w:rFonts w:ascii="Times New Roman" w:hAnsi="Times New Roman" w:cs="Times New Roman"/>
          <w:sz w:val="24"/>
          <w:szCs w:val="24"/>
        </w:rPr>
        <w:t xml:space="preserve">this </w:t>
      </w:r>
      <w:r w:rsidRPr="00675023">
        <w:rPr>
          <w:rFonts w:ascii="Times New Roman" w:hAnsi="Times New Roman" w:cs="Times New Roman"/>
          <w:sz w:val="24"/>
          <w:szCs w:val="24"/>
        </w:rPr>
        <w:t>calculation only includes matters that were filed in the 2015/16 financial year and excludes matters that were postponed as was defined in the KPI index.  Further turnaround times on cases will be provided on 18 May 2016.</w:t>
      </w:r>
    </w:p>
    <w:p w:rsidR="009F7C22" w:rsidRPr="00675023" w:rsidRDefault="009F7C22" w:rsidP="009F7C22">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Success rate of the adjudication process of the NCT</w:t>
      </w:r>
      <w:r>
        <w:rPr>
          <w:rFonts w:ascii="Times New Roman" w:hAnsi="Times New Roman" w:cs="Times New Roman"/>
          <w:i/>
          <w:sz w:val="24"/>
          <w:szCs w:val="24"/>
        </w:rPr>
        <w:t>:</w:t>
      </w:r>
      <w:r w:rsidRPr="00675023">
        <w:rPr>
          <w:rFonts w:ascii="Times New Roman" w:hAnsi="Times New Roman" w:cs="Times New Roman"/>
          <w:sz w:val="24"/>
          <w:szCs w:val="24"/>
        </w:rPr>
        <w:t xml:space="preserve"> The NCT informed the committee that of all the cases it ha</w:t>
      </w:r>
      <w:r>
        <w:rPr>
          <w:rFonts w:ascii="Times New Roman" w:hAnsi="Times New Roman" w:cs="Times New Roman"/>
          <w:sz w:val="24"/>
          <w:szCs w:val="24"/>
        </w:rPr>
        <w:t>d</w:t>
      </w:r>
      <w:r w:rsidRPr="00675023">
        <w:rPr>
          <w:rFonts w:ascii="Times New Roman" w:hAnsi="Times New Roman" w:cs="Times New Roman"/>
          <w:sz w:val="24"/>
          <w:szCs w:val="24"/>
        </w:rPr>
        <w:t xml:space="preserve"> adjudicated</w:t>
      </w:r>
      <w:r>
        <w:rPr>
          <w:rFonts w:ascii="Times New Roman" w:hAnsi="Times New Roman" w:cs="Times New Roman"/>
          <w:sz w:val="24"/>
          <w:szCs w:val="24"/>
        </w:rPr>
        <w:t>;</w:t>
      </w:r>
      <w:r w:rsidRPr="00675023">
        <w:rPr>
          <w:rFonts w:ascii="Times New Roman" w:hAnsi="Times New Roman" w:cs="Times New Roman"/>
          <w:sz w:val="24"/>
          <w:szCs w:val="24"/>
        </w:rPr>
        <w:t xml:space="preserve"> only one case was overturned by the court. The NCT can only issue judgments to parties</w:t>
      </w:r>
      <w:r>
        <w:rPr>
          <w:rFonts w:ascii="Times New Roman" w:hAnsi="Times New Roman" w:cs="Times New Roman"/>
          <w:sz w:val="24"/>
          <w:szCs w:val="24"/>
        </w:rPr>
        <w:t>,</w:t>
      </w:r>
      <w:r w:rsidRPr="00675023">
        <w:rPr>
          <w:rFonts w:ascii="Times New Roman" w:hAnsi="Times New Roman" w:cs="Times New Roman"/>
          <w:sz w:val="24"/>
          <w:szCs w:val="24"/>
        </w:rPr>
        <w:t xml:space="preserve"> which </w:t>
      </w:r>
      <w:r>
        <w:rPr>
          <w:rFonts w:ascii="Times New Roman" w:hAnsi="Times New Roman" w:cs="Times New Roman"/>
          <w:sz w:val="24"/>
          <w:szCs w:val="24"/>
        </w:rPr>
        <w:t xml:space="preserve">then </w:t>
      </w:r>
      <w:r w:rsidRPr="00675023">
        <w:rPr>
          <w:rFonts w:ascii="Times New Roman" w:hAnsi="Times New Roman" w:cs="Times New Roman"/>
          <w:sz w:val="24"/>
          <w:szCs w:val="24"/>
        </w:rPr>
        <w:t xml:space="preserve">have the right to appeal the High Court.  </w:t>
      </w:r>
    </w:p>
    <w:p w:rsidR="00A11E31" w:rsidRPr="00675023" w:rsidRDefault="00A11E31" w:rsidP="00A11E31">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The additional tribunal member and its implication for the budget:</w:t>
      </w:r>
      <w:r w:rsidRPr="00675023">
        <w:rPr>
          <w:rFonts w:ascii="Times New Roman" w:hAnsi="Times New Roman" w:cs="Times New Roman"/>
          <w:sz w:val="24"/>
          <w:szCs w:val="24"/>
        </w:rPr>
        <w:t xml:space="preserve"> The NCT informed the committee that fees paid to part-time tribunal members </w:t>
      </w:r>
      <w:r w:rsidR="004938D5">
        <w:rPr>
          <w:rFonts w:ascii="Times New Roman" w:hAnsi="Times New Roman" w:cs="Times New Roman"/>
          <w:sz w:val="24"/>
          <w:szCs w:val="24"/>
        </w:rPr>
        <w:t>are</w:t>
      </w:r>
      <w:r w:rsidRPr="00675023">
        <w:rPr>
          <w:rFonts w:ascii="Times New Roman" w:hAnsi="Times New Roman" w:cs="Times New Roman"/>
          <w:sz w:val="24"/>
          <w:szCs w:val="24"/>
        </w:rPr>
        <w:t xml:space="preserve"> accounted for under good</w:t>
      </w:r>
      <w:r w:rsidR="004938D5">
        <w:rPr>
          <w:rFonts w:ascii="Times New Roman" w:hAnsi="Times New Roman" w:cs="Times New Roman"/>
          <w:sz w:val="24"/>
          <w:szCs w:val="24"/>
        </w:rPr>
        <w:t>s</w:t>
      </w:r>
      <w:r w:rsidRPr="00675023">
        <w:rPr>
          <w:rFonts w:ascii="Times New Roman" w:hAnsi="Times New Roman" w:cs="Times New Roman"/>
          <w:sz w:val="24"/>
          <w:szCs w:val="24"/>
        </w:rPr>
        <w:t xml:space="preserve"> and services. The decrease in the </w:t>
      </w:r>
      <w:r w:rsidR="009F7C22">
        <w:rPr>
          <w:rFonts w:ascii="Times New Roman" w:hAnsi="Times New Roman" w:cs="Times New Roman"/>
          <w:sz w:val="24"/>
          <w:szCs w:val="24"/>
        </w:rPr>
        <w:t xml:space="preserve">goods and services </w:t>
      </w:r>
      <w:r w:rsidRPr="00675023">
        <w:rPr>
          <w:rFonts w:ascii="Times New Roman" w:hAnsi="Times New Roman" w:cs="Times New Roman"/>
          <w:sz w:val="24"/>
          <w:szCs w:val="24"/>
        </w:rPr>
        <w:t xml:space="preserve">budget for </w:t>
      </w:r>
      <w:r w:rsidR="009F7C22">
        <w:rPr>
          <w:rFonts w:ascii="Times New Roman" w:hAnsi="Times New Roman" w:cs="Times New Roman"/>
          <w:sz w:val="24"/>
          <w:szCs w:val="24"/>
        </w:rPr>
        <w:t xml:space="preserve">the </w:t>
      </w:r>
      <w:r w:rsidRPr="00675023">
        <w:rPr>
          <w:rFonts w:ascii="Times New Roman" w:hAnsi="Times New Roman" w:cs="Times New Roman"/>
          <w:sz w:val="24"/>
          <w:szCs w:val="24"/>
        </w:rPr>
        <w:t xml:space="preserve">2015/16 and 2016/17 </w:t>
      </w:r>
      <w:r w:rsidR="009F7C22">
        <w:rPr>
          <w:rFonts w:ascii="Times New Roman" w:hAnsi="Times New Roman" w:cs="Times New Roman"/>
          <w:sz w:val="24"/>
          <w:szCs w:val="24"/>
        </w:rPr>
        <w:t xml:space="preserve">financial years </w:t>
      </w:r>
      <w:r w:rsidRPr="00675023">
        <w:rPr>
          <w:rFonts w:ascii="Times New Roman" w:hAnsi="Times New Roman" w:cs="Times New Roman"/>
          <w:sz w:val="24"/>
          <w:szCs w:val="24"/>
        </w:rPr>
        <w:t xml:space="preserve">was as a result of the </w:t>
      </w:r>
      <w:r w:rsidR="009F7C22">
        <w:rPr>
          <w:rFonts w:ascii="Times New Roman" w:hAnsi="Times New Roman" w:cs="Times New Roman"/>
          <w:sz w:val="24"/>
          <w:szCs w:val="24"/>
        </w:rPr>
        <w:t xml:space="preserve">planned </w:t>
      </w:r>
      <w:r w:rsidRPr="00675023">
        <w:rPr>
          <w:rFonts w:ascii="Times New Roman" w:hAnsi="Times New Roman" w:cs="Times New Roman"/>
          <w:sz w:val="24"/>
          <w:szCs w:val="24"/>
        </w:rPr>
        <w:t xml:space="preserve">appointment of a full-time member and of anticipated efficiencies within the NCT that would reduce cost. </w:t>
      </w:r>
      <w:r w:rsidR="009F7C22">
        <w:rPr>
          <w:rFonts w:ascii="Times New Roman" w:hAnsi="Times New Roman" w:cs="Times New Roman"/>
          <w:sz w:val="24"/>
          <w:szCs w:val="24"/>
        </w:rPr>
        <w:t xml:space="preserve">However, this appointment was not approved. </w:t>
      </w:r>
      <w:r w:rsidRPr="00675023">
        <w:rPr>
          <w:rFonts w:ascii="Times New Roman" w:hAnsi="Times New Roman" w:cs="Times New Roman"/>
          <w:sz w:val="24"/>
          <w:szCs w:val="24"/>
        </w:rPr>
        <w:t xml:space="preserve">The </w:t>
      </w:r>
      <w:r w:rsidR="009F7C22" w:rsidRPr="00675023">
        <w:rPr>
          <w:rFonts w:ascii="Times New Roman" w:hAnsi="Times New Roman" w:cs="Times New Roman"/>
          <w:sz w:val="24"/>
          <w:szCs w:val="24"/>
        </w:rPr>
        <w:t>c</w:t>
      </w:r>
      <w:r w:rsidR="009F7C22">
        <w:rPr>
          <w:rFonts w:ascii="Times New Roman" w:hAnsi="Times New Roman" w:cs="Times New Roman"/>
          <w:sz w:val="24"/>
          <w:szCs w:val="24"/>
        </w:rPr>
        <w:t xml:space="preserve">hief </w:t>
      </w:r>
      <w:r w:rsidR="009F7C22" w:rsidRPr="00675023">
        <w:rPr>
          <w:rFonts w:ascii="Times New Roman" w:hAnsi="Times New Roman" w:cs="Times New Roman"/>
          <w:sz w:val="24"/>
          <w:szCs w:val="24"/>
        </w:rPr>
        <w:t>f</w:t>
      </w:r>
      <w:r w:rsidR="009F7C22">
        <w:rPr>
          <w:rFonts w:ascii="Times New Roman" w:hAnsi="Times New Roman" w:cs="Times New Roman"/>
          <w:sz w:val="24"/>
          <w:szCs w:val="24"/>
        </w:rPr>
        <w:t xml:space="preserve">inancial </w:t>
      </w:r>
      <w:r w:rsidR="009F7C22" w:rsidRPr="00675023">
        <w:rPr>
          <w:rFonts w:ascii="Times New Roman" w:hAnsi="Times New Roman" w:cs="Times New Roman"/>
          <w:sz w:val="24"/>
          <w:szCs w:val="24"/>
        </w:rPr>
        <w:t>o</w:t>
      </w:r>
      <w:r w:rsidR="009F7C22">
        <w:rPr>
          <w:rFonts w:ascii="Times New Roman" w:hAnsi="Times New Roman" w:cs="Times New Roman"/>
          <w:sz w:val="24"/>
          <w:szCs w:val="24"/>
        </w:rPr>
        <w:t>fficer</w:t>
      </w:r>
      <w:r w:rsidR="00F350B5">
        <w:rPr>
          <w:rFonts w:ascii="Times New Roman" w:hAnsi="Times New Roman" w:cs="Times New Roman"/>
          <w:sz w:val="24"/>
          <w:szCs w:val="24"/>
        </w:rPr>
        <w:t xml:space="preserve"> informed the committee that</w:t>
      </w:r>
      <w:r w:rsidRPr="00675023">
        <w:rPr>
          <w:rFonts w:ascii="Times New Roman" w:hAnsi="Times New Roman" w:cs="Times New Roman"/>
          <w:sz w:val="24"/>
          <w:szCs w:val="24"/>
        </w:rPr>
        <w:t xml:space="preserve"> the correct accounting principle </w:t>
      </w:r>
      <w:r w:rsidR="009F7C22">
        <w:rPr>
          <w:rFonts w:ascii="Times New Roman" w:hAnsi="Times New Roman" w:cs="Times New Roman"/>
          <w:sz w:val="24"/>
          <w:szCs w:val="24"/>
        </w:rPr>
        <w:t xml:space="preserve">was </w:t>
      </w:r>
      <w:r w:rsidRPr="00675023">
        <w:rPr>
          <w:rFonts w:ascii="Times New Roman" w:hAnsi="Times New Roman" w:cs="Times New Roman"/>
          <w:sz w:val="24"/>
          <w:szCs w:val="24"/>
        </w:rPr>
        <w:t>to place the cost of part-time employees</w:t>
      </w:r>
      <w:r w:rsidR="009F7C22">
        <w:rPr>
          <w:rFonts w:ascii="Times New Roman" w:hAnsi="Times New Roman" w:cs="Times New Roman"/>
          <w:sz w:val="24"/>
          <w:szCs w:val="24"/>
        </w:rPr>
        <w:t xml:space="preserve"> under goods and services, </w:t>
      </w:r>
      <w:r w:rsidRPr="00675023">
        <w:rPr>
          <w:rFonts w:ascii="Times New Roman" w:hAnsi="Times New Roman" w:cs="Times New Roman"/>
          <w:sz w:val="24"/>
          <w:szCs w:val="24"/>
        </w:rPr>
        <w:t xml:space="preserve">as they </w:t>
      </w:r>
      <w:r w:rsidR="009F7C22">
        <w:rPr>
          <w:rFonts w:ascii="Times New Roman" w:hAnsi="Times New Roman" w:cs="Times New Roman"/>
          <w:sz w:val="24"/>
          <w:szCs w:val="24"/>
        </w:rPr>
        <w:t xml:space="preserve">were </w:t>
      </w:r>
      <w:r w:rsidRPr="00675023">
        <w:rPr>
          <w:rFonts w:ascii="Times New Roman" w:hAnsi="Times New Roman" w:cs="Times New Roman"/>
          <w:sz w:val="24"/>
          <w:szCs w:val="24"/>
        </w:rPr>
        <w:t>only paid for the</w:t>
      </w:r>
      <w:r w:rsidR="009F7C22">
        <w:rPr>
          <w:rFonts w:ascii="Times New Roman" w:hAnsi="Times New Roman" w:cs="Times New Roman"/>
          <w:sz w:val="24"/>
          <w:szCs w:val="24"/>
        </w:rPr>
        <w:t>ir</w:t>
      </w:r>
      <w:r w:rsidRPr="00675023">
        <w:rPr>
          <w:rFonts w:ascii="Times New Roman" w:hAnsi="Times New Roman" w:cs="Times New Roman"/>
          <w:sz w:val="24"/>
          <w:szCs w:val="24"/>
        </w:rPr>
        <w:t xml:space="preserve"> hours work</w:t>
      </w:r>
      <w:r w:rsidR="009F7C22">
        <w:rPr>
          <w:rFonts w:ascii="Times New Roman" w:hAnsi="Times New Roman" w:cs="Times New Roman"/>
          <w:sz w:val="24"/>
          <w:szCs w:val="24"/>
        </w:rPr>
        <w:t>ed</w:t>
      </w:r>
      <w:r w:rsidRPr="00675023">
        <w:rPr>
          <w:rFonts w:ascii="Times New Roman" w:hAnsi="Times New Roman" w:cs="Times New Roman"/>
          <w:sz w:val="24"/>
          <w:szCs w:val="24"/>
        </w:rPr>
        <w:t xml:space="preserve">. Referring to the budget for goods and services for the next two financial years, the NCT was of the view that efficiencies could be introduced only to a certain extent. </w:t>
      </w:r>
    </w:p>
    <w:p w:rsidR="00D65F7E" w:rsidRPr="00675023" w:rsidRDefault="00D65F7E" w:rsidP="00592363">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The NCT</w:t>
      </w:r>
      <w:r w:rsidR="0071732D">
        <w:rPr>
          <w:rFonts w:ascii="Times New Roman" w:hAnsi="Times New Roman" w:cs="Times New Roman"/>
          <w:i/>
          <w:sz w:val="24"/>
          <w:szCs w:val="24"/>
        </w:rPr>
        <w:t>’s</w:t>
      </w:r>
      <w:r w:rsidRPr="00675023">
        <w:rPr>
          <w:rFonts w:ascii="Times New Roman" w:hAnsi="Times New Roman" w:cs="Times New Roman"/>
          <w:i/>
          <w:sz w:val="24"/>
          <w:szCs w:val="24"/>
        </w:rPr>
        <w:t xml:space="preserve"> funding model and its other sources of income</w:t>
      </w:r>
      <w:r w:rsidR="0071732D">
        <w:rPr>
          <w:rFonts w:ascii="Times New Roman" w:hAnsi="Times New Roman" w:cs="Times New Roman"/>
          <w:i/>
          <w:sz w:val="24"/>
          <w:szCs w:val="24"/>
        </w:rPr>
        <w:t>,</w:t>
      </w:r>
      <w:r w:rsidRPr="00675023">
        <w:rPr>
          <w:rFonts w:ascii="Times New Roman" w:hAnsi="Times New Roman" w:cs="Times New Roman"/>
          <w:i/>
          <w:sz w:val="24"/>
          <w:szCs w:val="24"/>
        </w:rPr>
        <w:t xml:space="preserve"> if any</w:t>
      </w:r>
      <w:r w:rsidR="0071732D">
        <w:rPr>
          <w:rFonts w:ascii="Times New Roman" w:hAnsi="Times New Roman" w:cs="Times New Roman"/>
          <w:i/>
          <w:sz w:val="24"/>
          <w:szCs w:val="24"/>
        </w:rPr>
        <w:t>,</w:t>
      </w:r>
      <w:r w:rsidRPr="00675023">
        <w:rPr>
          <w:rFonts w:ascii="Times New Roman" w:hAnsi="Times New Roman" w:cs="Times New Roman"/>
          <w:i/>
          <w:sz w:val="24"/>
          <w:szCs w:val="24"/>
        </w:rPr>
        <w:t xml:space="preserve"> to mitigate against the budgetary challenges </w:t>
      </w:r>
      <w:r w:rsidR="00A11E31">
        <w:rPr>
          <w:rFonts w:ascii="Times New Roman" w:hAnsi="Times New Roman" w:cs="Times New Roman"/>
          <w:i/>
          <w:sz w:val="24"/>
          <w:szCs w:val="24"/>
        </w:rPr>
        <w:t xml:space="preserve">it </w:t>
      </w:r>
      <w:r w:rsidRPr="00675023">
        <w:rPr>
          <w:rFonts w:ascii="Times New Roman" w:hAnsi="Times New Roman" w:cs="Times New Roman"/>
          <w:i/>
          <w:sz w:val="24"/>
          <w:szCs w:val="24"/>
        </w:rPr>
        <w:t>fac</w:t>
      </w:r>
      <w:r w:rsidR="00A11E31">
        <w:rPr>
          <w:rFonts w:ascii="Times New Roman" w:hAnsi="Times New Roman" w:cs="Times New Roman"/>
          <w:i/>
          <w:sz w:val="24"/>
          <w:szCs w:val="24"/>
        </w:rPr>
        <w:t>es</w:t>
      </w:r>
      <w:r w:rsidRPr="00675023">
        <w:rPr>
          <w:rFonts w:ascii="Times New Roman" w:hAnsi="Times New Roman" w:cs="Times New Roman"/>
          <w:i/>
          <w:sz w:val="24"/>
          <w:szCs w:val="24"/>
        </w:rPr>
        <w:t>:</w:t>
      </w:r>
      <w:r w:rsidR="00393A62" w:rsidRPr="007E21C4">
        <w:rPr>
          <w:rFonts w:ascii="Times New Roman" w:hAnsi="Times New Roman" w:cs="Times New Roman"/>
          <w:sz w:val="24"/>
          <w:szCs w:val="24"/>
        </w:rPr>
        <w:t xml:space="preserve"> </w:t>
      </w:r>
      <w:r w:rsidRPr="00675023">
        <w:rPr>
          <w:rFonts w:ascii="Times New Roman" w:hAnsi="Times New Roman" w:cs="Times New Roman"/>
          <w:sz w:val="24"/>
          <w:szCs w:val="24"/>
        </w:rPr>
        <w:t>The NCT informed the committee that it d</w:t>
      </w:r>
      <w:r w:rsidR="00A11E31">
        <w:rPr>
          <w:rFonts w:ascii="Times New Roman" w:hAnsi="Times New Roman" w:cs="Times New Roman"/>
          <w:sz w:val="24"/>
          <w:szCs w:val="24"/>
        </w:rPr>
        <w:t>id</w:t>
      </w:r>
      <w:r w:rsidRPr="00675023">
        <w:rPr>
          <w:rFonts w:ascii="Times New Roman" w:hAnsi="Times New Roman" w:cs="Times New Roman"/>
          <w:sz w:val="24"/>
          <w:szCs w:val="24"/>
        </w:rPr>
        <w:t xml:space="preserve"> not have </w:t>
      </w:r>
      <w:r w:rsidR="00A11E31">
        <w:rPr>
          <w:rFonts w:ascii="Times New Roman" w:hAnsi="Times New Roman" w:cs="Times New Roman"/>
          <w:sz w:val="24"/>
          <w:szCs w:val="24"/>
        </w:rPr>
        <w:t xml:space="preserve">any </w:t>
      </w:r>
      <w:r w:rsidRPr="00675023">
        <w:rPr>
          <w:rFonts w:ascii="Times New Roman" w:hAnsi="Times New Roman" w:cs="Times New Roman"/>
          <w:sz w:val="24"/>
          <w:szCs w:val="24"/>
        </w:rPr>
        <w:t xml:space="preserve">additional sources of income </w:t>
      </w:r>
      <w:r w:rsidR="00A11E31">
        <w:rPr>
          <w:rFonts w:ascii="Times New Roman" w:hAnsi="Times New Roman" w:cs="Times New Roman"/>
          <w:sz w:val="24"/>
          <w:szCs w:val="24"/>
        </w:rPr>
        <w:t xml:space="preserve">other than </w:t>
      </w:r>
      <w:r w:rsidRPr="00675023">
        <w:rPr>
          <w:rFonts w:ascii="Times New Roman" w:hAnsi="Times New Roman" w:cs="Times New Roman"/>
          <w:sz w:val="24"/>
          <w:szCs w:val="24"/>
        </w:rPr>
        <w:t xml:space="preserve">filing fees. </w:t>
      </w:r>
      <w:r w:rsidR="00A11E31">
        <w:rPr>
          <w:rFonts w:ascii="Times New Roman" w:hAnsi="Times New Roman" w:cs="Times New Roman"/>
          <w:sz w:val="24"/>
          <w:szCs w:val="24"/>
        </w:rPr>
        <w:t xml:space="preserve">It had </w:t>
      </w:r>
      <w:r w:rsidRPr="00675023">
        <w:rPr>
          <w:rFonts w:ascii="Times New Roman" w:hAnsi="Times New Roman" w:cs="Times New Roman"/>
          <w:sz w:val="24"/>
          <w:szCs w:val="24"/>
        </w:rPr>
        <w:t xml:space="preserve">received an additional R3 million in the 2015/16 financial year </w:t>
      </w:r>
      <w:r w:rsidR="00A11E31">
        <w:rPr>
          <w:rFonts w:ascii="Times New Roman" w:hAnsi="Times New Roman" w:cs="Times New Roman"/>
          <w:sz w:val="24"/>
          <w:szCs w:val="24"/>
        </w:rPr>
        <w:t xml:space="preserve">from its surpluses </w:t>
      </w:r>
      <w:r w:rsidRPr="00675023">
        <w:rPr>
          <w:rFonts w:ascii="Times New Roman" w:hAnsi="Times New Roman" w:cs="Times New Roman"/>
          <w:sz w:val="24"/>
          <w:szCs w:val="24"/>
        </w:rPr>
        <w:t>and the increase in filing fees would alleviate some of th</w:t>
      </w:r>
      <w:r w:rsidR="00A11E31">
        <w:rPr>
          <w:rFonts w:ascii="Times New Roman" w:hAnsi="Times New Roman" w:cs="Times New Roman"/>
          <w:sz w:val="24"/>
          <w:szCs w:val="24"/>
        </w:rPr>
        <w:t>ese</w:t>
      </w:r>
      <w:r w:rsidRPr="00675023">
        <w:rPr>
          <w:rFonts w:ascii="Times New Roman" w:hAnsi="Times New Roman" w:cs="Times New Roman"/>
          <w:sz w:val="24"/>
          <w:szCs w:val="24"/>
        </w:rPr>
        <w:t xml:space="preserve"> </w:t>
      </w:r>
      <w:r w:rsidR="00A11E31">
        <w:rPr>
          <w:rFonts w:ascii="Times New Roman" w:hAnsi="Times New Roman" w:cs="Times New Roman"/>
          <w:sz w:val="24"/>
          <w:szCs w:val="24"/>
        </w:rPr>
        <w:t xml:space="preserve">constraints </w:t>
      </w:r>
      <w:r w:rsidRPr="00675023">
        <w:rPr>
          <w:rFonts w:ascii="Times New Roman" w:hAnsi="Times New Roman" w:cs="Times New Roman"/>
          <w:sz w:val="24"/>
          <w:szCs w:val="24"/>
        </w:rPr>
        <w:t xml:space="preserve">in </w:t>
      </w:r>
      <w:r w:rsidR="00A11E31">
        <w:rPr>
          <w:rFonts w:ascii="Times New Roman" w:hAnsi="Times New Roman" w:cs="Times New Roman"/>
          <w:sz w:val="24"/>
          <w:szCs w:val="24"/>
        </w:rPr>
        <w:t xml:space="preserve">the </w:t>
      </w:r>
      <w:r w:rsidRPr="00675023">
        <w:rPr>
          <w:rFonts w:ascii="Times New Roman" w:hAnsi="Times New Roman" w:cs="Times New Roman"/>
          <w:sz w:val="24"/>
          <w:szCs w:val="24"/>
        </w:rPr>
        <w:t xml:space="preserve">2016/17 financial year. The NCT is implementing a number of measures, such as the ICT interventions, to ensure greater efficiencies. The enhancement </w:t>
      </w:r>
      <w:r w:rsidR="00A11E31">
        <w:rPr>
          <w:rFonts w:ascii="Times New Roman" w:hAnsi="Times New Roman" w:cs="Times New Roman"/>
          <w:sz w:val="24"/>
          <w:szCs w:val="24"/>
        </w:rPr>
        <w:t>of</w:t>
      </w:r>
      <w:r w:rsidRPr="00675023">
        <w:rPr>
          <w:rFonts w:ascii="Times New Roman" w:hAnsi="Times New Roman" w:cs="Times New Roman"/>
          <w:sz w:val="24"/>
          <w:szCs w:val="24"/>
        </w:rPr>
        <w:t xml:space="preserve"> the NCT Case Management System (CMS) would allow for the capturing of data directly into the NCT</w:t>
      </w:r>
      <w:r w:rsidR="00A11E31">
        <w:rPr>
          <w:rFonts w:ascii="Times New Roman" w:hAnsi="Times New Roman" w:cs="Times New Roman"/>
          <w:sz w:val="24"/>
          <w:szCs w:val="24"/>
        </w:rPr>
        <w:t>’</w:t>
      </w:r>
      <w:r w:rsidRPr="00675023">
        <w:rPr>
          <w:rFonts w:ascii="Times New Roman" w:hAnsi="Times New Roman" w:cs="Times New Roman"/>
          <w:sz w:val="24"/>
          <w:szCs w:val="24"/>
        </w:rPr>
        <w:t>s database</w:t>
      </w:r>
      <w:r w:rsidR="00A11E31">
        <w:rPr>
          <w:rFonts w:ascii="Times New Roman" w:hAnsi="Times New Roman" w:cs="Times New Roman"/>
          <w:sz w:val="24"/>
          <w:szCs w:val="24"/>
        </w:rPr>
        <w:t>,</w:t>
      </w:r>
      <w:r w:rsidRPr="00675023">
        <w:rPr>
          <w:rFonts w:ascii="Times New Roman" w:hAnsi="Times New Roman" w:cs="Times New Roman"/>
          <w:sz w:val="24"/>
          <w:szCs w:val="24"/>
        </w:rPr>
        <w:t xml:space="preserve"> which would result in the reduction of resources</w:t>
      </w:r>
      <w:r w:rsidR="00A11E31">
        <w:rPr>
          <w:rFonts w:ascii="Times New Roman" w:hAnsi="Times New Roman" w:cs="Times New Roman"/>
          <w:sz w:val="24"/>
          <w:szCs w:val="24"/>
        </w:rPr>
        <w:t xml:space="preserve"> required</w:t>
      </w:r>
      <w:r w:rsidRPr="00675023">
        <w:rPr>
          <w:rFonts w:ascii="Times New Roman" w:hAnsi="Times New Roman" w:cs="Times New Roman"/>
          <w:sz w:val="24"/>
          <w:szCs w:val="24"/>
        </w:rPr>
        <w:t>, as well as reducing the risk associated with incorrect capturing of data in the CMS. This would also speed up the process for adjudication of cases by tribunal members in relation to DRAs</w:t>
      </w:r>
      <w:r w:rsidR="00A11E31">
        <w:rPr>
          <w:rFonts w:ascii="Times New Roman" w:hAnsi="Times New Roman" w:cs="Times New Roman"/>
          <w:sz w:val="24"/>
          <w:szCs w:val="24"/>
        </w:rPr>
        <w:t>,</w:t>
      </w:r>
      <w:r w:rsidRPr="00675023">
        <w:rPr>
          <w:rFonts w:ascii="Times New Roman" w:hAnsi="Times New Roman" w:cs="Times New Roman"/>
          <w:sz w:val="24"/>
          <w:szCs w:val="24"/>
        </w:rPr>
        <w:t xml:space="preserve"> as well as reducing the cost </w:t>
      </w:r>
      <w:r w:rsidR="00A11E31">
        <w:rPr>
          <w:rFonts w:ascii="Times New Roman" w:hAnsi="Times New Roman" w:cs="Times New Roman"/>
          <w:sz w:val="24"/>
          <w:szCs w:val="24"/>
        </w:rPr>
        <w:t xml:space="preserve">of </w:t>
      </w:r>
      <w:r w:rsidRPr="00675023">
        <w:rPr>
          <w:rFonts w:ascii="Times New Roman" w:hAnsi="Times New Roman" w:cs="Times New Roman"/>
          <w:sz w:val="24"/>
          <w:szCs w:val="24"/>
        </w:rPr>
        <w:t xml:space="preserve">adjudication in the long-run.  With respect to </w:t>
      </w:r>
      <w:r w:rsidR="00A11E31">
        <w:rPr>
          <w:rFonts w:ascii="Times New Roman" w:hAnsi="Times New Roman" w:cs="Times New Roman"/>
          <w:sz w:val="24"/>
          <w:szCs w:val="24"/>
        </w:rPr>
        <w:t xml:space="preserve">its </w:t>
      </w:r>
      <w:r w:rsidRPr="00675023">
        <w:rPr>
          <w:rFonts w:ascii="Times New Roman" w:hAnsi="Times New Roman" w:cs="Times New Roman"/>
          <w:sz w:val="24"/>
          <w:szCs w:val="24"/>
        </w:rPr>
        <w:t xml:space="preserve">new mandate </w:t>
      </w:r>
      <w:r w:rsidR="00A11E31">
        <w:rPr>
          <w:rFonts w:ascii="Times New Roman" w:hAnsi="Times New Roman" w:cs="Times New Roman"/>
          <w:sz w:val="24"/>
          <w:szCs w:val="24"/>
        </w:rPr>
        <w:t xml:space="preserve">introduced through </w:t>
      </w:r>
      <w:r w:rsidRPr="00675023">
        <w:rPr>
          <w:rFonts w:ascii="Times New Roman" w:hAnsi="Times New Roman" w:cs="Times New Roman"/>
          <w:sz w:val="24"/>
          <w:szCs w:val="24"/>
        </w:rPr>
        <w:t>the amendments to the National Credit Act, the NCT informed the committee that it ha</w:t>
      </w:r>
      <w:r w:rsidR="00A11E31">
        <w:rPr>
          <w:rFonts w:ascii="Times New Roman" w:hAnsi="Times New Roman" w:cs="Times New Roman"/>
          <w:sz w:val="24"/>
          <w:szCs w:val="24"/>
        </w:rPr>
        <w:t>d</w:t>
      </w:r>
      <w:r w:rsidRPr="00675023">
        <w:rPr>
          <w:rFonts w:ascii="Times New Roman" w:hAnsi="Times New Roman" w:cs="Times New Roman"/>
          <w:sz w:val="24"/>
          <w:szCs w:val="24"/>
        </w:rPr>
        <w:t xml:space="preserve"> submitted a request for additional funding to the National Treasury. </w:t>
      </w:r>
      <w:r w:rsidR="00A11E31" w:rsidRPr="00675023">
        <w:rPr>
          <w:rFonts w:ascii="Times New Roman" w:hAnsi="Times New Roman" w:cs="Times New Roman"/>
          <w:sz w:val="24"/>
          <w:szCs w:val="24"/>
        </w:rPr>
        <w:t xml:space="preserve">Cost </w:t>
      </w:r>
      <w:r w:rsidRPr="00675023">
        <w:rPr>
          <w:rFonts w:ascii="Times New Roman" w:hAnsi="Times New Roman" w:cs="Times New Roman"/>
          <w:sz w:val="24"/>
          <w:szCs w:val="24"/>
        </w:rPr>
        <w:t>savings initiatives introduce</w:t>
      </w:r>
      <w:r w:rsidR="00A11E31">
        <w:rPr>
          <w:rFonts w:ascii="Times New Roman" w:hAnsi="Times New Roman" w:cs="Times New Roman"/>
          <w:sz w:val="24"/>
          <w:szCs w:val="24"/>
        </w:rPr>
        <w:t>d</w:t>
      </w:r>
      <w:r w:rsidRPr="00675023">
        <w:rPr>
          <w:rFonts w:ascii="Times New Roman" w:hAnsi="Times New Roman" w:cs="Times New Roman"/>
          <w:sz w:val="24"/>
          <w:szCs w:val="24"/>
        </w:rPr>
        <w:t xml:space="preserve"> in relation to ICT and other measures would mitigate against the rise in cost. The extra members would be paid on a part-time basis and only paid on the days they provide a service. </w:t>
      </w:r>
    </w:p>
    <w:p w:rsidR="009F7C22" w:rsidRPr="00675023" w:rsidRDefault="009F7C22" w:rsidP="009F7C22">
      <w:pPr>
        <w:pStyle w:val="ListParagraph"/>
        <w:widowControl w:val="0"/>
        <w:numPr>
          <w:ilvl w:val="3"/>
          <w:numId w:val="22"/>
        </w:numPr>
        <w:tabs>
          <w:tab w:val="left" w:pos="426"/>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Intervention</w:t>
      </w:r>
      <w:r>
        <w:rPr>
          <w:rFonts w:ascii="Times New Roman" w:hAnsi="Times New Roman" w:cs="Times New Roman"/>
          <w:i/>
          <w:sz w:val="24"/>
          <w:szCs w:val="24"/>
        </w:rPr>
        <w:t>s</w:t>
      </w:r>
      <w:r w:rsidRPr="00675023">
        <w:rPr>
          <w:rFonts w:ascii="Times New Roman" w:hAnsi="Times New Roman" w:cs="Times New Roman"/>
          <w:i/>
          <w:sz w:val="24"/>
          <w:szCs w:val="24"/>
        </w:rPr>
        <w:t xml:space="preserve"> put in place to reduce adjudication costs: </w:t>
      </w:r>
      <w:r w:rsidRPr="00675023">
        <w:rPr>
          <w:rFonts w:ascii="Times New Roman" w:hAnsi="Times New Roman" w:cs="Times New Roman"/>
          <w:sz w:val="24"/>
          <w:szCs w:val="24"/>
        </w:rPr>
        <w:t>The NCT informed the committee that a number of interventions had been put in place during the 2015/16 financial year</w:t>
      </w:r>
      <w:r>
        <w:rPr>
          <w:rFonts w:ascii="Times New Roman" w:hAnsi="Times New Roman" w:cs="Times New Roman"/>
          <w:sz w:val="24"/>
          <w:szCs w:val="24"/>
        </w:rPr>
        <w:t xml:space="preserve"> to reduce adjudication costs</w:t>
      </w:r>
      <w:r w:rsidRPr="00675023">
        <w:rPr>
          <w:rFonts w:ascii="Times New Roman" w:hAnsi="Times New Roman" w:cs="Times New Roman"/>
          <w:sz w:val="24"/>
          <w:szCs w:val="24"/>
        </w:rPr>
        <w:t xml:space="preserve">, </w:t>
      </w:r>
      <w:r>
        <w:rPr>
          <w:rFonts w:ascii="Times New Roman" w:hAnsi="Times New Roman" w:cs="Times New Roman"/>
          <w:sz w:val="24"/>
          <w:szCs w:val="24"/>
        </w:rPr>
        <w:t>namely</w:t>
      </w:r>
      <w:r w:rsidRPr="00675023">
        <w:rPr>
          <w:rFonts w:ascii="Times New Roman" w:hAnsi="Times New Roman" w:cs="Times New Roman"/>
          <w:sz w:val="24"/>
          <w:szCs w:val="24"/>
        </w:rPr>
        <w:t>:</w:t>
      </w:r>
    </w:p>
    <w:p w:rsidR="009F7C22" w:rsidRPr="00675023" w:rsidRDefault="009F7C22" w:rsidP="009F7C22">
      <w:pPr>
        <w:pStyle w:val="ListParagraph"/>
        <w:numPr>
          <w:ilvl w:val="1"/>
          <w:numId w:val="23"/>
        </w:numPr>
        <w:spacing w:after="0" w:line="360" w:lineRule="auto"/>
        <w:ind w:left="720" w:hanging="450"/>
        <w:jc w:val="both"/>
        <w:rPr>
          <w:rFonts w:ascii="Times New Roman" w:hAnsi="Times New Roman" w:cs="Times New Roman"/>
          <w:sz w:val="24"/>
          <w:szCs w:val="24"/>
        </w:rPr>
      </w:pPr>
      <w:r w:rsidRPr="00675023">
        <w:rPr>
          <w:rFonts w:ascii="Times New Roman" w:hAnsi="Times New Roman" w:cs="Times New Roman"/>
          <w:sz w:val="24"/>
          <w:szCs w:val="24"/>
        </w:rPr>
        <w:t xml:space="preserve">The introduction of motion courts to adjudicate on </w:t>
      </w:r>
      <w:r>
        <w:rPr>
          <w:rFonts w:ascii="Times New Roman" w:hAnsi="Times New Roman" w:cs="Times New Roman"/>
          <w:sz w:val="24"/>
          <w:szCs w:val="24"/>
        </w:rPr>
        <w:t xml:space="preserve">DRA </w:t>
      </w:r>
      <w:r w:rsidRPr="00675023">
        <w:rPr>
          <w:rFonts w:ascii="Times New Roman" w:hAnsi="Times New Roman" w:cs="Times New Roman"/>
          <w:sz w:val="24"/>
          <w:szCs w:val="24"/>
        </w:rPr>
        <w:t>application</w:t>
      </w:r>
      <w:r>
        <w:rPr>
          <w:rFonts w:ascii="Times New Roman" w:hAnsi="Times New Roman" w:cs="Times New Roman"/>
          <w:sz w:val="24"/>
          <w:szCs w:val="24"/>
        </w:rPr>
        <w:t>s</w:t>
      </w:r>
      <w:r w:rsidRPr="00675023">
        <w:rPr>
          <w:rFonts w:ascii="Times New Roman" w:hAnsi="Times New Roman" w:cs="Times New Roman"/>
          <w:sz w:val="24"/>
          <w:szCs w:val="24"/>
        </w:rPr>
        <w:t xml:space="preserve"> that had been completely filed. Through this process</w:t>
      </w:r>
      <w:r>
        <w:rPr>
          <w:rFonts w:ascii="Times New Roman" w:hAnsi="Times New Roman" w:cs="Times New Roman"/>
          <w:sz w:val="24"/>
          <w:szCs w:val="24"/>
        </w:rPr>
        <w:t>,</w:t>
      </w:r>
      <w:r w:rsidRPr="00675023">
        <w:rPr>
          <w:rFonts w:ascii="Times New Roman" w:hAnsi="Times New Roman" w:cs="Times New Roman"/>
          <w:sz w:val="24"/>
          <w:szCs w:val="24"/>
        </w:rPr>
        <w:t xml:space="preserve"> legal representatives only argue on the papers before the court. This had resulted in significant cost savings associated with travelling and the hiring of venues and the fact that Tribunal members are now able to deal with bigger case loads.</w:t>
      </w:r>
    </w:p>
    <w:p w:rsidR="009F7C22" w:rsidRPr="00675023" w:rsidRDefault="00023F5B" w:rsidP="009F7C22">
      <w:pPr>
        <w:pStyle w:val="ListParagraph"/>
        <w:numPr>
          <w:ilvl w:val="1"/>
          <w:numId w:val="23"/>
        </w:numPr>
        <w:spacing w:after="0" w:line="360" w:lineRule="auto"/>
        <w:ind w:left="720" w:hanging="450"/>
        <w:jc w:val="both"/>
        <w:rPr>
          <w:rFonts w:ascii="Times New Roman" w:hAnsi="Times New Roman" w:cs="Times New Roman"/>
          <w:sz w:val="24"/>
          <w:szCs w:val="24"/>
        </w:rPr>
      </w:pPr>
      <w:r>
        <w:rPr>
          <w:rFonts w:ascii="Times New Roman" w:hAnsi="Times New Roman" w:cs="Times New Roman"/>
          <w:sz w:val="24"/>
          <w:szCs w:val="24"/>
        </w:rPr>
        <w:t>Where possible similar cases we</w:t>
      </w:r>
      <w:r w:rsidR="009F7C22" w:rsidRPr="00675023">
        <w:rPr>
          <w:rFonts w:ascii="Times New Roman" w:hAnsi="Times New Roman" w:cs="Times New Roman"/>
          <w:sz w:val="24"/>
          <w:szCs w:val="24"/>
        </w:rPr>
        <w:t>re considered and scheduled on the same day which resulted in the reduction of daily fees paid to part-time Tribunal members.</w:t>
      </w:r>
    </w:p>
    <w:p w:rsidR="009F7C22" w:rsidRPr="00675023" w:rsidRDefault="009F7C22" w:rsidP="009F7C22">
      <w:pPr>
        <w:pStyle w:val="ListParagraph"/>
        <w:numPr>
          <w:ilvl w:val="1"/>
          <w:numId w:val="23"/>
        </w:numPr>
        <w:spacing w:after="0" w:line="360" w:lineRule="auto"/>
        <w:ind w:left="720" w:hanging="450"/>
        <w:jc w:val="both"/>
        <w:rPr>
          <w:rFonts w:ascii="Times New Roman" w:hAnsi="Times New Roman" w:cs="Times New Roman"/>
          <w:sz w:val="24"/>
          <w:szCs w:val="24"/>
        </w:rPr>
      </w:pPr>
      <w:r w:rsidRPr="00675023">
        <w:rPr>
          <w:rFonts w:ascii="Times New Roman" w:hAnsi="Times New Roman" w:cs="Times New Roman"/>
          <w:sz w:val="24"/>
          <w:szCs w:val="24"/>
        </w:rPr>
        <w:t>Panels, for the hearing of non-DRA matters, have been compiled to ensure that only one panel member travel</w:t>
      </w:r>
      <w:r w:rsidR="00023F5B">
        <w:rPr>
          <w:rFonts w:ascii="Times New Roman" w:hAnsi="Times New Roman" w:cs="Times New Roman"/>
          <w:sz w:val="24"/>
          <w:szCs w:val="24"/>
        </w:rPr>
        <w:t>s</w:t>
      </w:r>
      <w:r w:rsidRPr="00675023">
        <w:rPr>
          <w:rFonts w:ascii="Times New Roman" w:hAnsi="Times New Roman" w:cs="Times New Roman"/>
          <w:sz w:val="24"/>
          <w:szCs w:val="24"/>
        </w:rPr>
        <w:t xml:space="preserve"> from outside Gauteng. </w:t>
      </w:r>
    </w:p>
    <w:p w:rsidR="00D65F7E" w:rsidRPr="00675023" w:rsidRDefault="00D65F7E" w:rsidP="00592363">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Staff compl</w:t>
      </w:r>
      <w:r w:rsidR="00393A62">
        <w:rPr>
          <w:rFonts w:ascii="Times New Roman" w:hAnsi="Times New Roman" w:cs="Times New Roman"/>
          <w:i/>
          <w:sz w:val="24"/>
          <w:szCs w:val="24"/>
        </w:rPr>
        <w:t>e</w:t>
      </w:r>
      <w:r w:rsidRPr="00675023">
        <w:rPr>
          <w:rFonts w:ascii="Times New Roman" w:hAnsi="Times New Roman" w:cs="Times New Roman"/>
          <w:i/>
          <w:sz w:val="24"/>
          <w:szCs w:val="24"/>
        </w:rPr>
        <w:t>ment at the NCT:</w:t>
      </w:r>
      <w:r w:rsidRPr="00675023">
        <w:rPr>
          <w:rFonts w:ascii="Times New Roman" w:hAnsi="Times New Roman" w:cs="Times New Roman"/>
          <w:sz w:val="24"/>
          <w:szCs w:val="24"/>
        </w:rPr>
        <w:t xml:space="preserve"> The NCT informed the committee that its current </w:t>
      </w:r>
      <w:r w:rsidR="009F7C22">
        <w:rPr>
          <w:rFonts w:ascii="Times New Roman" w:hAnsi="Times New Roman" w:cs="Times New Roman"/>
          <w:sz w:val="24"/>
          <w:szCs w:val="24"/>
        </w:rPr>
        <w:t>approved posts</w:t>
      </w:r>
      <w:r w:rsidRPr="00675023">
        <w:rPr>
          <w:rFonts w:ascii="Times New Roman" w:hAnsi="Times New Roman" w:cs="Times New Roman"/>
          <w:sz w:val="24"/>
          <w:szCs w:val="24"/>
        </w:rPr>
        <w:t xml:space="preserve"> </w:t>
      </w:r>
      <w:r w:rsidR="009F7C22">
        <w:rPr>
          <w:rFonts w:ascii="Times New Roman" w:hAnsi="Times New Roman" w:cs="Times New Roman"/>
          <w:sz w:val="24"/>
          <w:szCs w:val="24"/>
        </w:rPr>
        <w:t xml:space="preserve">were </w:t>
      </w:r>
      <w:r w:rsidRPr="00675023">
        <w:rPr>
          <w:rFonts w:ascii="Times New Roman" w:hAnsi="Times New Roman" w:cs="Times New Roman"/>
          <w:sz w:val="24"/>
          <w:szCs w:val="24"/>
        </w:rPr>
        <w:t>41</w:t>
      </w:r>
      <w:r w:rsidR="009F7C22">
        <w:rPr>
          <w:rFonts w:ascii="Times New Roman" w:hAnsi="Times New Roman" w:cs="Times New Roman"/>
          <w:sz w:val="24"/>
          <w:szCs w:val="24"/>
        </w:rPr>
        <w:t>,</w:t>
      </w:r>
      <w:r w:rsidRPr="00675023">
        <w:rPr>
          <w:rFonts w:ascii="Times New Roman" w:hAnsi="Times New Roman" w:cs="Times New Roman"/>
          <w:sz w:val="24"/>
          <w:szCs w:val="24"/>
        </w:rPr>
        <w:t xml:space="preserve"> of which six position</w:t>
      </w:r>
      <w:r w:rsidR="00393A62">
        <w:rPr>
          <w:rFonts w:ascii="Times New Roman" w:hAnsi="Times New Roman" w:cs="Times New Roman"/>
          <w:sz w:val="24"/>
          <w:szCs w:val="24"/>
        </w:rPr>
        <w:t>s</w:t>
      </w:r>
      <w:r w:rsidRPr="00675023">
        <w:rPr>
          <w:rFonts w:ascii="Times New Roman" w:hAnsi="Times New Roman" w:cs="Times New Roman"/>
          <w:sz w:val="24"/>
          <w:szCs w:val="24"/>
        </w:rPr>
        <w:t xml:space="preserve"> </w:t>
      </w:r>
      <w:r w:rsidR="00393A62">
        <w:rPr>
          <w:rFonts w:ascii="Times New Roman" w:hAnsi="Times New Roman" w:cs="Times New Roman"/>
          <w:sz w:val="24"/>
          <w:szCs w:val="24"/>
        </w:rPr>
        <w:t>are</w:t>
      </w:r>
      <w:r w:rsidRPr="00675023">
        <w:rPr>
          <w:rFonts w:ascii="Times New Roman" w:hAnsi="Times New Roman" w:cs="Times New Roman"/>
          <w:sz w:val="24"/>
          <w:szCs w:val="24"/>
        </w:rPr>
        <w:t xml:space="preserve"> vacant. With the resignation of the Human Resource Manager</w:t>
      </w:r>
      <w:r w:rsidR="009F7C22">
        <w:rPr>
          <w:rFonts w:ascii="Times New Roman" w:hAnsi="Times New Roman" w:cs="Times New Roman"/>
          <w:sz w:val="24"/>
          <w:szCs w:val="24"/>
        </w:rPr>
        <w:t>,</w:t>
      </w:r>
      <w:r w:rsidRPr="00675023">
        <w:rPr>
          <w:rFonts w:ascii="Times New Roman" w:hAnsi="Times New Roman" w:cs="Times New Roman"/>
          <w:sz w:val="24"/>
          <w:szCs w:val="24"/>
        </w:rPr>
        <w:t xml:space="preserve"> only one position </w:t>
      </w:r>
      <w:r w:rsidR="009F7C22">
        <w:rPr>
          <w:rFonts w:ascii="Times New Roman" w:hAnsi="Times New Roman" w:cs="Times New Roman"/>
          <w:sz w:val="24"/>
          <w:szCs w:val="24"/>
        </w:rPr>
        <w:t xml:space="preserve">was vacant </w:t>
      </w:r>
      <w:r w:rsidRPr="00675023">
        <w:rPr>
          <w:rFonts w:ascii="Times New Roman" w:hAnsi="Times New Roman" w:cs="Times New Roman"/>
          <w:sz w:val="24"/>
          <w:szCs w:val="24"/>
        </w:rPr>
        <w:t xml:space="preserve">at </w:t>
      </w:r>
      <w:r w:rsidR="009F7C22">
        <w:rPr>
          <w:rFonts w:ascii="Times New Roman" w:hAnsi="Times New Roman" w:cs="Times New Roman"/>
          <w:sz w:val="24"/>
          <w:szCs w:val="24"/>
        </w:rPr>
        <w:t xml:space="preserve">the </w:t>
      </w:r>
      <w:r w:rsidRPr="00675023">
        <w:rPr>
          <w:rFonts w:ascii="Times New Roman" w:hAnsi="Times New Roman" w:cs="Times New Roman"/>
          <w:sz w:val="24"/>
          <w:szCs w:val="24"/>
        </w:rPr>
        <w:t xml:space="preserve">senior management level. Vacancies </w:t>
      </w:r>
      <w:r w:rsidR="009F7C22">
        <w:rPr>
          <w:rFonts w:ascii="Times New Roman" w:hAnsi="Times New Roman" w:cs="Times New Roman"/>
          <w:sz w:val="24"/>
          <w:szCs w:val="24"/>
        </w:rPr>
        <w:t xml:space="preserve">at lower levels </w:t>
      </w:r>
      <w:r w:rsidRPr="00675023">
        <w:rPr>
          <w:rFonts w:ascii="Times New Roman" w:hAnsi="Times New Roman" w:cs="Times New Roman"/>
          <w:sz w:val="24"/>
          <w:szCs w:val="24"/>
        </w:rPr>
        <w:t>are being filled by participants in the internship programme of the NCT</w:t>
      </w:r>
      <w:r w:rsidR="009F7C22">
        <w:rPr>
          <w:rFonts w:ascii="Times New Roman" w:hAnsi="Times New Roman" w:cs="Times New Roman"/>
          <w:sz w:val="24"/>
          <w:szCs w:val="24"/>
        </w:rPr>
        <w:t>, as far as possible</w:t>
      </w:r>
      <w:r w:rsidRPr="00675023">
        <w:rPr>
          <w:rFonts w:ascii="Times New Roman" w:hAnsi="Times New Roman" w:cs="Times New Roman"/>
          <w:sz w:val="24"/>
          <w:szCs w:val="24"/>
        </w:rPr>
        <w:t xml:space="preserve">.  </w:t>
      </w:r>
    </w:p>
    <w:p w:rsidR="00D65F7E" w:rsidRPr="00675023" w:rsidRDefault="00393A62" w:rsidP="00592363">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Pr>
          <w:rFonts w:ascii="Times New Roman" w:hAnsi="Times New Roman" w:cs="Times New Roman"/>
          <w:i/>
          <w:sz w:val="24"/>
          <w:szCs w:val="24"/>
        </w:rPr>
        <w:t>Disbursement</w:t>
      </w:r>
      <w:r w:rsidRPr="00675023">
        <w:rPr>
          <w:rFonts w:ascii="Times New Roman" w:hAnsi="Times New Roman" w:cs="Times New Roman"/>
          <w:i/>
          <w:sz w:val="24"/>
          <w:szCs w:val="24"/>
        </w:rPr>
        <w:t xml:space="preserve"> </w:t>
      </w:r>
      <w:r w:rsidR="00D65F7E" w:rsidRPr="00675023">
        <w:rPr>
          <w:rFonts w:ascii="Times New Roman" w:hAnsi="Times New Roman" w:cs="Times New Roman"/>
          <w:i/>
          <w:sz w:val="24"/>
          <w:szCs w:val="24"/>
        </w:rPr>
        <w:t>of performance bonuses:</w:t>
      </w:r>
      <w:r w:rsidR="00D65F7E" w:rsidRPr="00675023">
        <w:rPr>
          <w:rFonts w:ascii="Times New Roman" w:hAnsi="Times New Roman" w:cs="Times New Roman"/>
          <w:sz w:val="24"/>
          <w:szCs w:val="24"/>
        </w:rPr>
        <w:t xml:space="preserve"> The NCT informed the committee that </w:t>
      </w:r>
      <w:r w:rsidR="009F7C22">
        <w:rPr>
          <w:rFonts w:ascii="Times New Roman" w:hAnsi="Times New Roman" w:cs="Times New Roman"/>
          <w:sz w:val="24"/>
          <w:szCs w:val="24"/>
        </w:rPr>
        <w:t xml:space="preserve">it had paid out </w:t>
      </w:r>
      <w:r w:rsidR="00D65F7E" w:rsidRPr="00675023">
        <w:rPr>
          <w:rFonts w:ascii="Times New Roman" w:hAnsi="Times New Roman" w:cs="Times New Roman"/>
          <w:sz w:val="24"/>
          <w:szCs w:val="24"/>
        </w:rPr>
        <w:t xml:space="preserve">performance bonuses to the </w:t>
      </w:r>
      <w:r w:rsidR="009F7C22" w:rsidRPr="00675023">
        <w:rPr>
          <w:rFonts w:ascii="Times New Roman" w:hAnsi="Times New Roman" w:cs="Times New Roman"/>
          <w:sz w:val="24"/>
          <w:szCs w:val="24"/>
        </w:rPr>
        <w:t>c</w:t>
      </w:r>
      <w:r w:rsidR="009F7C22">
        <w:rPr>
          <w:rFonts w:ascii="Times New Roman" w:hAnsi="Times New Roman" w:cs="Times New Roman"/>
          <w:sz w:val="24"/>
          <w:szCs w:val="24"/>
        </w:rPr>
        <w:t xml:space="preserve">hief </w:t>
      </w:r>
      <w:r w:rsidR="009F7C22" w:rsidRPr="00675023">
        <w:rPr>
          <w:rFonts w:ascii="Times New Roman" w:hAnsi="Times New Roman" w:cs="Times New Roman"/>
          <w:sz w:val="24"/>
          <w:szCs w:val="24"/>
        </w:rPr>
        <w:t>e</w:t>
      </w:r>
      <w:r w:rsidR="009F7C22">
        <w:rPr>
          <w:rFonts w:ascii="Times New Roman" w:hAnsi="Times New Roman" w:cs="Times New Roman"/>
          <w:sz w:val="24"/>
          <w:szCs w:val="24"/>
        </w:rPr>
        <w:t xml:space="preserve">xecutive </w:t>
      </w:r>
      <w:r w:rsidR="009F7C22" w:rsidRPr="00675023">
        <w:rPr>
          <w:rFonts w:ascii="Times New Roman" w:hAnsi="Times New Roman" w:cs="Times New Roman"/>
          <w:sz w:val="24"/>
          <w:szCs w:val="24"/>
        </w:rPr>
        <w:t>o</w:t>
      </w:r>
      <w:r w:rsidR="009F7C22">
        <w:rPr>
          <w:rFonts w:ascii="Times New Roman" w:hAnsi="Times New Roman" w:cs="Times New Roman"/>
          <w:sz w:val="24"/>
          <w:szCs w:val="24"/>
        </w:rPr>
        <w:t>fficer</w:t>
      </w:r>
      <w:r w:rsidR="009F7C22" w:rsidRPr="00675023">
        <w:rPr>
          <w:rFonts w:ascii="Times New Roman" w:hAnsi="Times New Roman" w:cs="Times New Roman"/>
          <w:sz w:val="24"/>
          <w:szCs w:val="24"/>
        </w:rPr>
        <w:t xml:space="preserve"> </w:t>
      </w:r>
      <w:r w:rsidR="00D65F7E" w:rsidRPr="00675023">
        <w:rPr>
          <w:rFonts w:ascii="Times New Roman" w:hAnsi="Times New Roman" w:cs="Times New Roman"/>
          <w:sz w:val="24"/>
          <w:szCs w:val="24"/>
        </w:rPr>
        <w:t xml:space="preserve">and the </w:t>
      </w:r>
      <w:r w:rsidR="009F7C22" w:rsidRPr="00675023">
        <w:rPr>
          <w:rFonts w:ascii="Times New Roman" w:hAnsi="Times New Roman" w:cs="Times New Roman"/>
          <w:sz w:val="24"/>
          <w:szCs w:val="24"/>
        </w:rPr>
        <w:t>c</w:t>
      </w:r>
      <w:r w:rsidR="009F7C22">
        <w:rPr>
          <w:rFonts w:ascii="Times New Roman" w:hAnsi="Times New Roman" w:cs="Times New Roman"/>
          <w:sz w:val="24"/>
          <w:szCs w:val="24"/>
        </w:rPr>
        <w:t xml:space="preserve">hief </w:t>
      </w:r>
      <w:r w:rsidR="009F7C22" w:rsidRPr="00675023">
        <w:rPr>
          <w:rFonts w:ascii="Times New Roman" w:hAnsi="Times New Roman" w:cs="Times New Roman"/>
          <w:sz w:val="24"/>
          <w:szCs w:val="24"/>
        </w:rPr>
        <w:t>o</w:t>
      </w:r>
      <w:r w:rsidR="009F7C22">
        <w:rPr>
          <w:rFonts w:ascii="Times New Roman" w:hAnsi="Times New Roman" w:cs="Times New Roman"/>
          <w:sz w:val="24"/>
          <w:szCs w:val="24"/>
        </w:rPr>
        <w:t xml:space="preserve">perating </w:t>
      </w:r>
      <w:r w:rsidR="009F7C22" w:rsidRPr="00675023">
        <w:rPr>
          <w:rFonts w:ascii="Times New Roman" w:hAnsi="Times New Roman" w:cs="Times New Roman"/>
          <w:sz w:val="24"/>
          <w:szCs w:val="24"/>
        </w:rPr>
        <w:t>o</w:t>
      </w:r>
      <w:r w:rsidR="009F7C22">
        <w:rPr>
          <w:rFonts w:ascii="Times New Roman" w:hAnsi="Times New Roman" w:cs="Times New Roman"/>
          <w:sz w:val="24"/>
          <w:szCs w:val="24"/>
        </w:rPr>
        <w:t>fficer</w:t>
      </w:r>
      <w:r w:rsidR="00D65F7E" w:rsidRPr="00675023">
        <w:rPr>
          <w:rFonts w:ascii="Times New Roman" w:hAnsi="Times New Roman" w:cs="Times New Roman"/>
          <w:sz w:val="24"/>
          <w:szCs w:val="24"/>
        </w:rPr>
        <w:t xml:space="preserve"> to the amount of R313</w:t>
      </w:r>
      <w:r>
        <w:rPr>
          <w:rFonts w:ascii="Times New Roman" w:hAnsi="Times New Roman" w:cs="Times New Roman"/>
          <w:sz w:val="24"/>
          <w:szCs w:val="24"/>
        </w:rPr>
        <w:t> </w:t>
      </w:r>
      <w:r w:rsidR="00D65F7E" w:rsidRPr="00675023">
        <w:rPr>
          <w:rFonts w:ascii="Times New Roman" w:hAnsi="Times New Roman" w:cs="Times New Roman"/>
          <w:sz w:val="24"/>
          <w:szCs w:val="24"/>
        </w:rPr>
        <w:t>403.45 and R247 698.35 respectively. The Registrar and two senior official</w:t>
      </w:r>
      <w:r>
        <w:rPr>
          <w:rFonts w:ascii="Times New Roman" w:hAnsi="Times New Roman" w:cs="Times New Roman"/>
          <w:sz w:val="24"/>
          <w:szCs w:val="24"/>
        </w:rPr>
        <w:t>s</w:t>
      </w:r>
      <w:r w:rsidR="00D65F7E" w:rsidRPr="00675023">
        <w:rPr>
          <w:rFonts w:ascii="Times New Roman" w:hAnsi="Times New Roman" w:cs="Times New Roman"/>
          <w:sz w:val="24"/>
          <w:szCs w:val="24"/>
        </w:rPr>
        <w:t xml:space="preserve"> ha</w:t>
      </w:r>
      <w:r w:rsidR="009F7C22">
        <w:rPr>
          <w:rFonts w:ascii="Times New Roman" w:hAnsi="Times New Roman" w:cs="Times New Roman"/>
          <w:sz w:val="24"/>
          <w:szCs w:val="24"/>
        </w:rPr>
        <w:t>d</w:t>
      </w:r>
      <w:r w:rsidR="00D65F7E" w:rsidRPr="00675023">
        <w:rPr>
          <w:rFonts w:ascii="Times New Roman" w:hAnsi="Times New Roman" w:cs="Times New Roman"/>
          <w:sz w:val="24"/>
          <w:szCs w:val="24"/>
        </w:rPr>
        <w:t xml:space="preserve"> not yet received performance bonuses as their performance information </w:t>
      </w:r>
      <w:r w:rsidR="009F7C22">
        <w:rPr>
          <w:rFonts w:ascii="Times New Roman" w:hAnsi="Times New Roman" w:cs="Times New Roman"/>
          <w:sz w:val="24"/>
          <w:szCs w:val="24"/>
        </w:rPr>
        <w:t>were</w:t>
      </w:r>
      <w:r w:rsidR="00D65F7E" w:rsidRPr="00675023">
        <w:rPr>
          <w:rFonts w:ascii="Times New Roman" w:hAnsi="Times New Roman" w:cs="Times New Roman"/>
          <w:sz w:val="24"/>
          <w:szCs w:val="24"/>
        </w:rPr>
        <w:t xml:space="preserve"> under review and the process </w:t>
      </w:r>
      <w:r w:rsidR="009F7C22">
        <w:rPr>
          <w:rFonts w:ascii="Times New Roman" w:hAnsi="Times New Roman" w:cs="Times New Roman"/>
          <w:sz w:val="24"/>
          <w:szCs w:val="24"/>
        </w:rPr>
        <w:t>wa</w:t>
      </w:r>
      <w:r>
        <w:rPr>
          <w:rFonts w:ascii="Times New Roman" w:hAnsi="Times New Roman" w:cs="Times New Roman"/>
          <w:sz w:val="24"/>
          <w:szCs w:val="24"/>
        </w:rPr>
        <w:t xml:space="preserve">s </w:t>
      </w:r>
      <w:r w:rsidR="00D65F7E" w:rsidRPr="00675023">
        <w:rPr>
          <w:rFonts w:ascii="Times New Roman" w:hAnsi="Times New Roman" w:cs="Times New Roman"/>
          <w:sz w:val="24"/>
          <w:szCs w:val="24"/>
        </w:rPr>
        <w:t xml:space="preserve">not yet finalised. </w:t>
      </w:r>
    </w:p>
    <w:p w:rsidR="00771465" w:rsidRPr="00675023" w:rsidRDefault="00771465" w:rsidP="00771465">
      <w:pPr>
        <w:pStyle w:val="ListParagraph"/>
        <w:widowControl w:val="0"/>
        <w:numPr>
          <w:ilvl w:val="3"/>
          <w:numId w:val="22"/>
        </w:numPr>
        <w:tabs>
          <w:tab w:val="left" w:pos="220"/>
          <w:tab w:val="left" w:pos="720"/>
        </w:tabs>
        <w:autoSpaceDE w:val="0"/>
        <w:autoSpaceDN w:val="0"/>
        <w:adjustRightInd w:val="0"/>
        <w:spacing w:after="0" w:line="360" w:lineRule="auto"/>
        <w:ind w:left="270" w:hanging="180"/>
        <w:jc w:val="both"/>
        <w:rPr>
          <w:rFonts w:ascii="Times New Roman" w:hAnsi="Times New Roman" w:cs="Times New Roman"/>
          <w:sz w:val="24"/>
          <w:szCs w:val="24"/>
        </w:rPr>
      </w:pPr>
      <w:r w:rsidRPr="00675023">
        <w:rPr>
          <w:rFonts w:ascii="Times New Roman" w:hAnsi="Times New Roman" w:cs="Times New Roman"/>
          <w:i/>
          <w:sz w:val="24"/>
          <w:szCs w:val="24"/>
        </w:rPr>
        <w:t>The rationale for an internal audit commissioned on the HR unit and its outcome:</w:t>
      </w:r>
      <w:r w:rsidRPr="00675023">
        <w:rPr>
          <w:rFonts w:ascii="Times New Roman" w:hAnsi="Times New Roman" w:cs="Times New Roman"/>
          <w:sz w:val="24"/>
          <w:szCs w:val="24"/>
        </w:rPr>
        <w:t xml:space="preserve"> The NCT informed the committee that its human resource manager ha</w:t>
      </w:r>
      <w:r>
        <w:rPr>
          <w:rFonts w:ascii="Times New Roman" w:hAnsi="Times New Roman" w:cs="Times New Roman"/>
          <w:sz w:val="24"/>
          <w:szCs w:val="24"/>
        </w:rPr>
        <w:t>d</w:t>
      </w:r>
      <w:r w:rsidRPr="00675023">
        <w:rPr>
          <w:rFonts w:ascii="Times New Roman" w:hAnsi="Times New Roman" w:cs="Times New Roman"/>
          <w:sz w:val="24"/>
          <w:szCs w:val="24"/>
        </w:rPr>
        <w:t xml:space="preserve"> resigned. The internal audit on the Registrar was commissioned at the request of the chairperson as a result of the performance information submitted by the Registrar and two senior official</w:t>
      </w:r>
      <w:r>
        <w:rPr>
          <w:rFonts w:ascii="Times New Roman" w:hAnsi="Times New Roman" w:cs="Times New Roman"/>
          <w:sz w:val="24"/>
          <w:szCs w:val="24"/>
        </w:rPr>
        <w:t>s</w:t>
      </w:r>
      <w:r w:rsidRPr="00675023">
        <w:rPr>
          <w:rFonts w:ascii="Times New Roman" w:hAnsi="Times New Roman" w:cs="Times New Roman"/>
          <w:sz w:val="24"/>
          <w:szCs w:val="24"/>
        </w:rPr>
        <w:t>. The HR governance committee, in reviewing the performance assessment information provided, noticed certain discrepancies. Currently</w:t>
      </w:r>
      <w:r>
        <w:rPr>
          <w:rFonts w:ascii="Times New Roman" w:hAnsi="Times New Roman" w:cs="Times New Roman"/>
          <w:sz w:val="24"/>
          <w:szCs w:val="24"/>
        </w:rPr>
        <w:t>,</w:t>
      </w:r>
      <w:r w:rsidRPr="00675023">
        <w:rPr>
          <w:rFonts w:ascii="Times New Roman" w:hAnsi="Times New Roman" w:cs="Times New Roman"/>
          <w:sz w:val="24"/>
          <w:szCs w:val="24"/>
        </w:rPr>
        <w:t xml:space="preserve"> an external review process</w:t>
      </w:r>
      <w:r>
        <w:rPr>
          <w:rFonts w:ascii="Times New Roman" w:hAnsi="Times New Roman" w:cs="Times New Roman"/>
          <w:sz w:val="24"/>
          <w:szCs w:val="24"/>
        </w:rPr>
        <w:t xml:space="preserve"> wa</w:t>
      </w:r>
      <w:r w:rsidRPr="00675023">
        <w:rPr>
          <w:rFonts w:ascii="Times New Roman" w:hAnsi="Times New Roman" w:cs="Times New Roman"/>
          <w:sz w:val="24"/>
          <w:szCs w:val="24"/>
        </w:rPr>
        <w:t>s underway</w:t>
      </w:r>
      <w:r>
        <w:rPr>
          <w:rFonts w:ascii="Times New Roman" w:hAnsi="Times New Roman" w:cs="Times New Roman"/>
          <w:sz w:val="24"/>
          <w:szCs w:val="24"/>
        </w:rPr>
        <w:t>,</w:t>
      </w:r>
      <w:r w:rsidRPr="00675023">
        <w:rPr>
          <w:rFonts w:ascii="Times New Roman" w:hAnsi="Times New Roman" w:cs="Times New Roman"/>
          <w:sz w:val="24"/>
          <w:szCs w:val="24"/>
        </w:rPr>
        <w:t xml:space="preserve"> which should be concluded by the end of May 2016. </w:t>
      </w:r>
    </w:p>
    <w:p w:rsidR="00124675" w:rsidRPr="00675023" w:rsidRDefault="00124675" w:rsidP="00592363">
      <w:pPr>
        <w:autoSpaceDE w:val="0"/>
        <w:autoSpaceDN w:val="0"/>
        <w:adjustRightInd w:val="0"/>
        <w:spacing w:after="0" w:line="360" w:lineRule="auto"/>
        <w:jc w:val="both"/>
        <w:rPr>
          <w:rFonts w:ascii="Times New Roman" w:hAnsi="Times New Roman" w:cs="Times New Roman"/>
          <w:b/>
          <w:sz w:val="24"/>
          <w:szCs w:val="24"/>
        </w:rPr>
      </w:pPr>
    </w:p>
    <w:p w:rsidR="00DD2675" w:rsidRPr="00675023" w:rsidRDefault="00DD2675" w:rsidP="007E21C4">
      <w:pPr>
        <w:pStyle w:val="ListParagraph"/>
        <w:numPr>
          <w:ilvl w:val="1"/>
          <w:numId w:val="2"/>
        </w:numPr>
        <w:spacing w:after="0" w:line="360" w:lineRule="auto"/>
        <w:ind w:left="567" w:hanging="567"/>
        <w:jc w:val="both"/>
        <w:rPr>
          <w:rFonts w:ascii="Times New Roman" w:hAnsi="Times New Roman" w:cs="Times New Roman"/>
          <w:b/>
          <w:sz w:val="24"/>
          <w:szCs w:val="24"/>
        </w:rPr>
      </w:pPr>
      <w:r w:rsidRPr="00675023">
        <w:rPr>
          <w:rFonts w:ascii="Times New Roman" w:hAnsi="Times New Roman" w:cs="Times New Roman"/>
          <w:b/>
          <w:sz w:val="24"/>
          <w:szCs w:val="24"/>
        </w:rPr>
        <w:t>National Gambling Board</w:t>
      </w:r>
    </w:p>
    <w:p w:rsidR="00DD2675" w:rsidRPr="00675023" w:rsidRDefault="00DD2675" w:rsidP="00592363">
      <w:pPr>
        <w:spacing w:after="0" w:line="360" w:lineRule="auto"/>
        <w:jc w:val="both"/>
        <w:rPr>
          <w:rFonts w:ascii="Times New Roman" w:hAnsi="Times New Roman" w:cs="Times New Roman"/>
          <w:b/>
          <w:sz w:val="24"/>
          <w:szCs w:val="24"/>
        </w:rPr>
      </w:pPr>
    </w:p>
    <w:p w:rsidR="00E8046D" w:rsidRDefault="00E8046D"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National Gambling Board (NGB) is mandated through the National Gambling Act (No. 7 of 2004) to oversee gambling activities within South Africa</w:t>
      </w:r>
      <w:r w:rsidR="007874F9">
        <w:rPr>
          <w:rFonts w:ascii="Times New Roman" w:hAnsi="Times New Roman" w:cs="Times New Roman"/>
          <w:sz w:val="24"/>
          <w:szCs w:val="24"/>
        </w:rPr>
        <w:t xml:space="preserve">, namely </w:t>
      </w:r>
      <w:r w:rsidRPr="00675023">
        <w:rPr>
          <w:rFonts w:ascii="Times New Roman" w:hAnsi="Times New Roman" w:cs="Times New Roman"/>
          <w:sz w:val="24"/>
          <w:szCs w:val="24"/>
        </w:rPr>
        <w:t>casinos, bingo halls and limited payout machines, as well as betting with a bookmaker and wagering on horse racing and other sport. According to the Act, the NGB’s functions include:</w:t>
      </w:r>
    </w:p>
    <w:p w:rsidR="007874F9" w:rsidRPr="00675023" w:rsidRDefault="007874F9" w:rsidP="00592363">
      <w:pPr>
        <w:spacing w:after="0" w:line="360" w:lineRule="auto"/>
        <w:jc w:val="both"/>
        <w:rPr>
          <w:rFonts w:ascii="Times New Roman" w:hAnsi="Times New Roman" w:cs="Times New Roman"/>
          <w:sz w:val="24"/>
          <w:szCs w:val="24"/>
        </w:rPr>
      </w:pP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Monitoring and investigating the issuing of national licences by provincial licensing authorities for compliance.</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Investigating, monitoring and evaluating the compliance monitoring by provincial licensing authorities of licensees.</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Ensuring that national norms and standards established by the Act are uniformly and consistently applied by provincial licensing authorities.</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Establishing and maintaining a national register of excluded persons, a national central electronic monitoring system to monitor gambling activity on limited payout machines, and a national register of gambling machines and devices.</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Advising the National Gambling Policy Council on licensing of gambling activities, matters of national policy and on the determination of national norms and standards regarding any matter in terms of this Act.</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Monitoring socio-economic patterns of gambling activity within the Republic relating to the socio-economic impact of gambling, and addictive or compulsive gambling.</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Providing a broad-based public education programme about the risks and socio-economic impact of gambling.</w:t>
      </w:r>
    </w:p>
    <w:p w:rsidR="00E8046D" w:rsidRPr="00675023" w:rsidRDefault="00E8046D" w:rsidP="00592363">
      <w:pPr>
        <w:numPr>
          <w:ilvl w:val="0"/>
          <w:numId w:val="25"/>
        </w:numPr>
        <w:spacing w:after="0" w:line="360" w:lineRule="auto"/>
        <w:jc w:val="both"/>
        <w:rPr>
          <w:rFonts w:ascii="Times New Roman" w:hAnsi="Times New Roman" w:cs="Times New Roman"/>
          <w:sz w:val="24"/>
          <w:szCs w:val="24"/>
          <w:lang w:eastAsia="en-ZA"/>
        </w:rPr>
      </w:pPr>
      <w:r w:rsidRPr="00675023">
        <w:rPr>
          <w:rFonts w:ascii="Times New Roman" w:hAnsi="Times New Roman" w:cs="Times New Roman"/>
          <w:sz w:val="24"/>
          <w:szCs w:val="24"/>
          <w:lang w:eastAsia="en-ZA"/>
        </w:rPr>
        <w:t>Monitoring market share and market conduct in the gambling industry for any concerns regarding market share or possible prohibited practices in terms of the Competition Act (No. 89 of 1998).</w:t>
      </w:r>
    </w:p>
    <w:p w:rsidR="00E8046D" w:rsidRPr="00675023" w:rsidRDefault="00E8046D" w:rsidP="00592363">
      <w:pPr>
        <w:pStyle w:val="Default"/>
        <w:spacing w:line="360" w:lineRule="auto"/>
        <w:jc w:val="both"/>
        <w:rPr>
          <w:rFonts w:ascii="Times New Roman" w:hAnsi="Times New Roman" w:cs="Times New Roman"/>
          <w:color w:val="auto"/>
        </w:rPr>
      </w:pPr>
    </w:p>
    <w:p w:rsidR="00E8046D" w:rsidRPr="00675023" w:rsidRDefault="00E8046D"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Strategic Goals of the National Gambling Board</w:t>
      </w:r>
    </w:p>
    <w:p w:rsidR="00E8046D" w:rsidRPr="00675023" w:rsidRDefault="00E8046D" w:rsidP="00592363">
      <w:pPr>
        <w:pStyle w:val="Default"/>
        <w:spacing w:line="360" w:lineRule="auto"/>
        <w:jc w:val="both"/>
        <w:rPr>
          <w:rFonts w:ascii="Times New Roman" w:hAnsi="Times New Roman" w:cs="Times New Roman"/>
          <w:color w:val="auto"/>
        </w:rPr>
      </w:pPr>
    </w:p>
    <w:p w:rsidR="00E8046D" w:rsidRPr="00675023" w:rsidRDefault="00E8046D" w:rsidP="00592363">
      <w:pPr>
        <w:pStyle w:val="Default"/>
        <w:spacing w:line="360" w:lineRule="auto"/>
        <w:jc w:val="both"/>
        <w:rPr>
          <w:rFonts w:ascii="Times New Roman" w:hAnsi="Times New Roman" w:cs="Times New Roman"/>
          <w:color w:val="auto"/>
        </w:rPr>
      </w:pPr>
      <w:r w:rsidRPr="005728D4">
        <w:rPr>
          <w:rFonts w:ascii="Times New Roman" w:hAnsi="Times New Roman" w:cs="Times New Roman"/>
        </w:rPr>
        <w:t xml:space="preserve">The NGB’s </w:t>
      </w:r>
      <w:r w:rsidR="005728D4">
        <w:rPr>
          <w:rFonts w:ascii="Times New Roman" w:hAnsi="Times New Roman" w:cs="Times New Roman"/>
          <w:color w:val="auto"/>
        </w:rPr>
        <w:t>strategic goals and outcomes are as follows:</w:t>
      </w:r>
    </w:p>
    <w:p w:rsidR="00F73BD0" w:rsidRDefault="00F73BD0" w:rsidP="00592363">
      <w:pPr>
        <w:pStyle w:val="Default"/>
        <w:spacing w:line="360" w:lineRule="auto"/>
        <w:jc w:val="both"/>
        <w:rPr>
          <w:rFonts w:ascii="Times New Roman" w:hAnsi="Times New Roman" w:cs="Times New Roman"/>
          <w:color w:val="auto"/>
        </w:rPr>
      </w:pPr>
    </w:p>
    <w:p w:rsidR="00E8046D" w:rsidRPr="00675023" w:rsidRDefault="00E8046D" w:rsidP="00592363">
      <w:pPr>
        <w:pStyle w:val="Default"/>
        <w:spacing w:line="360" w:lineRule="auto"/>
        <w:jc w:val="both"/>
        <w:rPr>
          <w:rFonts w:ascii="Times New Roman" w:hAnsi="Times New Roman" w:cs="Times New Roman"/>
          <w:b/>
          <w:color w:val="auto"/>
        </w:rPr>
      </w:pPr>
      <w:r w:rsidRPr="00675023">
        <w:rPr>
          <w:rFonts w:ascii="Times New Roman" w:hAnsi="Times New Roman" w:cs="Times New Roman"/>
          <w:b/>
          <w:color w:val="auto"/>
        </w:rPr>
        <w:t>Table 1</w:t>
      </w:r>
      <w:r w:rsidR="00CE68CD">
        <w:rPr>
          <w:rFonts w:ascii="Times New Roman" w:hAnsi="Times New Roman" w:cs="Times New Roman"/>
          <w:b/>
          <w:color w:val="auto"/>
        </w:rPr>
        <w:t>3</w:t>
      </w:r>
      <w:r w:rsidRPr="00675023">
        <w:rPr>
          <w:rFonts w:ascii="Times New Roman" w:hAnsi="Times New Roman" w:cs="Times New Roman"/>
          <w:b/>
          <w:color w:val="auto"/>
        </w:rPr>
        <w:t>: Strategic Goals and Outcomes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75"/>
      </w:tblGrid>
      <w:tr w:rsidR="00E8046D" w:rsidRPr="00675023" w:rsidTr="007E21C4">
        <w:trPr>
          <w:trHeight w:val="362"/>
          <w:tblHeader/>
        </w:trPr>
        <w:tc>
          <w:tcPr>
            <w:tcW w:w="2518" w:type="dxa"/>
            <w:shd w:val="clear" w:color="auto" w:fill="BFBFBF" w:themeFill="background1" w:themeFillShade="BF"/>
            <w:vAlign w:val="center"/>
          </w:tcPr>
          <w:p w:rsidR="00E8046D" w:rsidRPr="007E21C4" w:rsidRDefault="00E8046D" w:rsidP="00592363">
            <w:pPr>
              <w:pStyle w:val="Default"/>
              <w:spacing w:line="360" w:lineRule="auto"/>
              <w:jc w:val="center"/>
              <w:rPr>
                <w:rFonts w:ascii="Times New Roman" w:hAnsi="Times New Roman" w:cs="Times New Roman"/>
                <w:color w:val="auto"/>
                <w:sz w:val="22"/>
              </w:rPr>
            </w:pPr>
            <w:r w:rsidRPr="007E21C4">
              <w:rPr>
                <w:rFonts w:ascii="Times New Roman" w:hAnsi="Times New Roman" w:cs="Times New Roman"/>
                <w:b/>
                <w:bCs/>
                <w:color w:val="auto"/>
                <w:sz w:val="22"/>
              </w:rPr>
              <w:t>Strategic Goals</w:t>
            </w:r>
          </w:p>
        </w:tc>
        <w:tc>
          <w:tcPr>
            <w:tcW w:w="6975" w:type="dxa"/>
            <w:shd w:val="clear" w:color="auto" w:fill="BFBFBF" w:themeFill="background1" w:themeFillShade="BF"/>
            <w:vAlign w:val="center"/>
          </w:tcPr>
          <w:p w:rsidR="00E8046D" w:rsidRPr="007E21C4" w:rsidRDefault="00F350B5" w:rsidP="00592363">
            <w:pPr>
              <w:pStyle w:val="Default"/>
              <w:spacing w:line="360" w:lineRule="auto"/>
              <w:jc w:val="center"/>
              <w:rPr>
                <w:rFonts w:ascii="Times New Roman" w:hAnsi="Times New Roman" w:cs="Times New Roman"/>
                <w:color w:val="auto"/>
                <w:sz w:val="22"/>
              </w:rPr>
            </w:pPr>
            <w:r>
              <w:rPr>
                <w:rFonts w:ascii="Times New Roman" w:hAnsi="Times New Roman" w:cs="Times New Roman"/>
                <w:color w:val="auto"/>
                <w:sz w:val="22"/>
              </w:rPr>
              <w:t>Strategic outcomes</w:t>
            </w:r>
          </w:p>
        </w:tc>
      </w:tr>
      <w:tr w:rsidR="00E8046D" w:rsidRPr="00675023" w:rsidTr="007E21C4">
        <w:trPr>
          <w:trHeight w:val="634"/>
        </w:trPr>
        <w:tc>
          <w:tcPr>
            <w:tcW w:w="2518" w:type="dxa"/>
          </w:tcPr>
          <w:p w:rsidR="00E8046D" w:rsidRPr="007E21C4" w:rsidRDefault="00E8046D" w:rsidP="007874F9">
            <w:pPr>
              <w:pStyle w:val="Default"/>
              <w:spacing w:line="360" w:lineRule="auto"/>
              <w:rPr>
                <w:rFonts w:ascii="Times New Roman" w:hAnsi="Times New Roman" w:cs="Times New Roman"/>
                <w:bCs/>
                <w:sz w:val="22"/>
              </w:rPr>
            </w:pPr>
            <w:r w:rsidRPr="007E21C4">
              <w:rPr>
                <w:rFonts w:ascii="Times New Roman" w:hAnsi="Times New Roman" w:cs="Times New Roman"/>
                <w:bCs/>
                <w:sz w:val="22"/>
              </w:rPr>
              <w:t>Enforce Compliance</w:t>
            </w:r>
          </w:p>
        </w:tc>
        <w:tc>
          <w:tcPr>
            <w:tcW w:w="6975" w:type="dxa"/>
            <w:vAlign w:val="center"/>
          </w:tcPr>
          <w:p w:rsidR="007874F9" w:rsidRPr="007E21C4" w:rsidRDefault="007874F9" w:rsidP="007874F9">
            <w:pPr>
              <w:pStyle w:val="ListParagraph"/>
              <w:numPr>
                <w:ilvl w:val="0"/>
                <w:numId w:val="30"/>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Compliance monitoring of all provinces with Gambling Legislation</w:t>
            </w:r>
          </w:p>
          <w:p w:rsidR="007874F9" w:rsidRPr="007E21C4" w:rsidRDefault="007874F9" w:rsidP="007874F9">
            <w:pPr>
              <w:pStyle w:val="ListParagraph"/>
              <w:numPr>
                <w:ilvl w:val="0"/>
                <w:numId w:val="30"/>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Combatting of unlicensed gambling activities</w:t>
            </w:r>
          </w:p>
          <w:p w:rsidR="007874F9" w:rsidRPr="007E21C4" w:rsidRDefault="007874F9" w:rsidP="007874F9">
            <w:pPr>
              <w:pStyle w:val="ListParagraph"/>
              <w:numPr>
                <w:ilvl w:val="0"/>
                <w:numId w:val="30"/>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Suppression of illegal gambling activities</w:t>
            </w:r>
          </w:p>
          <w:p w:rsidR="007874F9" w:rsidRPr="007E21C4" w:rsidRDefault="007874F9" w:rsidP="007874F9">
            <w:pPr>
              <w:pStyle w:val="ListParagraph"/>
              <w:numPr>
                <w:ilvl w:val="0"/>
                <w:numId w:val="30"/>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Effective monitoring of Limited Payout Machines</w:t>
            </w:r>
          </w:p>
          <w:p w:rsidR="007874F9" w:rsidRPr="007E21C4" w:rsidRDefault="007874F9" w:rsidP="007E21C4">
            <w:pPr>
              <w:pStyle w:val="ListParagraph"/>
              <w:numPr>
                <w:ilvl w:val="0"/>
                <w:numId w:val="30"/>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Establish and maintain National Functional</w:t>
            </w:r>
            <w:r w:rsidR="00393A62" w:rsidRPr="00393A62">
              <w:rPr>
                <w:rFonts w:ascii="Times New Roman" w:hAnsi="Times New Roman" w:cs="Times New Roman"/>
                <w:szCs w:val="24"/>
              </w:rPr>
              <w:t xml:space="preserve"> </w:t>
            </w:r>
            <w:r w:rsidRPr="007E21C4">
              <w:rPr>
                <w:rFonts w:ascii="Times New Roman" w:hAnsi="Times New Roman" w:cs="Times New Roman"/>
                <w:szCs w:val="24"/>
              </w:rPr>
              <w:t>Registers</w:t>
            </w:r>
          </w:p>
          <w:p w:rsidR="00E8046D" w:rsidRPr="007E21C4" w:rsidRDefault="007874F9" w:rsidP="007874F9">
            <w:pPr>
              <w:pStyle w:val="ListParagraph"/>
              <w:numPr>
                <w:ilvl w:val="0"/>
                <w:numId w:val="26"/>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Develop a register of illegal operatives</w:t>
            </w:r>
          </w:p>
        </w:tc>
      </w:tr>
      <w:tr w:rsidR="00E8046D" w:rsidRPr="00675023" w:rsidTr="007E21C4">
        <w:trPr>
          <w:trHeight w:val="700"/>
        </w:trPr>
        <w:tc>
          <w:tcPr>
            <w:tcW w:w="2518" w:type="dxa"/>
          </w:tcPr>
          <w:p w:rsidR="00E8046D" w:rsidRPr="007E21C4" w:rsidRDefault="00E8046D" w:rsidP="007874F9">
            <w:pPr>
              <w:autoSpaceDE w:val="0"/>
              <w:autoSpaceDN w:val="0"/>
              <w:adjustRightInd w:val="0"/>
              <w:spacing w:after="0" w:line="360" w:lineRule="auto"/>
              <w:rPr>
                <w:rFonts w:ascii="Times New Roman" w:hAnsi="Times New Roman" w:cs="Times New Roman"/>
                <w:bCs/>
              </w:rPr>
            </w:pPr>
            <w:r w:rsidRPr="007E21C4">
              <w:rPr>
                <w:rFonts w:ascii="Times New Roman" w:hAnsi="Times New Roman" w:cs="Times New Roman"/>
                <w:bCs/>
                <w:szCs w:val="24"/>
              </w:rPr>
              <w:t>Enhance Stakeholder</w:t>
            </w:r>
            <w:r w:rsidR="00A477F6" w:rsidRPr="007E21C4">
              <w:rPr>
                <w:rFonts w:ascii="Times New Roman" w:hAnsi="Times New Roman" w:cs="Times New Roman"/>
                <w:bCs/>
                <w:szCs w:val="24"/>
              </w:rPr>
              <w:t xml:space="preserve"> </w:t>
            </w:r>
            <w:r w:rsidRPr="007E21C4">
              <w:rPr>
                <w:rFonts w:ascii="Times New Roman" w:hAnsi="Times New Roman" w:cs="Times New Roman"/>
                <w:bCs/>
                <w:szCs w:val="24"/>
              </w:rPr>
              <w:t>Liaison and Statutory</w:t>
            </w:r>
            <w:r w:rsidR="00A477F6" w:rsidRPr="007E21C4">
              <w:rPr>
                <w:rFonts w:ascii="Times New Roman" w:hAnsi="Times New Roman" w:cs="Times New Roman"/>
                <w:bCs/>
                <w:szCs w:val="24"/>
              </w:rPr>
              <w:t xml:space="preserve"> </w:t>
            </w:r>
            <w:r w:rsidRPr="007E21C4">
              <w:rPr>
                <w:rFonts w:ascii="Times New Roman" w:hAnsi="Times New Roman" w:cs="Times New Roman"/>
                <w:bCs/>
              </w:rPr>
              <w:t>Advisory Services</w:t>
            </w:r>
          </w:p>
        </w:tc>
        <w:tc>
          <w:tcPr>
            <w:tcW w:w="6975" w:type="dxa"/>
            <w:vAlign w:val="center"/>
          </w:tcPr>
          <w:p w:rsidR="007874F9" w:rsidRPr="007E21C4" w:rsidRDefault="007874F9" w:rsidP="007874F9">
            <w:pPr>
              <w:pStyle w:val="ListParagraph"/>
              <w:numPr>
                <w:ilvl w:val="0"/>
                <w:numId w:val="29"/>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Provide research-based authoritative advice on</w:t>
            </w:r>
            <w:r w:rsidRPr="007874F9">
              <w:rPr>
                <w:rFonts w:ascii="Times New Roman" w:hAnsi="Times New Roman" w:cs="Times New Roman"/>
                <w:szCs w:val="24"/>
              </w:rPr>
              <w:t xml:space="preserve"> </w:t>
            </w:r>
            <w:r w:rsidR="00393A62" w:rsidRPr="007874F9">
              <w:rPr>
                <w:rFonts w:ascii="Times New Roman" w:hAnsi="Times New Roman" w:cs="Times New Roman"/>
                <w:szCs w:val="24"/>
              </w:rPr>
              <w:t>gambling</w:t>
            </w:r>
          </w:p>
          <w:p w:rsidR="007874F9" w:rsidRPr="007E21C4" w:rsidRDefault="007874F9" w:rsidP="007874F9">
            <w:pPr>
              <w:pStyle w:val="ListParagraph"/>
              <w:numPr>
                <w:ilvl w:val="0"/>
                <w:numId w:val="29"/>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Conduct public awareness, education</w:t>
            </w:r>
            <w:r w:rsidRPr="007874F9">
              <w:rPr>
                <w:rFonts w:ascii="Times New Roman" w:hAnsi="Times New Roman" w:cs="Times New Roman"/>
                <w:szCs w:val="24"/>
              </w:rPr>
              <w:t xml:space="preserve"> </w:t>
            </w:r>
            <w:r w:rsidRPr="007E21C4">
              <w:rPr>
                <w:rFonts w:ascii="Times New Roman" w:hAnsi="Times New Roman" w:cs="Times New Roman"/>
                <w:szCs w:val="24"/>
              </w:rPr>
              <w:t>and responsible gambling campaigns</w:t>
            </w:r>
          </w:p>
          <w:p w:rsidR="00E8046D" w:rsidRPr="007E21C4" w:rsidRDefault="007874F9" w:rsidP="007874F9">
            <w:pPr>
              <w:pStyle w:val="ListParagraph"/>
              <w:numPr>
                <w:ilvl w:val="0"/>
                <w:numId w:val="29"/>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Facilitate social dialogue</w:t>
            </w:r>
            <w:r>
              <w:rPr>
                <w:rFonts w:ascii="Times New Roman" w:hAnsi="Times New Roman" w:cs="Times New Roman"/>
                <w:szCs w:val="24"/>
              </w:rPr>
              <w:t xml:space="preserve"> </w:t>
            </w:r>
            <w:r w:rsidRPr="007E21C4">
              <w:rPr>
                <w:rFonts w:ascii="Times New Roman" w:hAnsi="Times New Roman" w:cs="Times New Roman"/>
              </w:rPr>
              <w:t>with stakeholders</w:t>
            </w:r>
          </w:p>
        </w:tc>
      </w:tr>
      <w:tr w:rsidR="00E8046D" w:rsidRPr="00675023" w:rsidTr="007E21C4">
        <w:trPr>
          <w:trHeight w:val="1052"/>
        </w:trPr>
        <w:tc>
          <w:tcPr>
            <w:tcW w:w="2518" w:type="dxa"/>
          </w:tcPr>
          <w:p w:rsidR="00E8046D" w:rsidRPr="007E21C4" w:rsidRDefault="00E8046D" w:rsidP="007E21C4">
            <w:pPr>
              <w:autoSpaceDE w:val="0"/>
              <w:autoSpaceDN w:val="0"/>
              <w:adjustRightInd w:val="0"/>
              <w:spacing w:after="0" w:line="360" w:lineRule="auto"/>
              <w:rPr>
                <w:rFonts w:ascii="Times New Roman" w:hAnsi="Times New Roman" w:cs="Times New Roman"/>
                <w:bCs/>
              </w:rPr>
            </w:pPr>
            <w:r w:rsidRPr="007E21C4">
              <w:rPr>
                <w:rFonts w:ascii="Times New Roman" w:hAnsi="Times New Roman" w:cs="Times New Roman"/>
                <w:bCs/>
                <w:szCs w:val="24"/>
              </w:rPr>
              <w:t>Optimise Organisational</w:t>
            </w:r>
            <w:r w:rsidR="00393A62" w:rsidRPr="007E21C4">
              <w:rPr>
                <w:rFonts w:ascii="Times New Roman" w:hAnsi="Times New Roman" w:cs="Times New Roman"/>
                <w:bCs/>
                <w:szCs w:val="24"/>
              </w:rPr>
              <w:t xml:space="preserve"> </w:t>
            </w:r>
            <w:r w:rsidRPr="007E21C4">
              <w:rPr>
                <w:rFonts w:ascii="Times New Roman" w:hAnsi="Times New Roman" w:cs="Times New Roman"/>
                <w:bCs/>
              </w:rPr>
              <w:t>Excellence</w:t>
            </w:r>
          </w:p>
        </w:tc>
        <w:tc>
          <w:tcPr>
            <w:tcW w:w="6975" w:type="dxa"/>
            <w:vAlign w:val="center"/>
          </w:tcPr>
          <w:p w:rsidR="007874F9" w:rsidRPr="007E21C4" w:rsidRDefault="007874F9" w:rsidP="007874F9">
            <w:pPr>
              <w:pStyle w:val="ListParagraph"/>
              <w:numPr>
                <w:ilvl w:val="0"/>
                <w:numId w:val="28"/>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Financial efficiency</w:t>
            </w:r>
          </w:p>
          <w:p w:rsidR="007874F9" w:rsidRDefault="007874F9" w:rsidP="007874F9">
            <w:pPr>
              <w:pStyle w:val="ListParagraph"/>
              <w:numPr>
                <w:ilvl w:val="0"/>
                <w:numId w:val="28"/>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Human resources efficiency</w:t>
            </w:r>
          </w:p>
          <w:p w:rsidR="00E8046D" w:rsidRPr="007E21C4" w:rsidRDefault="007874F9" w:rsidP="007874F9">
            <w:pPr>
              <w:pStyle w:val="ListParagraph"/>
              <w:numPr>
                <w:ilvl w:val="0"/>
                <w:numId w:val="28"/>
              </w:numPr>
              <w:autoSpaceDE w:val="0"/>
              <w:autoSpaceDN w:val="0"/>
              <w:adjustRightInd w:val="0"/>
              <w:spacing w:after="0" w:line="360" w:lineRule="auto"/>
              <w:rPr>
                <w:rFonts w:ascii="Times New Roman" w:hAnsi="Times New Roman" w:cs="Times New Roman"/>
                <w:szCs w:val="24"/>
              </w:rPr>
            </w:pPr>
            <w:r w:rsidRPr="007E21C4">
              <w:rPr>
                <w:rFonts w:ascii="Times New Roman" w:hAnsi="Times New Roman" w:cs="Times New Roman"/>
                <w:szCs w:val="24"/>
              </w:rPr>
              <w:t>Operational and technical efficiency</w:t>
            </w:r>
          </w:p>
        </w:tc>
      </w:tr>
    </w:tbl>
    <w:p w:rsidR="00E8046D" w:rsidRPr="0022538D" w:rsidRDefault="00E8046D" w:rsidP="00592363">
      <w:pPr>
        <w:pStyle w:val="Default"/>
        <w:spacing w:line="360" w:lineRule="auto"/>
        <w:jc w:val="both"/>
        <w:rPr>
          <w:rFonts w:ascii="Times New Roman" w:hAnsi="Times New Roman" w:cs="Times New Roman"/>
          <w:bCs/>
          <w:color w:val="auto"/>
          <w:sz w:val="20"/>
          <w:szCs w:val="20"/>
        </w:rPr>
      </w:pPr>
      <w:r w:rsidRPr="0022538D">
        <w:rPr>
          <w:rFonts w:ascii="Times New Roman" w:hAnsi="Times New Roman" w:cs="Times New Roman"/>
          <w:bCs/>
          <w:color w:val="auto"/>
          <w:sz w:val="20"/>
          <w:szCs w:val="20"/>
        </w:rPr>
        <w:t>Source: National Gambling Board (2016a)</w:t>
      </w:r>
    </w:p>
    <w:p w:rsidR="00E8046D" w:rsidRDefault="00E8046D" w:rsidP="00592363">
      <w:pPr>
        <w:pStyle w:val="Default"/>
        <w:spacing w:line="360" w:lineRule="auto"/>
        <w:jc w:val="both"/>
        <w:rPr>
          <w:rFonts w:ascii="Times New Roman" w:hAnsi="Times New Roman" w:cs="Times New Roman"/>
          <w:b/>
          <w:bCs/>
          <w:color w:val="auto"/>
        </w:rPr>
      </w:pPr>
    </w:p>
    <w:p w:rsidR="00CE68CD" w:rsidRPr="00675023" w:rsidRDefault="00CE68CD" w:rsidP="00592363">
      <w:pPr>
        <w:pStyle w:val="Default"/>
        <w:spacing w:line="360" w:lineRule="auto"/>
        <w:jc w:val="both"/>
        <w:rPr>
          <w:rFonts w:ascii="Times New Roman" w:hAnsi="Times New Roman" w:cs="Times New Roman"/>
          <w:b/>
          <w:bCs/>
          <w:color w:val="auto"/>
        </w:rPr>
      </w:pPr>
    </w:p>
    <w:p w:rsidR="00E8046D" w:rsidRPr="00675023" w:rsidRDefault="00E8046D"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 xml:space="preserve">Annual Performance Plan </w:t>
      </w:r>
    </w:p>
    <w:p w:rsidR="00E8046D" w:rsidRPr="00675023" w:rsidRDefault="00E8046D" w:rsidP="00592363">
      <w:pPr>
        <w:pStyle w:val="Default"/>
        <w:spacing w:line="360" w:lineRule="auto"/>
        <w:jc w:val="both"/>
        <w:rPr>
          <w:rFonts w:ascii="Times New Roman" w:hAnsi="Times New Roman" w:cs="Times New Roman"/>
          <w:b/>
          <w:bCs/>
          <w:color w:val="auto"/>
        </w:rPr>
      </w:pPr>
    </w:p>
    <w:p w:rsidR="00E8046D" w:rsidRDefault="00E8046D"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The NGB has three programmes through which it undertakes its work, namely: </w:t>
      </w:r>
    </w:p>
    <w:p w:rsidR="00393A62" w:rsidRPr="00675023" w:rsidRDefault="00393A62" w:rsidP="00592363">
      <w:pPr>
        <w:spacing w:after="0" w:line="360" w:lineRule="auto"/>
        <w:jc w:val="both"/>
        <w:rPr>
          <w:rFonts w:ascii="Times New Roman" w:hAnsi="Times New Roman" w:cs="Times New Roman"/>
          <w:sz w:val="24"/>
          <w:szCs w:val="24"/>
        </w:rPr>
      </w:pPr>
    </w:p>
    <w:p w:rsidR="00E8046D" w:rsidRPr="00675023" w:rsidRDefault="00E8046D" w:rsidP="00592363">
      <w:pPr>
        <w:pStyle w:val="ListParagraph"/>
        <w:numPr>
          <w:ilvl w:val="0"/>
          <w:numId w:val="26"/>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Compliance,</w:t>
      </w:r>
    </w:p>
    <w:p w:rsidR="00E8046D" w:rsidRPr="00675023" w:rsidRDefault="00E8046D" w:rsidP="00592363">
      <w:pPr>
        <w:pStyle w:val="ListParagraph"/>
        <w:numPr>
          <w:ilvl w:val="0"/>
          <w:numId w:val="26"/>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Stakeholder liaison and advisory services, and</w:t>
      </w:r>
    </w:p>
    <w:p w:rsidR="00E8046D" w:rsidRPr="00675023" w:rsidRDefault="00E8046D" w:rsidP="00592363">
      <w:pPr>
        <w:pStyle w:val="ListParagraph"/>
        <w:numPr>
          <w:ilvl w:val="0"/>
          <w:numId w:val="26"/>
        </w:num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Corporate services. </w:t>
      </w:r>
    </w:p>
    <w:p w:rsidR="00393A62" w:rsidRDefault="00393A62" w:rsidP="00592363">
      <w:pPr>
        <w:spacing w:after="0" w:line="360" w:lineRule="auto"/>
        <w:jc w:val="both"/>
        <w:rPr>
          <w:rFonts w:ascii="Times New Roman" w:hAnsi="Times New Roman" w:cs="Times New Roman"/>
          <w:sz w:val="24"/>
          <w:szCs w:val="24"/>
        </w:rPr>
      </w:pPr>
    </w:p>
    <w:p w:rsidR="00E8046D" w:rsidRPr="00675023" w:rsidRDefault="00E8046D"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Below are performance indicators as per the </w:t>
      </w:r>
      <w:r w:rsidR="00393A62">
        <w:rPr>
          <w:rFonts w:ascii="Times New Roman" w:hAnsi="Times New Roman" w:cs="Times New Roman"/>
          <w:sz w:val="24"/>
          <w:szCs w:val="24"/>
        </w:rPr>
        <w:t xml:space="preserve">NGB’s </w:t>
      </w:r>
      <w:r w:rsidR="00393A62" w:rsidRPr="00675023">
        <w:rPr>
          <w:rFonts w:ascii="Times New Roman" w:hAnsi="Times New Roman" w:cs="Times New Roman"/>
          <w:sz w:val="24"/>
          <w:szCs w:val="24"/>
        </w:rPr>
        <w:t xml:space="preserve">strategic </w:t>
      </w:r>
      <w:r w:rsidRPr="00675023">
        <w:rPr>
          <w:rFonts w:ascii="Times New Roman" w:hAnsi="Times New Roman" w:cs="Times New Roman"/>
          <w:sz w:val="24"/>
          <w:szCs w:val="24"/>
        </w:rPr>
        <w:t>goals for the 2016/17 financial year.</w:t>
      </w:r>
    </w:p>
    <w:p w:rsidR="00E8046D" w:rsidRPr="00675023" w:rsidRDefault="00E8046D" w:rsidP="00592363">
      <w:pPr>
        <w:spacing w:after="0" w:line="360" w:lineRule="auto"/>
        <w:jc w:val="both"/>
        <w:rPr>
          <w:rFonts w:ascii="Times New Roman" w:hAnsi="Times New Roman" w:cs="Times New Roman"/>
          <w:sz w:val="24"/>
          <w:szCs w:val="24"/>
        </w:rPr>
      </w:pPr>
    </w:p>
    <w:p w:rsidR="00E8046D" w:rsidRPr="00675023" w:rsidRDefault="00E8046D"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675023">
        <w:rPr>
          <w:rFonts w:ascii="Times New Roman" w:hAnsi="Times New Roman" w:cs="Times New Roman"/>
          <w:b/>
          <w:sz w:val="24"/>
          <w:szCs w:val="24"/>
        </w:rPr>
        <w:t>Programme 1: Compliance</w:t>
      </w:r>
    </w:p>
    <w:p w:rsidR="00393A62" w:rsidRDefault="00393A62" w:rsidP="00592363">
      <w:pPr>
        <w:autoSpaceDE w:val="0"/>
        <w:autoSpaceDN w:val="0"/>
        <w:adjustRightInd w:val="0"/>
        <w:spacing w:after="0" w:line="360" w:lineRule="auto"/>
        <w:rPr>
          <w:rFonts w:ascii="Times New Roman" w:hAnsi="Times New Roman" w:cs="Times New Roman"/>
          <w:bCs/>
          <w:sz w:val="24"/>
          <w:szCs w:val="24"/>
        </w:rPr>
      </w:pPr>
    </w:p>
    <w:p w:rsidR="00E8046D" w:rsidRPr="00675023" w:rsidRDefault="00E8046D" w:rsidP="00592363">
      <w:pPr>
        <w:autoSpaceDE w:val="0"/>
        <w:autoSpaceDN w:val="0"/>
        <w:adjustRightInd w:val="0"/>
        <w:spacing w:after="0" w:line="360" w:lineRule="auto"/>
        <w:rPr>
          <w:rFonts w:ascii="Times New Roman" w:eastAsia="Calibri-Light" w:hAnsi="Times New Roman" w:cs="Times New Roman"/>
          <w:sz w:val="24"/>
          <w:szCs w:val="24"/>
        </w:rPr>
      </w:pPr>
      <w:r w:rsidRPr="00675023">
        <w:rPr>
          <w:rFonts w:ascii="Times New Roman" w:hAnsi="Times New Roman" w:cs="Times New Roman"/>
          <w:bCs/>
          <w:sz w:val="24"/>
          <w:szCs w:val="24"/>
        </w:rPr>
        <w:t>This programme</w:t>
      </w:r>
      <w:r w:rsidRPr="00675023">
        <w:rPr>
          <w:rFonts w:ascii="Times New Roman" w:eastAsia="Calibri-Light" w:hAnsi="Times New Roman" w:cs="Times New Roman"/>
          <w:sz w:val="24"/>
          <w:szCs w:val="24"/>
        </w:rPr>
        <w:t xml:space="preserve"> provides the mandated operational core functions in terms of the National Gambling Act, namely the statutory enforcement of this legislation. This includes:</w:t>
      </w:r>
    </w:p>
    <w:p w:rsidR="00E8046D" w:rsidRPr="00675023" w:rsidRDefault="00E8046D" w:rsidP="00592363">
      <w:pPr>
        <w:autoSpaceDE w:val="0"/>
        <w:autoSpaceDN w:val="0"/>
        <w:adjustRightInd w:val="0"/>
        <w:spacing w:after="0" w:line="360" w:lineRule="auto"/>
        <w:rPr>
          <w:rFonts w:ascii="Times New Roman" w:eastAsia="Calibri-Light" w:hAnsi="Times New Roman" w:cs="Times New Roman"/>
          <w:sz w:val="24"/>
          <w:szCs w:val="24"/>
        </w:rPr>
      </w:pPr>
    </w:p>
    <w:p w:rsidR="00E8046D" w:rsidRPr="00675023" w:rsidRDefault="00E8046D" w:rsidP="00592363">
      <w:pPr>
        <w:pStyle w:val="ListParagraph"/>
        <w:numPr>
          <w:ilvl w:val="0"/>
          <w:numId w:val="33"/>
        </w:numPr>
        <w:autoSpaceDE w:val="0"/>
        <w:autoSpaceDN w:val="0"/>
        <w:adjustRightInd w:val="0"/>
        <w:spacing w:after="0" w:line="360" w:lineRule="auto"/>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Compliance monitoring of all provinces with gambling legislation;</w:t>
      </w:r>
    </w:p>
    <w:p w:rsidR="00E8046D" w:rsidRPr="00675023" w:rsidRDefault="00E8046D" w:rsidP="00592363">
      <w:pPr>
        <w:pStyle w:val="ListParagraph"/>
        <w:numPr>
          <w:ilvl w:val="0"/>
          <w:numId w:val="33"/>
        </w:numPr>
        <w:autoSpaceDE w:val="0"/>
        <w:autoSpaceDN w:val="0"/>
        <w:adjustRightInd w:val="0"/>
        <w:spacing w:after="0" w:line="360" w:lineRule="auto"/>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Combating of unlicensed gambling activities;</w:t>
      </w:r>
    </w:p>
    <w:p w:rsidR="00E8046D" w:rsidRPr="00675023" w:rsidRDefault="00E8046D" w:rsidP="00592363">
      <w:pPr>
        <w:pStyle w:val="ListParagraph"/>
        <w:numPr>
          <w:ilvl w:val="0"/>
          <w:numId w:val="33"/>
        </w:numPr>
        <w:autoSpaceDE w:val="0"/>
        <w:autoSpaceDN w:val="0"/>
        <w:adjustRightInd w:val="0"/>
        <w:spacing w:after="0" w:line="360" w:lineRule="auto"/>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Suppressing illegal gambling activities;</w:t>
      </w:r>
    </w:p>
    <w:p w:rsidR="00E8046D" w:rsidRPr="00675023" w:rsidRDefault="00E8046D" w:rsidP="00592363">
      <w:pPr>
        <w:pStyle w:val="ListParagraph"/>
        <w:numPr>
          <w:ilvl w:val="0"/>
          <w:numId w:val="33"/>
        </w:numPr>
        <w:autoSpaceDE w:val="0"/>
        <w:autoSpaceDN w:val="0"/>
        <w:adjustRightInd w:val="0"/>
        <w:spacing w:after="0" w:line="360" w:lineRule="auto"/>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Effective monitoring of limited payout machines; and</w:t>
      </w:r>
    </w:p>
    <w:p w:rsidR="00E8046D" w:rsidRPr="00675023" w:rsidRDefault="00E8046D" w:rsidP="00592363">
      <w:pPr>
        <w:pStyle w:val="ListParagraph"/>
        <w:numPr>
          <w:ilvl w:val="0"/>
          <w:numId w:val="33"/>
        </w:numPr>
        <w:autoSpaceDE w:val="0"/>
        <w:autoSpaceDN w:val="0"/>
        <w:adjustRightInd w:val="0"/>
        <w:spacing w:after="0" w:line="360" w:lineRule="auto"/>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Establishing and maintaining national functional registers.</w:t>
      </w:r>
    </w:p>
    <w:p w:rsidR="00E8046D" w:rsidRPr="00675023" w:rsidRDefault="00E8046D" w:rsidP="00592363">
      <w:pPr>
        <w:pStyle w:val="ListParagraph"/>
        <w:autoSpaceDE w:val="0"/>
        <w:autoSpaceDN w:val="0"/>
        <w:adjustRightInd w:val="0"/>
        <w:spacing w:after="0" w:line="360" w:lineRule="auto"/>
        <w:ind w:left="360"/>
        <w:rPr>
          <w:rFonts w:ascii="Times New Roman" w:eastAsia="Calibri-Light" w:hAnsi="Times New Roman" w:cs="Times New Roman"/>
          <w:sz w:val="24"/>
          <w:szCs w:val="24"/>
        </w:rPr>
      </w:pPr>
    </w:p>
    <w:p w:rsidR="00E8046D" w:rsidRPr="00675023" w:rsidRDefault="00E8046D"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b/>
          <w:sz w:val="24"/>
          <w:szCs w:val="24"/>
        </w:rPr>
        <w:t xml:space="preserve">Table </w:t>
      </w:r>
      <w:r w:rsidR="00BF0C40">
        <w:rPr>
          <w:rFonts w:ascii="Times New Roman" w:hAnsi="Times New Roman" w:cs="Times New Roman"/>
          <w:b/>
          <w:sz w:val="24"/>
          <w:szCs w:val="24"/>
        </w:rPr>
        <w:t>1</w:t>
      </w:r>
      <w:r w:rsidR="00CE68CD">
        <w:rPr>
          <w:rFonts w:ascii="Times New Roman" w:hAnsi="Times New Roman" w:cs="Times New Roman"/>
          <w:b/>
          <w:sz w:val="24"/>
          <w:szCs w:val="24"/>
        </w:rPr>
        <w:t>4</w:t>
      </w:r>
      <w:r w:rsidRPr="00675023">
        <w:rPr>
          <w:rFonts w:ascii="Times New Roman" w:hAnsi="Times New Roman" w:cs="Times New Roman"/>
          <w:b/>
          <w:sz w:val="24"/>
          <w:szCs w:val="24"/>
        </w:rPr>
        <w:t xml:space="preserve">: Compliance Programme’s Performance Targets </w:t>
      </w:r>
    </w:p>
    <w:tbl>
      <w:tblPr>
        <w:tblW w:w="9498" w:type="dxa"/>
        <w:tblInd w:w="-5" w:type="dxa"/>
        <w:tblLook w:val="0420" w:firstRow="1" w:lastRow="0" w:firstColumn="0" w:lastColumn="0" w:noHBand="0" w:noVBand="1"/>
      </w:tblPr>
      <w:tblGrid>
        <w:gridCol w:w="2410"/>
        <w:gridCol w:w="3544"/>
        <w:gridCol w:w="3544"/>
      </w:tblGrid>
      <w:tr w:rsidR="00E8046D" w:rsidRPr="00675023" w:rsidTr="00135B8C">
        <w:trPr>
          <w:trHeight w:val="1032"/>
          <w:tblHeader/>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46D" w:rsidRPr="00675023" w:rsidRDefault="00E8046D" w:rsidP="00592363">
            <w:pPr>
              <w:spacing w:after="0" w:line="360" w:lineRule="auto"/>
              <w:jc w:val="center"/>
              <w:rPr>
                <w:rFonts w:ascii="Times New Roman" w:hAnsi="Times New Roman" w:cs="Times New Roman"/>
                <w:b/>
                <w:bCs/>
                <w:sz w:val="24"/>
                <w:szCs w:val="24"/>
                <w:lang w:eastAsia="en-ZA"/>
              </w:rPr>
            </w:pPr>
            <w:r w:rsidRPr="00675023">
              <w:rPr>
                <w:rFonts w:ascii="Times New Roman" w:hAnsi="Times New Roman" w:cs="Times New Roman"/>
                <w:b/>
                <w:bCs/>
                <w:sz w:val="24"/>
                <w:szCs w:val="24"/>
                <w:lang w:eastAsia="en-ZA"/>
              </w:rPr>
              <w:t>Strategic Objective</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8046D" w:rsidRPr="00675023" w:rsidRDefault="00E8046D" w:rsidP="00592363">
            <w:pPr>
              <w:spacing w:after="0" w:line="360" w:lineRule="auto"/>
              <w:jc w:val="center"/>
              <w:rPr>
                <w:rFonts w:ascii="Times New Roman" w:hAnsi="Times New Roman" w:cs="Times New Roman"/>
                <w:b/>
                <w:bCs/>
                <w:sz w:val="24"/>
                <w:szCs w:val="24"/>
                <w:lang w:eastAsia="en-ZA"/>
              </w:rPr>
            </w:pPr>
            <w:r w:rsidRPr="00675023">
              <w:rPr>
                <w:rFonts w:ascii="Times New Roman" w:hAnsi="Times New Roman" w:cs="Times New Roman"/>
                <w:b/>
                <w:bCs/>
                <w:sz w:val="24"/>
                <w:szCs w:val="24"/>
                <w:lang w:eastAsia="en-ZA"/>
              </w:rPr>
              <w:t>Performance Indicator</w:t>
            </w:r>
          </w:p>
        </w:tc>
        <w:tc>
          <w:tcPr>
            <w:tcW w:w="354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8046D" w:rsidRPr="00675023" w:rsidRDefault="00E8046D" w:rsidP="00592363">
            <w:pPr>
              <w:spacing w:after="0" w:line="360" w:lineRule="auto"/>
              <w:jc w:val="center"/>
              <w:rPr>
                <w:rFonts w:ascii="Times New Roman" w:hAnsi="Times New Roman" w:cs="Times New Roman"/>
                <w:b/>
                <w:bCs/>
                <w:sz w:val="24"/>
                <w:szCs w:val="24"/>
                <w:lang w:eastAsia="en-ZA"/>
              </w:rPr>
            </w:pPr>
            <w:r w:rsidRPr="00675023">
              <w:rPr>
                <w:rFonts w:ascii="Times New Roman" w:hAnsi="Times New Roman" w:cs="Times New Roman"/>
                <w:b/>
                <w:bCs/>
                <w:sz w:val="24"/>
                <w:szCs w:val="24"/>
                <w:lang w:eastAsia="en-ZA"/>
              </w:rPr>
              <w:t>Targets</w:t>
            </w:r>
          </w:p>
          <w:p w:rsidR="00E8046D" w:rsidRPr="00675023" w:rsidRDefault="00E8046D" w:rsidP="00592363">
            <w:pPr>
              <w:spacing w:after="0" w:line="360" w:lineRule="auto"/>
              <w:jc w:val="center"/>
              <w:rPr>
                <w:rFonts w:ascii="Times New Roman" w:hAnsi="Times New Roman" w:cs="Times New Roman"/>
                <w:b/>
                <w:bCs/>
                <w:sz w:val="24"/>
                <w:szCs w:val="24"/>
                <w:lang w:eastAsia="en-ZA"/>
              </w:rPr>
            </w:pPr>
            <w:r w:rsidRPr="00675023">
              <w:rPr>
                <w:rFonts w:ascii="Times New Roman" w:hAnsi="Times New Roman" w:cs="Times New Roman"/>
                <w:b/>
                <w:bCs/>
                <w:sz w:val="24"/>
                <w:szCs w:val="24"/>
                <w:lang w:eastAsia="en-ZA"/>
              </w:rPr>
              <w:t>2016/17</w:t>
            </w:r>
          </w:p>
        </w:tc>
      </w:tr>
      <w:tr w:rsidR="00E8046D" w:rsidRPr="00675023" w:rsidTr="00501558">
        <w:trPr>
          <w:trHeight w:val="765"/>
        </w:trPr>
        <w:tc>
          <w:tcPr>
            <w:tcW w:w="2410" w:type="dxa"/>
            <w:tcBorders>
              <w:top w:val="single" w:sz="4" w:space="0" w:color="auto"/>
              <w:left w:val="single" w:sz="4" w:space="0" w:color="auto"/>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eastAsia="Calibri-Light" w:hAnsi="Times New Roman" w:cs="Times New Roman"/>
                <w:szCs w:val="24"/>
              </w:rPr>
            </w:pPr>
            <w:r w:rsidRPr="007E21C4">
              <w:rPr>
                <w:rFonts w:ascii="Times New Roman" w:eastAsia="Calibri-Light" w:hAnsi="Times New Roman" w:cs="Times New Roman"/>
                <w:szCs w:val="24"/>
              </w:rPr>
              <w:t>Compliance monitoring of all provinces</w:t>
            </w:r>
          </w:p>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with Gambling Legislation</w:t>
            </w:r>
          </w:p>
        </w:tc>
        <w:tc>
          <w:tcPr>
            <w:tcW w:w="3544" w:type="dxa"/>
            <w:tcBorders>
              <w:top w:val="single" w:sz="4" w:space="0" w:color="auto"/>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Ten (10) consolidated three tier compliance evaluation assessment reports</w:t>
            </w:r>
          </w:p>
        </w:tc>
        <w:tc>
          <w:tcPr>
            <w:tcW w:w="3544" w:type="dxa"/>
            <w:tcBorders>
              <w:top w:val="single" w:sz="4" w:space="0" w:color="auto"/>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Ten (10) consolidated reports on the evaluation of the issuance of national licenses, compliance monitoring of licensees and performance of PLAs</w:t>
            </w:r>
          </w:p>
        </w:tc>
      </w:tr>
      <w:tr w:rsidR="00E8046D" w:rsidRPr="00675023" w:rsidTr="00501558">
        <w:trPr>
          <w:trHeight w:val="1020"/>
        </w:trPr>
        <w:tc>
          <w:tcPr>
            <w:tcW w:w="2410" w:type="dxa"/>
            <w:tcBorders>
              <w:top w:val="nil"/>
              <w:left w:val="single" w:sz="4" w:space="0" w:color="auto"/>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Combatting of unlicensed gambling activities</w:t>
            </w:r>
          </w:p>
        </w:tc>
        <w:tc>
          <w:tcPr>
            <w:tcW w:w="3544" w:type="dxa"/>
            <w:tcBorders>
              <w:top w:val="nil"/>
              <w:left w:val="nil"/>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reports on intelligence gathering and reporting of information to PLAs and law enforcement agencies</w:t>
            </w:r>
          </w:p>
        </w:tc>
        <w:tc>
          <w:tcPr>
            <w:tcW w:w="3544" w:type="dxa"/>
            <w:tcBorders>
              <w:top w:val="nil"/>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eastAsia="Calibri-Light" w:hAnsi="Times New Roman" w:cs="Times New Roman"/>
                <w:szCs w:val="24"/>
              </w:rPr>
            </w:pPr>
            <w:r w:rsidRPr="007E21C4">
              <w:rPr>
                <w:rFonts w:ascii="Times New Roman" w:eastAsia="Calibri-Light" w:hAnsi="Times New Roman" w:cs="Times New Roman"/>
                <w:szCs w:val="24"/>
              </w:rPr>
              <w:t>Four (4) reports on intervention</w:t>
            </w:r>
          </w:p>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and support provided to regulators and law enforcement agencies</w:t>
            </w:r>
          </w:p>
        </w:tc>
      </w:tr>
      <w:tr w:rsidR="00E8046D" w:rsidRPr="00675023" w:rsidTr="00501558">
        <w:trPr>
          <w:trHeight w:val="1020"/>
        </w:trPr>
        <w:tc>
          <w:tcPr>
            <w:tcW w:w="2410" w:type="dxa"/>
            <w:tcBorders>
              <w:top w:val="nil"/>
              <w:left w:val="single" w:sz="4" w:space="0" w:color="auto"/>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Suppression of Illegal gambling activities</w:t>
            </w:r>
          </w:p>
        </w:tc>
        <w:tc>
          <w:tcPr>
            <w:tcW w:w="3544" w:type="dxa"/>
            <w:tcBorders>
              <w:top w:val="nil"/>
              <w:left w:val="nil"/>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reports on illegal gambling activities</w:t>
            </w:r>
          </w:p>
        </w:tc>
        <w:tc>
          <w:tcPr>
            <w:tcW w:w="3544" w:type="dxa"/>
            <w:tcBorders>
              <w:top w:val="nil"/>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reports on illegal gambling activities and related matters</w:t>
            </w:r>
          </w:p>
        </w:tc>
      </w:tr>
      <w:tr w:rsidR="00E8046D" w:rsidRPr="00675023" w:rsidTr="00501558">
        <w:trPr>
          <w:trHeight w:val="261"/>
        </w:trPr>
        <w:tc>
          <w:tcPr>
            <w:tcW w:w="2410" w:type="dxa"/>
            <w:vMerge w:val="restart"/>
            <w:tcBorders>
              <w:top w:val="nil"/>
              <w:left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Effective monitoring of the LPMs sector in the gambling industry</w:t>
            </w:r>
          </w:p>
        </w:tc>
        <w:tc>
          <w:tcPr>
            <w:tcW w:w="3544" w:type="dxa"/>
            <w:tcBorders>
              <w:top w:val="nil"/>
              <w:left w:val="nil"/>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quarterly and one (1) annual analytical reports of data in accordance with the prescribed requirements</w:t>
            </w:r>
          </w:p>
        </w:tc>
        <w:tc>
          <w:tcPr>
            <w:tcW w:w="3544" w:type="dxa"/>
            <w:tcBorders>
              <w:top w:val="nil"/>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quarterly and one (1) annual analysis of LPM gambling sector performance report</w:t>
            </w:r>
          </w:p>
        </w:tc>
      </w:tr>
      <w:tr w:rsidR="00E8046D" w:rsidRPr="00675023" w:rsidTr="00501558">
        <w:trPr>
          <w:trHeight w:val="260"/>
        </w:trPr>
        <w:tc>
          <w:tcPr>
            <w:tcW w:w="2410" w:type="dxa"/>
            <w:vMerge/>
            <w:tcBorders>
              <w:left w:val="single" w:sz="4" w:space="0" w:color="auto"/>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eastAsia="Calibri-Light" w:hAnsi="Times New Roman" w:cs="Times New Roman"/>
                <w:szCs w:val="24"/>
              </w:rPr>
            </w:pPr>
          </w:p>
        </w:tc>
        <w:tc>
          <w:tcPr>
            <w:tcW w:w="3544" w:type="dxa"/>
            <w:tcBorders>
              <w:top w:val="nil"/>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reports on the evaluation of LPM applications in excess of 5 machines</w:t>
            </w:r>
          </w:p>
        </w:tc>
        <w:tc>
          <w:tcPr>
            <w:tcW w:w="3544" w:type="dxa"/>
            <w:tcBorders>
              <w:top w:val="nil"/>
              <w:left w:val="nil"/>
              <w:bottom w:val="single" w:sz="4" w:space="0" w:color="auto"/>
              <w:right w:val="single" w:sz="4" w:space="0" w:color="auto"/>
            </w:tcBorders>
            <w:shd w:val="clear" w:color="auto" w:fill="auto"/>
          </w:tcPr>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Four (4) reports on the evaluation and approval of all LPM applications in excess of 5</w:t>
            </w:r>
          </w:p>
        </w:tc>
      </w:tr>
      <w:tr w:rsidR="00E8046D" w:rsidRPr="00675023" w:rsidTr="00501558">
        <w:trPr>
          <w:trHeight w:val="765"/>
        </w:trPr>
        <w:tc>
          <w:tcPr>
            <w:tcW w:w="2410" w:type="dxa"/>
            <w:tcBorders>
              <w:top w:val="nil"/>
              <w:left w:val="single" w:sz="4" w:space="0" w:color="auto"/>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Establish and maintain National functional Registers</w:t>
            </w:r>
          </w:p>
        </w:tc>
        <w:tc>
          <w:tcPr>
            <w:tcW w:w="3544" w:type="dxa"/>
            <w:tcBorders>
              <w:top w:val="nil"/>
              <w:left w:val="nil"/>
              <w:bottom w:val="single" w:sz="4" w:space="0" w:color="auto"/>
              <w:right w:val="single" w:sz="4" w:space="0" w:color="auto"/>
            </w:tcBorders>
            <w:shd w:val="clear" w:color="auto" w:fill="auto"/>
          </w:tcPr>
          <w:p w:rsidR="00E8046D" w:rsidRPr="007E21C4" w:rsidRDefault="00E8046D" w:rsidP="00B07318">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Five reports, i.e. annual audit report (1 report) and four (4) consolidated report on the registers</w:t>
            </w:r>
          </w:p>
        </w:tc>
        <w:tc>
          <w:tcPr>
            <w:tcW w:w="3544" w:type="dxa"/>
            <w:tcBorders>
              <w:top w:val="nil"/>
              <w:left w:val="nil"/>
              <w:bottom w:val="single" w:sz="4" w:space="0" w:color="auto"/>
              <w:right w:val="single" w:sz="4" w:space="0" w:color="auto"/>
            </w:tcBorders>
            <w:shd w:val="clear" w:color="auto" w:fill="auto"/>
            <w:noWrap/>
          </w:tcPr>
          <w:p w:rsidR="00E8046D" w:rsidRPr="007E21C4" w:rsidRDefault="00E8046D">
            <w:pPr>
              <w:autoSpaceDE w:val="0"/>
              <w:autoSpaceDN w:val="0"/>
              <w:adjustRightInd w:val="0"/>
              <w:spacing w:after="0" w:line="360" w:lineRule="auto"/>
              <w:rPr>
                <w:rFonts w:ascii="Times New Roman" w:eastAsia="Calibri-Light" w:hAnsi="Times New Roman" w:cs="Times New Roman"/>
                <w:szCs w:val="24"/>
              </w:rPr>
            </w:pPr>
            <w:r w:rsidRPr="007E21C4">
              <w:rPr>
                <w:rFonts w:ascii="Times New Roman" w:eastAsia="Calibri-Light" w:hAnsi="Times New Roman" w:cs="Times New Roman"/>
                <w:szCs w:val="24"/>
              </w:rPr>
              <w:t>Five reports, i.e. annual audit (one report) and four (4) consolidated report on fully operational</w:t>
            </w:r>
          </w:p>
          <w:p w:rsidR="00E8046D" w:rsidRPr="007E21C4" w:rsidRDefault="00E8046D">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registers aligned to the NGA requirements</w:t>
            </w:r>
          </w:p>
        </w:tc>
      </w:tr>
    </w:tbl>
    <w:p w:rsidR="00E8046D" w:rsidRPr="0022538D" w:rsidRDefault="00E8046D" w:rsidP="00592363">
      <w:pPr>
        <w:pStyle w:val="Default"/>
        <w:spacing w:line="360" w:lineRule="auto"/>
        <w:jc w:val="both"/>
        <w:rPr>
          <w:rFonts w:ascii="Times New Roman" w:hAnsi="Times New Roman" w:cs="Times New Roman"/>
          <w:bCs/>
          <w:color w:val="auto"/>
          <w:sz w:val="20"/>
          <w:szCs w:val="20"/>
        </w:rPr>
      </w:pPr>
      <w:r w:rsidRPr="0022538D">
        <w:rPr>
          <w:rFonts w:ascii="Times New Roman" w:hAnsi="Times New Roman" w:cs="Times New Roman"/>
          <w:bCs/>
          <w:color w:val="auto"/>
          <w:sz w:val="20"/>
          <w:szCs w:val="20"/>
        </w:rPr>
        <w:t>Source: National Gambling Board (2016b)</w:t>
      </w:r>
    </w:p>
    <w:p w:rsidR="00E8046D" w:rsidRPr="00675023" w:rsidRDefault="00E8046D" w:rsidP="00592363">
      <w:pPr>
        <w:spacing w:after="0" w:line="360" w:lineRule="auto"/>
        <w:jc w:val="both"/>
        <w:rPr>
          <w:rFonts w:ascii="Times New Roman" w:hAnsi="Times New Roman" w:cs="Times New Roman"/>
          <w:sz w:val="24"/>
          <w:szCs w:val="24"/>
        </w:rPr>
      </w:pPr>
    </w:p>
    <w:p w:rsidR="00E8046D" w:rsidRPr="00675023" w:rsidRDefault="00E8046D"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675023">
        <w:rPr>
          <w:rFonts w:ascii="Times New Roman" w:hAnsi="Times New Roman" w:cs="Times New Roman"/>
          <w:b/>
          <w:sz w:val="24"/>
          <w:szCs w:val="24"/>
        </w:rPr>
        <w:t>Programme 2: Stakeholder liaison and advisory services</w:t>
      </w:r>
    </w:p>
    <w:p w:rsidR="00E8046D" w:rsidRPr="00675023" w:rsidRDefault="00E8046D" w:rsidP="00592363">
      <w:pPr>
        <w:autoSpaceDE w:val="0"/>
        <w:autoSpaceDN w:val="0"/>
        <w:adjustRightInd w:val="0"/>
        <w:spacing w:after="0" w:line="360" w:lineRule="auto"/>
        <w:rPr>
          <w:rFonts w:ascii="Times New Roman" w:eastAsia="Calibri-Light" w:hAnsi="Times New Roman" w:cs="Times New Roman"/>
          <w:sz w:val="24"/>
          <w:szCs w:val="24"/>
        </w:rPr>
      </w:pPr>
    </w:p>
    <w:p w:rsidR="00E8046D" w:rsidRPr="00675023" w:rsidRDefault="00E8046D" w:rsidP="00592363">
      <w:pPr>
        <w:autoSpaceDE w:val="0"/>
        <w:autoSpaceDN w:val="0"/>
        <w:adjustRightInd w:val="0"/>
        <w:spacing w:after="0" w:line="360" w:lineRule="auto"/>
        <w:jc w:val="both"/>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This programme provides continuous interpretation and guidelines on the statutory mandate of the NGB and provides strategic coordination and promotes liaison at local and international level amongst the various stakeholders of the NGB, including the South African National Gambling Responsible Foundation and the public. It comprises of two units that provide specialised services, namely:</w:t>
      </w:r>
    </w:p>
    <w:p w:rsidR="00E8046D" w:rsidRPr="00675023" w:rsidRDefault="00E8046D" w:rsidP="00592363">
      <w:pPr>
        <w:autoSpaceDE w:val="0"/>
        <w:autoSpaceDN w:val="0"/>
        <w:adjustRightInd w:val="0"/>
        <w:spacing w:after="0" w:line="360" w:lineRule="auto"/>
        <w:rPr>
          <w:rFonts w:ascii="Times New Roman" w:eastAsia="Calibri-Light" w:hAnsi="Times New Roman" w:cs="Times New Roman"/>
          <w:sz w:val="24"/>
          <w:szCs w:val="24"/>
        </w:rPr>
      </w:pPr>
    </w:p>
    <w:p w:rsidR="00E8046D" w:rsidRPr="00675023" w:rsidRDefault="00E8046D" w:rsidP="007E21C4">
      <w:pPr>
        <w:pStyle w:val="ListParagraph"/>
        <w:numPr>
          <w:ilvl w:val="0"/>
          <w:numId w:val="32"/>
        </w:numPr>
        <w:autoSpaceDE w:val="0"/>
        <w:autoSpaceDN w:val="0"/>
        <w:adjustRightInd w:val="0"/>
        <w:spacing w:after="0" w:line="360" w:lineRule="auto"/>
        <w:jc w:val="both"/>
        <w:rPr>
          <w:rFonts w:ascii="Times New Roman" w:eastAsia="Calibri-Light" w:hAnsi="Times New Roman" w:cs="Times New Roman"/>
          <w:sz w:val="24"/>
          <w:szCs w:val="24"/>
        </w:rPr>
      </w:pPr>
      <w:r w:rsidRPr="00675023">
        <w:rPr>
          <w:rFonts w:ascii="Times New Roman" w:hAnsi="Times New Roman" w:cs="Times New Roman"/>
          <w:bCs/>
          <w:sz w:val="24"/>
          <w:szCs w:val="24"/>
        </w:rPr>
        <w:t xml:space="preserve">Legal services: </w:t>
      </w:r>
      <w:r w:rsidRPr="00675023">
        <w:rPr>
          <w:rFonts w:ascii="Times New Roman" w:eastAsia="Calibri-Light" w:hAnsi="Times New Roman" w:cs="Times New Roman"/>
          <w:sz w:val="24"/>
          <w:szCs w:val="24"/>
        </w:rPr>
        <w:t xml:space="preserve">researches and provides authoritative advice to </w:t>
      </w:r>
      <w:r w:rsidRPr="00675023">
        <w:rPr>
          <w:rFonts w:ascii="Times New Roman" w:hAnsi="Times New Roman" w:cs="Times New Roman"/>
          <w:bCs/>
          <w:sz w:val="24"/>
          <w:szCs w:val="24"/>
        </w:rPr>
        <w:t>the DTI</w:t>
      </w:r>
      <w:r w:rsidRPr="00675023">
        <w:rPr>
          <w:rFonts w:ascii="Times New Roman" w:hAnsi="Times New Roman" w:cs="Times New Roman"/>
          <w:b/>
          <w:bCs/>
          <w:sz w:val="24"/>
          <w:szCs w:val="24"/>
        </w:rPr>
        <w:t xml:space="preserve"> </w:t>
      </w:r>
      <w:r w:rsidRPr="00675023">
        <w:rPr>
          <w:rFonts w:ascii="Times New Roman" w:eastAsia="Calibri-Light" w:hAnsi="Times New Roman" w:cs="Times New Roman"/>
          <w:sz w:val="24"/>
          <w:szCs w:val="24"/>
        </w:rPr>
        <w:t>on regulatory strategies and inputs on legislation and policy development, as well as other legal services including legal advice.</w:t>
      </w:r>
    </w:p>
    <w:p w:rsidR="00E8046D" w:rsidRPr="00675023" w:rsidRDefault="00E8046D" w:rsidP="007E21C4">
      <w:pPr>
        <w:pStyle w:val="ListParagraph"/>
        <w:numPr>
          <w:ilvl w:val="0"/>
          <w:numId w:val="32"/>
        </w:numPr>
        <w:autoSpaceDE w:val="0"/>
        <w:autoSpaceDN w:val="0"/>
        <w:adjustRightInd w:val="0"/>
        <w:spacing w:after="0" w:line="360" w:lineRule="auto"/>
        <w:jc w:val="both"/>
        <w:rPr>
          <w:rFonts w:ascii="Times New Roman" w:eastAsia="Calibri-Light" w:hAnsi="Times New Roman" w:cs="Times New Roman"/>
          <w:sz w:val="24"/>
          <w:szCs w:val="24"/>
        </w:rPr>
      </w:pPr>
      <w:r w:rsidRPr="00675023">
        <w:rPr>
          <w:rFonts w:ascii="Times New Roman" w:hAnsi="Times New Roman" w:cs="Times New Roman"/>
          <w:bCs/>
          <w:sz w:val="24"/>
          <w:szCs w:val="24"/>
        </w:rPr>
        <w:t xml:space="preserve">Stakeholder and liaison: </w:t>
      </w:r>
      <w:r w:rsidRPr="00675023">
        <w:rPr>
          <w:rFonts w:ascii="Times New Roman" w:eastAsia="Calibri-Light" w:hAnsi="Times New Roman" w:cs="Times New Roman"/>
          <w:sz w:val="24"/>
          <w:szCs w:val="24"/>
        </w:rPr>
        <w:t>provides coordination and secretariat services to the various stakeholders of the NGB and Executive Management, as well as strategic planning and support.</w:t>
      </w:r>
    </w:p>
    <w:p w:rsidR="00E8046D" w:rsidRDefault="00E8046D" w:rsidP="00592363">
      <w:pPr>
        <w:autoSpaceDE w:val="0"/>
        <w:autoSpaceDN w:val="0"/>
        <w:adjustRightInd w:val="0"/>
        <w:spacing w:after="0" w:line="360" w:lineRule="auto"/>
        <w:rPr>
          <w:rFonts w:ascii="Times New Roman" w:hAnsi="Times New Roman" w:cs="Times New Roman"/>
          <w:b/>
          <w:bCs/>
          <w:sz w:val="24"/>
          <w:szCs w:val="24"/>
        </w:rPr>
      </w:pPr>
    </w:p>
    <w:p w:rsidR="00CE68CD" w:rsidRDefault="00CE68CD" w:rsidP="00592363">
      <w:pPr>
        <w:autoSpaceDE w:val="0"/>
        <w:autoSpaceDN w:val="0"/>
        <w:adjustRightInd w:val="0"/>
        <w:spacing w:after="0" w:line="360" w:lineRule="auto"/>
        <w:rPr>
          <w:rFonts w:ascii="Times New Roman" w:hAnsi="Times New Roman" w:cs="Times New Roman"/>
          <w:b/>
          <w:bCs/>
          <w:sz w:val="24"/>
          <w:szCs w:val="24"/>
        </w:rPr>
      </w:pPr>
    </w:p>
    <w:p w:rsidR="00CE68CD" w:rsidRPr="00675023" w:rsidRDefault="00CE68CD" w:rsidP="00592363">
      <w:pPr>
        <w:autoSpaceDE w:val="0"/>
        <w:autoSpaceDN w:val="0"/>
        <w:adjustRightInd w:val="0"/>
        <w:spacing w:after="0" w:line="360" w:lineRule="auto"/>
        <w:rPr>
          <w:rFonts w:ascii="Times New Roman" w:hAnsi="Times New Roman" w:cs="Times New Roman"/>
          <w:b/>
          <w:bCs/>
          <w:sz w:val="24"/>
          <w:szCs w:val="24"/>
        </w:rPr>
      </w:pPr>
    </w:p>
    <w:p w:rsidR="00E8046D" w:rsidRPr="00675023" w:rsidRDefault="00E8046D"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b/>
          <w:sz w:val="24"/>
          <w:szCs w:val="24"/>
        </w:rPr>
        <w:t xml:space="preserve">Table </w:t>
      </w:r>
      <w:r w:rsidR="00BF0C40">
        <w:rPr>
          <w:rFonts w:ascii="Times New Roman" w:hAnsi="Times New Roman" w:cs="Times New Roman"/>
          <w:b/>
          <w:sz w:val="24"/>
          <w:szCs w:val="24"/>
        </w:rPr>
        <w:t>1</w:t>
      </w:r>
      <w:r w:rsidR="00CE68CD">
        <w:rPr>
          <w:rFonts w:ascii="Times New Roman" w:hAnsi="Times New Roman" w:cs="Times New Roman"/>
          <w:b/>
          <w:sz w:val="24"/>
          <w:szCs w:val="24"/>
        </w:rPr>
        <w:t>5</w:t>
      </w:r>
      <w:r w:rsidRPr="00675023">
        <w:rPr>
          <w:rFonts w:ascii="Times New Roman" w:hAnsi="Times New Roman" w:cs="Times New Roman"/>
          <w:b/>
          <w:sz w:val="24"/>
          <w:szCs w:val="24"/>
        </w:rPr>
        <w:t>:</w:t>
      </w:r>
      <w:r w:rsidRPr="00675023">
        <w:rPr>
          <w:rFonts w:ascii="Times New Roman" w:hAnsi="Times New Roman" w:cs="Times New Roman"/>
          <w:sz w:val="24"/>
          <w:szCs w:val="24"/>
        </w:rPr>
        <w:t xml:space="preserve"> </w:t>
      </w:r>
      <w:r w:rsidRPr="00675023">
        <w:rPr>
          <w:rFonts w:ascii="Times New Roman" w:hAnsi="Times New Roman" w:cs="Times New Roman"/>
          <w:b/>
          <w:sz w:val="24"/>
          <w:szCs w:val="24"/>
        </w:rPr>
        <w:t>Stakeholder Liaison and Advisory Services Programme’s Performance Targets</w:t>
      </w:r>
    </w:p>
    <w:tbl>
      <w:tblPr>
        <w:tblW w:w="9498" w:type="dxa"/>
        <w:tblInd w:w="-5" w:type="dxa"/>
        <w:tblLayout w:type="fixed"/>
        <w:tblLook w:val="0420" w:firstRow="1" w:lastRow="0" w:firstColumn="0" w:lastColumn="0" w:noHBand="0" w:noVBand="1"/>
      </w:tblPr>
      <w:tblGrid>
        <w:gridCol w:w="1985"/>
        <w:gridCol w:w="3756"/>
        <w:gridCol w:w="3757"/>
      </w:tblGrid>
      <w:tr w:rsidR="00E8046D" w:rsidRPr="00675023" w:rsidTr="00592363">
        <w:trPr>
          <w:trHeight w:val="977"/>
          <w:tblHeader/>
        </w:trPr>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E8046D" w:rsidRPr="007E21C4" w:rsidRDefault="00E8046D" w:rsidP="00592363">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Strategic Objective</w:t>
            </w:r>
          </w:p>
        </w:tc>
        <w:tc>
          <w:tcPr>
            <w:tcW w:w="3756" w:type="dxa"/>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E8046D" w:rsidRPr="007E21C4" w:rsidRDefault="00E8046D" w:rsidP="00592363">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Performance Indicator</w:t>
            </w:r>
          </w:p>
        </w:tc>
        <w:tc>
          <w:tcPr>
            <w:tcW w:w="375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E8046D" w:rsidRPr="007E21C4" w:rsidRDefault="00E8046D" w:rsidP="00592363">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Targets</w:t>
            </w:r>
          </w:p>
          <w:p w:rsidR="00E8046D" w:rsidRPr="007E21C4" w:rsidRDefault="00E8046D" w:rsidP="00592363">
            <w:pPr>
              <w:spacing w:after="0" w:line="360" w:lineRule="auto"/>
              <w:jc w:val="center"/>
              <w:rPr>
                <w:rFonts w:ascii="Times New Roman" w:hAnsi="Times New Roman" w:cs="Times New Roman"/>
                <w:b/>
                <w:bCs/>
                <w:szCs w:val="24"/>
                <w:lang w:eastAsia="en-ZA"/>
              </w:rPr>
            </w:pPr>
            <w:r w:rsidRPr="007E21C4">
              <w:rPr>
                <w:rFonts w:ascii="Times New Roman" w:hAnsi="Times New Roman" w:cs="Times New Roman"/>
                <w:b/>
                <w:bCs/>
                <w:szCs w:val="24"/>
                <w:lang w:eastAsia="en-ZA"/>
              </w:rPr>
              <w:t>2016/17</w:t>
            </w:r>
          </w:p>
        </w:tc>
      </w:tr>
      <w:tr w:rsidR="00E8046D" w:rsidRPr="00675023" w:rsidTr="00592363">
        <w:trPr>
          <w:trHeight w:val="1020"/>
        </w:trPr>
        <w:tc>
          <w:tcPr>
            <w:tcW w:w="1985" w:type="dxa"/>
            <w:vMerge w:val="restart"/>
            <w:tcBorders>
              <w:top w:val="single" w:sz="4" w:space="0" w:color="auto"/>
              <w:left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Provided research based authoritative advice on gambling</w:t>
            </w:r>
          </w:p>
        </w:tc>
        <w:tc>
          <w:tcPr>
            <w:tcW w:w="3756" w:type="dxa"/>
            <w:tcBorders>
              <w:top w:val="nil"/>
              <w:left w:val="nil"/>
              <w:bottom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S65 Advisory reports presented to the Accounting Authority</w:t>
            </w:r>
          </w:p>
        </w:tc>
        <w:tc>
          <w:tcPr>
            <w:tcW w:w="3757" w:type="dxa"/>
            <w:tcBorders>
              <w:top w:val="single" w:sz="4" w:space="0" w:color="auto"/>
              <w:left w:val="nil"/>
              <w:bottom w:val="single" w:sz="4" w:space="0" w:color="auto"/>
              <w:right w:val="single" w:sz="4" w:space="0" w:color="auto"/>
            </w:tcBorders>
            <w:shd w:val="clear" w:color="auto" w:fill="auto"/>
            <w:noWrap/>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S65 Annual advisory report presented to the Accounting Authority on the  implementation of the NGA</w:t>
            </w:r>
          </w:p>
        </w:tc>
      </w:tr>
      <w:tr w:rsidR="00E8046D" w:rsidRPr="00675023" w:rsidTr="00592363">
        <w:trPr>
          <w:trHeight w:val="874"/>
        </w:trPr>
        <w:tc>
          <w:tcPr>
            <w:tcW w:w="1985" w:type="dxa"/>
            <w:vMerge/>
            <w:tcBorders>
              <w:left w:val="single" w:sz="4" w:space="0" w:color="auto"/>
              <w:right w:val="single" w:sz="4" w:space="0" w:color="auto"/>
            </w:tcBorders>
            <w:vAlign w:val="center"/>
          </w:tcPr>
          <w:p w:rsidR="00E8046D" w:rsidRPr="007E21C4" w:rsidRDefault="00E8046D" w:rsidP="00592363">
            <w:pPr>
              <w:spacing w:after="0" w:line="360" w:lineRule="auto"/>
              <w:rPr>
                <w:rFonts w:ascii="Times New Roman" w:hAnsi="Times New Roman" w:cs="Times New Roman"/>
                <w:szCs w:val="24"/>
                <w:lang w:eastAsia="en-ZA"/>
              </w:rPr>
            </w:pPr>
          </w:p>
        </w:tc>
        <w:tc>
          <w:tcPr>
            <w:tcW w:w="3756" w:type="dxa"/>
            <w:tcBorders>
              <w:top w:val="nil"/>
              <w:left w:val="nil"/>
              <w:bottom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Conduct Research on impact of gambling and present the report to the Accounting Authority</w:t>
            </w:r>
          </w:p>
        </w:tc>
        <w:tc>
          <w:tcPr>
            <w:tcW w:w="3757" w:type="dxa"/>
            <w:tcBorders>
              <w:top w:val="nil"/>
              <w:left w:val="nil"/>
              <w:bottom w:val="single" w:sz="4" w:space="0" w:color="auto"/>
              <w:right w:val="single" w:sz="4" w:space="0" w:color="auto"/>
            </w:tcBorders>
            <w:shd w:val="clear" w:color="auto" w:fill="auto"/>
            <w:noWrap/>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Research on the socio economic impact of gambling conducted and a report presented to the Accounting Authority</w:t>
            </w:r>
          </w:p>
        </w:tc>
      </w:tr>
      <w:tr w:rsidR="00E8046D" w:rsidRPr="00675023" w:rsidTr="00592363">
        <w:trPr>
          <w:trHeight w:val="510"/>
        </w:trPr>
        <w:tc>
          <w:tcPr>
            <w:tcW w:w="1985" w:type="dxa"/>
            <w:vMerge/>
            <w:tcBorders>
              <w:left w:val="single" w:sz="4" w:space="0" w:color="auto"/>
              <w:bottom w:val="single" w:sz="4" w:space="0" w:color="auto"/>
              <w:right w:val="single" w:sz="4" w:space="0" w:color="auto"/>
            </w:tcBorders>
            <w:shd w:val="clear" w:color="auto" w:fill="auto"/>
            <w:vAlign w:val="center"/>
          </w:tcPr>
          <w:p w:rsidR="00E8046D" w:rsidRPr="00675023" w:rsidRDefault="00E8046D" w:rsidP="00592363">
            <w:pPr>
              <w:spacing w:after="0" w:line="360" w:lineRule="auto"/>
              <w:rPr>
                <w:rFonts w:ascii="Times New Roman" w:hAnsi="Times New Roman" w:cs="Times New Roman"/>
                <w:sz w:val="24"/>
                <w:szCs w:val="24"/>
                <w:lang w:eastAsia="en-ZA"/>
              </w:rPr>
            </w:pPr>
          </w:p>
        </w:tc>
        <w:tc>
          <w:tcPr>
            <w:tcW w:w="3756" w:type="dxa"/>
            <w:tcBorders>
              <w:top w:val="nil"/>
              <w:left w:val="nil"/>
              <w:bottom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Audited gambling sector performance report</w:t>
            </w:r>
          </w:p>
        </w:tc>
        <w:tc>
          <w:tcPr>
            <w:tcW w:w="3757" w:type="dxa"/>
            <w:tcBorders>
              <w:top w:val="nil"/>
              <w:left w:val="nil"/>
              <w:bottom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Annual audited gambling  sector performance report</w:t>
            </w:r>
          </w:p>
        </w:tc>
      </w:tr>
      <w:tr w:rsidR="00E8046D" w:rsidRPr="00675023" w:rsidTr="00592363">
        <w:trPr>
          <w:trHeight w:val="1275"/>
        </w:trPr>
        <w:tc>
          <w:tcPr>
            <w:tcW w:w="1985" w:type="dxa"/>
            <w:tcBorders>
              <w:top w:val="nil"/>
              <w:left w:val="single" w:sz="4" w:space="0" w:color="auto"/>
              <w:bottom w:val="single" w:sz="4" w:space="0" w:color="000000"/>
              <w:right w:val="single" w:sz="4" w:space="0" w:color="auto"/>
            </w:tcBorders>
            <w:shd w:val="clear" w:color="auto" w:fill="auto"/>
            <w:vAlign w:val="center"/>
          </w:tcPr>
          <w:p w:rsidR="00E8046D" w:rsidRPr="00675023" w:rsidRDefault="00E8046D" w:rsidP="00592363">
            <w:pPr>
              <w:autoSpaceDE w:val="0"/>
              <w:autoSpaceDN w:val="0"/>
              <w:adjustRightInd w:val="0"/>
              <w:spacing w:after="0" w:line="360" w:lineRule="auto"/>
              <w:rPr>
                <w:rFonts w:ascii="Times New Roman" w:hAnsi="Times New Roman" w:cs="Times New Roman"/>
                <w:sz w:val="24"/>
                <w:szCs w:val="24"/>
                <w:lang w:eastAsia="en-ZA"/>
              </w:rPr>
            </w:pPr>
            <w:r w:rsidRPr="007E21C4">
              <w:rPr>
                <w:rFonts w:ascii="Times New Roman" w:eastAsia="Calibri-Light" w:hAnsi="Times New Roman" w:cs="Times New Roman"/>
                <w:szCs w:val="24"/>
              </w:rPr>
              <w:t>Conducted public awareness, education and responsible gambling campaigns</w:t>
            </w:r>
          </w:p>
        </w:tc>
        <w:tc>
          <w:tcPr>
            <w:tcW w:w="3756" w:type="dxa"/>
            <w:tcBorders>
              <w:top w:val="nil"/>
              <w:left w:val="nil"/>
              <w:bottom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eastAsia="Calibri-Light" w:hAnsi="Times New Roman" w:cs="Times New Roman"/>
                <w:szCs w:val="24"/>
              </w:rPr>
            </w:pPr>
            <w:r w:rsidRPr="007E21C4">
              <w:rPr>
                <w:rFonts w:ascii="Times New Roman" w:eastAsia="Calibri-Light" w:hAnsi="Times New Roman" w:cs="Times New Roman"/>
                <w:szCs w:val="24"/>
              </w:rPr>
              <w:t>Facilitate broad based stakeholder participation</w:t>
            </w:r>
          </w:p>
          <w:p w:rsidR="00E8046D" w:rsidRPr="007E21C4" w:rsidRDefault="00E8046D" w:rsidP="00592363">
            <w:pPr>
              <w:autoSpaceDE w:val="0"/>
              <w:autoSpaceDN w:val="0"/>
              <w:adjustRightInd w:val="0"/>
              <w:spacing w:after="0" w:line="360" w:lineRule="auto"/>
              <w:rPr>
                <w:rFonts w:ascii="Times New Roman" w:eastAsia="Calibri-Light" w:hAnsi="Times New Roman" w:cs="Times New Roman"/>
                <w:szCs w:val="24"/>
              </w:rPr>
            </w:pPr>
            <w:r w:rsidRPr="007E21C4">
              <w:rPr>
                <w:rFonts w:ascii="Times New Roman" w:eastAsia="Calibri-Light" w:hAnsi="Times New Roman" w:cs="Times New Roman"/>
                <w:szCs w:val="24"/>
              </w:rPr>
              <w:t>through targeted intervention such as events,</w:t>
            </w:r>
          </w:p>
          <w:p w:rsidR="00E8046D" w:rsidRPr="007E21C4" w:rsidRDefault="00E8046D" w:rsidP="00592363">
            <w:pPr>
              <w:autoSpaceDE w:val="0"/>
              <w:autoSpaceDN w:val="0"/>
              <w:adjustRightInd w:val="0"/>
              <w:spacing w:after="0" w:line="360" w:lineRule="auto"/>
              <w:rPr>
                <w:rFonts w:ascii="Times New Roman" w:eastAsia="Calibri-Light" w:hAnsi="Times New Roman" w:cs="Times New Roman"/>
                <w:szCs w:val="24"/>
              </w:rPr>
            </w:pPr>
            <w:r w:rsidRPr="007E21C4">
              <w:rPr>
                <w:rFonts w:ascii="Times New Roman" w:eastAsia="Calibri-Light" w:hAnsi="Times New Roman" w:cs="Times New Roman"/>
                <w:szCs w:val="24"/>
              </w:rPr>
              <w:t>campaigns/published information as well as other</w:t>
            </w:r>
          </w:p>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initiatives as stated in the Corporate Communication Plan</w:t>
            </w:r>
          </w:p>
        </w:tc>
        <w:tc>
          <w:tcPr>
            <w:tcW w:w="3757" w:type="dxa"/>
            <w:tcBorders>
              <w:top w:val="nil"/>
              <w:left w:val="nil"/>
              <w:bottom w:val="single" w:sz="4" w:space="0" w:color="auto"/>
              <w:right w:val="single" w:sz="4" w:space="0" w:color="auto"/>
            </w:tcBorders>
            <w:shd w:val="clear" w:color="auto" w:fill="auto"/>
            <w:vAlign w:val="center"/>
          </w:tcPr>
          <w:p w:rsidR="00E8046D" w:rsidRPr="007E21C4" w:rsidRDefault="00E8046D" w:rsidP="00592363">
            <w:pPr>
              <w:autoSpaceDE w:val="0"/>
              <w:autoSpaceDN w:val="0"/>
              <w:adjustRightInd w:val="0"/>
              <w:spacing w:after="0" w:line="360" w:lineRule="auto"/>
              <w:rPr>
                <w:rFonts w:ascii="Times New Roman" w:hAnsi="Times New Roman" w:cs="Times New Roman"/>
                <w:szCs w:val="24"/>
                <w:lang w:eastAsia="en-ZA"/>
              </w:rPr>
            </w:pPr>
            <w:r w:rsidRPr="007E21C4">
              <w:rPr>
                <w:rFonts w:ascii="Times New Roman" w:eastAsia="Calibri-Light" w:hAnsi="Times New Roman" w:cs="Times New Roman"/>
                <w:szCs w:val="24"/>
              </w:rPr>
              <w:t>Responsible gambling advocacy campaigns conducted</w:t>
            </w:r>
          </w:p>
        </w:tc>
      </w:tr>
    </w:tbl>
    <w:p w:rsidR="00E8046D" w:rsidRPr="0022538D" w:rsidRDefault="00E8046D" w:rsidP="00592363">
      <w:pPr>
        <w:pStyle w:val="Default"/>
        <w:spacing w:line="360" w:lineRule="auto"/>
        <w:jc w:val="both"/>
        <w:rPr>
          <w:rFonts w:ascii="Times New Roman" w:hAnsi="Times New Roman" w:cs="Times New Roman"/>
          <w:bCs/>
          <w:color w:val="auto"/>
          <w:sz w:val="20"/>
          <w:szCs w:val="20"/>
        </w:rPr>
      </w:pPr>
      <w:r w:rsidRPr="0022538D">
        <w:rPr>
          <w:rFonts w:ascii="Times New Roman" w:hAnsi="Times New Roman" w:cs="Times New Roman"/>
          <w:bCs/>
          <w:color w:val="auto"/>
          <w:sz w:val="20"/>
          <w:szCs w:val="20"/>
        </w:rPr>
        <w:t>Source: National Gambling Board (2016b)</w:t>
      </w:r>
    </w:p>
    <w:p w:rsidR="00E8046D" w:rsidRPr="00675023" w:rsidRDefault="00E8046D" w:rsidP="00592363">
      <w:pPr>
        <w:pStyle w:val="Default"/>
        <w:spacing w:line="360" w:lineRule="auto"/>
        <w:jc w:val="both"/>
        <w:rPr>
          <w:rFonts w:ascii="Times New Roman" w:hAnsi="Times New Roman" w:cs="Times New Roman"/>
          <w:bCs/>
          <w:color w:val="auto"/>
        </w:rPr>
      </w:pPr>
    </w:p>
    <w:p w:rsidR="00E8046D" w:rsidRPr="00675023" w:rsidRDefault="00E8046D"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675023">
        <w:rPr>
          <w:rFonts w:ascii="Times New Roman" w:hAnsi="Times New Roman" w:cs="Times New Roman"/>
          <w:b/>
          <w:sz w:val="24"/>
          <w:szCs w:val="24"/>
        </w:rPr>
        <w:t>Programme 3: Corporate Services</w:t>
      </w:r>
    </w:p>
    <w:p w:rsidR="00E8046D" w:rsidRPr="00675023" w:rsidRDefault="00E8046D" w:rsidP="00592363">
      <w:pPr>
        <w:autoSpaceDE w:val="0"/>
        <w:autoSpaceDN w:val="0"/>
        <w:adjustRightInd w:val="0"/>
        <w:spacing w:after="0" w:line="360" w:lineRule="auto"/>
        <w:jc w:val="both"/>
        <w:rPr>
          <w:rFonts w:ascii="Times New Roman" w:eastAsia="Calibri-Light" w:hAnsi="Times New Roman" w:cs="Times New Roman"/>
          <w:sz w:val="24"/>
          <w:szCs w:val="24"/>
        </w:rPr>
      </w:pPr>
    </w:p>
    <w:p w:rsidR="00E8046D" w:rsidRPr="00675023" w:rsidRDefault="00E8046D" w:rsidP="00592363">
      <w:pPr>
        <w:autoSpaceDE w:val="0"/>
        <w:autoSpaceDN w:val="0"/>
        <w:adjustRightInd w:val="0"/>
        <w:spacing w:after="0" w:line="360" w:lineRule="auto"/>
        <w:jc w:val="both"/>
        <w:rPr>
          <w:rFonts w:ascii="Times New Roman" w:eastAsia="Calibri-Light" w:hAnsi="Times New Roman" w:cs="Times New Roman"/>
          <w:sz w:val="24"/>
          <w:szCs w:val="24"/>
        </w:rPr>
      </w:pPr>
      <w:r w:rsidRPr="00675023">
        <w:rPr>
          <w:rFonts w:ascii="Times New Roman" w:eastAsia="Calibri-Light" w:hAnsi="Times New Roman" w:cs="Times New Roman"/>
          <w:sz w:val="24"/>
          <w:szCs w:val="24"/>
        </w:rPr>
        <w:t xml:space="preserve">This programme seeks to optimise organisational efficiencies and provides strategic financial management functions, human resource and information technology infrastructure support. It comprises of four units that provide specialised services, namely: </w:t>
      </w:r>
    </w:p>
    <w:p w:rsidR="00E8046D" w:rsidRPr="00675023" w:rsidRDefault="00E8046D" w:rsidP="00592363">
      <w:pPr>
        <w:autoSpaceDE w:val="0"/>
        <w:autoSpaceDN w:val="0"/>
        <w:adjustRightInd w:val="0"/>
        <w:spacing w:after="0" w:line="360" w:lineRule="auto"/>
        <w:jc w:val="both"/>
        <w:rPr>
          <w:rFonts w:ascii="Times New Roman" w:eastAsia="Calibri-Light" w:hAnsi="Times New Roman" w:cs="Times New Roman"/>
          <w:sz w:val="24"/>
          <w:szCs w:val="24"/>
        </w:rPr>
      </w:pPr>
    </w:p>
    <w:p w:rsidR="00E8046D" w:rsidRPr="00675023" w:rsidRDefault="00E8046D" w:rsidP="00592363">
      <w:pPr>
        <w:pStyle w:val="ListParagraph"/>
        <w:numPr>
          <w:ilvl w:val="0"/>
          <w:numId w:val="31"/>
        </w:numPr>
        <w:autoSpaceDE w:val="0"/>
        <w:autoSpaceDN w:val="0"/>
        <w:adjustRightInd w:val="0"/>
        <w:spacing w:after="0" w:line="360" w:lineRule="auto"/>
        <w:jc w:val="both"/>
        <w:rPr>
          <w:rFonts w:ascii="Times New Roman" w:hAnsi="Times New Roman" w:cs="Times New Roman"/>
          <w:bCs/>
          <w:sz w:val="24"/>
          <w:szCs w:val="24"/>
        </w:rPr>
      </w:pPr>
      <w:r w:rsidRPr="00675023">
        <w:rPr>
          <w:rFonts w:ascii="Times New Roman" w:hAnsi="Times New Roman" w:cs="Times New Roman"/>
          <w:bCs/>
          <w:sz w:val="24"/>
          <w:szCs w:val="24"/>
        </w:rPr>
        <w:t>Finance,</w:t>
      </w:r>
    </w:p>
    <w:p w:rsidR="00E8046D" w:rsidRPr="00675023" w:rsidRDefault="00E8046D" w:rsidP="00592363">
      <w:pPr>
        <w:pStyle w:val="ListParagraph"/>
        <w:numPr>
          <w:ilvl w:val="0"/>
          <w:numId w:val="31"/>
        </w:numPr>
        <w:autoSpaceDE w:val="0"/>
        <w:autoSpaceDN w:val="0"/>
        <w:adjustRightInd w:val="0"/>
        <w:spacing w:after="0" w:line="360" w:lineRule="auto"/>
        <w:jc w:val="both"/>
        <w:rPr>
          <w:rFonts w:ascii="Times New Roman" w:hAnsi="Times New Roman" w:cs="Times New Roman"/>
          <w:bCs/>
          <w:sz w:val="24"/>
          <w:szCs w:val="24"/>
        </w:rPr>
      </w:pPr>
      <w:r w:rsidRPr="00675023">
        <w:rPr>
          <w:rFonts w:ascii="Times New Roman" w:hAnsi="Times New Roman" w:cs="Times New Roman"/>
          <w:bCs/>
          <w:sz w:val="24"/>
          <w:szCs w:val="24"/>
        </w:rPr>
        <w:t>Supply chain management,</w:t>
      </w:r>
    </w:p>
    <w:p w:rsidR="00E8046D" w:rsidRPr="00675023" w:rsidRDefault="00E8046D" w:rsidP="00592363">
      <w:pPr>
        <w:pStyle w:val="ListParagraph"/>
        <w:numPr>
          <w:ilvl w:val="0"/>
          <w:numId w:val="31"/>
        </w:numPr>
        <w:tabs>
          <w:tab w:val="left" w:pos="1701"/>
        </w:tabs>
        <w:autoSpaceDE w:val="0"/>
        <w:autoSpaceDN w:val="0"/>
        <w:adjustRightInd w:val="0"/>
        <w:spacing w:after="0" w:line="360" w:lineRule="auto"/>
        <w:jc w:val="both"/>
        <w:rPr>
          <w:rFonts w:ascii="Times New Roman" w:hAnsi="Times New Roman" w:cs="Times New Roman"/>
          <w:bCs/>
          <w:sz w:val="24"/>
          <w:szCs w:val="24"/>
        </w:rPr>
      </w:pPr>
      <w:r w:rsidRPr="00675023">
        <w:rPr>
          <w:rFonts w:ascii="Times New Roman" w:hAnsi="Times New Roman" w:cs="Times New Roman"/>
          <w:bCs/>
          <w:sz w:val="24"/>
          <w:szCs w:val="24"/>
        </w:rPr>
        <w:t>Information and communication technology (ICT), and</w:t>
      </w:r>
    </w:p>
    <w:p w:rsidR="00E8046D" w:rsidRPr="00675023" w:rsidRDefault="00E8046D" w:rsidP="00592363">
      <w:pPr>
        <w:pStyle w:val="ListParagraph"/>
        <w:numPr>
          <w:ilvl w:val="0"/>
          <w:numId w:val="31"/>
        </w:numPr>
        <w:tabs>
          <w:tab w:val="left" w:pos="1701"/>
        </w:tabs>
        <w:autoSpaceDE w:val="0"/>
        <w:autoSpaceDN w:val="0"/>
        <w:adjustRightInd w:val="0"/>
        <w:spacing w:after="0" w:line="360" w:lineRule="auto"/>
        <w:jc w:val="both"/>
        <w:rPr>
          <w:rFonts w:ascii="Times New Roman" w:hAnsi="Times New Roman" w:cs="Times New Roman"/>
          <w:bCs/>
          <w:sz w:val="24"/>
          <w:szCs w:val="24"/>
        </w:rPr>
      </w:pPr>
      <w:r w:rsidRPr="00675023">
        <w:rPr>
          <w:rFonts w:ascii="Times New Roman" w:hAnsi="Times New Roman" w:cs="Times New Roman"/>
          <w:bCs/>
          <w:sz w:val="24"/>
          <w:szCs w:val="24"/>
        </w:rPr>
        <w:t>Human capital optimisation (Human resources)</w:t>
      </w:r>
    </w:p>
    <w:p w:rsidR="00E8046D" w:rsidRPr="00675023" w:rsidRDefault="00E8046D" w:rsidP="00592363">
      <w:pPr>
        <w:pStyle w:val="Default"/>
        <w:spacing w:line="360" w:lineRule="auto"/>
        <w:jc w:val="both"/>
        <w:rPr>
          <w:rFonts w:ascii="Times New Roman" w:hAnsi="Times New Roman" w:cs="Times New Roman"/>
          <w:bCs/>
          <w:color w:val="auto"/>
        </w:rPr>
      </w:pPr>
    </w:p>
    <w:p w:rsidR="00CE68CD" w:rsidRDefault="00CE68CD">
      <w:pPr>
        <w:rPr>
          <w:rFonts w:ascii="Times New Roman" w:hAnsi="Times New Roman" w:cs="Times New Roman"/>
          <w:b/>
          <w:sz w:val="24"/>
          <w:szCs w:val="24"/>
        </w:rPr>
      </w:pPr>
      <w:r>
        <w:rPr>
          <w:rFonts w:ascii="Times New Roman" w:hAnsi="Times New Roman" w:cs="Times New Roman"/>
          <w:b/>
          <w:sz w:val="24"/>
          <w:szCs w:val="24"/>
        </w:rPr>
        <w:br w:type="page"/>
      </w:r>
    </w:p>
    <w:p w:rsidR="00E8046D" w:rsidRPr="00675023" w:rsidRDefault="00E8046D" w:rsidP="007E21C4">
      <w:pPr>
        <w:pStyle w:val="ListParagraph"/>
        <w:numPr>
          <w:ilvl w:val="2"/>
          <w:numId w:val="2"/>
        </w:numPr>
        <w:spacing w:after="0" w:line="360" w:lineRule="auto"/>
        <w:ind w:left="709" w:hanging="709"/>
        <w:jc w:val="both"/>
        <w:rPr>
          <w:rFonts w:ascii="Times New Roman" w:hAnsi="Times New Roman" w:cs="Times New Roman"/>
          <w:sz w:val="24"/>
          <w:szCs w:val="24"/>
        </w:rPr>
      </w:pPr>
      <w:r w:rsidRPr="007E21C4">
        <w:rPr>
          <w:rFonts w:ascii="Times New Roman" w:hAnsi="Times New Roman" w:cs="Times New Roman"/>
          <w:b/>
          <w:sz w:val="24"/>
          <w:szCs w:val="24"/>
        </w:rPr>
        <w:t>Medium Term Budget Analysis</w:t>
      </w:r>
      <w:r w:rsidRPr="007E21C4" w:rsidDel="0004053A">
        <w:rPr>
          <w:rFonts w:ascii="Times New Roman" w:hAnsi="Times New Roman" w:cs="Times New Roman"/>
          <w:b/>
          <w:sz w:val="24"/>
          <w:szCs w:val="24"/>
        </w:rPr>
        <w:t xml:space="preserve"> </w:t>
      </w:r>
    </w:p>
    <w:p w:rsidR="00E8046D" w:rsidRPr="00675023" w:rsidRDefault="00E8046D" w:rsidP="00592363">
      <w:pPr>
        <w:spacing w:after="0" w:line="360" w:lineRule="auto"/>
        <w:jc w:val="both"/>
        <w:rPr>
          <w:rFonts w:ascii="Times New Roman" w:hAnsi="Times New Roman" w:cs="Times New Roman"/>
          <w:sz w:val="24"/>
          <w:szCs w:val="24"/>
        </w:rPr>
      </w:pPr>
    </w:p>
    <w:p w:rsidR="00E8046D" w:rsidRPr="00675023" w:rsidRDefault="00E8046D"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675023">
        <w:rPr>
          <w:rFonts w:ascii="Times New Roman" w:hAnsi="Times New Roman" w:cs="Times New Roman"/>
          <w:b/>
          <w:sz w:val="24"/>
          <w:szCs w:val="24"/>
        </w:rPr>
        <w:t>Income</w:t>
      </w:r>
    </w:p>
    <w:p w:rsidR="00E8046D" w:rsidRPr="00675023" w:rsidRDefault="00E8046D" w:rsidP="007E21C4">
      <w:pPr>
        <w:spacing w:after="0" w:line="360" w:lineRule="auto"/>
        <w:jc w:val="both"/>
        <w:rPr>
          <w:rFonts w:ascii="Times New Roman" w:hAnsi="Times New Roman" w:cs="Times New Roman"/>
          <w:sz w:val="24"/>
          <w:szCs w:val="24"/>
        </w:rPr>
      </w:pPr>
    </w:p>
    <w:p w:rsidR="00E8046D" w:rsidRPr="00675023" w:rsidRDefault="00E8046D" w:rsidP="00592363">
      <w:pPr>
        <w:pStyle w:val="Default"/>
        <w:spacing w:line="360" w:lineRule="auto"/>
        <w:jc w:val="both"/>
        <w:rPr>
          <w:rFonts w:ascii="Times New Roman" w:hAnsi="Times New Roman" w:cs="Times New Roman"/>
        </w:rPr>
      </w:pPr>
      <w:r w:rsidRPr="00675023">
        <w:rPr>
          <w:rFonts w:ascii="Times New Roman" w:hAnsi="Times New Roman" w:cs="Times New Roman"/>
          <w:color w:val="auto"/>
        </w:rPr>
        <w:t>For the 2016/17 financial year, the NGB’s expected income amounts to R43.7 million. The budgeted income shows an increase of R</w:t>
      </w:r>
      <w:r w:rsidR="007F2357">
        <w:rPr>
          <w:rFonts w:ascii="Times New Roman" w:hAnsi="Times New Roman" w:cs="Times New Roman"/>
          <w:color w:val="auto"/>
        </w:rPr>
        <w:t>2</w:t>
      </w:r>
      <w:r w:rsidRPr="00675023">
        <w:rPr>
          <w:rFonts w:ascii="Times New Roman" w:hAnsi="Times New Roman" w:cs="Times New Roman"/>
          <w:color w:val="auto"/>
        </w:rPr>
        <w:t>.</w:t>
      </w:r>
      <w:r w:rsidR="007F2357">
        <w:rPr>
          <w:rFonts w:ascii="Times New Roman" w:hAnsi="Times New Roman" w:cs="Times New Roman"/>
          <w:color w:val="auto"/>
        </w:rPr>
        <w:t>9</w:t>
      </w:r>
      <w:r w:rsidRPr="00675023">
        <w:rPr>
          <w:rFonts w:ascii="Times New Roman" w:hAnsi="Times New Roman" w:cs="Times New Roman"/>
          <w:color w:val="auto"/>
        </w:rPr>
        <w:t xml:space="preserve"> million in nominal terms (or </w:t>
      </w:r>
      <w:r w:rsidR="007F2357">
        <w:rPr>
          <w:rFonts w:ascii="Times New Roman" w:hAnsi="Times New Roman" w:cs="Times New Roman"/>
          <w:color w:val="auto"/>
        </w:rPr>
        <w:t>0</w:t>
      </w:r>
      <w:r w:rsidRPr="00675023">
        <w:rPr>
          <w:rFonts w:ascii="Times New Roman" w:hAnsi="Times New Roman" w:cs="Times New Roman"/>
          <w:color w:val="auto"/>
        </w:rPr>
        <w:t>.</w:t>
      </w:r>
      <w:r w:rsidR="007F2357">
        <w:rPr>
          <w:rFonts w:ascii="Times New Roman" w:hAnsi="Times New Roman" w:cs="Times New Roman"/>
          <w:color w:val="auto"/>
        </w:rPr>
        <w:t>5</w:t>
      </w:r>
      <w:r w:rsidRPr="00675023">
        <w:rPr>
          <w:rFonts w:ascii="Times New Roman" w:hAnsi="Times New Roman" w:cs="Times New Roman"/>
          <w:color w:val="auto"/>
        </w:rPr>
        <w:t xml:space="preserve"> percent increase in real terms) compared to the previous year. Transfers from the Department are expected to amount to R30.1 million (69 percent of the total budgeted income) while the NGB is expecting to generate about R13.6 million in other revenue, particularly from the National Central Electronic Monitoring System.  Most revenue streams are declining in real terms with the exception of the monitoring fee from the National Central Electronic Monitoring System</w:t>
      </w:r>
      <w:r w:rsidR="00F43775">
        <w:rPr>
          <w:rFonts w:ascii="Times New Roman" w:hAnsi="Times New Roman" w:cs="Times New Roman"/>
          <w:color w:val="auto"/>
        </w:rPr>
        <w:t xml:space="preserve"> (NCEMS)</w:t>
      </w:r>
      <w:r w:rsidRPr="00675023">
        <w:rPr>
          <w:rFonts w:ascii="Times New Roman" w:hAnsi="Times New Roman" w:cs="Times New Roman"/>
          <w:color w:val="auto"/>
        </w:rPr>
        <w:t xml:space="preserve">. </w:t>
      </w:r>
      <w:r w:rsidRPr="00675023">
        <w:rPr>
          <w:rFonts w:ascii="Times New Roman" w:hAnsi="Times New Roman" w:cs="Times New Roman"/>
        </w:rPr>
        <w:t>This increase is as a result of an expected change in the funding model for this system.</w:t>
      </w:r>
    </w:p>
    <w:p w:rsidR="00E8046D" w:rsidRPr="00675023" w:rsidRDefault="00E8046D" w:rsidP="00592363">
      <w:pPr>
        <w:pStyle w:val="Default"/>
        <w:spacing w:line="360" w:lineRule="auto"/>
        <w:jc w:val="both"/>
        <w:rPr>
          <w:rFonts w:ascii="Times New Roman" w:hAnsi="Times New Roman" w:cs="Times New Roman"/>
        </w:rPr>
      </w:pPr>
    </w:p>
    <w:p w:rsidR="00E8046D" w:rsidRPr="00675023" w:rsidRDefault="00E8046D" w:rsidP="00592363">
      <w:pPr>
        <w:pStyle w:val="Default"/>
        <w:spacing w:line="360" w:lineRule="auto"/>
        <w:jc w:val="both"/>
        <w:rPr>
          <w:rFonts w:ascii="Times New Roman" w:hAnsi="Times New Roman" w:cs="Times New Roman"/>
          <w:b/>
        </w:rPr>
      </w:pPr>
      <w:r w:rsidRPr="00675023">
        <w:rPr>
          <w:rFonts w:ascii="Times New Roman" w:hAnsi="Times New Roman" w:cs="Times New Roman"/>
          <w:b/>
        </w:rPr>
        <w:t xml:space="preserve">Table </w:t>
      </w:r>
      <w:r w:rsidR="00BF0C40">
        <w:rPr>
          <w:rFonts w:ascii="Times New Roman" w:hAnsi="Times New Roman" w:cs="Times New Roman"/>
          <w:b/>
        </w:rPr>
        <w:t>1</w:t>
      </w:r>
      <w:r w:rsidR="00CE68CD">
        <w:rPr>
          <w:rFonts w:ascii="Times New Roman" w:hAnsi="Times New Roman" w:cs="Times New Roman"/>
          <w:b/>
        </w:rPr>
        <w:t>6</w:t>
      </w:r>
      <w:r w:rsidRPr="00675023">
        <w:rPr>
          <w:rFonts w:ascii="Times New Roman" w:hAnsi="Times New Roman" w:cs="Times New Roman"/>
          <w:b/>
        </w:rPr>
        <w:t>: Budgeted Income 2016/17 – 2018/19</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1418"/>
        <w:gridCol w:w="1559"/>
        <w:gridCol w:w="1559"/>
        <w:gridCol w:w="1560"/>
      </w:tblGrid>
      <w:tr w:rsidR="00E8046D" w:rsidRPr="00675023" w:rsidTr="007E21C4">
        <w:trPr>
          <w:trHeight w:val="990"/>
        </w:trPr>
        <w:tc>
          <w:tcPr>
            <w:tcW w:w="3402" w:type="dxa"/>
            <w:vMerge w:val="restart"/>
            <w:shd w:val="clear" w:color="auto" w:fill="BFBFBF" w:themeFill="background1" w:themeFillShade="BF"/>
            <w:noWrap/>
            <w:vAlign w:val="bottom"/>
            <w:hideMark/>
          </w:tcPr>
          <w:p w:rsidR="00E8046D" w:rsidRPr="007E21C4" w:rsidRDefault="00E8046D" w:rsidP="00592363">
            <w:pPr>
              <w:spacing w:after="0" w:line="360" w:lineRule="auto"/>
              <w:rPr>
                <w:rFonts w:ascii="Times New Roman" w:hAnsi="Times New Roman" w:cs="Times New Roman"/>
                <w:b/>
                <w:sz w:val="20"/>
                <w:szCs w:val="24"/>
                <w:lang w:eastAsia="en-ZA"/>
              </w:rPr>
            </w:pPr>
            <w:r w:rsidRPr="007E21C4">
              <w:rPr>
                <w:rFonts w:ascii="Times New Roman" w:hAnsi="Times New Roman" w:cs="Times New Roman"/>
                <w:b/>
                <w:sz w:val="20"/>
                <w:szCs w:val="24"/>
                <w:lang w:eastAsia="en-ZA"/>
              </w:rPr>
              <w:t> R thousands</w:t>
            </w:r>
          </w:p>
        </w:tc>
        <w:tc>
          <w:tcPr>
            <w:tcW w:w="1418" w:type="dxa"/>
            <w:vMerge w:val="restart"/>
            <w:shd w:val="clear" w:color="auto" w:fill="BFBFBF" w:themeFill="background1" w:themeFillShade="BF"/>
            <w:vAlign w:val="center"/>
            <w:hideMark/>
          </w:tcPr>
          <w:p w:rsidR="00E8046D" w:rsidRPr="007E21C4" w:rsidRDefault="00E8046D"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Revised estimate 2015/16</w:t>
            </w:r>
          </w:p>
        </w:tc>
        <w:tc>
          <w:tcPr>
            <w:tcW w:w="1559" w:type="dxa"/>
            <w:vMerge w:val="restart"/>
            <w:shd w:val="clear" w:color="auto" w:fill="BFBFBF" w:themeFill="background1" w:themeFillShade="BF"/>
            <w:vAlign w:val="center"/>
            <w:hideMark/>
          </w:tcPr>
          <w:p w:rsidR="00E8046D" w:rsidRPr="007E21C4" w:rsidRDefault="00E8046D"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Medium-term expenditure estimate 2016/17</w:t>
            </w:r>
          </w:p>
        </w:tc>
        <w:tc>
          <w:tcPr>
            <w:tcW w:w="1559" w:type="dxa"/>
            <w:tcBorders>
              <w:bottom w:val="single" w:sz="4" w:space="0" w:color="auto"/>
            </w:tcBorders>
            <w:shd w:val="clear" w:color="auto" w:fill="BFBFBF" w:themeFill="background1" w:themeFillShade="BF"/>
            <w:vAlign w:val="center"/>
            <w:hideMark/>
          </w:tcPr>
          <w:p w:rsidR="00E8046D" w:rsidRPr="007E21C4" w:rsidRDefault="00E8046D"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Growth</w:t>
            </w:r>
          </w:p>
        </w:tc>
        <w:tc>
          <w:tcPr>
            <w:tcW w:w="1560" w:type="dxa"/>
            <w:tcBorders>
              <w:bottom w:val="single" w:sz="4" w:space="0" w:color="auto"/>
            </w:tcBorders>
            <w:shd w:val="clear" w:color="auto" w:fill="BFBFBF" w:themeFill="background1" w:themeFillShade="BF"/>
            <w:vAlign w:val="center"/>
          </w:tcPr>
          <w:p w:rsidR="00E8046D" w:rsidRPr="007E21C4" w:rsidRDefault="00E8046D" w:rsidP="00592363">
            <w:pPr>
              <w:spacing w:after="0" w:line="360" w:lineRule="auto"/>
              <w:jc w:val="center"/>
              <w:rPr>
                <w:rFonts w:ascii="Times New Roman" w:hAnsi="Times New Roman" w:cs="Times New Roman"/>
                <w:b/>
                <w:bCs/>
                <w:sz w:val="20"/>
                <w:szCs w:val="24"/>
                <w:lang w:eastAsia="en-ZA"/>
              </w:rPr>
            </w:pPr>
            <w:r w:rsidRPr="007E21C4">
              <w:rPr>
                <w:rFonts w:ascii="Times New Roman" w:hAnsi="Times New Roman" w:cs="Times New Roman"/>
                <w:b/>
                <w:bCs/>
                <w:sz w:val="20"/>
                <w:szCs w:val="24"/>
                <w:lang w:eastAsia="en-ZA"/>
              </w:rPr>
              <w:t>% Real Growth</w:t>
            </w:r>
          </w:p>
        </w:tc>
      </w:tr>
      <w:tr w:rsidR="00E8046D" w:rsidRPr="00675023" w:rsidTr="00592363">
        <w:trPr>
          <w:trHeight w:val="298"/>
        </w:trPr>
        <w:tc>
          <w:tcPr>
            <w:tcW w:w="3402" w:type="dxa"/>
            <w:vMerge/>
            <w:tcBorders>
              <w:bottom w:val="single" w:sz="4" w:space="0" w:color="auto"/>
            </w:tcBorders>
            <w:shd w:val="clear" w:color="auto" w:fill="BFBFBF" w:themeFill="background1" w:themeFillShade="BF"/>
            <w:noWrap/>
            <w:vAlign w:val="bottom"/>
          </w:tcPr>
          <w:p w:rsidR="00E8046D" w:rsidRPr="00675023" w:rsidRDefault="00E8046D" w:rsidP="00592363">
            <w:pPr>
              <w:spacing w:after="0" w:line="360" w:lineRule="auto"/>
              <w:rPr>
                <w:rFonts w:ascii="Times New Roman" w:hAnsi="Times New Roman" w:cs="Times New Roman"/>
                <w:b/>
                <w:sz w:val="24"/>
                <w:szCs w:val="24"/>
                <w:lang w:eastAsia="en-ZA"/>
              </w:rPr>
            </w:pPr>
          </w:p>
        </w:tc>
        <w:tc>
          <w:tcPr>
            <w:tcW w:w="1418" w:type="dxa"/>
            <w:vMerge/>
            <w:tcBorders>
              <w:bottom w:val="single" w:sz="4" w:space="0" w:color="auto"/>
            </w:tcBorders>
            <w:shd w:val="clear" w:color="auto" w:fill="BFBFBF" w:themeFill="background1" w:themeFillShade="BF"/>
            <w:vAlign w:val="center"/>
          </w:tcPr>
          <w:p w:rsidR="00E8046D" w:rsidRPr="00675023" w:rsidRDefault="00E8046D" w:rsidP="00592363">
            <w:pPr>
              <w:spacing w:after="0" w:line="360" w:lineRule="auto"/>
              <w:jc w:val="center"/>
              <w:rPr>
                <w:rFonts w:ascii="Times New Roman" w:hAnsi="Times New Roman" w:cs="Times New Roman"/>
                <w:b/>
                <w:bCs/>
                <w:sz w:val="24"/>
                <w:szCs w:val="24"/>
                <w:lang w:eastAsia="en-ZA"/>
              </w:rPr>
            </w:pPr>
          </w:p>
        </w:tc>
        <w:tc>
          <w:tcPr>
            <w:tcW w:w="1559" w:type="dxa"/>
            <w:vMerge/>
            <w:tcBorders>
              <w:bottom w:val="single" w:sz="4" w:space="0" w:color="auto"/>
            </w:tcBorders>
            <w:shd w:val="clear" w:color="auto" w:fill="BFBFBF" w:themeFill="background1" w:themeFillShade="BF"/>
            <w:vAlign w:val="center"/>
          </w:tcPr>
          <w:p w:rsidR="00E8046D" w:rsidRPr="00675023" w:rsidRDefault="00E8046D" w:rsidP="00592363">
            <w:pPr>
              <w:spacing w:after="0" w:line="360" w:lineRule="auto"/>
              <w:jc w:val="center"/>
              <w:rPr>
                <w:rFonts w:ascii="Times New Roman" w:hAnsi="Times New Roman" w:cs="Times New Roman"/>
                <w:b/>
                <w:bCs/>
                <w:sz w:val="24"/>
                <w:szCs w:val="24"/>
                <w:lang w:eastAsia="en-ZA"/>
              </w:rPr>
            </w:pPr>
          </w:p>
        </w:tc>
        <w:tc>
          <w:tcPr>
            <w:tcW w:w="3119" w:type="dxa"/>
            <w:gridSpan w:val="2"/>
            <w:tcBorders>
              <w:bottom w:val="single" w:sz="4" w:space="0" w:color="auto"/>
            </w:tcBorders>
            <w:shd w:val="clear" w:color="auto" w:fill="BFBFBF" w:themeFill="background1" w:themeFillShade="BF"/>
            <w:vAlign w:val="center"/>
          </w:tcPr>
          <w:p w:rsidR="00E8046D" w:rsidRPr="00675023" w:rsidRDefault="00E8046D" w:rsidP="00592363">
            <w:pPr>
              <w:spacing w:after="0" w:line="360" w:lineRule="auto"/>
              <w:jc w:val="center"/>
              <w:rPr>
                <w:rFonts w:ascii="Times New Roman" w:hAnsi="Times New Roman" w:cs="Times New Roman"/>
                <w:b/>
                <w:bCs/>
                <w:sz w:val="24"/>
                <w:szCs w:val="24"/>
                <w:lang w:eastAsia="en-ZA"/>
              </w:rPr>
            </w:pPr>
            <w:r w:rsidRPr="007E21C4">
              <w:rPr>
                <w:rFonts w:ascii="Times New Roman" w:hAnsi="Times New Roman" w:cs="Times New Roman"/>
                <w:b/>
                <w:bCs/>
                <w:sz w:val="20"/>
                <w:szCs w:val="24"/>
                <w:lang w:eastAsia="en-ZA"/>
              </w:rPr>
              <w:t>2015/16 - 2016/17</w:t>
            </w:r>
          </w:p>
        </w:tc>
      </w:tr>
      <w:tr w:rsidR="00E8046D" w:rsidRPr="00675023" w:rsidTr="00592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Interest income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1367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1 449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-0.6</w:t>
            </w:r>
          </w:p>
        </w:tc>
      </w:tr>
      <w:tr w:rsidR="00E8046D" w:rsidRPr="00675023" w:rsidTr="00592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National Central Electronic Monitoring System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2 150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10 000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365.1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336.3</w:t>
            </w:r>
          </w:p>
        </w:tc>
      </w:tr>
      <w:tr w:rsidR="00E8046D" w:rsidRPr="00675023" w:rsidTr="00592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Other income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5 272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2 123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-59.7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-62.2</w:t>
            </w:r>
          </w:p>
        </w:tc>
      </w:tr>
      <w:tr w:rsidR="00E8046D" w:rsidRPr="00675023" w:rsidTr="00592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Transfers received</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 xml:space="preserve">31 </w:t>
            </w:r>
            <w:r w:rsidR="009F3339">
              <w:rPr>
                <w:rFonts w:ascii="Times New Roman" w:eastAsia="Calibri-Light" w:hAnsi="Times New Roman" w:cs="Times New Roman"/>
                <w:color w:val="000000"/>
                <w:sz w:val="20"/>
                <w:szCs w:val="24"/>
              </w:rPr>
              <w:t>9</w:t>
            </w:r>
            <w:r w:rsidRPr="007E21C4">
              <w:rPr>
                <w:rFonts w:ascii="Times New Roman" w:eastAsia="Calibri-Light" w:hAnsi="Times New Roman" w:cs="Times New Roman"/>
                <w:color w:val="000000"/>
                <w:sz w:val="20"/>
                <w:szCs w:val="24"/>
              </w:rPr>
              <w:t>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eastAsia="Calibri-Light" w:hAnsi="Times New Roman" w:cs="Times New Roman"/>
                <w:color w:val="000000"/>
                <w:sz w:val="20"/>
                <w:szCs w:val="24"/>
              </w:rPr>
              <w:t>30 121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B07318">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w:t>
            </w:r>
            <w:r w:rsidR="009F3339">
              <w:rPr>
                <w:rFonts w:ascii="Times New Roman" w:hAnsi="Times New Roman" w:cs="Times New Roman"/>
                <w:color w:val="000000"/>
                <w:sz w:val="20"/>
                <w:szCs w:val="24"/>
              </w:rPr>
              <w:t>5</w:t>
            </w:r>
            <w:r w:rsidRPr="007E21C4">
              <w:rPr>
                <w:rFonts w:ascii="Times New Roman" w:hAnsi="Times New Roman" w:cs="Times New Roman"/>
                <w:color w:val="000000"/>
                <w:sz w:val="20"/>
                <w:szCs w:val="24"/>
              </w:rPr>
              <w:t>.</w:t>
            </w:r>
            <w:r w:rsidR="009F3339">
              <w:rPr>
                <w:rFonts w:ascii="Times New Roman" w:hAnsi="Times New Roman" w:cs="Times New Roman"/>
                <w:color w:val="000000"/>
                <w:sz w:val="20"/>
                <w:szCs w:val="24"/>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E8046D" w:rsidP="00B07318">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-1</w:t>
            </w:r>
            <w:r w:rsidR="009F3339">
              <w:rPr>
                <w:rFonts w:ascii="Times New Roman" w:hAnsi="Times New Roman" w:cs="Times New Roman"/>
                <w:color w:val="000000"/>
                <w:sz w:val="20"/>
                <w:szCs w:val="24"/>
              </w:rPr>
              <w:t>1</w:t>
            </w:r>
            <w:r w:rsidRPr="007E21C4">
              <w:rPr>
                <w:rFonts w:ascii="Times New Roman" w:hAnsi="Times New Roman" w:cs="Times New Roman"/>
                <w:color w:val="000000"/>
                <w:sz w:val="20"/>
                <w:szCs w:val="24"/>
              </w:rPr>
              <w:t>.</w:t>
            </w:r>
            <w:r w:rsidR="009F3339">
              <w:rPr>
                <w:rFonts w:ascii="Times New Roman" w:hAnsi="Times New Roman" w:cs="Times New Roman"/>
                <w:color w:val="000000"/>
                <w:sz w:val="20"/>
                <w:szCs w:val="24"/>
              </w:rPr>
              <w:t>7</w:t>
            </w:r>
          </w:p>
        </w:tc>
      </w:tr>
      <w:tr w:rsidR="00E8046D" w:rsidRPr="00675023" w:rsidTr="00592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rPr>
                <w:rFonts w:ascii="Times New Roman" w:hAnsi="Times New Roman" w:cs="Times New Roman"/>
                <w:b/>
                <w:bCs/>
                <w:color w:val="000000"/>
                <w:sz w:val="20"/>
                <w:szCs w:val="24"/>
              </w:rPr>
            </w:pPr>
            <w:r w:rsidRPr="007E21C4">
              <w:rPr>
                <w:rFonts w:ascii="Times New Roman" w:hAnsi="Times New Roman" w:cs="Times New Roman"/>
                <w:b/>
                <w:bCs/>
                <w:color w:val="000000"/>
                <w:sz w:val="20"/>
                <w:szCs w:val="24"/>
              </w:rPr>
              <w:t>Total revenue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b/>
                <w:bCs/>
                <w:color w:val="000000"/>
                <w:sz w:val="20"/>
                <w:szCs w:val="24"/>
              </w:rPr>
            </w:pPr>
            <w:r w:rsidRPr="007E21C4">
              <w:rPr>
                <w:rFonts w:ascii="Times New Roman" w:hAnsi="Times New Roman" w:cs="Times New Roman"/>
                <w:b/>
                <w:bCs/>
                <w:color w:val="000000"/>
                <w:sz w:val="20"/>
                <w:szCs w:val="24"/>
              </w:rPr>
              <w:t xml:space="preserve">40 </w:t>
            </w:r>
            <w:r w:rsidR="009F3339">
              <w:rPr>
                <w:rFonts w:ascii="Times New Roman" w:hAnsi="Times New Roman" w:cs="Times New Roman"/>
                <w:b/>
                <w:bCs/>
                <w:color w:val="000000"/>
                <w:sz w:val="20"/>
                <w:szCs w:val="24"/>
              </w:rPr>
              <w:t>7</w:t>
            </w:r>
            <w:r w:rsidRPr="007E21C4">
              <w:rPr>
                <w:rFonts w:ascii="Times New Roman" w:hAnsi="Times New Roman" w:cs="Times New Roman"/>
                <w:b/>
                <w:bCs/>
                <w:color w:val="000000"/>
                <w:sz w:val="20"/>
                <w:szCs w:val="24"/>
              </w:rPr>
              <w:t>72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b/>
                <w:bCs/>
                <w:color w:val="000000"/>
                <w:sz w:val="20"/>
                <w:szCs w:val="24"/>
              </w:rPr>
            </w:pPr>
            <w:r w:rsidRPr="007E21C4">
              <w:rPr>
                <w:rFonts w:ascii="Times New Roman" w:hAnsi="Times New Roman" w:cs="Times New Roman"/>
                <w:b/>
                <w:bCs/>
                <w:color w:val="000000"/>
                <w:sz w:val="20"/>
                <w:szCs w:val="24"/>
              </w:rPr>
              <w:t>43 693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9F3339" w:rsidP="00B07318">
            <w:pPr>
              <w:spacing w:after="0" w:line="360" w:lineRule="auto"/>
              <w:jc w:val="right"/>
              <w:rPr>
                <w:rFonts w:ascii="Times New Roman" w:hAnsi="Times New Roman" w:cs="Times New Roman"/>
                <w:b/>
                <w:bCs/>
                <w:color w:val="000000"/>
                <w:sz w:val="20"/>
                <w:szCs w:val="24"/>
              </w:rPr>
            </w:pPr>
            <w:r>
              <w:rPr>
                <w:rFonts w:ascii="Times New Roman" w:hAnsi="Times New Roman" w:cs="Times New Roman"/>
                <w:b/>
                <w:bCs/>
                <w:color w:val="000000"/>
                <w:sz w:val="20"/>
                <w:szCs w:val="24"/>
              </w:rPr>
              <w:t>7</w:t>
            </w:r>
            <w:r w:rsidR="00E8046D" w:rsidRPr="007E21C4">
              <w:rPr>
                <w:rFonts w:ascii="Times New Roman" w:hAnsi="Times New Roman" w:cs="Times New Roman"/>
                <w:b/>
                <w:bCs/>
                <w:color w:val="000000"/>
                <w:sz w:val="20"/>
                <w:szCs w:val="24"/>
              </w:rPr>
              <w:t>.</w:t>
            </w:r>
            <w:r>
              <w:rPr>
                <w:rFonts w:ascii="Times New Roman" w:hAnsi="Times New Roman" w:cs="Times New Roman"/>
                <w:b/>
                <w:bCs/>
                <w:color w:val="000000"/>
                <w:sz w:val="20"/>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46D" w:rsidRPr="007E21C4" w:rsidRDefault="009F3339" w:rsidP="00B07318">
            <w:pPr>
              <w:spacing w:after="0" w:line="360" w:lineRule="auto"/>
              <w:jc w:val="right"/>
              <w:rPr>
                <w:rFonts w:ascii="Times New Roman" w:hAnsi="Times New Roman" w:cs="Times New Roman"/>
                <w:b/>
                <w:color w:val="000000"/>
                <w:sz w:val="20"/>
                <w:szCs w:val="24"/>
              </w:rPr>
            </w:pPr>
            <w:r>
              <w:rPr>
                <w:rFonts w:ascii="Times New Roman" w:hAnsi="Times New Roman" w:cs="Times New Roman"/>
                <w:b/>
                <w:color w:val="000000"/>
                <w:sz w:val="20"/>
                <w:szCs w:val="24"/>
              </w:rPr>
              <w:t>0</w:t>
            </w:r>
            <w:r w:rsidR="00E8046D" w:rsidRPr="007E21C4">
              <w:rPr>
                <w:rFonts w:ascii="Times New Roman" w:hAnsi="Times New Roman" w:cs="Times New Roman"/>
                <w:b/>
                <w:color w:val="000000"/>
                <w:sz w:val="20"/>
                <w:szCs w:val="24"/>
              </w:rPr>
              <w:t>.</w:t>
            </w:r>
            <w:r>
              <w:rPr>
                <w:rFonts w:ascii="Times New Roman" w:hAnsi="Times New Roman" w:cs="Times New Roman"/>
                <w:b/>
                <w:color w:val="000000"/>
                <w:sz w:val="20"/>
                <w:szCs w:val="24"/>
              </w:rPr>
              <w:t>5</w:t>
            </w:r>
          </w:p>
        </w:tc>
      </w:tr>
    </w:tbl>
    <w:p w:rsidR="00E8046D" w:rsidRPr="0022538D" w:rsidRDefault="00E8046D" w:rsidP="00592363">
      <w:pPr>
        <w:spacing w:after="0" w:line="360" w:lineRule="auto"/>
        <w:jc w:val="both"/>
        <w:rPr>
          <w:rFonts w:ascii="Times New Roman" w:hAnsi="Times New Roman" w:cs="Times New Roman"/>
          <w:sz w:val="20"/>
          <w:szCs w:val="20"/>
        </w:rPr>
      </w:pPr>
      <w:r w:rsidRPr="0022538D">
        <w:rPr>
          <w:rFonts w:ascii="Times New Roman" w:hAnsi="Times New Roman" w:cs="Times New Roman"/>
          <w:sz w:val="20"/>
          <w:szCs w:val="20"/>
        </w:rPr>
        <w:t xml:space="preserve">Source: National Treasury (2016) </w:t>
      </w:r>
    </w:p>
    <w:p w:rsidR="0022538D" w:rsidRDefault="0022538D" w:rsidP="00592363">
      <w:pPr>
        <w:spacing w:after="0" w:line="360" w:lineRule="auto"/>
        <w:jc w:val="both"/>
        <w:rPr>
          <w:rFonts w:ascii="Times New Roman" w:hAnsi="Times New Roman" w:cs="Times New Roman"/>
          <w:sz w:val="24"/>
          <w:szCs w:val="24"/>
        </w:rPr>
      </w:pPr>
    </w:p>
    <w:p w:rsidR="00E8046D" w:rsidRPr="00675023" w:rsidRDefault="00E8046D" w:rsidP="007E21C4">
      <w:pPr>
        <w:pStyle w:val="ListParagraph"/>
        <w:numPr>
          <w:ilvl w:val="3"/>
          <w:numId w:val="2"/>
        </w:numPr>
        <w:spacing w:after="0" w:line="360" w:lineRule="auto"/>
        <w:ind w:left="993" w:hanging="993"/>
        <w:jc w:val="both"/>
        <w:rPr>
          <w:rFonts w:ascii="Times New Roman" w:hAnsi="Times New Roman" w:cs="Times New Roman"/>
          <w:b/>
          <w:sz w:val="24"/>
          <w:szCs w:val="24"/>
        </w:rPr>
      </w:pPr>
      <w:r w:rsidRPr="00675023">
        <w:rPr>
          <w:rFonts w:ascii="Times New Roman" w:hAnsi="Times New Roman" w:cs="Times New Roman"/>
          <w:b/>
          <w:sz w:val="24"/>
          <w:szCs w:val="24"/>
        </w:rPr>
        <w:t xml:space="preserve">Expenditure </w:t>
      </w:r>
    </w:p>
    <w:p w:rsidR="00E8046D" w:rsidRPr="00675023" w:rsidRDefault="00E8046D" w:rsidP="00592363">
      <w:pPr>
        <w:spacing w:after="0" w:line="360" w:lineRule="auto"/>
        <w:jc w:val="both"/>
        <w:rPr>
          <w:rFonts w:ascii="Times New Roman" w:hAnsi="Times New Roman" w:cs="Times New Roman"/>
          <w:sz w:val="24"/>
          <w:szCs w:val="24"/>
        </w:rPr>
      </w:pPr>
    </w:p>
    <w:p w:rsidR="00E8046D" w:rsidRPr="00675023" w:rsidRDefault="00E8046D"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In terms of budget allocation by programme, of the three programmes the NGB has, the largest budget is allocated to Corporate Service accounting for approximately 4</w:t>
      </w:r>
      <w:r w:rsidR="007F2357">
        <w:rPr>
          <w:rFonts w:ascii="Times New Roman" w:hAnsi="Times New Roman" w:cs="Times New Roman"/>
          <w:sz w:val="24"/>
          <w:szCs w:val="24"/>
        </w:rPr>
        <w:t>9</w:t>
      </w:r>
      <w:r w:rsidRPr="00675023">
        <w:rPr>
          <w:rFonts w:ascii="Times New Roman" w:hAnsi="Times New Roman" w:cs="Times New Roman"/>
          <w:sz w:val="24"/>
          <w:szCs w:val="24"/>
        </w:rPr>
        <w:t>.</w:t>
      </w:r>
      <w:r w:rsidR="007F2357">
        <w:rPr>
          <w:rFonts w:ascii="Times New Roman" w:hAnsi="Times New Roman" w:cs="Times New Roman"/>
          <w:sz w:val="24"/>
          <w:szCs w:val="24"/>
        </w:rPr>
        <w:t>9</w:t>
      </w:r>
      <w:r w:rsidRPr="00675023">
        <w:rPr>
          <w:rFonts w:ascii="Times New Roman" w:hAnsi="Times New Roman" w:cs="Times New Roman"/>
          <w:sz w:val="24"/>
          <w:szCs w:val="24"/>
        </w:rPr>
        <w:t xml:space="preserve"> percent of the total budget. This was followed by the Compliance programme, which was allocated about 30.7 percent of the budget, and the Stakeholder Liaison and Advisory Services programme, which was allocated about 19.4 percent of the budget. Only the Stakeholder Liaison and Advisory Services programme received a real increase.  </w:t>
      </w:r>
    </w:p>
    <w:p w:rsidR="00E8046D" w:rsidRDefault="00E8046D" w:rsidP="00592363">
      <w:pPr>
        <w:pStyle w:val="Default"/>
        <w:spacing w:line="360" w:lineRule="auto"/>
        <w:jc w:val="both"/>
        <w:rPr>
          <w:rFonts w:ascii="Times New Roman" w:hAnsi="Times New Roman" w:cs="Times New Roman"/>
          <w:b/>
        </w:rPr>
      </w:pPr>
    </w:p>
    <w:p w:rsidR="00CE68CD" w:rsidRPr="00675023" w:rsidRDefault="00CE68CD" w:rsidP="00592363">
      <w:pPr>
        <w:pStyle w:val="Default"/>
        <w:spacing w:line="360" w:lineRule="auto"/>
        <w:jc w:val="both"/>
        <w:rPr>
          <w:rFonts w:ascii="Times New Roman" w:hAnsi="Times New Roman" w:cs="Times New Roman"/>
          <w:b/>
        </w:rPr>
      </w:pPr>
    </w:p>
    <w:p w:rsidR="00E8046D" w:rsidRPr="00675023" w:rsidRDefault="00E8046D" w:rsidP="00592363">
      <w:pPr>
        <w:pStyle w:val="Default"/>
        <w:spacing w:line="360" w:lineRule="auto"/>
        <w:jc w:val="both"/>
        <w:rPr>
          <w:rFonts w:ascii="Times New Roman" w:hAnsi="Times New Roman" w:cs="Times New Roman"/>
          <w:b/>
        </w:rPr>
      </w:pPr>
      <w:r w:rsidRPr="00675023">
        <w:rPr>
          <w:rFonts w:ascii="Times New Roman" w:hAnsi="Times New Roman" w:cs="Times New Roman"/>
          <w:b/>
        </w:rPr>
        <w:t xml:space="preserve">Table </w:t>
      </w:r>
      <w:r w:rsidR="00BF0C40">
        <w:rPr>
          <w:rFonts w:ascii="Times New Roman" w:hAnsi="Times New Roman" w:cs="Times New Roman"/>
          <w:b/>
        </w:rPr>
        <w:t>1</w:t>
      </w:r>
      <w:r w:rsidR="00CE68CD">
        <w:rPr>
          <w:rFonts w:ascii="Times New Roman" w:hAnsi="Times New Roman" w:cs="Times New Roman"/>
          <w:b/>
        </w:rPr>
        <w:t>7</w:t>
      </w:r>
      <w:r w:rsidRPr="00675023">
        <w:rPr>
          <w:rFonts w:ascii="Times New Roman" w:hAnsi="Times New Roman" w:cs="Times New Roman"/>
          <w:b/>
        </w:rPr>
        <w:t>: Expenditure by Programme 2016/17</w:t>
      </w:r>
    </w:p>
    <w:tbl>
      <w:tblPr>
        <w:tblW w:w="90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1701"/>
        <w:gridCol w:w="1701"/>
        <w:gridCol w:w="1316"/>
        <w:gridCol w:w="1316"/>
      </w:tblGrid>
      <w:tr w:rsidR="00E8046D" w:rsidRPr="00675023" w:rsidTr="00592363">
        <w:trPr>
          <w:trHeight w:val="875"/>
        </w:trPr>
        <w:tc>
          <w:tcPr>
            <w:tcW w:w="2982" w:type="dxa"/>
            <w:vMerge w:val="restart"/>
            <w:shd w:val="clear" w:color="000000" w:fill="BFBFBF"/>
            <w:noWrap/>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Category</w:t>
            </w:r>
          </w:p>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(R thousands)</w:t>
            </w:r>
          </w:p>
        </w:tc>
        <w:tc>
          <w:tcPr>
            <w:tcW w:w="1701" w:type="dxa"/>
            <w:vMerge w:val="restart"/>
            <w:shd w:val="clear" w:color="000000" w:fill="BFBFBF"/>
            <w:vAlign w:val="center"/>
            <w:hideMark/>
          </w:tcPr>
          <w:p w:rsidR="00E8046D" w:rsidRPr="007E21C4" w:rsidRDefault="00E8046D" w:rsidP="007E21C4">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Revised estimate 2015/16</w:t>
            </w:r>
          </w:p>
        </w:tc>
        <w:tc>
          <w:tcPr>
            <w:tcW w:w="1701" w:type="dxa"/>
            <w:vMerge w:val="restart"/>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 xml:space="preserve">Medium-term expenditure estimate 2016/17 </w:t>
            </w:r>
          </w:p>
        </w:tc>
        <w:tc>
          <w:tcPr>
            <w:tcW w:w="1316" w:type="dxa"/>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 Growth</w:t>
            </w:r>
          </w:p>
        </w:tc>
        <w:tc>
          <w:tcPr>
            <w:tcW w:w="1316" w:type="dxa"/>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 Real Growth</w:t>
            </w:r>
          </w:p>
        </w:tc>
      </w:tr>
      <w:tr w:rsidR="00E8046D" w:rsidRPr="00675023" w:rsidTr="00592363">
        <w:trPr>
          <w:trHeight w:val="279"/>
        </w:trPr>
        <w:tc>
          <w:tcPr>
            <w:tcW w:w="2982" w:type="dxa"/>
            <w:vMerge/>
            <w:vAlign w:val="center"/>
            <w:hideMark/>
          </w:tcPr>
          <w:p w:rsidR="00E8046D" w:rsidRPr="007E21C4" w:rsidRDefault="00E8046D" w:rsidP="00592363">
            <w:pPr>
              <w:spacing w:after="0" w:line="360" w:lineRule="auto"/>
              <w:rPr>
                <w:rFonts w:ascii="Times New Roman" w:eastAsia="Times New Roman" w:hAnsi="Times New Roman" w:cs="Times New Roman"/>
                <w:b/>
                <w:bCs/>
                <w:color w:val="000000"/>
                <w:sz w:val="20"/>
                <w:szCs w:val="24"/>
                <w:lang w:eastAsia="en-ZA"/>
              </w:rPr>
            </w:pPr>
          </w:p>
        </w:tc>
        <w:tc>
          <w:tcPr>
            <w:tcW w:w="1701" w:type="dxa"/>
            <w:vMerge/>
            <w:shd w:val="clear" w:color="000000" w:fill="BFBFBF"/>
            <w:vAlign w:val="center"/>
            <w:hideMark/>
          </w:tcPr>
          <w:p w:rsidR="00E8046D" w:rsidRPr="007E21C4" w:rsidRDefault="00E8046D" w:rsidP="00592363">
            <w:pPr>
              <w:spacing w:after="0" w:line="360" w:lineRule="auto"/>
              <w:rPr>
                <w:rFonts w:ascii="Times New Roman" w:eastAsia="Times New Roman" w:hAnsi="Times New Roman" w:cs="Times New Roman"/>
                <w:color w:val="000000"/>
                <w:sz w:val="20"/>
                <w:szCs w:val="24"/>
                <w:lang w:eastAsia="en-ZA"/>
              </w:rPr>
            </w:pPr>
          </w:p>
        </w:tc>
        <w:tc>
          <w:tcPr>
            <w:tcW w:w="1701" w:type="dxa"/>
            <w:vMerge/>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p>
        </w:tc>
        <w:tc>
          <w:tcPr>
            <w:tcW w:w="2632" w:type="dxa"/>
            <w:gridSpan w:val="2"/>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2015/16 - 2016/17</w:t>
            </w:r>
          </w:p>
        </w:tc>
      </w:tr>
      <w:tr w:rsidR="00E8046D" w:rsidRPr="00675023" w:rsidTr="00592363">
        <w:trPr>
          <w:trHeight w:val="585"/>
        </w:trPr>
        <w:tc>
          <w:tcPr>
            <w:tcW w:w="2982" w:type="dxa"/>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hAnsi="Times New Roman" w:cs="Times New Roman"/>
                <w:color w:val="000000"/>
                <w:sz w:val="20"/>
                <w:szCs w:val="24"/>
              </w:rPr>
              <w:t>Compliance</w:t>
            </w:r>
          </w:p>
        </w:tc>
        <w:tc>
          <w:tcPr>
            <w:tcW w:w="1701" w:type="dxa"/>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12 402</w:t>
            </w:r>
          </w:p>
        </w:tc>
        <w:tc>
          <w:tcPr>
            <w:tcW w:w="1701" w:type="dxa"/>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13 053</w:t>
            </w:r>
          </w:p>
        </w:tc>
        <w:tc>
          <w:tcPr>
            <w:tcW w:w="1316" w:type="dxa"/>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5.2</w:t>
            </w:r>
          </w:p>
        </w:tc>
        <w:tc>
          <w:tcPr>
            <w:tcW w:w="1316" w:type="dxa"/>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-1.3</w:t>
            </w:r>
          </w:p>
        </w:tc>
      </w:tr>
      <w:tr w:rsidR="00E8046D" w:rsidRPr="00675023" w:rsidTr="00592363">
        <w:trPr>
          <w:trHeight w:val="315"/>
        </w:trPr>
        <w:tc>
          <w:tcPr>
            <w:tcW w:w="2982" w:type="dxa"/>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hAnsi="Times New Roman" w:cs="Times New Roman"/>
                <w:color w:val="000000"/>
                <w:sz w:val="20"/>
                <w:szCs w:val="24"/>
              </w:rPr>
              <w:t>Stakeholder Liaison and Advisory Services</w:t>
            </w:r>
          </w:p>
        </w:tc>
        <w:tc>
          <w:tcPr>
            <w:tcW w:w="1701" w:type="dxa"/>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5 669</w:t>
            </w:r>
          </w:p>
        </w:tc>
        <w:tc>
          <w:tcPr>
            <w:tcW w:w="1701" w:type="dxa"/>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8 254</w:t>
            </w:r>
          </w:p>
        </w:tc>
        <w:tc>
          <w:tcPr>
            <w:tcW w:w="1316" w:type="dxa"/>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45.6</w:t>
            </w:r>
          </w:p>
        </w:tc>
        <w:tc>
          <w:tcPr>
            <w:tcW w:w="1316" w:type="dxa"/>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36.6</w:t>
            </w:r>
          </w:p>
        </w:tc>
      </w:tr>
      <w:tr w:rsidR="00E8046D" w:rsidRPr="00675023" w:rsidTr="00592363">
        <w:trPr>
          <w:trHeight w:val="315"/>
        </w:trPr>
        <w:tc>
          <w:tcPr>
            <w:tcW w:w="2982" w:type="dxa"/>
            <w:shd w:val="clear" w:color="auto" w:fill="auto"/>
            <w:vAlign w:val="center"/>
            <w:hideMark/>
          </w:tcPr>
          <w:p w:rsidR="00E8046D" w:rsidRPr="007E21C4" w:rsidRDefault="00E8046D" w:rsidP="00592363">
            <w:pPr>
              <w:spacing w:after="0" w:line="360" w:lineRule="auto"/>
              <w:rPr>
                <w:rFonts w:ascii="Times New Roman" w:hAnsi="Times New Roman" w:cs="Times New Roman"/>
                <w:color w:val="000000"/>
                <w:sz w:val="20"/>
                <w:szCs w:val="24"/>
              </w:rPr>
            </w:pPr>
            <w:r w:rsidRPr="007E21C4">
              <w:rPr>
                <w:rFonts w:ascii="Times New Roman" w:hAnsi="Times New Roman" w:cs="Times New Roman"/>
                <w:color w:val="000000"/>
                <w:sz w:val="20"/>
                <w:szCs w:val="24"/>
              </w:rPr>
              <w:t>Corporate Services</w:t>
            </w:r>
          </w:p>
        </w:tc>
        <w:tc>
          <w:tcPr>
            <w:tcW w:w="1701" w:type="dxa"/>
            <w:shd w:val="clear" w:color="auto" w:fill="auto"/>
            <w:noWrap/>
            <w:vAlign w:val="center"/>
            <w:hideMark/>
          </w:tcPr>
          <w:p w:rsidR="00E8046D" w:rsidRPr="007E21C4" w:rsidRDefault="007F2357" w:rsidP="00592363">
            <w:pPr>
              <w:spacing w:after="0" w:line="360" w:lineRule="auto"/>
              <w:jc w:val="right"/>
              <w:rPr>
                <w:rFonts w:ascii="Times New Roman" w:hAnsi="Times New Roman" w:cs="Times New Roman"/>
                <w:color w:val="000000"/>
                <w:sz w:val="20"/>
                <w:szCs w:val="24"/>
              </w:rPr>
            </w:pPr>
            <w:r>
              <w:rPr>
                <w:rFonts w:ascii="Times New Roman" w:hAnsi="Times New Roman" w:cs="Times New Roman"/>
                <w:color w:val="000000"/>
                <w:sz w:val="20"/>
                <w:szCs w:val="24"/>
              </w:rPr>
              <w:t>20 964</w:t>
            </w:r>
          </w:p>
        </w:tc>
        <w:tc>
          <w:tcPr>
            <w:tcW w:w="1701" w:type="dxa"/>
            <w:shd w:val="clear" w:color="auto" w:fill="auto"/>
            <w:vAlign w:val="center"/>
            <w:hideMark/>
          </w:tcPr>
          <w:p w:rsidR="00E8046D" w:rsidRPr="007E21C4" w:rsidRDefault="007F2357" w:rsidP="00B07318">
            <w:pPr>
              <w:spacing w:after="0" w:line="360" w:lineRule="auto"/>
              <w:jc w:val="right"/>
              <w:rPr>
                <w:rFonts w:ascii="Times New Roman" w:hAnsi="Times New Roman" w:cs="Times New Roman"/>
                <w:color w:val="000000"/>
                <w:sz w:val="20"/>
                <w:szCs w:val="24"/>
              </w:rPr>
            </w:pPr>
            <w:r>
              <w:rPr>
                <w:rFonts w:ascii="Times New Roman" w:hAnsi="Times New Roman" w:cs="Times New Roman"/>
                <w:color w:val="000000"/>
                <w:sz w:val="20"/>
                <w:szCs w:val="24"/>
              </w:rPr>
              <w:t>2</w:t>
            </w:r>
            <w:r w:rsidR="00E8046D" w:rsidRPr="007E21C4">
              <w:rPr>
                <w:rFonts w:ascii="Times New Roman" w:hAnsi="Times New Roman" w:cs="Times New Roman"/>
                <w:color w:val="000000"/>
                <w:sz w:val="20"/>
                <w:szCs w:val="24"/>
              </w:rPr>
              <w:t xml:space="preserve">1 </w:t>
            </w:r>
            <w:r>
              <w:rPr>
                <w:rFonts w:ascii="Times New Roman" w:hAnsi="Times New Roman" w:cs="Times New Roman"/>
                <w:color w:val="000000"/>
                <w:sz w:val="20"/>
                <w:szCs w:val="24"/>
              </w:rPr>
              <w:t>200</w:t>
            </w:r>
          </w:p>
        </w:tc>
        <w:tc>
          <w:tcPr>
            <w:tcW w:w="1316" w:type="dxa"/>
            <w:shd w:val="clear" w:color="auto" w:fill="auto"/>
            <w:noWrap/>
            <w:vAlign w:val="center"/>
            <w:hideMark/>
          </w:tcPr>
          <w:p w:rsidR="00E8046D" w:rsidRPr="007E21C4" w:rsidRDefault="007F2357" w:rsidP="00B07318">
            <w:pPr>
              <w:spacing w:after="0" w:line="360" w:lineRule="auto"/>
              <w:jc w:val="right"/>
              <w:rPr>
                <w:rFonts w:ascii="Times New Roman" w:hAnsi="Times New Roman" w:cs="Times New Roman"/>
                <w:color w:val="000000"/>
                <w:sz w:val="20"/>
                <w:szCs w:val="24"/>
              </w:rPr>
            </w:pPr>
            <w:r>
              <w:rPr>
                <w:rFonts w:ascii="Times New Roman" w:hAnsi="Times New Roman" w:cs="Times New Roman"/>
                <w:color w:val="000000"/>
                <w:sz w:val="20"/>
                <w:szCs w:val="24"/>
              </w:rPr>
              <w:t>1</w:t>
            </w:r>
            <w:r w:rsidR="00E8046D" w:rsidRPr="007E21C4">
              <w:rPr>
                <w:rFonts w:ascii="Times New Roman" w:hAnsi="Times New Roman" w:cs="Times New Roman"/>
                <w:color w:val="000000"/>
                <w:sz w:val="20"/>
                <w:szCs w:val="24"/>
              </w:rPr>
              <w:t>.</w:t>
            </w:r>
            <w:r>
              <w:rPr>
                <w:rFonts w:ascii="Times New Roman" w:hAnsi="Times New Roman" w:cs="Times New Roman"/>
                <w:color w:val="000000"/>
                <w:sz w:val="20"/>
                <w:szCs w:val="24"/>
              </w:rPr>
              <w:t>1</w:t>
            </w:r>
          </w:p>
        </w:tc>
        <w:tc>
          <w:tcPr>
            <w:tcW w:w="1316" w:type="dxa"/>
            <w:shd w:val="clear" w:color="auto" w:fill="auto"/>
            <w:noWrap/>
            <w:vAlign w:val="center"/>
            <w:hideMark/>
          </w:tcPr>
          <w:p w:rsidR="00E8046D" w:rsidRPr="007E21C4" w:rsidRDefault="00E8046D">
            <w:pPr>
              <w:spacing w:after="0" w:line="360" w:lineRule="auto"/>
              <w:jc w:val="right"/>
              <w:rPr>
                <w:rFonts w:ascii="Times New Roman" w:hAnsi="Times New Roman" w:cs="Times New Roman"/>
                <w:color w:val="000000"/>
                <w:sz w:val="20"/>
                <w:szCs w:val="24"/>
              </w:rPr>
            </w:pPr>
            <w:r w:rsidRPr="007E21C4">
              <w:rPr>
                <w:rFonts w:ascii="Times New Roman" w:hAnsi="Times New Roman" w:cs="Times New Roman"/>
                <w:color w:val="000000"/>
                <w:sz w:val="20"/>
                <w:szCs w:val="24"/>
              </w:rPr>
              <w:t>-</w:t>
            </w:r>
            <w:r w:rsidR="007F2357">
              <w:rPr>
                <w:rFonts w:ascii="Times New Roman" w:hAnsi="Times New Roman" w:cs="Times New Roman"/>
                <w:color w:val="000000"/>
                <w:sz w:val="20"/>
                <w:szCs w:val="24"/>
              </w:rPr>
              <w:t>5</w:t>
            </w:r>
            <w:r w:rsidRPr="007E21C4">
              <w:rPr>
                <w:rFonts w:ascii="Times New Roman" w:hAnsi="Times New Roman" w:cs="Times New Roman"/>
                <w:color w:val="000000"/>
                <w:sz w:val="20"/>
                <w:szCs w:val="24"/>
              </w:rPr>
              <w:t>.</w:t>
            </w:r>
            <w:r w:rsidR="007F2357">
              <w:rPr>
                <w:rFonts w:ascii="Times New Roman" w:hAnsi="Times New Roman" w:cs="Times New Roman"/>
                <w:color w:val="000000"/>
                <w:sz w:val="20"/>
                <w:szCs w:val="24"/>
              </w:rPr>
              <w:t>1</w:t>
            </w:r>
          </w:p>
        </w:tc>
      </w:tr>
      <w:tr w:rsidR="00E8046D" w:rsidRPr="00675023" w:rsidTr="00592363">
        <w:trPr>
          <w:trHeight w:val="315"/>
        </w:trPr>
        <w:tc>
          <w:tcPr>
            <w:tcW w:w="2982" w:type="dxa"/>
            <w:shd w:val="clear" w:color="auto" w:fill="auto"/>
            <w:vAlign w:val="center"/>
            <w:hideMark/>
          </w:tcPr>
          <w:p w:rsidR="00E8046D" w:rsidRPr="007E21C4" w:rsidRDefault="00E8046D" w:rsidP="00592363">
            <w:pPr>
              <w:spacing w:after="0" w:line="360" w:lineRule="auto"/>
              <w:rPr>
                <w:rFonts w:ascii="Times New Roman" w:hAnsi="Times New Roman" w:cs="Times New Roman"/>
                <w:b/>
                <w:bCs/>
                <w:color w:val="000000"/>
                <w:sz w:val="20"/>
                <w:szCs w:val="24"/>
              </w:rPr>
            </w:pPr>
            <w:r w:rsidRPr="007E21C4">
              <w:rPr>
                <w:rFonts w:ascii="Times New Roman" w:hAnsi="Times New Roman" w:cs="Times New Roman"/>
                <w:b/>
                <w:bCs/>
                <w:color w:val="000000"/>
                <w:sz w:val="20"/>
                <w:szCs w:val="24"/>
              </w:rPr>
              <w:t>Total</w:t>
            </w:r>
          </w:p>
        </w:tc>
        <w:tc>
          <w:tcPr>
            <w:tcW w:w="1701" w:type="dxa"/>
            <w:shd w:val="clear" w:color="auto" w:fill="auto"/>
            <w:vAlign w:val="center"/>
            <w:hideMark/>
          </w:tcPr>
          <w:p w:rsidR="00E8046D" w:rsidRPr="007E21C4" w:rsidRDefault="00E8046D" w:rsidP="00592363">
            <w:pPr>
              <w:spacing w:after="0" w:line="360" w:lineRule="auto"/>
              <w:jc w:val="right"/>
              <w:rPr>
                <w:rFonts w:ascii="Times New Roman" w:hAnsi="Times New Roman" w:cs="Times New Roman"/>
                <w:b/>
                <w:bCs/>
                <w:color w:val="000000"/>
                <w:sz w:val="20"/>
                <w:szCs w:val="24"/>
              </w:rPr>
            </w:pPr>
            <w:r w:rsidRPr="007E21C4">
              <w:rPr>
                <w:rFonts w:ascii="Times New Roman" w:hAnsi="Times New Roman" w:cs="Times New Roman"/>
                <w:b/>
                <w:bCs/>
                <w:color w:val="000000"/>
                <w:sz w:val="20"/>
                <w:szCs w:val="24"/>
              </w:rPr>
              <w:t>3</w:t>
            </w:r>
            <w:r w:rsidR="007F2357">
              <w:rPr>
                <w:rFonts w:ascii="Times New Roman" w:hAnsi="Times New Roman" w:cs="Times New Roman"/>
                <w:b/>
                <w:bCs/>
                <w:color w:val="000000"/>
                <w:sz w:val="20"/>
                <w:szCs w:val="24"/>
              </w:rPr>
              <w:t>9</w:t>
            </w:r>
            <w:r w:rsidRPr="007E21C4">
              <w:rPr>
                <w:rFonts w:ascii="Times New Roman" w:hAnsi="Times New Roman" w:cs="Times New Roman"/>
                <w:b/>
                <w:bCs/>
                <w:color w:val="000000"/>
                <w:sz w:val="20"/>
                <w:szCs w:val="24"/>
              </w:rPr>
              <w:t xml:space="preserve"> 0</w:t>
            </w:r>
            <w:r w:rsidR="007F2357">
              <w:rPr>
                <w:rFonts w:ascii="Times New Roman" w:hAnsi="Times New Roman" w:cs="Times New Roman"/>
                <w:b/>
                <w:bCs/>
                <w:color w:val="000000"/>
                <w:sz w:val="20"/>
                <w:szCs w:val="24"/>
              </w:rPr>
              <w:t>35</w:t>
            </w:r>
          </w:p>
        </w:tc>
        <w:tc>
          <w:tcPr>
            <w:tcW w:w="1701" w:type="dxa"/>
            <w:shd w:val="clear" w:color="auto" w:fill="auto"/>
            <w:vAlign w:val="center"/>
            <w:hideMark/>
          </w:tcPr>
          <w:p w:rsidR="00E8046D" w:rsidRPr="007E21C4" w:rsidRDefault="00E8046D" w:rsidP="00B07318">
            <w:pPr>
              <w:spacing w:after="0" w:line="360" w:lineRule="auto"/>
              <w:jc w:val="right"/>
              <w:rPr>
                <w:rFonts w:ascii="Times New Roman" w:hAnsi="Times New Roman" w:cs="Times New Roman"/>
                <w:b/>
                <w:bCs/>
                <w:color w:val="000000"/>
                <w:sz w:val="20"/>
                <w:szCs w:val="24"/>
              </w:rPr>
            </w:pPr>
            <w:r w:rsidRPr="007E21C4">
              <w:rPr>
                <w:rFonts w:ascii="Times New Roman" w:hAnsi="Times New Roman" w:cs="Times New Roman"/>
                <w:b/>
                <w:bCs/>
                <w:color w:val="000000"/>
                <w:sz w:val="20"/>
                <w:szCs w:val="24"/>
              </w:rPr>
              <w:t>4</w:t>
            </w:r>
            <w:r w:rsidR="007F2357">
              <w:rPr>
                <w:rFonts w:ascii="Times New Roman" w:hAnsi="Times New Roman" w:cs="Times New Roman"/>
                <w:b/>
                <w:bCs/>
                <w:color w:val="000000"/>
                <w:sz w:val="20"/>
                <w:szCs w:val="24"/>
              </w:rPr>
              <w:t>2</w:t>
            </w:r>
            <w:r w:rsidRPr="007E21C4">
              <w:rPr>
                <w:rFonts w:ascii="Times New Roman" w:hAnsi="Times New Roman" w:cs="Times New Roman"/>
                <w:b/>
                <w:bCs/>
                <w:color w:val="000000"/>
                <w:sz w:val="20"/>
                <w:szCs w:val="24"/>
              </w:rPr>
              <w:t xml:space="preserve"> 5</w:t>
            </w:r>
            <w:r w:rsidR="007F2357">
              <w:rPr>
                <w:rFonts w:ascii="Times New Roman" w:hAnsi="Times New Roman" w:cs="Times New Roman"/>
                <w:b/>
                <w:bCs/>
                <w:color w:val="000000"/>
                <w:sz w:val="20"/>
                <w:szCs w:val="24"/>
              </w:rPr>
              <w:t>07</w:t>
            </w:r>
          </w:p>
        </w:tc>
        <w:tc>
          <w:tcPr>
            <w:tcW w:w="1316" w:type="dxa"/>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b/>
                <w:color w:val="000000"/>
                <w:sz w:val="20"/>
                <w:szCs w:val="24"/>
              </w:rPr>
            </w:pPr>
            <w:r w:rsidRPr="007E21C4">
              <w:rPr>
                <w:rFonts w:ascii="Times New Roman" w:hAnsi="Times New Roman" w:cs="Times New Roman"/>
                <w:b/>
                <w:color w:val="000000"/>
                <w:sz w:val="20"/>
                <w:szCs w:val="24"/>
              </w:rPr>
              <w:t>8.</w:t>
            </w:r>
            <w:r w:rsidR="007F2357">
              <w:rPr>
                <w:rFonts w:ascii="Times New Roman" w:hAnsi="Times New Roman" w:cs="Times New Roman"/>
                <w:b/>
                <w:color w:val="000000"/>
                <w:sz w:val="20"/>
                <w:szCs w:val="24"/>
              </w:rPr>
              <w:t>9</w:t>
            </w:r>
          </w:p>
        </w:tc>
        <w:tc>
          <w:tcPr>
            <w:tcW w:w="1316" w:type="dxa"/>
            <w:shd w:val="clear" w:color="auto" w:fill="auto"/>
            <w:noWrap/>
            <w:vAlign w:val="center"/>
            <w:hideMark/>
          </w:tcPr>
          <w:p w:rsidR="00E8046D" w:rsidRPr="007E21C4" w:rsidRDefault="00E8046D" w:rsidP="00592363">
            <w:pPr>
              <w:spacing w:after="0" w:line="360" w:lineRule="auto"/>
              <w:jc w:val="right"/>
              <w:rPr>
                <w:rFonts w:ascii="Times New Roman" w:hAnsi="Times New Roman" w:cs="Times New Roman"/>
                <w:b/>
                <w:color w:val="000000"/>
                <w:sz w:val="20"/>
                <w:szCs w:val="24"/>
              </w:rPr>
            </w:pPr>
            <w:r w:rsidRPr="007E21C4">
              <w:rPr>
                <w:rFonts w:ascii="Times New Roman" w:hAnsi="Times New Roman" w:cs="Times New Roman"/>
                <w:b/>
                <w:color w:val="000000"/>
                <w:sz w:val="20"/>
                <w:szCs w:val="24"/>
              </w:rPr>
              <w:t>2.</w:t>
            </w:r>
            <w:r w:rsidR="007F2357">
              <w:rPr>
                <w:rFonts w:ascii="Times New Roman" w:hAnsi="Times New Roman" w:cs="Times New Roman"/>
                <w:b/>
                <w:color w:val="000000"/>
                <w:sz w:val="20"/>
                <w:szCs w:val="24"/>
              </w:rPr>
              <w:t>2</w:t>
            </w:r>
          </w:p>
        </w:tc>
      </w:tr>
    </w:tbl>
    <w:p w:rsidR="00E8046D" w:rsidRPr="0022538D" w:rsidRDefault="00E8046D" w:rsidP="00592363">
      <w:pPr>
        <w:spacing w:after="0" w:line="360" w:lineRule="auto"/>
        <w:jc w:val="both"/>
        <w:rPr>
          <w:rFonts w:ascii="Times New Roman" w:hAnsi="Times New Roman" w:cs="Times New Roman"/>
          <w:sz w:val="20"/>
          <w:szCs w:val="20"/>
        </w:rPr>
      </w:pPr>
      <w:r w:rsidRPr="0022538D">
        <w:rPr>
          <w:rFonts w:ascii="Times New Roman" w:hAnsi="Times New Roman" w:cs="Times New Roman"/>
          <w:sz w:val="20"/>
          <w:szCs w:val="20"/>
        </w:rPr>
        <w:t xml:space="preserve">Source: National </w:t>
      </w:r>
      <w:r w:rsidR="007F2357">
        <w:rPr>
          <w:rFonts w:ascii="Times New Roman" w:hAnsi="Times New Roman" w:cs="Times New Roman"/>
          <w:sz w:val="20"/>
          <w:szCs w:val="20"/>
        </w:rPr>
        <w:t>Treasury</w:t>
      </w:r>
      <w:r w:rsidRPr="0022538D">
        <w:rPr>
          <w:rFonts w:ascii="Times New Roman" w:hAnsi="Times New Roman" w:cs="Times New Roman"/>
          <w:sz w:val="20"/>
          <w:szCs w:val="20"/>
        </w:rPr>
        <w:t xml:space="preserve"> (2016) </w:t>
      </w:r>
    </w:p>
    <w:p w:rsidR="000D1C6F" w:rsidRPr="00675023" w:rsidRDefault="000D1C6F" w:rsidP="00592363">
      <w:pPr>
        <w:spacing w:after="0" w:line="360" w:lineRule="auto"/>
        <w:jc w:val="both"/>
        <w:rPr>
          <w:rFonts w:ascii="Times New Roman" w:hAnsi="Times New Roman" w:cs="Times New Roman"/>
          <w:sz w:val="24"/>
          <w:szCs w:val="24"/>
        </w:rPr>
      </w:pPr>
    </w:p>
    <w:p w:rsidR="00E8046D" w:rsidRPr="00675023" w:rsidRDefault="00E8046D" w:rsidP="00592363">
      <w:pPr>
        <w:autoSpaceDE w:val="0"/>
        <w:autoSpaceDN w:val="0"/>
        <w:adjustRightInd w:val="0"/>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In terms of expenditure by category, expenditure of the NGB is mainly on the compensation of employees.  Compensation of employees account for 54 percent of total expenditure while expenditure on goods and services accounts for 40.8 percent. Compensation of employees will increase by 89.6 percent and expenditure on goods and services decreases by 34.8 percent in real terms in the current financial year compared to the previous year. The increase in compensation of employees is related to the filling of vacancies and the inflationary increase. </w:t>
      </w:r>
    </w:p>
    <w:p w:rsidR="000D1C6F" w:rsidRPr="00675023" w:rsidRDefault="000D1C6F" w:rsidP="00592363">
      <w:pPr>
        <w:autoSpaceDE w:val="0"/>
        <w:autoSpaceDN w:val="0"/>
        <w:adjustRightInd w:val="0"/>
        <w:spacing w:after="0" w:line="360" w:lineRule="auto"/>
        <w:jc w:val="both"/>
        <w:rPr>
          <w:rFonts w:ascii="Times New Roman" w:hAnsi="Times New Roman" w:cs="Times New Roman"/>
          <w:sz w:val="24"/>
          <w:szCs w:val="24"/>
        </w:rPr>
      </w:pPr>
    </w:p>
    <w:p w:rsidR="00E8046D" w:rsidRPr="00675023" w:rsidRDefault="00E8046D" w:rsidP="00592363">
      <w:pPr>
        <w:pStyle w:val="Default"/>
        <w:spacing w:line="360" w:lineRule="auto"/>
        <w:jc w:val="both"/>
        <w:rPr>
          <w:rFonts w:ascii="Times New Roman" w:hAnsi="Times New Roman" w:cs="Times New Roman"/>
          <w:b/>
        </w:rPr>
      </w:pPr>
      <w:r w:rsidRPr="00675023">
        <w:rPr>
          <w:rFonts w:ascii="Times New Roman" w:hAnsi="Times New Roman" w:cs="Times New Roman"/>
          <w:b/>
        </w:rPr>
        <w:t xml:space="preserve">Table </w:t>
      </w:r>
      <w:r w:rsidR="00BF0C40">
        <w:rPr>
          <w:rFonts w:ascii="Times New Roman" w:hAnsi="Times New Roman" w:cs="Times New Roman"/>
          <w:b/>
        </w:rPr>
        <w:t>1</w:t>
      </w:r>
      <w:r w:rsidR="00CE68CD">
        <w:rPr>
          <w:rFonts w:ascii="Times New Roman" w:hAnsi="Times New Roman" w:cs="Times New Roman"/>
          <w:b/>
        </w:rPr>
        <w:t>8</w:t>
      </w:r>
      <w:r w:rsidRPr="00675023">
        <w:rPr>
          <w:rFonts w:ascii="Times New Roman" w:hAnsi="Times New Roman" w:cs="Times New Roman"/>
          <w:b/>
        </w:rPr>
        <w:t xml:space="preserve">: Expenditure by economic classification 2016/17 </w:t>
      </w:r>
    </w:p>
    <w:tbl>
      <w:tblPr>
        <w:tblW w:w="90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1560"/>
        <w:gridCol w:w="1842"/>
        <w:gridCol w:w="1387"/>
        <w:gridCol w:w="1387"/>
      </w:tblGrid>
      <w:tr w:rsidR="00E8046D" w:rsidRPr="00675023" w:rsidTr="00501558">
        <w:trPr>
          <w:trHeight w:val="875"/>
        </w:trPr>
        <w:tc>
          <w:tcPr>
            <w:tcW w:w="2840" w:type="dxa"/>
            <w:vMerge w:val="restart"/>
            <w:shd w:val="clear" w:color="000000" w:fill="BFBFBF"/>
            <w:noWrap/>
            <w:vAlign w:val="bottom"/>
            <w:hideMark/>
          </w:tcPr>
          <w:p w:rsidR="00E8046D" w:rsidRPr="007E21C4" w:rsidRDefault="00E8046D" w:rsidP="00592363">
            <w:pPr>
              <w:spacing w:after="0" w:line="360" w:lineRule="auto"/>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(R thousands)</w:t>
            </w:r>
          </w:p>
        </w:tc>
        <w:tc>
          <w:tcPr>
            <w:tcW w:w="1560" w:type="dxa"/>
            <w:vMerge w:val="restart"/>
            <w:shd w:val="clear" w:color="000000" w:fill="BFBFBF"/>
            <w:vAlign w:val="center"/>
            <w:hideMark/>
          </w:tcPr>
          <w:p w:rsidR="00E8046D" w:rsidRPr="007E21C4" w:rsidRDefault="00E8046D" w:rsidP="007E21C4">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Revised estimate 2015/16</w:t>
            </w:r>
          </w:p>
        </w:tc>
        <w:tc>
          <w:tcPr>
            <w:tcW w:w="1842" w:type="dxa"/>
            <w:vMerge w:val="restart"/>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 xml:space="preserve">Medium-term expenditure estimate 2016/17 </w:t>
            </w:r>
          </w:p>
        </w:tc>
        <w:tc>
          <w:tcPr>
            <w:tcW w:w="1387" w:type="dxa"/>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 Growth</w:t>
            </w:r>
          </w:p>
        </w:tc>
        <w:tc>
          <w:tcPr>
            <w:tcW w:w="1387" w:type="dxa"/>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 Real Growth</w:t>
            </w:r>
          </w:p>
        </w:tc>
      </w:tr>
      <w:tr w:rsidR="00E8046D" w:rsidRPr="00675023" w:rsidTr="00501558">
        <w:trPr>
          <w:trHeight w:val="279"/>
        </w:trPr>
        <w:tc>
          <w:tcPr>
            <w:tcW w:w="2840" w:type="dxa"/>
            <w:vMerge/>
            <w:vAlign w:val="center"/>
            <w:hideMark/>
          </w:tcPr>
          <w:p w:rsidR="00E8046D" w:rsidRPr="007E21C4" w:rsidRDefault="00E8046D" w:rsidP="00592363">
            <w:pPr>
              <w:spacing w:after="0" w:line="360" w:lineRule="auto"/>
              <w:rPr>
                <w:rFonts w:ascii="Times New Roman" w:eastAsia="Times New Roman" w:hAnsi="Times New Roman" w:cs="Times New Roman"/>
                <w:b/>
                <w:bCs/>
                <w:color w:val="000000"/>
                <w:sz w:val="20"/>
                <w:szCs w:val="24"/>
                <w:lang w:eastAsia="en-ZA"/>
              </w:rPr>
            </w:pPr>
          </w:p>
        </w:tc>
        <w:tc>
          <w:tcPr>
            <w:tcW w:w="1560" w:type="dxa"/>
            <w:vMerge/>
            <w:shd w:val="clear" w:color="000000" w:fill="BFBFBF"/>
            <w:vAlign w:val="center"/>
            <w:hideMark/>
          </w:tcPr>
          <w:p w:rsidR="00E8046D" w:rsidRPr="007E21C4" w:rsidRDefault="00E8046D" w:rsidP="00592363">
            <w:pPr>
              <w:spacing w:after="0" w:line="360" w:lineRule="auto"/>
              <w:rPr>
                <w:rFonts w:ascii="Times New Roman" w:eastAsia="Times New Roman" w:hAnsi="Times New Roman" w:cs="Times New Roman"/>
                <w:color w:val="000000"/>
                <w:sz w:val="20"/>
                <w:szCs w:val="24"/>
                <w:lang w:eastAsia="en-ZA"/>
              </w:rPr>
            </w:pPr>
          </w:p>
        </w:tc>
        <w:tc>
          <w:tcPr>
            <w:tcW w:w="1842" w:type="dxa"/>
            <w:vMerge/>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p>
        </w:tc>
        <w:tc>
          <w:tcPr>
            <w:tcW w:w="2774" w:type="dxa"/>
            <w:gridSpan w:val="2"/>
            <w:shd w:val="clear" w:color="000000" w:fill="BFBFBF"/>
            <w:vAlign w:val="center"/>
            <w:hideMark/>
          </w:tcPr>
          <w:p w:rsidR="00E8046D" w:rsidRPr="007E21C4" w:rsidRDefault="00E8046D" w:rsidP="00592363">
            <w:pPr>
              <w:spacing w:after="0" w:line="360" w:lineRule="auto"/>
              <w:jc w:val="center"/>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2015/16 - 2016/17</w:t>
            </w:r>
          </w:p>
        </w:tc>
      </w:tr>
      <w:tr w:rsidR="00E8046D" w:rsidRPr="00675023" w:rsidTr="00501558">
        <w:trPr>
          <w:trHeight w:val="585"/>
        </w:trPr>
        <w:tc>
          <w:tcPr>
            <w:tcW w:w="2840" w:type="dxa"/>
            <w:shd w:val="clear" w:color="auto" w:fill="auto"/>
            <w:vAlign w:val="center"/>
            <w:hideMark/>
          </w:tcPr>
          <w:p w:rsidR="00E8046D" w:rsidRPr="007E21C4" w:rsidRDefault="00E8046D" w:rsidP="00592363">
            <w:pPr>
              <w:spacing w:after="0" w:line="360" w:lineRule="auto"/>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Compensation of employees</w:t>
            </w:r>
          </w:p>
        </w:tc>
        <w:tc>
          <w:tcPr>
            <w:tcW w:w="1560" w:type="dxa"/>
            <w:shd w:val="clear" w:color="auto" w:fill="auto"/>
            <w:vAlign w:val="center"/>
            <w:hideMark/>
          </w:tcPr>
          <w:p w:rsidR="00E8046D" w:rsidRPr="007E21C4" w:rsidRDefault="00E8046D" w:rsidP="00592363">
            <w:pPr>
              <w:spacing w:after="0" w:line="360" w:lineRule="auto"/>
              <w:jc w:val="right"/>
              <w:rPr>
                <w:rFonts w:ascii="Times New Roman" w:eastAsia="Calibri-Light" w:hAnsi="Times New Roman" w:cs="Times New Roman"/>
                <w:color w:val="000000"/>
                <w:sz w:val="20"/>
                <w:szCs w:val="24"/>
                <w:lang w:eastAsia="en-ZA"/>
              </w:rPr>
            </w:pPr>
            <w:r w:rsidRPr="007E21C4">
              <w:rPr>
                <w:rFonts w:ascii="Times New Roman" w:eastAsia="Calibri-Light" w:hAnsi="Times New Roman" w:cs="Times New Roman"/>
                <w:color w:val="000000"/>
                <w:sz w:val="20"/>
                <w:szCs w:val="24"/>
                <w:lang w:eastAsia="en-ZA"/>
              </w:rPr>
              <w:t>11 346</w:t>
            </w:r>
          </w:p>
        </w:tc>
        <w:tc>
          <w:tcPr>
            <w:tcW w:w="1842" w:type="dxa"/>
            <w:shd w:val="clear" w:color="auto" w:fill="auto"/>
            <w:vAlign w:val="center"/>
            <w:hideMark/>
          </w:tcPr>
          <w:p w:rsidR="00E8046D" w:rsidRPr="007E21C4" w:rsidRDefault="00E8046D" w:rsidP="00592363">
            <w:pPr>
              <w:spacing w:after="0" w:line="360" w:lineRule="auto"/>
              <w:jc w:val="right"/>
              <w:rPr>
                <w:rFonts w:ascii="Times New Roman" w:eastAsia="Calibri-Light" w:hAnsi="Times New Roman" w:cs="Times New Roman"/>
                <w:color w:val="000000"/>
                <w:sz w:val="20"/>
                <w:szCs w:val="24"/>
                <w:lang w:eastAsia="en-ZA"/>
              </w:rPr>
            </w:pPr>
            <w:r w:rsidRPr="007E21C4">
              <w:rPr>
                <w:rFonts w:ascii="Times New Roman" w:eastAsia="Calibri-Light" w:hAnsi="Times New Roman" w:cs="Times New Roman"/>
                <w:color w:val="000000"/>
                <w:sz w:val="20"/>
                <w:szCs w:val="24"/>
                <w:lang w:eastAsia="en-ZA"/>
              </w:rPr>
              <w:t>22 933</w:t>
            </w:r>
          </w:p>
        </w:tc>
        <w:tc>
          <w:tcPr>
            <w:tcW w:w="1387" w:type="dxa"/>
            <w:shd w:val="clear" w:color="auto" w:fill="auto"/>
            <w:noWrap/>
            <w:vAlign w:val="center"/>
            <w:hideMark/>
          </w:tcPr>
          <w:p w:rsidR="00E8046D" w:rsidRPr="007E21C4" w:rsidRDefault="00E8046D" w:rsidP="00592363">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102.1</w:t>
            </w:r>
          </w:p>
        </w:tc>
        <w:tc>
          <w:tcPr>
            <w:tcW w:w="1387" w:type="dxa"/>
            <w:shd w:val="clear" w:color="auto" w:fill="auto"/>
            <w:noWrap/>
            <w:vAlign w:val="bottom"/>
            <w:hideMark/>
          </w:tcPr>
          <w:p w:rsidR="00E8046D" w:rsidRPr="007E21C4" w:rsidRDefault="00E8046D" w:rsidP="00592363">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89.6</w:t>
            </w:r>
          </w:p>
        </w:tc>
      </w:tr>
      <w:tr w:rsidR="00E8046D" w:rsidRPr="00675023" w:rsidTr="00501558">
        <w:trPr>
          <w:trHeight w:val="315"/>
        </w:trPr>
        <w:tc>
          <w:tcPr>
            <w:tcW w:w="2840" w:type="dxa"/>
            <w:shd w:val="clear" w:color="auto" w:fill="auto"/>
            <w:vAlign w:val="center"/>
            <w:hideMark/>
          </w:tcPr>
          <w:p w:rsidR="00E8046D" w:rsidRPr="007E21C4" w:rsidRDefault="00E8046D" w:rsidP="00592363">
            <w:pPr>
              <w:spacing w:after="0" w:line="360" w:lineRule="auto"/>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Goods and services</w:t>
            </w:r>
          </w:p>
        </w:tc>
        <w:tc>
          <w:tcPr>
            <w:tcW w:w="1560" w:type="dxa"/>
            <w:shd w:val="clear" w:color="auto" w:fill="auto"/>
            <w:vAlign w:val="center"/>
            <w:hideMark/>
          </w:tcPr>
          <w:p w:rsidR="00E8046D" w:rsidRPr="007E21C4" w:rsidRDefault="00E8046D" w:rsidP="00B07318">
            <w:pPr>
              <w:spacing w:after="0" w:line="360" w:lineRule="auto"/>
              <w:jc w:val="right"/>
              <w:rPr>
                <w:rFonts w:ascii="Times New Roman" w:eastAsia="Calibri-Light" w:hAnsi="Times New Roman" w:cs="Times New Roman"/>
                <w:color w:val="000000"/>
                <w:sz w:val="20"/>
                <w:szCs w:val="24"/>
                <w:lang w:eastAsia="en-ZA"/>
              </w:rPr>
            </w:pPr>
            <w:r w:rsidRPr="007E21C4">
              <w:rPr>
                <w:rFonts w:ascii="Times New Roman" w:eastAsia="Calibri-Light" w:hAnsi="Times New Roman" w:cs="Times New Roman"/>
                <w:color w:val="000000"/>
                <w:sz w:val="20"/>
                <w:szCs w:val="24"/>
                <w:lang w:eastAsia="en-ZA"/>
              </w:rPr>
              <w:t>2</w:t>
            </w:r>
            <w:r w:rsidR="009F3339">
              <w:rPr>
                <w:rFonts w:ascii="Times New Roman" w:eastAsia="Calibri-Light" w:hAnsi="Times New Roman" w:cs="Times New Roman"/>
                <w:color w:val="000000"/>
                <w:sz w:val="20"/>
                <w:szCs w:val="24"/>
                <w:lang w:eastAsia="en-ZA"/>
              </w:rPr>
              <w:t>5</w:t>
            </w:r>
            <w:r w:rsidRPr="007E21C4">
              <w:rPr>
                <w:rFonts w:ascii="Times New Roman" w:eastAsia="Calibri-Light" w:hAnsi="Times New Roman" w:cs="Times New Roman"/>
                <w:color w:val="000000"/>
                <w:sz w:val="20"/>
                <w:szCs w:val="24"/>
                <w:lang w:eastAsia="en-ZA"/>
              </w:rPr>
              <w:t xml:space="preserve"> </w:t>
            </w:r>
            <w:r w:rsidR="009F3339">
              <w:rPr>
                <w:rFonts w:ascii="Times New Roman" w:eastAsia="Calibri-Light" w:hAnsi="Times New Roman" w:cs="Times New Roman"/>
                <w:color w:val="000000"/>
                <w:sz w:val="20"/>
                <w:szCs w:val="24"/>
                <w:lang w:eastAsia="en-ZA"/>
              </w:rPr>
              <w:t>4</w:t>
            </w:r>
            <w:r w:rsidRPr="007E21C4">
              <w:rPr>
                <w:rFonts w:ascii="Times New Roman" w:eastAsia="Calibri-Light" w:hAnsi="Times New Roman" w:cs="Times New Roman"/>
                <w:color w:val="000000"/>
                <w:sz w:val="20"/>
                <w:szCs w:val="24"/>
                <w:lang w:eastAsia="en-ZA"/>
              </w:rPr>
              <w:t>77</w:t>
            </w:r>
          </w:p>
        </w:tc>
        <w:tc>
          <w:tcPr>
            <w:tcW w:w="1842" w:type="dxa"/>
            <w:shd w:val="clear" w:color="auto" w:fill="auto"/>
            <w:vAlign w:val="center"/>
            <w:hideMark/>
          </w:tcPr>
          <w:p w:rsidR="00E8046D" w:rsidRPr="007E21C4" w:rsidRDefault="00E8046D" w:rsidP="00592363">
            <w:pPr>
              <w:spacing w:after="0" w:line="360" w:lineRule="auto"/>
              <w:jc w:val="right"/>
              <w:rPr>
                <w:rFonts w:ascii="Times New Roman" w:eastAsia="Calibri-Light" w:hAnsi="Times New Roman" w:cs="Times New Roman"/>
                <w:color w:val="000000"/>
                <w:sz w:val="20"/>
                <w:szCs w:val="24"/>
                <w:lang w:eastAsia="en-ZA"/>
              </w:rPr>
            </w:pPr>
            <w:r w:rsidRPr="007E21C4">
              <w:rPr>
                <w:rFonts w:ascii="Times New Roman" w:eastAsia="Calibri-Light" w:hAnsi="Times New Roman" w:cs="Times New Roman"/>
                <w:color w:val="000000"/>
                <w:sz w:val="20"/>
                <w:szCs w:val="24"/>
                <w:lang w:eastAsia="en-ZA"/>
              </w:rPr>
              <w:t>17 362</w:t>
            </w:r>
          </w:p>
        </w:tc>
        <w:tc>
          <w:tcPr>
            <w:tcW w:w="1387" w:type="dxa"/>
            <w:shd w:val="clear" w:color="auto" w:fill="auto"/>
            <w:noWrap/>
            <w:vAlign w:val="center"/>
            <w:hideMark/>
          </w:tcPr>
          <w:p w:rsidR="00E8046D" w:rsidRPr="007E21C4" w:rsidRDefault="00E8046D" w:rsidP="00B07318">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-3</w:t>
            </w:r>
            <w:r w:rsidR="009F3339">
              <w:rPr>
                <w:rFonts w:ascii="Times New Roman" w:eastAsia="Times New Roman" w:hAnsi="Times New Roman" w:cs="Times New Roman"/>
                <w:color w:val="000000"/>
                <w:sz w:val="20"/>
                <w:szCs w:val="24"/>
                <w:lang w:eastAsia="en-ZA"/>
              </w:rPr>
              <w:t>1</w:t>
            </w:r>
            <w:r w:rsidRPr="007E21C4">
              <w:rPr>
                <w:rFonts w:ascii="Times New Roman" w:eastAsia="Times New Roman" w:hAnsi="Times New Roman" w:cs="Times New Roman"/>
                <w:color w:val="000000"/>
                <w:sz w:val="20"/>
                <w:szCs w:val="24"/>
                <w:lang w:eastAsia="en-ZA"/>
              </w:rPr>
              <w:t>.</w:t>
            </w:r>
            <w:r w:rsidR="009F3339">
              <w:rPr>
                <w:rFonts w:ascii="Times New Roman" w:eastAsia="Times New Roman" w:hAnsi="Times New Roman" w:cs="Times New Roman"/>
                <w:color w:val="000000"/>
                <w:sz w:val="20"/>
                <w:szCs w:val="24"/>
                <w:lang w:eastAsia="en-ZA"/>
              </w:rPr>
              <w:t>9</w:t>
            </w:r>
          </w:p>
        </w:tc>
        <w:tc>
          <w:tcPr>
            <w:tcW w:w="1387" w:type="dxa"/>
            <w:shd w:val="clear" w:color="auto" w:fill="auto"/>
            <w:noWrap/>
            <w:vAlign w:val="bottom"/>
            <w:hideMark/>
          </w:tcPr>
          <w:p w:rsidR="00E8046D" w:rsidRPr="007E21C4" w:rsidRDefault="00E8046D" w:rsidP="00592363">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-34.8</w:t>
            </w:r>
          </w:p>
        </w:tc>
      </w:tr>
      <w:tr w:rsidR="00E8046D" w:rsidRPr="00675023" w:rsidTr="00501558">
        <w:trPr>
          <w:trHeight w:val="315"/>
        </w:trPr>
        <w:tc>
          <w:tcPr>
            <w:tcW w:w="2840" w:type="dxa"/>
            <w:shd w:val="clear" w:color="auto" w:fill="auto"/>
            <w:vAlign w:val="center"/>
            <w:hideMark/>
          </w:tcPr>
          <w:p w:rsidR="00E8046D" w:rsidRPr="007E21C4" w:rsidRDefault="00E8046D" w:rsidP="00592363">
            <w:pPr>
              <w:spacing w:after="0" w:line="360" w:lineRule="auto"/>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Depreciation</w:t>
            </w:r>
          </w:p>
        </w:tc>
        <w:tc>
          <w:tcPr>
            <w:tcW w:w="1560" w:type="dxa"/>
            <w:shd w:val="clear" w:color="auto" w:fill="auto"/>
            <w:noWrap/>
            <w:vAlign w:val="bottom"/>
            <w:hideMark/>
          </w:tcPr>
          <w:p w:rsidR="00E8046D" w:rsidRPr="007E21C4" w:rsidRDefault="00E8046D" w:rsidP="00592363">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2 212</w:t>
            </w:r>
          </w:p>
        </w:tc>
        <w:tc>
          <w:tcPr>
            <w:tcW w:w="1842" w:type="dxa"/>
            <w:shd w:val="clear" w:color="auto" w:fill="auto"/>
            <w:vAlign w:val="center"/>
            <w:hideMark/>
          </w:tcPr>
          <w:p w:rsidR="00E8046D" w:rsidRPr="007E21C4" w:rsidRDefault="00E8046D" w:rsidP="00592363">
            <w:pPr>
              <w:spacing w:after="0" w:line="360" w:lineRule="auto"/>
              <w:jc w:val="right"/>
              <w:rPr>
                <w:rFonts w:ascii="Times New Roman" w:eastAsia="Calibri-Light" w:hAnsi="Times New Roman" w:cs="Times New Roman"/>
                <w:color w:val="000000"/>
                <w:sz w:val="20"/>
                <w:szCs w:val="24"/>
                <w:lang w:eastAsia="en-ZA"/>
              </w:rPr>
            </w:pPr>
            <w:r w:rsidRPr="007E21C4">
              <w:rPr>
                <w:rFonts w:ascii="Times New Roman" w:eastAsia="Calibri-Light" w:hAnsi="Times New Roman" w:cs="Times New Roman"/>
                <w:color w:val="000000"/>
                <w:sz w:val="20"/>
                <w:szCs w:val="24"/>
                <w:lang w:eastAsia="en-ZA"/>
              </w:rPr>
              <w:t>2 212</w:t>
            </w:r>
          </w:p>
        </w:tc>
        <w:tc>
          <w:tcPr>
            <w:tcW w:w="1387" w:type="dxa"/>
            <w:shd w:val="clear" w:color="auto" w:fill="auto"/>
            <w:noWrap/>
            <w:vAlign w:val="center"/>
            <w:hideMark/>
          </w:tcPr>
          <w:p w:rsidR="00E8046D" w:rsidRPr="007E21C4" w:rsidRDefault="00E8046D" w:rsidP="00592363">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0.0</w:t>
            </w:r>
          </w:p>
        </w:tc>
        <w:tc>
          <w:tcPr>
            <w:tcW w:w="1387" w:type="dxa"/>
            <w:shd w:val="clear" w:color="auto" w:fill="auto"/>
            <w:noWrap/>
            <w:vAlign w:val="bottom"/>
            <w:hideMark/>
          </w:tcPr>
          <w:p w:rsidR="00E8046D" w:rsidRPr="007E21C4" w:rsidRDefault="00E8046D" w:rsidP="00592363">
            <w:pPr>
              <w:spacing w:after="0" w:line="360" w:lineRule="auto"/>
              <w:jc w:val="right"/>
              <w:rPr>
                <w:rFonts w:ascii="Times New Roman" w:eastAsia="Times New Roman" w:hAnsi="Times New Roman" w:cs="Times New Roman"/>
                <w:color w:val="000000"/>
                <w:sz w:val="20"/>
                <w:szCs w:val="24"/>
                <w:lang w:eastAsia="en-ZA"/>
              </w:rPr>
            </w:pPr>
            <w:r w:rsidRPr="007E21C4">
              <w:rPr>
                <w:rFonts w:ascii="Times New Roman" w:eastAsia="Times New Roman" w:hAnsi="Times New Roman" w:cs="Times New Roman"/>
                <w:color w:val="000000"/>
                <w:sz w:val="20"/>
                <w:szCs w:val="24"/>
                <w:lang w:eastAsia="en-ZA"/>
              </w:rPr>
              <w:t>-6.2</w:t>
            </w:r>
          </w:p>
        </w:tc>
      </w:tr>
      <w:tr w:rsidR="00E8046D" w:rsidRPr="00675023" w:rsidTr="00501558">
        <w:trPr>
          <w:trHeight w:val="315"/>
        </w:trPr>
        <w:tc>
          <w:tcPr>
            <w:tcW w:w="2840" w:type="dxa"/>
            <w:shd w:val="clear" w:color="auto" w:fill="auto"/>
            <w:vAlign w:val="center"/>
            <w:hideMark/>
          </w:tcPr>
          <w:p w:rsidR="00E8046D" w:rsidRPr="007E21C4" w:rsidRDefault="00E8046D" w:rsidP="00592363">
            <w:pPr>
              <w:spacing w:after="0" w:line="360" w:lineRule="auto"/>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Total expenses</w:t>
            </w:r>
          </w:p>
        </w:tc>
        <w:tc>
          <w:tcPr>
            <w:tcW w:w="1560" w:type="dxa"/>
            <w:shd w:val="clear" w:color="auto" w:fill="auto"/>
            <w:vAlign w:val="center"/>
            <w:hideMark/>
          </w:tcPr>
          <w:p w:rsidR="00E8046D" w:rsidRPr="007E21C4" w:rsidRDefault="00E8046D" w:rsidP="00B07318">
            <w:pPr>
              <w:spacing w:after="0" w:line="360" w:lineRule="auto"/>
              <w:jc w:val="right"/>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3</w:t>
            </w:r>
            <w:r w:rsidR="009F3339">
              <w:rPr>
                <w:rFonts w:ascii="Times New Roman" w:eastAsia="Times New Roman" w:hAnsi="Times New Roman" w:cs="Times New Roman"/>
                <w:b/>
                <w:bCs/>
                <w:color w:val="000000"/>
                <w:sz w:val="20"/>
                <w:szCs w:val="24"/>
                <w:lang w:eastAsia="en-ZA"/>
              </w:rPr>
              <w:t>9</w:t>
            </w:r>
            <w:r w:rsidRPr="007E21C4">
              <w:rPr>
                <w:rFonts w:ascii="Times New Roman" w:eastAsia="Times New Roman" w:hAnsi="Times New Roman" w:cs="Times New Roman"/>
                <w:b/>
                <w:bCs/>
                <w:color w:val="000000"/>
                <w:sz w:val="20"/>
                <w:szCs w:val="24"/>
                <w:lang w:eastAsia="en-ZA"/>
              </w:rPr>
              <w:t xml:space="preserve"> </w:t>
            </w:r>
            <w:r w:rsidR="009F3339">
              <w:rPr>
                <w:rFonts w:ascii="Times New Roman" w:eastAsia="Times New Roman" w:hAnsi="Times New Roman" w:cs="Times New Roman"/>
                <w:b/>
                <w:bCs/>
                <w:color w:val="000000"/>
                <w:sz w:val="20"/>
                <w:szCs w:val="24"/>
                <w:lang w:eastAsia="en-ZA"/>
              </w:rPr>
              <w:t>0</w:t>
            </w:r>
            <w:r w:rsidRPr="007E21C4">
              <w:rPr>
                <w:rFonts w:ascii="Times New Roman" w:eastAsia="Times New Roman" w:hAnsi="Times New Roman" w:cs="Times New Roman"/>
                <w:b/>
                <w:bCs/>
                <w:color w:val="000000"/>
                <w:sz w:val="20"/>
                <w:szCs w:val="24"/>
                <w:lang w:eastAsia="en-ZA"/>
              </w:rPr>
              <w:t>35</w:t>
            </w:r>
          </w:p>
        </w:tc>
        <w:tc>
          <w:tcPr>
            <w:tcW w:w="1842" w:type="dxa"/>
            <w:shd w:val="clear" w:color="auto" w:fill="auto"/>
            <w:vAlign w:val="center"/>
            <w:hideMark/>
          </w:tcPr>
          <w:p w:rsidR="00E8046D" w:rsidRPr="007E21C4" w:rsidRDefault="00E8046D" w:rsidP="00592363">
            <w:pPr>
              <w:spacing w:after="0" w:line="360" w:lineRule="auto"/>
              <w:jc w:val="right"/>
              <w:rPr>
                <w:rFonts w:ascii="Times New Roman" w:eastAsia="Times New Roman" w:hAnsi="Times New Roman" w:cs="Times New Roman"/>
                <w:b/>
                <w:bCs/>
                <w:color w:val="000000"/>
                <w:sz w:val="20"/>
                <w:szCs w:val="24"/>
                <w:lang w:eastAsia="en-ZA"/>
              </w:rPr>
            </w:pPr>
            <w:r w:rsidRPr="007E21C4">
              <w:rPr>
                <w:rFonts w:ascii="Times New Roman" w:eastAsia="Times New Roman" w:hAnsi="Times New Roman" w:cs="Times New Roman"/>
                <w:b/>
                <w:bCs/>
                <w:color w:val="000000"/>
                <w:sz w:val="20"/>
                <w:szCs w:val="24"/>
                <w:lang w:eastAsia="en-ZA"/>
              </w:rPr>
              <w:t>42 507</w:t>
            </w:r>
          </w:p>
        </w:tc>
        <w:tc>
          <w:tcPr>
            <w:tcW w:w="1387" w:type="dxa"/>
            <w:shd w:val="clear" w:color="auto" w:fill="auto"/>
            <w:noWrap/>
            <w:vAlign w:val="center"/>
            <w:hideMark/>
          </w:tcPr>
          <w:p w:rsidR="00E8046D" w:rsidRPr="00501558" w:rsidRDefault="009F3339" w:rsidP="00B07318">
            <w:pPr>
              <w:spacing w:after="0" w:line="360" w:lineRule="auto"/>
              <w:jc w:val="right"/>
              <w:rPr>
                <w:rFonts w:ascii="Times New Roman" w:eastAsia="Times New Roman" w:hAnsi="Times New Roman" w:cs="Times New Roman"/>
                <w:b/>
                <w:color w:val="000000"/>
                <w:sz w:val="20"/>
                <w:szCs w:val="24"/>
                <w:lang w:eastAsia="en-ZA"/>
              </w:rPr>
            </w:pPr>
            <w:r>
              <w:rPr>
                <w:rFonts w:ascii="Times New Roman" w:eastAsia="Times New Roman" w:hAnsi="Times New Roman" w:cs="Times New Roman"/>
                <w:b/>
                <w:color w:val="000000"/>
                <w:sz w:val="20"/>
                <w:szCs w:val="24"/>
                <w:lang w:eastAsia="en-ZA"/>
              </w:rPr>
              <w:t>8</w:t>
            </w:r>
            <w:r w:rsidR="00E8046D" w:rsidRPr="00501558">
              <w:rPr>
                <w:rFonts w:ascii="Times New Roman" w:eastAsia="Times New Roman" w:hAnsi="Times New Roman" w:cs="Times New Roman"/>
                <w:b/>
                <w:color w:val="000000"/>
                <w:sz w:val="20"/>
                <w:szCs w:val="24"/>
                <w:lang w:eastAsia="en-ZA"/>
              </w:rPr>
              <w:t>.</w:t>
            </w:r>
            <w:r>
              <w:rPr>
                <w:rFonts w:ascii="Times New Roman" w:eastAsia="Times New Roman" w:hAnsi="Times New Roman" w:cs="Times New Roman"/>
                <w:b/>
                <w:color w:val="000000"/>
                <w:sz w:val="20"/>
                <w:szCs w:val="24"/>
                <w:lang w:eastAsia="en-ZA"/>
              </w:rPr>
              <w:t>9</w:t>
            </w:r>
          </w:p>
        </w:tc>
        <w:tc>
          <w:tcPr>
            <w:tcW w:w="1387" w:type="dxa"/>
            <w:shd w:val="clear" w:color="auto" w:fill="auto"/>
            <w:noWrap/>
            <w:vAlign w:val="bottom"/>
            <w:hideMark/>
          </w:tcPr>
          <w:p w:rsidR="00E8046D" w:rsidRPr="00501558" w:rsidRDefault="009F3339" w:rsidP="00B07318">
            <w:pPr>
              <w:spacing w:after="0" w:line="360" w:lineRule="auto"/>
              <w:jc w:val="right"/>
              <w:rPr>
                <w:rFonts w:ascii="Times New Roman" w:eastAsia="Times New Roman" w:hAnsi="Times New Roman" w:cs="Times New Roman"/>
                <w:b/>
                <w:color w:val="000000"/>
                <w:sz w:val="20"/>
                <w:szCs w:val="24"/>
                <w:lang w:eastAsia="en-ZA"/>
              </w:rPr>
            </w:pPr>
            <w:r>
              <w:rPr>
                <w:rFonts w:ascii="Times New Roman" w:eastAsia="Times New Roman" w:hAnsi="Times New Roman" w:cs="Times New Roman"/>
                <w:b/>
                <w:color w:val="000000"/>
                <w:sz w:val="20"/>
                <w:szCs w:val="24"/>
                <w:lang w:eastAsia="en-ZA"/>
              </w:rPr>
              <w:t>2</w:t>
            </w:r>
            <w:r w:rsidR="00E8046D" w:rsidRPr="00501558">
              <w:rPr>
                <w:rFonts w:ascii="Times New Roman" w:eastAsia="Times New Roman" w:hAnsi="Times New Roman" w:cs="Times New Roman"/>
                <w:b/>
                <w:color w:val="000000"/>
                <w:sz w:val="20"/>
                <w:szCs w:val="24"/>
                <w:lang w:eastAsia="en-ZA"/>
              </w:rPr>
              <w:t>.</w:t>
            </w:r>
            <w:r>
              <w:rPr>
                <w:rFonts w:ascii="Times New Roman" w:eastAsia="Times New Roman" w:hAnsi="Times New Roman" w:cs="Times New Roman"/>
                <w:b/>
                <w:color w:val="000000"/>
                <w:sz w:val="20"/>
                <w:szCs w:val="24"/>
                <w:lang w:eastAsia="en-ZA"/>
              </w:rPr>
              <w:t>2</w:t>
            </w:r>
          </w:p>
        </w:tc>
      </w:tr>
    </w:tbl>
    <w:p w:rsidR="00E8046D" w:rsidRPr="0022538D" w:rsidRDefault="00E8046D" w:rsidP="00592363">
      <w:pPr>
        <w:spacing w:after="0" w:line="360" w:lineRule="auto"/>
        <w:jc w:val="both"/>
        <w:rPr>
          <w:rFonts w:ascii="Times New Roman" w:hAnsi="Times New Roman" w:cs="Times New Roman"/>
          <w:sz w:val="20"/>
          <w:szCs w:val="20"/>
        </w:rPr>
      </w:pPr>
      <w:r w:rsidRPr="0022538D">
        <w:rPr>
          <w:rFonts w:ascii="Times New Roman" w:hAnsi="Times New Roman" w:cs="Times New Roman"/>
          <w:sz w:val="20"/>
          <w:szCs w:val="20"/>
        </w:rPr>
        <w:t xml:space="preserve">Source: National </w:t>
      </w:r>
      <w:r w:rsidR="009F3339">
        <w:rPr>
          <w:rFonts w:ascii="Times New Roman" w:hAnsi="Times New Roman" w:cs="Times New Roman"/>
          <w:sz w:val="20"/>
          <w:szCs w:val="20"/>
        </w:rPr>
        <w:t>Treasury</w:t>
      </w:r>
      <w:r w:rsidRPr="0022538D">
        <w:rPr>
          <w:rFonts w:ascii="Times New Roman" w:hAnsi="Times New Roman" w:cs="Times New Roman"/>
          <w:sz w:val="20"/>
          <w:szCs w:val="20"/>
        </w:rPr>
        <w:t xml:space="preserve"> (2016) </w:t>
      </w:r>
    </w:p>
    <w:p w:rsidR="00E8046D" w:rsidRPr="00675023" w:rsidRDefault="00E8046D" w:rsidP="00592363">
      <w:pPr>
        <w:spacing w:after="0" w:line="360" w:lineRule="auto"/>
        <w:jc w:val="both"/>
        <w:rPr>
          <w:rFonts w:ascii="Times New Roman" w:hAnsi="Times New Roman" w:cs="Times New Roman"/>
          <w:b/>
          <w:sz w:val="24"/>
          <w:szCs w:val="24"/>
        </w:rPr>
      </w:pPr>
    </w:p>
    <w:p w:rsidR="002B6201" w:rsidRPr="00675023" w:rsidRDefault="002B6201" w:rsidP="007E21C4">
      <w:pPr>
        <w:pStyle w:val="ListParagraph"/>
        <w:numPr>
          <w:ilvl w:val="2"/>
          <w:numId w:val="2"/>
        </w:numPr>
        <w:spacing w:after="0" w:line="360" w:lineRule="auto"/>
        <w:ind w:left="709" w:hanging="709"/>
        <w:jc w:val="both"/>
        <w:rPr>
          <w:rFonts w:ascii="Times New Roman" w:hAnsi="Times New Roman" w:cs="Times New Roman"/>
          <w:b/>
          <w:sz w:val="24"/>
          <w:szCs w:val="24"/>
        </w:rPr>
      </w:pPr>
      <w:r w:rsidRPr="00675023">
        <w:rPr>
          <w:rFonts w:ascii="Times New Roman" w:hAnsi="Times New Roman" w:cs="Times New Roman"/>
          <w:b/>
          <w:sz w:val="24"/>
          <w:szCs w:val="24"/>
        </w:rPr>
        <w:t>Key issues raised by the committee during its deliberations</w:t>
      </w:r>
    </w:p>
    <w:p w:rsidR="002B6201" w:rsidRPr="00675023" w:rsidRDefault="002B6201" w:rsidP="00592363">
      <w:pPr>
        <w:autoSpaceDE w:val="0"/>
        <w:autoSpaceDN w:val="0"/>
        <w:adjustRightInd w:val="0"/>
        <w:spacing w:after="0" w:line="360" w:lineRule="auto"/>
        <w:jc w:val="both"/>
        <w:rPr>
          <w:rFonts w:ascii="Times New Roman" w:hAnsi="Times New Roman" w:cs="Times New Roman"/>
          <w:b/>
          <w:sz w:val="24"/>
          <w:szCs w:val="24"/>
        </w:rPr>
      </w:pPr>
    </w:p>
    <w:p w:rsidR="002B6201" w:rsidRPr="00675023" w:rsidRDefault="002B6201" w:rsidP="00592363">
      <w:pPr>
        <w:autoSpaceDE w:val="0"/>
        <w:autoSpaceDN w:val="0"/>
        <w:adjustRightInd w:val="0"/>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During its deliberations, the committee raised a number of concerns relating to the NCT which are captured below:</w:t>
      </w:r>
    </w:p>
    <w:p w:rsidR="00DD2675" w:rsidRPr="00675023" w:rsidRDefault="00DD2675" w:rsidP="00592363">
      <w:pPr>
        <w:pStyle w:val="ListParagraph"/>
        <w:spacing w:after="0" w:line="360" w:lineRule="auto"/>
        <w:ind w:left="284"/>
        <w:jc w:val="both"/>
        <w:rPr>
          <w:rFonts w:ascii="Times New Roman" w:hAnsi="Times New Roman" w:cs="Times New Roman"/>
          <w:b/>
          <w:sz w:val="24"/>
          <w:szCs w:val="24"/>
        </w:rPr>
      </w:pPr>
    </w:p>
    <w:p w:rsidR="002B6201" w:rsidRPr="00675023" w:rsidRDefault="002B6201" w:rsidP="00592363">
      <w:pPr>
        <w:pStyle w:val="ListParagraph"/>
        <w:numPr>
          <w:ilvl w:val="0"/>
          <w:numId w:val="24"/>
        </w:numPr>
        <w:spacing w:after="0" w:line="360" w:lineRule="auto"/>
        <w:ind w:left="450" w:hanging="450"/>
        <w:jc w:val="both"/>
        <w:rPr>
          <w:rFonts w:ascii="Times New Roman" w:eastAsia="Times New Roman" w:hAnsi="Times New Roman" w:cs="Times New Roman"/>
          <w:sz w:val="24"/>
          <w:szCs w:val="24"/>
        </w:rPr>
      </w:pPr>
      <w:r w:rsidRPr="00675023">
        <w:rPr>
          <w:rFonts w:ascii="Times New Roman" w:eastAsia="Times New Roman" w:hAnsi="Times New Roman" w:cs="Times New Roman"/>
          <w:i/>
          <w:sz w:val="24"/>
          <w:szCs w:val="24"/>
        </w:rPr>
        <w:t>The NGB</w:t>
      </w:r>
      <w:r w:rsidR="00393A62">
        <w:rPr>
          <w:rFonts w:ascii="Times New Roman" w:eastAsia="Times New Roman" w:hAnsi="Times New Roman" w:cs="Times New Roman"/>
          <w:i/>
          <w:sz w:val="24"/>
          <w:szCs w:val="24"/>
        </w:rPr>
        <w:t>’s</w:t>
      </w:r>
      <w:r w:rsidRPr="00675023">
        <w:rPr>
          <w:rFonts w:ascii="Times New Roman" w:eastAsia="Times New Roman" w:hAnsi="Times New Roman" w:cs="Times New Roman"/>
          <w:i/>
          <w:sz w:val="24"/>
          <w:szCs w:val="24"/>
        </w:rPr>
        <w:t xml:space="preserve"> position on illegal gambling</w:t>
      </w:r>
      <w:r w:rsidR="00D70A5C">
        <w:rPr>
          <w:rFonts w:ascii="Times New Roman" w:eastAsia="Times New Roman" w:hAnsi="Times New Roman" w:cs="Times New Roman"/>
          <w:i/>
          <w:sz w:val="24"/>
          <w:szCs w:val="24"/>
        </w:rPr>
        <w:t xml:space="preserve"> practices at</w:t>
      </w:r>
      <w:r w:rsidRPr="00675023">
        <w:rPr>
          <w:rFonts w:ascii="Times New Roman" w:eastAsia="Times New Roman" w:hAnsi="Times New Roman" w:cs="Times New Roman"/>
          <w:i/>
          <w:sz w:val="24"/>
          <w:szCs w:val="24"/>
        </w:rPr>
        <w:t xml:space="preserve"> license</w:t>
      </w:r>
      <w:r w:rsidR="00D70A5C">
        <w:rPr>
          <w:rFonts w:ascii="Times New Roman" w:eastAsia="Times New Roman" w:hAnsi="Times New Roman" w:cs="Times New Roman"/>
          <w:i/>
          <w:sz w:val="24"/>
          <w:szCs w:val="24"/>
        </w:rPr>
        <w:t>d</w:t>
      </w:r>
      <w:r w:rsidRPr="00675023">
        <w:rPr>
          <w:rFonts w:ascii="Times New Roman" w:eastAsia="Times New Roman" w:hAnsi="Times New Roman" w:cs="Times New Roman"/>
          <w:i/>
          <w:sz w:val="24"/>
          <w:szCs w:val="24"/>
        </w:rPr>
        <w:t xml:space="preserve"> operat</w:t>
      </w:r>
      <w:r w:rsidR="00D70A5C">
        <w:rPr>
          <w:rFonts w:ascii="Times New Roman" w:eastAsia="Times New Roman" w:hAnsi="Times New Roman" w:cs="Times New Roman"/>
          <w:i/>
          <w:sz w:val="24"/>
          <w:szCs w:val="24"/>
        </w:rPr>
        <w:t>ion</w:t>
      </w:r>
      <w:r w:rsidRPr="00675023">
        <w:rPr>
          <w:rFonts w:ascii="Times New Roman" w:eastAsia="Times New Roman" w:hAnsi="Times New Roman" w:cs="Times New Roman"/>
          <w:i/>
          <w:sz w:val="24"/>
          <w:szCs w:val="24"/>
        </w:rPr>
        <w:t xml:space="preserve">s: </w:t>
      </w:r>
      <w:r w:rsidRPr="00675023">
        <w:rPr>
          <w:rFonts w:ascii="Times New Roman" w:eastAsia="Times New Roman" w:hAnsi="Times New Roman" w:cs="Times New Roman"/>
          <w:sz w:val="24"/>
          <w:szCs w:val="24"/>
        </w:rPr>
        <w:t>The NGB informed the committee that in terms of the Gambling Act</w:t>
      </w:r>
      <w:r w:rsidR="00D70A5C">
        <w:rPr>
          <w:rFonts w:ascii="Times New Roman" w:eastAsia="Times New Roman" w:hAnsi="Times New Roman" w:cs="Times New Roman"/>
          <w:sz w:val="24"/>
          <w:szCs w:val="24"/>
        </w:rPr>
        <w:t>,</w:t>
      </w:r>
      <w:r w:rsidRPr="00675023">
        <w:rPr>
          <w:rFonts w:ascii="Times New Roman" w:eastAsia="Times New Roman" w:hAnsi="Times New Roman" w:cs="Times New Roman"/>
          <w:sz w:val="24"/>
          <w:szCs w:val="24"/>
        </w:rPr>
        <w:t xml:space="preserve"> it is empowered to act on illegal </w:t>
      </w:r>
      <w:r w:rsidR="00D70A5C">
        <w:rPr>
          <w:rFonts w:ascii="Times New Roman" w:eastAsia="Times New Roman" w:hAnsi="Times New Roman" w:cs="Times New Roman"/>
          <w:sz w:val="24"/>
          <w:szCs w:val="24"/>
        </w:rPr>
        <w:t>practices</w:t>
      </w:r>
      <w:r w:rsidR="00D70A5C" w:rsidRPr="00675023">
        <w:rPr>
          <w:rFonts w:ascii="Times New Roman" w:eastAsia="Times New Roman" w:hAnsi="Times New Roman" w:cs="Times New Roman"/>
          <w:sz w:val="24"/>
          <w:szCs w:val="24"/>
        </w:rPr>
        <w:t xml:space="preserve"> </w:t>
      </w:r>
      <w:r w:rsidR="00D70A5C">
        <w:rPr>
          <w:rFonts w:ascii="Times New Roman" w:eastAsia="Times New Roman" w:hAnsi="Times New Roman" w:cs="Times New Roman"/>
          <w:sz w:val="24"/>
          <w:szCs w:val="24"/>
        </w:rPr>
        <w:t>by</w:t>
      </w:r>
      <w:r w:rsidR="00D70A5C" w:rsidRPr="00675023">
        <w:rPr>
          <w:rFonts w:ascii="Times New Roman" w:eastAsia="Times New Roman" w:hAnsi="Times New Roman" w:cs="Times New Roman"/>
          <w:sz w:val="24"/>
          <w:szCs w:val="24"/>
        </w:rPr>
        <w:t xml:space="preserve"> </w:t>
      </w:r>
      <w:r w:rsidRPr="00675023">
        <w:rPr>
          <w:rFonts w:ascii="Times New Roman" w:eastAsia="Times New Roman" w:hAnsi="Times New Roman" w:cs="Times New Roman"/>
          <w:sz w:val="24"/>
          <w:szCs w:val="24"/>
        </w:rPr>
        <w:t>license</w:t>
      </w:r>
      <w:r w:rsidR="00D70A5C">
        <w:rPr>
          <w:rFonts w:ascii="Times New Roman" w:eastAsia="Times New Roman" w:hAnsi="Times New Roman" w:cs="Times New Roman"/>
          <w:sz w:val="24"/>
          <w:szCs w:val="24"/>
        </w:rPr>
        <w:t>d</w:t>
      </w:r>
      <w:r w:rsidRPr="00675023">
        <w:rPr>
          <w:rFonts w:ascii="Times New Roman" w:eastAsia="Times New Roman" w:hAnsi="Times New Roman" w:cs="Times New Roman"/>
          <w:sz w:val="24"/>
          <w:szCs w:val="24"/>
        </w:rPr>
        <w:t xml:space="preserve"> operators. </w:t>
      </w:r>
      <w:r w:rsidR="00D70A5C">
        <w:rPr>
          <w:rFonts w:ascii="Times New Roman" w:eastAsia="Times New Roman" w:hAnsi="Times New Roman" w:cs="Times New Roman"/>
          <w:sz w:val="24"/>
          <w:szCs w:val="24"/>
        </w:rPr>
        <w:t xml:space="preserve">However, </w:t>
      </w:r>
      <w:r w:rsidR="00D70A5C" w:rsidRPr="00675023">
        <w:rPr>
          <w:rFonts w:ascii="Times New Roman" w:eastAsia="Times New Roman" w:hAnsi="Times New Roman" w:cs="Times New Roman"/>
          <w:sz w:val="24"/>
          <w:szCs w:val="24"/>
        </w:rPr>
        <w:t xml:space="preserve">these </w:t>
      </w:r>
      <w:r w:rsidRPr="00675023">
        <w:rPr>
          <w:rFonts w:ascii="Times New Roman" w:eastAsia="Times New Roman" w:hAnsi="Times New Roman" w:cs="Times New Roman"/>
          <w:sz w:val="24"/>
          <w:szCs w:val="24"/>
        </w:rPr>
        <w:t>investigation</w:t>
      </w:r>
      <w:r w:rsidR="00393A62">
        <w:rPr>
          <w:rFonts w:ascii="Times New Roman" w:eastAsia="Times New Roman" w:hAnsi="Times New Roman" w:cs="Times New Roman"/>
          <w:sz w:val="24"/>
          <w:szCs w:val="24"/>
        </w:rPr>
        <w:t>s</w:t>
      </w:r>
      <w:r w:rsidRPr="00675023">
        <w:rPr>
          <w:rFonts w:ascii="Times New Roman" w:eastAsia="Times New Roman" w:hAnsi="Times New Roman" w:cs="Times New Roman"/>
          <w:sz w:val="24"/>
          <w:szCs w:val="24"/>
        </w:rPr>
        <w:t xml:space="preserve"> must be done in conjunction with the Provincial Licensing Authorities (PLAs). The NGB acknowledged its constraints with respect to </w:t>
      </w:r>
      <w:r w:rsidR="00D70A5C">
        <w:rPr>
          <w:rFonts w:ascii="Times New Roman" w:eastAsia="Times New Roman" w:hAnsi="Times New Roman" w:cs="Times New Roman"/>
          <w:sz w:val="24"/>
          <w:szCs w:val="24"/>
        </w:rPr>
        <w:t xml:space="preserve">its </w:t>
      </w:r>
      <w:r w:rsidRPr="00675023">
        <w:rPr>
          <w:rFonts w:ascii="Times New Roman" w:eastAsia="Times New Roman" w:hAnsi="Times New Roman" w:cs="Times New Roman"/>
          <w:sz w:val="24"/>
          <w:szCs w:val="24"/>
        </w:rPr>
        <w:t xml:space="preserve">capacity to investigate </w:t>
      </w:r>
      <w:r w:rsidR="00D70A5C">
        <w:rPr>
          <w:rFonts w:ascii="Times New Roman" w:eastAsia="Times New Roman" w:hAnsi="Times New Roman" w:cs="Times New Roman"/>
          <w:sz w:val="24"/>
          <w:szCs w:val="24"/>
        </w:rPr>
        <w:t>such</w:t>
      </w:r>
      <w:r w:rsidR="00D70A5C" w:rsidRPr="00675023">
        <w:rPr>
          <w:rFonts w:ascii="Times New Roman" w:eastAsia="Times New Roman" w:hAnsi="Times New Roman" w:cs="Times New Roman"/>
          <w:sz w:val="24"/>
          <w:szCs w:val="24"/>
        </w:rPr>
        <w:t xml:space="preserve"> </w:t>
      </w:r>
      <w:r w:rsidRPr="00675023">
        <w:rPr>
          <w:rFonts w:ascii="Times New Roman" w:eastAsia="Times New Roman" w:hAnsi="Times New Roman" w:cs="Times New Roman"/>
          <w:sz w:val="24"/>
          <w:szCs w:val="24"/>
        </w:rPr>
        <w:t xml:space="preserve">complaints. </w:t>
      </w:r>
    </w:p>
    <w:p w:rsidR="002B6201" w:rsidRPr="00675023" w:rsidRDefault="002B6201" w:rsidP="00592363">
      <w:pPr>
        <w:pStyle w:val="ListParagraph"/>
        <w:numPr>
          <w:ilvl w:val="0"/>
          <w:numId w:val="24"/>
        </w:numPr>
        <w:spacing w:after="0" w:line="360" w:lineRule="auto"/>
        <w:ind w:left="450" w:hanging="450"/>
        <w:jc w:val="both"/>
        <w:rPr>
          <w:rFonts w:ascii="Times New Roman" w:eastAsia="Times New Roman" w:hAnsi="Times New Roman" w:cs="Times New Roman"/>
          <w:sz w:val="24"/>
          <w:szCs w:val="24"/>
        </w:rPr>
      </w:pPr>
      <w:r w:rsidRPr="00675023">
        <w:rPr>
          <w:rFonts w:ascii="Times New Roman" w:eastAsia="Times New Roman" w:hAnsi="Times New Roman" w:cs="Times New Roman"/>
          <w:i/>
          <w:sz w:val="24"/>
          <w:szCs w:val="24"/>
        </w:rPr>
        <w:t>Potential conflict of interest for the NGB in relation to the</w:t>
      </w:r>
      <w:r w:rsidR="00D70A5C">
        <w:rPr>
          <w:rFonts w:ascii="Times New Roman" w:eastAsia="Times New Roman" w:hAnsi="Times New Roman" w:cs="Times New Roman"/>
          <w:i/>
          <w:sz w:val="24"/>
          <w:szCs w:val="24"/>
        </w:rPr>
        <w:t xml:space="preserve"> perceived</w:t>
      </w:r>
      <w:r w:rsidRPr="00675023">
        <w:rPr>
          <w:rFonts w:ascii="Times New Roman" w:eastAsia="Times New Roman" w:hAnsi="Times New Roman" w:cs="Times New Roman"/>
          <w:i/>
          <w:sz w:val="24"/>
          <w:szCs w:val="24"/>
        </w:rPr>
        <w:t xml:space="preserve"> revenue generating potential of Limited Payout Machines (LPMs): </w:t>
      </w:r>
      <w:r w:rsidR="00D70A5C" w:rsidRPr="007E21C4">
        <w:rPr>
          <w:rFonts w:ascii="Times New Roman" w:eastAsia="Times New Roman" w:hAnsi="Times New Roman" w:cs="Times New Roman"/>
          <w:sz w:val="24"/>
          <w:szCs w:val="24"/>
        </w:rPr>
        <w:t>Currently,</w:t>
      </w:r>
      <w:r w:rsidR="00D70A5C">
        <w:rPr>
          <w:rFonts w:ascii="Times New Roman" w:eastAsia="Times New Roman" w:hAnsi="Times New Roman" w:cs="Times New Roman"/>
          <w:i/>
          <w:sz w:val="24"/>
          <w:szCs w:val="24"/>
        </w:rPr>
        <w:t xml:space="preserve"> </w:t>
      </w:r>
      <w:r w:rsidR="00D70A5C" w:rsidRPr="00675023">
        <w:rPr>
          <w:rFonts w:ascii="Times New Roman" w:eastAsia="Times New Roman" w:hAnsi="Times New Roman" w:cs="Times New Roman"/>
          <w:sz w:val="24"/>
          <w:szCs w:val="24"/>
        </w:rPr>
        <w:t xml:space="preserve">the </w:t>
      </w:r>
      <w:r w:rsidRPr="00675023">
        <w:rPr>
          <w:rFonts w:ascii="Times New Roman" w:eastAsia="Times New Roman" w:hAnsi="Times New Roman" w:cs="Times New Roman"/>
          <w:sz w:val="24"/>
          <w:szCs w:val="24"/>
        </w:rPr>
        <w:t xml:space="preserve">NGB </w:t>
      </w:r>
      <w:r w:rsidR="00D70A5C">
        <w:rPr>
          <w:rFonts w:ascii="Times New Roman" w:eastAsia="Times New Roman" w:hAnsi="Times New Roman" w:cs="Times New Roman"/>
          <w:sz w:val="24"/>
          <w:szCs w:val="24"/>
        </w:rPr>
        <w:t xml:space="preserve">is responsible for approving applications for sites that wish to set up more than five LPMs up to 40 LPMs before the PLAs may issue such a licence. </w:t>
      </w:r>
      <w:r w:rsidR="00110799">
        <w:rPr>
          <w:rFonts w:ascii="Times New Roman" w:eastAsia="Times New Roman" w:hAnsi="Times New Roman" w:cs="Times New Roman"/>
          <w:sz w:val="24"/>
          <w:szCs w:val="24"/>
        </w:rPr>
        <w:t>It is also responsible for ensuring that each LPM is linked to the NCEMS for ongoing monitoring and receives some income from the NCEMS operator.</w:t>
      </w:r>
      <w:r w:rsidR="00D70A5C">
        <w:rPr>
          <w:rFonts w:ascii="Times New Roman" w:eastAsia="Times New Roman" w:hAnsi="Times New Roman" w:cs="Times New Roman"/>
          <w:sz w:val="24"/>
          <w:szCs w:val="24"/>
        </w:rPr>
        <w:t xml:space="preserve"> </w:t>
      </w:r>
      <w:r w:rsidR="00110799">
        <w:rPr>
          <w:rFonts w:ascii="Times New Roman" w:eastAsia="Times New Roman" w:hAnsi="Times New Roman" w:cs="Times New Roman"/>
          <w:sz w:val="24"/>
          <w:szCs w:val="24"/>
        </w:rPr>
        <w:t xml:space="preserve">It is of the view that no conflict of interest exists to its approval role within the </w:t>
      </w:r>
      <w:r w:rsidR="00110799" w:rsidRPr="00675023">
        <w:rPr>
          <w:rFonts w:ascii="Times New Roman" w:eastAsia="Times New Roman" w:hAnsi="Times New Roman" w:cs="Times New Roman"/>
          <w:sz w:val="24"/>
          <w:szCs w:val="24"/>
        </w:rPr>
        <w:t xml:space="preserve">current </w:t>
      </w:r>
      <w:r w:rsidRPr="00675023">
        <w:rPr>
          <w:rFonts w:ascii="Times New Roman" w:eastAsia="Times New Roman" w:hAnsi="Times New Roman" w:cs="Times New Roman"/>
          <w:sz w:val="24"/>
          <w:szCs w:val="24"/>
        </w:rPr>
        <w:t xml:space="preserve">regulatory framework. </w:t>
      </w:r>
    </w:p>
    <w:p w:rsidR="002B6201" w:rsidRPr="00675023" w:rsidRDefault="002B6201" w:rsidP="00592363">
      <w:pPr>
        <w:pStyle w:val="ListParagraph"/>
        <w:numPr>
          <w:ilvl w:val="0"/>
          <w:numId w:val="24"/>
        </w:numPr>
        <w:spacing w:after="0" w:line="360" w:lineRule="auto"/>
        <w:ind w:left="450" w:hanging="450"/>
        <w:jc w:val="both"/>
        <w:rPr>
          <w:rFonts w:ascii="Times New Roman" w:eastAsia="Times New Roman" w:hAnsi="Times New Roman" w:cs="Times New Roman"/>
          <w:sz w:val="24"/>
          <w:szCs w:val="24"/>
        </w:rPr>
      </w:pPr>
      <w:r w:rsidRPr="00675023">
        <w:rPr>
          <w:rFonts w:ascii="Times New Roman" w:eastAsia="Times New Roman" w:hAnsi="Times New Roman" w:cs="Times New Roman"/>
          <w:i/>
          <w:sz w:val="24"/>
          <w:szCs w:val="24"/>
        </w:rPr>
        <w:t>The ability of the NGB to fulfil its mandate:</w:t>
      </w:r>
      <w:r w:rsidRPr="00675023">
        <w:rPr>
          <w:rFonts w:ascii="Times New Roman" w:eastAsia="Times New Roman" w:hAnsi="Times New Roman" w:cs="Times New Roman"/>
          <w:sz w:val="24"/>
          <w:szCs w:val="24"/>
        </w:rPr>
        <w:t xml:space="preserve"> The NGB informed the committee that it is confident that it can fulfil its mandate. </w:t>
      </w:r>
      <w:r w:rsidR="00110799">
        <w:rPr>
          <w:rFonts w:ascii="Times New Roman" w:eastAsia="Times New Roman" w:hAnsi="Times New Roman" w:cs="Times New Roman"/>
          <w:sz w:val="24"/>
          <w:szCs w:val="24"/>
        </w:rPr>
        <w:t xml:space="preserve">Once it receives </w:t>
      </w:r>
      <w:r w:rsidRPr="00675023">
        <w:rPr>
          <w:rFonts w:ascii="Times New Roman" w:eastAsia="Times New Roman" w:hAnsi="Times New Roman" w:cs="Times New Roman"/>
          <w:sz w:val="24"/>
          <w:szCs w:val="24"/>
        </w:rPr>
        <w:t>add</w:t>
      </w:r>
      <w:r w:rsidR="00110799">
        <w:rPr>
          <w:rFonts w:ascii="Times New Roman" w:eastAsia="Times New Roman" w:hAnsi="Times New Roman" w:cs="Times New Roman"/>
          <w:sz w:val="24"/>
          <w:szCs w:val="24"/>
        </w:rPr>
        <w:t>itional</w:t>
      </w:r>
      <w:r w:rsidRPr="00675023">
        <w:rPr>
          <w:rFonts w:ascii="Times New Roman" w:eastAsia="Times New Roman" w:hAnsi="Times New Roman" w:cs="Times New Roman"/>
          <w:sz w:val="24"/>
          <w:szCs w:val="24"/>
        </w:rPr>
        <w:t xml:space="preserve"> responsibilities</w:t>
      </w:r>
      <w:r w:rsidR="00687FFE">
        <w:rPr>
          <w:rFonts w:ascii="Times New Roman" w:eastAsia="Times New Roman" w:hAnsi="Times New Roman" w:cs="Times New Roman"/>
          <w:sz w:val="24"/>
          <w:szCs w:val="24"/>
        </w:rPr>
        <w:t xml:space="preserve"> arising</w:t>
      </w:r>
      <w:r w:rsidR="00110799">
        <w:rPr>
          <w:rFonts w:ascii="Times New Roman" w:eastAsia="Times New Roman" w:hAnsi="Times New Roman" w:cs="Times New Roman"/>
          <w:sz w:val="24"/>
          <w:szCs w:val="24"/>
        </w:rPr>
        <w:t xml:space="preserve"> from the new proposed legislation, there will be </w:t>
      </w:r>
      <w:r w:rsidRPr="00675023">
        <w:rPr>
          <w:rFonts w:ascii="Times New Roman" w:eastAsia="Times New Roman" w:hAnsi="Times New Roman" w:cs="Times New Roman"/>
          <w:sz w:val="24"/>
          <w:szCs w:val="24"/>
        </w:rPr>
        <w:t xml:space="preserve">capacity constraints and consideration </w:t>
      </w:r>
      <w:r w:rsidR="00110799">
        <w:rPr>
          <w:rFonts w:ascii="Times New Roman" w:eastAsia="Times New Roman" w:hAnsi="Times New Roman" w:cs="Times New Roman"/>
          <w:sz w:val="24"/>
          <w:szCs w:val="24"/>
        </w:rPr>
        <w:t>will need to</w:t>
      </w:r>
      <w:r w:rsidR="00110799" w:rsidRPr="00675023">
        <w:rPr>
          <w:rFonts w:ascii="Times New Roman" w:eastAsia="Times New Roman" w:hAnsi="Times New Roman" w:cs="Times New Roman"/>
          <w:sz w:val="24"/>
          <w:szCs w:val="24"/>
        </w:rPr>
        <w:t xml:space="preserve"> </w:t>
      </w:r>
      <w:r w:rsidRPr="00675023">
        <w:rPr>
          <w:rFonts w:ascii="Times New Roman" w:eastAsia="Times New Roman" w:hAnsi="Times New Roman" w:cs="Times New Roman"/>
          <w:sz w:val="24"/>
          <w:szCs w:val="24"/>
        </w:rPr>
        <w:t xml:space="preserve">be given to increasing the capacity of the organisation.  </w:t>
      </w:r>
      <w:r w:rsidR="00110799">
        <w:rPr>
          <w:rFonts w:ascii="Times New Roman" w:eastAsia="Times New Roman" w:hAnsi="Times New Roman" w:cs="Times New Roman"/>
          <w:sz w:val="24"/>
          <w:szCs w:val="24"/>
        </w:rPr>
        <w:t>Based on the new policy,</w:t>
      </w:r>
      <w:r w:rsidR="00110799" w:rsidRPr="00675023">
        <w:rPr>
          <w:rFonts w:ascii="Times New Roman" w:eastAsia="Times New Roman" w:hAnsi="Times New Roman" w:cs="Times New Roman"/>
          <w:sz w:val="24"/>
          <w:szCs w:val="24"/>
        </w:rPr>
        <w:t xml:space="preserve"> the</w:t>
      </w:r>
      <w:r w:rsidR="00110799">
        <w:rPr>
          <w:rFonts w:ascii="Times New Roman" w:eastAsia="Times New Roman" w:hAnsi="Times New Roman" w:cs="Times New Roman"/>
          <w:sz w:val="24"/>
          <w:szCs w:val="24"/>
        </w:rPr>
        <w:t>re is work underway</w:t>
      </w:r>
      <w:r w:rsidR="00110799" w:rsidRPr="00675023">
        <w:rPr>
          <w:rFonts w:ascii="Times New Roman" w:eastAsia="Times New Roman" w:hAnsi="Times New Roman" w:cs="Times New Roman"/>
          <w:sz w:val="24"/>
          <w:szCs w:val="24"/>
        </w:rPr>
        <w:t xml:space="preserve"> with the DTI</w:t>
      </w:r>
      <w:r w:rsidR="00110799">
        <w:rPr>
          <w:rFonts w:ascii="Times New Roman" w:eastAsia="Times New Roman" w:hAnsi="Times New Roman" w:cs="Times New Roman"/>
          <w:sz w:val="24"/>
          <w:szCs w:val="24"/>
        </w:rPr>
        <w:t>, to plan</w:t>
      </w:r>
      <w:r w:rsidRPr="00675023">
        <w:rPr>
          <w:rFonts w:ascii="Times New Roman" w:eastAsia="Times New Roman" w:hAnsi="Times New Roman" w:cs="Times New Roman"/>
          <w:sz w:val="24"/>
          <w:szCs w:val="24"/>
        </w:rPr>
        <w:t xml:space="preserve"> the establishment of the new National Gambling Regulator. This would require a revision of </w:t>
      </w:r>
      <w:r w:rsidR="00110799">
        <w:rPr>
          <w:rFonts w:ascii="Times New Roman" w:eastAsia="Times New Roman" w:hAnsi="Times New Roman" w:cs="Times New Roman"/>
          <w:sz w:val="24"/>
          <w:szCs w:val="24"/>
        </w:rPr>
        <w:t xml:space="preserve">the </w:t>
      </w:r>
      <w:r w:rsidRPr="00675023">
        <w:rPr>
          <w:rFonts w:ascii="Times New Roman" w:eastAsia="Times New Roman" w:hAnsi="Times New Roman" w:cs="Times New Roman"/>
          <w:sz w:val="24"/>
          <w:szCs w:val="24"/>
        </w:rPr>
        <w:t xml:space="preserve">strategy and </w:t>
      </w:r>
      <w:r w:rsidR="00110799">
        <w:rPr>
          <w:rFonts w:ascii="Times New Roman" w:eastAsia="Times New Roman" w:hAnsi="Times New Roman" w:cs="Times New Roman"/>
          <w:sz w:val="24"/>
          <w:szCs w:val="24"/>
        </w:rPr>
        <w:t>development of a new</w:t>
      </w:r>
      <w:r w:rsidRPr="00675023">
        <w:rPr>
          <w:rFonts w:ascii="Times New Roman" w:eastAsia="Times New Roman" w:hAnsi="Times New Roman" w:cs="Times New Roman"/>
          <w:sz w:val="24"/>
          <w:szCs w:val="24"/>
        </w:rPr>
        <w:t xml:space="preserve"> organisational design </w:t>
      </w:r>
      <w:r w:rsidR="00110799">
        <w:rPr>
          <w:rFonts w:ascii="Times New Roman" w:eastAsia="Times New Roman" w:hAnsi="Times New Roman" w:cs="Times New Roman"/>
          <w:sz w:val="24"/>
          <w:szCs w:val="24"/>
        </w:rPr>
        <w:t xml:space="preserve">to </w:t>
      </w:r>
      <w:r w:rsidRPr="00675023">
        <w:rPr>
          <w:rFonts w:ascii="Times New Roman" w:eastAsia="Times New Roman" w:hAnsi="Times New Roman" w:cs="Times New Roman"/>
          <w:sz w:val="24"/>
          <w:szCs w:val="24"/>
        </w:rPr>
        <w:t xml:space="preserve">determine the </w:t>
      </w:r>
      <w:r w:rsidR="00110799">
        <w:rPr>
          <w:rFonts w:ascii="Times New Roman" w:eastAsia="Times New Roman" w:hAnsi="Times New Roman" w:cs="Times New Roman"/>
          <w:sz w:val="24"/>
          <w:szCs w:val="24"/>
        </w:rPr>
        <w:t xml:space="preserve">requisite </w:t>
      </w:r>
      <w:r w:rsidRPr="00675023">
        <w:rPr>
          <w:rFonts w:ascii="Times New Roman" w:eastAsia="Times New Roman" w:hAnsi="Times New Roman" w:cs="Times New Roman"/>
          <w:sz w:val="24"/>
          <w:szCs w:val="24"/>
        </w:rPr>
        <w:t>staff compl</w:t>
      </w:r>
      <w:r w:rsidR="00110799">
        <w:rPr>
          <w:rFonts w:ascii="Times New Roman" w:eastAsia="Times New Roman" w:hAnsi="Times New Roman" w:cs="Times New Roman"/>
          <w:sz w:val="24"/>
          <w:szCs w:val="24"/>
        </w:rPr>
        <w:t>e</w:t>
      </w:r>
      <w:r w:rsidRPr="00675023">
        <w:rPr>
          <w:rFonts w:ascii="Times New Roman" w:eastAsia="Times New Roman" w:hAnsi="Times New Roman" w:cs="Times New Roman"/>
          <w:sz w:val="24"/>
          <w:szCs w:val="24"/>
        </w:rPr>
        <w:t xml:space="preserve">ment. </w:t>
      </w:r>
    </w:p>
    <w:p w:rsidR="002B6201" w:rsidRPr="00675023" w:rsidRDefault="002B6201" w:rsidP="00592363">
      <w:pPr>
        <w:pStyle w:val="ListParagraph"/>
        <w:numPr>
          <w:ilvl w:val="0"/>
          <w:numId w:val="24"/>
        </w:numPr>
        <w:spacing w:after="0" w:line="360" w:lineRule="auto"/>
        <w:ind w:left="450" w:hanging="450"/>
        <w:jc w:val="both"/>
        <w:rPr>
          <w:rFonts w:ascii="Times New Roman" w:eastAsia="Times New Roman" w:hAnsi="Times New Roman" w:cs="Times New Roman"/>
          <w:sz w:val="24"/>
          <w:szCs w:val="24"/>
        </w:rPr>
      </w:pPr>
      <w:r w:rsidRPr="00675023">
        <w:rPr>
          <w:rFonts w:ascii="Times New Roman" w:eastAsia="Times New Roman" w:hAnsi="Times New Roman" w:cs="Times New Roman"/>
          <w:i/>
          <w:sz w:val="24"/>
          <w:szCs w:val="24"/>
        </w:rPr>
        <w:t>Staff compl</w:t>
      </w:r>
      <w:r w:rsidR="00F43775">
        <w:rPr>
          <w:rFonts w:ascii="Times New Roman" w:eastAsia="Times New Roman" w:hAnsi="Times New Roman" w:cs="Times New Roman"/>
          <w:i/>
          <w:sz w:val="24"/>
          <w:szCs w:val="24"/>
        </w:rPr>
        <w:t>e</w:t>
      </w:r>
      <w:r w:rsidRPr="00675023">
        <w:rPr>
          <w:rFonts w:ascii="Times New Roman" w:eastAsia="Times New Roman" w:hAnsi="Times New Roman" w:cs="Times New Roman"/>
          <w:i/>
          <w:sz w:val="24"/>
          <w:szCs w:val="24"/>
        </w:rPr>
        <w:t>ment within the enforcement division of the NGB:</w:t>
      </w:r>
      <w:r w:rsidRPr="00675023">
        <w:rPr>
          <w:rFonts w:ascii="Times New Roman" w:eastAsia="Times New Roman" w:hAnsi="Times New Roman" w:cs="Times New Roman"/>
          <w:sz w:val="24"/>
          <w:szCs w:val="24"/>
        </w:rPr>
        <w:t xml:space="preserve"> The NGB informed the committee that the division has a staff compl</w:t>
      </w:r>
      <w:r w:rsidR="00110799">
        <w:rPr>
          <w:rFonts w:ascii="Times New Roman" w:eastAsia="Times New Roman" w:hAnsi="Times New Roman" w:cs="Times New Roman"/>
          <w:sz w:val="24"/>
          <w:szCs w:val="24"/>
        </w:rPr>
        <w:t>e</w:t>
      </w:r>
      <w:r w:rsidRPr="00675023">
        <w:rPr>
          <w:rFonts w:ascii="Times New Roman" w:eastAsia="Times New Roman" w:hAnsi="Times New Roman" w:cs="Times New Roman"/>
          <w:sz w:val="24"/>
          <w:szCs w:val="24"/>
        </w:rPr>
        <w:t>ment of 9. By 1 April</w:t>
      </w:r>
      <w:r w:rsidR="00F43775">
        <w:rPr>
          <w:rFonts w:ascii="Times New Roman" w:eastAsia="Times New Roman" w:hAnsi="Times New Roman" w:cs="Times New Roman"/>
          <w:sz w:val="24"/>
          <w:szCs w:val="24"/>
        </w:rPr>
        <w:t xml:space="preserve"> 2016,</w:t>
      </w:r>
      <w:r w:rsidRPr="00675023">
        <w:rPr>
          <w:rFonts w:ascii="Times New Roman" w:eastAsia="Times New Roman" w:hAnsi="Times New Roman" w:cs="Times New Roman"/>
          <w:sz w:val="24"/>
          <w:szCs w:val="24"/>
        </w:rPr>
        <w:t xml:space="preserve"> all positions would be filled with people having experience</w:t>
      </w:r>
      <w:r w:rsidR="00535323">
        <w:rPr>
          <w:rFonts w:ascii="Times New Roman" w:eastAsia="Times New Roman" w:hAnsi="Times New Roman" w:cs="Times New Roman"/>
          <w:sz w:val="24"/>
          <w:szCs w:val="24"/>
        </w:rPr>
        <w:t xml:space="preserve"> </w:t>
      </w:r>
      <w:r w:rsidRPr="00675023">
        <w:rPr>
          <w:rFonts w:ascii="Times New Roman" w:eastAsia="Times New Roman" w:hAnsi="Times New Roman" w:cs="Times New Roman"/>
          <w:sz w:val="24"/>
          <w:szCs w:val="24"/>
        </w:rPr>
        <w:t xml:space="preserve">within the gambling industry. </w:t>
      </w:r>
    </w:p>
    <w:p w:rsidR="002B6201" w:rsidRPr="00675023" w:rsidRDefault="002B6201" w:rsidP="00592363">
      <w:pPr>
        <w:pStyle w:val="ListParagraph"/>
        <w:numPr>
          <w:ilvl w:val="0"/>
          <w:numId w:val="24"/>
        </w:numPr>
        <w:spacing w:after="0" w:line="360" w:lineRule="auto"/>
        <w:ind w:left="450" w:hanging="450"/>
        <w:jc w:val="both"/>
        <w:rPr>
          <w:rFonts w:ascii="Times New Roman" w:eastAsia="Times New Roman" w:hAnsi="Times New Roman" w:cs="Times New Roman"/>
          <w:sz w:val="24"/>
          <w:szCs w:val="24"/>
        </w:rPr>
      </w:pPr>
      <w:r w:rsidRPr="00675023">
        <w:rPr>
          <w:rFonts w:ascii="Times New Roman" w:eastAsia="Times New Roman" w:hAnsi="Times New Roman" w:cs="Times New Roman"/>
          <w:i/>
          <w:sz w:val="24"/>
          <w:szCs w:val="24"/>
        </w:rPr>
        <w:t>Status of the NCEMS:</w:t>
      </w:r>
      <w:r w:rsidRPr="00675023">
        <w:rPr>
          <w:rFonts w:ascii="Times New Roman" w:eastAsia="Times New Roman" w:hAnsi="Times New Roman" w:cs="Times New Roman"/>
          <w:sz w:val="24"/>
          <w:szCs w:val="24"/>
        </w:rPr>
        <w:t xml:space="preserve"> The NGB informed the committee that the process</w:t>
      </w:r>
      <w:r w:rsidR="00535323">
        <w:rPr>
          <w:rFonts w:ascii="Times New Roman" w:eastAsia="Times New Roman" w:hAnsi="Times New Roman" w:cs="Times New Roman"/>
          <w:sz w:val="24"/>
          <w:szCs w:val="24"/>
        </w:rPr>
        <w:t xml:space="preserve"> to appoint a new NCEMS operator</w:t>
      </w:r>
      <w:r w:rsidRPr="00675023">
        <w:rPr>
          <w:rFonts w:ascii="Times New Roman" w:eastAsia="Times New Roman" w:hAnsi="Times New Roman" w:cs="Times New Roman"/>
          <w:sz w:val="24"/>
          <w:szCs w:val="24"/>
        </w:rPr>
        <w:t xml:space="preserve"> is almost completed and advertisement for the NCEM</w:t>
      </w:r>
      <w:r w:rsidR="00F43775">
        <w:rPr>
          <w:rFonts w:ascii="Times New Roman" w:eastAsia="Times New Roman" w:hAnsi="Times New Roman" w:cs="Times New Roman"/>
          <w:sz w:val="24"/>
          <w:szCs w:val="24"/>
        </w:rPr>
        <w:t>S</w:t>
      </w:r>
      <w:r w:rsidRPr="00675023">
        <w:rPr>
          <w:rFonts w:ascii="Times New Roman" w:eastAsia="Times New Roman" w:hAnsi="Times New Roman" w:cs="Times New Roman"/>
          <w:sz w:val="24"/>
          <w:szCs w:val="24"/>
        </w:rPr>
        <w:t xml:space="preserve"> would be placed soon.  </w:t>
      </w:r>
    </w:p>
    <w:p w:rsidR="00124675" w:rsidRPr="00C87219" w:rsidRDefault="00124675" w:rsidP="00C87219">
      <w:pPr>
        <w:spacing w:after="0" w:line="360" w:lineRule="auto"/>
        <w:jc w:val="both"/>
        <w:rPr>
          <w:rFonts w:ascii="Times New Roman" w:hAnsi="Times New Roman" w:cs="Times New Roman"/>
          <w:sz w:val="24"/>
          <w:szCs w:val="24"/>
        </w:rPr>
      </w:pPr>
    </w:p>
    <w:p w:rsidR="00DA4858" w:rsidRPr="00675023" w:rsidRDefault="00DA4858" w:rsidP="0003599C">
      <w:pPr>
        <w:pStyle w:val="ListParagraph"/>
        <w:numPr>
          <w:ilvl w:val="0"/>
          <w:numId w:val="2"/>
        </w:numPr>
        <w:spacing w:after="0" w:line="360" w:lineRule="auto"/>
        <w:ind w:left="284" w:hanging="284"/>
        <w:jc w:val="both"/>
        <w:rPr>
          <w:rFonts w:ascii="Times New Roman" w:hAnsi="Times New Roman" w:cs="Times New Roman"/>
          <w:b/>
          <w:sz w:val="24"/>
          <w:szCs w:val="24"/>
        </w:rPr>
      </w:pPr>
      <w:r w:rsidRPr="00675023">
        <w:rPr>
          <w:rFonts w:ascii="Times New Roman" w:hAnsi="Times New Roman" w:cs="Times New Roman"/>
          <w:b/>
          <w:sz w:val="24"/>
          <w:szCs w:val="24"/>
        </w:rPr>
        <w:t>Conclusions</w:t>
      </w:r>
    </w:p>
    <w:p w:rsidR="004770F9" w:rsidRPr="00675023" w:rsidRDefault="004770F9" w:rsidP="00592363">
      <w:pPr>
        <w:spacing w:after="0" w:line="360" w:lineRule="auto"/>
        <w:jc w:val="both"/>
        <w:rPr>
          <w:rFonts w:ascii="Times New Roman" w:hAnsi="Times New Roman" w:cs="Times New Roman"/>
          <w:sz w:val="24"/>
          <w:szCs w:val="24"/>
        </w:rPr>
      </w:pPr>
    </w:p>
    <w:p w:rsidR="002D4FEA" w:rsidRPr="00675023" w:rsidRDefault="004770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Having considered the information shared and reports from the DTI and its entities with respect to their strategic and annual performance plans, the committee has reached the following conclusions</w:t>
      </w:r>
      <w:r w:rsidR="00C22195" w:rsidRPr="00675023">
        <w:rPr>
          <w:rFonts w:ascii="Times New Roman" w:hAnsi="Times New Roman" w:cs="Times New Roman"/>
          <w:sz w:val="24"/>
          <w:szCs w:val="24"/>
        </w:rPr>
        <w:t>:</w:t>
      </w:r>
    </w:p>
    <w:p w:rsidR="004770F9" w:rsidRDefault="004770F9" w:rsidP="00592363">
      <w:pPr>
        <w:spacing w:after="0" w:line="360" w:lineRule="auto"/>
        <w:jc w:val="both"/>
        <w:rPr>
          <w:rFonts w:ascii="Times New Roman" w:eastAsia="Times New Roman" w:hAnsi="Times New Roman" w:cs="Times New Roman"/>
          <w:caps/>
          <w:sz w:val="24"/>
          <w:szCs w:val="24"/>
        </w:rPr>
      </w:pPr>
    </w:p>
    <w:p w:rsidR="00681F6A" w:rsidRDefault="00681F6A" w:rsidP="00186842">
      <w:pPr>
        <w:pStyle w:val="ListParagraph"/>
        <w:numPr>
          <w:ilvl w:val="0"/>
          <w:numId w:val="38"/>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The committee has observed the decline in the real budget of the DTI over the outer two years of the Medium-term Expenditure Framework</w:t>
      </w:r>
      <w:r w:rsidR="005A4D1B">
        <w:rPr>
          <w:rFonts w:ascii="Times New Roman" w:hAnsi="Times New Roman" w:cs="Times New Roman"/>
          <w:sz w:val="24"/>
          <w:szCs w:val="24"/>
        </w:rPr>
        <w:t>. This decline may have a negative impact on the achievement of the national goals of creating employment and eradicating poverty.</w:t>
      </w:r>
    </w:p>
    <w:p w:rsidR="00EA178E"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The uncertainty around the impact of the current economic environment is of concern to the committee. This uncertainty has compounded the need to implement cost</w:t>
      </w:r>
      <w:r w:rsidR="00535323">
        <w:rPr>
          <w:rFonts w:ascii="Times New Roman" w:hAnsi="Times New Roman" w:cs="Times New Roman"/>
          <w:sz w:val="24"/>
          <w:szCs w:val="24"/>
        </w:rPr>
        <w:t>-</w:t>
      </w:r>
      <w:r w:rsidRPr="001E06D0">
        <w:rPr>
          <w:rFonts w:ascii="Times New Roman" w:hAnsi="Times New Roman" w:cs="Times New Roman"/>
          <w:sz w:val="24"/>
          <w:szCs w:val="24"/>
        </w:rPr>
        <w:t>containment measures across government. As a result</w:t>
      </w:r>
      <w:r w:rsidR="00535323">
        <w:rPr>
          <w:rFonts w:ascii="Times New Roman" w:hAnsi="Times New Roman" w:cs="Times New Roman"/>
          <w:sz w:val="24"/>
          <w:szCs w:val="24"/>
        </w:rPr>
        <w:t>, the</w:t>
      </w:r>
      <w:r w:rsidRPr="001E06D0">
        <w:rPr>
          <w:rFonts w:ascii="Times New Roman" w:hAnsi="Times New Roman" w:cs="Times New Roman"/>
          <w:sz w:val="24"/>
          <w:szCs w:val="24"/>
        </w:rPr>
        <w:t xml:space="preserve"> DTI</w:t>
      </w:r>
      <w:r w:rsidR="00535323">
        <w:rPr>
          <w:rFonts w:ascii="Times New Roman" w:hAnsi="Times New Roman" w:cs="Times New Roman"/>
          <w:sz w:val="24"/>
          <w:szCs w:val="24"/>
        </w:rPr>
        <w:t>’s</w:t>
      </w:r>
      <w:r w:rsidRPr="001E06D0">
        <w:rPr>
          <w:rFonts w:ascii="Times New Roman" w:hAnsi="Times New Roman" w:cs="Times New Roman"/>
          <w:sz w:val="24"/>
          <w:szCs w:val="24"/>
        </w:rPr>
        <w:t xml:space="preserve"> incentives measures need to be revisited to accommodate the cost</w:t>
      </w:r>
      <w:r w:rsidR="00535323">
        <w:rPr>
          <w:rFonts w:ascii="Times New Roman" w:hAnsi="Times New Roman" w:cs="Times New Roman"/>
          <w:sz w:val="24"/>
          <w:szCs w:val="24"/>
        </w:rPr>
        <w:t>-</w:t>
      </w:r>
      <w:r w:rsidRPr="001E06D0">
        <w:rPr>
          <w:rFonts w:ascii="Times New Roman" w:hAnsi="Times New Roman" w:cs="Times New Roman"/>
          <w:sz w:val="24"/>
          <w:szCs w:val="24"/>
        </w:rPr>
        <w:t xml:space="preserve">containment measures that </w:t>
      </w:r>
      <w:r w:rsidR="00535323">
        <w:rPr>
          <w:rFonts w:ascii="Times New Roman" w:hAnsi="Times New Roman" w:cs="Times New Roman"/>
          <w:sz w:val="24"/>
          <w:szCs w:val="24"/>
        </w:rPr>
        <w:t xml:space="preserve">the </w:t>
      </w:r>
      <w:r w:rsidRPr="001E06D0">
        <w:rPr>
          <w:rFonts w:ascii="Times New Roman" w:hAnsi="Times New Roman" w:cs="Times New Roman"/>
          <w:sz w:val="24"/>
          <w:szCs w:val="24"/>
        </w:rPr>
        <w:t xml:space="preserve">National Treasury introduced and to ensure that value for money is achieved. </w:t>
      </w:r>
    </w:p>
    <w:p w:rsidR="00186842" w:rsidRDefault="00814D72" w:rsidP="00186842">
      <w:pPr>
        <w:pStyle w:val="ListParagraph"/>
        <w:numPr>
          <w:ilvl w:val="0"/>
          <w:numId w:val="38"/>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There is a need for greater sector </w:t>
      </w:r>
      <w:r w:rsidR="00EA178E">
        <w:rPr>
          <w:rFonts w:ascii="Times New Roman" w:hAnsi="Times New Roman" w:cs="Times New Roman"/>
          <w:sz w:val="24"/>
          <w:szCs w:val="24"/>
        </w:rPr>
        <w:t>specific focus</w:t>
      </w:r>
      <w:r>
        <w:rPr>
          <w:rFonts w:ascii="Times New Roman" w:hAnsi="Times New Roman" w:cs="Times New Roman"/>
          <w:sz w:val="24"/>
          <w:szCs w:val="24"/>
        </w:rPr>
        <w:t>, particularly in labour-intensive sectors such as agro-processing among others,</w:t>
      </w:r>
      <w:r w:rsidR="00EA178E">
        <w:rPr>
          <w:rFonts w:ascii="Times New Roman" w:hAnsi="Times New Roman" w:cs="Times New Roman"/>
          <w:sz w:val="24"/>
          <w:szCs w:val="24"/>
        </w:rPr>
        <w:t xml:space="preserve"> and to upscale </w:t>
      </w:r>
      <w:r>
        <w:rPr>
          <w:rFonts w:ascii="Times New Roman" w:hAnsi="Times New Roman" w:cs="Times New Roman"/>
          <w:sz w:val="24"/>
          <w:szCs w:val="24"/>
        </w:rPr>
        <w:t xml:space="preserve">support for </w:t>
      </w:r>
      <w:r w:rsidR="00EA178E">
        <w:rPr>
          <w:rFonts w:ascii="Times New Roman" w:hAnsi="Times New Roman" w:cs="Times New Roman"/>
          <w:sz w:val="24"/>
          <w:szCs w:val="24"/>
        </w:rPr>
        <w:t>incentive programmes</w:t>
      </w:r>
      <w:r w:rsidR="00186842" w:rsidRPr="001E06D0">
        <w:rPr>
          <w:rFonts w:ascii="Times New Roman" w:hAnsi="Times New Roman" w:cs="Times New Roman"/>
          <w:sz w:val="24"/>
          <w:szCs w:val="24"/>
        </w:rPr>
        <w:t xml:space="preserve"> </w:t>
      </w:r>
      <w:r>
        <w:rPr>
          <w:rFonts w:ascii="Times New Roman" w:hAnsi="Times New Roman" w:cs="Times New Roman"/>
          <w:sz w:val="24"/>
          <w:szCs w:val="24"/>
        </w:rPr>
        <w:t>to ensure more investment in higher value adding manufacturing and job creation.</w:t>
      </w:r>
    </w:p>
    <w:p w:rsidR="00EB5239" w:rsidRPr="00501558" w:rsidRDefault="00814D72" w:rsidP="00EB5239">
      <w:pPr>
        <w:pStyle w:val="ListParagraph"/>
        <w:numPr>
          <w:ilvl w:val="0"/>
          <w:numId w:val="38"/>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The coordination of government departments and public entities is critical for the impact required to achieve the necessary economic growth and development.</w:t>
      </w:r>
      <w:r w:rsidR="00EB7058">
        <w:rPr>
          <w:rFonts w:ascii="Times New Roman" w:hAnsi="Times New Roman" w:cs="Times New Roman"/>
          <w:sz w:val="24"/>
          <w:szCs w:val="24"/>
        </w:rPr>
        <w:t xml:space="preserve"> There should be consideration to establish an Inter-ministerial committee on industrialisation to assist in this regard.</w:t>
      </w:r>
    </w:p>
    <w:p w:rsidR="00EB7058" w:rsidRPr="001E06D0" w:rsidRDefault="00EB7058" w:rsidP="00186842">
      <w:pPr>
        <w:pStyle w:val="ListParagraph"/>
        <w:numPr>
          <w:ilvl w:val="0"/>
          <w:numId w:val="38"/>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Although the committee notes the establishment and recommendations from the Inter-departmental Task Team on Steel Pricing and the global challenges facing the steel market, steel </w:t>
      </w:r>
      <w:r w:rsidR="00681F6A">
        <w:rPr>
          <w:rFonts w:ascii="Times New Roman" w:hAnsi="Times New Roman" w:cs="Times New Roman"/>
          <w:sz w:val="24"/>
          <w:szCs w:val="24"/>
        </w:rPr>
        <w:t>is</w:t>
      </w:r>
      <w:r>
        <w:rPr>
          <w:rFonts w:ascii="Times New Roman" w:hAnsi="Times New Roman" w:cs="Times New Roman"/>
          <w:sz w:val="24"/>
          <w:szCs w:val="24"/>
        </w:rPr>
        <w:t xml:space="preserve"> an important commodity for industrialisation and the domestic pricing </w:t>
      </w:r>
      <w:r w:rsidR="00681F6A">
        <w:rPr>
          <w:rFonts w:ascii="Times New Roman" w:hAnsi="Times New Roman" w:cs="Times New Roman"/>
          <w:sz w:val="24"/>
          <w:szCs w:val="24"/>
        </w:rPr>
        <w:t xml:space="preserve">model </w:t>
      </w:r>
      <w:r>
        <w:rPr>
          <w:rFonts w:ascii="Times New Roman" w:hAnsi="Times New Roman" w:cs="Times New Roman"/>
          <w:sz w:val="24"/>
          <w:szCs w:val="24"/>
        </w:rPr>
        <w:t>thereof remains a challenge for the local market</w:t>
      </w:r>
      <w:r w:rsidR="00681F6A">
        <w:rPr>
          <w:rFonts w:ascii="Times New Roman" w:hAnsi="Times New Roman" w:cs="Times New Roman"/>
          <w:sz w:val="24"/>
          <w:szCs w:val="24"/>
        </w:rPr>
        <w:t>.</w:t>
      </w:r>
      <w:r>
        <w:rPr>
          <w:rFonts w:ascii="Times New Roman" w:hAnsi="Times New Roman" w:cs="Times New Roman"/>
          <w:sz w:val="24"/>
          <w:szCs w:val="24"/>
        </w:rPr>
        <w:t xml:space="preserve"> </w:t>
      </w:r>
      <w:r w:rsidR="00681F6A">
        <w:rPr>
          <w:rFonts w:ascii="Times New Roman" w:hAnsi="Times New Roman" w:cs="Times New Roman"/>
          <w:sz w:val="24"/>
          <w:szCs w:val="24"/>
        </w:rPr>
        <w:t xml:space="preserve">This is </w:t>
      </w:r>
      <w:r>
        <w:rPr>
          <w:rFonts w:ascii="Times New Roman" w:hAnsi="Times New Roman" w:cs="Times New Roman"/>
          <w:sz w:val="24"/>
          <w:szCs w:val="24"/>
        </w:rPr>
        <w:t>in spite of an agreement related to the implementation of higher tariffs on imported steel, there have been increases in the domestic price.</w:t>
      </w:r>
      <w:r w:rsidR="00681F6A">
        <w:rPr>
          <w:rFonts w:ascii="Times New Roman" w:hAnsi="Times New Roman" w:cs="Times New Roman"/>
          <w:sz w:val="24"/>
          <w:szCs w:val="24"/>
        </w:rPr>
        <w:t xml:space="preserve"> </w:t>
      </w:r>
    </w:p>
    <w:p w:rsidR="00186842" w:rsidRPr="001E06D0"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The committee is encouraged by the continued investments within the agro-processing</w:t>
      </w:r>
      <w:r w:rsidR="00585245">
        <w:rPr>
          <w:rFonts w:ascii="Times New Roman" w:hAnsi="Times New Roman" w:cs="Times New Roman"/>
          <w:sz w:val="24"/>
          <w:szCs w:val="24"/>
        </w:rPr>
        <w:t>;</w:t>
      </w:r>
      <w:r w:rsidRPr="001E06D0">
        <w:rPr>
          <w:rFonts w:ascii="Times New Roman" w:hAnsi="Times New Roman" w:cs="Times New Roman"/>
          <w:sz w:val="24"/>
          <w:szCs w:val="24"/>
        </w:rPr>
        <w:t xml:space="preserve"> auto</w:t>
      </w:r>
      <w:r w:rsidR="00585245">
        <w:rPr>
          <w:rFonts w:ascii="Times New Roman" w:hAnsi="Times New Roman" w:cs="Times New Roman"/>
          <w:sz w:val="24"/>
          <w:szCs w:val="24"/>
        </w:rPr>
        <w:t>motive; clothing, textiles, leather and footwear;</w:t>
      </w:r>
      <w:r w:rsidRPr="001E06D0">
        <w:rPr>
          <w:rFonts w:ascii="Times New Roman" w:hAnsi="Times New Roman" w:cs="Times New Roman"/>
          <w:sz w:val="24"/>
          <w:szCs w:val="24"/>
        </w:rPr>
        <w:t xml:space="preserve"> and manufacturing sectors.</w:t>
      </w:r>
    </w:p>
    <w:p w:rsidR="00186842" w:rsidRPr="001E06D0"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 xml:space="preserve">The one-stop shop initiatives by the DTI to facilitate and support investment requires greater inter-departmental co-ordination to achieve its desired outcome. This is critical to reduce the cost of doing business and therefore </w:t>
      </w:r>
      <w:r w:rsidR="00535323">
        <w:rPr>
          <w:rFonts w:ascii="Times New Roman" w:hAnsi="Times New Roman" w:cs="Times New Roman"/>
          <w:sz w:val="24"/>
          <w:szCs w:val="24"/>
        </w:rPr>
        <w:t xml:space="preserve">is expected to </w:t>
      </w:r>
      <w:r w:rsidRPr="001E06D0">
        <w:rPr>
          <w:rFonts w:ascii="Times New Roman" w:hAnsi="Times New Roman" w:cs="Times New Roman"/>
          <w:sz w:val="24"/>
          <w:szCs w:val="24"/>
        </w:rPr>
        <w:t>attract more investment opportunities for South Africa.</w:t>
      </w:r>
    </w:p>
    <w:p w:rsidR="00186842" w:rsidRDefault="00535323" w:rsidP="00186842">
      <w:pPr>
        <w:pStyle w:val="ListParagraph"/>
        <w:numPr>
          <w:ilvl w:val="0"/>
          <w:numId w:val="38"/>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 xml:space="preserve">Although </w:t>
      </w:r>
      <w:r w:rsidRPr="001E06D0">
        <w:rPr>
          <w:rFonts w:ascii="Times New Roman" w:hAnsi="Times New Roman" w:cs="Times New Roman"/>
          <w:sz w:val="24"/>
          <w:szCs w:val="24"/>
        </w:rPr>
        <w:t>the committee welcomes the initiatives already</w:t>
      </w:r>
      <w:r>
        <w:rPr>
          <w:rFonts w:ascii="Times New Roman" w:hAnsi="Times New Roman" w:cs="Times New Roman"/>
          <w:sz w:val="24"/>
          <w:szCs w:val="24"/>
        </w:rPr>
        <w:t xml:space="preserve"> implemented</w:t>
      </w:r>
      <w:r w:rsidRPr="001E06D0">
        <w:rPr>
          <w:rFonts w:ascii="Times New Roman" w:hAnsi="Times New Roman" w:cs="Times New Roman"/>
          <w:sz w:val="24"/>
          <w:szCs w:val="24"/>
        </w:rPr>
        <w:t xml:space="preserve"> by </w:t>
      </w:r>
      <w:r>
        <w:rPr>
          <w:rFonts w:ascii="Times New Roman" w:hAnsi="Times New Roman" w:cs="Times New Roman"/>
          <w:sz w:val="24"/>
          <w:szCs w:val="24"/>
        </w:rPr>
        <w:t xml:space="preserve">the </w:t>
      </w:r>
      <w:r w:rsidRPr="001E06D0">
        <w:rPr>
          <w:rFonts w:ascii="Times New Roman" w:hAnsi="Times New Roman" w:cs="Times New Roman"/>
          <w:sz w:val="24"/>
          <w:szCs w:val="24"/>
        </w:rPr>
        <w:t xml:space="preserve">DTI and its entities </w:t>
      </w:r>
      <w:r>
        <w:rPr>
          <w:rFonts w:ascii="Times New Roman" w:hAnsi="Times New Roman" w:cs="Times New Roman"/>
          <w:sz w:val="24"/>
          <w:szCs w:val="24"/>
        </w:rPr>
        <w:t xml:space="preserve">to </w:t>
      </w:r>
      <w:r w:rsidRPr="001E06D0">
        <w:rPr>
          <w:rFonts w:ascii="Times New Roman" w:hAnsi="Times New Roman" w:cs="Times New Roman"/>
          <w:sz w:val="24"/>
          <w:szCs w:val="24"/>
        </w:rPr>
        <w:t>improv</w:t>
      </w:r>
      <w:r>
        <w:rPr>
          <w:rFonts w:ascii="Times New Roman" w:hAnsi="Times New Roman" w:cs="Times New Roman"/>
          <w:sz w:val="24"/>
          <w:szCs w:val="24"/>
        </w:rPr>
        <w:t>e</w:t>
      </w:r>
      <w:r w:rsidRPr="001E06D0">
        <w:rPr>
          <w:rFonts w:ascii="Times New Roman" w:hAnsi="Times New Roman" w:cs="Times New Roman"/>
          <w:sz w:val="24"/>
          <w:szCs w:val="24"/>
        </w:rPr>
        <w:t xml:space="preserve"> corporate governance</w:t>
      </w:r>
      <w:r>
        <w:rPr>
          <w:rFonts w:ascii="Times New Roman" w:hAnsi="Times New Roman" w:cs="Times New Roman"/>
          <w:sz w:val="24"/>
          <w:szCs w:val="24"/>
        </w:rPr>
        <w:t>,</w:t>
      </w:r>
      <w:r w:rsidRPr="001E06D0">
        <w:rPr>
          <w:rFonts w:ascii="Times New Roman" w:hAnsi="Times New Roman" w:cs="Times New Roman"/>
          <w:sz w:val="24"/>
          <w:szCs w:val="24"/>
        </w:rPr>
        <w:t xml:space="preserve"> some challenges still remain.</w:t>
      </w:r>
      <w:r>
        <w:rPr>
          <w:rFonts w:ascii="Times New Roman" w:hAnsi="Times New Roman" w:cs="Times New Roman"/>
          <w:sz w:val="24"/>
          <w:szCs w:val="24"/>
        </w:rPr>
        <w:t xml:space="preserve"> In particular, </w:t>
      </w:r>
      <w:r w:rsidRPr="001E06D0">
        <w:rPr>
          <w:rFonts w:ascii="Times New Roman" w:hAnsi="Times New Roman" w:cs="Times New Roman"/>
          <w:sz w:val="24"/>
          <w:szCs w:val="24"/>
        </w:rPr>
        <w:t xml:space="preserve">risks </w:t>
      </w:r>
      <w:r w:rsidR="00186842" w:rsidRPr="001E06D0">
        <w:rPr>
          <w:rFonts w:ascii="Times New Roman" w:hAnsi="Times New Roman" w:cs="Times New Roman"/>
          <w:sz w:val="24"/>
          <w:szCs w:val="24"/>
        </w:rPr>
        <w:t xml:space="preserve">associated with the entities not reaching </w:t>
      </w:r>
      <w:r>
        <w:rPr>
          <w:rFonts w:ascii="Times New Roman" w:hAnsi="Times New Roman" w:cs="Times New Roman"/>
          <w:sz w:val="24"/>
          <w:szCs w:val="24"/>
        </w:rPr>
        <w:t>their</w:t>
      </w:r>
      <w:r w:rsidRPr="001E06D0">
        <w:rPr>
          <w:rFonts w:ascii="Times New Roman" w:hAnsi="Times New Roman" w:cs="Times New Roman"/>
          <w:sz w:val="24"/>
          <w:szCs w:val="24"/>
        </w:rPr>
        <w:t xml:space="preserve"> </w:t>
      </w:r>
      <w:r w:rsidR="00186842" w:rsidRPr="001E06D0">
        <w:rPr>
          <w:rFonts w:ascii="Times New Roman" w:hAnsi="Times New Roman" w:cs="Times New Roman"/>
          <w:sz w:val="24"/>
          <w:szCs w:val="24"/>
        </w:rPr>
        <w:t xml:space="preserve">performance targets remains a concern for the committee. </w:t>
      </w:r>
      <w:r>
        <w:rPr>
          <w:rFonts w:ascii="Times New Roman" w:hAnsi="Times New Roman" w:cs="Times New Roman"/>
          <w:sz w:val="24"/>
          <w:szCs w:val="24"/>
        </w:rPr>
        <w:t xml:space="preserve">Furthermore, </w:t>
      </w:r>
      <w:r w:rsidRPr="001E06D0">
        <w:rPr>
          <w:rFonts w:ascii="Times New Roman" w:hAnsi="Times New Roman" w:cs="Times New Roman"/>
          <w:sz w:val="24"/>
          <w:szCs w:val="24"/>
        </w:rPr>
        <w:t xml:space="preserve">the </w:t>
      </w:r>
      <w:r w:rsidR="00186842" w:rsidRPr="001E06D0">
        <w:rPr>
          <w:rFonts w:ascii="Times New Roman" w:hAnsi="Times New Roman" w:cs="Times New Roman"/>
          <w:sz w:val="24"/>
          <w:szCs w:val="24"/>
        </w:rPr>
        <w:t>committee welcomes the proactive approach</w:t>
      </w:r>
      <w:r>
        <w:rPr>
          <w:rFonts w:ascii="Times New Roman" w:hAnsi="Times New Roman" w:cs="Times New Roman"/>
          <w:sz w:val="24"/>
          <w:szCs w:val="24"/>
        </w:rPr>
        <w:t xml:space="preserve"> taken</w:t>
      </w:r>
      <w:r w:rsidR="00186842" w:rsidRPr="001E06D0">
        <w:rPr>
          <w:rFonts w:ascii="Times New Roman" w:hAnsi="Times New Roman" w:cs="Times New Roman"/>
          <w:sz w:val="24"/>
          <w:szCs w:val="24"/>
        </w:rPr>
        <w:t xml:space="preserve"> by the DTI to ensure compliance</w:t>
      </w:r>
      <w:r>
        <w:rPr>
          <w:rFonts w:ascii="Times New Roman" w:hAnsi="Times New Roman" w:cs="Times New Roman"/>
          <w:sz w:val="24"/>
          <w:szCs w:val="24"/>
        </w:rPr>
        <w:t xml:space="preserve"> of its entities</w:t>
      </w:r>
      <w:r w:rsidR="00186842" w:rsidRPr="001E06D0">
        <w:rPr>
          <w:rFonts w:ascii="Times New Roman" w:hAnsi="Times New Roman" w:cs="Times New Roman"/>
          <w:sz w:val="24"/>
          <w:szCs w:val="24"/>
        </w:rPr>
        <w:t xml:space="preserve">. </w:t>
      </w:r>
    </w:p>
    <w:p w:rsidR="00183611" w:rsidRDefault="00183611">
      <w:pPr>
        <w:pStyle w:val="ListParagraph"/>
        <w:numPr>
          <w:ilvl w:val="0"/>
          <w:numId w:val="38"/>
        </w:numPr>
        <w:spacing w:line="360" w:lineRule="auto"/>
        <w:ind w:left="450" w:hanging="450"/>
        <w:jc w:val="both"/>
        <w:rPr>
          <w:rFonts w:ascii="Times New Roman" w:hAnsi="Times New Roman" w:cs="Times New Roman"/>
          <w:sz w:val="24"/>
          <w:szCs w:val="24"/>
        </w:rPr>
      </w:pPr>
      <w:r w:rsidRPr="00183611">
        <w:rPr>
          <w:rFonts w:ascii="Times New Roman" w:hAnsi="Times New Roman" w:cs="Times New Roman"/>
          <w:sz w:val="24"/>
          <w:szCs w:val="24"/>
        </w:rPr>
        <w:t>T</w:t>
      </w:r>
      <w:r w:rsidR="00EB5239" w:rsidRPr="00183611">
        <w:rPr>
          <w:rFonts w:ascii="Times New Roman" w:hAnsi="Times New Roman" w:cs="Times New Roman"/>
          <w:sz w:val="24"/>
          <w:szCs w:val="24"/>
        </w:rPr>
        <w:t xml:space="preserve">he committee </w:t>
      </w:r>
      <w:r w:rsidRPr="00183611">
        <w:rPr>
          <w:rFonts w:ascii="Times New Roman" w:hAnsi="Times New Roman" w:cs="Times New Roman"/>
          <w:sz w:val="24"/>
          <w:szCs w:val="24"/>
        </w:rPr>
        <w:t xml:space="preserve">welcomes the intervention in relation to Broad-Based Black Economic Empowerment, in particular the Black Industrialist Programme. The committee further notes the need for consolidation of funding for this programme to ensure effective implementation. </w:t>
      </w:r>
    </w:p>
    <w:p w:rsidR="00183611" w:rsidRPr="001E06D0" w:rsidRDefault="00687FFE" w:rsidP="00183611">
      <w:pPr>
        <w:pStyle w:val="ListParagraph"/>
        <w:numPr>
          <w:ilvl w:val="0"/>
          <w:numId w:val="38"/>
        </w:numPr>
        <w:spacing w:line="360" w:lineRule="auto"/>
        <w:ind w:left="450" w:hanging="450"/>
        <w:jc w:val="both"/>
        <w:rPr>
          <w:rFonts w:ascii="Times New Roman" w:hAnsi="Times New Roman" w:cs="Times New Roman"/>
          <w:sz w:val="24"/>
          <w:szCs w:val="24"/>
        </w:rPr>
      </w:pPr>
      <w:r>
        <w:rPr>
          <w:rFonts w:ascii="Times New Roman" w:hAnsi="Times New Roman" w:cs="Times New Roman"/>
          <w:sz w:val="24"/>
          <w:szCs w:val="24"/>
        </w:rPr>
        <w:t>The DTI should monitor</w:t>
      </w:r>
      <w:r w:rsidR="00183611">
        <w:rPr>
          <w:rFonts w:ascii="Times New Roman" w:hAnsi="Times New Roman" w:cs="Times New Roman"/>
          <w:sz w:val="24"/>
          <w:szCs w:val="24"/>
        </w:rPr>
        <w:t xml:space="preserve"> the implementation</w:t>
      </w:r>
      <w:r>
        <w:rPr>
          <w:rFonts w:ascii="Times New Roman" w:hAnsi="Times New Roman" w:cs="Times New Roman"/>
          <w:sz w:val="24"/>
          <w:szCs w:val="24"/>
        </w:rPr>
        <w:t xml:space="preserve"> of the Investment Act. </w:t>
      </w:r>
      <w:r w:rsidR="00183611">
        <w:rPr>
          <w:rFonts w:ascii="Times New Roman" w:hAnsi="Times New Roman" w:cs="Times New Roman"/>
          <w:sz w:val="24"/>
          <w:szCs w:val="24"/>
        </w:rPr>
        <w:t xml:space="preserve"> </w:t>
      </w:r>
    </w:p>
    <w:p w:rsidR="00186842" w:rsidRPr="00183611" w:rsidRDefault="00186842" w:rsidP="00183611">
      <w:pPr>
        <w:pStyle w:val="ListParagraph"/>
        <w:numPr>
          <w:ilvl w:val="0"/>
          <w:numId w:val="38"/>
        </w:numPr>
        <w:spacing w:line="360" w:lineRule="auto"/>
        <w:ind w:left="450" w:hanging="450"/>
        <w:jc w:val="both"/>
        <w:rPr>
          <w:rFonts w:ascii="Times New Roman" w:hAnsi="Times New Roman" w:cs="Times New Roman"/>
          <w:sz w:val="24"/>
          <w:szCs w:val="24"/>
        </w:rPr>
      </w:pPr>
      <w:r w:rsidRPr="00183611">
        <w:rPr>
          <w:rFonts w:ascii="Times New Roman" w:hAnsi="Times New Roman" w:cs="Times New Roman"/>
          <w:sz w:val="24"/>
          <w:szCs w:val="24"/>
        </w:rPr>
        <w:t>The current use of the A</w:t>
      </w:r>
      <w:r w:rsidR="00535323" w:rsidRPr="00183611">
        <w:rPr>
          <w:rFonts w:ascii="Times New Roman" w:hAnsi="Times New Roman" w:cs="Times New Roman"/>
          <w:sz w:val="24"/>
          <w:szCs w:val="24"/>
        </w:rPr>
        <w:t xml:space="preserve">lternative </w:t>
      </w:r>
      <w:r w:rsidRPr="00183611">
        <w:rPr>
          <w:rFonts w:ascii="Times New Roman" w:hAnsi="Times New Roman" w:cs="Times New Roman"/>
          <w:sz w:val="24"/>
          <w:szCs w:val="24"/>
        </w:rPr>
        <w:t>D</w:t>
      </w:r>
      <w:r w:rsidR="00535323" w:rsidRPr="00183611">
        <w:rPr>
          <w:rFonts w:ascii="Times New Roman" w:hAnsi="Times New Roman" w:cs="Times New Roman"/>
          <w:sz w:val="24"/>
          <w:szCs w:val="24"/>
        </w:rPr>
        <w:t xml:space="preserve">ispute </w:t>
      </w:r>
      <w:r w:rsidRPr="00183611">
        <w:rPr>
          <w:rFonts w:ascii="Times New Roman" w:hAnsi="Times New Roman" w:cs="Times New Roman"/>
          <w:sz w:val="24"/>
          <w:szCs w:val="24"/>
        </w:rPr>
        <w:t>R</w:t>
      </w:r>
      <w:r w:rsidR="00535323" w:rsidRPr="00183611">
        <w:rPr>
          <w:rFonts w:ascii="Times New Roman" w:hAnsi="Times New Roman" w:cs="Times New Roman"/>
          <w:sz w:val="24"/>
          <w:szCs w:val="24"/>
        </w:rPr>
        <w:t>esolution mechanisms</w:t>
      </w:r>
      <w:r w:rsidRPr="00183611">
        <w:rPr>
          <w:rFonts w:ascii="Times New Roman" w:hAnsi="Times New Roman" w:cs="Times New Roman"/>
          <w:sz w:val="24"/>
          <w:szCs w:val="24"/>
        </w:rPr>
        <w:t xml:space="preserve"> has been limited in terms of company disputes. The committee would like to encourage the C</w:t>
      </w:r>
      <w:r w:rsidR="00EA178E" w:rsidRPr="00183611">
        <w:rPr>
          <w:rFonts w:ascii="Times New Roman" w:hAnsi="Times New Roman" w:cs="Times New Roman"/>
          <w:sz w:val="24"/>
          <w:szCs w:val="24"/>
        </w:rPr>
        <w:t xml:space="preserve">ompanies </w:t>
      </w:r>
      <w:r w:rsidRPr="00183611">
        <w:rPr>
          <w:rFonts w:ascii="Times New Roman" w:hAnsi="Times New Roman" w:cs="Times New Roman"/>
          <w:sz w:val="24"/>
          <w:szCs w:val="24"/>
        </w:rPr>
        <w:t>T</w:t>
      </w:r>
      <w:r w:rsidR="00EA178E" w:rsidRPr="00183611">
        <w:rPr>
          <w:rFonts w:ascii="Times New Roman" w:hAnsi="Times New Roman" w:cs="Times New Roman"/>
          <w:sz w:val="24"/>
          <w:szCs w:val="24"/>
        </w:rPr>
        <w:t>ribunal</w:t>
      </w:r>
      <w:r w:rsidRPr="00183611">
        <w:rPr>
          <w:rFonts w:ascii="Times New Roman" w:hAnsi="Times New Roman" w:cs="Times New Roman"/>
          <w:sz w:val="24"/>
          <w:szCs w:val="24"/>
        </w:rPr>
        <w:t xml:space="preserve"> to enhance i</w:t>
      </w:r>
      <w:r w:rsidR="00535323" w:rsidRPr="00183611">
        <w:rPr>
          <w:rFonts w:ascii="Times New Roman" w:hAnsi="Times New Roman" w:cs="Times New Roman"/>
          <w:sz w:val="24"/>
          <w:szCs w:val="24"/>
        </w:rPr>
        <w:t>t</w:t>
      </w:r>
      <w:r w:rsidRPr="00183611">
        <w:rPr>
          <w:rFonts w:ascii="Times New Roman" w:hAnsi="Times New Roman" w:cs="Times New Roman"/>
          <w:sz w:val="24"/>
          <w:szCs w:val="24"/>
        </w:rPr>
        <w:t>s awareness campaign in this regard</w:t>
      </w:r>
      <w:r w:rsidR="00535323" w:rsidRPr="00183611">
        <w:rPr>
          <w:rFonts w:ascii="Times New Roman" w:hAnsi="Times New Roman" w:cs="Times New Roman"/>
          <w:sz w:val="24"/>
          <w:szCs w:val="24"/>
        </w:rPr>
        <w:t>,</w:t>
      </w:r>
      <w:r w:rsidRPr="00183611">
        <w:rPr>
          <w:rFonts w:ascii="Times New Roman" w:hAnsi="Times New Roman" w:cs="Times New Roman"/>
          <w:sz w:val="24"/>
          <w:szCs w:val="24"/>
        </w:rPr>
        <w:t xml:space="preserve"> as it </w:t>
      </w:r>
      <w:r w:rsidR="00535323" w:rsidRPr="00183611">
        <w:rPr>
          <w:rFonts w:ascii="Times New Roman" w:hAnsi="Times New Roman" w:cs="Times New Roman"/>
          <w:sz w:val="24"/>
          <w:szCs w:val="24"/>
        </w:rPr>
        <w:t xml:space="preserve">could </w:t>
      </w:r>
      <w:r w:rsidRPr="00183611">
        <w:rPr>
          <w:rFonts w:ascii="Times New Roman" w:hAnsi="Times New Roman" w:cs="Times New Roman"/>
          <w:sz w:val="24"/>
          <w:szCs w:val="24"/>
        </w:rPr>
        <w:t xml:space="preserve">lead to a greater uptake of the </w:t>
      </w:r>
      <w:r w:rsidR="00535323" w:rsidRPr="00183611">
        <w:rPr>
          <w:rFonts w:ascii="Times New Roman" w:hAnsi="Times New Roman" w:cs="Times New Roman"/>
          <w:sz w:val="24"/>
          <w:szCs w:val="24"/>
        </w:rPr>
        <w:t>Alternative Dispute R</w:t>
      </w:r>
      <w:r w:rsidR="00250E9D" w:rsidRPr="00183611">
        <w:rPr>
          <w:rFonts w:ascii="Times New Roman" w:hAnsi="Times New Roman" w:cs="Times New Roman"/>
          <w:sz w:val="24"/>
          <w:szCs w:val="24"/>
        </w:rPr>
        <w:t>esolution</w:t>
      </w:r>
      <w:r w:rsidRPr="00183611">
        <w:rPr>
          <w:rFonts w:ascii="Times New Roman" w:hAnsi="Times New Roman" w:cs="Times New Roman"/>
          <w:sz w:val="24"/>
          <w:szCs w:val="24"/>
        </w:rPr>
        <w:t xml:space="preserve"> process. The </w:t>
      </w:r>
      <w:r w:rsidR="00250E9D" w:rsidRPr="00183611">
        <w:rPr>
          <w:rFonts w:ascii="Times New Roman" w:hAnsi="Times New Roman" w:cs="Times New Roman"/>
          <w:sz w:val="24"/>
          <w:szCs w:val="24"/>
        </w:rPr>
        <w:t>Alternative Dispute Resolution</w:t>
      </w:r>
      <w:r w:rsidRPr="00183611">
        <w:rPr>
          <w:rFonts w:ascii="Times New Roman" w:hAnsi="Times New Roman" w:cs="Times New Roman"/>
          <w:sz w:val="24"/>
          <w:szCs w:val="24"/>
        </w:rPr>
        <w:t xml:space="preserve"> process is currently a voluntary exercise which does not require the respondent to agree to it</w:t>
      </w:r>
      <w:r w:rsidR="00250E9D" w:rsidRPr="00183611">
        <w:rPr>
          <w:rFonts w:ascii="Times New Roman" w:hAnsi="Times New Roman" w:cs="Times New Roman"/>
          <w:sz w:val="24"/>
          <w:szCs w:val="24"/>
        </w:rPr>
        <w:t>,</w:t>
      </w:r>
      <w:r w:rsidRPr="00183611">
        <w:rPr>
          <w:rFonts w:ascii="Times New Roman" w:hAnsi="Times New Roman" w:cs="Times New Roman"/>
          <w:sz w:val="24"/>
          <w:szCs w:val="24"/>
        </w:rPr>
        <w:t xml:space="preserve"> which in the view of the committee needs to be addressed</w:t>
      </w:r>
      <w:r w:rsidR="00250E9D" w:rsidRPr="00183611">
        <w:rPr>
          <w:rFonts w:ascii="Times New Roman" w:hAnsi="Times New Roman" w:cs="Times New Roman"/>
          <w:sz w:val="24"/>
          <w:szCs w:val="24"/>
        </w:rPr>
        <w:t xml:space="preserve"> to make this mandatory</w:t>
      </w:r>
      <w:r w:rsidRPr="00183611">
        <w:rPr>
          <w:rFonts w:ascii="Times New Roman" w:hAnsi="Times New Roman" w:cs="Times New Roman"/>
          <w:sz w:val="24"/>
          <w:szCs w:val="24"/>
        </w:rPr>
        <w:t>.</w:t>
      </w:r>
    </w:p>
    <w:p w:rsidR="00186842" w:rsidRPr="001E06D0"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 xml:space="preserve"> A major concern for the committee is the cost associated with the court process. The committee would like to ensure accessibility</w:t>
      </w:r>
      <w:r w:rsidR="00250E9D">
        <w:rPr>
          <w:rFonts w:ascii="Times New Roman" w:hAnsi="Times New Roman" w:cs="Times New Roman"/>
          <w:sz w:val="24"/>
          <w:szCs w:val="24"/>
        </w:rPr>
        <w:t xml:space="preserve"> to cost-effective dispute resolution</w:t>
      </w:r>
      <w:r w:rsidRPr="001E06D0">
        <w:rPr>
          <w:rFonts w:ascii="Times New Roman" w:hAnsi="Times New Roman" w:cs="Times New Roman"/>
          <w:sz w:val="24"/>
          <w:szCs w:val="24"/>
        </w:rPr>
        <w:t xml:space="preserve"> and therefore would encourage the review of the legislation to enhance </w:t>
      </w:r>
      <w:r w:rsidR="00250E9D" w:rsidRPr="001E06D0">
        <w:rPr>
          <w:rFonts w:ascii="Times New Roman" w:hAnsi="Times New Roman" w:cs="Times New Roman"/>
          <w:sz w:val="24"/>
          <w:szCs w:val="24"/>
        </w:rPr>
        <w:t>th</w:t>
      </w:r>
      <w:r w:rsidR="00250E9D">
        <w:rPr>
          <w:rFonts w:ascii="Times New Roman" w:hAnsi="Times New Roman" w:cs="Times New Roman"/>
          <w:sz w:val="24"/>
          <w:szCs w:val="24"/>
        </w:rPr>
        <w:t>e scope of matters that the Companies Tribunal may address</w:t>
      </w:r>
      <w:r w:rsidRPr="001E06D0">
        <w:rPr>
          <w:rFonts w:ascii="Times New Roman" w:hAnsi="Times New Roman" w:cs="Times New Roman"/>
          <w:sz w:val="24"/>
          <w:szCs w:val="24"/>
        </w:rPr>
        <w:t xml:space="preserve">. </w:t>
      </w:r>
    </w:p>
    <w:p w:rsidR="00186842" w:rsidRPr="001E06D0"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Notwithstanding the current budgetary constraints, the C</w:t>
      </w:r>
      <w:r w:rsidR="00250E9D">
        <w:rPr>
          <w:rFonts w:ascii="Times New Roman" w:hAnsi="Times New Roman" w:cs="Times New Roman"/>
          <w:sz w:val="24"/>
          <w:szCs w:val="24"/>
        </w:rPr>
        <w:t xml:space="preserve">ompanies </w:t>
      </w:r>
      <w:r w:rsidRPr="001E06D0">
        <w:rPr>
          <w:rFonts w:ascii="Times New Roman" w:hAnsi="Times New Roman" w:cs="Times New Roman"/>
          <w:sz w:val="24"/>
          <w:szCs w:val="24"/>
        </w:rPr>
        <w:t>T</w:t>
      </w:r>
      <w:r w:rsidR="00250E9D">
        <w:rPr>
          <w:rFonts w:ascii="Times New Roman" w:hAnsi="Times New Roman" w:cs="Times New Roman"/>
          <w:sz w:val="24"/>
          <w:szCs w:val="24"/>
        </w:rPr>
        <w:t>ribunal</w:t>
      </w:r>
      <w:r w:rsidRPr="001E06D0">
        <w:rPr>
          <w:rFonts w:ascii="Times New Roman" w:hAnsi="Times New Roman" w:cs="Times New Roman"/>
          <w:sz w:val="24"/>
          <w:szCs w:val="24"/>
        </w:rPr>
        <w:t xml:space="preserve"> in order to execute its mandate may require additional funding.  In this regard, the charging of fees for the C</w:t>
      </w:r>
      <w:r w:rsidR="00250E9D">
        <w:rPr>
          <w:rFonts w:ascii="Times New Roman" w:hAnsi="Times New Roman" w:cs="Times New Roman"/>
          <w:sz w:val="24"/>
          <w:szCs w:val="24"/>
        </w:rPr>
        <w:t xml:space="preserve">ompanies </w:t>
      </w:r>
      <w:r w:rsidRPr="001E06D0">
        <w:rPr>
          <w:rFonts w:ascii="Times New Roman" w:hAnsi="Times New Roman" w:cs="Times New Roman"/>
          <w:sz w:val="24"/>
          <w:szCs w:val="24"/>
        </w:rPr>
        <w:t>T</w:t>
      </w:r>
      <w:r w:rsidR="00250E9D">
        <w:rPr>
          <w:rFonts w:ascii="Times New Roman" w:hAnsi="Times New Roman" w:cs="Times New Roman"/>
          <w:sz w:val="24"/>
          <w:szCs w:val="24"/>
        </w:rPr>
        <w:t>ribunal</w:t>
      </w:r>
      <w:r w:rsidRPr="001E06D0">
        <w:rPr>
          <w:rFonts w:ascii="Times New Roman" w:hAnsi="Times New Roman" w:cs="Times New Roman"/>
          <w:sz w:val="24"/>
          <w:szCs w:val="24"/>
        </w:rPr>
        <w:t>’s service should be considered, which would require legislative amendments.</w:t>
      </w:r>
    </w:p>
    <w:p w:rsidR="00186842" w:rsidRPr="001E06D0"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The committee was concern</w:t>
      </w:r>
      <w:r w:rsidR="00250E9D">
        <w:rPr>
          <w:rFonts w:ascii="Times New Roman" w:hAnsi="Times New Roman" w:cs="Times New Roman"/>
          <w:sz w:val="24"/>
          <w:szCs w:val="24"/>
        </w:rPr>
        <w:t>ed</w:t>
      </w:r>
      <w:r w:rsidRPr="001E06D0">
        <w:rPr>
          <w:rFonts w:ascii="Times New Roman" w:hAnsi="Times New Roman" w:cs="Times New Roman"/>
          <w:sz w:val="24"/>
          <w:szCs w:val="24"/>
        </w:rPr>
        <w:t xml:space="preserve"> </w:t>
      </w:r>
      <w:r w:rsidR="00250E9D">
        <w:rPr>
          <w:rFonts w:ascii="Times New Roman" w:hAnsi="Times New Roman" w:cs="Times New Roman"/>
          <w:sz w:val="24"/>
          <w:szCs w:val="24"/>
        </w:rPr>
        <w:t>that</w:t>
      </w:r>
      <w:r w:rsidR="00250E9D" w:rsidRPr="001E06D0">
        <w:rPr>
          <w:rFonts w:ascii="Times New Roman" w:hAnsi="Times New Roman" w:cs="Times New Roman"/>
          <w:sz w:val="24"/>
          <w:szCs w:val="24"/>
        </w:rPr>
        <w:t xml:space="preserve"> </w:t>
      </w:r>
      <w:r w:rsidRPr="001E06D0">
        <w:rPr>
          <w:rFonts w:ascii="Times New Roman" w:hAnsi="Times New Roman" w:cs="Times New Roman"/>
          <w:sz w:val="24"/>
          <w:szCs w:val="24"/>
        </w:rPr>
        <w:t>the N</w:t>
      </w:r>
      <w:r w:rsidR="00250E9D">
        <w:rPr>
          <w:rFonts w:ascii="Times New Roman" w:hAnsi="Times New Roman" w:cs="Times New Roman"/>
          <w:sz w:val="24"/>
          <w:szCs w:val="24"/>
        </w:rPr>
        <w:t xml:space="preserve">ational </w:t>
      </w:r>
      <w:r w:rsidRPr="001E06D0">
        <w:rPr>
          <w:rFonts w:ascii="Times New Roman" w:hAnsi="Times New Roman" w:cs="Times New Roman"/>
          <w:sz w:val="24"/>
          <w:szCs w:val="24"/>
        </w:rPr>
        <w:t>C</w:t>
      </w:r>
      <w:r w:rsidR="00250E9D">
        <w:rPr>
          <w:rFonts w:ascii="Times New Roman" w:hAnsi="Times New Roman" w:cs="Times New Roman"/>
          <w:sz w:val="24"/>
          <w:szCs w:val="24"/>
        </w:rPr>
        <w:t xml:space="preserve">onsumer </w:t>
      </w:r>
      <w:r w:rsidRPr="001E06D0">
        <w:rPr>
          <w:rFonts w:ascii="Times New Roman" w:hAnsi="Times New Roman" w:cs="Times New Roman"/>
          <w:sz w:val="24"/>
          <w:szCs w:val="24"/>
        </w:rPr>
        <w:t>T</w:t>
      </w:r>
      <w:r w:rsidR="00250E9D">
        <w:rPr>
          <w:rFonts w:ascii="Times New Roman" w:hAnsi="Times New Roman" w:cs="Times New Roman"/>
          <w:sz w:val="24"/>
          <w:szCs w:val="24"/>
        </w:rPr>
        <w:t>ribunal</w:t>
      </w:r>
      <w:r w:rsidRPr="001E06D0">
        <w:rPr>
          <w:rFonts w:ascii="Times New Roman" w:hAnsi="Times New Roman" w:cs="Times New Roman"/>
          <w:sz w:val="24"/>
          <w:szCs w:val="24"/>
        </w:rPr>
        <w:t xml:space="preserve"> would not be able to fulfil its mandate</w:t>
      </w:r>
      <w:r w:rsidR="00250E9D">
        <w:rPr>
          <w:rFonts w:ascii="Times New Roman" w:hAnsi="Times New Roman" w:cs="Times New Roman"/>
          <w:sz w:val="24"/>
          <w:szCs w:val="24"/>
        </w:rPr>
        <w:t xml:space="preserve"> in a timeous manner</w:t>
      </w:r>
      <w:r w:rsidRPr="001E06D0">
        <w:rPr>
          <w:rFonts w:ascii="Times New Roman" w:hAnsi="Times New Roman" w:cs="Times New Roman"/>
          <w:sz w:val="24"/>
          <w:szCs w:val="24"/>
        </w:rPr>
        <w:t xml:space="preserve"> due to budgetary constraints. This </w:t>
      </w:r>
      <w:r w:rsidR="00250E9D">
        <w:rPr>
          <w:rFonts w:ascii="Times New Roman" w:hAnsi="Times New Roman" w:cs="Times New Roman"/>
          <w:sz w:val="24"/>
          <w:szCs w:val="24"/>
        </w:rPr>
        <w:t xml:space="preserve">could </w:t>
      </w:r>
      <w:r w:rsidRPr="001E06D0">
        <w:rPr>
          <w:rFonts w:ascii="Times New Roman" w:hAnsi="Times New Roman" w:cs="Times New Roman"/>
          <w:sz w:val="24"/>
          <w:szCs w:val="24"/>
        </w:rPr>
        <w:t xml:space="preserve">negatively impact on its ability to adjudicate on the increasing number of cases being filed. The committee welcomes the measures implemented to address the existing backlog and </w:t>
      </w:r>
      <w:r w:rsidR="00250E9D">
        <w:rPr>
          <w:rFonts w:ascii="Times New Roman" w:hAnsi="Times New Roman" w:cs="Times New Roman"/>
          <w:sz w:val="24"/>
          <w:szCs w:val="24"/>
        </w:rPr>
        <w:t xml:space="preserve">the </w:t>
      </w:r>
      <w:r w:rsidRPr="001E06D0">
        <w:rPr>
          <w:rFonts w:ascii="Times New Roman" w:hAnsi="Times New Roman" w:cs="Times New Roman"/>
          <w:sz w:val="24"/>
          <w:szCs w:val="24"/>
        </w:rPr>
        <w:t>anticipated increase in applications</w:t>
      </w:r>
      <w:r w:rsidR="00250E9D">
        <w:rPr>
          <w:rFonts w:ascii="Times New Roman" w:hAnsi="Times New Roman" w:cs="Times New Roman"/>
          <w:sz w:val="24"/>
          <w:szCs w:val="24"/>
        </w:rPr>
        <w:t>,</w:t>
      </w:r>
      <w:r w:rsidRPr="001E06D0">
        <w:rPr>
          <w:rFonts w:ascii="Times New Roman" w:hAnsi="Times New Roman" w:cs="Times New Roman"/>
          <w:sz w:val="24"/>
          <w:szCs w:val="24"/>
        </w:rPr>
        <w:t xml:space="preserve"> as well as measures to address the budgetary constraint. Increased efficiencies within the N</w:t>
      </w:r>
      <w:r w:rsidR="00250E9D">
        <w:rPr>
          <w:rFonts w:ascii="Times New Roman" w:hAnsi="Times New Roman" w:cs="Times New Roman"/>
          <w:sz w:val="24"/>
          <w:szCs w:val="24"/>
        </w:rPr>
        <w:t xml:space="preserve">ational </w:t>
      </w:r>
      <w:r w:rsidRPr="001E06D0">
        <w:rPr>
          <w:rFonts w:ascii="Times New Roman" w:hAnsi="Times New Roman" w:cs="Times New Roman"/>
          <w:sz w:val="24"/>
          <w:szCs w:val="24"/>
        </w:rPr>
        <w:t>C</w:t>
      </w:r>
      <w:r w:rsidR="00250E9D">
        <w:rPr>
          <w:rFonts w:ascii="Times New Roman" w:hAnsi="Times New Roman" w:cs="Times New Roman"/>
          <w:sz w:val="24"/>
          <w:szCs w:val="24"/>
        </w:rPr>
        <w:t xml:space="preserve">onsumer </w:t>
      </w:r>
      <w:r w:rsidRPr="001E06D0">
        <w:rPr>
          <w:rFonts w:ascii="Times New Roman" w:hAnsi="Times New Roman" w:cs="Times New Roman"/>
          <w:sz w:val="24"/>
          <w:szCs w:val="24"/>
        </w:rPr>
        <w:t>T</w:t>
      </w:r>
      <w:r w:rsidR="00250E9D">
        <w:rPr>
          <w:rFonts w:ascii="Times New Roman" w:hAnsi="Times New Roman" w:cs="Times New Roman"/>
          <w:sz w:val="24"/>
          <w:szCs w:val="24"/>
        </w:rPr>
        <w:t>ribunal</w:t>
      </w:r>
      <w:r w:rsidRPr="001E06D0">
        <w:rPr>
          <w:rFonts w:ascii="Times New Roman" w:hAnsi="Times New Roman" w:cs="Times New Roman"/>
          <w:sz w:val="24"/>
          <w:szCs w:val="24"/>
        </w:rPr>
        <w:t xml:space="preserve"> would contribute to reducing the time taken to issue judgment on non-</w:t>
      </w:r>
      <w:r w:rsidR="00BB2902">
        <w:rPr>
          <w:rFonts w:ascii="Times New Roman" w:hAnsi="Times New Roman" w:cs="Times New Roman"/>
          <w:sz w:val="24"/>
          <w:szCs w:val="24"/>
        </w:rPr>
        <w:t xml:space="preserve">debt rearrangement agreement </w:t>
      </w:r>
      <w:r w:rsidRPr="001E06D0">
        <w:rPr>
          <w:rFonts w:ascii="Times New Roman" w:hAnsi="Times New Roman" w:cs="Times New Roman"/>
          <w:sz w:val="24"/>
          <w:szCs w:val="24"/>
        </w:rPr>
        <w:t xml:space="preserve">applications. </w:t>
      </w:r>
    </w:p>
    <w:p w:rsidR="00186842" w:rsidRPr="001E06D0"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 xml:space="preserve"> A major concern for the committee is the ability of the N</w:t>
      </w:r>
      <w:r w:rsidR="00250E9D">
        <w:rPr>
          <w:rFonts w:ascii="Times New Roman" w:hAnsi="Times New Roman" w:cs="Times New Roman"/>
          <w:sz w:val="24"/>
          <w:szCs w:val="24"/>
        </w:rPr>
        <w:t xml:space="preserve">ational </w:t>
      </w:r>
      <w:r w:rsidRPr="001E06D0">
        <w:rPr>
          <w:rFonts w:ascii="Times New Roman" w:hAnsi="Times New Roman" w:cs="Times New Roman"/>
          <w:sz w:val="24"/>
          <w:szCs w:val="24"/>
        </w:rPr>
        <w:t>G</w:t>
      </w:r>
      <w:r w:rsidR="00250E9D">
        <w:rPr>
          <w:rFonts w:ascii="Times New Roman" w:hAnsi="Times New Roman" w:cs="Times New Roman"/>
          <w:sz w:val="24"/>
          <w:szCs w:val="24"/>
        </w:rPr>
        <w:t xml:space="preserve">ambling </w:t>
      </w:r>
      <w:r w:rsidRPr="001E06D0">
        <w:rPr>
          <w:rFonts w:ascii="Times New Roman" w:hAnsi="Times New Roman" w:cs="Times New Roman"/>
          <w:sz w:val="24"/>
          <w:szCs w:val="24"/>
        </w:rPr>
        <w:t>B</w:t>
      </w:r>
      <w:r w:rsidR="00250E9D">
        <w:rPr>
          <w:rFonts w:ascii="Times New Roman" w:hAnsi="Times New Roman" w:cs="Times New Roman"/>
          <w:sz w:val="24"/>
          <w:szCs w:val="24"/>
        </w:rPr>
        <w:t>oard</w:t>
      </w:r>
      <w:r w:rsidRPr="001E06D0">
        <w:rPr>
          <w:rFonts w:ascii="Times New Roman" w:hAnsi="Times New Roman" w:cs="Times New Roman"/>
          <w:sz w:val="24"/>
          <w:szCs w:val="24"/>
        </w:rPr>
        <w:t xml:space="preserve"> to fulfil its enforcement mandate. The committee welcomes measure</w:t>
      </w:r>
      <w:r w:rsidR="00250E9D">
        <w:rPr>
          <w:rFonts w:ascii="Times New Roman" w:hAnsi="Times New Roman" w:cs="Times New Roman"/>
          <w:sz w:val="24"/>
          <w:szCs w:val="24"/>
        </w:rPr>
        <w:t>s</w:t>
      </w:r>
      <w:r w:rsidRPr="001E06D0">
        <w:rPr>
          <w:rFonts w:ascii="Times New Roman" w:hAnsi="Times New Roman" w:cs="Times New Roman"/>
          <w:sz w:val="24"/>
          <w:szCs w:val="24"/>
        </w:rPr>
        <w:t xml:space="preserve"> to ensure compliance by filling the vacant position</w:t>
      </w:r>
      <w:r w:rsidR="00250E9D">
        <w:rPr>
          <w:rFonts w:ascii="Times New Roman" w:hAnsi="Times New Roman" w:cs="Times New Roman"/>
          <w:sz w:val="24"/>
          <w:szCs w:val="24"/>
        </w:rPr>
        <w:t>s</w:t>
      </w:r>
      <w:r w:rsidRPr="001E06D0">
        <w:rPr>
          <w:rFonts w:ascii="Times New Roman" w:hAnsi="Times New Roman" w:cs="Times New Roman"/>
          <w:sz w:val="24"/>
          <w:szCs w:val="24"/>
        </w:rPr>
        <w:t xml:space="preserve"> within the enforcement division. </w:t>
      </w:r>
    </w:p>
    <w:p w:rsidR="00186842" w:rsidRPr="00186842" w:rsidRDefault="00186842" w:rsidP="00186842">
      <w:pPr>
        <w:pStyle w:val="ListParagraph"/>
        <w:numPr>
          <w:ilvl w:val="0"/>
          <w:numId w:val="38"/>
        </w:numPr>
        <w:spacing w:line="360" w:lineRule="auto"/>
        <w:ind w:left="450" w:hanging="450"/>
        <w:jc w:val="both"/>
        <w:rPr>
          <w:rFonts w:ascii="Times New Roman" w:hAnsi="Times New Roman" w:cs="Times New Roman"/>
          <w:sz w:val="24"/>
          <w:szCs w:val="24"/>
        </w:rPr>
      </w:pPr>
      <w:r w:rsidRPr="001E06D0">
        <w:rPr>
          <w:rFonts w:ascii="Times New Roman" w:hAnsi="Times New Roman" w:cs="Times New Roman"/>
          <w:sz w:val="24"/>
          <w:szCs w:val="24"/>
        </w:rPr>
        <w:t xml:space="preserve">The committee welcomes the completion of the policy process with respect to gambling and would encourage the timeous submission of the amendment bill. </w:t>
      </w:r>
    </w:p>
    <w:p w:rsidR="0003599C" w:rsidRPr="007E21C4" w:rsidRDefault="0003599C" w:rsidP="00592363">
      <w:pPr>
        <w:spacing w:after="0" w:line="360" w:lineRule="auto"/>
        <w:jc w:val="both"/>
        <w:rPr>
          <w:rFonts w:ascii="Times New Roman" w:eastAsia="Times New Roman" w:hAnsi="Times New Roman" w:cs="Times New Roman"/>
          <w:caps/>
          <w:sz w:val="24"/>
          <w:szCs w:val="24"/>
        </w:rPr>
      </w:pPr>
    </w:p>
    <w:p w:rsidR="00DA4858" w:rsidRPr="00675023" w:rsidRDefault="00DA4858" w:rsidP="0003599C">
      <w:pPr>
        <w:pStyle w:val="ListParagraph"/>
        <w:numPr>
          <w:ilvl w:val="0"/>
          <w:numId w:val="2"/>
        </w:numPr>
        <w:spacing w:after="0" w:line="360" w:lineRule="auto"/>
        <w:ind w:left="284" w:hanging="284"/>
        <w:jc w:val="both"/>
        <w:rPr>
          <w:rFonts w:ascii="Times New Roman" w:hAnsi="Times New Roman" w:cs="Times New Roman"/>
          <w:b/>
          <w:sz w:val="24"/>
          <w:szCs w:val="24"/>
        </w:rPr>
      </w:pPr>
      <w:r w:rsidRPr="00675023">
        <w:rPr>
          <w:rFonts w:ascii="Times New Roman" w:hAnsi="Times New Roman" w:cs="Times New Roman"/>
          <w:b/>
          <w:sz w:val="24"/>
          <w:szCs w:val="24"/>
        </w:rPr>
        <w:t>Acknowledgements</w:t>
      </w:r>
    </w:p>
    <w:p w:rsidR="004770F9" w:rsidRPr="00675023" w:rsidRDefault="004770F9" w:rsidP="00592363">
      <w:pPr>
        <w:spacing w:after="0" w:line="360" w:lineRule="auto"/>
        <w:jc w:val="both"/>
        <w:rPr>
          <w:rFonts w:ascii="Times New Roman" w:hAnsi="Times New Roman" w:cs="Times New Roman"/>
          <w:bCs/>
          <w:sz w:val="24"/>
          <w:szCs w:val="24"/>
        </w:rPr>
      </w:pPr>
    </w:p>
    <w:p w:rsidR="00034E13" w:rsidRPr="00675023" w:rsidRDefault="004770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bCs/>
          <w:sz w:val="24"/>
          <w:szCs w:val="24"/>
        </w:rPr>
        <w:t xml:space="preserve">The </w:t>
      </w:r>
      <w:r w:rsidR="007433E1" w:rsidRPr="00675023">
        <w:rPr>
          <w:rFonts w:ascii="Times New Roman" w:hAnsi="Times New Roman" w:cs="Times New Roman"/>
          <w:bCs/>
          <w:sz w:val="24"/>
          <w:szCs w:val="24"/>
        </w:rPr>
        <w:t>c</w:t>
      </w:r>
      <w:r w:rsidRPr="00675023">
        <w:rPr>
          <w:rFonts w:ascii="Times New Roman" w:hAnsi="Times New Roman" w:cs="Times New Roman"/>
          <w:bCs/>
          <w:sz w:val="24"/>
          <w:szCs w:val="24"/>
        </w:rPr>
        <w:t xml:space="preserve">ommittee would like to thank participants from the Ministry of Trade and Industry, the DTI and its entities </w:t>
      </w:r>
      <w:r w:rsidR="00753D3C" w:rsidRPr="00675023">
        <w:rPr>
          <w:rFonts w:ascii="Times New Roman" w:hAnsi="Times New Roman" w:cs="Times New Roman"/>
          <w:bCs/>
          <w:sz w:val="24"/>
          <w:szCs w:val="24"/>
        </w:rPr>
        <w:t>during this process</w:t>
      </w:r>
      <w:r w:rsidRPr="00675023">
        <w:rPr>
          <w:rFonts w:ascii="Times New Roman" w:hAnsi="Times New Roman" w:cs="Times New Roman"/>
          <w:bCs/>
          <w:sz w:val="24"/>
          <w:szCs w:val="24"/>
        </w:rPr>
        <w:t xml:space="preserve">. </w:t>
      </w:r>
      <w:r w:rsidRPr="00675023">
        <w:rPr>
          <w:rFonts w:ascii="Times New Roman" w:hAnsi="Times New Roman" w:cs="Times New Roman"/>
          <w:sz w:val="24"/>
          <w:szCs w:val="24"/>
        </w:rPr>
        <w:t xml:space="preserve">The </w:t>
      </w:r>
      <w:r w:rsidR="007433E1" w:rsidRPr="00675023">
        <w:rPr>
          <w:rFonts w:ascii="Times New Roman" w:hAnsi="Times New Roman" w:cs="Times New Roman"/>
          <w:sz w:val="24"/>
          <w:szCs w:val="24"/>
        </w:rPr>
        <w:t>c</w:t>
      </w:r>
      <w:r w:rsidRPr="00675023">
        <w:rPr>
          <w:rFonts w:ascii="Times New Roman" w:hAnsi="Times New Roman" w:cs="Times New Roman"/>
          <w:sz w:val="24"/>
          <w:szCs w:val="24"/>
        </w:rPr>
        <w:t xml:space="preserve">ommittee also wishes to thank its </w:t>
      </w:r>
      <w:r w:rsidR="007433E1" w:rsidRPr="00675023">
        <w:rPr>
          <w:rFonts w:ascii="Times New Roman" w:hAnsi="Times New Roman" w:cs="Times New Roman"/>
          <w:sz w:val="24"/>
          <w:szCs w:val="24"/>
        </w:rPr>
        <w:t>c</w:t>
      </w:r>
      <w:r w:rsidRPr="00675023">
        <w:rPr>
          <w:rFonts w:ascii="Times New Roman" w:hAnsi="Times New Roman" w:cs="Times New Roman"/>
          <w:sz w:val="24"/>
          <w:szCs w:val="24"/>
        </w:rPr>
        <w:t>ommittee support staff</w:t>
      </w:r>
      <w:r w:rsidR="009804FC">
        <w:rPr>
          <w:rFonts w:ascii="Times New Roman" w:hAnsi="Times New Roman" w:cs="Times New Roman"/>
          <w:sz w:val="24"/>
          <w:szCs w:val="24"/>
        </w:rPr>
        <w:t>,</w:t>
      </w:r>
      <w:r w:rsidRPr="00675023">
        <w:rPr>
          <w:rFonts w:ascii="Times New Roman" w:hAnsi="Times New Roman" w:cs="Times New Roman"/>
          <w:sz w:val="24"/>
          <w:szCs w:val="24"/>
        </w:rPr>
        <w:t xml:space="preserve"> in particular the Committee Secretar</w:t>
      </w:r>
      <w:r w:rsidR="009B2BF7">
        <w:rPr>
          <w:rFonts w:ascii="Times New Roman" w:hAnsi="Times New Roman" w:cs="Times New Roman"/>
          <w:sz w:val="24"/>
          <w:szCs w:val="24"/>
        </w:rPr>
        <w:t>ies</w:t>
      </w:r>
      <w:r w:rsidR="002B6201" w:rsidRPr="00675023">
        <w:rPr>
          <w:rFonts w:ascii="Times New Roman" w:hAnsi="Times New Roman" w:cs="Times New Roman"/>
          <w:sz w:val="24"/>
          <w:szCs w:val="24"/>
        </w:rPr>
        <w:t xml:space="preserve">, </w:t>
      </w:r>
      <w:r w:rsidR="009804FC">
        <w:rPr>
          <w:rFonts w:ascii="Times New Roman" w:hAnsi="Times New Roman" w:cs="Times New Roman"/>
          <w:sz w:val="24"/>
          <w:szCs w:val="24"/>
        </w:rPr>
        <w:t>Mr A Hermans</w:t>
      </w:r>
      <w:r w:rsidR="009B2BF7">
        <w:rPr>
          <w:rFonts w:ascii="Times New Roman" w:hAnsi="Times New Roman" w:cs="Times New Roman"/>
          <w:sz w:val="24"/>
          <w:szCs w:val="24"/>
        </w:rPr>
        <w:t xml:space="preserve"> and Mr T Madima</w:t>
      </w:r>
      <w:r w:rsidR="009804FC">
        <w:rPr>
          <w:rFonts w:ascii="Times New Roman" w:hAnsi="Times New Roman" w:cs="Times New Roman"/>
          <w:sz w:val="24"/>
          <w:szCs w:val="24"/>
        </w:rPr>
        <w:t>;</w:t>
      </w:r>
      <w:r w:rsidRPr="00675023">
        <w:rPr>
          <w:rFonts w:ascii="Times New Roman" w:hAnsi="Times New Roman" w:cs="Times New Roman"/>
          <w:sz w:val="24"/>
          <w:szCs w:val="24"/>
        </w:rPr>
        <w:t xml:space="preserve"> the Content Advisor, Ms M </w:t>
      </w:r>
      <w:r w:rsidR="00753D3C" w:rsidRPr="00675023">
        <w:rPr>
          <w:rFonts w:ascii="Times New Roman" w:hAnsi="Times New Roman" w:cs="Times New Roman"/>
          <w:sz w:val="24"/>
          <w:szCs w:val="24"/>
        </w:rPr>
        <w:t>Sheldon</w:t>
      </w:r>
      <w:r w:rsidR="009804FC">
        <w:rPr>
          <w:rFonts w:ascii="Times New Roman" w:hAnsi="Times New Roman" w:cs="Times New Roman"/>
          <w:sz w:val="24"/>
          <w:szCs w:val="24"/>
        </w:rPr>
        <w:t>; the Researcher, Ms Z Madalane;</w:t>
      </w:r>
      <w:r w:rsidRPr="00675023">
        <w:rPr>
          <w:rFonts w:ascii="Times New Roman" w:hAnsi="Times New Roman" w:cs="Times New Roman"/>
          <w:sz w:val="24"/>
          <w:szCs w:val="24"/>
        </w:rPr>
        <w:t xml:space="preserve"> </w:t>
      </w:r>
      <w:r w:rsidR="00F60DF3" w:rsidRPr="00675023">
        <w:rPr>
          <w:rFonts w:ascii="Times New Roman" w:hAnsi="Times New Roman" w:cs="Times New Roman"/>
          <w:sz w:val="24"/>
          <w:szCs w:val="24"/>
        </w:rPr>
        <w:t xml:space="preserve">the Executive Assistant, </w:t>
      </w:r>
      <w:r w:rsidR="009804FC">
        <w:rPr>
          <w:rFonts w:ascii="Times New Roman" w:hAnsi="Times New Roman" w:cs="Times New Roman"/>
          <w:sz w:val="24"/>
          <w:szCs w:val="24"/>
        </w:rPr>
        <w:t>Ms T Macanda;</w:t>
      </w:r>
      <w:r w:rsidR="00674A0A" w:rsidRPr="00675023">
        <w:rPr>
          <w:rFonts w:ascii="Times New Roman" w:hAnsi="Times New Roman" w:cs="Times New Roman"/>
          <w:sz w:val="24"/>
          <w:szCs w:val="24"/>
        </w:rPr>
        <w:t xml:space="preserve"> </w:t>
      </w:r>
      <w:r w:rsidR="001005CB" w:rsidRPr="00675023">
        <w:rPr>
          <w:rFonts w:ascii="Times New Roman" w:hAnsi="Times New Roman" w:cs="Times New Roman"/>
          <w:sz w:val="24"/>
          <w:szCs w:val="24"/>
        </w:rPr>
        <w:t xml:space="preserve">and the Committee Assistant, Mr D Woodington, </w:t>
      </w:r>
      <w:r w:rsidRPr="00675023">
        <w:rPr>
          <w:rFonts w:ascii="Times New Roman" w:hAnsi="Times New Roman" w:cs="Times New Roman"/>
          <w:sz w:val="24"/>
          <w:szCs w:val="24"/>
        </w:rPr>
        <w:t xml:space="preserve">for their professional support and conscientious commitment to their work.  The Chairperson thanks all Members of the </w:t>
      </w:r>
      <w:r w:rsidR="007433E1" w:rsidRPr="00675023">
        <w:rPr>
          <w:rFonts w:ascii="Times New Roman" w:hAnsi="Times New Roman" w:cs="Times New Roman"/>
          <w:sz w:val="24"/>
          <w:szCs w:val="24"/>
        </w:rPr>
        <w:t>c</w:t>
      </w:r>
      <w:r w:rsidRPr="00675023">
        <w:rPr>
          <w:rFonts w:ascii="Times New Roman" w:hAnsi="Times New Roman" w:cs="Times New Roman"/>
          <w:sz w:val="24"/>
          <w:szCs w:val="24"/>
        </w:rPr>
        <w:t>ommittee for their active participation during the process of engagement and deliberations and their constructive recommendations made in this report.</w:t>
      </w:r>
    </w:p>
    <w:p w:rsidR="00101603" w:rsidRPr="00675023" w:rsidRDefault="00101603" w:rsidP="00592363">
      <w:pPr>
        <w:spacing w:after="0" w:line="360" w:lineRule="auto"/>
        <w:jc w:val="both"/>
        <w:rPr>
          <w:rFonts w:ascii="Times New Roman" w:hAnsi="Times New Roman" w:cs="Times New Roman"/>
          <w:sz w:val="24"/>
          <w:szCs w:val="24"/>
        </w:rPr>
      </w:pPr>
    </w:p>
    <w:p w:rsidR="008F1E6C" w:rsidRPr="00675023" w:rsidRDefault="00DA4858" w:rsidP="0003599C">
      <w:pPr>
        <w:pStyle w:val="ListParagraph"/>
        <w:numPr>
          <w:ilvl w:val="0"/>
          <w:numId w:val="2"/>
        </w:numPr>
        <w:spacing w:after="0" w:line="360" w:lineRule="auto"/>
        <w:ind w:left="284" w:hanging="284"/>
        <w:jc w:val="both"/>
        <w:rPr>
          <w:rFonts w:ascii="Times New Roman" w:hAnsi="Times New Roman" w:cs="Times New Roman"/>
          <w:b/>
          <w:sz w:val="24"/>
          <w:szCs w:val="24"/>
        </w:rPr>
      </w:pPr>
      <w:r w:rsidRPr="00675023">
        <w:rPr>
          <w:rFonts w:ascii="Times New Roman" w:hAnsi="Times New Roman" w:cs="Times New Roman"/>
          <w:b/>
          <w:sz w:val="24"/>
          <w:szCs w:val="24"/>
        </w:rPr>
        <w:t>Recommendations</w:t>
      </w:r>
    </w:p>
    <w:p w:rsidR="008F1E6C" w:rsidRPr="00675023" w:rsidRDefault="008F1E6C" w:rsidP="00592363">
      <w:pPr>
        <w:pStyle w:val="ListParagraph"/>
        <w:spacing w:after="0" w:line="360" w:lineRule="auto"/>
        <w:ind w:left="284"/>
        <w:jc w:val="both"/>
        <w:rPr>
          <w:rFonts w:ascii="Times New Roman" w:hAnsi="Times New Roman" w:cs="Times New Roman"/>
          <w:b/>
          <w:sz w:val="24"/>
          <w:szCs w:val="24"/>
        </w:rPr>
      </w:pPr>
    </w:p>
    <w:p w:rsidR="00FC524E" w:rsidRPr="00675023" w:rsidRDefault="004770F9" w:rsidP="00592363">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Portfolio Committ</w:t>
      </w:r>
      <w:r w:rsidR="001B487E" w:rsidRPr="00675023">
        <w:rPr>
          <w:rFonts w:ascii="Times New Roman" w:hAnsi="Times New Roman" w:cs="Times New Roman"/>
          <w:sz w:val="24"/>
          <w:szCs w:val="24"/>
        </w:rPr>
        <w:t>ee on Trade and Industry</w:t>
      </w:r>
      <w:r w:rsidR="007433E1" w:rsidRPr="00675023">
        <w:rPr>
          <w:rFonts w:ascii="Times New Roman" w:hAnsi="Times New Roman" w:cs="Times New Roman"/>
          <w:sz w:val="24"/>
          <w:szCs w:val="24"/>
        </w:rPr>
        <w:t>,</w:t>
      </w:r>
      <w:r w:rsidR="001B487E" w:rsidRPr="00675023">
        <w:rPr>
          <w:rFonts w:ascii="Times New Roman" w:hAnsi="Times New Roman" w:cs="Times New Roman"/>
          <w:sz w:val="24"/>
          <w:szCs w:val="24"/>
        </w:rPr>
        <w:t xml:space="preserve"> having</w:t>
      </w:r>
      <w:r w:rsidRPr="00675023">
        <w:rPr>
          <w:rFonts w:ascii="Times New Roman" w:hAnsi="Times New Roman" w:cs="Times New Roman"/>
          <w:sz w:val="24"/>
          <w:szCs w:val="24"/>
        </w:rPr>
        <w:t xml:space="preserve"> considered the 201</w:t>
      </w:r>
      <w:r w:rsidR="00C22195" w:rsidRPr="00675023">
        <w:rPr>
          <w:rFonts w:ascii="Times New Roman" w:hAnsi="Times New Roman" w:cs="Times New Roman"/>
          <w:sz w:val="24"/>
          <w:szCs w:val="24"/>
        </w:rPr>
        <w:t>5</w:t>
      </w:r>
      <w:r w:rsidRPr="00675023">
        <w:rPr>
          <w:rFonts w:ascii="Times New Roman" w:hAnsi="Times New Roman" w:cs="Times New Roman"/>
          <w:sz w:val="24"/>
          <w:szCs w:val="24"/>
        </w:rPr>
        <w:t xml:space="preserve"> proposed Budget Vote 3</w:t>
      </w:r>
      <w:r w:rsidR="00C22195" w:rsidRPr="00675023">
        <w:rPr>
          <w:rFonts w:ascii="Times New Roman" w:hAnsi="Times New Roman" w:cs="Times New Roman"/>
          <w:sz w:val="24"/>
          <w:szCs w:val="24"/>
        </w:rPr>
        <w:t>4</w:t>
      </w:r>
      <w:r w:rsidRPr="00675023">
        <w:rPr>
          <w:rFonts w:ascii="Times New Roman" w:hAnsi="Times New Roman" w:cs="Times New Roman"/>
          <w:sz w:val="24"/>
          <w:szCs w:val="24"/>
        </w:rPr>
        <w:t>: Trad</w:t>
      </w:r>
      <w:r w:rsidR="001B487E" w:rsidRPr="00675023">
        <w:rPr>
          <w:rFonts w:ascii="Times New Roman" w:hAnsi="Times New Roman" w:cs="Times New Roman"/>
          <w:sz w:val="24"/>
          <w:szCs w:val="24"/>
        </w:rPr>
        <w:t>e and Industry, recommends that</w:t>
      </w:r>
      <w:r w:rsidR="00183353" w:rsidRPr="00675023">
        <w:rPr>
          <w:rFonts w:ascii="Times New Roman" w:hAnsi="Times New Roman" w:cs="Times New Roman"/>
          <w:sz w:val="24"/>
          <w:szCs w:val="24"/>
        </w:rPr>
        <w:t xml:space="preserve"> the House adopts Budget Vote 34: Trade and Industry. </w:t>
      </w:r>
    </w:p>
    <w:p w:rsidR="00FC524E" w:rsidRPr="00675023" w:rsidRDefault="00FC524E" w:rsidP="00592363">
      <w:pPr>
        <w:spacing w:after="0" w:line="360" w:lineRule="auto"/>
        <w:jc w:val="both"/>
        <w:rPr>
          <w:rFonts w:ascii="Times New Roman" w:hAnsi="Times New Roman" w:cs="Times New Roman"/>
          <w:sz w:val="24"/>
          <w:szCs w:val="24"/>
        </w:rPr>
      </w:pPr>
    </w:p>
    <w:p w:rsidR="00186842" w:rsidRPr="002B788E" w:rsidRDefault="00183353" w:rsidP="002B788E">
      <w:pP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The committee further recommends that the House request that the Minister of Trad</w:t>
      </w:r>
      <w:r w:rsidR="002B788E">
        <w:rPr>
          <w:rFonts w:ascii="Times New Roman" w:hAnsi="Times New Roman" w:cs="Times New Roman"/>
          <w:sz w:val="24"/>
          <w:szCs w:val="24"/>
        </w:rPr>
        <w:t>e and Industry should consider r</w:t>
      </w:r>
      <w:r w:rsidR="00186842" w:rsidRPr="002B788E">
        <w:rPr>
          <w:rFonts w:ascii="Times New Roman" w:hAnsi="Times New Roman" w:cs="Times New Roman"/>
          <w:sz w:val="24"/>
          <w:szCs w:val="24"/>
        </w:rPr>
        <w:t xml:space="preserve">eviewing the funding model for the Companies Tribunal and considering amending the Companies Act to facilitate the ease of the Tribunal to perform its duties. </w:t>
      </w:r>
    </w:p>
    <w:p w:rsidR="00186842" w:rsidRPr="00675023" w:rsidRDefault="00186842" w:rsidP="00592363">
      <w:pPr>
        <w:spacing w:after="0" w:line="360" w:lineRule="auto"/>
        <w:jc w:val="both"/>
        <w:rPr>
          <w:rFonts w:ascii="Times New Roman" w:hAnsi="Times New Roman" w:cs="Times New Roman"/>
          <w:b/>
          <w:sz w:val="24"/>
          <w:szCs w:val="24"/>
        </w:rPr>
      </w:pPr>
    </w:p>
    <w:p w:rsidR="00DA4858" w:rsidRDefault="000F612D" w:rsidP="00592363">
      <w:pPr>
        <w:pBdr>
          <w:bottom w:val="single" w:sz="12" w:space="1" w:color="auto"/>
        </w:pBdr>
        <w:spacing w:after="0" w:line="360" w:lineRule="auto"/>
        <w:jc w:val="both"/>
        <w:rPr>
          <w:rFonts w:ascii="Times New Roman" w:hAnsi="Times New Roman" w:cs="Times New Roman"/>
          <w:sz w:val="24"/>
          <w:szCs w:val="24"/>
        </w:rPr>
      </w:pPr>
      <w:r w:rsidRPr="00675023">
        <w:rPr>
          <w:rFonts w:ascii="Times New Roman" w:hAnsi="Times New Roman" w:cs="Times New Roman"/>
          <w:sz w:val="24"/>
          <w:szCs w:val="24"/>
        </w:rPr>
        <w:t xml:space="preserve">Report to be considered. </w:t>
      </w:r>
    </w:p>
    <w:p w:rsidR="00F368E5" w:rsidRDefault="00F368E5" w:rsidP="00592363">
      <w:pPr>
        <w:spacing w:after="0" w:line="360" w:lineRule="auto"/>
        <w:jc w:val="both"/>
        <w:rPr>
          <w:rFonts w:ascii="Times New Roman" w:hAnsi="Times New Roman" w:cs="Times New Roman"/>
          <w:sz w:val="24"/>
          <w:szCs w:val="24"/>
        </w:rPr>
      </w:pPr>
    </w:p>
    <w:p w:rsidR="00F350B5" w:rsidRPr="00F350B5" w:rsidRDefault="00F350B5" w:rsidP="00501558">
      <w:pPr>
        <w:rPr>
          <w:rFonts w:ascii="Times New Roman" w:hAnsi="Times New Roman" w:cs="Times New Roman"/>
          <w:b/>
          <w:sz w:val="24"/>
          <w:szCs w:val="24"/>
        </w:rPr>
      </w:pPr>
      <w:r w:rsidRPr="00F350B5">
        <w:rPr>
          <w:rFonts w:ascii="Times New Roman" w:hAnsi="Times New Roman" w:cs="Times New Roman"/>
          <w:b/>
          <w:sz w:val="24"/>
          <w:szCs w:val="24"/>
        </w:rPr>
        <w:t>References</w:t>
      </w:r>
    </w:p>
    <w:p w:rsidR="00F350B5" w:rsidRDefault="00F350B5" w:rsidP="00592363">
      <w:pPr>
        <w:spacing w:after="0" w:line="360" w:lineRule="auto"/>
        <w:jc w:val="both"/>
        <w:rPr>
          <w:rFonts w:ascii="Times New Roman" w:hAnsi="Times New Roman" w:cs="Times New Roman"/>
          <w:sz w:val="24"/>
          <w:szCs w:val="24"/>
        </w:rPr>
      </w:pPr>
    </w:p>
    <w:p w:rsidR="00F350B5" w:rsidRPr="00F368E5" w:rsidRDefault="00F350B5" w:rsidP="00F350B5">
      <w:pPr>
        <w:spacing w:line="276" w:lineRule="auto"/>
        <w:jc w:val="both"/>
        <w:rPr>
          <w:rFonts w:ascii="Times New Roman" w:eastAsia="Calibri" w:hAnsi="Times New Roman" w:cs="Times New Roman"/>
          <w:sz w:val="24"/>
          <w:szCs w:val="24"/>
        </w:rPr>
      </w:pPr>
      <w:r w:rsidRPr="00F368E5">
        <w:rPr>
          <w:rFonts w:ascii="Times New Roman" w:eastAsia="Calibri" w:hAnsi="Times New Roman" w:cs="Times New Roman"/>
          <w:sz w:val="24"/>
          <w:szCs w:val="24"/>
        </w:rPr>
        <w:t xml:space="preserve">Companies Tribunal (2016a). </w:t>
      </w:r>
      <w:r w:rsidRPr="00F368E5">
        <w:rPr>
          <w:rFonts w:ascii="Times New Roman" w:eastAsia="Calibri" w:hAnsi="Times New Roman" w:cs="Times New Roman"/>
          <w:i/>
          <w:sz w:val="24"/>
          <w:szCs w:val="24"/>
        </w:rPr>
        <w:t>Strategic Plan 2015-2020</w:t>
      </w:r>
      <w:r w:rsidRPr="00F368E5">
        <w:rPr>
          <w:rFonts w:ascii="Times New Roman" w:eastAsia="Calibri" w:hAnsi="Times New Roman" w:cs="Times New Roman"/>
          <w:sz w:val="24"/>
          <w:szCs w:val="24"/>
        </w:rPr>
        <w:t xml:space="preserve"> </w:t>
      </w:r>
    </w:p>
    <w:p w:rsidR="00F350B5" w:rsidRPr="00F368E5" w:rsidRDefault="00F350B5" w:rsidP="00F350B5">
      <w:pPr>
        <w:spacing w:line="276" w:lineRule="auto"/>
        <w:jc w:val="both"/>
        <w:rPr>
          <w:rFonts w:ascii="Times New Roman" w:eastAsia="Calibri" w:hAnsi="Times New Roman" w:cs="Times New Roman"/>
          <w:sz w:val="24"/>
          <w:szCs w:val="24"/>
        </w:rPr>
      </w:pPr>
      <w:r w:rsidRPr="00F368E5">
        <w:rPr>
          <w:rFonts w:ascii="Times New Roman" w:eastAsia="Calibri" w:hAnsi="Times New Roman" w:cs="Times New Roman"/>
          <w:sz w:val="24"/>
          <w:szCs w:val="24"/>
        </w:rPr>
        <w:t xml:space="preserve">Companies Tribunal (2016b). </w:t>
      </w:r>
      <w:r w:rsidRPr="00F368E5">
        <w:rPr>
          <w:rFonts w:ascii="Times New Roman" w:eastAsia="Calibri" w:hAnsi="Times New Roman" w:cs="Times New Roman"/>
          <w:i/>
          <w:sz w:val="24"/>
          <w:szCs w:val="24"/>
        </w:rPr>
        <w:t>Annual Performance Plan 2015/16.</w:t>
      </w:r>
    </w:p>
    <w:p w:rsidR="00F350B5" w:rsidRPr="00F368E5" w:rsidRDefault="00F350B5" w:rsidP="00F350B5">
      <w:pPr>
        <w:spacing w:line="276" w:lineRule="auto"/>
        <w:jc w:val="both"/>
        <w:rPr>
          <w:rFonts w:ascii="Times New Roman" w:hAnsi="Times New Roman" w:cs="Times New Roman"/>
          <w:sz w:val="24"/>
          <w:szCs w:val="24"/>
        </w:rPr>
      </w:pPr>
      <w:r w:rsidRPr="00F368E5">
        <w:rPr>
          <w:rFonts w:ascii="Times New Roman" w:hAnsi="Times New Roman" w:cs="Times New Roman"/>
          <w:sz w:val="24"/>
          <w:szCs w:val="24"/>
        </w:rPr>
        <w:t>Department of Trade and Industry (2015) Strategic Plan 2015 – 2020</w:t>
      </w:r>
    </w:p>
    <w:p w:rsidR="00F350B5" w:rsidRPr="00F368E5" w:rsidRDefault="00F350B5" w:rsidP="00F350B5">
      <w:pPr>
        <w:spacing w:line="276" w:lineRule="auto"/>
        <w:jc w:val="both"/>
        <w:rPr>
          <w:rFonts w:ascii="Times New Roman" w:eastAsia="Calibri" w:hAnsi="Times New Roman" w:cs="Times New Roman"/>
          <w:sz w:val="24"/>
          <w:szCs w:val="24"/>
        </w:rPr>
      </w:pPr>
      <w:r w:rsidRPr="00F368E5">
        <w:rPr>
          <w:rFonts w:ascii="Times New Roman" w:eastAsia="Calibri" w:hAnsi="Times New Roman" w:cs="Times New Roman"/>
          <w:sz w:val="24"/>
          <w:szCs w:val="24"/>
        </w:rPr>
        <w:t xml:space="preserve">National Consumer Tribunal (2016a). </w:t>
      </w:r>
      <w:r w:rsidR="001E4734">
        <w:rPr>
          <w:rFonts w:ascii="Times New Roman" w:eastAsia="Calibri" w:hAnsi="Times New Roman" w:cs="Times New Roman"/>
          <w:i/>
          <w:sz w:val="24"/>
          <w:szCs w:val="24"/>
        </w:rPr>
        <w:t>Strategic Plan 2016/17</w:t>
      </w:r>
      <w:r w:rsidRPr="00F368E5">
        <w:rPr>
          <w:rFonts w:ascii="Times New Roman" w:eastAsia="Calibri" w:hAnsi="Times New Roman" w:cs="Times New Roman"/>
          <w:i/>
          <w:sz w:val="24"/>
          <w:szCs w:val="24"/>
        </w:rPr>
        <w:t>-2020</w:t>
      </w:r>
      <w:r w:rsidR="001E4734">
        <w:rPr>
          <w:rFonts w:ascii="Times New Roman" w:eastAsia="Calibri" w:hAnsi="Times New Roman" w:cs="Times New Roman"/>
          <w:i/>
          <w:sz w:val="24"/>
          <w:szCs w:val="24"/>
        </w:rPr>
        <w:t>/21</w:t>
      </w:r>
      <w:r w:rsidRPr="00F368E5">
        <w:rPr>
          <w:rFonts w:ascii="Times New Roman" w:eastAsia="Calibri" w:hAnsi="Times New Roman" w:cs="Times New Roman"/>
          <w:sz w:val="24"/>
          <w:szCs w:val="24"/>
        </w:rPr>
        <w:t xml:space="preserve"> </w:t>
      </w:r>
    </w:p>
    <w:p w:rsidR="00F350B5" w:rsidRDefault="00F350B5" w:rsidP="00F350B5">
      <w:pPr>
        <w:spacing w:line="276" w:lineRule="auto"/>
        <w:jc w:val="both"/>
        <w:rPr>
          <w:rFonts w:ascii="Times New Roman" w:eastAsia="Calibri" w:hAnsi="Times New Roman" w:cs="Times New Roman"/>
          <w:i/>
          <w:sz w:val="24"/>
          <w:szCs w:val="24"/>
        </w:rPr>
      </w:pPr>
      <w:r w:rsidRPr="00F368E5">
        <w:rPr>
          <w:rFonts w:ascii="Times New Roman" w:eastAsia="Calibri" w:hAnsi="Times New Roman" w:cs="Times New Roman"/>
          <w:sz w:val="24"/>
          <w:szCs w:val="24"/>
        </w:rPr>
        <w:t xml:space="preserve">National Consumer Tribunal (2016b). </w:t>
      </w:r>
      <w:r w:rsidRPr="00F368E5">
        <w:rPr>
          <w:rFonts w:ascii="Times New Roman" w:eastAsia="Calibri" w:hAnsi="Times New Roman" w:cs="Times New Roman"/>
          <w:i/>
          <w:sz w:val="24"/>
          <w:szCs w:val="24"/>
        </w:rPr>
        <w:t>Annual Performance Plan 201</w:t>
      </w:r>
      <w:r w:rsidR="001E4734">
        <w:rPr>
          <w:rFonts w:ascii="Times New Roman" w:eastAsia="Calibri" w:hAnsi="Times New Roman" w:cs="Times New Roman"/>
          <w:i/>
          <w:sz w:val="24"/>
          <w:szCs w:val="24"/>
        </w:rPr>
        <w:t>6/17</w:t>
      </w:r>
      <w:r w:rsidRPr="00F368E5">
        <w:rPr>
          <w:rFonts w:ascii="Times New Roman" w:eastAsia="Calibri" w:hAnsi="Times New Roman" w:cs="Times New Roman"/>
          <w:i/>
          <w:sz w:val="24"/>
          <w:szCs w:val="24"/>
        </w:rPr>
        <w:t>.</w:t>
      </w:r>
    </w:p>
    <w:p w:rsidR="001E4734" w:rsidRPr="001E4734" w:rsidRDefault="001E4734" w:rsidP="00F350B5">
      <w:pPr>
        <w:spacing w:line="276" w:lineRule="auto"/>
        <w:jc w:val="both"/>
        <w:rPr>
          <w:rFonts w:ascii="Times New Roman" w:eastAsia="Calibri" w:hAnsi="Times New Roman" w:cs="Times New Roman"/>
          <w:sz w:val="24"/>
          <w:szCs w:val="24"/>
        </w:rPr>
      </w:pPr>
      <w:r w:rsidRPr="001E4734">
        <w:rPr>
          <w:rFonts w:ascii="Times New Roman" w:eastAsia="Calibri" w:hAnsi="Times New Roman" w:cs="Times New Roman"/>
          <w:sz w:val="24"/>
          <w:szCs w:val="24"/>
        </w:rPr>
        <w:t>National Gambling Board</w:t>
      </w:r>
      <w:r>
        <w:rPr>
          <w:rFonts w:ascii="Times New Roman" w:eastAsia="Calibri" w:hAnsi="Times New Roman" w:cs="Times New Roman"/>
          <w:sz w:val="24"/>
          <w:szCs w:val="24"/>
        </w:rPr>
        <w:t xml:space="preserve"> (2016). </w:t>
      </w:r>
      <w:r w:rsidRPr="00F368E5">
        <w:rPr>
          <w:rFonts w:ascii="Times New Roman" w:eastAsia="Calibri" w:hAnsi="Times New Roman" w:cs="Times New Roman"/>
          <w:i/>
          <w:sz w:val="24"/>
          <w:szCs w:val="24"/>
        </w:rPr>
        <w:t>Annual Performance Plan 201</w:t>
      </w:r>
      <w:r>
        <w:rPr>
          <w:rFonts w:ascii="Times New Roman" w:eastAsia="Calibri" w:hAnsi="Times New Roman" w:cs="Times New Roman"/>
          <w:i/>
          <w:sz w:val="24"/>
          <w:szCs w:val="24"/>
        </w:rPr>
        <w:t>6</w:t>
      </w:r>
      <w:r w:rsidRPr="00F368E5">
        <w:rPr>
          <w:rFonts w:ascii="Times New Roman" w:eastAsia="Calibri" w:hAnsi="Times New Roman" w:cs="Times New Roman"/>
          <w:i/>
          <w:sz w:val="24"/>
          <w:szCs w:val="24"/>
        </w:rPr>
        <w:t>/1</w:t>
      </w:r>
      <w:r>
        <w:rPr>
          <w:rFonts w:ascii="Times New Roman" w:eastAsia="Calibri" w:hAnsi="Times New Roman" w:cs="Times New Roman"/>
          <w:i/>
          <w:sz w:val="24"/>
          <w:szCs w:val="24"/>
        </w:rPr>
        <w:t>7</w:t>
      </w:r>
      <w:r w:rsidRPr="00F368E5">
        <w:rPr>
          <w:rFonts w:ascii="Times New Roman" w:eastAsia="Calibri" w:hAnsi="Times New Roman" w:cs="Times New Roman"/>
          <w:i/>
          <w:sz w:val="24"/>
          <w:szCs w:val="24"/>
        </w:rPr>
        <w:t>.</w:t>
      </w:r>
    </w:p>
    <w:p w:rsidR="00F350B5" w:rsidRPr="00F368E5" w:rsidRDefault="00F350B5" w:rsidP="00F350B5">
      <w:pPr>
        <w:spacing w:line="276" w:lineRule="auto"/>
        <w:jc w:val="both"/>
        <w:rPr>
          <w:rFonts w:ascii="Times New Roman" w:hAnsi="Times New Roman" w:cs="Times New Roman"/>
          <w:sz w:val="24"/>
          <w:szCs w:val="24"/>
        </w:rPr>
      </w:pPr>
      <w:r w:rsidRPr="00F368E5">
        <w:rPr>
          <w:rFonts w:ascii="Times New Roman" w:hAnsi="Times New Roman" w:cs="Times New Roman"/>
          <w:sz w:val="24"/>
          <w:szCs w:val="24"/>
        </w:rPr>
        <w:t xml:space="preserve">National Treasury (2016). </w:t>
      </w:r>
      <w:r w:rsidRPr="00F368E5">
        <w:rPr>
          <w:rFonts w:ascii="Times New Roman" w:hAnsi="Times New Roman" w:cs="Times New Roman"/>
          <w:i/>
          <w:sz w:val="24"/>
          <w:szCs w:val="24"/>
        </w:rPr>
        <w:t>Estimates of National Expenditure (ENE) 2016: Vote 34: Trade and Industry.</w:t>
      </w:r>
      <w:r w:rsidRPr="00F368E5">
        <w:rPr>
          <w:rFonts w:ascii="Times New Roman" w:hAnsi="Times New Roman" w:cs="Times New Roman"/>
          <w:sz w:val="24"/>
          <w:szCs w:val="24"/>
        </w:rPr>
        <w:t xml:space="preserve"> Pretoria</w:t>
      </w:r>
    </w:p>
    <w:p w:rsidR="001E4734" w:rsidRPr="00F368E5" w:rsidRDefault="001E4734" w:rsidP="001E4734">
      <w:pPr>
        <w:spacing w:line="276" w:lineRule="auto"/>
        <w:jc w:val="both"/>
        <w:rPr>
          <w:rFonts w:ascii="Times New Roman" w:hAnsi="Times New Roman" w:cs="Times New Roman"/>
          <w:sz w:val="24"/>
          <w:szCs w:val="24"/>
        </w:rPr>
      </w:pPr>
      <w:r w:rsidRPr="00F368E5">
        <w:rPr>
          <w:rFonts w:ascii="Times New Roman" w:hAnsi="Times New Roman" w:cs="Times New Roman"/>
          <w:sz w:val="24"/>
          <w:szCs w:val="24"/>
        </w:rPr>
        <w:t>Portfolio Committee on Trade and Industry (2014). Budget Review and Recommendations Report 2014. Parliament. Cape Town.</w:t>
      </w:r>
    </w:p>
    <w:p w:rsidR="001E4734" w:rsidRPr="00F368E5" w:rsidRDefault="001E4734" w:rsidP="001E4734">
      <w:pPr>
        <w:spacing w:line="276" w:lineRule="auto"/>
        <w:jc w:val="both"/>
        <w:rPr>
          <w:rFonts w:ascii="Times New Roman" w:hAnsi="Times New Roman" w:cs="Times New Roman"/>
          <w:sz w:val="24"/>
          <w:szCs w:val="24"/>
        </w:rPr>
      </w:pPr>
      <w:r w:rsidRPr="00F368E5">
        <w:rPr>
          <w:rFonts w:ascii="Times New Roman" w:hAnsi="Times New Roman" w:cs="Times New Roman"/>
          <w:sz w:val="24"/>
          <w:szCs w:val="24"/>
        </w:rPr>
        <w:t>Portfolio Committee on Trade and Industry (2015). Budget Review and Recommendations Report 2015. Parliament. Cape Town.</w:t>
      </w:r>
    </w:p>
    <w:p w:rsidR="00F350B5" w:rsidRPr="00F368E5" w:rsidRDefault="00F368E5" w:rsidP="00F368E5">
      <w:pPr>
        <w:autoSpaceDE w:val="0"/>
        <w:autoSpaceDN w:val="0"/>
        <w:adjustRightInd w:val="0"/>
        <w:spacing w:line="276" w:lineRule="auto"/>
        <w:contextualSpacing/>
        <w:jc w:val="both"/>
        <w:rPr>
          <w:rFonts w:ascii="Times New Roman" w:hAnsi="Times New Roman" w:cs="Times New Roman"/>
          <w:sz w:val="24"/>
          <w:szCs w:val="24"/>
        </w:rPr>
      </w:pPr>
      <w:r w:rsidRPr="00F368E5">
        <w:rPr>
          <w:rFonts w:ascii="Times New Roman" w:hAnsi="Times New Roman" w:cs="Times New Roman"/>
          <w:sz w:val="24"/>
          <w:szCs w:val="24"/>
        </w:rPr>
        <w:t xml:space="preserve">Zuma, J.G. (2016) </w:t>
      </w:r>
      <w:r w:rsidRPr="001E4734">
        <w:rPr>
          <w:rFonts w:ascii="Times New Roman" w:hAnsi="Times New Roman" w:cs="Times New Roman"/>
          <w:i/>
          <w:sz w:val="24"/>
          <w:szCs w:val="24"/>
        </w:rPr>
        <w:t>State of the Nation Address by His Excellency Jacob G. Zuma, President of the Republic of South Africa on the occasion of the Joint Sitting of Parliament</w:t>
      </w:r>
      <w:r w:rsidRPr="00F368E5">
        <w:rPr>
          <w:rFonts w:ascii="Times New Roman" w:hAnsi="Times New Roman" w:cs="Times New Roman"/>
          <w:sz w:val="24"/>
          <w:szCs w:val="24"/>
        </w:rPr>
        <w:t>. Cape Town.</w:t>
      </w:r>
    </w:p>
    <w:sectPr w:rsidR="00F350B5" w:rsidRPr="00F368E5" w:rsidSect="006F2694">
      <w:footerReference w:type="default" r:id="rId12"/>
      <w:pgSz w:w="11906" w:h="16838"/>
      <w:pgMar w:top="990" w:right="1440" w:bottom="81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EAA" w:rsidRDefault="00D92EAA" w:rsidP="00B01B42">
      <w:pPr>
        <w:spacing w:after="0" w:line="240" w:lineRule="auto"/>
      </w:pPr>
      <w:r>
        <w:separator/>
      </w:r>
    </w:p>
  </w:endnote>
  <w:endnote w:type="continuationSeparator" w:id="0">
    <w:p w:rsidR="00D92EAA" w:rsidRDefault="00D92EAA" w:rsidP="00B0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Light">
    <w:altName w:val="Arial Unicode MS"/>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924061"/>
      <w:docPartObj>
        <w:docPartGallery w:val="Page Numbers (Bottom of Page)"/>
        <w:docPartUnique/>
      </w:docPartObj>
    </w:sdtPr>
    <w:sdtEndPr>
      <w:rPr>
        <w:rFonts w:ascii="Arial" w:hAnsi="Arial" w:cs="Arial"/>
        <w:noProof/>
      </w:rPr>
    </w:sdtEndPr>
    <w:sdtContent>
      <w:p w:rsidR="00955C3A" w:rsidRPr="005069AB" w:rsidRDefault="00955C3A">
        <w:pPr>
          <w:pStyle w:val="Footer"/>
          <w:jc w:val="right"/>
          <w:rPr>
            <w:rFonts w:ascii="Arial" w:hAnsi="Arial" w:cs="Arial"/>
          </w:rPr>
        </w:pPr>
        <w:r w:rsidRPr="005069AB">
          <w:rPr>
            <w:rFonts w:ascii="Arial" w:hAnsi="Arial" w:cs="Arial"/>
          </w:rPr>
          <w:fldChar w:fldCharType="begin"/>
        </w:r>
        <w:r w:rsidRPr="005069AB">
          <w:rPr>
            <w:rFonts w:ascii="Arial" w:hAnsi="Arial" w:cs="Arial"/>
          </w:rPr>
          <w:instrText xml:space="preserve"> PAGE   \* MERGEFORMAT </w:instrText>
        </w:r>
        <w:r w:rsidRPr="005069AB">
          <w:rPr>
            <w:rFonts w:ascii="Arial" w:hAnsi="Arial" w:cs="Arial"/>
          </w:rPr>
          <w:fldChar w:fldCharType="separate"/>
        </w:r>
        <w:r w:rsidR="00C75EF1">
          <w:rPr>
            <w:rFonts w:ascii="Arial" w:hAnsi="Arial" w:cs="Arial"/>
            <w:noProof/>
          </w:rPr>
          <w:t>1</w:t>
        </w:r>
        <w:r w:rsidRPr="005069AB">
          <w:rPr>
            <w:rFonts w:ascii="Arial" w:hAnsi="Arial" w:cs="Arial"/>
            <w:noProof/>
          </w:rPr>
          <w:fldChar w:fldCharType="end"/>
        </w:r>
      </w:p>
    </w:sdtContent>
  </w:sdt>
  <w:p w:rsidR="00955C3A" w:rsidRDefault="00955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EAA" w:rsidRDefault="00D92EAA" w:rsidP="00B01B42">
      <w:pPr>
        <w:spacing w:after="0" w:line="240" w:lineRule="auto"/>
      </w:pPr>
      <w:r>
        <w:separator/>
      </w:r>
    </w:p>
  </w:footnote>
  <w:footnote w:type="continuationSeparator" w:id="0">
    <w:p w:rsidR="00D92EAA" w:rsidRDefault="00D92EAA" w:rsidP="00B01B42">
      <w:pPr>
        <w:spacing w:after="0" w:line="240" w:lineRule="auto"/>
      </w:pPr>
      <w:r>
        <w:continuationSeparator/>
      </w:r>
    </w:p>
  </w:footnote>
  <w:footnote w:id="1">
    <w:p w:rsidR="00955C3A" w:rsidRPr="007E21C4" w:rsidRDefault="00955C3A" w:rsidP="00A76DF9">
      <w:pPr>
        <w:pStyle w:val="FootnoteText"/>
        <w:spacing w:line="240" w:lineRule="exact"/>
        <w:rPr>
          <w:rFonts w:ascii="Times New Roman" w:hAnsi="Times New Roman" w:cs="Times New Roman"/>
          <w:sz w:val="18"/>
          <w:szCs w:val="18"/>
        </w:rPr>
      </w:pPr>
      <w:r w:rsidRPr="007E21C4">
        <w:rPr>
          <w:rStyle w:val="FootnoteReference"/>
          <w:rFonts w:ascii="Times New Roman" w:hAnsi="Times New Roman" w:cs="Times New Roman"/>
          <w:szCs w:val="18"/>
        </w:rPr>
        <w:footnoteRef/>
      </w:r>
      <w:r w:rsidRPr="007E21C4">
        <w:rPr>
          <w:rFonts w:ascii="Times New Roman" w:hAnsi="Times New Roman" w:cs="Times New Roman"/>
          <w:szCs w:val="18"/>
        </w:rPr>
        <w:t xml:space="preserve"> DTI (2014a)</w:t>
      </w:r>
    </w:p>
  </w:footnote>
  <w:footnote w:id="2">
    <w:p w:rsidR="00955C3A" w:rsidRPr="007E21C4" w:rsidRDefault="00955C3A" w:rsidP="00A05EDB">
      <w:pPr>
        <w:pStyle w:val="FootnoteText"/>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Department of Trade and Industry (2015) </w:t>
      </w:r>
    </w:p>
  </w:footnote>
  <w:footnote w:id="3">
    <w:p w:rsidR="00955C3A" w:rsidRPr="001B7515" w:rsidRDefault="00955C3A" w:rsidP="007B6264">
      <w:pPr>
        <w:pStyle w:val="FootnoteText"/>
        <w:rPr>
          <w:rFonts w:ascii="Arial" w:hAnsi="Arial" w:cs="Arial"/>
        </w:rPr>
      </w:pPr>
      <w:r w:rsidRPr="007E21C4">
        <w:rPr>
          <w:rStyle w:val="FootnoteReference"/>
          <w:rFonts w:ascii="Times New Roman" w:hAnsi="Times New Roman" w:cs="Times New Roman"/>
        </w:rPr>
        <w:footnoteRef/>
      </w:r>
      <w:r w:rsidRPr="007E21C4">
        <w:rPr>
          <w:rFonts w:ascii="Times New Roman" w:hAnsi="Times New Roman" w:cs="Times New Roman"/>
        </w:rPr>
        <w:t xml:space="preserve"> Department of Trade and Industry (2015)</w:t>
      </w:r>
    </w:p>
  </w:footnote>
  <w:footnote w:id="4">
    <w:p w:rsidR="00955C3A" w:rsidRPr="007E21C4" w:rsidRDefault="00955C3A">
      <w:pPr>
        <w:pStyle w:val="FootnoteText"/>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Figures based on </w:t>
      </w:r>
      <w:r>
        <w:rPr>
          <w:rFonts w:ascii="Times New Roman" w:hAnsi="Times New Roman" w:cs="Times New Roman"/>
        </w:rPr>
        <w:t>National Treasury (2016)</w:t>
      </w:r>
    </w:p>
  </w:footnote>
  <w:footnote w:id="5">
    <w:p w:rsidR="00955C3A" w:rsidRPr="007E21C4" w:rsidRDefault="00955C3A" w:rsidP="00A05EDB">
      <w:pPr>
        <w:pStyle w:val="FootnoteText"/>
        <w:spacing w:line="276" w:lineRule="auto"/>
        <w:jc w:val="both"/>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The Presidency (2014)</w:t>
      </w:r>
    </w:p>
  </w:footnote>
  <w:footnote w:id="6">
    <w:p w:rsidR="00955C3A" w:rsidRPr="007E21C4" w:rsidRDefault="00955C3A" w:rsidP="00A05EDB">
      <w:pPr>
        <w:pStyle w:val="FootnoteText"/>
        <w:spacing w:line="276" w:lineRule="auto"/>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Nene, N. (2015)</w:t>
      </w:r>
    </w:p>
  </w:footnote>
  <w:footnote w:id="7">
    <w:p w:rsidR="00955C3A" w:rsidRPr="007E21C4" w:rsidRDefault="00955C3A" w:rsidP="00A05EDB">
      <w:pPr>
        <w:pStyle w:val="FootnoteText"/>
        <w:spacing w:line="276" w:lineRule="auto"/>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Zuma, J. G (2015)</w:t>
      </w:r>
    </w:p>
  </w:footnote>
  <w:footnote w:id="8">
    <w:p w:rsidR="00955C3A" w:rsidRPr="007E21C4" w:rsidRDefault="00955C3A" w:rsidP="00A05EDB">
      <w:pPr>
        <w:pStyle w:val="FootnoteText"/>
        <w:spacing w:line="276" w:lineRule="auto"/>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Department of Trade and Industry (2015)</w:t>
      </w:r>
    </w:p>
  </w:footnote>
  <w:footnote w:id="9">
    <w:p w:rsidR="00955C3A" w:rsidRPr="007E21C4" w:rsidRDefault="00955C3A" w:rsidP="00A05EDB">
      <w:pPr>
        <w:pStyle w:val="FootnoteText"/>
        <w:spacing w:line="276" w:lineRule="auto"/>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Inflation estimates are 6.6%, 6.2% and 5.9% respectively for the next three years from 2016/17 to 2018/19 </w:t>
      </w:r>
    </w:p>
  </w:footnote>
  <w:footnote w:id="10">
    <w:p w:rsidR="00955C3A" w:rsidRPr="00E56208" w:rsidRDefault="00955C3A" w:rsidP="00A05EDB">
      <w:pPr>
        <w:pStyle w:val="FootnoteText"/>
        <w:spacing w:line="276" w:lineRule="auto"/>
        <w:rPr>
          <w:rFonts w:ascii="Arial" w:hAnsi="Arial" w:cs="Arial"/>
        </w:rPr>
      </w:pPr>
      <w:r w:rsidRPr="007E21C4">
        <w:rPr>
          <w:rStyle w:val="FootnoteReference"/>
          <w:rFonts w:ascii="Times New Roman" w:hAnsi="Times New Roman" w:cs="Times New Roman"/>
        </w:rPr>
        <w:footnoteRef/>
      </w:r>
      <w:r w:rsidRPr="007E21C4">
        <w:rPr>
          <w:rFonts w:ascii="Times New Roman" w:hAnsi="Times New Roman" w:cs="Times New Roman"/>
        </w:rPr>
        <w:t xml:space="preserve"> Department of Trade and Industry (2015)</w:t>
      </w:r>
      <w:r w:rsidRPr="00E56208">
        <w:rPr>
          <w:rFonts w:ascii="Arial" w:hAnsi="Arial" w:cs="Arial"/>
        </w:rPr>
        <w:t xml:space="preserve"> </w:t>
      </w:r>
    </w:p>
  </w:footnote>
  <w:footnote w:id="11">
    <w:p w:rsidR="00955C3A" w:rsidRPr="001B7515" w:rsidRDefault="00955C3A" w:rsidP="00A05EDB">
      <w:pPr>
        <w:pStyle w:val="FootnoteText"/>
        <w:spacing w:line="276" w:lineRule="auto"/>
        <w:rPr>
          <w:rFonts w:ascii="Arial" w:hAnsi="Arial" w:cs="Arial"/>
        </w:rPr>
      </w:pPr>
      <w:r w:rsidRPr="001B7515">
        <w:rPr>
          <w:rStyle w:val="FootnoteReference"/>
          <w:rFonts w:ascii="Arial" w:hAnsi="Arial" w:cs="Arial"/>
        </w:rPr>
        <w:footnoteRef/>
      </w:r>
      <w:r w:rsidRPr="001B7515">
        <w:rPr>
          <w:rFonts w:ascii="Arial" w:hAnsi="Arial" w:cs="Arial"/>
        </w:rPr>
        <w:t xml:space="preserve"> </w:t>
      </w:r>
      <w:r w:rsidRPr="00A51ABD">
        <w:rPr>
          <w:rFonts w:ascii="Times New Roman" w:hAnsi="Times New Roman" w:cs="Times New Roman"/>
        </w:rPr>
        <w:t>Portfolio Committee on Trade and Industry (2014)</w:t>
      </w:r>
    </w:p>
  </w:footnote>
  <w:footnote w:id="12">
    <w:p w:rsidR="00955C3A" w:rsidRPr="00A51ABD" w:rsidRDefault="00955C3A" w:rsidP="00A05EDB">
      <w:pPr>
        <w:pStyle w:val="FootnoteText"/>
        <w:spacing w:line="276" w:lineRule="auto"/>
        <w:rPr>
          <w:rFonts w:ascii="Times New Roman" w:hAnsi="Times New Roman" w:cs="Times New Roman"/>
        </w:rPr>
      </w:pPr>
      <w:r w:rsidRPr="00A51ABD">
        <w:rPr>
          <w:rStyle w:val="FootnoteReference"/>
          <w:rFonts w:ascii="Times New Roman" w:hAnsi="Times New Roman" w:cs="Times New Roman"/>
        </w:rPr>
        <w:footnoteRef/>
      </w:r>
      <w:r w:rsidRPr="00A51ABD">
        <w:rPr>
          <w:rFonts w:ascii="Times New Roman" w:hAnsi="Times New Roman" w:cs="Times New Roman"/>
        </w:rPr>
        <w:t xml:space="preserve"> National Treasury (2015)</w:t>
      </w:r>
    </w:p>
  </w:footnote>
  <w:footnote w:id="13">
    <w:p w:rsidR="00955C3A" w:rsidRPr="00A51ABD" w:rsidRDefault="00955C3A" w:rsidP="00A05EDB">
      <w:pPr>
        <w:pStyle w:val="FootnoteText"/>
        <w:rPr>
          <w:rFonts w:ascii="Times New Roman" w:hAnsi="Times New Roman" w:cs="Times New Roman"/>
        </w:rPr>
      </w:pPr>
      <w:r w:rsidRPr="00A51ABD">
        <w:rPr>
          <w:rStyle w:val="FootnoteReference"/>
          <w:rFonts w:ascii="Times New Roman" w:hAnsi="Times New Roman" w:cs="Times New Roman"/>
        </w:rPr>
        <w:footnoteRef/>
      </w:r>
      <w:r w:rsidRPr="00A51ABD">
        <w:rPr>
          <w:rFonts w:ascii="Times New Roman" w:hAnsi="Times New Roman" w:cs="Times New Roman"/>
        </w:rPr>
        <w:t xml:space="preserve"> Portfolio Committee on Trade and Industry (2015) </w:t>
      </w:r>
    </w:p>
  </w:footnote>
  <w:footnote w:id="14">
    <w:p w:rsidR="00955C3A" w:rsidRPr="007E21C4" w:rsidRDefault="00955C3A" w:rsidP="00A05EDB">
      <w:pPr>
        <w:pStyle w:val="FootnoteText"/>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National Treasury (2016a)</w:t>
      </w:r>
    </w:p>
  </w:footnote>
  <w:footnote w:id="15">
    <w:p w:rsidR="00955C3A" w:rsidRPr="007E21C4" w:rsidRDefault="00955C3A">
      <w:pPr>
        <w:pStyle w:val="FootnoteText"/>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SMART </w:t>
      </w:r>
      <w:r>
        <w:rPr>
          <w:rFonts w:ascii="Times New Roman" w:hAnsi="Times New Roman" w:cs="Times New Roman"/>
        </w:rPr>
        <w:t xml:space="preserve">stands for </w:t>
      </w:r>
      <w:r w:rsidRPr="007E21C4">
        <w:rPr>
          <w:rFonts w:ascii="Times New Roman" w:hAnsi="Times New Roman" w:cs="Times New Roman"/>
          <w:b/>
        </w:rPr>
        <w:t>S</w:t>
      </w:r>
      <w:r>
        <w:rPr>
          <w:rFonts w:ascii="Times New Roman" w:hAnsi="Times New Roman" w:cs="Times New Roman"/>
        </w:rPr>
        <w:t xml:space="preserve">pecific, </w:t>
      </w:r>
      <w:r w:rsidRPr="007E21C4">
        <w:rPr>
          <w:rFonts w:ascii="Times New Roman" w:hAnsi="Times New Roman" w:cs="Times New Roman"/>
          <w:b/>
        </w:rPr>
        <w:t>M</w:t>
      </w:r>
      <w:r>
        <w:rPr>
          <w:rFonts w:ascii="Times New Roman" w:hAnsi="Times New Roman" w:cs="Times New Roman"/>
        </w:rPr>
        <w:t xml:space="preserve">easurable, </w:t>
      </w:r>
      <w:r w:rsidRPr="007E21C4">
        <w:rPr>
          <w:rFonts w:ascii="Times New Roman" w:hAnsi="Times New Roman" w:cs="Times New Roman"/>
          <w:b/>
        </w:rPr>
        <w:t>A</w:t>
      </w:r>
      <w:r>
        <w:rPr>
          <w:rFonts w:ascii="Times New Roman" w:hAnsi="Times New Roman" w:cs="Times New Roman"/>
        </w:rPr>
        <w:t xml:space="preserve">ttainable, </w:t>
      </w:r>
      <w:r w:rsidRPr="007E21C4">
        <w:rPr>
          <w:rFonts w:ascii="Times New Roman" w:hAnsi="Times New Roman" w:cs="Times New Roman"/>
          <w:b/>
        </w:rPr>
        <w:t>R</w:t>
      </w:r>
      <w:r>
        <w:rPr>
          <w:rFonts w:ascii="Times New Roman" w:hAnsi="Times New Roman" w:cs="Times New Roman"/>
        </w:rPr>
        <w:t xml:space="preserve">ealistic and </w:t>
      </w:r>
      <w:r w:rsidRPr="007E21C4">
        <w:rPr>
          <w:rFonts w:ascii="Times New Roman" w:hAnsi="Times New Roman" w:cs="Times New Roman"/>
          <w:b/>
        </w:rPr>
        <w:t>T</w:t>
      </w:r>
      <w:r>
        <w:rPr>
          <w:rFonts w:ascii="Times New Roman" w:hAnsi="Times New Roman" w:cs="Times New Roman"/>
        </w:rPr>
        <w:t>imely.</w:t>
      </w:r>
    </w:p>
  </w:footnote>
  <w:footnote w:id="16">
    <w:p w:rsidR="00955C3A" w:rsidRPr="007E21C4" w:rsidRDefault="00955C3A">
      <w:pPr>
        <w:pStyle w:val="FootnoteText"/>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w:t>
      </w:r>
      <w:r w:rsidRPr="00CF4ADF">
        <w:rPr>
          <w:rFonts w:ascii="Times New Roman" w:hAnsi="Times New Roman" w:cs="Times New Roman"/>
          <w:bCs/>
        </w:rPr>
        <w:t>Companies Tribunal (2016b)</w:t>
      </w:r>
    </w:p>
  </w:footnote>
  <w:footnote w:id="17">
    <w:p w:rsidR="00955C3A" w:rsidRPr="007E21C4" w:rsidRDefault="00955C3A" w:rsidP="00A15410">
      <w:pPr>
        <w:pStyle w:val="FootnoteText"/>
        <w:rPr>
          <w:rFonts w:ascii="Times New Roman" w:hAnsi="Times New Roman" w:cs="Times New Roman"/>
        </w:rPr>
      </w:pPr>
      <w:r w:rsidRPr="007E21C4">
        <w:rPr>
          <w:rStyle w:val="FootnoteReference"/>
          <w:rFonts w:ascii="Times New Roman" w:hAnsi="Times New Roman" w:cs="Times New Roman"/>
        </w:rPr>
        <w:footnoteRef/>
      </w:r>
      <w:r w:rsidRPr="007E21C4">
        <w:rPr>
          <w:rFonts w:ascii="Times New Roman" w:hAnsi="Times New Roman" w:cs="Times New Roman"/>
        </w:rPr>
        <w:t xml:space="preserve"> National Consumer Tribunal (2016a)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3B6"/>
    <w:multiLevelType w:val="hybridMultilevel"/>
    <w:tmpl w:val="C396F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ED2515"/>
    <w:multiLevelType w:val="hybridMultilevel"/>
    <w:tmpl w:val="8A404A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00A12B7"/>
    <w:multiLevelType w:val="hybridMultilevel"/>
    <w:tmpl w:val="6CA8C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72FAE"/>
    <w:multiLevelType w:val="hybridMultilevel"/>
    <w:tmpl w:val="D3E201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3085E81"/>
    <w:multiLevelType w:val="hybridMultilevel"/>
    <w:tmpl w:val="6DDACC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731733A"/>
    <w:multiLevelType w:val="hybridMultilevel"/>
    <w:tmpl w:val="6D7C85AC"/>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74C66F1"/>
    <w:multiLevelType w:val="multilevel"/>
    <w:tmpl w:val="035062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5D00DE"/>
    <w:multiLevelType w:val="hybridMultilevel"/>
    <w:tmpl w:val="0C56AE74"/>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E02381"/>
    <w:multiLevelType w:val="hybridMultilevel"/>
    <w:tmpl w:val="8D66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32105"/>
    <w:multiLevelType w:val="multilevel"/>
    <w:tmpl w:val="BF3ABE1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9C0022"/>
    <w:multiLevelType w:val="hybridMultilevel"/>
    <w:tmpl w:val="6C14D2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D403AAD"/>
    <w:multiLevelType w:val="hybridMultilevel"/>
    <w:tmpl w:val="31C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897F55"/>
    <w:multiLevelType w:val="multilevel"/>
    <w:tmpl w:val="5554DF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F95BE8"/>
    <w:multiLevelType w:val="hybridMultilevel"/>
    <w:tmpl w:val="2A4CEFF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C2E7E"/>
    <w:multiLevelType w:val="hybridMultilevel"/>
    <w:tmpl w:val="89C6076E"/>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15">
    <w:nsid w:val="380027A2"/>
    <w:multiLevelType w:val="multilevel"/>
    <w:tmpl w:val="55E2130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DC095B"/>
    <w:multiLevelType w:val="hybridMultilevel"/>
    <w:tmpl w:val="0FFCAD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F37D83"/>
    <w:multiLevelType w:val="multilevel"/>
    <w:tmpl w:val="CB38B07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BB4799"/>
    <w:multiLevelType w:val="hybridMultilevel"/>
    <w:tmpl w:val="0AC8ED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3FD50A95"/>
    <w:multiLevelType w:val="hybridMultilevel"/>
    <w:tmpl w:val="65BC5C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08B4A10"/>
    <w:multiLevelType w:val="hybridMultilevel"/>
    <w:tmpl w:val="4B2434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21">
    <w:nsid w:val="428C491F"/>
    <w:multiLevelType w:val="multilevel"/>
    <w:tmpl w:val="5EFA0C5A"/>
    <w:lvl w:ilvl="0">
      <w:start w:val="1"/>
      <w:numFmt w:val="decimal"/>
      <w:lvlText w:val="%1."/>
      <w:lvlJc w:val="left"/>
      <w:pPr>
        <w:ind w:left="360" w:hanging="360"/>
      </w:pPr>
    </w:lvl>
    <w:lvl w:ilvl="1">
      <w:start w:val="1"/>
      <w:numFmt w:val="decimal"/>
      <w:lvlText w:val="%1.%2."/>
      <w:lvlJc w:val="left"/>
      <w:pPr>
        <w:ind w:left="9505" w:hanging="432"/>
      </w:pPr>
      <w:rPr>
        <w:rFonts w:ascii="Times New Roman" w:hAnsi="Times New Roman" w:cs="Times New Roman" w:hint="default"/>
        <w:b/>
      </w:rPr>
    </w:lvl>
    <w:lvl w:ilvl="2">
      <w:start w:val="1"/>
      <w:numFmt w:val="decimal"/>
      <w:lvlText w:val="%1.%2.%3."/>
      <w:lvlJc w:val="left"/>
      <w:pPr>
        <w:ind w:left="1224" w:hanging="504"/>
      </w:pPr>
      <w:rPr>
        <w:rFonts w:ascii="Times New Roman" w:hAnsi="Times New Roman" w:cs="Times New Roman" w:hint="default"/>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3AA0625"/>
    <w:multiLevelType w:val="hybridMultilevel"/>
    <w:tmpl w:val="D84679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47A71C21"/>
    <w:multiLevelType w:val="multilevel"/>
    <w:tmpl w:val="C634748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nsid w:val="484B27CF"/>
    <w:multiLevelType w:val="hybridMultilevel"/>
    <w:tmpl w:val="DB0E3E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4A7539AF"/>
    <w:multiLevelType w:val="hybridMultilevel"/>
    <w:tmpl w:val="52B665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B6945EE"/>
    <w:multiLevelType w:val="hybridMultilevel"/>
    <w:tmpl w:val="061245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4C923BBC"/>
    <w:multiLevelType w:val="hybridMultilevel"/>
    <w:tmpl w:val="D94025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1C076F7"/>
    <w:multiLevelType w:val="multilevel"/>
    <w:tmpl w:val="69C8745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49471AF"/>
    <w:multiLevelType w:val="hybridMultilevel"/>
    <w:tmpl w:val="2C7E3E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582D7551"/>
    <w:multiLevelType w:val="hybridMultilevel"/>
    <w:tmpl w:val="CF3A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B81D28"/>
    <w:multiLevelType w:val="hybridMultilevel"/>
    <w:tmpl w:val="D77EAC3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61886759"/>
    <w:multiLevelType w:val="hybridMultilevel"/>
    <w:tmpl w:val="220EEC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6872193A"/>
    <w:multiLevelType w:val="hybridMultilevel"/>
    <w:tmpl w:val="E87C9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C9602EC"/>
    <w:multiLevelType w:val="hybridMultilevel"/>
    <w:tmpl w:val="F4A61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F762EC"/>
    <w:multiLevelType w:val="hybridMultilevel"/>
    <w:tmpl w:val="8D08F0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6F7D4D2D"/>
    <w:multiLevelType w:val="multilevel"/>
    <w:tmpl w:val="F20E972E"/>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FF284C"/>
    <w:multiLevelType w:val="hybridMultilevel"/>
    <w:tmpl w:val="390E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C729D0"/>
    <w:multiLevelType w:val="hybridMultilevel"/>
    <w:tmpl w:val="AF3050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D3E040E"/>
    <w:multiLevelType w:val="multilevel"/>
    <w:tmpl w:val="9A90F33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16789A"/>
    <w:multiLevelType w:val="hybridMultilevel"/>
    <w:tmpl w:val="DF36C28E"/>
    <w:lvl w:ilvl="0" w:tplc="663CA742">
      <w:start w:val="1"/>
      <w:numFmt w:val="bullet"/>
      <w:lvlText w:val=""/>
      <w:lvlJc w:val="left"/>
      <w:pPr>
        <w:ind w:left="720" w:hanging="360"/>
      </w:pPr>
      <w:rPr>
        <w:rFonts w:ascii="Symbol" w:hAnsi="Symbol" w:hint="default"/>
        <w:b w:val="0"/>
        <w:i w:val="0"/>
        <w:sz w:val="22"/>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3"/>
  </w:num>
  <w:num w:numId="4">
    <w:abstractNumId w:val="19"/>
  </w:num>
  <w:num w:numId="5">
    <w:abstractNumId w:val="20"/>
  </w:num>
  <w:num w:numId="6">
    <w:abstractNumId w:val="14"/>
  </w:num>
  <w:num w:numId="7">
    <w:abstractNumId w:val="18"/>
  </w:num>
  <w:num w:numId="8">
    <w:abstractNumId w:val="29"/>
  </w:num>
  <w:num w:numId="9">
    <w:abstractNumId w:val="40"/>
  </w:num>
  <w:num w:numId="10">
    <w:abstractNumId w:val="9"/>
  </w:num>
  <w:num w:numId="11">
    <w:abstractNumId w:val="2"/>
  </w:num>
  <w:num w:numId="12">
    <w:abstractNumId w:val="31"/>
  </w:num>
  <w:num w:numId="13">
    <w:abstractNumId w:val="7"/>
  </w:num>
  <w:num w:numId="14">
    <w:abstractNumId w:val="17"/>
  </w:num>
  <w:num w:numId="15">
    <w:abstractNumId w:val="15"/>
  </w:num>
  <w:num w:numId="16">
    <w:abstractNumId w:val="11"/>
  </w:num>
  <w:num w:numId="17">
    <w:abstractNumId w:val="36"/>
  </w:num>
  <w:num w:numId="18">
    <w:abstractNumId w:val="33"/>
  </w:num>
  <w:num w:numId="19">
    <w:abstractNumId w:val="5"/>
  </w:num>
  <w:num w:numId="20">
    <w:abstractNumId w:val="0"/>
  </w:num>
  <w:num w:numId="21">
    <w:abstractNumId w:val="28"/>
  </w:num>
  <w:num w:numId="22">
    <w:abstractNumId w:val="30"/>
  </w:num>
  <w:num w:numId="23">
    <w:abstractNumId w:val="13"/>
  </w:num>
  <w:num w:numId="24">
    <w:abstractNumId w:val="37"/>
  </w:num>
  <w:num w:numId="25">
    <w:abstractNumId w:val="4"/>
  </w:num>
  <w:num w:numId="26">
    <w:abstractNumId w:val="38"/>
  </w:num>
  <w:num w:numId="27">
    <w:abstractNumId w:val="16"/>
  </w:num>
  <w:num w:numId="28">
    <w:abstractNumId w:val="10"/>
  </w:num>
  <w:num w:numId="29">
    <w:abstractNumId w:val="24"/>
  </w:num>
  <w:num w:numId="30">
    <w:abstractNumId w:val="35"/>
  </w:num>
  <w:num w:numId="31">
    <w:abstractNumId w:val="1"/>
  </w:num>
  <w:num w:numId="32">
    <w:abstractNumId w:val="25"/>
  </w:num>
  <w:num w:numId="33">
    <w:abstractNumId w:val="27"/>
  </w:num>
  <w:num w:numId="34">
    <w:abstractNumId w:val="12"/>
  </w:num>
  <w:num w:numId="35">
    <w:abstractNumId w:val="39"/>
  </w:num>
  <w:num w:numId="36">
    <w:abstractNumId w:val="32"/>
  </w:num>
  <w:num w:numId="37">
    <w:abstractNumId w:val="22"/>
  </w:num>
  <w:num w:numId="38">
    <w:abstractNumId w:val="8"/>
  </w:num>
  <w:num w:numId="39">
    <w:abstractNumId w:val="34"/>
  </w:num>
  <w:num w:numId="40">
    <w:abstractNumId w:val="26"/>
  </w:num>
  <w:num w:numId="41">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DF"/>
    <w:rsid w:val="00007291"/>
    <w:rsid w:val="000121A3"/>
    <w:rsid w:val="0001514F"/>
    <w:rsid w:val="00017709"/>
    <w:rsid w:val="00023F5B"/>
    <w:rsid w:val="00024CCF"/>
    <w:rsid w:val="00030B4F"/>
    <w:rsid w:val="000348AF"/>
    <w:rsid w:val="00034E13"/>
    <w:rsid w:val="00035961"/>
    <w:rsid w:val="0003599C"/>
    <w:rsid w:val="00041F2E"/>
    <w:rsid w:val="00044ED0"/>
    <w:rsid w:val="0005117D"/>
    <w:rsid w:val="0005172A"/>
    <w:rsid w:val="00054634"/>
    <w:rsid w:val="000615B9"/>
    <w:rsid w:val="0006471F"/>
    <w:rsid w:val="000667BC"/>
    <w:rsid w:val="00066BB7"/>
    <w:rsid w:val="00087BAD"/>
    <w:rsid w:val="00096028"/>
    <w:rsid w:val="000A1D5E"/>
    <w:rsid w:val="000A1EE6"/>
    <w:rsid w:val="000A5045"/>
    <w:rsid w:val="000B7505"/>
    <w:rsid w:val="000C2634"/>
    <w:rsid w:val="000C508C"/>
    <w:rsid w:val="000C70C5"/>
    <w:rsid w:val="000D079A"/>
    <w:rsid w:val="000D1C6F"/>
    <w:rsid w:val="000D7D4B"/>
    <w:rsid w:val="000E08C9"/>
    <w:rsid w:val="000E3A5B"/>
    <w:rsid w:val="000E60DB"/>
    <w:rsid w:val="000E6BC8"/>
    <w:rsid w:val="000F17F2"/>
    <w:rsid w:val="000F612D"/>
    <w:rsid w:val="001003D3"/>
    <w:rsid w:val="001005CB"/>
    <w:rsid w:val="00101603"/>
    <w:rsid w:val="00104BFB"/>
    <w:rsid w:val="00110799"/>
    <w:rsid w:val="00111171"/>
    <w:rsid w:val="001129F1"/>
    <w:rsid w:val="0011327A"/>
    <w:rsid w:val="00115479"/>
    <w:rsid w:val="00121E2D"/>
    <w:rsid w:val="00123C0A"/>
    <w:rsid w:val="00124675"/>
    <w:rsid w:val="001304E7"/>
    <w:rsid w:val="00135B8C"/>
    <w:rsid w:val="00144044"/>
    <w:rsid w:val="00151B27"/>
    <w:rsid w:val="00153D06"/>
    <w:rsid w:val="00156FBB"/>
    <w:rsid w:val="001623A0"/>
    <w:rsid w:val="00166D62"/>
    <w:rsid w:val="001672D5"/>
    <w:rsid w:val="0017111D"/>
    <w:rsid w:val="001735CE"/>
    <w:rsid w:val="00176352"/>
    <w:rsid w:val="00176EE1"/>
    <w:rsid w:val="001776AD"/>
    <w:rsid w:val="00183353"/>
    <w:rsid w:val="00183611"/>
    <w:rsid w:val="00183AD1"/>
    <w:rsid w:val="00186288"/>
    <w:rsid w:val="001865AC"/>
    <w:rsid w:val="00186842"/>
    <w:rsid w:val="0018738C"/>
    <w:rsid w:val="00194202"/>
    <w:rsid w:val="00196375"/>
    <w:rsid w:val="00196694"/>
    <w:rsid w:val="001B487E"/>
    <w:rsid w:val="001B507F"/>
    <w:rsid w:val="001C1239"/>
    <w:rsid w:val="001D01C6"/>
    <w:rsid w:val="001D644F"/>
    <w:rsid w:val="001D7B80"/>
    <w:rsid w:val="001E1FE0"/>
    <w:rsid w:val="001E46C9"/>
    <w:rsid w:val="001E4734"/>
    <w:rsid w:val="001E5AEF"/>
    <w:rsid w:val="001E799A"/>
    <w:rsid w:val="001F6F6C"/>
    <w:rsid w:val="001F7A54"/>
    <w:rsid w:val="00203020"/>
    <w:rsid w:val="002103E7"/>
    <w:rsid w:val="00211F54"/>
    <w:rsid w:val="00212DB2"/>
    <w:rsid w:val="00213BCF"/>
    <w:rsid w:val="00216011"/>
    <w:rsid w:val="0022538D"/>
    <w:rsid w:val="002322CC"/>
    <w:rsid w:val="0023263F"/>
    <w:rsid w:val="00234877"/>
    <w:rsid w:val="00235CFE"/>
    <w:rsid w:val="00250E9D"/>
    <w:rsid w:val="002530A3"/>
    <w:rsid w:val="00253CF6"/>
    <w:rsid w:val="0025424D"/>
    <w:rsid w:val="002571F3"/>
    <w:rsid w:val="00262E05"/>
    <w:rsid w:val="00263D25"/>
    <w:rsid w:val="00272F92"/>
    <w:rsid w:val="002760EC"/>
    <w:rsid w:val="00276708"/>
    <w:rsid w:val="0027723E"/>
    <w:rsid w:val="00281051"/>
    <w:rsid w:val="00290307"/>
    <w:rsid w:val="00291F10"/>
    <w:rsid w:val="00292DD4"/>
    <w:rsid w:val="00293AD0"/>
    <w:rsid w:val="00294851"/>
    <w:rsid w:val="002965BC"/>
    <w:rsid w:val="002A4B74"/>
    <w:rsid w:val="002A6974"/>
    <w:rsid w:val="002A70C9"/>
    <w:rsid w:val="002B2611"/>
    <w:rsid w:val="002B4685"/>
    <w:rsid w:val="002B5599"/>
    <w:rsid w:val="002B5EE3"/>
    <w:rsid w:val="002B6201"/>
    <w:rsid w:val="002B7334"/>
    <w:rsid w:val="002B788E"/>
    <w:rsid w:val="002C4966"/>
    <w:rsid w:val="002D4FEA"/>
    <w:rsid w:val="002E0A13"/>
    <w:rsid w:val="002E6947"/>
    <w:rsid w:val="002F1D80"/>
    <w:rsid w:val="002F75F0"/>
    <w:rsid w:val="002F79F6"/>
    <w:rsid w:val="00304C8D"/>
    <w:rsid w:val="00311F35"/>
    <w:rsid w:val="00312B92"/>
    <w:rsid w:val="00312D4B"/>
    <w:rsid w:val="00313391"/>
    <w:rsid w:val="0031576B"/>
    <w:rsid w:val="003315A1"/>
    <w:rsid w:val="00331723"/>
    <w:rsid w:val="00335BE1"/>
    <w:rsid w:val="00336E70"/>
    <w:rsid w:val="00341A5F"/>
    <w:rsid w:val="00343A34"/>
    <w:rsid w:val="0034732B"/>
    <w:rsid w:val="00356491"/>
    <w:rsid w:val="00361A02"/>
    <w:rsid w:val="00362957"/>
    <w:rsid w:val="0036457D"/>
    <w:rsid w:val="003771F8"/>
    <w:rsid w:val="0038119B"/>
    <w:rsid w:val="003847F0"/>
    <w:rsid w:val="003906B4"/>
    <w:rsid w:val="00393A62"/>
    <w:rsid w:val="00393A6F"/>
    <w:rsid w:val="00394277"/>
    <w:rsid w:val="003976C3"/>
    <w:rsid w:val="003A1BEA"/>
    <w:rsid w:val="003A1C68"/>
    <w:rsid w:val="003A4026"/>
    <w:rsid w:val="003A5FB5"/>
    <w:rsid w:val="003A66A3"/>
    <w:rsid w:val="003B1507"/>
    <w:rsid w:val="003B43CB"/>
    <w:rsid w:val="003B5328"/>
    <w:rsid w:val="003C6836"/>
    <w:rsid w:val="003D09A0"/>
    <w:rsid w:val="003D33D9"/>
    <w:rsid w:val="003D7B4A"/>
    <w:rsid w:val="003E01FD"/>
    <w:rsid w:val="003E0C60"/>
    <w:rsid w:val="003E24B8"/>
    <w:rsid w:val="003E3F7F"/>
    <w:rsid w:val="003E50E5"/>
    <w:rsid w:val="003E5A41"/>
    <w:rsid w:val="003E5F9B"/>
    <w:rsid w:val="003F1610"/>
    <w:rsid w:val="003F2DA5"/>
    <w:rsid w:val="003F3B11"/>
    <w:rsid w:val="00401737"/>
    <w:rsid w:val="00405925"/>
    <w:rsid w:val="004161B1"/>
    <w:rsid w:val="0042027B"/>
    <w:rsid w:val="00430249"/>
    <w:rsid w:val="004311C0"/>
    <w:rsid w:val="00435C23"/>
    <w:rsid w:val="00436210"/>
    <w:rsid w:val="004423B3"/>
    <w:rsid w:val="00444765"/>
    <w:rsid w:val="00454D5E"/>
    <w:rsid w:val="00455825"/>
    <w:rsid w:val="00456846"/>
    <w:rsid w:val="004625F2"/>
    <w:rsid w:val="0046598D"/>
    <w:rsid w:val="00466105"/>
    <w:rsid w:val="00467BCB"/>
    <w:rsid w:val="00467E5B"/>
    <w:rsid w:val="00473DFB"/>
    <w:rsid w:val="00474A60"/>
    <w:rsid w:val="004770F9"/>
    <w:rsid w:val="00483BEC"/>
    <w:rsid w:val="00490125"/>
    <w:rsid w:val="004914BA"/>
    <w:rsid w:val="004938D5"/>
    <w:rsid w:val="00495FEE"/>
    <w:rsid w:val="004A0785"/>
    <w:rsid w:val="004B1830"/>
    <w:rsid w:val="004B3AAF"/>
    <w:rsid w:val="004B7C4E"/>
    <w:rsid w:val="004C1BEC"/>
    <w:rsid w:val="004C5755"/>
    <w:rsid w:val="004C7054"/>
    <w:rsid w:val="004C7F1E"/>
    <w:rsid w:val="004D44B8"/>
    <w:rsid w:val="004E0D77"/>
    <w:rsid w:val="004E7BBC"/>
    <w:rsid w:val="004F2CA5"/>
    <w:rsid w:val="004F4320"/>
    <w:rsid w:val="00500636"/>
    <w:rsid w:val="00501558"/>
    <w:rsid w:val="00501DA0"/>
    <w:rsid w:val="005069AB"/>
    <w:rsid w:val="00510628"/>
    <w:rsid w:val="00513024"/>
    <w:rsid w:val="00523B6D"/>
    <w:rsid w:val="005257FD"/>
    <w:rsid w:val="0053392C"/>
    <w:rsid w:val="00535323"/>
    <w:rsid w:val="0053562F"/>
    <w:rsid w:val="005367B0"/>
    <w:rsid w:val="00541355"/>
    <w:rsid w:val="00541793"/>
    <w:rsid w:val="0055197D"/>
    <w:rsid w:val="00563079"/>
    <w:rsid w:val="005645A9"/>
    <w:rsid w:val="00565506"/>
    <w:rsid w:val="005728D4"/>
    <w:rsid w:val="00574B07"/>
    <w:rsid w:val="00582E70"/>
    <w:rsid w:val="0058324C"/>
    <w:rsid w:val="00584400"/>
    <w:rsid w:val="00585245"/>
    <w:rsid w:val="00591101"/>
    <w:rsid w:val="005920AA"/>
    <w:rsid w:val="00592363"/>
    <w:rsid w:val="005A1AD9"/>
    <w:rsid w:val="005A1CA9"/>
    <w:rsid w:val="005A3646"/>
    <w:rsid w:val="005A43B9"/>
    <w:rsid w:val="005A4D1B"/>
    <w:rsid w:val="005B2476"/>
    <w:rsid w:val="005B7034"/>
    <w:rsid w:val="005D3A55"/>
    <w:rsid w:val="005F4502"/>
    <w:rsid w:val="0060499C"/>
    <w:rsid w:val="00604DA1"/>
    <w:rsid w:val="00605477"/>
    <w:rsid w:val="00607ECD"/>
    <w:rsid w:val="00612122"/>
    <w:rsid w:val="006161E1"/>
    <w:rsid w:val="00623CD4"/>
    <w:rsid w:val="0063206F"/>
    <w:rsid w:val="00635A5B"/>
    <w:rsid w:val="00637E2C"/>
    <w:rsid w:val="00644F62"/>
    <w:rsid w:val="006477E5"/>
    <w:rsid w:val="00651120"/>
    <w:rsid w:val="00656B82"/>
    <w:rsid w:val="00657FCC"/>
    <w:rsid w:val="00674A0A"/>
    <w:rsid w:val="00674B0C"/>
    <w:rsid w:val="00675023"/>
    <w:rsid w:val="006775E0"/>
    <w:rsid w:val="00681E2E"/>
    <w:rsid w:val="00681F6A"/>
    <w:rsid w:val="00682162"/>
    <w:rsid w:val="00687FFE"/>
    <w:rsid w:val="0069062F"/>
    <w:rsid w:val="00691136"/>
    <w:rsid w:val="006928F1"/>
    <w:rsid w:val="00694FCB"/>
    <w:rsid w:val="006B1BE0"/>
    <w:rsid w:val="006B22BF"/>
    <w:rsid w:val="006C1190"/>
    <w:rsid w:val="006C1F37"/>
    <w:rsid w:val="006C2276"/>
    <w:rsid w:val="006C61C8"/>
    <w:rsid w:val="006D0B86"/>
    <w:rsid w:val="006E44EC"/>
    <w:rsid w:val="006E6997"/>
    <w:rsid w:val="006F2694"/>
    <w:rsid w:val="007007B4"/>
    <w:rsid w:val="00703585"/>
    <w:rsid w:val="00706E9B"/>
    <w:rsid w:val="00712758"/>
    <w:rsid w:val="00713DFE"/>
    <w:rsid w:val="007149B4"/>
    <w:rsid w:val="0071732D"/>
    <w:rsid w:val="007264BA"/>
    <w:rsid w:val="007333C7"/>
    <w:rsid w:val="007337D4"/>
    <w:rsid w:val="00741302"/>
    <w:rsid w:val="007433E1"/>
    <w:rsid w:val="0074520E"/>
    <w:rsid w:val="0074548E"/>
    <w:rsid w:val="007517E1"/>
    <w:rsid w:val="00751D99"/>
    <w:rsid w:val="00753D3C"/>
    <w:rsid w:val="00755694"/>
    <w:rsid w:val="00755733"/>
    <w:rsid w:val="00755C9F"/>
    <w:rsid w:val="00756EFD"/>
    <w:rsid w:val="00761657"/>
    <w:rsid w:val="00761F85"/>
    <w:rsid w:val="00763BA1"/>
    <w:rsid w:val="00771465"/>
    <w:rsid w:val="007874F9"/>
    <w:rsid w:val="007878B8"/>
    <w:rsid w:val="0079426E"/>
    <w:rsid w:val="00794C2A"/>
    <w:rsid w:val="00797227"/>
    <w:rsid w:val="007A75C0"/>
    <w:rsid w:val="007B6264"/>
    <w:rsid w:val="007C14C8"/>
    <w:rsid w:val="007C1A08"/>
    <w:rsid w:val="007C40AC"/>
    <w:rsid w:val="007C5FE3"/>
    <w:rsid w:val="007C7703"/>
    <w:rsid w:val="007D6F36"/>
    <w:rsid w:val="007E10AA"/>
    <w:rsid w:val="007E1761"/>
    <w:rsid w:val="007E1CE8"/>
    <w:rsid w:val="007E21C4"/>
    <w:rsid w:val="007E4BA2"/>
    <w:rsid w:val="007E56AD"/>
    <w:rsid w:val="007E7FF6"/>
    <w:rsid w:val="007F1951"/>
    <w:rsid w:val="007F2357"/>
    <w:rsid w:val="007F42BD"/>
    <w:rsid w:val="007F5564"/>
    <w:rsid w:val="007F7B37"/>
    <w:rsid w:val="0080035C"/>
    <w:rsid w:val="00800E74"/>
    <w:rsid w:val="008024BE"/>
    <w:rsid w:val="00803F45"/>
    <w:rsid w:val="008113B8"/>
    <w:rsid w:val="008146D6"/>
    <w:rsid w:val="00814D72"/>
    <w:rsid w:val="00845740"/>
    <w:rsid w:val="00856AD8"/>
    <w:rsid w:val="008655ED"/>
    <w:rsid w:val="00866779"/>
    <w:rsid w:val="00872FD5"/>
    <w:rsid w:val="00880879"/>
    <w:rsid w:val="008830A4"/>
    <w:rsid w:val="008837E3"/>
    <w:rsid w:val="00884A12"/>
    <w:rsid w:val="00884D16"/>
    <w:rsid w:val="0088628C"/>
    <w:rsid w:val="00891008"/>
    <w:rsid w:val="008931DD"/>
    <w:rsid w:val="008B0245"/>
    <w:rsid w:val="008B1105"/>
    <w:rsid w:val="008B1E75"/>
    <w:rsid w:val="008B5534"/>
    <w:rsid w:val="008C54BF"/>
    <w:rsid w:val="008C5ECA"/>
    <w:rsid w:val="008D35AF"/>
    <w:rsid w:val="008D4ECC"/>
    <w:rsid w:val="008D72CC"/>
    <w:rsid w:val="008E12E1"/>
    <w:rsid w:val="008E6F02"/>
    <w:rsid w:val="008F1E6C"/>
    <w:rsid w:val="008F465E"/>
    <w:rsid w:val="0090168A"/>
    <w:rsid w:val="00910E88"/>
    <w:rsid w:val="0091366B"/>
    <w:rsid w:val="00913A73"/>
    <w:rsid w:val="00920892"/>
    <w:rsid w:val="00924DA1"/>
    <w:rsid w:val="00931781"/>
    <w:rsid w:val="0093715A"/>
    <w:rsid w:val="0094073C"/>
    <w:rsid w:val="00940AB0"/>
    <w:rsid w:val="009438A2"/>
    <w:rsid w:val="00947D9B"/>
    <w:rsid w:val="009508A8"/>
    <w:rsid w:val="00955C3A"/>
    <w:rsid w:val="00957B07"/>
    <w:rsid w:val="00971F18"/>
    <w:rsid w:val="00974D1E"/>
    <w:rsid w:val="00975283"/>
    <w:rsid w:val="00976770"/>
    <w:rsid w:val="0097755D"/>
    <w:rsid w:val="009804FC"/>
    <w:rsid w:val="00980929"/>
    <w:rsid w:val="00984428"/>
    <w:rsid w:val="00984994"/>
    <w:rsid w:val="0098627F"/>
    <w:rsid w:val="009938A2"/>
    <w:rsid w:val="00997BE2"/>
    <w:rsid w:val="009A2131"/>
    <w:rsid w:val="009A2A6A"/>
    <w:rsid w:val="009A5DDD"/>
    <w:rsid w:val="009A77DA"/>
    <w:rsid w:val="009B2BF7"/>
    <w:rsid w:val="009B3B12"/>
    <w:rsid w:val="009C5E56"/>
    <w:rsid w:val="009C69DC"/>
    <w:rsid w:val="009D218F"/>
    <w:rsid w:val="009D4D3A"/>
    <w:rsid w:val="009E4B41"/>
    <w:rsid w:val="009E7768"/>
    <w:rsid w:val="009F3339"/>
    <w:rsid w:val="009F7C22"/>
    <w:rsid w:val="00A01C19"/>
    <w:rsid w:val="00A052D9"/>
    <w:rsid w:val="00A05EDB"/>
    <w:rsid w:val="00A11E31"/>
    <w:rsid w:val="00A15410"/>
    <w:rsid w:val="00A2428D"/>
    <w:rsid w:val="00A26290"/>
    <w:rsid w:val="00A308F8"/>
    <w:rsid w:val="00A40709"/>
    <w:rsid w:val="00A41FDF"/>
    <w:rsid w:val="00A42C8A"/>
    <w:rsid w:val="00A46BDC"/>
    <w:rsid w:val="00A477F6"/>
    <w:rsid w:val="00A51ABD"/>
    <w:rsid w:val="00A51FAC"/>
    <w:rsid w:val="00A5483E"/>
    <w:rsid w:val="00A62FC6"/>
    <w:rsid w:val="00A71385"/>
    <w:rsid w:val="00A748C0"/>
    <w:rsid w:val="00A74CAF"/>
    <w:rsid w:val="00A76DF9"/>
    <w:rsid w:val="00A77330"/>
    <w:rsid w:val="00A85DB9"/>
    <w:rsid w:val="00A9032C"/>
    <w:rsid w:val="00A925CB"/>
    <w:rsid w:val="00A9321C"/>
    <w:rsid w:val="00A961D3"/>
    <w:rsid w:val="00AB1C36"/>
    <w:rsid w:val="00AB47C9"/>
    <w:rsid w:val="00AB736F"/>
    <w:rsid w:val="00AC258E"/>
    <w:rsid w:val="00AC73A5"/>
    <w:rsid w:val="00AD1B5F"/>
    <w:rsid w:val="00AD34C9"/>
    <w:rsid w:val="00AD7542"/>
    <w:rsid w:val="00AE0016"/>
    <w:rsid w:val="00AE2A3D"/>
    <w:rsid w:val="00AE43BF"/>
    <w:rsid w:val="00AE4914"/>
    <w:rsid w:val="00AF0DB7"/>
    <w:rsid w:val="00AF111C"/>
    <w:rsid w:val="00B01B42"/>
    <w:rsid w:val="00B0385A"/>
    <w:rsid w:val="00B07318"/>
    <w:rsid w:val="00B145C0"/>
    <w:rsid w:val="00B149D1"/>
    <w:rsid w:val="00B214BA"/>
    <w:rsid w:val="00B30D8C"/>
    <w:rsid w:val="00B4091B"/>
    <w:rsid w:val="00B43F9D"/>
    <w:rsid w:val="00B46FF7"/>
    <w:rsid w:val="00B50B5F"/>
    <w:rsid w:val="00B55E9A"/>
    <w:rsid w:val="00B56A43"/>
    <w:rsid w:val="00B56DB9"/>
    <w:rsid w:val="00B63F21"/>
    <w:rsid w:val="00B641E5"/>
    <w:rsid w:val="00B64E27"/>
    <w:rsid w:val="00B73A61"/>
    <w:rsid w:val="00B752E8"/>
    <w:rsid w:val="00B77E97"/>
    <w:rsid w:val="00B80F7B"/>
    <w:rsid w:val="00B879D5"/>
    <w:rsid w:val="00B9176A"/>
    <w:rsid w:val="00B91A76"/>
    <w:rsid w:val="00BA1169"/>
    <w:rsid w:val="00BA5666"/>
    <w:rsid w:val="00BA69CC"/>
    <w:rsid w:val="00BB1200"/>
    <w:rsid w:val="00BB2902"/>
    <w:rsid w:val="00BB2C92"/>
    <w:rsid w:val="00BB34F9"/>
    <w:rsid w:val="00BC2162"/>
    <w:rsid w:val="00BC2204"/>
    <w:rsid w:val="00BD0FA3"/>
    <w:rsid w:val="00BD44F7"/>
    <w:rsid w:val="00BD7EC8"/>
    <w:rsid w:val="00BE485C"/>
    <w:rsid w:val="00BE4C6C"/>
    <w:rsid w:val="00BE70A3"/>
    <w:rsid w:val="00BF07DD"/>
    <w:rsid w:val="00BF0C40"/>
    <w:rsid w:val="00BF1A1E"/>
    <w:rsid w:val="00C000E7"/>
    <w:rsid w:val="00C06EC8"/>
    <w:rsid w:val="00C10C19"/>
    <w:rsid w:val="00C22195"/>
    <w:rsid w:val="00C23C1C"/>
    <w:rsid w:val="00C241A0"/>
    <w:rsid w:val="00C262B8"/>
    <w:rsid w:val="00C36DEB"/>
    <w:rsid w:val="00C372B0"/>
    <w:rsid w:val="00C515D6"/>
    <w:rsid w:val="00C63D19"/>
    <w:rsid w:val="00C653E6"/>
    <w:rsid w:val="00C6618A"/>
    <w:rsid w:val="00C75EF1"/>
    <w:rsid w:val="00C7600B"/>
    <w:rsid w:val="00C82032"/>
    <w:rsid w:val="00C8414C"/>
    <w:rsid w:val="00C87219"/>
    <w:rsid w:val="00C9609F"/>
    <w:rsid w:val="00C971BC"/>
    <w:rsid w:val="00CA006A"/>
    <w:rsid w:val="00CC4FFA"/>
    <w:rsid w:val="00CC5D07"/>
    <w:rsid w:val="00CD26F1"/>
    <w:rsid w:val="00CE4D1E"/>
    <w:rsid w:val="00CE68CD"/>
    <w:rsid w:val="00CF234D"/>
    <w:rsid w:val="00CF4ADF"/>
    <w:rsid w:val="00D032D0"/>
    <w:rsid w:val="00D0455D"/>
    <w:rsid w:val="00D0616E"/>
    <w:rsid w:val="00D07501"/>
    <w:rsid w:val="00D07651"/>
    <w:rsid w:val="00D10E09"/>
    <w:rsid w:val="00D140C8"/>
    <w:rsid w:val="00D15B4F"/>
    <w:rsid w:val="00D2024B"/>
    <w:rsid w:val="00D27D12"/>
    <w:rsid w:val="00D35316"/>
    <w:rsid w:val="00D40F3F"/>
    <w:rsid w:val="00D413E7"/>
    <w:rsid w:val="00D440B7"/>
    <w:rsid w:val="00D4558C"/>
    <w:rsid w:val="00D47A2B"/>
    <w:rsid w:val="00D50583"/>
    <w:rsid w:val="00D570BF"/>
    <w:rsid w:val="00D60771"/>
    <w:rsid w:val="00D64B4F"/>
    <w:rsid w:val="00D654CD"/>
    <w:rsid w:val="00D65B77"/>
    <w:rsid w:val="00D65F7E"/>
    <w:rsid w:val="00D70A5C"/>
    <w:rsid w:val="00D73D30"/>
    <w:rsid w:val="00D8394F"/>
    <w:rsid w:val="00D85465"/>
    <w:rsid w:val="00D87AFA"/>
    <w:rsid w:val="00D9029F"/>
    <w:rsid w:val="00D91046"/>
    <w:rsid w:val="00D92EAA"/>
    <w:rsid w:val="00DA4661"/>
    <w:rsid w:val="00DA4858"/>
    <w:rsid w:val="00DA6032"/>
    <w:rsid w:val="00DD06B7"/>
    <w:rsid w:val="00DD1765"/>
    <w:rsid w:val="00DD1EF8"/>
    <w:rsid w:val="00DD2675"/>
    <w:rsid w:val="00DD53EC"/>
    <w:rsid w:val="00DD7633"/>
    <w:rsid w:val="00DF1F14"/>
    <w:rsid w:val="00DF2510"/>
    <w:rsid w:val="00DF2A92"/>
    <w:rsid w:val="00E1031A"/>
    <w:rsid w:val="00E115EE"/>
    <w:rsid w:val="00E13748"/>
    <w:rsid w:val="00E23D0F"/>
    <w:rsid w:val="00E24C38"/>
    <w:rsid w:val="00E25245"/>
    <w:rsid w:val="00E25791"/>
    <w:rsid w:val="00E31670"/>
    <w:rsid w:val="00E323F2"/>
    <w:rsid w:val="00E34915"/>
    <w:rsid w:val="00E349A4"/>
    <w:rsid w:val="00E361DF"/>
    <w:rsid w:val="00E4120B"/>
    <w:rsid w:val="00E44697"/>
    <w:rsid w:val="00E4595B"/>
    <w:rsid w:val="00E459A3"/>
    <w:rsid w:val="00E50774"/>
    <w:rsid w:val="00E5166F"/>
    <w:rsid w:val="00E659E5"/>
    <w:rsid w:val="00E6796D"/>
    <w:rsid w:val="00E8046D"/>
    <w:rsid w:val="00E814C7"/>
    <w:rsid w:val="00E837CD"/>
    <w:rsid w:val="00E856B5"/>
    <w:rsid w:val="00E85A51"/>
    <w:rsid w:val="00E8729D"/>
    <w:rsid w:val="00E93249"/>
    <w:rsid w:val="00E9477C"/>
    <w:rsid w:val="00EA053E"/>
    <w:rsid w:val="00EA06A0"/>
    <w:rsid w:val="00EA178E"/>
    <w:rsid w:val="00EA3F9C"/>
    <w:rsid w:val="00EA4EED"/>
    <w:rsid w:val="00EB5239"/>
    <w:rsid w:val="00EB5895"/>
    <w:rsid w:val="00EB7058"/>
    <w:rsid w:val="00EB7BDB"/>
    <w:rsid w:val="00EC5F28"/>
    <w:rsid w:val="00EC6208"/>
    <w:rsid w:val="00EC657D"/>
    <w:rsid w:val="00ED2778"/>
    <w:rsid w:val="00ED67FD"/>
    <w:rsid w:val="00EE50EE"/>
    <w:rsid w:val="00EE5D48"/>
    <w:rsid w:val="00EF1908"/>
    <w:rsid w:val="00EF1B02"/>
    <w:rsid w:val="00EF49C5"/>
    <w:rsid w:val="00EF59CC"/>
    <w:rsid w:val="00F14740"/>
    <w:rsid w:val="00F14BA2"/>
    <w:rsid w:val="00F20BD5"/>
    <w:rsid w:val="00F21805"/>
    <w:rsid w:val="00F21C8E"/>
    <w:rsid w:val="00F236D4"/>
    <w:rsid w:val="00F248C4"/>
    <w:rsid w:val="00F25EF6"/>
    <w:rsid w:val="00F26EF9"/>
    <w:rsid w:val="00F324EE"/>
    <w:rsid w:val="00F3389A"/>
    <w:rsid w:val="00F34A54"/>
    <w:rsid w:val="00F350B5"/>
    <w:rsid w:val="00F368E5"/>
    <w:rsid w:val="00F40E0C"/>
    <w:rsid w:val="00F41790"/>
    <w:rsid w:val="00F43775"/>
    <w:rsid w:val="00F5179D"/>
    <w:rsid w:val="00F556BD"/>
    <w:rsid w:val="00F5631D"/>
    <w:rsid w:val="00F60DF3"/>
    <w:rsid w:val="00F6229C"/>
    <w:rsid w:val="00F67C9F"/>
    <w:rsid w:val="00F72CF6"/>
    <w:rsid w:val="00F735B3"/>
    <w:rsid w:val="00F73BD0"/>
    <w:rsid w:val="00F7566C"/>
    <w:rsid w:val="00F84133"/>
    <w:rsid w:val="00F907A8"/>
    <w:rsid w:val="00F942A4"/>
    <w:rsid w:val="00F94C32"/>
    <w:rsid w:val="00FA1586"/>
    <w:rsid w:val="00FA4551"/>
    <w:rsid w:val="00FB4B2C"/>
    <w:rsid w:val="00FC4799"/>
    <w:rsid w:val="00FC524E"/>
    <w:rsid w:val="00FD00AF"/>
    <w:rsid w:val="00FD2910"/>
    <w:rsid w:val="00FD46C0"/>
    <w:rsid w:val="00FD4721"/>
    <w:rsid w:val="00FD6BED"/>
    <w:rsid w:val="00FD7EA4"/>
    <w:rsid w:val="00FE763C"/>
    <w:rsid w:val="00FF053E"/>
    <w:rsid w:val="00FF68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C38"/>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paragraph" w:styleId="Heading2">
    <w:name w:val="heading 2"/>
    <w:basedOn w:val="Normal"/>
    <w:next w:val="Normal"/>
    <w:link w:val="Heading2Char"/>
    <w:unhideWhenUsed/>
    <w:qFormat/>
    <w:rsid w:val="00A05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A5B"/>
    <w:pPr>
      <w:ind w:left="720"/>
      <w:contextualSpacing/>
    </w:pPr>
  </w:style>
  <w:style w:type="character" w:styleId="CommentReference">
    <w:name w:val="annotation reference"/>
    <w:basedOn w:val="DefaultParagraphFont"/>
    <w:uiPriority w:val="99"/>
    <w:semiHidden/>
    <w:unhideWhenUsed/>
    <w:rsid w:val="0053562F"/>
    <w:rPr>
      <w:sz w:val="16"/>
      <w:szCs w:val="16"/>
    </w:rPr>
  </w:style>
  <w:style w:type="paragraph" w:styleId="CommentText">
    <w:name w:val="annotation text"/>
    <w:basedOn w:val="Normal"/>
    <w:link w:val="CommentTextChar"/>
    <w:uiPriority w:val="99"/>
    <w:semiHidden/>
    <w:unhideWhenUsed/>
    <w:rsid w:val="0053562F"/>
    <w:pPr>
      <w:spacing w:line="240" w:lineRule="auto"/>
    </w:pPr>
    <w:rPr>
      <w:sz w:val="20"/>
      <w:szCs w:val="20"/>
    </w:rPr>
  </w:style>
  <w:style w:type="character" w:customStyle="1" w:styleId="CommentTextChar">
    <w:name w:val="Comment Text Char"/>
    <w:basedOn w:val="DefaultParagraphFont"/>
    <w:link w:val="CommentText"/>
    <w:uiPriority w:val="99"/>
    <w:semiHidden/>
    <w:rsid w:val="0053562F"/>
    <w:rPr>
      <w:sz w:val="20"/>
      <w:szCs w:val="20"/>
    </w:rPr>
  </w:style>
  <w:style w:type="paragraph" w:styleId="CommentSubject">
    <w:name w:val="annotation subject"/>
    <w:basedOn w:val="CommentText"/>
    <w:next w:val="CommentText"/>
    <w:link w:val="CommentSubjectChar"/>
    <w:uiPriority w:val="99"/>
    <w:semiHidden/>
    <w:unhideWhenUsed/>
    <w:rsid w:val="0053562F"/>
    <w:rPr>
      <w:b/>
      <w:bCs/>
    </w:rPr>
  </w:style>
  <w:style w:type="character" w:customStyle="1" w:styleId="CommentSubjectChar">
    <w:name w:val="Comment Subject Char"/>
    <w:basedOn w:val="CommentTextChar"/>
    <w:link w:val="CommentSubject"/>
    <w:uiPriority w:val="99"/>
    <w:semiHidden/>
    <w:rsid w:val="0053562F"/>
    <w:rPr>
      <w:b/>
      <w:bCs/>
      <w:sz w:val="20"/>
      <w:szCs w:val="20"/>
    </w:rPr>
  </w:style>
  <w:style w:type="paragraph" w:styleId="BalloonText">
    <w:name w:val="Balloon Text"/>
    <w:basedOn w:val="Normal"/>
    <w:link w:val="BalloonTextChar"/>
    <w:uiPriority w:val="99"/>
    <w:semiHidden/>
    <w:unhideWhenUsed/>
    <w:rsid w:val="0053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F"/>
    <w:rPr>
      <w:rFonts w:ascii="Segoe UI" w:hAnsi="Segoe UI" w:cs="Segoe UI"/>
      <w:sz w:val="18"/>
      <w:szCs w:val="18"/>
    </w:rPr>
  </w:style>
  <w:style w:type="paragraph" w:styleId="NormalWeb">
    <w:name w:val="Normal (Web)"/>
    <w:basedOn w:val="Normal"/>
    <w:uiPriority w:val="99"/>
    <w:semiHidden/>
    <w:unhideWhenUsed/>
    <w:rsid w:val="00041F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AB1C36"/>
    <w:pPr>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AB1C36"/>
    <w:rPr>
      <w:rFonts w:ascii="Times New Roman" w:eastAsia="Times New Roman" w:hAnsi="Times New Roman" w:cs="Times New Roman"/>
      <w:sz w:val="24"/>
      <w:szCs w:val="20"/>
      <w:lang w:val="en-GB" w:eastAsia="en-GB"/>
    </w:rPr>
  </w:style>
  <w:style w:type="paragraph" w:customStyle="1" w:styleId="Default">
    <w:name w:val="Default"/>
    <w:rsid w:val="00635A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3D19"/>
    <w:rPr>
      <w:b/>
      <w:bCs/>
    </w:rPr>
  </w:style>
  <w:style w:type="paragraph" w:styleId="FootnoteText">
    <w:name w:val="footnote text"/>
    <w:aliases w:val="Footnote Text Char1,Footnote Text Char Char,fn Char,ft"/>
    <w:basedOn w:val="Normal"/>
    <w:link w:val="FootnoteTextChar"/>
    <w:uiPriority w:val="99"/>
    <w:unhideWhenUsed/>
    <w:rsid w:val="00B01B42"/>
    <w:pPr>
      <w:spacing w:after="0" w:line="240" w:lineRule="auto"/>
    </w:pPr>
    <w:rPr>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B01B42"/>
    <w:rPr>
      <w:sz w:val="20"/>
      <w:szCs w:val="20"/>
    </w:rPr>
  </w:style>
  <w:style w:type="character" w:styleId="FootnoteReference">
    <w:name w:val="footnote reference"/>
    <w:aliases w:val="ftref"/>
    <w:basedOn w:val="DefaultParagraphFont"/>
    <w:uiPriority w:val="99"/>
    <w:unhideWhenUsed/>
    <w:rsid w:val="00B01B42"/>
    <w:rPr>
      <w:vertAlign w:val="superscript"/>
    </w:rPr>
  </w:style>
  <w:style w:type="paragraph" w:styleId="Header">
    <w:name w:val="header"/>
    <w:basedOn w:val="Normal"/>
    <w:link w:val="HeaderChar"/>
    <w:uiPriority w:val="99"/>
    <w:unhideWhenUsed/>
    <w:rsid w:val="00506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AB"/>
  </w:style>
  <w:style w:type="paragraph" w:styleId="Footer">
    <w:name w:val="footer"/>
    <w:basedOn w:val="Normal"/>
    <w:link w:val="FooterChar"/>
    <w:uiPriority w:val="99"/>
    <w:unhideWhenUsed/>
    <w:rsid w:val="0050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AB"/>
  </w:style>
  <w:style w:type="paragraph" w:styleId="BodyTextIndent">
    <w:name w:val="Body Text Indent"/>
    <w:basedOn w:val="Normal"/>
    <w:link w:val="BodyTextIndentChar"/>
    <w:uiPriority w:val="99"/>
    <w:semiHidden/>
    <w:unhideWhenUsed/>
    <w:rsid w:val="00A76DF9"/>
    <w:pPr>
      <w:spacing w:after="120"/>
      <w:ind w:left="283"/>
    </w:pPr>
  </w:style>
  <w:style w:type="character" w:customStyle="1" w:styleId="BodyTextIndentChar">
    <w:name w:val="Body Text Indent Char"/>
    <w:basedOn w:val="DefaultParagraphFont"/>
    <w:link w:val="BodyTextIndent"/>
    <w:uiPriority w:val="99"/>
    <w:semiHidden/>
    <w:rsid w:val="00A76DF9"/>
  </w:style>
  <w:style w:type="character" w:customStyle="1" w:styleId="ListParagraphChar">
    <w:name w:val="List Paragraph Char"/>
    <w:basedOn w:val="DefaultParagraphFont"/>
    <w:link w:val="ListParagraph"/>
    <w:uiPriority w:val="34"/>
    <w:locked/>
    <w:rsid w:val="00A76DF9"/>
  </w:style>
  <w:style w:type="paragraph" w:styleId="BodyText2">
    <w:name w:val="Body Text 2"/>
    <w:basedOn w:val="Normal"/>
    <w:link w:val="BodyText2Char"/>
    <w:uiPriority w:val="99"/>
    <w:semiHidden/>
    <w:unhideWhenUsed/>
    <w:rsid w:val="002965BC"/>
    <w:pPr>
      <w:spacing w:after="120" w:line="480" w:lineRule="auto"/>
    </w:pPr>
  </w:style>
  <w:style w:type="character" w:customStyle="1" w:styleId="BodyText2Char">
    <w:name w:val="Body Text 2 Char"/>
    <w:basedOn w:val="DefaultParagraphFont"/>
    <w:link w:val="BodyText2"/>
    <w:uiPriority w:val="99"/>
    <w:semiHidden/>
    <w:rsid w:val="002965BC"/>
  </w:style>
  <w:style w:type="character" w:customStyle="1" w:styleId="Heading1Char">
    <w:name w:val="Heading 1 Char"/>
    <w:basedOn w:val="DefaultParagraphFont"/>
    <w:link w:val="Heading1"/>
    <w:rsid w:val="00E24C38"/>
    <w:rPr>
      <w:rFonts w:ascii="Arial" w:eastAsia="Times New Roman" w:hAnsi="Arial" w:cs="Arial"/>
      <w:b/>
      <w:bCs/>
      <w:color w:val="000000"/>
      <w:spacing w:val="-2"/>
      <w:kern w:val="32"/>
      <w:sz w:val="20"/>
      <w:szCs w:val="20"/>
      <w:lang w:val="en-GB" w:eastAsia="en-GB"/>
    </w:rPr>
  </w:style>
  <w:style w:type="paragraph" w:customStyle="1" w:styleId="default0">
    <w:name w:val="default"/>
    <w:basedOn w:val="Normal"/>
    <w:rsid w:val="00C36DEB"/>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5A3646"/>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797227"/>
  </w:style>
  <w:style w:type="character" w:customStyle="1" w:styleId="s4">
    <w:name w:val="s4"/>
    <w:basedOn w:val="DefaultParagraphFont"/>
    <w:rsid w:val="00797227"/>
  </w:style>
  <w:style w:type="character" w:customStyle="1" w:styleId="Heading2Char">
    <w:name w:val="Heading 2 Char"/>
    <w:basedOn w:val="DefaultParagraphFont"/>
    <w:link w:val="Heading2"/>
    <w:uiPriority w:val="9"/>
    <w:semiHidden/>
    <w:rsid w:val="00A05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EDB"/>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4C38"/>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paragraph" w:styleId="Heading2">
    <w:name w:val="heading 2"/>
    <w:basedOn w:val="Normal"/>
    <w:next w:val="Normal"/>
    <w:link w:val="Heading2Char"/>
    <w:unhideWhenUsed/>
    <w:qFormat/>
    <w:rsid w:val="00A05E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E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3A5B"/>
    <w:pPr>
      <w:ind w:left="720"/>
      <w:contextualSpacing/>
    </w:pPr>
  </w:style>
  <w:style w:type="character" w:styleId="CommentReference">
    <w:name w:val="annotation reference"/>
    <w:basedOn w:val="DefaultParagraphFont"/>
    <w:uiPriority w:val="99"/>
    <w:semiHidden/>
    <w:unhideWhenUsed/>
    <w:rsid w:val="0053562F"/>
    <w:rPr>
      <w:sz w:val="16"/>
      <w:szCs w:val="16"/>
    </w:rPr>
  </w:style>
  <w:style w:type="paragraph" w:styleId="CommentText">
    <w:name w:val="annotation text"/>
    <w:basedOn w:val="Normal"/>
    <w:link w:val="CommentTextChar"/>
    <w:uiPriority w:val="99"/>
    <w:semiHidden/>
    <w:unhideWhenUsed/>
    <w:rsid w:val="0053562F"/>
    <w:pPr>
      <w:spacing w:line="240" w:lineRule="auto"/>
    </w:pPr>
    <w:rPr>
      <w:sz w:val="20"/>
      <w:szCs w:val="20"/>
    </w:rPr>
  </w:style>
  <w:style w:type="character" w:customStyle="1" w:styleId="CommentTextChar">
    <w:name w:val="Comment Text Char"/>
    <w:basedOn w:val="DefaultParagraphFont"/>
    <w:link w:val="CommentText"/>
    <w:uiPriority w:val="99"/>
    <w:semiHidden/>
    <w:rsid w:val="0053562F"/>
    <w:rPr>
      <w:sz w:val="20"/>
      <w:szCs w:val="20"/>
    </w:rPr>
  </w:style>
  <w:style w:type="paragraph" w:styleId="CommentSubject">
    <w:name w:val="annotation subject"/>
    <w:basedOn w:val="CommentText"/>
    <w:next w:val="CommentText"/>
    <w:link w:val="CommentSubjectChar"/>
    <w:uiPriority w:val="99"/>
    <w:semiHidden/>
    <w:unhideWhenUsed/>
    <w:rsid w:val="0053562F"/>
    <w:rPr>
      <w:b/>
      <w:bCs/>
    </w:rPr>
  </w:style>
  <w:style w:type="character" w:customStyle="1" w:styleId="CommentSubjectChar">
    <w:name w:val="Comment Subject Char"/>
    <w:basedOn w:val="CommentTextChar"/>
    <w:link w:val="CommentSubject"/>
    <w:uiPriority w:val="99"/>
    <w:semiHidden/>
    <w:rsid w:val="0053562F"/>
    <w:rPr>
      <w:b/>
      <w:bCs/>
      <w:sz w:val="20"/>
      <w:szCs w:val="20"/>
    </w:rPr>
  </w:style>
  <w:style w:type="paragraph" w:styleId="BalloonText">
    <w:name w:val="Balloon Text"/>
    <w:basedOn w:val="Normal"/>
    <w:link w:val="BalloonTextChar"/>
    <w:uiPriority w:val="99"/>
    <w:semiHidden/>
    <w:unhideWhenUsed/>
    <w:rsid w:val="00535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2F"/>
    <w:rPr>
      <w:rFonts w:ascii="Segoe UI" w:hAnsi="Segoe UI" w:cs="Segoe UI"/>
      <w:sz w:val="18"/>
      <w:szCs w:val="18"/>
    </w:rPr>
  </w:style>
  <w:style w:type="paragraph" w:styleId="NormalWeb">
    <w:name w:val="Normal (Web)"/>
    <w:basedOn w:val="Normal"/>
    <w:uiPriority w:val="99"/>
    <w:semiHidden/>
    <w:unhideWhenUsed/>
    <w:rsid w:val="00041F2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
    <w:name w:val="Body Text"/>
    <w:basedOn w:val="Normal"/>
    <w:link w:val="BodyTextChar"/>
    <w:rsid w:val="00AB1C36"/>
    <w:pPr>
      <w:spacing w:after="0" w:line="240" w:lineRule="auto"/>
      <w:jc w:val="both"/>
    </w:pPr>
    <w:rPr>
      <w:rFonts w:ascii="Times New Roman" w:eastAsia="Times New Roman" w:hAnsi="Times New Roman" w:cs="Times New Roman"/>
      <w:sz w:val="24"/>
      <w:szCs w:val="20"/>
      <w:lang w:val="en-GB" w:eastAsia="en-GB"/>
    </w:rPr>
  </w:style>
  <w:style w:type="character" w:customStyle="1" w:styleId="BodyTextChar">
    <w:name w:val="Body Text Char"/>
    <w:basedOn w:val="DefaultParagraphFont"/>
    <w:link w:val="BodyText"/>
    <w:rsid w:val="00AB1C36"/>
    <w:rPr>
      <w:rFonts w:ascii="Times New Roman" w:eastAsia="Times New Roman" w:hAnsi="Times New Roman" w:cs="Times New Roman"/>
      <w:sz w:val="24"/>
      <w:szCs w:val="20"/>
      <w:lang w:val="en-GB" w:eastAsia="en-GB"/>
    </w:rPr>
  </w:style>
  <w:style w:type="paragraph" w:customStyle="1" w:styleId="Default">
    <w:name w:val="Default"/>
    <w:rsid w:val="00635A5B"/>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63D19"/>
    <w:rPr>
      <w:b/>
      <w:bCs/>
    </w:rPr>
  </w:style>
  <w:style w:type="paragraph" w:styleId="FootnoteText">
    <w:name w:val="footnote text"/>
    <w:aliases w:val="Footnote Text Char1,Footnote Text Char Char,fn Char,ft"/>
    <w:basedOn w:val="Normal"/>
    <w:link w:val="FootnoteTextChar"/>
    <w:uiPriority w:val="99"/>
    <w:unhideWhenUsed/>
    <w:rsid w:val="00B01B42"/>
    <w:pPr>
      <w:spacing w:after="0" w:line="240" w:lineRule="auto"/>
    </w:pPr>
    <w:rPr>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B01B42"/>
    <w:rPr>
      <w:sz w:val="20"/>
      <w:szCs w:val="20"/>
    </w:rPr>
  </w:style>
  <w:style w:type="character" w:styleId="FootnoteReference">
    <w:name w:val="footnote reference"/>
    <w:aliases w:val="ftref"/>
    <w:basedOn w:val="DefaultParagraphFont"/>
    <w:uiPriority w:val="99"/>
    <w:unhideWhenUsed/>
    <w:rsid w:val="00B01B42"/>
    <w:rPr>
      <w:vertAlign w:val="superscript"/>
    </w:rPr>
  </w:style>
  <w:style w:type="paragraph" w:styleId="Header">
    <w:name w:val="header"/>
    <w:basedOn w:val="Normal"/>
    <w:link w:val="HeaderChar"/>
    <w:uiPriority w:val="99"/>
    <w:unhideWhenUsed/>
    <w:rsid w:val="00506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AB"/>
  </w:style>
  <w:style w:type="paragraph" w:styleId="Footer">
    <w:name w:val="footer"/>
    <w:basedOn w:val="Normal"/>
    <w:link w:val="FooterChar"/>
    <w:uiPriority w:val="99"/>
    <w:unhideWhenUsed/>
    <w:rsid w:val="00506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AB"/>
  </w:style>
  <w:style w:type="paragraph" w:styleId="BodyTextIndent">
    <w:name w:val="Body Text Indent"/>
    <w:basedOn w:val="Normal"/>
    <w:link w:val="BodyTextIndentChar"/>
    <w:uiPriority w:val="99"/>
    <w:semiHidden/>
    <w:unhideWhenUsed/>
    <w:rsid w:val="00A76DF9"/>
    <w:pPr>
      <w:spacing w:after="120"/>
      <w:ind w:left="283"/>
    </w:pPr>
  </w:style>
  <w:style w:type="character" w:customStyle="1" w:styleId="BodyTextIndentChar">
    <w:name w:val="Body Text Indent Char"/>
    <w:basedOn w:val="DefaultParagraphFont"/>
    <w:link w:val="BodyTextIndent"/>
    <w:uiPriority w:val="99"/>
    <w:semiHidden/>
    <w:rsid w:val="00A76DF9"/>
  </w:style>
  <w:style w:type="character" w:customStyle="1" w:styleId="ListParagraphChar">
    <w:name w:val="List Paragraph Char"/>
    <w:basedOn w:val="DefaultParagraphFont"/>
    <w:link w:val="ListParagraph"/>
    <w:uiPriority w:val="34"/>
    <w:locked/>
    <w:rsid w:val="00A76DF9"/>
  </w:style>
  <w:style w:type="paragraph" w:styleId="BodyText2">
    <w:name w:val="Body Text 2"/>
    <w:basedOn w:val="Normal"/>
    <w:link w:val="BodyText2Char"/>
    <w:uiPriority w:val="99"/>
    <w:semiHidden/>
    <w:unhideWhenUsed/>
    <w:rsid w:val="002965BC"/>
    <w:pPr>
      <w:spacing w:after="120" w:line="480" w:lineRule="auto"/>
    </w:pPr>
  </w:style>
  <w:style w:type="character" w:customStyle="1" w:styleId="BodyText2Char">
    <w:name w:val="Body Text 2 Char"/>
    <w:basedOn w:val="DefaultParagraphFont"/>
    <w:link w:val="BodyText2"/>
    <w:uiPriority w:val="99"/>
    <w:semiHidden/>
    <w:rsid w:val="002965BC"/>
  </w:style>
  <w:style w:type="character" w:customStyle="1" w:styleId="Heading1Char">
    <w:name w:val="Heading 1 Char"/>
    <w:basedOn w:val="DefaultParagraphFont"/>
    <w:link w:val="Heading1"/>
    <w:rsid w:val="00E24C38"/>
    <w:rPr>
      <w:rFonts w:ascii="Arial" w:eastAsia="Times New Roman" w:hAnsi="Arial" w:cs="Arial"/>
      <w:b/>
      <w:bCs/>
      <w:color w:val="000000"/>
      <w:spacing w:val="-2"/>
      <w:kern w:val="32"/>
      <w:sz w:val="20"/>
      <w:szCs w:val="20"/>
      <w:lang w:val="en-GB" w:eastAsia="en-GB"/>
    </w:rPr>
  </w:style>
  <w:style w:type="paragraph" w:customStyle="1" w:styleId="default0">
    <w:name w:val="default"/>
    <w:basedOn w:val="Normal"/>
    <w:rsid w:val="00C36DEB"/>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39"/>
    <w:rsid w:val="005A3646"/>
    <w:pPr>
      <w:spacing w:after="0" w:line="240" w:lineRule="auto"/>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797227"/>
  </w:style>
  <w:style w:type="character" w:customStyle="1" w:styleId="s4">
    <w:name w:val="s4"/>
    <w:basedOn w:val="DefaultParagraphFont"/>
    <w:rsid w:val="00797227"/>
  </w:style>
  <w:style w:type="character" w:customStyle="1" w:styleId="Heading2Char">
    <w:name w:val="Heading 2 Char"/>
    <w:basedOn w:val="DefaultParagraphFont"/>
    <w:link w:val="Heading2"/>
    <w:uiPriority w:val="9"/>
    <w:semiHidden/>
    <w:rsid w:val="00A05ED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E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55">
      <w:bodyDiv w:val="1"/>
      <w:marLeft w:val="0"/>
      <w:marRight w:val="0"/>
      <w:marTop w:val="0"/>
      <w:marBottom w:val="0"/>
      <w:divBdr>
        <w:top w:val="none" w:sz="0" w:space="0" w:color="auto"/>
        <w:left w:val="none" w:sz="0" w:space="0" w:color="auto"/>
        <w:bottom w:val="none" w:sz="0" w:space="0" w:color="auto"/>
        <w:right w:val="none" w:sz="0" w:space="0" w:color="auto"/>
      </w:divBdr>
    </w:div>
    <w:div w:id="448355589">
      <w:bodyDiv w:val="1"/>
      <w:marLeft w:val="0"/>
      <w:marRight w:val="0"/>
      <w:marTop w:val="0"/>
      <w:marBottom w:val="0"/>
      <w:divBdr>
        <w:top w:val="none" w:sz="0" w:space="0" w:color="auto"/>
        <w:left w:val="none" w:sz="0" w:space="0" w:color="auto"/>
        <w:bottom w:val="none" w:sz="0" w:space="0" w:color="auto"/>
        <w:right w:val="none" w:sz="0" w:space="0" w:color="auto"/>
      </w:divBdr>
      <w:divsChild>
        <w:div w:id="379983444">
          <w:marLeft w:val="0"/>
          <w:marRight w:val="0"/>
          <w:marTop w:val="0"/>
          <w:marBottom w:val="0"/>
          <w:divBdr>
            <w:top w:val="none" w:sz="0" w:space="0" w:color="auto"/>
            <w:left w:val="none" w:sz="0" w:space="0" w:color="auto"/>
            <w:bottom w:val="none" w:sz="0" w:space="0" w:color="auto"/>
            <w:right w:val="none" w:sz="0" w:space="0" w:color="auto"/>
          </w:divBdr>
        </w:div>
        <w:div w:id="553473137">
          <w:marLeft w:val="0"/>
          <w:marRight w:val="0"/>
          <w:marTop w:val="0"/>
          <w:marBottom w:val="0"/>
          <w:divBdr>
            <w:top w:val="none" w:sz="0" w:space="0" w:color="auto"/>
            <w:left w:val="none" w:sz="0" w:space="0" w:color="auto"/>
            <w:bottom w:val="none" w:sz="0" w:space="0" w:color="auto"/>
            <w:right w:val="none" w:sz="0" w:space="0" w:color="auto"/>
          </w:divBdr>
        </w:div>
      </w:divsChild>
    </w:div>
    <w:div w:id="615214377">
      <w:bodyDiv w:val="1"/>
      <w:marLeft w:val="0"/>
      <w:marRight w:val="0"/>
      <w:marTop w:val="0"/>
      <w:marBottom w:val="0"/>
      <w:divBdr>
        <w:top w:val="none" w:sz="0" w:space="0" w:color="auto"/>
        <w:left w:val="none" w:sz="0" w:space="0" w:color="auto"/>
        <w:bottom w:val="none" w:sz="0" w:space="0" w:color="auto"/>
        <w:right w:val="none" w:sz="0" w:space="0" w:color="auto"/>
      </w:divBdr>
      <w:divsChild>
        <w:div w:id="401684960">
          <w:marLeft w:val="0"/>
          <w:marRight w:val="0"/>
          <w:marTop w:val="0"/>
          <w:marBottom w:val="0"/>
          <w:divBdr>
            <w:top w:val="none" w:sz="0" w:space="0" w:color="auto"/>
            <w:left w:val="none" w:sz="0" w:space="0" w:color="auto"/>
            <w:bottom w:val="none" w:sz="0" w:space="0" w:color="auto"/>
            <w:right w:val="none" w:sz="0" w:space="0" w:color="auto"/>
          </w:divBdr>
        </w:div>
        <w:div w:id="520434417">
          <w:marLeft w:val="0"/>
          <w:marRight w:val="0"/>
          <w:marTop w:val="0"/>
          <w:marBottom w:val="0"/>
          <w:divBdr>
            <w:top w:val="none" w:sz="0" w:space="0" w:color="auto"/>
            <w:left w:val="none" w:sz="0" w:space="0" w:color="auto"/>
            <w:bottom w:val="none" w:sz="0" w:space="0" w:color="auto"/>
            <w:right w:val="none" w:sz="0" w:space="0" w:color="auto"/>
          </w:divBdr>
        </w:div>
        <w:div w:id="743069889">
          <w:marLeft w:val="0"/>
          <w:marRight w:val="0"/>
          <w:marTop w:val="0"/>
          <w:marBottom w:val="0"/>
          <w:divBdr>
            <w:top w:val="none" w:sz="0" w:space="0" w:color="auto"/>
            <w:left w:val="none" w:sz="0" w:space="0" w:color="auto"/>
            <w:bottom w:val="none" w:sz="0" w:space="0" w:color="auto"/>
            <w:right w:val="none" w:sz="0" w:space="0" w:color="auto"/>
          </w:divBdr>
        </w:div>
        <w:div w:id="988438826">
          <w:marLeft w:val="0"/>
          <w:marRight w:val="0"/>
          <w:marTop w:val="0"/>
          <w:marBottom w:val="0"/>
          <w:divBdr>
            <w:top w:val="none" w:sz="0" w:space="0" w:color="auto"/>
            <w:left w:val="none" w:sz="0" w:space="0" w:color="auto"/>
            <w:bottom w:val="none" w:sz="0" w:space="0" w:color="auto"/>
            <w:right w:val="none" w:sz="0" w:space="0" w:color="auto"/>
          </w:divBdr>
        </w:div>
        <w:div w:id="1259173970">
          <w:marLeft w:val="0"/>
          <w:marRight w:val="0"/>
          <w:marTop w:val="0"/>
          <w:marBottom w:val="0"/>
          <w:divBdr>
            <w:top w:val="none" w:sz="0" w:space="0" w:color="auto"/>
            <w:left w:val="none" w:sz="0" w:space="0" w:color="auto"/>
            <w:bottom w:val="none" w:sz="0" w:space="0" w:color="auto"/>
            <w:right w:val="none" w:sz="0" w:space="0" w:color="auto"/>
          </w:divBdr>
        </w:div>
        <w:div w:id="1306155015">
          <w:marLeft w:val="0"/>
          <w:marRight w:val="0"/>
          <w:marTop w:val="0"/>
          <w:marBottom w:val="0"/>
          <w:divBdr>
            <w:top w:val="none" w:sz="0" w:space="0" w:color="auto"/>
            <w:left w:val="none" w:sz="0" w:space="0" w:color="auto"/>
            <w:bottom w:val="none" w:sz="0" w:space="0" w:color="auto"/>
            <w:right w:val="none" w:sz="0" w:space="0" w:color="auto"/>
          </w:divBdr>
        </w:div>
        <w:div w:id="1309823203">
          <w:marLeft w:val="0"/>
          <w:marRight w:val="0"/>
          <w:marTop w:val="0"/>
          <w:marBottom w:val="0"/>
          <w:divBdr>
            <w:top w:val="none" w:sz="0" w:space="0" w:color="auto"/>
            <w:left w:val="none" w:sz="0" w:space="0" w:color="auto"/>
            <w:bottom w:val="none" w:sz="0" w:space="0" w:color="auto"/>
            <w:right w:val="none" w:sz="0" w:space="0" w:color="auto"/>
          </w:divBdr>
        </w:div>
        <w:div w:id="1351957337">
          <w:marLeft w:val="0"/>
          <w:marRight w:val="0"/>
          <w:marTop w:val="0"/>
          <w:marBottom w:val="0"/>
          <w:divBdr>
            <w:top w:val="none" w:sz="0" w:space="0" w:color="auto"/>
            <w:left w:val="none" w:sz="0" w:space="0" w:color="auto"/>
            <w:bottom w:val="none" w:sz="0" w:space="0" w:color="auto"/>
            <w:right w:val="none" w:sz="0" w:space="0" w:color="auto"/>
          </w:divBdr>
        </w:div>
        <w:div w:id="1741782697">
          <w:marLeft w:val="0"/>
          <w:marRight w:val="0"/>
          <w:marTop w:val="0"/>
          <w:marBottom w:val="0"/>
          <w:divBdr>
            <w:top w:val="none" w:sz="0" w:space="0" w:color="auto"/>
            <w:left w:val="none" w:sz="0" w:space="0" w:color="auto"/>
            <w:bottom w:val="none" w:sz="0" w:space="0" w:color="auto"/>
            <w:right w:val="none" w:sz="0" w:space="0" w:color="auto"/>
          </w:divBdr>
        </w:div>
        <w:div w:id="2122793891">
          <w:marLeft w:val="0"/>
          <w:marRight w:val="0"/>
          <w:marTop w:val="0"/>
          <w:marBottom w:val="0"/>
          <w:divBdr>
            <w:top w:val="none" w:sz="0" w:space="0" w:color="auto"/>
            <w:left w:val="none" w:sz="0" w:space="0" w:color="auto"/>
            <w:bottom w:val="none" w:sz="0" w:space="0" w:color="auto"/>
            <w:right w:val="none" w:sz="0" w:space="0" w:color="auto"/>
          </w:divBdr>
        </w:div>
      </w:divsChild>
    </w:div>
    <w:div w:id="1050155380">
      <w:bodyDiv w:val="1"/>
      <w:marLeft w:val="0"/>
      <w:marRight w:val="0"/>
      <w:marTop w:val="0"/>
      <w:marBottom w:val="0"/>
      <w:divBdr>
        <w:top w:val="none" w:sz="0" w:space="0" w:color="auto"/>
        <w:left w:val="none" w:sz="0" w:space="0" w:color="auto"/>
        <w:bottom w:val="none" w:sz="0" w:space="0" w:color="auto"/>
        <w:right w:val="none" w:sz="0" w:space="0" w:color="auto"/>
      </w:divBdr>
    </w:div>
    <w:div w:id="1086540192">
      <w:bodyDiv w:val="1"/>
      <w:marLeft w:val="0"/>
      <w:marRight w:val="0"/>
      <w:marTop w:val="0"/>
      <w:marBottom w:val="0"/>
      <w:divBdr>
        <w:top w:val="none" w:sz="0" w:space="0" w:color="auto"/>
        <w:left w:val="none" w:sz="0" w:space="0" w:color="auto"/>
        <w:bottom w:val="none" w:sz="0" w:space="0" w:color="auto"/>
        <w:right w:val="none" w:sz="0" w:space="0" w:color="auto"/>
      </w:divBdr>
    </w:div>
    <w:div w:id="1631395998">
      <w:bodyDiv w:val="1"/>
      <w:marLeft w:val="0"/>
      <w:marRight w:val="0"/>
      <w:marTop w:val="0"/>
      <w:marBottom w:val="0"/>
      <w:divBdr>
        <w:top w:val="none" w:sz="0" w:space="0" w:color="auto"/>
        <w:left w:val="none" w:sz="0" w:space="0" w:color="auto"/>
        <w:bottom w:val="none" w:sz="0" w:space="0" w:color="auto"/>
        <w:right w:val="none" w:sz="0" w:space="0" w:color="auto"/>
      </w:divBdr>
    </w:div>
    <w:div w:id="1705209624">
      <w:bodyDiv w:val="1"/>
      <w:marLeft w:val="0"/>
      <w:marRight w:val="0"/>
      <w:marTop w:val="0"/>
      <w:marBottom w:val="0"/>
      <w:divBdr>
        <w:top w:val="none" w:sz="0" w:space="0" w:color="auto"/>
        <w:left w:val="none" w:sz="0" w:space="0" w:color="auto"/>
        <w:bottom w:val="none" w:sz="0" w:space="0" w:color="auto"/>
        <w:right w:val="none" w:sz="0" w:space="0" w:color="auto"/>
      </w:divBdr>
    </w:div>
    <w:div w:id="1740177774">
      <w:bodyDiv w:val="1"/>
      <w:marLeft w:val="0"/>
      <w:marRight w:val="0"/>
      <w:marTop w:val="0"/>
      <w:marBottom w:val="0"/>
      <w:divBdr>
        <w:top w:val="none" w:sz="0" w:space="0" w:color="auto"/>
        <w:left w:val="none" w:sz="0" w:space="0" w:color="auto"/>
        <w:bottom w:val="none" w:sz="0" w:space="0" w:color="auto"/>
        <w:right w:val="none" w:sz="0" w:space="0" w:color="auto"/>
      </w:divBdr>
    </w:div>
    <w:div w:id="1891575668">
      <w:bodyDiv w:val="1"/>
      <w:marLeft w:val="0"/>
      <w:marRight w:val="0"/>
      <w:marTop w:val="0"/>
      <w:marBottom w:val="0"/>
      <w:divBdr>
        <w:top w:val="none" w:sz="0" w:space="0" w:color="auto"/>
        <w:left w:val="none" w:sz="0" w:space="0" w:color="auto"/>
        <w:bottom w:val="none" w:sz="0" w:space="0" w:color="auto"/>
        <w:right w:val="none" w:sz="0" w:space="0" w:color="auto"/>
      </w:divBdr>
    </w:div>
    <w:div w:id="19647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zmadalane\Desktop\2016\Budget%202016\Vote%2034%20Trade%20and%20Industry%20tables%20&amp;%20graph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7492807256586785"/>
          <c:y val="5.1663447729411185E-2"/>
          <c:w val="0.6250719274341322"/>
          <c:h val="0.76681358226448104"/>
        </c:manualLayout>
      </c:layout>
      <c:barChart>
        <c:barDir val="col"/>
        <c:grouping val="clustered"/>
        <c:varyColors val="0"/>
        <c:ser>
          <c:idx val="0"/>
          <c:order val="0"/>
          <c:tx>
            <c:strRef>
              <c:f>'All Programmes 2015-2019 graph'!$A$10</c:f>
              <c:strCache>
                <c:ptCount val="1"/>
                <c:pt idx="0">
                  <c:v>Nominal amounts (R'm)</c:v>
                </c:pt>
              </c:strCache>
            </c:strRef>
          </c:tx>
          <c:spPr>
            <a:solidFill>
              <a:schemeClr val="accent6"/>
            </a:solidFill>
            <a:ln>
              <a:noFill/>
            </a:ln>
            <a:effectLst/>
          </c:spPr>
          <c:invertIfNegative val="0"/>
          <c:cat>
            <c:strRef>
              <c:f>'All Programmes 2015-2019 graph'!$B$9:$E$9</c:f>
              <c:strCache>
                <c:ptCount val="4"/>
                <c:pt idx="0">
                  <c:v>2015/16</c:v>
                </c:pt>
                <c:pt idx="1">
                  <c:v>2016/17</c:v>
                </c:pt>
                <c:pt idx="2">
                  <c:v>2017/18</c:v>
                </c:pt>
                <c:pt idx="3">
                  <c:v>2018/19</c:v>
                </c:pt>
              </c:strCache>
            </c:strRef>
          </c:cat>
          <c:val>
            <c:numRef>
              <c:f>'All Programmes 2015-2019 graph'!$B$10:$E$10</c:f>
              <c:numCache>
                <c:formatCode>###\ ###\ ##0.0</c:formatCode>
                <c:ptCount val="4"/>
                <c:pt idx="0">
                  <c:v>9497.8440000000028</c:v>
                </c:pt>
                <c:pt idx="1">
                  <c:v>10327.517</c:v>
                </c:pt>
                <c:pt idx="2">
                  <c:v>9290.4800000000014</c:v>
                </c:pt>
                <c:pt idx="3">
                  <c:v>8631.3850000000002</c:v>
                </c:pt>
              </c:numCache>
            </c:numRef>
          </c:val>
        </c:ser>
        <c:ser>
          <c:idx val="1"/>
          <c:order val="1"/>
          <c:tx>
            <c:strRef>
              <c:f>'All Programmes 2015-2019 graph'!$A$11</c:f>
              <c:strCache>
                <c:ptCount val="1"/>
                <c:pt idx="0">
                  <c:v>Inflation-adjusted (R'm)</c:v>
                </c:pt>
              </c:strCache>
            </c:strRef>
          </c:tx>
          <c:spPr>
            <a:solidFill>
              <a:srgbClr val="FFC000"/>
            </a:solidFill>
            <a:ln>
              <a:noFill/>
            </a:ln>
            <a:effectLst/>
          </c:spPr>
          <c:invertIfNegative val="0"/>
          <c:cat>
            <c:strRef>
              <c:f>'All Programmes 2015-2019 graph'!$B$9:$E$9</c:f>
              <c:strCache>
                <c:ptCount val="4"/>
                <c:pt idx="0">
                  <c:v>2015/16</c:v>
                </c:pt>
                <c:pt idx="1">
                  <c:v>2016/17</c:v>
                </c:pt>
                <c:pt idx="2">
                  <c:v>2017/18</c:v>
                </c:pt>
                <c:pt idx="3">
                  <c:v>2018/19</c:v>
                </c:pt>
              </c:strCache>
            </c:strRef>
          </c:cat>
          <c:val>
            <c:numRef>
              <c:f>'All Programmes 2015-2019 graph'!$B$11:$E$11</c:f>
              <c:numCache>
                <c:formatCode>###\ ###\ ##0.0</c:formatCode>
                <c:ptCount val="4"/>
                <c:pt idx="0">
                  <c:v>9497.8440000000028</c:v>
                </c:pt>
                <c:pt idx="1">
                  <c:v>9688.1022514071283</c:v>
                </c:pt>
                <c:pt idx="2">
                  <c:v>8206.4708521922257</c:v>
                </c:pt>
                <c:pt idx="3">
                  <c:v>7199.5078081806487</c:v>
                </c:pt>
              </c:numCache>
            </c:numRef>
          </c:val>
        </c:ser>
        <c:dLbls>
          <c:showLegendKey val="0"/>
          <c:showVal val="0"/>
          <c:showCatName val="0"/>
          <c:showSerName val="0"/>
          <c:showPercent val="0"/>
          <c:showBubbleSize val="0"/>
        </c:dLbls>
        <c:gapWidth val="200"/>
        <c:overlap val="-10"/>
        <c:axId val="117583872"/>
        <c:axId val="118393856"/>
      </c:barChart>
      <c:catAx>
        <c:axId val="11758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8393856"/>
        <c:crosses val="autoZero"/>
        <c:auto val="1"/>
        <c:lblAlgn val="ctr"/>
        <c:lblOffset val="100"/>
        <c:tickLblSkip val="1"/>
        <c:tickMarkSkip val="1"/>
        <c:noMultiLvlLbl val="0"/>
      </c:catAx>
      <c:valAx>
        <c:axId val="118393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Value (R'million)</a:t>
                </a:r>
              </a:p>
            </c:rich>
          </c:tx>
          <c:layout>
            <c:manualLayout>
              <c:xMode val="edge"/>
              <c:yMode val="edge"/>
              <c:x val="4.6901164281395728E-2"/>
              <c:y val="0.26502088182373429"/>
            </c:manualLayout>
          </c:layout>
          <c:overlay val="0"/>
          <c:spPr>
            <a:noFill/>
            <a:ln>
              <a:noFill/>
            </a:ln>
            <a:effectLst/>
          </c:spPr>
        </c:title>
        <c:numFmt formatCode="###\ ###\ ##0.0"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17583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194E2-FA82-46F5-A491-04B88FF3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11747</Words>
  <Characters>66964</Characters>
  <Application>Microsoft Office Word</Application>
  <DocSecurity>4</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Hermans</dc:creator>
  <cp:lastModifiedBy>Asanda</cp:lastModifiedBy>
  <cp:revision>2</cp:revision>
  <cp:lastPrinted>2016-04-19T14:27:00Z</cp:lastPrinted>
  <dcterms:created xsi:type="dcterms:W3CDTF">2016-04-20T09:45:00Z</dcterms:created>
  <dcterms:modified xsi:type="dcterms:W3CDTF">2016-04-20T09:45:00Z</dcterms:modified>
</cp:coreProperties>
</file>