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89" w:rsidRPr="00E208F0" w:rsidRDefault="00A80989" w:rsidP="00042E47">
      <w:pPr>
        <w:ind w:right="-180"/>
        <w:jc w:val="both"/>
        <w:rPr>
          <w:rFonts w:ascii="Arial" w:hAnsi="Arial" w:cs="Arial"/>
          <w:b/>
          <w:caps/>
          <w:sz w:val="22"/>
          <w:szCs w:val="22"/>
        </w:rPr>
      </w:pPr>
      <w:bookmarkStart w:id="0" w:name="_GoBack"/>
      <w:bookmarkEnd w:id="0"/>
    </w:p>
    <w:p w:rsidR="00556C1C" w:rsidRPr="00E208F0" w:rsidRDefault="00556C1C" w:rsidP="00042E47">
      <w:pPr>
        <w:ind w:right="-180"/>
        <w:jc w:val="both"/>
        <w:rPr>
          <w:rFonts w:ascii="Arial" w:hAnsi="Arial" w:cs="Arial"/>
          <w:b/>
          <w:caps/>
          <w:sz w:val="22"/>
          <w:szCs w:val="22"/>
        </w:rPr>
      </w:pPr>
    </w:p>
    <w:p w:rsidR="00C4769C" w:rsidRPr="00E208F0" w:rsidRDefault="00C4769C" w:rsidP="00042E47">
      <w:pPr>
        <w:ind w:right="-180"/>
        <w:jc w:val="both"/>
        <w:rPr>
          <w:rFonts w:ascii="Arial" w:hAnsi="Arial" w:cs="Arial"/>
          <w:b/>
          <w:sz w:val="22"/>
          <w:szCs w:val="22"/>
        </w:rPr>
      </w:pPr>
    </w:p>
    <w:p w:rsidR="00C4769C" w:rsidRPr="00E208F0" w:rsidRDefault="00C4769C" w:rsidP="00042E47">
      <w:pPr>
        <w:ind w:right="-180"/>
        <w:jc w:val="both"/>
        <w:rPr>
          <w:rFonts w:ascii="Arial" w:hAnsi="Arial" w:cs="Arial"/>
          <w:b/>
          <w:sz w:val="22"/>
          <w:szCs w:val="22"/>
        </w:rPr>
      </w:pPr>
    </w:p>
    <w:p w:rsidR="007A32C4" w:rsidRPr="00730872" w:rsidRDefault="00730872" w:rsidP="00730872">
      <w:pPr>
        <w:ind w:right="-180"/>
        <w:rPr>
          <w:sz w:val="28"/>
          <w:szCs w:val="28"/>
        </w:rPr>
      </w:pPr>
      <w:r w:rsidRPr="00730872">
        <w:rPr>
          <w:b/>
          <w:sz w:val="28"/>
          <w:szCs w:val="28"/>
        </w:rPr>
        <w:t xml:space="preserve">1. </w:t>
      </w:r>
      <w:r w:rsidR="008234A8" w:rsidRPr="00730872">
        <w:rPr>
          <w:b/>
          <w:sz w:val="28"/>
          <w:szCs w:val="28"/>
        </w:rPr>
        <w:t>Report of the Portfolio Committee on Mineral Resources on the S</w:t>
      </w:r>
      <w:r w:rsidR="00C45B00" w:rsidRPr="00730872">
        <w:rPr>
          <w:b/>
          <w:sz w:val="28"/>
          <w:szCs w:val="28"/>
        </w:rPr>
        <w:t xml:space="preserve">trategic Plan, Annual Performance Plan </w:t>
      </w:r>
      <w:r w:rsidR="000305BA" w:rsidRPr="00730872">
        <w:rPr>
          <w:b/>
          <w:sz w:val="28"/>
          <w:szCs w:val="28"/>
        </w:rPr>
        <w:t xml:space="preserve">and Budget </w:t>
      </w:r>
      <w:r w:rsidR="008234A8" w:rsidRPr="00730872">
        <w:rPr>
          <w:b/>
          <w:sz w:val="28"/>
          <w:szCs w:val="28"/>
        </w:rPr>
        <w:t xml:space="preserve">of the Department of Mineral Resources for the </w:t>
      </w:r>
      <w:r w:rsidR="0003791D" w:rsidRPr="00730872">
        <w:rPr>
          <w:b/>
          <w:sz w:val="28"/>
          <w:szCs w:val="28"/>
        </w:rPr>
        <w:t>201</w:t>
      </w:r>
      <w:r w:rsidR="00204ACC" w:rsidRPr="00730872">
        <w:rPr>
          <w:b/>
          <w:sz w:val="28"/>
          <w:szCs w:val="28"/>
        </w:rPr>
        <w:t>6</w:t>
      </w:r>
      <w:r w:rsidR="0003791D" w:rsidRPr="00730872">
        <w:rPr>
          <w:b/>
          <w:sz w:val="28"/>
          <w:szCs w:val="28"/>
        </w:rPr>
        <w:t>/201</w:t>
      </w:r>
      <w:r w:rsidR="00204ACC" w:rsidRPr="00730872">
        <w:rPr>
          <w:b/>
          <w:sz w:val="28"/>
          <w:szCs w:val="28"/>
        </w:rPr>
        <w:t>7</w:t>
      </w:r>
      <w:r w:rsidR="0005699E" w:rsidRPr="00730872">
        <w:rPr>
          <w:b/>
          <w:sz w:val="28"/>
          <w:szCs w:val="28"/>
        </w:rPr>
        <w:t xml:space="preserve"> </w:t>
      </w:r>
      <w:r w:rsidR="008234A8" w:rsidRPr="00730872">
        <w:rPr>
          <w:b/>
          <w:sz w:val="28"/>
          <w:szCs w:val="28"/>
        </w:rPr>
        <w:t xml:space="preserve"> Financial Year, dated </w:t>
      </w:r>
      <w:r w:rsidR="00121610" w:rsidRPr="00730872">
        <w:rPr>
          <w:b/>
          <w:sz w:val="28"/>
          <w:szCs w:val="28"/>
        </w:rPr>
        <w:t>13 April 2016</w:t>
      </w:r>
    </w:p>
    <w:p w:rsidR="0003791D" w:rsidRPr="001E6CF3" w:rsidRDefault="0003791D" w:rsidP="00843CE2">
      <w:pPr>
        <w:spacing w:line="360" w:lineRule="auto"/>
        <w:ind w:right="-180"/>
        <w:jc w:val="both"/>
      </w:pPr>
    </w:p>
    <w:p w:rsidR="00D8757C" w:rsidRPr="001E6CF3" w:rsidRDefault="007A32C4" w:rsidP="00843CE2">
      <w:pPr>
        <w:spacing w:line="360" w:lineRule="auto"/>
        <w:ind w:right="-180"/>
        <w:jc w:val="both"/>
        <w:rPr>
          <w:lang w:val="en-ZA"/>
        </w:rPr>
      </w:pPr>
      <w:r w:rsidRPr="001E6CF3">
        <w:rPr>
          <w:lang w:val="en-ZA"/>
        </w:rPr>
        <w:t xml:space="preserve">The Portfolio Committee on </w:t>
      </w:r>
      <w:r w:rsidR="007C222C" w:rsidRPr="001E6CF3">
        <w:rPr>
          <w:lang w:val="en-ZA"/>
        </w:rPr>
        <w:t>Mineral Resources</w:t>
      </w:r>
      <w:r w:rsidR="002A69D9" w:rsidRPr="001E6CF3">
        <w:rPr>
          <w:lang w:val="en-ZA"/>
        </w:rPr>
        <w:t xml:space="preserve">, </w:t>
      </w:r>
      <w:r w:rsidR="001D0210" w:rsidRPr="001E6CF3">
        <w:rPr>
          <w:lang w:val="en-ZA"/>
        </w:rPr>
        <w:t xml:space="preserve">having considered </w:t>
      </w:r>
      <w:r w:rsidR="003715EC" w:rsidRPr="001E6CF3">
        <w:rPr>
          <w:lang w:val="en-ZA"/>
        </w:rPr>
        <w:t>the Strategic Plan</w:t>
      </w:r>
      <w:r w:rsidR="00C45B00" w:rsidRPr="001E6CF3">
        <w:rPr>
          <w:lang w:val="en-ZA"/>
        </w:rPr>
        <w:t>, Annual Performance Plan</w:t>
      </w:r>
      <w:r w:rsidR="003715EC" w:rsidRPr="001E6CF3">
        <w:rPr>
          <w:lang w:val="en-ZA"/>
        </w:rPr>
        <w:t xml:space="preserve"> </w:t>
      </w:r>
      <w:r w:rsidR="007C5EDF" w:rsidRPr="001E6CF3">
        <w:rPr>
          <w:lang w:val="en-ZA"/>
        </w:rPr>
        <w:t>(</w:t>
      </w:r>
      <w:r w:rsidR="003715EC" w:rsidRPr="001E6CF3">
        <w:rPr>
          <w:lang w:val="en-ZA"/>
        </w:rPr>
        <w:t>201</w:t>
      </w:r>
      <w:r w:rsidR="007F216C" w:rsidRPr="001E6CF3">
        <w:rPr>
          <w:lang w:val="en-ZA"/>
        </w:rPr>
        <w:t>6</w:t>
      </w:r>
      <w:r w:rsidR="00330496" w:rsidRPr="001E6CF3">
        <w:rPr>
          <w:lang w:val="en-ZA"/>
        </w:rPr>
        <w:t>/</w:t>
      </w:r>
      <w:r w:rsidR="00885498" w:rsidRPr="001E6CF3">
        <w:rPr>
          <w:lang w:val="en-ZA"/>
        </w:rPr>
        <w:t>1</w:t>
      </w:r>
      <w:r w:rsidR="007F216C" w:rsidRPr="001E6CF3">
        <w:rPr>
          <w:lang w:val="en-ZA"/>
        </w:rPr>
        <w:t>7</w:t>
      </w:r>
      <w:r w:rsidR="007C5EDF" w:rsidRPr="001E6CF3">
        <w:rPr>
          <w:lang w:val="en-ZA"/>
        </w:rPr>
        <w:t>)</w:t>
      </w:r>
      <w:r w:rsidR="003715EC" w:rsidRPr="001E6CF3">
        <w:rPr>
          <w:lang w:val="en-ZA"/>
        </w:rPr>
        <w:t xml:space="preserve"> and Budget Vote </w:t>
      </w:r>
      <w:r w:rsidR="000305BA" w:rsidRPr="001E6CF3">
        <w:rPr>
          <w:lang w:val="en-ZA"/>
        </w:rPr>
        <w:t>29</w:t>
      </w:r>
      <w:r w:rsidR="003715EC" w:rsidRPr="001E6CF3">
        <w:rPr>
          <w:lang w:val="en-ZA"/>
        </w:rPr>
        <w:t xml:space="preserve">: </w:t>
      </w:r>
      <w:r w:rsidR="007C222C" w:rsidRPr="001E6CF3">
        <w:rPr>
          <w:lang w:val="en-ZA"/>
        </w:rPr>
        <w:t>Mineral Resources</w:t>
      </w:r>
      <w:r w:rsidR="003715EC" w:rsidRPr="001E6CF3">
        <w:rPr>
          <w:lang w:val="en-ZA"/>
        </w:rPr>
        <w:t>, reports as follows</w:t>
      </w:r>
      <w:r w:rsidR="004D1018" w:rsidRPr="001E6CF3">
        <w:rPr>
          <w:lang w:val="en-ZA"/>
        </w:rPr>
        <w:t>:</w:t>
      </w:r>
    </w:p>
    <w:p w:rsidR="00D8757C" w:rsidRPr="001E6CF3" w:rsidRDefault="00D8757C" w:rsidP="00843CE2">
      <w:pPr>
        <w:spacing w:line="360" w:lineRule="auto"/>
        <w:ind w:right="-180"/>
        <w:jc w:val="both"/>
        <w:rPr>
          <w:lang w:val="en-ZA"/>
        </w:rPr>
      </w:pPr>
    </w:p>
    <w:p w:rsidR="003715EC" w:rsidRPr="001E6CF3" w:rsidRDefault="00CA5032" w:rsidP="00843CE2">
      <w:pPr>
        <w:pStyle w:val="ListParagraph"/>
        <w:numPr>
          <w:ilvl w:val="0"/>
          <w:numId w:val="3"/>
        </w:numPr>
        <w:spacing w:line="360" w:lineRule="auto"/>
        <w:ind w:right="-180"/>
        <w:rPr>
          <w:rFonts w:ascii="Times New Roman" w:hAnsi="Times New Roman"/>
          <w:b/>
          <w:sz w:val="24"/>
          <w:szCs w:val="24"/>
        </w:rPr>
      </w:pPr>
      <w:r w:rsidRPr="001E6CF3">
        <w:rPr>
          <w:rFonts w:ascii="Times New Roman" w:hAnsi="Times New Roman"/>
          <w:b/>
          <w:sz w:val="24"/>
          <w:szCs w:val="24"/>
        </w:rPr>
        <w:t>Introduction</w:t>
      </w:r>
    </w:p>
    <w:p w:rsidR="00CD226D" w:rsidRPr="001E6CF3" w:rsidRDefault="00CD226D" w:rsidP="00843CE2">
      <w:pPr>
        <w:spacing w:line="360" w:lineRule="auto"/>
        <w:ind w:right="-180"/>
        <w:rPr>
          <w:b/>
        </w:rPr>
      </w:pPr>
    </w:p>
    <w:p w:rsidR="00CD226D" w:rsidRPr="001E6CF3" w:rsidRDefault="00CD226D" w:rsidP="00843CE2">
      <w:pPr>
        <w:spacing w:line="360" w:lineRule="auto"/>
        <w:jc w:val="both"/>
        <w:rPr>
          <w:bCs/>
        </w:rPr>
      </w:pPr>
      <w:r w:rsidRPr="001E6CF3">
        <w:rPr>
          <w:bCs/>
        </w:rPr>
        <w:t>The purpose of Vo</w:t>
      </w:r>
      <w:r w:rsidR="00C22816" w:rsidRPr="001E6CF3">
        <w:rPr>
          <w:bCs/>
        </w:rPr>
        <w:t>te 29: Mineral Resources is to p</w:t>
      </w:r>
      <w:r w:rsidRPr="001E6CF3">
        <w:rPr>
          <w:bCs/>
        </w:rPr>
        <w:t>romote and regulate the minerals and mining sector for transfor</w:t>
      </w:r>
      <w:r w:rsidR="00C22816" w:rsidRPr="001E6CF3">
        <w:rPr>
          <w:bCs/>
        </w:rPr>
        <w:t>mation, growth, and development;</w:t>
      </w:r>
      <w:r w:rsidRPr="001E6CF3">
        <w:rPr>
          <w:bCs/>
        </w:rPr>
        <w:t xml:space="preserve"> and to</w:t>
      </w:r>
      <w:r w:rsidR="00C22816" w:rsidRPr="001E6CF3">
        <w:rPr>
          <w:bCs/>
        </w:rPr>
        <w:t xml:space="preserve"> e</w:t>
      </w:r>
      <w:r w:rsidRPr="001E6CF3">
        <w:rPr>
          <w:bCs/>
        </w:rPr>
        <w:t xml:space="preserve">nsure that all South Africans derive sustainable benefits from the country’s mineral wealth. </w:t>
      </w:r>
    </w:p>
    <w:p w:rsidR="00CD226D" w:rsidRPr="001E6CF3" w:rsidRDefault="00CD226D" w:rsidP="00843CE2">
      <w:pPr>
        <w:spacing w:line="360" w:lineRule="auto"/>
        <w:jc w:val="both"/>
        <w:rPr>
          <w:bCs/>
        </w:rPr>
      </w:pPr>
    </w:p>
    <w:p w:rsidR="00CD226D" w:rsidRPr="001E6CF3" w:rsidRDefault="00CD226D" w:rsidP="00843CE2">
      <w:pPr>
        <w:spacing w:line="360" w:lineRule="auto"/>
        <w:jc w:val="both"/>
        <w:rPr>
          <w:bCs/>
        </w:rPr>
      </w:pPr>
      <w:r w:rsidRPr="001E6CF3">
        <w:rPr>
          <w:bCs/>
        </w:rPr>
        <w:t>The Budget was tabled on 24 February 2016 and the Annual Performance Plan (APP) of the Department of Mineral Resources (DMR), which provide</w:t>
      </w:r>
      <w:r w:rsidR="003720B1" w:rsidRPr="001E6CF3">
        <w:rPr>
          <w:bCs/>
        </w:rPr>
        <w:t>s</w:t>
      </w:r>
      <w:r w:rsidRPr="001E6CF3">
        <w:rPr>
          <w:bCs/>
        </w:rPr>
        <w:t xml:space="preserve"> specific performance </w:t>
      </w:r>
      <w:r w:rsidR="00C22816" w:rsidRPr="001E6CF3">
        <w:rPr>
          <w:bCs/>
        </w:rPr>
        <w:t>goals for</w:t>
      </w:r>
      <w:r w:rsidRPr="001E6CF3">
        <w:rPr>
          <w:bCs/>
        </w:rPr>
        <w:t xml:space="preserve"> 2016/17 </w:t>
      </w:r>
      <w:r w:rsidR="00C22816" w:rsidRPr="001E6CF3">
        <w:rPr>
          <w:bCs/>
        </w:rPr>
        <w:t xml:space="preserve">was </w:t>
      </w:r>
      <w:r w:rsidRPr="001E6CF3">
        <w:rPr>
          <w:bCs/>
        </w:rPr>
        <w:t xml:space="preserve">tabled on 10 March 2016. </w:t>
      </w:r>
    </w:p>
    <w:p w:rsidR="00C22816" w:rsidRPr="001E6CF3" w:rsidRDefault="00C22816" w:rsidP="00843CE2">
      <w:pPr>
        <w:spacing w:line="360" w:lineRule="auto"/>
        <w:jc w:val="both"/>
        <w:rPr>
          <w:bCs/>
        </w:rPr>
      </w:pPr>
    </w:p>
    <w:p w:rsidR="00C22816" w:rsidRPr="001E6CF3" w:rsidRDefault="003720B1" w:rsidP="00843CE2">
      <w:pPr>
        <w:spacing w:line="360" w:lineRule="auto"/>
        <w:jc w:val="both"/>
        <w:rPr>
          <w:bCs/>
        </w:rPr>
      </w:pPr>
      <w:r w:rsidRPr="001E6CF3">
        <w:rPr>
          <w:bCs/>
        </w:rPr>
        <w:t xml:space="preserve">Budget Vote </w:t>
      </w:r>
      <w:r w:rsidR="00463C6F" w:rsidRPr="001E6CF3">
        <w:rPr>
          <w:bCs/>
        </w:rPr>
        <w:t>29 and</w:t>
      </w:r>
      <w:r w:rsidRPr="001E6CF3">
        <w:rPr>
          <w:bCs/>
        </w:rPr>
        <w:t xml:space="preserve"> t</w:t>
      </w:r>
      <w:r w:rsidR="00C22816" w:rsidRPr="001E6CF3">
        <w:rPr>
          <w:bCs/>
        </w:rPr>
        <w:t xml:space="preserve">he </w:t>
      </w:r>
      <w:r w:rsidR="000521B4" w:rsidRPr="001E6CF3">
        <w:rPr>
          <w:bCs/>
        </w:rPr>
        <w:t xml:space="preserve">Performance </w:t>
      </w:r>
      <w:r w:rsidR="00C22816" w:rsidRPr="001E6CF3">
        <w:rPr>
          <w:bCs/>
        </w:rPr>
        <w:t>Plan</w:t>
      </w:r>
      <w:r w:rsidR="000521B4" w:rsidRPr="001E6CF3">
        <w:rPr>
          <w:bCs/>
        </w:rPr>
        <w:t>s</w:t>
      </w:r>
      <w:r w:rsidR="00C22816" w:rsidRPr="001E6CF3">
        <w:rPr>
          <w:bCs/>
        </w:rPr>
        <w:t xml:space="preserve"> of the Department of Mineral Resources (the Department) and its entities were referred to the Portfolio Committee on Mineral Resources (the Committee) for consideration and report. The Committee </w:t>
      </w:r>
      <w:r w:rsidR="000521B4" w:rsidRPr="001E6CF3">
        <w:rPr>
          <w:bCs/>
        </w:rPr>
        <w:t xml:space="preserve">received </w:t>
      </w:r>
      <w:r w:rsidR="00C22816" w:rsidRPr="001E6CF3">
        <w:rPr>
          <w:bCs/>
        </w:rPr>
        <w:t>briefing</w:t>
      </w:r>
      <w:r w:rsidR="000521B4" w:rsidRPr="001E6CF3">
        <w:rPr>
          <w:bCs/>
        </w:rPr>
        <w:t>s</w:t>
      </w:r>
      <w:r w:rsidR="00C22816" w:rsidRPr="001E6CF3">
        <w:rPr>
          <w:bCs/>
        </w:rPr>
        <w:t xml:space="preserve"> from the Financial </w:t>
      </w:r>
      <w:r w:rsidR="000521B4" w:rsidRPr="001E6CF3">
        <w:rPr>
          <w:bCs/>
        </w:rPr>
        <w:t xml:space="preserve">and </w:t>
      </w:r>
      <w:r w:rsidR="00C22816" w:rsidRPr="001E6CF3">
        <w:rPr>
          <w:bCs/>
        </w:rPr>
        <w:t xml:space="preserve">Fiscal Commission and Department of Performance, Monitoring and Evaluation on 16 March 2016. </w:t>
      </w:r>
      <w:r w:rsidR="000521B4" w:rsidRPr="001E6CF3">
        <w:rPr>
          <w:bCs/>
        </w:rPr>
        <w:t xml:space="preserve">The office of the Auditor General declined an invitation to address the Committee, as it said that it was satisfied that the Department and its entities </w:t>
      </w:r>
      <w:r w:rsidR="0080438B" w:rsidRPr="001E6CF3">
        <w:rPr>
          <w:bCs/>
        </w:rPr>
        <w:t>have</w:t>
      </w:r>
      <w:r w:rsidR="000521B4" w:rsidRPr="001E6CF3">
        <w:rPr>
          <w:bCs/>
        </w:rPr>
        <w:t xml:space="preserve"> fully </w:t>
      </w:r>
      <w:r w:rsidR="0080438B" w:rsidRPr="001E6CF3">
        <w:rPr>
          <w:bCs/>
        </w:rPr>
        <w:t>addressed all</w:t>
      </w:r>
      <w:r w:rsidR="000521B4" w:rsidRPr="001E6CF3">
        <w:rPr>
          <w:bCs/>
        </w:rPr>
        <w:t xml:space="preserve"> issues raised in the 2014/15 annual reports. </w:t>
      </w:r>
      <w:r w:rsidR="00C22816" w:rsidRPr="001E6CF3">
        <w:rPr>
          <w:bCs/>
        </w:rPr>
        <w:t xml:space="preserve">The Department of Mineral Resources and the five entities presented </w:t>
      </w:r>
      <w:r w:rsidR="000521B4" w:rsidRPr="001E6CF3">
        <w:rPr>
          <w:bCs/>
        </w:rPr>
        <w:t>their APPs</w:t>
      </w:r>
      <w:r w:rsidR="00C22816" w:rsidRPr="001E6CF3">
        <w:rPr>
          <w:bCs/>
        </w:rPr>
        <w:t xml:space="preserve"> for 2016/17 and the Budget </w:t>
      </w:r>
      <w:r w:rsidR="000521B4" w:rsidRPr="001E6CF3">
        <w:rPr>
          <w:bCs/>
        </w:rPr>
        <w:t xml:space="preserve">to the Committee </w:t>
      </w:r>
      <w:r w:rsidR="00C22816" w:rsidRPr="001E6CF3">
        <w:rPr>
          <w:bCs/>
        </w:rPr>
        <w:t>on 05 and 06 April</w:t>
      </w:r>
      <w:r w:rsidR="0080438B" w:rsidRPr="001E6CF3">
        <w:rPr>
          <w:bCs/>
        </w:rPr>
        <w:t xml:space="preserve"> 2016</w:t>
      </w:r>
      <w:r w:rsidR="00C22816" w:rsidRPr="001E6CF3">
        <w:rPr>
          <w:bCs/>
        </w:rPr>
        <w:t xml:space="preserve">. </w:t>
      </w:r>
    </w:p>
    <w:p w:rsidR="00CD226D" w:rsidRPr="001E6CF3" w:rsidRDefault="00CD226D" w:rsidP="00843CE2">
      <w:pPr>
        <w:spacing w:line="360" w:lineRule="auto"/>
        <w:jc w:val="both"/>
      </w:pPr>
    </w:p>
    <w:p w:rsidR="009237BA" w:rsidRPr="001E6CF3" w:rsidRDefault="00CD226D" w:rsidP="00843CE2">
      <w:pPr>
        <w:spacing w:line="360" w:lineRule="auto"/>
        <w:jc w:val="both"/>
      </w:pPr>
      <w:r w:rsidRPr="001E6CF3">
        <w:t xml:space="preserve">The mining industry is in an extremely vulnerable position globally, facing what is described </w:t>
      </w:r>
      <w:r w:rsidR="0080438B" w:rsidRPr="001E6CF3">
        <w:t>in</w:t>
      </w:r>
      <w:r w:rsidRPr="001E6CF3">
        <w:t xml:space="preserve"> the </w:t>
      </w:r>
      <w:r w:rsidRPr="001E6CF3">
        <w:rPr>
          <w:i/>
        </w:rPr>
        <w:t xml:space="preserve">Financial Times </w:t>
      </w:r>
      <w:r w:rsidRPr="001E6CF3">
        <w:t>as the</w:t>
      </w:r>
      <w:r w:rsidRPr="001E6CF3">
        <w:rPr>
          <w:i/>
        </w:rPr>
        <w:t xml:space="preserve"> “</w:t>
      </w:r>
      <w:r w:rsidRPr="001E6CF3">
        <w:t xml:space="preserve">toughest conditions for years”. The Chamber of Mines of South Africa states that </w:t>
      </w:r>
      <w:r w:rsidR="0080438B" w:rsidRPr="001E6CF3">
        <w:t>‘</w:t>
      </w:r>
      <w:r w:rsidRPr="001E6CF3">
        <w:t>in the 2014 calendar year, the most recent for which data are available, the South African mining sector posted an aggregate loss of more than R10 billion after taxes and</w:t>
      </w:r>
      <w:r w:rsidR="009237BA" w:rsidRPr="001E6CF3">
        <w:t xml:space="preserve"> dividends</w:t>
      </w:r>
      <w:r w:rsidR="0080438B" w:rsidRPr="001E6CF3">
        <w:t>”</w:t>
      </w:r>
      <w:r w:rsidR="009237BA" w:rsidRPr="001E6CF3">
        <w:t xml:space="preserve">. </w:t>
      </w:r>
      <w:r w:rsidR="009237BA" w:rsidRPr="001E6CF3">
        <w:lastRenderedPageBreak/>
        <w:t>Eighty per cent of platinum operations are loss making at present. Severe production cutbacks have been announced in iron ore and export coal. These</w:t>
      </w:r>
      <w:r w:rsidR="0080438B" w:rsidRPr="001E6CF3">
        <w:t xml:space="preserve"> (iron ore and coal)</w:t>
      </w:r>
      <w:r w:rsidR="009237BA" w:rsidRPr="001E6CF3">
        <w:t xml:space="preserve"> were previously the key surplus generators for the sector.  </w:t>
      </w:r>
      <w:r w:rsidR="0080438B" w:rsidRPr="001E6CF3">
        <w:t>P</w:t>
      </w:r>
      <w:r w:rsidR="009237BA" w:rsidRPr="001E6CF3">
        <w:t>roblems in the mining sector have contributed greatly to the general problem</w:t>
      </w:r>
      <w:r w:rsidR="000521B4" w:rsidRPr="001E6CF3">
        <w:t>s</w:t>
      </w:r>
      <w:r w:rsidR="009237BA" w:rsidRPr="001E6CF3">
        <w:t xml:space="preserve"> of weak economic growth.</w:t>
      </w:r>
    </w:p>
    <w:p w:rsidR="009237BA" w:rsidRPr="001E6CF3" w:rsidRDefault="009237BA" w:rsidP="00843CE2">
      <w:pPr>
        <w:pStyle w:val="Heading1"/>
        <w:numPr>
          <w:ilvl w:val="0"/>
          <w:numId w:val="3"/>
        </w:numPr>
        <w:spacing w:line="360" w:lineRule="auto"/>
        <w:jc w:val="both"/>
        <w:rPr>
          <w:rFonts w:ascii="Times New Roman" w:hAnsi="Times New Roman" w:cs="Times New Roman"/>
          <w:b/>
          <w:color w:val="auto"/>
          <w:sz w:val="24"/>
          <w:szCs w:val="24"/>
        </w:rPr>
      </w:pPr>
      <w:bookmarkStart w:id="1" w:name="_Toc444422061"/>
      <w:r w:rsidRPr="001E6CF3">
        <w:rPr>
          <w:rFonts w:ascii="Times New Roman" w:hAnsi="Times New Roman" w:cs="Times New Roman"/>
          <w:b/>
          <w:color w:val="auto"/>
          <w:sz w:val="24"/>
          <w:szCs w:val="24"/>
        </w:rPr>
        <w:t>Overview of the 2015/16 financial year</w:t>
      </w:r>
      <w:bookmarkEnd w:id="1"/>
    </w:p>
    <w:p w:rsidR="009237BA" w:rsidRPr="001E6CF3" w:rsidRDefault="009237BA" w:rsidP="00843CE2">
      <w:pPr>
        <w:spacing w:line="360" w:lineRule="auto"/>
        <w:jc w:val="both"/>
        <w:rPr>
          <w:bCs/>
        </w:rPr>
      </w:pPr>
    </w:p>
    <w:p w:rsidR="009237BA" w:rsidRPr="001E6CF3" w:rsidRDefault="009237BA" w:rsidP="00843CE2">
      <w:pPr>
        <w:spacing w:line="360" w:lineRule="auto"/>
        <w:jc w:val="both"/>
      </w:pPr>
      <w:r w:rsidRPr="001E6CF3">
        <w:t xml:space="preserve">The DMR had an available budget of R1.6 billion in 2015/16. This represented a nominal increase of R163 million, or 11 per cent, compared with 2014/15. </w:t>
      </w:r>
    </w:p>
    <w:p w:rsidR="009237BA" w:rsidRPr="001E6CF3" w:rsidRDefault="009237BA" w:rsidP="00843CE2">
      <w:pPr>
        <w:spacing w:line="360" w:lineRule="auto"/>
        <w:jc w:val="both"/>
      </w:pPr>
    </w:p>
    <w:p w:rsidR="009237BA" w:rsidRPr="001E6CF3" w:rsidRDefault="009237BA" w:rsidP="00843CE2">
      <w:pPr>
        <w:spacing w:line="360" w:lineRule="auto"/>
        <w:jc w:val="both"/>
      </w:pPr>
      <w:r w:rsidRPr="001E6CF3">
        <w:t xml:space="preserve">The 2015/16 Annual Report of the Department, covering the full financial year ending 31 March 2016, will be available at the end of September 2016. The third quarter expenditure report shows that at the end of December 2015, the DMR had spent 79.5 per cent of its available budget. The DMR has </w:t>
      </w:r>
      <w:r w:rsidR="004F7400" w:rsidRPr="001E6CF3">
        <w:t>consistently</w:t>
      </w:r>
      <w:r w:rsidRPr="001E6CF3">
        <w:t xml:space="preserve"> manag</w:t>
      </w:r>
      <w:r w:rsidR="004F7400" w:rsidRPr="001E6CF3">
        <w:t>ed</w:t>
      </w:r>
      <w:r w:rsidRPr="001E6CF3">
        <w:t xml:space="preserve"> its budget very well</w:t>
      </w:r>
      <w:r w:rsidR="004F7400" w:rsidRPr="001E6CF3">
        <w:t xml:space="preserve"> over the years,</w:t>
      </w:r>
      <w:r w:rsidRPr="001E6CF3">
        <w:t xml:space="preserve"> spending exactly 100 per cent, or very close to it, by the end of each financial year.</w:t>
      </w:r>
    </w:p>
    <w:p w:rsidR="009237BA" w:rsidRPr="001E6CF3" w:rsidRDefault="009237BA" w:rsidP="00843CE2">
      <w:pPr>
        <w:spacing w:line="360" w:lineRule="auto"/>
        <w:jc w:val="both"/>
      </w:pPr>
    </w:p>
    <w:p w:rsidR="009237BA" w:rsidRPr="001E6CF3" w:rsidRDefault="009237BA" w:rsidP="00843CE2">
      <w:pPr>
        <w:spacing w:line="360" w:lineRule="auto"/>
        <w:jc w:val="both"/>
      </w:pPr>
      <w:r w:rsidRPr="001E6CF3">
        <w:t>Transfers and Subsidies accounted for R826.9 million of the available budget and, of this amount, the Department had transferred by December 2015, R687.4 million, or 83.1 per cent, mainly to public corporations</w:t>
      </w:r>
      <w:r w:rsidR="004F7400" w:rsidRPr="001E6CF3">
        <w:t>,</w:t>
      </w:r>
      <w:r w:rsidRPr="001E6CF3">
        <w:t xml:space="preserve"> private enterprises</w:t>
      </w:r>
      <w:r w:rsidR="004F7400" w:rsidRPr="001E6CF3">
        <w:t>,</w:t>
      </w:r>
      <w:r w:rsidRPr="001E6CF3">
        <w:t xml:space="preserve"> departmental agencies and accounts. This means </w:t>
      </w:r>
      <w:r w:rsidR="004F7400" w:rsidRPr="001E6CF3">
        <w:t xml:space="preserve">that </w:t>
      </w:r>
      <w:r w:rsidRPr="001E6CF3">
        <w:t xml:space="preserve">the </w:t>
      </w:r>
      <w:r w:rsidR="004F7400" w:rsidRPr="001E6CF3">
        <w:t>D</w:t>
      </w:r>
      <w:r w:rsidRPr="001E6CF3">
        <w:t xml:space="preserve">epartment had an available budget of R810.8 million for operations. By December 2015, the </w:t>
      </w:r>
      <w:r w:rsidR="004F7400" w:rsidRPr="001E6CF3">
        <w:t>D</w:t>
      </w:r>
      <w:r w:rsidRPr="001E6CF3">
        <w:t>epartment had spent R611.6 million, or 75.4 per cent, of this budget, the majority of which was used on compensation of employees and goods and services.</w:t>
      </w:r>
    </w:p>
    <w:p w:rsidR="009237BA" w:rsidRPr="001E6CF3" w:rsidRDefault="009237BA" w:rsidP="00843CE2">
      <w:pPr>
        <w:spacing w:line="360" w:lineRule="auto"/>
        <w:jc w:val="both"/>
      </w:pPr>
    </w:p>
    <w:p w:rsidR="009237BA" w:rsidRPr="001E6CF3" w:rsidRDefault="009237BA" w:rsidP="00843CE2">
      <w:pPr>
        <w:spacing w:line="360" w:lineRule="auto"/>
        <w:jc w:val="both"/>
      </w:pPr>
      <w:r w:rsidRPr="001E6CF3">
        <w:t>The APP for 2015/16 specifically identified three objectives for the year:</w:t>
      </w:r>
    </w:p>
    <w:p w:rsidR="009237BA" w:rsidRPr="001E6CF3" w:rsidRDefault="009237BA" w:rsidP="00843CE2">
      <w:pPr>
        <w:numPr>
          <w:ilvl w:val="0"/>
          <w:numId w:val="1"/>
        </w:numPr>
        <w:spacing w:before="120" w:after="120" w:line="360" w:lineRule="auto"/>
        <w:ind w:left="714" w:hanging="357"/>
        <w:jc w:val="both"/>
      </w:pPr>
      <w:r w:rsidRPr="001E6CF3">
        <w:t>Review the Mine Health and Safety Act, including its regulations.</w:t>
      </w:r>
    </w:p>
    <w:p w:rsidR="009237BA" w:rsidRPr="001E6CF3" w:rsidRDefault="009237BA" w:rsidP="00843CE2">
      <w:pPr>
        <w:numPr>
          <w:ilvl w:val="0"/>
          <w:numId w:val="1"/>
        </w:numPr>
        <w:spacing w:before="120" w:after="120" w:line="360" w:lineRule="auto"/>
        <w:ind w:left="714" w:hanging="357"/>
        <w:jc w:val="both"/>
      </w:pPr>
      <w:r w:rsidRPr="001E6CF3">
        <w:t>Conduct the regulatory impact assessment of identified legislation.</w:t>
      </w:r>
    </w:p>
    <w:p w:rsidR="009237BA" w:rsidRPr="001E6CF3" w:rsidRDefault="009237BA" w:rsidP="00843CE2">
      <w:pPr>
        <w:numPr>
          <w:ilvl w:val="0"/>
          <w:numId w:val="1"/>
        </w:numPr>
        <w:spacing w:before="120" w:after="240" w:line="360" w:lineRule="auto"/>
        <w:jc w:val="both"/>
      </w:pPr>
      <w:r w:rsidRPr="001E6CF3">
        <w:t>Review the Broad-based Socio-economic Empowerment Charter and update the scorecard with a detailed explanatory memorandum.</w:t>
      </w:r>
    </w:p>
    <w:p w:rsidR="009237BA" w:rsidRPr="001E6CF3" w:rsidRDefault="009237BA" w:rsidP="00843CE2">
      <w:pPr>
        <w:spacing w:line="360" w:lineRule="auto"/>
        <w:jc w:val="both"/>
      </w:pPr>
      <w:r w:rsidRPr="001E6CF3">
        <w:rPr>
          <w:color w:val="000000"/>
        </w:rPr>
        <w:t xml:space="preserve">Amendments to the Diamonds Act,  No. 56 of 1986; the Mine Health and Safety Act, No. 29 of 1996 (MHSA) and the Precious Metals Act, No. 37 of 2005; were promised by the DMR as early as 2012/13, but </w:t>
      </w:r>
      <w:r w:rsidR="004F7400" w:rsidRPr="001E6CF3">
        <w:rPr>
          <w:color w:val="000000"/>
        </w:rPr>
        <w:t>have not</w:t>
      </w:r>
      <w:r w:rsidRPr="001E6CF3">
        <w:rPr>
          <w:color w:val="000000"/>
        </w:rPr>
        <w:t xml:space="preserve"> yet been introduced </w:t>
      </w:r>
      <w:r w:rsidR="004F7400" w:rsidRPr="001E6CF3">
        <w:rPr>
          <w:color w:val="000000"/>
        </w:rPr>
        <w:t>to</w:t>
      </w:r>
      <w:r w:rsidRPr="001E6CF3">
        <w:rPr>
          <w:color w:val="000000"/>
        </w:rPr>
        <w:t xml:space="preserve"> Parliament. It was expected that the bill to establish </w:t>
      </w:r>
      <w:r w:rsidRPr="001E6CF3">
        <w:rPr>
          <w:color w:val="000000"/>
        </w:rPr>
        <w:lastRenderedPageBreak/>
        <w:t xml:space="preserve">the State Owned Mining Company (SOMCO) would be tabled in the 2015/16 financial year. This has not occurred, but the </w:t>
      </w:r>
      <w:r w:rsidRPr="001E6CF3">
        <w:t>draft African Exploration Mining and Finance Corporation Bill, 2015 was published, inviting public comment by 22 March 2016.</w:t>
      </w:r>
    </w:p>
    <w:p w:rsidR="009237BA" w:rsidRPr="001E6CF3" w:rsidRDefault="009237BA" w:rsidP="00843CE2">
      <w:pPr>
        <w:spacing w:line="360" w:lineRule="auto"/>
        <w:jc w:val="both"/>
      </w:pPr>
      <w:r w:rsidRPr="001E6CF3">
        <w:t xml:space="preserve"> </w:t>
      </w:r>
    </w:p>
    <w:p w:rsidR="009237BA" w:rsidRPr="001E6CF3" w:rsidRDefault="009237BA" w:rsidP="00843CE2">
      <w:pPr>
        <w:spacing w:line="360" w:lineRule="auto"/>
        <w:jc w:val="both"/>
        <w:rPr>
          <w:lang w:eastAsia="en-ZA"/>
        </w:rPr>
      </w:pPr>
      <w:r w:rsidRPr="001E6CF3">
        <w:rPr>
          <w:color w:val="000000"/>
        </w:rPr>
        <w:t xml:space="preserve">The Mineral and Petroleum Development Amendment Bill [B15B-2013] was passed by Parliament in March 2014, but the President referred the Bill back to Parliament in January 2015 because of his concern that several aspects of the Bill would not pass constitutional </w:t>
      </w:r>
      <w:r w:rsidRPr="001E6CF3">
        <w:rPr>
          <w:lang w:eastAsia="en-ZA"/>
        </w:rPr>
        <w:t xml:space="preserve">muster. The President’s concerns were referred to the Portfolio Committee on Mineral Resources (PCMR), which </w:t>
      </w:r>
      <w:r w:rsidR="00463C6F" w:rsidRPr="001E6CF3">
        <w:rPr>
          <w:lang w:eastAsia="en-ZA"/>
        </w:rPr>
        <w:t>referred</w:t>
      </w:r>
      <w:r w:rsidRPr="001E6CF3">
        <w:rPr>
          <w:lang w:eastAsia="en-ZA"/>
        </w:rPr>
        <w:t xml:space="preserve"> the issue to Parliament's Joint Tagging Mechanism (JTM), as required by the Rules of Parliament.  A formal letter was duly sent on 23 April 2015. On 29 February 2016, Parliament referred the Bill  to the National House of Traditional Leaders</w:t>
      </w:r>
      <w:r w:rsidR="000521B4" w:rsidRPr="001E6CF3">
        <w:rPr>
          <w:lang w:eastAsia="en-ZA"/>
        </w:rPr>
        <w:t xml:space="preserve"> (NHTL)</w:t>
      </w:r>
      <w:r w:rsidRPr="001E6CF3">
        <w:rPr>
          <w:lang w:eastAsia="en-ZA"/>
        </w:rPr>
        <w:t xml:space="preserve">, after it was reclassified, as a Bill falling within the ambit of section 18(1) of the Traditional Leadership and Governance Framework Act, 2003 (Act No 41 of 2003). </w:t>
      </w:r>
      <w:r w:rsidR="000521B4" w:rsidRPr="001E6CF3">
        <w:rPr>
          <w:lang w:eastAsia="en-ZA"/>
        </w:rPr>
        <w:t xml:space="preserve">The NHTL is due to express its views by 15 April 2016. </w:t>
      </w:r>
    </w:p>
    <w:p w:rsidR="009237BA" w:rsidRPr="001E6CF3" w:rsidRDefault="009237BA" w:rsidP="00843CE2">
      <w:pPr>
        <w:spacing w:line="360" w:lineRule="auto"/>
        <w:jc w:val="both"/>
        <w:rPr>
          <w:color w:val="000000"/>
        </w:rPr>
      </w:pPr>
    </w:p>
    <w:p w:rsidR="009237BA" w:rsidRPr="001E6CF3" w:rsidRDefault="009237BA" w:rsidP="00843CE2">
      <w:pPr>
        <w:spacing w:line="360" w:lineRule="auto"/>
        <w:jc w:val="both"/>
        <w:rPr>
          <w:color w:val="000000"/>
        </w:rPr>
      </w:pPr>
      <w:r w:rsidRPr="001E6CF3">
        <w:rPr>
          <w:color w:val="000000"/>
        </w:rPr>
        <w:t xml:space="preserve">There remains an urgent need for policy certainty in the mining sector and such would be provided by the successful amendment of the Mineral and Petroleum Resources Development Act (MPRDA). In his State of the Nation Address (SONA) on 11 February 2016, President Zuma called on Parliament to conclude the MPRDA Bill “expeditiously”. </w:t>
      </w:r>
    </w:p>
    <w:p w:rsidR="009237BA" w:rsidRPr="001E6CF3" w:rsidRDefault="009237BA" w:rsidP="00843CE2">
      <w:pPr>
        <w:pStyle w:val="Heading1"/>
        <w:numPr>
          <w:ilvl w:val="1"/>
          <w:numId w:val="3"/>
        </w:numPr>
        <w:spacing w:line="360" w:lineRule="auto"/>
        <w:ind w:hanging="1222"/>
        <w:jc w:val="both"/>
        <w:rPr>
          <w:rFonts w:ascii="Times New Roman" w:hAnsi="Times New Roman" w:cs="Times New Roman"/>
          <w:b/>
          <w:color w:val="auto"/>
          <w:sz w:val="24"/>
          <w:szCs w:val="24"/>
        </w:rPr>
      </w:pPr>
      <w:bookmarkStart w:id="2" w:name="_Toc444422062"/>
      <w:bookmarkStart w:id="3" w:name="_Ref444436346"/>
      <w:r w:rsidRPr="001E6CF3">
        <w:rPr>
          <w:rFonts w:ascii="Times New Roman" w:hAnsi="Times New Roman" w:cs="Times New Roman"/>
          <w:b/>
          <w:color w:val="auto"/>
          <w:sz w:val="24"/>
          <w:szCs w:val="24"/>
        </w:rPr>
        <w:t>Policy Priorities for 2016/17</w:t>
      </w:r>
      <w:bookmarkEnd w:id="2"/>
      <w:bookmarkEnd w:id="3"/>
    </w:p>
    <w:p w:rsidR="009237BA" w:rsidRPr="001E6CF3" w:rsidRDefault="009237BA" w:rsidP="00843CE2">
      <w:pPr>
        <w:spacing w:line="360" w:lineRule="auto"/>
        <w:jc w:val="both"/>
        <w:rPr>
          <w:b/>
          <w:bCs/>
        </w:rPr>
      </w:pPr>
    </w:p>
    <w:p w:rsidR="009237BA" w:rsidRPr="001E6CF3" w:rsidRDefault="009237BA" w:rsidP="00843CE2">
      <w:pPr>
        <w:spacing w:line="360" w:lineRule="auto"/>
        <w:jc w:val="both"/>
      </w:pPr>
      <w:r w:rsidRPr="001E6CF3">
        <w:t xml:space="preserve">At the highest level, the priority is to align the activities of the Department with the government’s 2014-2019 </w:t>
      </w:r>
      <w:r w:rsidR="004F7400" w:rsidRPr="001E6CF3">
        <w:t>M</w:t>
      </w:r>
      <w:r w:rsidRPr="001E6CF3">
        <w:t xml:space="preserve">edium </w:t>
      </w:r>
      <w:r w:rsidR="004F7400" w:rsidRPr="001E6CF3">
        <w:t>T</w:t>
      </w:r>
      <w:r w:rsidRPr="001E6CF3">
        <w:t xml:space="preserve">erm </w:t>
      </w:r>
      <w:r w:rsidR="004F7400" w:rsidRPr="001E6CF3">
        <w:t>S</w:t>
      </w:r>
      <w:r w:rsidRPr="001E6CF3">
        <w:t xml:space="preserve">trategic </w:t>
      </w:r>
      <w:r w:rsidR="004F7400" w:rsidRPr="001E6CF3">
        <w:t>F</w:t>
      </w:r>
      <w:r w:rsidRPr="001E6CF3">
        <w:t>ramework</w:t>
      </w:r>
      <w:r w:rsidR="004F7400" w:rsidRPr="001E6CF3">
        <w:t xml:space="preserve"> (MTSF)</w:t>
      </w:r>
      <w:r w:rsidRPr="001E6CF3">
        <w:t>,</w:t>
      </w:r>
      <w:r w:rsidR="00C5765A" w:rsidRPr="001E6CF3">
        <w:t xml:space="preserve"> </w:t>
      </w:r>
      <w:r w:rsidRPr="001E6CF3">
        <w:t>particularly outcome 4 (decent employment through inclusive growth), outcome 6 (an efficient, competitive and responsive economic infrastructure network) and outcome 10 (protect and enhance our environmental assets and natural resources).</w:t>
      </w:r>
    </w:p>
    <w:p w:rsidR="009237BA" w:rsidRPr="001E6CF3" w:rsidRDefault="009237BA" w:rsidP="00843CE2">
      <w:pPr>
        <w:spacing w:line="360" w:lineRule="auto"/>
        <w:jc w:val="both"/>
      </w:pPr>
    </w:p>
    <w:p w:rsidR="009237BA" w:rsidRPr="001E6CF3" w:rsidRDefault="009237BA" w:rsidP="00843CE2">
      <w:pPr>
        <w:spacing w:line="360" w:lineRule="auto"/>
        <w:jc w:val="both"/>
      </w:pPr>
      <w:r w:rsidRPr="001E6CF3">
        <w:t>DMR activities and those of its entities also make reference to the National Development Plan (NDP), the Industrial Policy Action Plan (IPAP) and the National Infrastructure Plan.</w:t>
      </w:r>
    </w:p>
    <w:p w:rsidR="009237BA" w:rsidRPr="001E6CF3" w:rsidRDefault="009237BA" w:rsidP="00843CE2">
      <w:pPr>
        <w:spacing w:line="360" w:lineRule="auto"/>
        <w:jc w:val="both"/>
      </w:pPr>
    </w:p>
    <w:p w:rsidR="009237BA" w:rsidRPr="001E6CF3" w:rsidRDefault="009237BA" w:rsidP="00843CE2">
      <w:pPr>
        <w:spacing w:line="360" w:lineRule="auto"/>
        <w:jc w:val="both"/>
      </w:pPr>
      <w:r w:rsidRPr="001E6CF3">
        <w:t>The DMR’s priorities for 2016/17 are directed by the 2014/19 Strategic Plan that was presented to Parliament in 2014 and, specifically, by the Annual Performance Plan 2016/17.</w:t>
      </w:r>
    </w:p>
    <w:p w:rsidR="009237BA" w:rsidRPr="001E6CF3" w:rsidRDefault="009237BA" w:rsidP="00843CE2">
      <w:pPr>
        <w:spacing w:line="360" w:lineRule="auto"/>
        <w:jc w:val="both"/>
        <w:rPr>
          <w:color w:val="4F81BD" w:themeColor="accent1"/>
        </w:rPr>
      </w:pPr>
    </w:p>
    <w:p w:rsidR="009237BA" w:rsidRPr="001E6CF3" w:rsidRDefault="009237BA" w:rsidP="00843CE2">
      <w:pPr>
        <w:spacing w:line="360" w:lineRule="auto"/>
        <w:jc w:val="both"/>
      </w:pPr>
      <w:r w:rsidRPr="001E6CF3">
        <w:lastRenderedPageBreak/>
        <w:t>In the period to 2019, the Department’s planned policy initiatives are to:</w:t>
      </w:r>
    </w:p>
    <w:p w:rsidR="009237BA" w:rsidRPr="001E6CF3" w:rsidRDefault="009237BA" w:rsidP="00843CE2">
      <w:pPr>
        <w:numPr>
          <w:ilvl w:val="0"/>
          <w:numId w:val="1"/>
        </w:numPr>
        <w:spacing w:before="120" w:after="120" w:line="360" w:lineRule="auto"/>
        <w:ind w:left="714" w:hanging="357"/>
        <w:jc w:val="both"/>
      </w:pPr>
      <w:r w:rsidRPr="001E6CF3">
        <w:t>Review the MPRDA, including its regulations.</w:t>
      </w:r>
    </w:p>
    <w:p w:rsidR="009237BA" w:rsidRPr="001E6CF3" w:rsidRDefault="009237BA" w:rsidP="00843CE2">
      <w:pPr>
        <w:numPr>
          <w:ilvl w:val="0"/>
          <w:numId w:val="1"/>
        </w:numPr>
        <w:spacing w:before="120" w:after="120" w:line="360" w:lineRule="auto"/>
        <w:ind w:left="714" w:hanging="357"/>
        <w:jc w:val="both"/>
      </w:pPr>
      <w:r w:rsidRPr="001E6CF3">
        <w:t>Review and amend the Precious Metals Act.</w:t>
      </w:r>
    </w:p>
    <w:p w:rsidR="009237BA" w:rsidRPr="001E6CF3" w:rsidRDefault="009237BA" w:rsidP="00843CE2">
      <w:pPr>
        <w:numPr>
          <w:ilvl w:val="0"/>
          <w:numId w:val="1"/>
        </w:numPr>
        <w:spacing w:before="120" w:after="120" w:line="360" w:lineRule="auto"/>
        <w:ind w:left="714" w:hanging="357"/>
        <w:jc w:val="both"/>
      </w:pPr>
      <w:r w:rsidRPr="001E6CF3">
        <w:t>Review and amend the Diamonds Act.</w:t>
      </w:r>
    </w:p>
    <w:p w:rsidR="009237BA" w:rsidRPr="001E6CF3" w:rsidRDefault="009237BA" w:rsidP="00843CE2">
      <w:pPr>
        <w:numPr>
          <w:ilvl w:val="0"/>
          <w:numId w:val="1"/>
        </w:numPr>
        <w:spacing w:before="120" w:after="120" w:line="360" w:lineRule="auto"/>
        <w:ind w:left="714" w:hanging="357"/>
        <w:jc w:val="both"/>
      </w:pPr>
      <w:r w:rsidRPr="001E6CF3">
        <w:t>Review the Mine Health and Safety Act, including its regulations.</w:t>
      </w:r>
    </w:p>
    <w:p w:rsidR="009237BA" w:rsidRPr="001E6CF3" w:rsidRDefault="009237BA" w:rsidP="00843CE2">
      <w:pPr>
        <w:numPr>
          <w:ilvl w:val="0"/>
          <w:numId w:val="1"/>
        </w:numPr>
        <w:spacing w:before="120" w:after="120" w:line="360" w:lineRule="auto"/>
        <w:ind w:left="714" w:hanging="357"/>
        <w:jc w:val="both"/>
      </w:pPr>
      <w:r w:rsidRPr="001E6CF3">
        <w:t>Develop the Geoscience Amendment Act Regulations.</w:t>
      </w:r>
    </w:p>
    <w:p w:rsidR="005F3E02" w:rsidRPr="001E6CF3" w:rsidRDefault="009237BA" w:rsidP="00843CE2">
      <w:pPr>
        <w:numPr>
          <w:ilvl w:val="0"/>
          <w:numId w:val="1"/>
        </w:numPr>
        <w:spacing w:before="120" w:after="120" w:line="360" w:lineRule="auto"/>
        <w:ind w:left="714" w:hanging="357"/>
        <w:jc w:val="both"/>
      </w:pPr>
      <w:r w:rsidRPr="001E6CF3">
        <w:t>Ensure compliance with the Broad-based Socio-economic Empowerment Charter, 2005, as amended.</w:t>
      </w:r>
    </w:p>
    <w:p w:rsidR="009237BA" w:rsidRPr="001E6CF3" w:rsidRDefault="009237BA" w:rsidP="00843CE2">
      <w:pPr>
        <w:numPr>
          <w:ilvl w:val="0"/>
          <w:numId w:val="1"/>
        </w:numPr>
        <w:spacing w:before="120" w:after="120" w:line="360" w:lineRule="auto"/>
        <w:ind w:left="714" w:hanging="357"/>
        <w:jc w:val="both"/>
      </w:pPr>
      <w:r w:rsidRPr="001E6CF3">
        <w:t>Conduct the regulatory impact assessment of identified legislation.</w:t>
      </w:r>
    </w:p>
    <w:p w:rsidR="009237BA" w:rsidRPr="001E6CF3" w:rsidRDefault="009237BA" w:rsidP="00843CE2">
      <w:pPr>
        <w:numPr>
          <w:ilvl w:val="0"/>
          <w:numId w:val="1"/>
        </w:numPr>
        <w:spacing w:before="120" w:after="120" w:line="360" w:lineRule="auto"/>
        <w:ind w:left="714" w:hanging="357"/>
        <w:jc w:val="both"/>
      </w:pPr>
      <w:r w:rsidRPr="001E6CF3">
        <w:t>Review the Broad-based Socio-economic Empowerment Charter and update the scorecard with a detailed explanatory memorandum.</w:t>
      </w:r>
    </w:p>
    <w:p w:rsidR="009237BA" w:rsidRPr="001E6CF3" w:rsidRDefault="009237BA" w:rsidP="00843CE2">
      <w:pPr>
        <w:numPr>
          <w:ilvl w:val="0"/>
          <w:numId w:val="1"/>
        </w:numPr>
        <w:spacing w:before="120" w:after="120" w:line="360" w:lineRule="auto"/>
        <w:ind w:left="714" w:hanging="357"/>
        <w:jc w:val="both"/>
      </w:pPr>
      <w:r w:rsidRPr="001E6CF3">
        <w:t>Review the Mineral Technology Act (Act No. 30 of 1989).</w:t>
      </w:r>
    </w:p>
    <w:p w:rsidR="00843CE2" w:rsidRPr="001E6CF3" w:rsidRDefault="00843CE2" w:rsidP="00843CE2">
      <w:pPr>
        <w:spacing w:before="120" w:after="120" w:line="360" w:lineRule="auto"/>
        <w:ind w:left="714"/>
        <w:jc w:val="both"/>
      </w:pPr>
    </w:p>
    <w:p w:rsidR="009237BA" w:rsidRPr="001E6CF3" w:rsidRDefault="009237BA" w:rsidP="00843CE2">
      <w:pPr>
        <w:spacing w:line="360" w:lineRule="auto"/>
        <w:jc w:val="both"/>
      </w:pPr>
      <w:r w:rsidRPr="001E6CF3">
        <w:t>The following medium term objectives are to be given detailed attention in the 2016/17 financial year:</w:t>
      </w:r>
    </w:p>
    <w:p w:rsidR="009237BA" w:rsidRPr="001E6CF3" w:rsidRDefault="009237BA" w:rsidP="00843CE2">
      <w:pPr>
        <w:pStyle w:val="ListParagraph"/>
        <w:numPr>
          <w:ilvl w:val="0"/>
          <w:numId w:val="4"/>
        </w:numPr>
        <w:spacing w:before="120" w:after="120" w:line="360" w:lineRule="auto"/>
        <w:contextualSpacing w:val="0"/>
        <w:rPr>
          <w:rFonts w:ascii="Times New Roman" w:hAnsi="Times New Roman"/>
          <w:sz w:val="24"/>
          <w:szCs w:val="24"/>
        </w:rPr>
      </w:pPr>
      <w:r w:rsidRPr="001E6CF3">
        <w:rPr>
          <w:rFonts w:ascii="Times New Roman" w:hAnsi="Times New Roman"/>
          <w:sz w:val="24"/>
          <w:szCs w:val="24"/>
        </w:rPr>
        <w:t>Promoting investment in the minerals and upstream petroleum sectors (including shale gas, small mines and the more efficient processing of mining licence applications).</w:t>
      </w:r>
    </w:p>
    <w:p w:rsidR="009237BA" w:rsidRPr="001E6CF3" w:rsidRDefault="009237BA" w:rsidP="00843CE2">
      <w:pPr>
        <w:pStyle w:val="ListParagraph"/>
        <w:numPr>
          <w:ilvl w:val="0"/>
          <w:numId w:val="4"/>
        </w:numPr>
        <w:spacing w:before="120" w:after="120" w:line="360" w:lineRule="auto"/>
        <w:contextualSpacing w:val="0"/>
        <w:rPr>
          <w:rFonts w:ascii="Times New Roman" w:hAnsi="Times New Roman"/>
          <w:sz w:val="24"/>
          <w:szCs w:val="24"/>
        </w:rPr>
      </w:pPr>
      <w:r w:rsidRPr="001E6CF3">
        <w:rPr>
          <w:rFonts w:ascii="Times New Roman" w:hAnsi="Times New Roman"/>
          <w:sz w:val="24"/>
          <w:szCs w:val="24"/>
        </w:rPr>
        <w:t>Ensuring the best utilisation of mineral resources (including onshore and offshore oil and gas exploration and the funding of the Petroleum Agency of South Africa (PASA)</w:t>
      </w:r>
      <w:r w:rsidR="00602DFF" w:rsidRPr="001E6CF3">
        <w:rPr>
          <w:rFonts w:ascii="Times New Roman" w:hAnsi="Times New Roman"/>
          <w:sz w:val="24"/>
          <w:szCs w:val="24"/>
        </w:rPr>
        <w:t>,</w:t>
      </w:r>
      <w:r w:rsidRPr="001E6CF3">
        <w:rPr>
          <w:rFonts w:ascii="Times New Roman" w:hAnsi="Times New Roman"/>
          <w:sz w:val="24"/>
          <w:szCs w:val="24"/>
        </w:rPr>
        <w:t xml:space="preserve"> from an increased DMR budget after 2017/18).</w:t>
      </w:r>
    </w:p>
    <w:p w:rsidR="009237BA" w:rsidRPr="001E6CF3" w:rsidRDefault="009237BA" w:rsidP="00843CE2">
      <w:pPr>
        <w:pStyle w:val="ListParagraph"/>
        <w:numPr>
          <w:ilvl w:val="0"/>
          <w:numId w:val="4"/>
        </w:numPr>
        <w:spacing w:before="120" w:after="120" w:line="360" w:lineRule="auto"/>
        <w:contextualSpacing w:val="0"/>
        <w:rPr>
          <w:rFonts w:ascii="Times New Roman" w:hAnsi="Times New Roman"/>
          <w:sz w:val="24"/>
          <w:szCs w:val="24"/>
        </w:rPr>
      </w:pPr>
      <w:r w:rsidRPr="001E6CF3">
        <w:rPr>
          <w:rFonts w:ascii="Times New Roman" w:hAnsi="Times New Roman"/>
          <w:sz w:val="24"/>
          <w:szCs w:val="24"/>
        </w:rPr>
        <w:t>Monitoring mining rights (including social and labour plans).</w:t>
      </w:r>
    </w:p>
    <w:p w:rsidR="009237BA" w:rsidRPr="001E6CF3" w:rsidRDefault="009237BA" w:rsidP="00843CE2">
      <w:pPr>
        <w:pStyle w:val="ListParagraph"/>
        <w:numPr>
          <w:ilvl w:val="0"/>
          <w:numId w:val="4"/>
        </w:numPr>
        <w:spacing w:before="120" w:after="120" w:line="360" w:lineRule="auto"/>
        <w:contextualSpacing w:val="0"/>
        <w:rPr>
          <w:rFonts w:ascii="Times New Roman" w:hAnsi="Times New Roman"/>
          <w:sz w:val="24"/>
          <w:szCs w:val="24"/>
        </w:rPr>
      </w:pPr>
      <w:r w:rsidRPr="001E6CF3">
        <w:rPr>
          <w:rFonts w:ascii="Times New Roman" w:hAnsi="Times New Roman"/>
          <w:sz w:val="24"/>
          <w:szCs w:val="24"/>
        </w:rPr>
        <w:t>Compliance with safety and environmental legislation (including the rehabilitation of derelict and ownerless mines and the implementation of regulations to mitigate the detrimental impacts of mining on the environment).</w:t>
      </w:r>
    </w:p>
    <w:p w:rsidR="009237BA" w:rsidRPr="001E6CF3" w:rsidRDefault="009237BA" w:rsidP="00843CE2">
      <w:pPr>
        <w:pStyle w:val="ListParagraph"/>
        <w:numPr>
          <w:ilvl w:val="0"/>
          <w:numId w:val="4"/>
        </w:numPr>
        <w:spacing w:before="120" w:after="120" w:line="360" w:lineRule="auto"/>
        <w:contextualSpacing w:val="0"/>
        <w:rPr>
          <w:rFonts w:ascii="Times New Roman" w:hAnsi="Times New Roman"/>
          <w:sz w:val="24"/>
          <w:szCs w:val="24"/>
        </w:rPr>
      </w:pPr>
      <w:r w:rsidRPr="001E6CF3">
        <w:rPr>
          <w:rFonts w:ascii="Times New Roman" w:hAnsi="Times New Roman"/>
          <w:sz w:val="24"/>
          <w:szCs w:val="24"/>
        </w:rPr>
        <w:t>Saving jobs (including the implementation of the August 2015 declaration by business, government and labour to save jobs in the sector.)</w:t>
      </w:r>
    </w:p>
    <w:p w:rsidR="009237BA" w:rsidRPr="001E6CF3" w:rsidRDefault="009237BA" w:rsidP="00843CE2">
      <w:pPr>
        <w:spacing w:line="360" w:lineRule="auto"/>
        <w:jc w:val="both"/>
      </w:pPr>
      <w:r w:rsidRPr="001E6CF3">
        <w:rPr>
          <w:strike/>
          <w:vanish/>
          <w:color w:val="E36C0A" w:themeColor="accent6" w:themeShade="BF"/>
        </w:rPr>
        <w:lastRenderedPageBreak/>
        <w:t>Only the three items marked with an asterisk (“ * ”) above are listed in the Annual Performance Plan for 2016/17</w:t>
      </w:r>
      <w:r w:rsidRPr="001E6CF3">
        <w:rPr>
          <w:rStyle w:val="FootnoteReference"/>
          <w:strike/>
          <w:vanish/>
          <w:color w:val="E36C0A" w:themeColor="accent6" w:themeShade="BF"/>
        </w:rPr>
        <w:footnoteReference w:id="1"/>
      </w:r>
      <w:r w:rsidRPr="001E6CF3">
        <w:rPr>
          <w:strike/>
          <w:vanish/>
          <w:color w:val="E36C0A" w:themeColor="accent6" w:themeShade="BF"/>
        </w:rPr>
        <w:t xml:space="preserve"> which implies that the intended revisions to the Precious Metals Act, the Diamond Act and the regulations to the Geoscience Amendment Act are not intended to be addressed in the coming year.</w:t>
      </w:r>
      <w:r w:rsidRPr="001E6CF3">
        <w:rPr>
          <w:vanish/>
        </w:rPr>
        <w:t xml:space="preserve"> </w:t>
      </w:r>
      <w:r w:rsidRPr="001E6CF3">
        <w:t xml:space="preserve">The Minister of Mineral Resources, Mr M. Zwane, MP, told the PCMR on 24 February 2016 that processes will be followed to separate the oil and gas part of the MPRDA from the part dealing with traditional minerals only after the MPRDA Bill has been processed by Parliament. </w:t>
      </w:r>
    </w:p>
    <w:p w:rsidR="00B83001" w:rsidRPr="001E6CF3" w:rsidRDefault="00B83001" w:rsidP="00843CE2">
      <w:pPr>
        <w:spacing w:line="360" w:lineRule="auto"/>
      </w:pPr>
    </w:p>
    <w:p w:rsidR="00B83001" w:rsidRPr="001E6CF3" w:rsidRDefault="00B83001" w:rsidP="00843CE2">
      <w:pPr>
        <w:spacing w:line="360" w:lineRule="auto"/>
        <w:rPr>
          <w:b/>
        </w:rPr>
      </w:pPr>
      <w:r w:rsidRPr="001E6CF3">
        <w:rPr>
          <w:b/>
        </w:rPr>
        <w:t>2.2</w:t>
      </w:r>
      <w:r w:rsidRPr="001E6CF3">
        <w:rPr>
          <w:b/>
        </w:rPr>
        <w:tab/>
        <w:t>Departmental Strategic and Annual Performance Plan 2016/17</w:t>
      </w:r>
    </w:p>
    <w:p w:rsidR="00B83001" w:rsidRPr="001E6CF3" w:rsidRDefault="00B83001" w:rsidP="00843CE2">
      <w:pPr>
        <w:spacing w:line="360" w:lineRule="auto"/>
        <w:rPr>
          <w:b/>
        </w:rPr>
      </w:pPr>
    </w:p>
    <w:p w:rsidR="00B83001" w:rsidRPr="001E6CF3" w:rsidRDefault="00B83001" w:rsidP="00843CE2">
      <w:pPr>
        <w:spacing w:line="360" w:lineRule="auto"/>
        <w:rPr>
          <w:b/>
        </w:rPr>
      </w:pPr>
      <w:r w:rsidRPr="001E6CF3">
        <w:rPr>
          <w:b/>
        </w:rPr>
        <w:t>2.2.1</w:t>
      </w:r>
      <w:r w:rsidRPr="001E6CF3">
        <w:rPr>
          <w:b/>
        </w:rPr>
        <w:tab/>
        <w:t>Overview by the Minister</w:t>
      </w:r>
    </w:p>
    <w:p w:rsidR="00B83001" w:rsidRPr="001E6CF3" w:rsidRDefault="00B83001" w:rsidP="00843CE2">
      <w:pPr>
        <w:spacing w:line="360" w:lineRule="auto"/>
        <w:rPr>
          <w:b/>
        </w:rPr>
      </w:pPr>
    </w:p>
    <w:p w:rsidR="00B83001" w:rsidRPr="001E6CF3" w:rsidRDefault="000E7A8C" w:rsidP="00843CE2">
      <w:pPr>
        <w:spacing w:line="360" w:lineRule="auto"/>
        <w:jc w:val="both"/>
        <w:rPr>
          <w:rFonts w:eastAsiaTheme="minorEastAsia"/>
        </w:rPr>
      </w:pPr>
      <w:r w:rsidRPr="001E6CF3">
        <w:rPr>
          <w:rFonts w:eastAsiaTheme="minorEastAsia"/>
        </w:rPr>
        <w:t xml:space="preserve">The Minister, Mr </w:t>
      </w:r>
      <w:r w:rsidR="00763E76" w:rsidRPr="001E6CF3">
        <w:rPr>
          <w:rFonts w:eastAsiaTheme="minorEastAsia"/>
        </w:rPr>
        <w:t xml:space="preserve">M. </w:t>
      </w:r>
      <w:r w:rsidRPr="001E6CF3">
        <w:rPr>
          <w:rFonts w:eastAsiaTheme="minorEastAsia"/>
        </w:rPr>
        <w:t>Zwane</w:t>
      </w:r>
      <w:r w:rsidR="00763E76" w:rsidRPr="001E6CF3">
        <w:rPr>
          <w:rFonts w:eastAsiaTheme="minorEastAsia"/>
        </w:rPr>
        <w:t>,</w:t>
      </w:r>
      <w:r w:rsidRPr="001E6CF3">
        <w:rPr>
          <w:rFonts w:eastAsiaTheme="minorEastAsia"/>
        </w:rPr>
        <w:t xml:space="preserve"> said the </w:t>
      </w:r>
      <w:r w:rsidR="00763E76" w:rsidRPr="001E6CF3">
        <w:rPr>
          <w:rFonts w:eastAsiaTheme="minorEastAsia"/>
        </w:rPr>
        <w:t xml:space="preserve">Department and its entities are </w:t>
      </w:r>
      <w:r w:rsidR="00296C27" w:rsidRPr="001E6CF3">
        <w:rPr>
          <w:rFonts w:eastAsiaTheme="minorEastAsia"/>
        </w:rPr>
        <w:t>presenting</w:t>
      </w:r>
      <w:r w:rsidR="00B83001" w:rsidRPr="001E6CF3">
        <w:rPr>
          <w:rFonts w:eastAsiaTheme="minorEastAsia"/>
        </w:rPr>
        <w:t xml:space="preserve"> </w:t>
      </w:r>
      <w:r w:rsidR="00763E76" w:rsidRPr="001E6CF3">
        <w:rPr>
          <w:rFonts w:eastAsiaTheme="minorEastAsia"/>
        </w:rPr>
        <w:t xml:space="preserve">their performance </w:t>
      </w:r>
      <w:r w:rsidR="00B83001" w:rsidRPr="001E6CF3">
        <w:rPr>
          <w:rFonts w:eastAsiaTheme="minorEastAsia"/>
        </w:rPr>
        <w:t xml:space="preserve">plans at a time when the mining industry is faced with challenges which result in the unfortunate shedding of jobs. </w:t>
      </w:r>
      <w:r w:rsidR="00296C27" w:rsidRPr="001E6CF3">
        <w:rPr>
          <w:rFonts w:eastAsiaTheme="minorEastAsia"/>
        </w:rPr>
        <w:t xml:space="preserve"> He further said </w:t>
      </w:r>
      <w:r w:rsidR="00296C27" w:rsidRPr="001E6CF3">
        <w:rPr>
          <w:rFonts w:eastAsiaTheme="minorEastAsia"/>
          <w:bCs/>
        </w:rPr>
        <w:t xml:space="preserve">the </w:t>
      </w:r>
      <w:r w:rsidR="00602DFF" w:rsidRPr="001E6CF3">
        <w:rPr>
          <w:rFonts w:eastAsiaTheme="minorEastAsia"/>
          <w:bCs/>
        </w:rPr>
        <w:t>D</w:t>
      </w:r>
      <w:r w:rsidR="00296C27" w:rsidRPr="001E6CF3">
        <w:rPr>
          <w:rFonts w:eastAsiaTheme="minorEastAsia"/>
          <w:bCs/>
        </w:rPr>
        <w:t xml:space="preserve">epartment is </w:t>
      </w:r>
      <w:r w:rsidR="00B83001" w:rsidRPr="001E6CF3">
        <w:rPr>
          <w:rFonts w:eastAsiaTheme="minorEastAsia"/>
          <w:bCs/>
        </w:rPr>
        <w:t xml:space="preserve">tabling this APP less than a fortnight after the tragic incident in Xolobeni during which one of the community leaders of Amadiba tribe lost his life in a most brutal manner. </w:t>
      </w:r>
      <w:r w:rsidR="00296C27" w:rsidRPr="001E6CF3">
        <w:rPr>
          <w:rFonts w:eastAsiaTheme="minorEastAsia"/>
          <w:bCs/>
        </w:rPr>
        <w:t xml:space="preserve">The </w:t>
      </w:r>
      <w:r w:rsidR="00763E76" w:rsidRPr="001E6CF3">
        <w:rPr>
          <w:rFonts w:eastAsiaTheme="minorEastAsia"/>
          <w:bCs/>
        </w:rPr>
        <w:t>D</w:t>
      </w:r>
      <w:r w:rsidR="00296C27" w:rsidRPr="001E6CF3">
        <w:rPr>
          <w:rFonts w:eastAsiaTheme="minorEastAsia"/>
          <w:bCs/>
        </w:rPr>
        <w:t xml:space="preserve">epartment </w:t>
      </w:r>
      <w:r w:rsidR="00763E76" w:rsidRPr="001E6CF3">
        <w:rPr>
          <w:rFonts w:eastAsiaTheme="minorEastAsia"/>
          <w:bCs/>
        </w:rPr>
        <w:t>had</w:t>
      </w:r>
      <w:r w:rsidR="00B83001" w:rsidRPr="001E6CF3">
        <w:rPr>
          <w:rFonts w:eastAsiaTheme="minorEastAsia"/>
          <w:bCs/>
        </w:rPr>
        <w:t xml:space="preserve"> convey</w:t>
      </w:r>
      <w:r w:rsidR="00763E76" w:rsidRPr="001E6CF3">
        <w:rPr>
          <w:rFonts w:eastAsiaTheme="minorEastAsia"/>
          <w:bCs/>
        </w:rPr>
        <w:t>ed</w:t>
      </w:r>
      <w:r w:rsidR="00B83001" w:rsidRPr="001E6CF3">
        <w:rPr>
          <w:rFonts w:eastAsiaTheme="minorEastAsia"/>
          <w:bCs/>
        </w:rPr>
        <w:t xml:space="preserve"> </w:t>
      </w:r>
      <w:r w:rsidR="00296C27" w:rsidRPr="001E6CF3">
        <w:rPr>
          <w:rFonts w:eastAsiaTheme="minorEastAsia"/>
          <w:bCs/>
        </w:rPr>
        <w:t>condolences to his family and loved ones</w:t>
      </w:r>
      <w:r w:rsidR="00763E76" w:rsidRPr="001E6CF3">
        <w:rPr>
          <w:rFonts w:eastAsiaTheme="minorEastAsia"/>
          <w:bCs/>
        </w:rPr>
        <w:t xml:space="preserve">. It had </w:t>
      </w:r>
      <w:r w:rsidR="00296C27" w:rsidRPr="001E6CF3">
        <w:rPr>
          <w:rFonts w:eastAsiaTheme="minorEastAsia"/>
          <w:bCs/>
        </w:rPr>
        <w:t>further</w:t>
      </w:r>
      <w:r w:rsidR="00B83001" w:rsidRPr="001E6CF3">
        <w:rPr>
          <w:rFonts w:eastAsiaTheme="minorEastAsia"/>
          <w:bCs/>
        </w:rPr>
        <w:t xml:space="preserve"> call</w:t>
      </w:r>
      <w:r w:rsidR="00763E76" w:rsidRPr="001E6CF3">
        <w:rPr>
          <w:rFonts w:eastAsiaTheme="minorEastAsia"/>
          <w:bCs/>
        </w:rPr>
        <w:t>ed</w:t>
      </w:r>
      <w:r w:rsidR="00B83001" w:rsidRPr="001E6CF3">
        <w:rPr>
          <w:rFonts w:eastAsiaTheme="minorEastAsia"/>
          <w:bCs/>
        </w:rPr>
        <w:t xml:space="preserve"> for calm and urge</w:t>
      </w:r>
      <w:r w:rsidR="00763E76" w:rsidRPr="001E6CF3">
        <w:rPr>
          <w:rFonts w:eastAsiaTheme="minorEastAsia"/>
          <w:bCs/>
        </w:rPr>
        <w:t>d</w:t>
      </w:r>
      <w:r w:rsidR="00B83001" w:rsidRPr="001E6CF3">
        <w:rPr>
          <w:rFonts w:eastAsiaTheme="minorEastAsia"/>
          <w:bCs/>
        </w:rPr>
        <w:t xml:space="preserve"> that no stone be left unturned in a search for the perpetrators of this heinous crime. </w:t>
      </w:r>
      <w:r w:rsidR="00296C27" w:rsidRPr="001E6CF3">
        <w:rPr>
          <w:rFonts w:eastAsiaTheme="minorEastAsia"/>
          <w:bCs/>
        </w:rPr>
        <w:t xml:space="preserve">The </w:t>
      </w:r>
      <w:r w:rsidR="00763E76" w:rsidRPr="001E6CF3">
        <w:rPr>
          <w:rFonts w:eastAsiaTheme="minorEastAsia"/>
          <w:bCs/>
        </w:rPr>
        <w:t xml:space="preserve">Department </w:t>
      </w:r>
      <w:r w:rsidR="00296C27" w:rsidRPr="001E6CF3">
        <w:rPr>
          <w:rFonts w:eastAsiaTheme="minorEastAsia"/>
          <w:bCs/>
        </w:rPr>
        <w:t>ha</w:t>
      </w:r>
      <w:r w:rsidR="00602DFF" w:rsidRPr="001E6CF3">
        <w:rPr>
          <w:rFonts w:eastAsiaTheme="minorEastAsia"/>
          <w:bCs/>
        </w:rPr>
        <w:t>s</w:t>
      </w:r>
      <w:r w:rsidR="00B83001" w:rsidRPr="001E6CF3">
        <w:rPr>
          <w:rFonts w:eastAsiaTheme="minorEastAsia"/>
          <w:bCs/>
        </w:rPr>
        <w:t xml:space="preserve"> also noted media reports attributing these incidents to mining, and consider such statements unfounded. </w:t>
      </w:r>
      <w:r w:rsidR="00296C27" w:rsidRPr="001E6CF3">
        <w:rPr>
          <w:rFonts w:eastAsiaTheme="minorEastAsia"/>
          <w:bCs/>
        </w:rPr>
        <w:t xml:space="preserve">He said, </w:t>
      </w:r>
      <w:r w:rsidR="00B83001" w:rsidRPr="001E6CF3">
        <w:rPr>
          <w:rFonts w:eastAsiaTheme="minorEastAsia"/>
          <w:bCs/>
        </w:rPr>
        <w:t xml:space="preserve">the law </w:t>
      </w:r>
      <w:r w:rsidR="00763E76" w:rsidRPr="001E6CF3">
        <w:rPr>
          <w:rFonts w:eastAsiaTheme="minorEastAsia"/>
          <w:bCs/>
        </w:rPr>
        <w:t xml:space="preserve">should be allowed </w:t>
      </w:r>
      <w:r w:rsidR="00B83001" w:rsidRPr="001E6CF3">
        <w:rPr>
          <w:rFonts w:eastAsiaTheme="minorEastAsia"/>
          <w:bCs/>
        </w:rPr>
        <w:t xml:space="preserve">to take its course. </w:t>
      </w:r>
    </w:p>
    <w:p w:rsidR="00B83001" w:rsidRPr="001E6CF3" w:rsidRDefault="00B83001" w:rsidP="00843CE2">
      <w:pPr>
        <w:spacing w:after="200" w:line="360" w:lineRule="auto"/>
        <w:jc w:val="both"/>
        <w:rPr>
          <w:rFonts w:eastAsiaTheme="minorEastAsia"/>
          <w:bCs/>
        </w:rPr>
      </w:pPr>
    </w:p>
    <w:p w:rsidR="00B83001" w:rsidRPr="001E6CF3" w:rsidRDefault="00B83001" w:rsidP="00843CE2">
      <w:pPr>
        <w:spacing w:after="200" w:line="360" w:lineRule="auto"/>
        <w:jc w:val="both"/>
        <w:rPr>
          <w:rFonts w:eastAsiaTheme="minorEastAsia"/>
          <w:bCs/>
        </w:rPr>
      </w:pPr>
      <w:r w:rsidRPr="001E6CF3">
        <w:rPr>
          <w:rFonts w:eastAsiaTheme="minorEastAsia"/>
          <w:bCs/>
        </w:rPr>
        <w:t xml:space="preserve">The lives and welfare of mineworkers remains critical to the sustainability of the mining industry. </w:t>
      </w:r>
      <w:r w:rsidR="00296C27" w:rsidRPr="001E6CF3">
        <w:rPr>
          <w:rFonts w:eastAsiaTheme="minorEastAsia"/>
          <w:bCs/>
        </w:rPr>
        <w:t xml:space="preserve">The </w:t>
      </w:r>
      <w:r w:rsidR="00763E76" w:rsidRPr="001E6CF3">
        <w:rPr>
          <w:rFonts w:eastAsiaTheme="minorEastAsia"/>
          <w:bCs/>
        </w:rPr>
        <w:t>Department believes</w:t>
      </w:r>
      <w:r w:rsidRPr="001E6CF3">
        <w:rPr>
          <w:rFonts w:eastAsiaTheme="minorEastAsia"/>
          <w:bCs/>
        </w:rPr>
        <w:t xml:space="preserve"> that those who cannot ensure the health and safety of mineworkers should not </w:t>
      </w:r>
      <w:r w:rsidR="00602DFF" w:rsidRPr="001E6CF3">
        <w:rPr>
          <w:rFonts w:eastAsiaTheme="minorEastAsia"/>
          <w:bCs/>
        </w:rPr>
        <w:t xml:space="preserve">be </w:t>
      </w:r>
      <w:r w:rsidRPr="001E6CF3">
        <w:rPr>
          <w:rFonts w:eastAsiaTheme="minorEastAsia"/>
          <w:bCs/>
        </w:rPr>
        <w:t>min</w:t>
      </w:r>
      <w:r w:rsidR="00602DFF" w:rsidRPr="001E6CF3">
        <w:rPr>
          <w:rFonts w:eastAsiaTheme="minorEastAsia"/>
          <w:bCs/>
        </w:rPr>
        <w:t>ing in the first place</w:t>
      </w:r>
      <w:r w:rsidRPr="001E6CF3">
        <w:rPr>
          <w:rFonts w:eastAsiaTheme="minorEastAsia"/>
          <w:bCs/>
        </w:rPr>
        <w:t xml:space="preserve">. During the coming year, </w:t>
      </w:r>
      <w:r w:rsidR="00296C27" w:rsidRPr="001E6CF3">
        <w:rPr>
          <w:rFonts w:eastAsiaTheme="minorEastAsia"/>
          <w:bCs/>
        </w:rPr>
        <w:t xml:space="preserve">the </w:t>
      </w:r>
      <w:r w:rsidR="00763E76" w:rsidRPr="001E6CF3">
        <w:rPr>
          <w:rFonts w:eastAsiaTheme="minorEastAsia"/>
          <w:bCs/>
        </w:rPr>
        <w:t xml:space="preserve">Department </w:t>
      </w:r>
      <w:r w:rsidR="00296C27" w:rsidRPr="001E6CF3">
        <w:rPr>
          <w:rFonts w:eastAsiaTheme="minorEastAsia"/>
          <w:bCs/>
        </w:rPr>
        <w:t xml:space="preserve">will </w:t>
      </w:r>
      <w:r w:rsidRPr="001E6CF3">
        <w:rPr>
          <w:rFonts w:eastAsiaTheme="minorEastAsia"/>
          <w:bCs/>
        </w:rPr>
        <w:t xml:space="preserve">continue to intensify </w:t>
      </w:r>
      <w:r w:rsidR="00474B66" w:rsidRPr="001E6CF3">
        <w:rPr>
          <w:rFonts w:eastAsiaTheme="minorEastAsia"/>
          <w:bCs/>
        </w:rPr>
        <w:t>the monitoring</w:t>
      </w:r>
      <w:r w:rsidRPr="001E6CF3">
        <w:rPr>
          <w:rFonts w:eastAsiaTheme="minorEastAsia"/>
          <w:bCs/>
        </w:rPr>
        <w:t xml:space="preserve"> and enforcement drive to improve the compliance levels within the mining industry. These activities will cover a broader spectrum of </w:t>
      </w:r>
      <w:r w:rsidR="00763E76" w:rsidRPr="001E6CF3">
        <w:rPr>
          <w:rFonts w:eastAsiaTheme="minorEastAsia"/>
          <w:bCs/>
        </w:rPr>
        <w:t xml:space="preserve">the </w:t>
      </w:r>
      <w:r w:rsidRPr="001E6CF3">
        <w:rPr>
          <w:rFonts w:eastAsiaTheme="minorEastAsia"/>
          <w:bCs/>
        </w:rPr>
        <w:t xml:space="preserve">obligations of right holders, in line with the mandate of the Department. </w:t>
      </w:r>
    </w:p>
    <w:p w:rsidR="00B83001" w:rsidRPr="001E6CF3" w:rsidRDefault="00B83001" w:rsidP="00843CE2">
      <w:pPr>
        <w:spacing w:after="200" w:line="360" w:lineRule="auto"/>
        <w:jc w:val="both"/>
        <w:rPr>
          <w:rFonts w:eastAsiaTheme="minorEastAsia"/>
          <w:bCs/>
        </w:rPr>
      </w:pPr>
      <w:r w:rsidRPr="001E6CF3">
        <w:rPr>
          <w:rFonts w:eastAsiaTheme="minorEastAsia"/>
          <w:bCs/>
        </w:rPr>
        <w:t xml:space="preserve">The Annual Performance Plan is aligned to the National Development Plan (NDP), </w:t>
      </w:r>
      <w:r w:rsidR="00C6704D" w:rsidRPr="001E6CF3">
        <w:rPr>
          <w:rFonts w:eastAsiaTheme="minorEastAsia"/>
          <w:bCs/>
        </w:rPr>
        <w:t xml:space="preserve">the </w:t>
      </w:r>
      <w:r w:rsidRPr="001E6CF3">
        <w:rPr>
          <w:rFonts w:eastAsiaTheme="minorEastAsia"/>
          <w:bCs/>
        </w:rPr>
        <w:t>nine point plan</w:t>
      </w:r>
      <w:r w:rsidR="00C6704D" w:rsidRPr="001E6CF3">
        <w:rPr>
          <w:rFonts w:eastAsiaTheme="minorEastAsia"/>
          <w:bCs/>
        </w:rPr>
        <w:t xml:space="preserve"> outlined by the President</w:t>
      </w:r>
      <w:r w:rsidRPr="001E6CF3">
        <w:rPr>
          <w:rFonts w:eastAsiaTheme="minorEastAsia"/>
          <w:bCs/>
        </w:rPr>
        <w:t xml:space="preserve"> and </w:t>
      </w:r>
      <w:r w:rsidR="00C6704D" w:rsidRPr="001E6CF3">
        <w:rPr>
          <w:rFonts w:eastAsiaTheme="minorEastAsia"/>
          <w:bCs/>
        </w:rPr>
        <w:t xml:space="preserve">the </w:t>
      </w:r>
      <w:r w:rsidRPr="001E6CF3">
        <w:rPr>
          <w:rFonts w:eastAsiaTheme="minorEastAsia"/>
          <w:bCs/>
        </w:rPr>
        <w:t xml:space="preserve">Medium Term Strategic Framework (MTSF). This Plan further responds to the recommendations made by </w:t>
      </w:r>
      <w:r w:rsidR="00602DFF" w:rsidRPr="001E6CF3">
        <w:rPr>
          <w:rFonts w:eastAsiaTheme="minorEastAsia"/>
          <w:bCs/>
        </w:rPr>
        <w:t xml:space="preserve">the </w:t>
      </w:r>
      <w:r w:rsidRPr="001E6CF3">
        <w:rPr>
          <w:rFonts w:eastAsiaTheme="minorEastAsia"/>
          <w:bCs/>
        </w:rPr>
        <w:t>Auditor General (AG) on the SMART</w:t>
      </w:r>
      <w:r w:rsidR="00602DFF" w:rsidRPr="001E6CF3">
        <w:rPr>
          <w:rFonts w:eastAsiaTheme="minorEastAsia"/>
          <w:bCs/>
        </w:rPr>
        <w:t xml:space="preserve"> (Specific, </w:t>
      </w:r>
      <w:r w:rsidR="0030335D" w:rsidRPr="001E6CF3">
        <w:rPr>
          <w:rFonts w:eastAsiaTheme="minorEastAsia"/>
          <w:bCs/>
        </w:rPr>
        <w:t>Measurable, Attainable, Relevant and Timely)</w:t>
      </w:r>
      <w:r w:rsidRPr="001E6CF3">
        <w:rPr>
          <w:rFonts w:eastAsiaTheme="minorEastAsia"/>
          <w:bCs/>
        </w:rPr>
        <w:t xml:space="preserve"> principles. Also, i</w:t>
      </w:r>
      <w:r w:rsidR="00296C27" w:rsidRPr="001E6CF3">
        <w:rPr>
          <w:rFonts w:eastAsiaTheme="minorEastAsia"/>
          <w:bCs/>
        </w:rPr>
        <w:t xml:space="preserve">n the finalization of the </w:t>
      </w:r>
      <w:r w:rsidR="00463C6F" w:rsidRPr="001E6CF3">
        <w:rPr>
          <w:rFonts w:eastAsiaTheme="minorEastAsia"/>
          <w:bCs/>
        </w:rPr>
        <w:t>Department’s Annual</w:t>
      </w:r>
      <w:r w:rsidRPr="001E6CF3">
        <w:rPr>
          <w:rFonts w:eastAsiaTheme="minorEastAsia"/>
          <w:bCs/>
        </w:rPr>
        <w:t xml:space="preserve"> </w:t>
      </w:r>
      <w:r w:rsidR="00C6704D" w:rsidRPr="001E6CF3">
        <w:rPr>
          <w:rFonts w:eastAsiaTheme="minorEastAsia"/>
          <w:bCs/>
        </w:rPr>
        <w:t>APP</w:t>
      </w:r>
      <w:r w:rsidR="00296C27" w:rsidRPr="001E6CF3">
        <w:rPr>
          <w:rFonts w:eastAsiaTheme="minorEastAsia"/>
          <w:bCs/>
        </w:rPr>
        <w:t xml:space="preserve"> </w:t>
      </w:r>
      <w:r w:rsidR="00C6704D" w:rsidRPr="001E6CF3">
        <w:rPr>
          <w:rFonts w:eastAsiaTheme="minorEastAsia"/>
          <w:bCs/>
        </w:rPr>
        <w:t>close</w:t>
      </w:r>
      <w:r w:rsidRPr="001E6CF3">
        <w:rPr>
          <w:rFonts w:eastAsiaTheme="minorEastAsia"/>
          <w:bCs/>
        </w:rPr>
        <w:t xml:space="preserve"> account </w:t>
      </w:r>
      <w:r w:rsidR="00C6704D" w:rsidRPr="001E6CF3">
        <w:rPr>
          <w:rFonts w:eastAsiaTheme="minorEastAsia"/>
          <w:bCs/>
        </w:rPr>
        <w:t xml:space="preserve">was taken of </w:t>
      </w:r>
      <w:r w:rsidRPr="001E6CF3">
        <w:rPr>
          <w:rFonts w:eastAsiaTheme="minorEastAsia"/>
          <w:bCs/>
        </w:rPr>
        <w:t xml:space="preserve">issues that were raised in the State of the </w:t>
      </w:r>
      <w:r w:rsidRPr="001E6CF3">
        <w:rPr>
          <w:rFonts w:eastAsiaTheme="minorEastAsia"/>
          <w:bCs/>
        </w:rPr>
        <w:lastRenderedPageBreak/>
        <w:t xml:space="preserve">Nation Address by the President. Understanding the need to continuously promote mining and South Africa as a preferred investment destination, the following </w:t>
      </w:r>
      <w:r w:rsidR="00C6704D" w:rsidRPr="001E6CF3">
        <w:rPr>
          <w:rFonts w:eastAsiaTheme="minorEastAsia"/>
          <w:bCs/>
        </w:rPr>
        <w:t xml:space="preserve">elements </w:t>
      </w:r>
      <w:r w:rsidRPr="001E6CF3">
        <w:rPr>
          <w:rFonts w:eastAsiaTheme="minorEastAsia"/>
          <w:bCs/>
        </w:rPr>
        <w:t xml:space="preserve">are </w:t>
      </w:r>
      <w:r w:rsidR="00C6704D" w:rsidRPr="001E6CF3">
        <w:rPr>
          <w:rFonts w:eastAsiaTheme="minorEastAsia"/>
          <w:bCs/>
        </w:rPr>
        <w:t>part of</w:t>
      </w:r>
      <w:r w:rsidRPr="001E6CF3">
        <w:rPr>
          <w:rFonts w:eastAsiaTheme="minorEastAsia"/>
          <w:bCs/>
        </w:rPr>
        <w:t xml:space="preserve"> the plan: </w:t>
      </w:r>
    </w:p>
    <w:p w:rsidR="00B83001" w:rsidRPr="001E6CF3" w:rsidRDefault="00B83001" w:rsidP="00843CE2">
      <w:pPr>
        <w:spacing w:after="200" w:line="360" w:lineRule="auto"/>
        <w:jc w:val="both"/>
        <w:rPr>
          <w:rFonts w:eastAsiaTheme="minorEastAsia"/>
        </w:rPr>
      </w:pPr>
      <w:r w:rsidRPr="001E6CF3">
        <w:rPr>
          <w:rFonts w:eastAsiaTheme="minorEastAsia"/>
        </w:rPr>
        <w:t>The continuous rollout of promotional activities</w:t>
      </w:r>
      <w:r w:rsidR="00C6704D" w:rsidRPr="001E6CF3">
        <w:rPr>
          <w:rFonts w:eastAsiaTheme="minorEastAsia"/>
        </w:rPr>
        <w:t xml:space="preserve"> </w:t>
      </w:r>
      <w:r w:rsidRPr="001E6CF3">
        <w:rPr>
          <w:rFonts w:eastAsiaTheme="minorEastAsia"/>
        </w:rPr>
        <w:t xml:space="preserve">of the Department </w:t>
      </w:r>
      <w:r w:rsidR="00C6704D" w:rsidRPr="001E6CF3">
        <w:rPr>
          <w:rFonts w:eastAsiaTheme="minorEastAsia"/>
        </w:rPr>
        <w:t xml:space="preserve">will </w:t>
      </w:r>
      <w:r w:rsidRPr="001E6CF3">
        <w:rPr>
          <w:rFonts w:eastAsiaTheme="minorEastAsia"/>
        </w:rPr>
        <w:t>include a narrative that showcase</w:t>
      </w:r>
      <w:r w:rsidR="00C6704D" w:rsidRPr="001E6CF3">
        <w:rPr>
          <w:rFonts w:eastAsiaTheme="minorEastAsia"/>
        </w:rPr>
        <w:t>s</w:t>
      </w:r>
      <w:r w:rsidRPr="001E6CF3">
        <w:rPr>
          <w:rFonts w:eastAsiaTheme="minorEastAsia"/>
        </w:rPr>
        <w:t xml:space="preserve"> South Africa in</w:t>
      </w:r>
      <w:r w:rsidRPr="001E6CF3">
        <w:rPr>
          <w:rFonts w:eastAsiaTheme="minorEastAsia"/>
          <w:i/>
        </w:rPr>
        <w:t xml:space="preserve"> </w:t>
      </w:r>
      <w:r w:rsidRPr="001E6CF3">
        <w:rPr>
          <w:rFonts w:eastAsiaTheme="minorEastAsia"/>
        </w:rPr>
        <w:t>a</w:t>
      </w:r>
      <w:r w:rsidRPr="001E6CF3">
        <w:rPr>
          <w:rFonts w:eastAsiaTheme="minorEastAsia"/>
          <w:i/>
        </w:rPr>
        <w:t xml:space="preserve"> </w:t>
      </w:r>
      <w:r w:rsidRPr="001E6CF3">
        <w:rPr>
          <w:rFonts w:eastAsiaTheme="minorEastAsia"/>
        </w:rPr>
        <w:t>positive manner. South Africa remains the wealthiest mining jurisdiction globally</w:t>
      </w:r>
      <w:r w:rsidR="0030335D" w:rsidRPr="001E6CF3">
        <w:rPr>
          <w:rFonts w:eastAsiaTheme="minorEastAsia"/>
        </w:rPr>
        <w:t>, as</w:t>
      </w:r>
      <w:r w:rsidR="00C6704D" w:rsidRPr="001E6CF3">
        <w:rPr>
          <w:rFonts w:eastAsiaTheme="minorEastAsia"/>
        </w:rPr>
        <w:t xml:space="preserve"> </w:t>
      </w:r>
      <w:r w:rsidR="0030335D" w:rsidRPr="001E6CF3">
        <w:rPr>
          <w:rFonts w:eastAsiaTheme="minorEastAsia"/>
        </w:rPr>
        <w:t>i</w:t>
      </w:r>
      <w:r w:rsidR="00C6704D" w:rsidRPr="001E6CF3">
        <w:rPr>
          <w:rFonts w:eastAsiaTheme="minorEastAsia"/>
        </w:rPr>
        <w:t>t has</w:t>
      </w:r>
      <w:r w:rsidRPr="001E6CF3">
        <w:rPr>
          <w:rFonts w:eastAsiaTheme="minorEastAsia"/>
        </w:rPr>
        <w:t xml:space="preserve"> </w:t>
      </w:r>
      <w:r w:rsidR="0030335D" w:rsidRPr="001E6CF3">
        <w:rPr>
          <w:rFonts w:eastAsiaTheme="minorEastAsia"/>
        </w:rPr>
        <w:t xml:space="preserve">an </w:t>
      </w:r>
      <w:r w:rsidRPr="001E6CF3">
        <w:rPr>
          <w:rFonts w:eastAsiaTheme="minorEastAsia"/>
        </w:rPr>
        <w:t xml:space="preserve">incomparable geological prospects. </w:t>
      </w:r>
      <w:r w:rsidR="00C6704D" w:rsidRPr="001E6CF3">
        <w:rPr>
          <w:rFonts w:eastAsiaTheme="minorEastAsia"/>
        </w:rPr>
        <w:t>R</w:t>
      </w:r>
      <w:r w:rsidRPr="001E6CF3">
        <w:rPr>
          <w:rFonts w:eastAsiaTheme="minorEastAsia"/>
        </w:rPr>
        <w:t>oadshows to engage with the investment fraternity, sharing the prospects of investment and development of the industry</w:t>
      </w:r>
      <w:r w:rsidR="00296C27" w:rsidRPr="001E6CF3">
        <w:rPr>
          <w:rFonts w:eastAsiaTheme="minorEastAsia"/>
        </w:rPr>
        <w:t xml:space="preserve"> will continue. </w:t>
      </w:r>
      <w:r w:rsidRPr="001E6CF3">
        <w:rPr>
          <w:rFonts w:eastAsiaTheme="minorEastAsia"/>
        </w:rPr>
        <w:t xml:space="preserve"> The Mining Indaba, </w:t>
      </w:r>
      <w:r w:rsidR="00C6704D" w:rsidRPr="001E6CF3">
        <w:rPr>
          <w:rFonts w:eastAsiaTheme="minorEastAsia"/>
        </w:rPr>
        <w:t xml:space="preserve">the </w:t>
      </w:r>
      <w:r w:rsidRPr="001E6CF3">
        <w:rPr>
          <w:rFonts w:eastAsiaTheme="minorEastAsia"/>
        </w:rPr>
        <w:t>Africa Down Under conference (Australia); PDAC</w:t>
      </w:r>
      <w:r w:rsidR="00C6704D" w:rsidRPr="001E6CF3">
        <w:rPr>
          <w:rFonts w:eastAsiaTheme="minorEastAsia"/>
        </w:rPr>
        <w:t xml:space="preserve"> in Canada and</w:t>
      </w:r>
      <w:r w:rsidRPr="001E6CF3">
        <w:rPr>
          <w:rFonts w:eastAsiaTheme="minorEastAsia"/>
        </w:rPr>
        <w:t xml:space="preserve"> engagements with mining companies and investors, locally and abroad</w:t>
      </w:r>
      <w:r w:rsidR="00C6704D" w:rsidRPr="001E6CF3">
        <w:rPr>
          <w:rFonts w:eastAsiaTheme="minorEastAsia"/>
        </w:rPr>
        <w:t>,</w:t>
      </w:r>
      <w:r w:rsidRPr="001E6CF3">
        <w:rPr>
          <w:rFonts w:eastAsiaTheme="minorEastAsia"/>
        </w:rPr>
        <w:t xml:space="preserve"> will continue to be a priority for the Department. </w:t>
      </w:r>
    </w:p>
    <w:p w:rsidR="00B83001" w:rsidRPr="001E6CF3" w:rsidRDefault="00B83001" w:rsidP="00843CE2">
      <w:pPr>
        <w:spacing w:after="200" w:line="360" w:lineRule="auto"/>
        <w:jc w:val="both"/>
        <w:rPr>
          <w:rFonts w:eastAsiaTheme="minorEastAsia"/>
        </w:rPr>
      </w:pPr>
      <w:r w:rsidRPr="001E6CF3">
        <w:rPr>
          <w:rFonts w:eastAsiaTheme="minorEastAsia"/>
        </w:rPr>
        <w:t xml:space="preserve">Addressing regulatory certainty remains critical in </w:t>
      </w:r>
      <w:r w:rsidR="00296C27" w:rsidRPr="001E6CF3">
        <w:rPr>
          <w:rFonts w:eastAsiaTheme="minorEastAsia"/>
        </w:rPr>
        <w:t xml:space="preserve">the </w:t>
      </w:r>
      <w:r w:rsidR="00C6704D" w:rsidRPr="001E6CF3">
        <w:rPr>
          <w:rFonts w:eastAsiaTheme="minorEastAsia"/>
        </w:rPr>
        <w:t xml:space="preserve">Department’s </w:t>
      </w:r>
      <w:r w:rsidRPr="001E6CF3">
        <w:rPr>
          <w:rFonts w:eastAsiaTheme="minorEastAsia"/>
        </w:rPr>
        <w:t xml:space="preserve">quest to improve the investment climate </w:t>
      </w:r>
      <w:r w:rsidR="00C6704D" w:rsidRPr="001E6CF3">
        <w:rPr>
          <w:rFonts w:eastAsiaTheme="minorEastAsia"/>
        </w:rPr>
        <w:t>for mining</w:t>
      </w:r>
      <w:r w:rsidRPr="001E6CF3">
        <w:rPr>
          <w:rFonts w:eastAsiaTheme="minorEastAsia"/>
        </w:rPr>
        <w:t xml:space="preserve">. </w:t>
      </w:r>
      <w:r w:rsidR="00296C27" w:rsidRPr="001E6CF3">
        <w:rPr>
          <w:rFonts w:eastAsiaTheme="minorEastAsia"/>
        </w:rPr>
        <w:t xml:space="preserve"> The Minister </w:t>
      </w:r>
      <w:r w:rsidR="002C2B71" w:rsidRPr="001E6CF3">
        <w:rPr>
          <w:rFonts w:eastAsiaTheme="minorEastAsia"/>
        </w:rPr>
        <w:t>said,</w:t>
      </w:r>
      <w:r w:rsidR="00296C27" w:rsidRPr="001E6CF3">
        <w:rPr>
          <w:rFonts w:eastAsiaTheme="minorEastAsia"/>
        </w:rPr>
        <w:t xml:space="preserve"> i</w:t>
      </w:r>
      <w:r w:rsidRPr="001E6CF3">
        <w:rPr>
          <w:rFonts w:eastAsiaTheme="minorEastAsia"/>
        </w:rPr>
        <w:t xml:space="preserve">n this regard, </w:t>
      </w:r>
      <w:r w:rsidR="00296C27" w:rsidRPr="001E6CF3">
        <w:rPr>
          <w:rFonts w:eastAsiaTheme="minorEastAsia"/>
        </w:rPr>
        <w:t xml:space="preserve">the </w:t>
      </w:r>
      <w:r w:rsidR="0030335D" w:rsidRPr="001E6CF3">
        <w:rPr>
          <w:rFonts w:eastAsiaTheme="minorEastAsia"/>
        </w:rPr>
        <w:t>D</w:t>
      </w:r>
      <w:r w:rsidR="00296C27" w:rsidRPr="001E6CF3">
        <w:rPr>
          <w:rFonts w:eastAsiaTheme="minorEastAsia"/>
        </w:rPr>
        <w:t xml:space="preserve">epartment is </w:t>
      </w:r>
      <w:r w:rsidRPr="001E6CF3">
        <w:rPr>
          <w:rFonts w:eastAsiaTheme="minorEastAsia"/>
        </w:rPr>
        <w:t xml:space="preserve">encouraged by steps being taken by Parliament </w:t>
      </w:r>
      <w:r w:rsidR="00BD2ECF" w:rsidRPr="001E6CF3">
        <w:rPr>
          <w:rFonts w:eastAsiaTheme="minorEastAsia"/>
        </w:rPr>
        <w:t>in facilitating</w:t>
      </w:r>
      <w:r w:rsidRPr="001E6CF3">
        <w:rPr>
          <w:rFonts w:eastAsiaTheme="minorEastAsia"/>
        </w:rPr>
        <w:t xml:space="preserve"> the finalization of the Mineral and Petroleum Resources Development Amendment Bill. Equally important, </w:t>
      </w:r>
      <w:r w:rsidR="002C2B71" w:rsidRPr="001E6CF3">
        <w:rPr>
          <w:rFonts w:eastAsiaTheme="minorEastAsia"/>
        </w:rPr>
        <w:t xml:space="preserve">the </w:t>
      </w:r>
      <w:r w:rsidR="00C6704D" w:rsidRPr="001E6CF3">
        <w:rPr>
          <w:rFonts w:eastAsiaTheme="minorEastAsia"/>
        </w:rPr>
        <w:t xml:space="preserve">Department </w:t>
      </w:r>
      <w:r w:rsidRPr="001E6CF3">
        <w:rPr>
          <w:rFonts w:eastAsiaTheme="minorEastAsia"/>
        </w:rPr>
        <w:t>w</w:t>
      </w:r>
      <w:r w:rsidR="0030335D" w:rsidRPr="001E6CF3">
        <w:rPr>
          <w:rFonts w:eastAsiaTheme="minorEastAsia"/>
        </w:rPr>
        <w:t>ill</w:t>
      </w:r>
      <w:r w:rsidRPr="001E6CF3">
        <w:rPr>
          <w:rFonts w:eastAsiaTheme="minorEastAsia"/>
        </w:rPr>
        <w:t xml:space="preserve"> be publishing, the amended Mining Charter </w:t>
      </w:r>
      <w:r w:rsidR="00C6704D" w:rsidRPr="001E6CF3">
        <w:rPr>
          <w:rFonts w:eastAsiaTheme="minorEastAsia"/>
        </w:rPr>
        <w:t xml:space="preserve">during this quarter </w:t>
      </w:r>
      <w:r w:rsidRPr="001E6CF3">
        <w:rPr>
          <w:rFonts w:eastAsiaTheme="minorEastAsia"/>
        </w:rPr>
        <w:t xml:space="preserve">to ensure that rules of engagement are made very clear. </w:t>
      </w:r>
      <w:r w:rsidR="002C2B71" w:rsidRPr="001E6CF3">
        <w:rPr>
          <w:rFonts w:eastAsiaTheme="minorEastAsia"/>
        </w:rPr>
        <w:t xml:space="preserve">The </w:t>
      </w:r>
      <w:r w:rsidR="00C6704D" w:rsidRPr="001E6CF3">
        <w:rPr>
          <w:rFonts w:eastAsiaTheme="minorEastAsia"/>
        </w:rPr>
        <w:t xml:space="preserve">Department </w:t>
      </w:r>
      <w:r w:rsidR="002C2B71" w:rsidRPr="001E6CF3">
        <w:rPr>
          <w:rFonts w:eastAsiaTheme="minorEastAsia"/>
        </w:rPr>
        <w:t>will continue</w:t>
      </w:r>
      <w:r w:rsidRPr="001E6CF3">
        <w:rPr>
          <w:rFonts w:eastAsiaTheme="minorEastAsia"/>
        </w:rPr>
        <w:t xml:space="preserve"> to </w:t>
      </w:r>
      <w:r w:rsidR="0030335D" w:rsidRPr="001E6CF3">
        <w:rPr>
          <w:rFonts w:eastAsiaTheme="minorEastAsia"/>
        </w:rPr>
        <w:t>prioritize</w:t>
      </w:r>
      <w:r w:rsidRPr="001E6CF3">
        <w:rPr>
          <w:rFonts w:eastAsiaTheme="minorEastAsia"/>
        </w:rPr>
        <w:t xml:space="preserve"> efforts to strengthen relations with stakeholders, because the future of mining requires collectivism. </w:t>
      </w:r>
    </w:p>
    <w:p w:rsidR="00B83001" w:rsidRPr="001E6CF3" w:rsidRDefault="00B83001" w:rsidP="00843CE2">
      <w:pPr>
        <w:spacing w:after="200" w:line="360" w:lineRule="auto"/>
        <w:jc w:val="both"/>
        <w:rPr>
          <w:rFonts w:eastAsiaTheme="minorEastAsia"/>
        </w:rPr>
      </w:pPr>
      <w:r w:rsidRPr="001E6CF3">
        <w:rPr>
          <w:rFonts w:eastAsiaTheme="minorEastAsia"/>
        </w:rPr>
        <w:t xml:space="preserve">The promotion of job creation as well as saving jobs will remain central in </w:t>
      </w:r>
      <w:r w:rsidR="002C2B71" w:rsidRPr="001E6CF3">
        <w:rPr>
          <w:rFonts w:eastAsiaTheme="minorEastAsia"/>
        </w:rPr>
        <w:t xml:space="preserve">the </w:t>
      </w:r>
      <w:r w:rsidR="00C6704D" w:rsidRPr="001E6CF3">
        <w:rPr>
          <w:rFonts w:eastAsiaTheme="minorEastAsia"/>
        </w:rPr>
        <w:t xml:space="preserve">Department’s </w:t>
      </w:r>
      <w:r w:rsidR="002C2B71" w:rsidRPr="001E6CF3">
        <w:rPr>
          <w:rFonts w:eastAsiaTheme="minorEastAsia"/>
        </w:rPr>
        <w:t>drive</w:t>
      </w:r>
      <w:r w:rsidRPr="001E6CF3">
        <w:rPr>
          <w:rFonts w:eastAsiaTheme="minorEastAsia"/>
        </w:rPr>
        <w:t xml:space="preserve"> to sustainably grow the mining industry. In this regard, the implementation of the Stakeholder </w:t>
      </w:r>
      <w:r w:rsidR="00C6704D" w:rsidRPr="001E6CF3">
        <w:rPr>
          <w:rFonts w:eastAsiaTheme="minorEastAsia"/>
        </w:rPr>
        <w:t xml:space="preserve">Declaration </w:t>
      </w:r>
      <w:r w:rsidRPr="001E6CF3">
        <w:rPr>
          <w:rFonts w:eastAsiaTheme="minorEastAsia"/>
        </w:rPr>
        <w:t>and working with other stakeholders such as the CCMA, mines, and organized labour w</w:t>
      </w:r>
      <w:r w:rsidR="0030335D" w:rsidRPr="001E6CF3">
        <w:rPr>
          <w:rFonts w:eastAsiaTheme="minorEastAsia"/>
        </w:rPr>
        <w:t>ill</w:t>
      </w:r>
      <w:r w:rsidRPr="001E6CF3">
        <w:rPr>
          <w:rFonts w:eastAsiaTheme="minorEastAsia"/>
        </w:rPr>
        <w:t xml:space="preserve"> remain a priority. </w:t>
      </w:r>
      <w:r w:rsidR="002C2B71" w:rsidRPr="001E6CF3">
        <w:rPr>
          <w:rFonts w:eastAsiaTheme="minorEastAsia"/>
        </w:rPr>
        <w:t xml:space="preserve">The </w:t>
      </w:r>
      <w:r w:rsidR="00C6704D" w:rsidRPr="001E6CF3">
        <w:rPr>
          <w:rFonts w:eastAsiaTheme="minorEastAsia"/>
        </w:rPr>
        <w:t xml:space="preserve">Department </w:t>
      </w:r>
      <w:r w:rsidR="002C2B71" w:rsidRPr="001E6CF3">
        <w:rPr>
          <w:rFonts w:eastAsiaTheme="minorEastAsia"/>
        </w:rPr>
        <w:t>will continue</w:t>
      </w:r>
      <w:r w:rsidRPr="001E6CF3">
        <w:rPr>
          <w:rFonts w:eastAsiaTheme="minorEastAsia"/>
        </w:rPr>
        <w:t xml:space="preserve"> to make a call for mines not to make the retrenchment of employees a first option when faced with economic difficulties. </w:t>
      </w:r>
      <w:r w:rsidR="002C2B71" w:rsidRPr="001E6CF3">
        <w:rPr>
          <w:rFonts w:eastAsiaTheme="minorEastAsia"/>
        </w:rPr>
        <w:t xml:space="preserve">The </w:t>
      </w:r>
      <w:r w:rsidR="00474B66" w:rsidRPr="001E6CF3">
        <w:rPr>
          <w:rFonts w:eastAsiaTheme="minorEastAsia"/>
        </w:rPr>
        <w:t>Minister commended</w:t>
      </w:r>
      <w:r w:rsidRPr="001E6CF3">
        <w:rPr>
          <w:rFonts w:eastAsiaTheme="minorEastAsia"/>
        </w:rPr>
        <w:t xml:space="preserve"> mining companies who have embraced the stakeholder declaration and are now providing progress reports in line with the </w:t>
      </w:r>
      <w:r w:rsidR="0030335D" w:rsidRPr="001E6CF3">
        <w:rPr>
          <w:rFonts w:eastAsiaTheme="minorEastAsia"/>
        </w:rPr>
        <w:t>above</w:t>
      </w:r>
      <w:r w:rsidRPr="001E6CF3">
        <w:rPr>
          <w:rFonts w:eastAsiaTheme="minorEastAsia"/>
        </w:rPr>
        <w:t xml:space="preserve"> declaration. </w:t>
      </w:r>
    </w:p>
    <w:p w:rsidR="00B83001" w:rsidRPr="001E6CF3" w:rsidRDefault="00B83001" w:rsidP="00843CE2">
      <w:pPr>
        <w:spacing w:after="200" w:line="360" w:lineRule="auto"/>
        <w:jc w:val="both"/>
        <w:rPr>
          <w:rFonts w:eastAsiaTheme="minorEastAsia"/>
        </w:rPr>
      </w:pPr>
      <w:r w:rsidRPr="001E6CF3">
        <w:rPr>
          <w:rFonts w:eastAsiaTheme="minorEastAsia"/>
        </w:rPr>
        <w:t xml:space="preserve">The implementation of the Special Presidential package on </w:t>
      </w:r>
      <w:r w:rsidR="00C6704D" w:rsidRPr="001E6CF3">
        <w:rPr>
          <w:rFonts w:eastAsiaTheme="minorEastAsia"/>
        </w:rPr>
        <w:t xml:space="preserve">the </w:t>
      </w:r>
      <w:r w:rsidRPr="001E6CF3">
        <w:rPr>
          <w:rFonts w:eastAsiaTheme="minorEastAsia"/>
        </w:rPr>
        <w:t xml:space="preserve">revitalization of mining and labour sending communities will not escape </w:t>
      </w:r>
      <w:r w:rsidR="002C2B71" w:rsidRPr="001E6CF3">
        <w:rPr>
          <w:rFonts w:eastAsiaTheme="minorEastAsia"/>
        </w:rPr>
        <w:t xml:space="preserve">the </w:t>
      </w:r>
      <w:r w:rsidR="00986570" w:rsidRPr="001E6CF3">
        <w:rPr>
          <w:rFonts w:eastAsiaTheme="minorEastAsia"/>
        </w:rPr>
        <w:t xml:space="preserve">Department’s </w:t>
      </w:r>
      <w:r w:rsidRPr="001E6CF3">
        <w:rPr>
          <w:rFonts w:eastAsiaTheme="minorEastAsia"/>
        </w:rPr>
        <w:t xml:space="preserve">attention. The collaborative work by all three spheres of government will continue to be key in </w:t>
      </w:r>
      <w:r w:rsidR="00986570" w:rsidRPr="001E6CF3">
        <w:rPr>
          <w:rFonts w:eastAsiaTheme="minorEastAsia"/>
        </w:rPr>
        <w:t xml:space="preserve">the national </w:t>
      </w:r>
      <w:r w:rsidRPr="001E6CF3">
        <w:rPr>
          <w:rFonts w:eastAsiaTheme="minorEastAsia"/>
        </w:rPr>
        <w:t xml:space="preserve">drive to transform the landscape of our mining communities.  </w:t>
      </w:r>
    </w:p>
    <w:p w:rsidR="00B83001" w:rsidRPr="001E6CF3" w:rsidRDefault="00B83001" w:rsidP="00843CE2">
      <w:pPr>
        <w:spacing w:after="200" w:line="360" w:lineRule="auto"/>
        <w:jc w:val="both"/>
        <w:rPr>
          <w:rFonts w:eastAsiaTheme="minorEastAsia"/>
        </w:rPr>
      </w:pPr>
      <w:r w:rsidRPr="001E6CF3">
        <w:rPr>
          <w:rFonts w:eastAsiaTheme="minorEastAsia"/>
        </w:rPr>
        <w:t xml:space="preserve">Transformation of the mining industry will be pursued in </w:t>
      </w:r>
      <w:r w:rsidR="00986570" w:rsidRPr="001E6CF3">
        <w:rPr>
          <w:rFonts w:eastAsiaTheme="minorEastAsia"/>
        </w:rPr>
        <w:t>a</w:t>
      </w:r>
      <w:r w:rsidR="002C2B71" w:rsidRPr="001E6CF3">
        <w:rPr>
          <w:rFonts w:eastAsiaTheme="minorEastAsia"/>
        </w:rPr>
        <w:t xml:space="preserve"> quest</w:t>
      </w:r>
      <w:r w:rsidRPr="001E6CF3">
        <w:rPr>
          <w:rFonts w:eastAsiaTheme="minorEastAsia"/>
        </w:rPr>
        <w:t xml:space="preserve"> to drive meaningful economic empowerment. The announcements on the restructuring of mining companies </w:t>
      </w:r>
      <w:r w:rsidR="00986570" w:rsidRPr="001E6CF3">
        <w:rPr>
          <w:rFonts w:eastAsiaTheme="minorEastAsia"/>
        </w:rPr>
        <w:t xml:space="preserve">because of the economic crisis </w:t>
      </w:r>
      <w:r w:rsidRPr="001E6CF3">
        <w:rPr>
          <w:rFonts w:eastAsiaTheme="minorEastAsia"/>
        </w:rPr>
        <w:t xml:space="preserve">present an opportunity to allow new entrants and save jobs. </w:t>
      </w:r>
      <w:r w:rsidR="002C2B71" w:rsidRPr="001E6CF3">
        <w:rPr>
          <w:rFonts w:eastAsiaTheme="minorEastAsia"/>
        </w:rPr>
        <w:t xml:space="preserve"> </w:t>
      </w:r>
      <w:r w:rsidRPr="001E6CF3">
        <w:rPr>
          <w:rFonts w:eastAsiaTheme="minorEastAsia"/>
        </w:rPr>
        <w:t xml:space="preserve">Contributions towards skills development remain key </w:t>
      </w:r>
      <w:r w:rsidR="00986570" w:rsidRPr="001E6CF3">
        <w:rPr>
          <w:rFonts w:eastAsiaTheme="minorEastAsia"/>
        </w:rPr>
        <w:t xml:space="preserve">in promoting the </w:t>
      </w:r>
      <w:r w:rsidRPr="001E6CF3">
        <w:rPr>
          <w:rFonts w:eastAsiaTheme="minorEastAsia"/>
        </w:rPr>
        <w:t xml:space="preserve">sustainability of the mining industry. </w:t>
      </w:r>
      <w:r w:rsidR="002C2B71" w:rsidRPr="001E6CF3">
        <w:rPr>
          <w:rFonts w:eastAsiaTheme="minorEastAsia"/>
        </w:rPr>
        <w:t xml:space="preserve">The </w:t>
      </w:r>
      <w:r w:rsidR="00986570" w:rsidRPr="001E6CF3">
        <w:rPr>
          <w:rFonts w:eastAsiaTheme="minorEastAsia"/>
        </w:rPr>
        <w:t xml:space="preserve">Department </w:t>
      </w:r>
      <w:r w:rsidRPr="001E6CF3">
        <w:rPr>
          <w:rFonts w:eastAsiaTheme="minorEastAsia"/>
        </w:rPr>
        <w:t xml:space="preserve">planned to issue an additional twenty bursaries.  </w:t>
      </w:r>
      <w:r w:rsidR="00986570" w:rsidRPr="001E6CF3">
        <w:rPr>
          <w:rFonts w:eastAsiaTheme="minorEastAsia"/>
        </w:rPr>
        <w:t xml:space="preserve">The APP includes a </w:t>
      </w:r>
      <w:r w:rsidRPr="001E6CF3">
        <w:rPr>
          <w:rFonts w:eastAsiaTheme="minorEastAsia"/>
        </w:rPr>
        <w:t xml:space="preserve">drive to ensure that the management of finances </w:t>
      </w:r>
      <w:r w:rsidR="0030335D" w:rsidRPr="001E6CF3">
        <w:rPr>
          <w:rFonts w:eastAsiaTheme="minorEastAsia"/>
        </w:rPr>
        <w:t>by</w:t>
      </w:r>
      <w:r w:rsidRPr="001E6CF3">
        <w:rPr>
          <w:rFonts w:eastAsiaTheme="minorEastAsia"/>
        </w:rPr>
        <w:t xml:space="preserve"> the Department is continuously improved.  </w:t>
      </w:r>
      <w:r w:rsidR="002C2B71" w:rsidRPr="001E6CF3">
        <w:rPr>
          <w:rFonts w:eastAsiaTheme="minorEastAsia"/>
        </w:rPr>
        <w:t>The Minister concluded by saying that</w:t>
      </w:r>
      <w:r w:rsidR="00986570" w:rsidRPr="001E6CF3">
        <w:rPr>
          <w:rFonts w:eastAsiaTheme="minorEastAsia"/>
        </w:rPr>
        <w:t xml:space="preserve"> a </w:t>
      </w:r>
      <w:r w:rsidRPr="001E6CF3">
        <w:rPr>
          <w:rFonts w:eastAsiaTheme="minorEastAsia"/>
        </w:rPr>
        <w:t>restructur</w:t>
      </w:r>
      <w:r w:rsidR="00986570" w:rsidRPr="001E6CF3">
        <w:rPr>
          <w:rFonts w:eastAsiaTheme="minorEastAsia"/>
        </w:rPr>
        <w:t>ing initiative will</w:t>
      </w:r>
      <w:r w:rsidRPr="001E6CF3">
        <w:rPr>
          <w:rFonts w:eastAsiaTheme="minorEastAsia"/>
        </w:rPr>
        <w:t xml:space="preserve"> make the </w:t>
      </w:r>
      <w:r w:rsidR="0030335D" w:rsidRPr="001E6CF3">
        <w:rPr>
          <w:rFonts w:eastAsiaTheme="minorEastAsia"/>
        </w:rPr>
        <w:t>organization</w:t>
      </w:r>
      <w:r w:rsidR="00986570" w:rsidRPr="001E6CF3">
        <w:rPr>
          <w:rFonts w:eastAsiaTheme="minorEastAsia"/>
        </w:rPr>
        <w:t xml:space="preserve"> </w:t>
      </w:r>
      <w:r w:rsidRPr="001E6CF3">
        <w:rPr>
          <w:rFonts w:eastAsiaTheme="minorEastAsia"/>
        </w:rPr>
        <w:t xml:space="preserve">even more sharply focused. </w:t>
      </w:r>
    </w:p>
    <w:p w:rsidR="00C6704D" w:rsidRPr="001E6CF3" w:rsidRDefault="00C6704D" w:rsidP="00843CE2">
      <w:pPr>
        <w:spacing w:after="200" w:line="360" w:lineRule="auto"/>
        <w:jc w:val="both"/>
        <w:rPr>
          <w:rFonts w:eastAsiaTheme="minorEastAsia"/>
          <w:bCs/>
        </w:rPr>
      </w:pPr>
      <w:r w:rsidRPr="001E6CF3">
        <w:rPr>
          <w:rFonts w:eastAsiaTheme="minorEastAsia"/>
          <w:bCs/>
        </w:rPr>
        <w:t xml:space="preserve">The Minister said that the compensation of the Department’s employees will continue to represent a significant expenditure item due to the </w:t>
      </w:r>
      <w:r w:rsidR="00B227D8" w:rsidRPr="001E6CF3">
        <w:rPr>
          <w:rFonts w:eastAsiaTheme="minorEastAsia"/>
          <w:bCs/>
        </w:rPr>
        <w:t xml:space="preserve">labour </w:t>
      </w:r>
      <w:r w:rsidRPr="001E6CF3">
        <w:rPr>
          <w:rFonts w:eastAsiaTheme="minorEastAsia"/>
          <w:bCs/>
        </w:rPr>
        <w:t xml:space="preserve">intensive nature of inspections that are required by the </w:t>
      </w:r>
      <w:r w:rsidR="00B227D8" w:rsidRPr="001E6CF3">
        <w:rPr>
          <w:rFonts w:eastAsiaTheme="minorEastAsia"/>
          <w:bCs/>
        </w:rPr>
        <w:t>D</w:t>
      </w:r>
      <w:r w:rsidRPr="001E6CF3">
        <w:rPr>
          <w:rFonts w:eastAsiaTheme="minorEastAsia"/>
          <w:bCs/>
        </w:rPr>
        <w:t xml:space="preserve">epartment’s mandate. Having said that, he took note of the Minister of Finance’s comments in the budget speech on the wage bill of government and </w:t>
      </w:r>
      <w:r w:rsidR="00B227D8" w:rsidRPr="001E6CF3">
        <w:rPr>
          <w:rFonts w:eastAsiaTheme="minorEastAsia"/>
          <w:bCs/>
        </w:rPr>
        <w:t xml:space="preserve">stated </w:t>
      </w:r>
      <w:r w:rsidR="00BD2ECF" w:rsidRPr="001E6CF3">
        <w:rPr>
          <w:rFonts w:eastAsiaTheme="minorEastAsia"/>
          <w:bCs/>
        </w:rPr>
        <w:t xml:space="preserve">that </w:t>
      </w:r>
      <w:r w:rsidR="00843CE2" w:rsidRPr="001E6CF3">
        <w:rPr>
          <w:rFonts w:eastAsiaTheme="minorEastAsia"/>
          <w:bCs/>
        </w:rPr>
        <w:t>the Department</w:t>
      </w:r>
      <w:r w:rsidRPr="001E6CF3">
        <w:rPr>
          <w:rFonts w:eastAsiaTheme="minorEastAsia"/>
          <w:bCs/>
        </w:rPr>
        <w:t xml:space="preserve"> will continue to engage with the National Treasury to ensure that the Department delivery mandate is not negatively affected </w:t>
      </w:r>
      <w:r w:rsidR="007F216C" w:rsidRPr="001E6CF3">
        <w:rPr>
          <w:rFonts w:eastAsiaTheme="minorEastAsia"/>
          <w:bCs/>
        </w:rPr>
        <w:t>by cost</w:t>
      </w:r>
      <w:r w:rsidRPr="001E6CF3">
        <w:rPr>
          <w:rFonts w:eastAsiaTheme="minorEastAsia"/>
          <w:bCs/>
        </w:rPr>
        <w:t xml:space="preserve"> saving imperatives dictated by the poor economic climate.</w:t>
      </w:r>
    </w:p>
    <w:p w:rsidR="009C55F9" w:rsidRPr="001E6CF3" w:rsidRDefault="009C55F9" w:rsidP="00843CE2">
      <w:pPr>
        <w:spacing w:after="200" w:line="360" w:lineRule="auto"/>
        <w:jc w:val="both"/>
        <w:rPr>
          <w:rFonts w:eastAsiaTheme="minorEastAsia"/>
          <w:b/>
        </w:rPr>
      </w:pPr>
      <w:r w:rsidRPr="001E6CF3">
        <w:rPr>
          <w:rFonts w:eastAsiaTheme="minorEastAsia"/>
          <w:b/>
        </w:rPr>
        <w:t>2.2.2</w:t>
      </w:r>
      <w:r w:rsidRPr="001E6CF3">
        <w:rPr>
          <w:rFonts w:eastAsiaTheme="minorEastAsia"/>
          <w:b/>
        </w:rPr>
        <w:tab/>
        <w:t>Financial Administration</w:t>
      </w:r>
    </w:p>
    <w:p w:rsidR="00D353C3" w:rsidRPr="001E6CF3" w:rsidRDefault="009C55F9" w:rsidP="00843CE2">
      <w:pPr>
        <w:spacing w:line="360" w:lineRule="auto"/>
        <w:ind w:right="-180"/>
        <w:jc w:val="both"/>
        <w:rPr>
          <w:lang w:val="en-ZA"/>
        </w:rPr>
      </w:pPr>
      <w:r w:rsidRPr="001E6CF3">
        <w:rPr>
          <w:lang w:val="en-ZA"/>
        </w:rPr>
        <w:t xml:space="preserve">The Acting Director General, Mr D </w:t>
      </w:r>
      <w:r w:rsidR="00D353C3" w:rsidRPr="001E6CF3">
        <w:rPr>
          <w:lang w:val="en-ZA"/>
        </w:rPr>
        <w:t>Msiza presented</w:t>
      </w:r>
      <w:r w:rsidRPr="001E6CF3">
        <w:rPr>
          <w:lang w:val="en-ZA"/>
        </w:rPr>
        <w:t xml:space="preserve"> the overview of the 2016/19 </w:t>
      </w:r>
      <w:r w:rsidR="00986570" w:rsidRPr="001E6CF3">
        <w:rPr>
          <w:lang w:val="en-ZA"/>
        </w:rPr>
        <w:t>strategic plan</w:t>
      </w:r>
      <w:r w:rsidRPr="001E6CF3">
        <w:rPr>
          <w:lang w:val="en-ZA"/>
        </w:rPr>
        <w:t xml:space="preserve">. He said the overall budget of the </w:t>
      </w:r>
      <w:r w:rsidR="00B227D8" w:rsidRPr="001E6CF3">
        <w:rPr>
          <w:lang w:val="en-ZA"/>
        </w:rPr>
        <w:t>D</w:t>
      </w:r>
      <w:r w:rsidRPr="001E6CF3">
        <w:rPr>
          <w:lang w:val="en-ZA"/>
        </w:rPr>
        <w:t xml:space="preserve">epartment </w:t>
      </w:r>
      <w:r w:rsidR="00B227D8" w:rsidRPr="001E6CF3">
        <w:rPr>
          <w:lang w:val="en-ZA"/>
        </w:rPr>
        <w:t xml:space="preserve">has been </w:t>
      </w:r>
      <w:r w:rsidRPr="001E6CF3">
        <w:rPr>
          <w:lang w:val="en-ZA"/>
        </w:rPr>
        <w:t>increase</w:t>
      </w:r>
      <w:r w:rsidR="00B227D8" w:rsidRPr="001E6CF3">
        <w:rPr>
          <w:lang w:val="en-ZA"/>
        </w:rPr>
        <w:t>d</w:t>
      </w:r>
      <w:r w:rsidRPr="001E6CF3">
        <w:rPr>
          <w:lang w:val="en-ZA"/>
        </w:rPr>
        <w:t xml:space="preserve"> at an annual average rate of 3.7% over the medium term:</w:t>
      </w:r>
      <w:r w:rsidR="00D353C3" w:rsidRPr="001E6CF3">
        <w:rPr>
          <w:lang w:val="en-ZA"/>
        </w:rPr>
        <w:t xml:space="preserve"> </w:t>
      </w:r>
    </w:p>
    <w:p w:rsidR="00D353C3" w:rsidRPr="001E6CF3" w:rsidRDefault="00D353C3" w:rsidP="00843CE2">
      <w:pPr>
        <w:pStyle w:val="ListParagraph"/>
        <w:numPr>
          <w:ilvl w:val="0"/>
          <w:numId w:val="12"/>
        </w:numPr>
        <w:spacing w:line="360" w:lineRule="auto"/>
        <w:ind w:right="-180"/>
        <w:rPr>
          <w:rFonts w:ascii="Times New Roman" w:hAnsi="Times New Roman"/>
          <w:sz w:val="24"/>
          <w:szCs w:val="24"/>
        </w:rPr>
      </w:pPr>
      <w:r w:rsidRPr="001E6CF3">
        <w:rPr>
          <w:rFonts w:ascii="Times New Roman" w:hAnsi="Times New Roman"/>
          <w:sz w:val="24"/>
          <w:szCs w:val="24"/>
        </w:rPr>
        <w:t xml:space="preserve">Mine Health and Safety increases by an annual growth rate of 2.4% over the medium term which is partly due to transfer payments to </w:t>
      </w:r>
      <w:r w:rsidR="00B227D8" w:rsidRPr="001E6CF3">
        <w:rPr>
          <w:rFonts w:ascii="Times New Roman" w:hAnsi="Times New Roman"/>
          <w:sz w:val="24"/>
          <w:szCs w:val="24"/>
        </w:rPr>
        <w:t xml:space="preserve">the </w:t>
      </w:r>
      <w:r w:rsidRPr="001E6CF3">
        <w:rPr>
          <w:rFonts w:ascii="Times New Roman" w:hAnsi="Times New Roman"/>
          <w:sz w:val="24"/>
          <w:szCs w:val="24"/>
        </w:rPr>
        <w:t xml:space="preserve">Mine Health and Safety Council which ceased in 2014/15 and will resume in 2017/18 and </w:t>
      </w:r>
      <w:r w:rsidR="007D6A1B" w:rsidRPr="001E6CF3">
        <w:rPr>
          <w:rFonts w:ascii="Times New Roman" w:hAnsi="Times New Roman"/>
          <w:sz w:val="24"/>
          <w:szCs w:val="24"/>
        </w:rPr>
        <w:t xml:space="preserve">the </w:t>
      </w:r>
      <w:r w:rsidRPr="001E6CF3">
        <w:rPr>
          <w:rFonts w:ascii="Times New Roman" w:hAnsi="Times New Roman"/>
          <w:sz w:val="24"/>
          <w:szCs w:val="24"/>
        </w:rPr>
        <w:t>outer year.</w:t>
      </w:r>
    </w:p>
    <w:p w:rsidR="00D353C3" w:rsidRPr="001E6CF3" w:rsidRDefault="00D353C3" w:rsidP="00843CE2">
      <w:pPr>
        <w:pStyle w:val="ListParagraph"/>
        <w:numPr>
          <w:ilvl w:val="0"/>
          <w:numId w:val="12"/>
        </w:numPr>
        <w:spacing w:line="360" w:lineRule="auto"/>
        <w:ind w:right="-180"/>
        <w:rPr>
          <w:rFonts w:ascii="Times New Roman" w:hAnsi="Times New Roman"/>
          <w:sz w:val="24"/>
          <w:szCs w:val="24"/>
        </w:rPr>
      </w:pPr>
      <w:r w:rsidRPr="001E6CF3">
        <w:rPr>
          <w:rFonts w:ascii="Times New Roman" w:hAnsi="Times New Roman"/>
          <w:sz w:val="24"/>
          <w:szCs w:val="24"/>
        </w:rPr>
        <w:t>The Mineral Regulation budget increases by an annual average of 19.7%, this is attributed to the PASA additional allocation of R305</w:t>
      </w:r>
      <w:r w:rsidR="00B227D8" w:rsidRPr="001E6CF3">
        <w:rPr>
          <w:rFonts w:ascii="Times New Roman" w:hAnsi="Times New Roman"/>
          <w:sz w:val="24"/>
          <w:szCs w:val="24"/>
        </w:rPr>
        <w:t>, 127</w:t>
      </w:r>
      <w:r w:rsidRPr="001E6CF3">
        <w:rPr>
          <w:rFonts w:ascii="Times New Roman" w:hAnsi="Times New Roman"/>
          <w:sz w:val="24"/>
          <w:szCs w:val="24"/>
        </w:rPr>
        <w:t xml:space="preserve"> million.</w:t>
      </w:r>
    </w:p>
    <w:p w:rsidR="00D353C3" w:rsidRPr="001E6CF3" w:rsidRDefault="00D353C3" w:rsidP="00843CE2">
      <w:pPr>
        <w:pStyle w:val="ListParagraph"/>
        <w:numPr>
          <w:ilvl w:val="0"/>
          <w:numId w:val="12"/>
        </w:numPr>
        <w:spacing w:line="360" w:lineRule="auto"/>
        <w:ind w:right="-180"/>
        <w:rPr>
          <w:rFonts w:ascii="Times New Roman" w:hAnsi="Times New Roman"/>
          <w:sz w:val="24"/>
          <w:szCs w:val="24"/>
        </w:rPr>
      </w:pPr>
      <w:r w:rsidRPr="001E6CF3">
        <w:rPr>
          <w:rFonts w:ascii="Times New Roman" w:hAnsi="Times New Roman"/>
          <w:sz w:val="24"/>
          <w:szCs w:val="24"/>
        </w:rPr>
        <w:t xml:space="preserve">The Mineral Policy and Promotions </w:t>
      </w:r>
      <w:r w:rsidR="007D6A1B" w:rsidRPr="001E6CF3">
        <w:rPr>
          <w:rFonts w:ascii="Times New Roman" w:hAnsi="Times New Roman"/>
          <w:sz w:val="24"/>
          <w:szCs w:val="24"/>
        </w:rPr>
        <w:t xml:space="preserve">programme </w:t>
      </w:r>
      <w:r w:rsidRPr="001E6CF3">
        <w:rPr>
          <w:rFonts w:ascii="Times New Roman" w:hAnsi="Times New Roman"/>
          <w:sz w:val="24"/>
          <w:szCs w:val="24"/>
        </w:rPr>
        <w:t>decreases by 1.8</w:t>
      </w:r>
      <w:r w:rsidR="00FC6945" w:rsidRPr="001E6CF3">
        <w:rPr>
          <w:rFonts w:ascii="Times New Roman" w:hAnsi="Times New Roman"/>
          <w:sz w:val="24"/>
          <w:szCs w:val="24"/>
        </w:rPr>
        <w:t>% in</w:t>
      </w:r>
      <w:r w:rsidRPr="001E6CF3">
        <w:rPr>
          <w:rFonts w:ascii="Times New Roman" w:hAnsi="Times New Roman"/>
          <w:sz w:val="24"/>
          <w:szCs w:val="24"/>
        </w:rPr>
        <w:t xml:space="preserve"> 2018/19 as a result of the discontinuation of the Economic </w:t>
      </w:r>
      <w:r w:rsidR="007D6A1B" w:rsidRPr="001E6CF3">
        <w:rPr>
          <w:rFonts w:ascii="Times New Roman" w:hAnsi="Times New Roman"/>
          <w:sz w:val="24"/>
          <w:szCs w:val="24"/>
        </w:rPr>
        <w:t>S</w:t>
      </w:r>
      <w:r w:rsidRPr="001E6CF3">
        <w:rPr>
          <w:rFonts w:ascii="Times New Roman" w:hAnsi="Times New Roman"/>
          <w:sz w:val="24"/>
          <w:szCs w:val="24"/>
        </w:rPr>
        <w:t>upport and Competitiveness Package (ESCP) allocation attributed to the Council for Geosciences and Mintek</w:t>
      </w:r>
      <w:r w:rsidR="007D6A1B" w:rsidRPr="001E6CF3">
        <w:rPr>
          <w:rFonts w:ascii="Times New Roman" w:hAnsi="Times New Roman"/>
          <w:sz w:val="24"/>
          <w:szCs w:val="24"/>
        </w:rPr>
        <w:t xml:space="preserve">. </w:t>
      </w:r>
      <w:r w:rsidRPr="001E6CF3">
        <w:rPr>
          <w:rFonts w:ascii="Times New Roman" w:hAnsi="Times New Roman"/>
          <w:sz w:val="24"/>
          <w:szCs w:val="24"/>
        </w:rPr>
        <w:t>ESCP was a 5 year project ending 2018/19</w:t>
      </w:r>
      <w:r w:rsidR="007D6A1B" w:rsidRPr="001E6CF3">
        <w:rPr>
          <w:rFonts w:ascii="Times New Roman" w:hAnsi="Times New Roman"/>
          <w:sz w:val="24"/>
          <w:szCs w:val="24"/>
        </w:rPr>
        <w:t>.</w:t>
      </w:r>
    </w:p>
    <w:p w:rsidR="007D6A1B" w:rsidRPr="001E6CF3" w:rsidRDefault="007D6A1B" w:rsidP="00843CE2">
      <w:pPr>
        <w:pStyle w:val="ListParagraph"/>
        <w:spacing w:line="360" w:lineRule="auto"/>
        <w:ind w:right="-180"/>
        <w:rPr>
          <w:rFonts w:ascii="Times New Roman" w:hAnsi="Times New Roman"/>
          <w:sz w:val="24"/>
          <w:szCs w:val="24"/>
        </w:rPr>
      </w:pPr>
    </w:p>
    <w:p w:rsidR="009C55F9" w:rsidRPr="001E6CF3" w:rsidRDefault="00D353C3" w:rsidP="00843CE2">
      <w:pPr>
        <w:spacing w:line="360" w:lineRule="auto"/>
        <w:ind w:right="-181"/>
        <w:jc w:val="both"/>
      </w:pPr>
      <w:r w:rsidRPr="001E6CF3">
        <w:t xml:space="preserve">He indicated </w:t>
      </w:r>
      <w:r w:rsidR="006F4AB4" w:rsidRPr="001E6CF3">
        <w:t>that compensation</w:t>
      </w:r>
      <w:r w:rsidRPr="001E6CF3">
        <w:t xml:space="preserve"> of employees will represent 34.3% (R572.130 million) of the 2016/17 total budget of R1.669 billion and 32.9 % (R1.756 billion) of the R5.341 billion over the MTEF. The Mineral Regulation, </w:t>
      </w:r>
      <w:r w:rsidR="009C55F9" w:rsidRPr="001E6CF3">
        <w:t>Mine Health and Safety</w:t>
      </w:r>
      <w:r w:rsidRPr="001E6CF3">
        <w:t xml:space="preserve"> and Mineral Policy and </w:t>
      </w:r>
      <w:r w:rsidR="00A41F90" w:rsidRPr="001E6CF3">
        <w:t>Promotion programmes</w:t>
      </w:r>
      <w:r w:rsidRPr="001E6CF3">
        <w:t xml:space="preserve"> </w:t>
      </w:r>
      <w:r w:rsidR="00A41F90" w:rsidRPr="001E6CF3">
        <w:t>constituted 69.6</w:t>
      </w:r>
      <w:r w:rsidR="009C55F9" w:rsidRPr="001E6CF3">
        <w:t>%</w:t>
      </w:r>
      <w:r w:rsidRPr="001E6CF3">
        <w:t xml:space="preserve"> (R1.223 billion</w:t>
      </w:r>
      <w:r w:rsidR="00A41F90" w:rsidRPr="001E6CF3">
        <w:t>) of</w:t>
      </w:r>
      <w:r w:rsidR="009C55F9" w:rsidRPr="001E6CF3">
        <w:t xml:space="preserve"> the total compensation of </w:t>
      </w:r>
      <w:r w:rsidR="00A41F90" w:rsidRPr="001E6CF3">
        <w:t>employees’</w:t>
      </w:r>
      <w:r w:rsidR="009C55F9" w:rsidRPr="001E6CF3">
        <w:t xml:space="preserve"> budget</w:t>
      </w:r>
      <w:r w:rsidRPr="001E6CF3">
        <w:t xml:space="preserve"> of R1.756 over the medium term</w:t>
      </w:r>
      <w:r w:rsidR="009C55F9" w:rsidRPr="001E6CF3">
        <w:t xml:space="preserve">. The higher contribution to compensation of employees is due to the labour intensive nature of inspections and technical expertise required. </w:t>
      </w:r>
    </w:p>
    <w:p w:rsidR="009C55F9" w:rsidRPr="001E6CF3" w:rsidRDefault="009C55F9" w:rsidP="00843CE2">
      <w:pPr>
        <w:spacing w:line="360" w:lineRule="auto"/>
        <w:ind w:right="-181"/>
        <w:jc w:val="both"/>
        <w:rPr>
          <w:lang w:val="en-ZA"/>
        </w:rPr>
      </w:pPr>
    </w:p>
    <w:p w:rsidR="009C55F9" w:rsidRPr="001E6CF3" w:rsidRDefault="009C55F9" w:rsidP="00843CE2">
      <w:pPr>
        <w:spacing w:line="360" w:lineRule="auto"/>
        <w:ind w:right="-181"/>
        <w:jc w:val="both"/>
        <w:rPr>
          <w:lang w:val="en-ZA"/>
        </w:rPr>
      </w:pPr>
      <w:r w:rsidRPr="001E6CF3">
        <w:rPr>
          <w:lang w:val="en-ZA"/>
        </w:rPr>
        <w:t>Go</w:t>
      </w:r>
      <w:r w:rsidR="00D353C3" w:rsidRPr="001E6CF3">
        <w:rPr>
          <w:lang w:val="en-ZA"/>
        </w:rPr>
        <w:t>ods and Services represented 15.5% (R259.235 million</w:t>
      </w:r>
      <w:r w:rsidR="00A41F90" w:rsidRPr="001E6CF3">
        <w:rPr>
          <w:lang w:val="en-ZA"/>
        </w:rPr>
        <w:t>) of</w:t>
      </w:r>
      <w:r w:rsidR="00D353C3" w:rsidRPr="001E6CF3">
        <w:rPr>
          <w:lang w:val="en-ZA"/>
        </w:rPr>
        <w:t xml:space="preserve"> the 2016/2017</w:t>
      </w:r>
      <w:r w:rsidRPr="001E6CF3">
        <w:rPr>
          <w:lang w:val="en-ZA"/>
        </w:rPr>
        <w:t xml:space="preserve"> total budget and </w:t>
      </w:r>
      <w:r w:rsidR="00D353C3" w:rsidRPr="001E6CF3">
        <w:rPr>
          <w:lang w:val="en-ZA"/>
        </w:rPr>
        <w:t>15.</w:t>
      </w:r>
      <w:r w:rsidRPr="001E6CF3">
        <w:rPr>
          <w:lang w:val="en-ZA"/>
        </w:rPr>
        <w:t>5</w:t>
      </w:r>
      <w:r w:rsidR="00FC6945" w:rsidRPr="001E6CF3">
        <w:rPr>
          <w:lang w:val="en-ZA"/>
        </w:rPr>
        <w:t>% (</w:t>
      </w:r>
      <w:r w:rsidR="00D353C3" w:rsidRPr="001E6CF3">
        <w:rPr>
          <w:lang w:val="en-ZA"/>
        </w:rPr>
        <w:t>825.661 million) of the R5.341 billion over the MTEF</w:t>
      </w:r>
      <w:r w:rsidR="00DE4274" w:rsidRPr="001E6CF3">
        <w:rPr>
          <w:lang w:val="en-ZA"/>
        </w:rPr>
        <w:t xml:space="preserve">. </w:t>
      </w:r>
      <w:r w:rsidRPr="001E6CF3">
        <w:rPr>
          <w:lang w:val="en-ZA"/>
        </w:rPr>
        <w:t>The main cost driver is su</w:t>
      </w:r>
      <w:r w:rsidR="00DE4274" w:rsidRPr="001E6CF3">
        <w:rPr>
          <w:lang w:val="en-ZA"/>
        </w:rPr>
        <w:t xml:space="preserve">bsistence and travelling which </w:t>
      </w:r>
      <w:r w:rsidR="00A41F90" w:rsidRPr="001E6CF3">
        <w:rPr>
          <w:lang w:val="en-ZA"/>
        </w:rPr>
        <w:t>is 24.8</w:t>
      </w:r>
      <w:r w:rsidR="00DE4274" w:rsidRPr="001E6CF3">
        <w:rPr>
          <w:lang w:val="en-ZA"/>
        </w:rPr>
        <w:t xml:space="preserve"> </w:t>
      </w:r>
      <w:r w:rsidRPr="001E6CF3">
        <w:rPr>
          <w:lang w:val="en-ZA"/>
        </w:rPr>
        <w:t>%</w:t>
      </w:r>
      <w:r w:rsidR="00DE4274" w:rsidRPr="001E6CF3">
        <w:rPr>
          <w:lang w:val="en-ZA"/>
        </w:rPr>
        <w:t xml:space="preserve"> (R204.980 million</w:t>
      </w:r>
      <w:r w:rsidR="00474B66" w:rsidRPr="001E6CF3">
        <w:rPr>
          <w:lang w:val="en-ZA"/>
        </w:rPr>
        <w:t>) of</w:t>
      </w:r>
      <w:r w:rsidRPr="001E6CF3">
        <w:rPr>
          <w:lang w:val="en-ZA"/>
        </w:rPr>
        <w:t xml:space="preserve"> the goods and services budget and this was mainly for monitoring compliance and inspections. This is followed </w:t>
      </w:r>
      <w:r w:rsidR="00DE4274" w:rsidRPr="001E6CF3">
        <w:rPr>
          <w:lang w:val="en-ZA"/>
        </w:rPr>
        <w:t>by operating leases at 13</w:t>
      </w:r>
      <w:r w:rsidR="00B227D8" w:rsidRPr="001E6CF3">
        <w:rPr>
          <w:lang w:val="en-ZA"/>
        </w:rPr>
        <w:t>, 3</w:t>
      </w:r>
      <w:r w:rsidR="00BD2ECF" w:rsidRPr="001E6CF3">
        <w:rPr>
          <w:lang w:val="en-ZA"/>
        </w:rPr>
        <w:t>% (</w:t>
      </w:r>
      <w:r w:rsidR="00DE4274" w:rsidRPr="001E6CF3">
        <w:rPr>
          <w:lang w:val="en-ZA"/>
        </w:rPr>
        <w:t xml:space="preserve">R110.083 million) </w:t>
      </w:r>
      <w:r w:rsidRPr="001E6CF3">
        <w:rPr>
          <w:lang w:val="en-ZA"/>
        </w:rPr>
        <w:t xml:space="preserve">of the total budget for goods and services. Included in the operating leases </w:t>
      </w:r>
      <w:r w:rsidR="00DE4274" w:rsidRPr="001E6CF3">
        <w:rPr>
          <w:lang w:val="en-ZA"/>
        </w:rPr>
        <w:t>are office</w:t>
      </w:r>
      <w:r w:rsidRPr="001E6CF3">
        <w:rPr>
          <w:lang w:val="en-ZA"/>
        </w:rPr>
        <w:t xml:space="preserve"> accommodation. </w:t>
      </w:r>
      <w:r w:rsidR="00DE4274" w:rsidRPr="001E6CF3">
        <w:rPr>
          <w:lang w:val="en-ZA"/>
        </w:rPr>
        <w:t xml:space="preserve">Contracts represents 12% (99.209 million) of the total budget for good and services. </w:t>
      </w:r>
    </w:p>
    <w:p w:rsidR="00DE4274" w:rsidRPr="001E6CF3" w:rsidRDefault="00DE4274" w:rsidP="00843CE2">
      <w:pPr>
        <w:spacing w:line="360" w:lineRule="auto"/>
        <w:ind w:right="-181"/>
        <w:jc w:val="both"/>
        <w:rPr>
          <w:lang w:val="en-ZA"/>
        </w:rPr>
      </w:pPr>
    </w:p>
    <w:p w:rsidR="007D6A1B" w:rsidRPr="001E6CF3" w:rsidRDefault="009C55F9" w:rsidP="00843CE2">
      <w:pPr>
        <w:spacing w:line="360" w:lineRule="auto"/>
        <w:ind w:right="-181"/>
        <w:jc w:val="both"/>
        <w:rPr>
          <w:lang w:val="en-ZA"/>
        </w:rPr>
      </w:pPr>
      <w:r w:rsidRPr="001E6CF3">
        <w:rPr>
          <w:lang w:val="en-ZA"/>
        </w:rPr>
        <w:t xml:space="preserve">It was reported that transfers and subsidies would </w:t>
      </w:r>
      <w:r w:rsidR="00DE4274" w:rsidRPr="001E6CF3">
        <w:rPr>
          <w:lang w:val="en-ZA"/>
        </w:rPr>
        <w:t>constitutes  49.4</w:t>
      </w:r>
      <w:r w:rsidRPr="001E6CF3">
        <w:rPr>
          <w:lang w:val="en-ZA"/>
        </w:rPr>
        <w:t>%</w:t>
      </w:r>
      <w:r w:rsidR="00DE4274" w:rsidRPr="001E6CF3">
        <w:rPr>
          <w:lang w:val="en-ZA"/>
        </w:rPr>
        <w:t xml:space="preserve"> (</w:t>
      </w:r>
      <w:r w:rsidR="007D6A1B" w:rsidRPr="001E6CF3">
        <w:rPr>
          <w:lang w:val="en-ZA"/>
        </w:rPr>
        <w:t>R</w:t>
      </w:r>
      <w:r w:rsidR="00DE4274" w:rsidRPr="001E6CF3">
        <w:rPr>
          <w:lang w:val="en-ZA"/>
        </w:rPr>
        <w:t>824.090 million) of 2016/2017</w:t>
      </w:r>
      <w:r w:rsidRPr="001E6CF3">
        <w:rPr>
          <w:lang w:val="en-ZA"/>
        </w:rPr>
        <w:t xml:space="preserve"> total budget </w:t>
      </w:r>
      <w:r w:rsidR="00DE4274" w:rsidRPr="001E6CF3">
        <w:rPr>
          <w:lang w:val="en-ZA"/>
        </w:rPr>
        <w:t xml:space="preserve">of R1.669 billion or 50.9% (R2.721 billion) of the R5.341 billion budget </w:t>
      </w:r>
      <w:r w:rsidRPr="001E6CF3">
        <w:rPr>
          <w:lang w:val="en-ZA"/>
        </w:rPr>
        <w:t xml:space="preserve"> over the MTEF</w:t>
      </w:r>
      <w:r w:rsidR="007D6A1B" w:rsidRPr="001E6CF3">
        <w:rPr>
          <w:lang w:val="en-ZA"/>
        </w:rPr>
        <w:t>.</w:t>
      </w:r>
    </w:p>
    <w:p w:rsidR="00DE4274" w:rsidRPr="001E6CF3" w:rsidRDefault="00DE4274" w:rsidP="00843CE2">
      <w:pPr>
        <w:spacing w:line="360" w:lineRule="auto"/>
        <w:ind w:right="-181"/>
        <w:jc w:val="both"/>
        <w:rPr>
          <w:lang w:val="en-ZA"/>
        </w:rPr>
      </w:pPr>
    </w:p>
    <w:p w:rsidR="009C55F9" w:rsidRPr="001E6CF3" w:rsidRDefault="00DE4274" w:rsidP="00843CE2">
      <w:pPr>
        <w:spacing w:line="360" w:lineRule="auto"/>
        <w:ind w:right="-181"/>
        <w:jc w:val="both"/>
        <w:rPr>
          <w:lang w:val="en-ZA"/>
        </w:rPr>
      </w:pPr>
      <w:r w:rsidRPr="001E6CF3">
        <w:rPr>
          <w:lang w:val="en-ZA"/>
        </w:rPr>
        <w:t xml:space="preserve">The Mine Health and Safety Council is funded under programme 2, </w:t>
      </w:r>
      <w:r w:rsidR="00A41F90" w:rsidRPr="001E6CF3">
        <w:rPr>
          <w:lang w:val="en-ZA"/>
        </w:rPr>
        <w:t>there is no allocation for</w:t>
      </w:r>
      <w:r w:rsidRPr="001E6CF3">
        <w:rPr>
          <w:lang w:val="en-ZA"/>
        </w:rPr>
        <w:t xml:space="preserve"> 2016/17 bu</w:t>
      </w:r>
      <w:r w:rsidR="00A41F90" w:rsidRPr="001E6CF3">
        <w:rPr>
          <w:lang w:val="en-ZA"/>
        </w:rPr>
        <w:t>t</w:t>
      </w:r>
      <w:r w:rsidRPr="001E6CF3">
        <w:rPr>
          <w:lang w:val="en-ZA"/>
        </w:rPr>
        <w:t xml:space="preserve"> the baseline of R1</w:t>
      </w:r>
      <w:r w:rsidR="007D6A1B" w:rsidRPr="001E6CF3">
        <w:rPr>
          <w:lang w:val="en-ZA"/>
        </w:rPr>
        <w:t>.</w:t>
      </w:r>
      <w:r w:rsidRPr="001E6CF3">
        <w:rPr>
          <w:lang w:val="en-ZA"/>
        </w:rPr>
        <w:t xml:space="preserve">268 million is still </w:t>
      </w:r>
      <w:r w:rsidR="007D6A1B" w:rsidRPr="001E6CF3">
        <w:rPr>
          <w:lang w:val="en-ZA"/>
        </w:rPr>
        <w:t xml:space="preserve">maintained </w:t>
      </w:r>
      <w:r w:rsidRPr="001E6CF3">
        <w:rPr>
          <w:lang w:val="en-ZA"/>
        </w:rPr>
        <w:t xml:space="preserve">over the MTEF.  The South African Diamond and Precious Metals Regulator is funded under programme 3, R53.205 million is allocated in 2016/17 and R168.175 million over the MTEF. The Petroleum Agency of </w:t>
      </w:r>
      <w:r w:rsidR="007D6A1B" w:rsidRPr="001E6CF3">
        <w:rPr>
          <w:lang w:val="en-ZA"/>
        </w:rPr>
        <w:t xml:space="preserve">South </w:t>
      </w:r>
      <w:r w:rsidRPr="001E6CF3">
        <w:rPr>
          <w:lang w:val="en-ZA"/>
        </w:rPr>
        <w:t xml:space="preserve">African (PASA) was added in the MTEF under Programme 3. R305.127 million has been allocated over the MTEF commencing in 2017/18. Once </w:t>
      </w:r>
      <w:r w:rsidR="007D6A1B" w:rsidRPr="001E6CF3">
        <w:rPr>
          <w:lang w:val="en-ZA"/>
        </w:rPr>
        <w:t xml:space="preserve">new </w:t>
      </w:r>
      <w:r w:rsidRPr="001E6CF3">
        <w:rPr>
          <w:lang w:val="en-ZA"/>
        </w:rPr>
        <w:t>regulation</w:t>
      </w:r>
      <w:r w:rsidR="007D6A1B" w:rsidRPr="001E6CF3">
        <w:rPr>
          <w:lang w:val="en-ZA"/>
        </w:rPr>
        <w:t>s</w:t>
      </w:r>
      <w:r w:rsidRPr="001E6CF3">
        <w:rPr>
          <w:lang w:val="en-ZA"/>
        </w:rPr>
        <w:t xml:space="preserve"> are finalised</w:t>
      </w:r>
      <w:r w:rsidR="007D6A1B" w:rsidRPr="001E6CF3">
        <w:rPr>
          <w:lang w:val="en-ZA"/>
        </w:rPr>
        <w:t>,</w:t>
      </w:r>
      <w:r w:rsidRPr="001E6CF3">
        <w:rPr>
          <w:lang w:val="en-ZA"/>
        </w:rPr>
        <w:t xml:space="preserve"> the responsibility to report on PASA financial matters will rest with the Department of Mineral Resources</w:t>
      </w:r>
      <w:r w:rsidR="007D6A1B" w:rsidRPr="001E6CF3">
        <w:rPr>
          <w:lang w:val="en-ZA"/>
        </w:rPr>
        <w:t xml:space="preserve"> (PASA pre</w:t>
      </w:r>
      <w:r w:rsidR="00FC6945" w:rsidRPr="001E6CF3">
        <w:rPr>
          <w:lang w:val="en-ZA"/>
        </w:rPr>
        <w:t>se</w:t>
      </w:r>
      <w:r w:rsidR="007D6A1B" w:rsidRPr="001E6CF3">
        <w:rPr>
          <w:lang w:val="en-ZA"/>
        </w:rPr>
        <w:t>ntly reports t</w:t>
      </w:r>
      <w:r w:rsidR="00E34CA4" w:rsidRPr="001E6CF3">
        <w:rPr>
          <w:lang w:val="en-ZA"/>
        </w:rPr>
        <w:t>o</w:t>
      </w:r>
      <w:r w:rsidR="007D6A1B" w:rsidRPr="001E6CF3">
        <w:rPr>
          <w:lang w:val="en-ZA"/>
        </w:rPr>
        <w:t xml:space="preserve"> the Department of </w:t>
      </w:r>
      <w:r w:rsidR="00FC6945" w:rsidRPr="001E6CF3">
        <w:rPr>
          <w:lang w:val="en-ZA"/>
        </w:rPr>
        <w:t>Energy</w:t>
      </w:r>
      <w:r w:rsidR="007D6A1B" w:rsidRPr="001E6CF3">
        <w:rPr>
          <w:lang w:val="en-ZA"/>
        </w:rPr>
        <w:t>)</w:t>
      </w:r>
      <w:r w:rsidRPr="001E6CF3">
        <w:rPr>
          <w:lang w:val="en-ZA"/>
        </w:rPr>
        <w:t xml:space="preserve">. </w:t>
      </w:r>
      <w:r w:rsidR="00A41F90" w:rsidRPr="001E6CF3">
        <w:rPr>
          <w:lang w:val="en-ZA"/>
        </w:rPr>
        <w:t xml:space="preserve">The Council for Geoscience, Mintek and small scale mining transfers to IDC </w:t>
      </w:r>
      <w:r w:rsidR="007D6A1B" w:rsidRPr="001E6CF3">
        <w:rPr>
          <w:lang w:val="en-ZA"/>
        </w:rPr>
        <w:t xml:space="preserve">are </w:t>
      </w:r>
      <w:r w:rsidR="00A41F90" w:rsidRPr="001E6CF3">
        <w:rPr>
          <w:lang w:val="en-ZA"/>
        </w:rPr>
        <w:t>funded under programme 4</w:t>
      </w:r>
      <w:r w:rsidR="007D6A1B" w:rsidRPr="001E6CF3">
        <w:rPr>
          <w:lang w:val="en-ZA"/>
        </w:rPr>
        <w:t xml:space="preserve">. </w:t>
      </w:r>
      <w:r w:rsidR="00A41F90" w:rsidRPr="001E6CF3">
        <w:rPr>
          <w:lang w:val="en-ZA"/>
        </w:rPr>
        <w:t>R371</w:t>
      </w:r>
      <w:r w:rsidR="007D6A1B" w:rsidRPr="001E6CF3">
        <w:rPr>
          <w:lang w:val="en-ZA"/>
        </w:rPr>
        <w:t>.</w:t>
      </w:r>
      <w:r w:rsidR="00A41F90" w:rsidRPr="001E6CF3">
        <w:rPr>
          <w:lang w:val="en-ZA"/>
        </w:rPr>
        <w:t>416 million is allocated in 2016/2017 and R1</w:t>
      </w:r>
      <w:r w:rsidR="00DA7F96">
        <w:rPr>
          <w:lang w:val="en-ZA"/>
        </w:rPr>
        <w:t>.</w:t>
      </w:r>
      <w:r w:rsidR="00A41F90" w:rsidRPr="001E6CF3">
        <w:rPr>
          <w:lang w:val="en-ZA"/>
        </w:rPr>
        <w:t> 069 billion over the MTEF for Mintek</w:t>
      </w:r>
      <w:r w:rsidR="00E34CA4" w:rsidRPr="001E6CF3">
        <w:rPr>
          <w:lang w:val="en-ZA"/>
        </w:rPr>
        <w:t>,</w:t>
      </w:r>
      <w:r w:rsidR="00A41F90" w:rsidRPr="001E6CF3">
        <w:rPr>
          <w:lang w:val="en-ZA"/>
        </w:rPr>
        <w:t xml:space="preserve"> R378 598 million is allocated in 2016/2017 and R1.052 billion over the MTEF for Council of Geo-science</w:t>
      </w:r>
      <w:r w:rsidR="00E34CA4" w:rsidRPr="001E6CF3">
        <w:rPr>
          <w:lang w:val="en-ZA"/>
        </w:rPr>
        <w:t>,</w:t>
      </w:r>
      <w:r w:rsidR="00A41F90" w:rsidRPr="001E6CF3">
        <w:rPr>
          <w:lang w:val="en-ZA"/>
        </w:rPr>
        <w:t xml:space="preserve"> R27.434 million is allocated in 2016/2017 and R86.712 million over the MTEF for IDC</w:t>
      </w:r>
      <w:r w:rsidR="007D6A1B" w:rsidRPr="001E6CF3">
        <w:rPr>
          <w:lang w:val="en-ZA"/>
        </w:rPr>
        <w:t xml:space="preserve"> programmes to assist small scale miners</w:t>
      </w:r>
      <w:r w:rsidR="00A41F90" w:rsidRPr="001E6CF3">
        <w:rPr>
          <w:lang w:val="en-ZA"/>
        </w:rPr>
        <w:t xml:space="preserve">. </w:t>
      </w:r>
    </w:p>
    <w:p w:rsidR="00DE4274" w:rsidRPr="001E6CF3" w:rsidRDefault="00DE4274" w:rsidP="00843CE2">
      <w:pPr>
        <w:spacing w:line="360" w:lineRule="auto"/>
        <w:ind w:right="-181"/>
        <w:jc w:val="both"/>
        <w:rPr>
          <w:lang w:val="en-ZA"/>
        </w:rPr>
      </w:pPr>
    </w:p>
    <w:p w:rsidR="009C55F9" w:rsidRPr="001E6CF3" w:rsidRDefault="009C55F9" w:rsidP="00843CE2">
      <w:pPr>
        <w:spacing w:line="360" w:lineRule="auto"/>
        <w:ind w:right="-181"/>
        <w:jc w:val="both"/>
        <w:rPr>
          <w:lang w:val="en-ZA"/>
        </w:rPr>
      </w:pPr>
      <w:r w:rsidRPr="001E6CF3">
        <w:rPr>
          <w:lang w:val="en-ZA"/>
        </w:rPr>
        <w:t>Capital expenditure represented a small percentage of the 201</w:t>
      </w:r>
      <w:r w:rsidR="00632BF1" w:rsidRPr="001E6CF3">
        <w:rPr>
          <w:lang w:val="en-ZA"/>
        </w:rPr>
        <w:t>6</w:t>
      </w:r>
      <w:r w:rsidRPr="001E6CF3">
        <w:rPr>
          <w:lang w:val="en-ZA"/>
        </w:rPr>
        <w:t>/201</w:t>
      </w:r>
      <w:r w:rsidR="00632BF1" w:rsidRPr="001E6CF3">
        <w:rPr>
          <w:lang w:val="en-ZA"/>
        </w:rPr>
        <w:t>7</w:t>
      </w:r>
      <w:r w:rsidRPr="001E6CF3">
        <w:rPr>
          <w:lang w:val="en-ZA"/>
        </w:rPr>
        <w:t xml:space="preserve"> budget at 0.</w:t>
      </w:r>
      <w:r w:rsidR="00632BF1" w:rsidRPr="001E6CF3">
        <w:rPr>
          <w:lang w:val="en-ZA"/>
        </w:rPr>
        <w:t xml:space="preserve">8% (R13.622 million) or 0.7% (R37.853 million) of </w:t>
      </w:r>
      <w:r w:rsidR="00053C23" w:rsidRPr="001E6CF3">
        <w:rPr>
          <w:lang w:val="en-ZA"/>
        </w:rPr>
        <w:t xml:space="preserve">a </w:t>
      </w:r>
      <w:r w:rsidR="00632BF1" w:rsidRPr="001E6CF3">
        <w:rPr>
          <w:lang w:val="en-ZA"/>
        </w:rPr>
        <w:t>R5.341</w:t>
      </w:r>
      <w:r w:rsidR="008D3340" w:rsidRPr="001E6CF3">
        <w:rPr>
          <w:lang w:val="en-ZA"/>
        </w:rPr>
        <w:t xml:space="preserve"> billion budget over the MTEF. </w:t>
      </w:r>
      <w:r w:rsidRPr="001E6CF3">
        <w:rPr>
          <w:lang w:val="en-ZA"/>
        </w:rPr>
        <w:t xml:space="preserve">  The programme which mostly utilises the capital budget is programme 1. The majority of the items are machinery and equipment which represent </w:t>
      </w:r>
      <w:r w:rsidR="008D3340" w:rsidRPr="001E6CF3">
        <w:rPr>
          <w:lang w:val="en-ZA"/>
        </w:rPr>
        <w:t xml:space="preserve">67.8% (R25. 679 million) </w:t>
      </w:r>
      <w:r w:rsidRPr="001E6CF3">
        <w:rPr>
          <w:lang w:val="en-ZA"/>
        </w:rPr>
        <w:t xml:space="preserve">of the total budget for capital assets; and that includes computer hardware and systems (laptops and desktops). Building and other fixed structures represents </w:t>
      </w:r>
      <w:r w:rsidR="008D3340" w:rsidRPr="001E6CF3">
        <w:rPr>
          <w:lang w:val="en-ZA"/>
        </w:rPr>
        <w:t xml:space="preserve">32.2 </w:t>
      </w:r>
      <w:r w:rsidR="00474B66" w:rsidRPr="001E6CF3">
        <w:rPr>
          <w:lang w:val="en-ZA"/>
        </w:rPr>
        <w:t>% (</w:t>
      </w:r>
      <w:r w:rsidR="008D3340" w:rsidRPr="001E6CF3">
        <w:rPr>
          <w:lang w:val="en-ZA"/>
        </w:rPr>
        <w:t xml:space="preserve">R12.174 million) </w:t>
      </w:r>
      <w:r w:rsidRPr="001E6CF3">
        <w:rPr>
          <w:lang w:val="en-ZA"/>
        </w:rPr>
        <w:t xml:space="preserve">of the total budget. </w:t>
      </w:r>
      <w:r w:rsidR="008D3340" w:rsidRPr="001E6CF3">
        <w:rPr>
          <w:lang w:val="en-ZA"/>
        </w:rPr>
        <w:t xml:space="preserve">This related to tenants installation for building at regional offices. </w:t>
      </w:r>
    </w:p>
    <w:p w:rsidR="007D6A1B" w:rsidRPr="001E6CF3" w:rsidRDefault="007D6A1B" w:rsidP="00843CE2">
      <w:pPr>
        <w:spacing w:line="360" w:lineRule="auto"/>
        <w:ind w:right="-180"/>
        <w:jc w:val="both"/>
        <w:rPr>
          <w:lang w:val="en-ZA"/>
        </w:rPr>
      </w:pPr>
    </w:p>
    <w:p w:rsidR="009C55F9" w:rsidRPr="001E6CF3" w:rsidRDefault="00535E1C" w:rsidP="00843CE2">
      <w:pPr>
        <w:spacing w:after="200" w:line="360" w:lineRule="auto"/>
        <w:jc w:val="both"/>
        <w:rPr>
          <w:rFonts w:eastAsiaTheme="minorEastAsia"/>
        </w:rPr>
      </w:pPr>
      <w:r w:rsidRPr="001E6CF3">
        <w:rPr>
          <w:rFonts w:eastAsiaTheme="minorEastAsia"/>
        </w:rPr>
        <w:t xml:space="preserve">The Acting DG indicated that the </w:t>
      </w:r>
      <w:r w:rsidR="00053C23" w:rsidRPr="001E6CF3">
        <w:rPr>
          <w:rFonts w:eastAsiaTheme="minorEastAsia"/>
        </w:rPr>
        <w:t>D</w:t>
      </w:r>
      <w:r w:rsidRPr="001E6CF3">
        <w:rPr>
          <w:rFonts w:eastAsiaTheme="minorEastAsia"/>
        </w:rPr>
        <w:t>epartment is providing regulatory certainty</w:t>
      </w:r>
      <w:r w:rsidR="00053C23" w:rsidRPr="001E6CF3">
        <w:rPr>
          <w:rFonts w:eastAsiaTheme="minorEastAsia"/>
        </w:rPr>
        <w:t xml:space="preserve"> and </w:t>
      </w:r>
      <w:r w:rsidRPr="001E6CF3">
        <w:rPr>
          <w:rFonts w:eastAsiaTheme="minorEastAsia"/>
        </w:rPr>
        <w:t xml:space="preserve">predictability </w:t>
      </w:r>
      <w:r w:rsidR="00053C23" w:rsidRPr="001E6CF3">
        <w:rPr>
          <w:rFonts w:eastAsiaTheme="minorEastAsia"/>
        </w:rPr>
        <w:t xml:space="preserve">needed by mining companies. It will be </w:t>
      </w:r>
      <w:r w:rsidRPr="001E6CF3">
        <w:rPr>
          <w:rFonts w:eastAsiaTheme="minorEastAsia"/>
        </w:rPr>
        <w:t>sharpening the following legislative instruments</w:t>
      </w:r>
      <w:r w:rsidR="00053C23" w:rsidRPr="001E6CF3">
        <w:rPr>
          <w:rFonts w:eastAsiaTheme="minorEastAsia"/>
        </w:rPr>
        <w:t xml:space="preserve"> in 2016/17 through new bills</w:t>
      </w:r>
      <w:r w:rsidRPr="001E6CF3">
        <w:rPr>
          <w:rFonts w:eastAsiaTheme="minorEastAsia"/>
        </w:rPr>
        <w:t>: MPRDA, MHSA</w:t>
      </w:r>
      <w:r w:rsidR="00053C23" w:rsidRPr="001E6CF3">
        <w:rPr>
          <w:rFonts w:eastAsiaTheme="minorEastAsia"/>
        </w:rPr>
        <w:t>,</w:t>
      </w:r>
      <w:r w:rsidRPr="001E6CF3">
        <w:rPr>
          <w:rFonts w:eastAsiaTheme="minorEastAsia"/>
        </w:rPr>
        <w:t xml:space="preserve"> AEMFC, PASA and </w:t>
      </w:r>
      <w:r w:rsidR="00053C23" w:rsidRPr="001E6CF3">
        <w:rPr>
          <w:rFonts w:eastAsiaTheme="minorEastAsia"/>
        </w:rPr>
        <w:t xml:space="preserve">the </w:t>
      </w:r>
      <w:r w:rsidRPr="001E6CF3">
        <w:rPr>
          <w:rFonts w:eastAsiaTheme="minorEastAsia"/>
        </w:rPr>
        <w:t xml:space="preserve">Mining Charter. The </w:t>
      </w:r>
      <w:r w:rsidR="00053C23" w:rsidRPr="001E6CF3">
        <w:rPr>
          <w:rFonts w:eastAsiaTheme="minorEastAsia"/>
        </w:rPr>
        <w:t xml:space="preserve">Department will </w:t>
      </w:r>
      <w:r w:rsidRPr="001E6CF3">
        <w:rPr>
          <w:rFonts w:eastAsiaTheme="minorEastAsia"/>
        </w:rPr>
        <w:t xml:space="preserve">accelerate the implementation of the one </w:t>
      </w:r>
      <w:r w:rsidR="00897DCF" w:rsidRPr="001E6CF3">
        <w:rPr>
          <w:rFonts w:eastAsiaTheme="minorEastAsia"/>
        </w:rPr>
        <w:t>environmental</w:t>
      </w:r>
      <w:r w:rsidRPr="001E6CF3">
        <w:rPr>
          <w:rFonts w:eastAsiaTheme="minorEastAsia"/>
        </w:rPr>
        <w:t xml:space="preserve"> system as part of an </w:t>
      </w:r>
      <w:r w:rsidR="00897DCF" w:rsidRPr="001E6CF3">
        <w:rPr>
          <w:rFonts w:eastAsiaTheme="minorEastAsia"/>
        </w:rPr>
        <w:t>intergraded</w:t>
      </w:r>
      <w:r w:rsidRPr="001E6CF3">
        <w:rPr>
          <w:rFonts w:eastAsiaTheme="minorEastAsia"/>
        </w:rPr>
        <w:t xml:space="preserve"> mining permitting system. The </w:t>
      </w:r>
      <w:r w:rsidR="00053C23" w:rsidRPr="001E6CF3">
        <w:rPr>
          <w:rFonts w:eastAsiaTheme="minorEastAsia"/>
        </w:rPr>
        <w:t>D</w:t>
      </w:r>
      <w:r w:rsidRPr="001E6CF3">
        <w:rPr>
          <w:rFonts w:eastAsiaTheme="minorEastAsia"/>
        </w:rPr>
        <w:t xml:space="preserve">epartment </w:t>
      </w:r>
      <w:r w:rsidR="00897DCF" w:rsidRPr="001E6CF3">
        <w:rPr>
          <w:rFonts w:eastAsiaTheme="minorEastAsia"/>
        </w:rPr>
        <w:t>will continuously</w:t>
      </w:r>
      <w:r w:rsidRPr="001E6CF3">
        <w:rPr>
          <w:rFonts w:eastAsiaTheme="minorEastAsia"/>
        </w:rPr>
        <w:t xml:space="preserve"> monitor and enforce compliance and support SMME</w:t>
      </w:r>
      <w:r w:rsidR="00053C23" w:rsidRPr="001E6CF3">
        <w:rPr>
          <w:rFonts w:eastAsiaTheme="minorEastAsia"/>
        </w:rPr>
        <w:t>s</w:t>
      </w:r>
      <w:r w:rsidRPr="001E6CF3">
        <w:rPr>
          <w:rFonts w:eastAsiaTheme="minorEastAsia"/>
        </w:rPr>
        <w:t xml:space="preserve"> through the payment of </w:t>
      </w:r>
      <w:r w:rsidR="00897DCF" w:rsidRPr="001E6CF3">
        <w:rPr>
          <w:rFonts w:eastAsiaTheme="minorEastAsia"/>
        </w:rPr>
        <w:t>suppliers</w:t>
      </w:r>
      <w:r w:rsidRPr="001E6CF3">
        <w:rPr>
          <w:rFonts w:eastAsiaTheme="minorEastAsia"/>
        </w:rPr>
        <w:t xml:space="preserve"> within 30 days.</w:t>
      </w:r>
    </w:p>
    <w:p w:rsidR="00897DCF" w:rsidRPr="001E6CF3" w:rsidRDefault="00FC6945" w:rsidP="00843CE2">
      <w:pPr>
        <w:spacing w:after="200" w:line="360" w:lineRule="auto"/>
        <w:jc w:val="both"/>
        <w:rPr>
          <w:rFonts w:eastAsiaTheme="minorEastAsia"/>
        </w:rPr>
      </w:pPr>
      <w:r w:rsidRPr="001E6CF3">
        <w:rPr>
          <w:rFonts w:eastAsiaTheme="minorEastAsia"/>
        </w:rPr>
        <w:t>In his concluding remarks, Mr</w:t>
      </w:r>
      <w:r w:rsidR="00897DCF" w:rsidRPr="001E6CF3">
        <w:rPr>
          <w:rFonts w:eastAsiaTheme="minorEastAsia"/>
        </w:rPr>
        <w:t xml:space="preserve"> Msiza said the </w:t>
      </w:r>
      <w:r w:rsidR="00053C23" w:rsidRPr="001E6CF3">
        <w:rPr>
          <w:rFonts w:eastAsiaTheme="minorEastAsia"/>
        </w:rPr>
        <w:t xml:space="preserve">Department </w:t>
      </w:r>
      <w:r w:rsidR="00897DCF" w:rsidRPr="001E6CF3">
        <w:rPr>
          <w:rFonts w:eastAsiaTheme="minorEastAsia"/>
        </w:rPr>
        <w:t xml:space="preserve">is committed to continue with the journey of ultimately achieving the vision of a globally competitive, sustainable and transformed mining and mineral sector through the implementation of the APP and maintaining good governance principles. He further said, the </w:t>
      </w:r>
      <w:r w:rsidR="00E34CA4" w:rsidRPr="001E6CF3">
        <w:rPr>
          <w:rFonts w:eastAsiaTheme="minorEastAsia"/>
        </w:rPr>
        <w:t>D</w:t>
      </w:r>
      <w:r w:rsidR="00897DCF" w:rsidRPr="001E6CF3">
        <w:rPr>
          <w:rFonts w:eastAsiaTheme="minorEastAsia"/>
        </w:rPr>
        <w:t xml:space="preserve">epartment will continue to collaborate will all stakeholders in the implementation of the APP. </w:t>
      </w:r>
    </w:p>
    <w:p w:rsidR="009237BA" w:rsidRPr="001E6CF3" w:rsidRDefault="009237BA" w:rsidP="00843CE2">
      <w:pPr>
        <w:pStyle w:val="Heading1"/>
        <w:numPr>
          <w:ilvl w:val="0"/>
          <w:numId w:val="3"/>
        </w:numPr>
        <w:spacing w:line="360" w:lineRule="auto"/>
        <w:jc w:val="both"/>
        <w:rPr>
          <w:rFonts w:ascii="Times New Roman" w:hAnsi="Times New Roman" w:cs="Times New Roman"/>
          <w:b/>
          <w:color w:val="auto"/>
          <w:sz w:val="24"/>
          <w:szCs w:val="24"/>
        </w:rPr>
      </w:pPr>
      <w:bookmarkStart w:id="4" w:name="_Toc444422063"/>
      <w:r w:rsidRPr="001E6CF3">
        <w:rPr>
          <w:rFonts w:ascii="Times New Roman" w:hAnsi="Times New Roman" w:cs="Times New Roman"/>
          <w:b/>
          <w:color w:val="auto"/>
          <w:sz w:val="24"/>
          <w:szCs w:val="24"/>
        </w:rPr>
        <w:t>Budget Analysis</w:t>
      </w:r>
      <w:bookmarkEnd w:id="4"/>
    </w:p>
    <w:p w:rsidR="009237BA" w:rsidRPr="001E6CF3" w:rsidRDefault="009237BA" w:rsidP="00843CE2">
      <w:pPr>
        <w:spacing w:line="360" w:lineRule="auto"/>
        <w:rPr>
          <w:color w:val="E36C0A" w:themeColor="accent6" w:themeShade="BF"/>
        </w:rPr>
      </w:pPr>
    </w:p>
    <w:p w:rsidR="009237BA" w:rsidRPr="001E6CF3" w:rsidRDefault="009237BA" w:rsidP="00843CE2">
      <w:pPr>
        <w:pStyle w:val="Caption"/>
        <w:keepNext/>
        <w:spacing w:line="360" w:lineRule="auto"/>
        <w:rPr>
          <w:rFonts w:ascii="Times New Roman" w:hAnsi="Times New Roman"/>
          <w:color w:val="auto"/>
          <w:sz w:val="24"/>
          <w:szCs w:val="24"/>
        </w:rPr>
      </w:pPr>
      <w:r w:rsidRPr="001E6CF3">
        <w:rPr>
          <w:rFonts w:ascii="Times New Roman" w:hAnsi="Times New Roman"/>
          <w:color w:val="auto"/>
          <w:sz w:val="24"/>
          <w:szCs w:val="24"/>
        </w:rPr>
        <w:t xml:space="preserve">Table </w:t>
      </w:r>
      <w:r w:rsidR="008526E6" w:rsidRPr="001E6CF3">
        <w:rPr>
          <w:rFonts w:ascii="Times New Roman" w:hAnsi="Times New Roman"/>
          <w:color w:val="auto"/>
          <w:sz w:val="24"/>
          <w:szCs w:val="24"/>
        </w:rPr>
        <w:fldChar w:fldCharType="begin"/>
      </w:r>
      <w:r w:rsidRPr="001E6CF3">
        <w:rPr>
          <w:rFonts w:ascii="Times New Roman" w:hAnsi="Times New Roman"/>
          <w:color w:val="auto"/>
          <w:sz w:val="24"/>
          <w:szCs w:val="24"/>
        </w:rPr>
        <w:instrText xml:space="preserve"> SEQ Table \* ARABIC </w:instrText>
      </w:r>
      <w:r w:rsidR="008526E6" w:rsidRPr="001E6CF3">
        <w:rPr>
          <w:rFonts w:ascii="Times New Roman" w:hAnsi="Times New Roman"/>
          <w:color w:val="auto"/>
          <w:sz w:val="24"/>
          <w:szCs w:val="24"/>
        </w:rPr>
        <w:fldChar w:fldCharType="separate"/>
      </w:r>
      <w:r w:rsidRPr="001E6CF3">
        <w:rPr>
          <w:rFonts w:ascii="Times New Roman" w:hAnsi="Times New Roman"/>
          <w:noProof/>
          <w:color w:val="auto"/>
          <w:sz w:val="24"/>
          <w:szCs w:val="24"/>
        </w:rPr>
        <w:t>1</w:t>
      </w:r>
      <w:r w:rsidR="008526E6" w:rsidRPr="001E6CF3">
        <w:rPr>
          <w:rFonts w:ascii="Times New Roman" w:hAnsi="Times New Roman"/>
          <w:noProof/>
          <w:color w:val="auto"/>
          <w:sz w:val="24"/>
          <w:szCs w:val="24"/>
        </w:rPr>
        <w:fldChar w:fldCharType="end"/>
      </w:r>
      <w:r w:rsidRPr="001E6CF3">
        <w:rPr>
          <w:rFonts w:ascii="Times New Roman" w:hAnsi="Times New Roman"/>
          <w:color w:val="auto"/>
          <w:sz w:val="24"/>
          <w:szCs w:val="24"/>
        </w:rPr>
        <w:t xml:space="preserve">: Vote 29: Mineral Resources   </w:t>
      </w:r>
    </w:p>
    <w:tbl>
      <w:tblPr>
        <w:tblW w:w="542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9"/>
        <w:gridCol w:w="1083"/>
        <w:gridCol w:w="1083"/>
        <w:gridCol w:w="904"/>
        <w:gridCol w:w="870"/>
        <w:gridCol w:w="1466"/>
        <w:gridCol w:w="259"/>
        <w:gridCol w:w="1415"/>
        <w:gridCol w:w="1746"/>
      </w:tblGrid>
      <w:tr w:rsidR="009237BA" w:rsidRPr="0050021F" w:rsidTr="00A64D62">
        <w:trPr>
          <w:trHeight w:val="780"/>
        </w:trPr>
        <w:tc>
          <w:tcPr>
            <w:tcW w:w="870" w:type="pct"/>
            <w:shd w:val="clear" w:color="auto" w:fill="auto"/>
            <w:noWrap/>
            <w:vAlign w:val="center"/>
            <w:hideMark/>
          </w:tcPr>
          <w:p w:rsidR="009237BA" w:rsidRPr="001E6CF3" w:rsidRDefault="009237BA" w:rsidP="00843CE2">
            <w:pPr>
              <w:spacing w:line="360" w:lineRule="auto"/>
              <w:rPr>
                <w:b/>
                <w:bCs/>
                <w:lang w:eastAsia="en-ZA"/>
              </w:rPr>
            </w:pPr>
            <w:r w:rsidRPr="001E6CF3">
              <w:rPr>
                <w:b/>
                <w:bCs/>
                <w:lang w:eastAsia="en-ZA"/>
              </w:rPr>
              <w:t>Programme</w:t>
            </w:r>
          </w:p>
        </w:tc>
        <w:tc>
          <w:tcPr>
            <w:tcW w:w="1844" w:type="pct"/>
            <w:gridSpan w:val="4"/>
            <w:shd w:val="clear" w:color="auto" w:fill="auto"/>
            <w:vAlign w:val="center"/>
            <w:hideMark/>
          </w:tcPr>
          <w:p w:rsidR="009237BA" w:rsidRPr="001E6CF3" w:rsidRDefault="009237BA" w:rsidP="00843CE2">
            <w:pPr>
              <w:spacing w:line="360" w:lineRule="auto"/>
              <w:jc w:val="center"/>
              <w:rPr>
                <w:b/>
                <w:bCs/>
                <w:lang w:eastAsia="en-ZA"/>
              </w:rPr>
            </w:pPr>
            <w:r w:rsidRPr="001E6CF3">
              <w:rPr>
                <w:b/>
                <w:bCs/>
                <w:lang w:eastAsia="en-ZA"/>
              </w:rPr>
              <w:t>Budget</w:t>
            </w:r>
          </w:p>
        </w:tc>
        <w:tc>
          <w:tcPr>
            <w:tcW w:w="686" w:type="pct"/>
            <w:tcBorders>
              <w:right w:val="single" w:sz="4" w:space="0" w:color="auto"/>
            </w:tcBorders>
            <w:shd w:val="clear" w:color="auto" w:fill="auto"/>
            <w:vAlign w:val="center"/>
            <w:hideMark/>
          </w:tcPr>
          <w:p w:rsidR="009237BA" w:rsidRPr="001E6CF3" w:rsidRDefault="009237BA" w:rsidP="00843CE2">
            <w:pPr>
              <w:spacing w:line="360" w:lineRule="auto"/>
              <w:jc w:val="center"/>
              <w:rPr>
                <w:bCs/>
                <w:lang w:eastAsia="en-ZA"/>
              </w:rPr>
            </w:pPr>
            <w:r w:rsidRPr="001E6CF3">
              <w:rPr>
                <w:bCs/>
                <w:lang w:eastAsia="en-ZA"/>
              </w:rPr>
              <w:t>Nominal Rand change</w:t>
            </w:r>
          </w:p>
        </w:tc>
        <w:tc>
          <w:tcPr>
            <w:tcW w:w="121" w:type="pct"/>
            <w:tcBorders>
              <w:top w:val="nil"/>
              <w:left w:val="single" w:sz="4" w:space="0" w:color="auto"/>
              <w:bottom w:val="nil"/>
              <w:right w:val="single" w:sz="4" w:space="0" w:color="auto"/>
            </w:tcBorders>
            <w:shd w:val="clear" w:color="auto" w:fill="auto"/>
            <w:vAlign w:val="center"/>
            <w:hideMark/>
          </w:tcPr>
          <w:p w:rsidR="009237BA" w:rsidRPr="001E6CF3" w:rsidRDefault="009237BA" w:rsidP="00843CE2">
            <w:pPr>
              <w:spacing w:line="360" w:lineRule="auto"/>
              <w:jc w:val="center"/>
              <w:rPr>
                <w:b/>
                <w:bCs/>
                <w:lang w:eastAsia="en-ZA"/>
              </w:rPr>
            </w:pPr>
          </w:p>
        </w:tc>
        <w:tc>
          <w:tcPr>
            <w:tcW w:w="662" w:type="pct"/>
            <w:tcBorders>
              <w:left w:val="single" w:sz="4" w:space="0" w:color="auto"/>
            </w:tcBorders>
            <w:shd w:val="clear" w:color="auto" w:fill="auto"/>
            <w:vAlign w:val="center"/>
            <w:hideMark/>
          </w:tcPr>
          <w:p w:rsidR="009237BA" w:rsidRPr="001E6CF3" w:rsidRDefault="009237BA" w:rsidP="00843CE2">
            <w:pPr>
              <w:spacing w:line="360" w:lineRule="auto"/>
              <w:jc w:val="center"/>
              <w:rPr>
                <w:bCs/>
                <w:lang w:eastAsia="en-ZA"/>
              </w:rPr>
            </w:pPr>
            <w:r w:rsidRPr="001E6CF3">
              <w:rPr>
                <w:bCs/>
                <w:lang w:eastAsia="en-ZA"/>
              </w:rPr>
              <w:t>Nominal % change</w:t>
            </w:r>
          </w:p>
        </w:tc>
        <w:tc>
          <w:tcPr>
            <w:tcW w:w="817" w:type="pct"/>
            <w:shd w:val="clear" w:color="auto" w:fill="auto"/>
            <w:vAlign w:val="center"/>
            <w:hideMark/>
          </w:tcPr>
          <w:p w:rsidR="009237BA" w:rsidRPr="001E6CF3" w:rsidRDefault="009237BA" w:rsidP="00843CE2">
            <w:pPr>
              <w:spacing w:line="360" w:lineRule="auto"/>
              <w:jc w:val="center"/>
              <w:rPr>
                <w:b/>
                <w:bCs/>
                <w:lang w:eastAsia="en-ZA"/>
              </w:rPr>
            </w:pPr>
            <w:r w:rsidRPr="001E6CF3">
              <w:rPr>
                <w:b/>
                <w:bCs/>
                <w:lang w:eastAsia="en-ZA"/>
              </w:rPr>
              <w:t>Real % change</w:t>
            </w:r>
          </w:p>
        </w:tc>
      </w:tr>
      <w:tr w:rsidR="009237BA" w:rsidRPr="0050021F" w:rsidTr="00A64D62">
        <w:trPr>
          <w:trHeight w:val="255"/>
        </w:trPr>
        <w:tc>
          <w:tcPr>
            <w:tcW w:w="870" w:type="pct"/>
            <w:shd w:val="clear" w:color="auto" w:fill="auto"/>
            <w:noWrap/>
            <w:vAlign w:val="center"/>
            <w:hideMark/>
          </w:tcPr>
          <w:p w:rsidR="009237BA" w:rsidRPr="001E6CF3" w:rsidRDefault="009237BA" w:rsidP="00843CE2">
            <w:pPr>
              <w:spacing w:line="360" w:lineRule="auto"/>
              <w:rPr>
                <w:lang w:eastAsia="en-ZA"/>
              </w:rPr>
            </w:pPr>
            <w:r w:rsidRPr="001E6CF3">
              <w:rPr>
                <w:lang w:eastAsia="en-ZA"/>
              </w:rPr>
              <w:t>R million</w:t>
            </w:r>
          </w:p>
        </w:tc>
        <w:tc>
          <w:tcPr>
            <w:tcW w:w="507" w:type="pct"/>
            <w:shd w:val="clear" w:color="auto" w:fill="auto"/>
            <w:noWrap/>
            <w:vAlign w:val="center"/>
            <w:hideMark/>
          </w:tcPr>
          <w:p w:rsidR="009237BA" w:rsidRPr="001E6CF3" w:rsidRDefault="009237BA" w:rsidP="00843CE2">
            <w:pPr>
              <w:spacing w:line="360" w:lineRule="auto"/>
              <w:jc w:val="center"/>
              <w:rPr>
                <w:b/>
                <w:bCs/>
              </w:rPr>
            </w:pPr>
            <w:r w:rsidRPr="001E6CF3">
              <w:rPr>
                <w:b/>
                <w:bCs/>
              </w:rPr>
              <w:t>2015/16</w:t>
            </w:r>
          </w:p>
        </w:tc>
        <w:tc>
          <w:tcPr>
            <w:tcW w:w="507" w:type="pct"/>
            <w:shd w:val="clear" w:color="auto" w:fill="auto"/>
            <w:noWrap/>
            <w:vAlign w:val="center"/>
            <w:hideMark/>
          </w:tcPr>
          <w:p w:rsidR="009237BA" w:rsidRPr="001E6CF3" w:rsidRDefault="009237BA" w:rsidP="00843CE2">
            <w:pPr>
              <w:spacing w:line="360" w:lineRule="auto"/>
              <w:jc w:val="center"/>
              <w:rPr>
                <w:b/>
                <w:bCs/>
              </w:rPr>
            </w:pPr>
            <w:r w:rsidRPr="001E6CF3">
              <w:rPr>
                <w:b/>
                <w:bCs/>
              </w:rPr>
              <w:t>2016/17</w:t>
            </w:r>
          </w:p>
        </w:tc>
        <w:tc>
          <w:tcPr>
            <w:tcW w:w="423" w:type="pct"/>
            <w:shd w:val="clear" w:color="auto" w:fill="auto"/>
            <w:noWrap/>
            <w:vAlign w:val="center"/>
            <w:hideMark/>
          </w:tcPr>
          <w:p w:rsidR="009237BA" w:rsidRPr="001E6CF3" w:rsidRDefault="009237BA" w:rsidP="00843CE2">
            <w:pPr>
              <w:spacing w:line="360" w:lineRule="auto"/>
              <w:jc w:val="center"/>
              <w:rPr>
                <w:b/>
                <w:bCs/>
              </w:rPr>
            </w:pPr>
            <w:r w:rsidRPr="001E6CF3">
              <w:rPr>
                <w:b/>
                <w:bCs/>
              </w:rPr>
              <w:t>2017/18</w:t>
            </w:r>
          </w:p>
        </w:tc>
        <w:tc>
          <w:tcPr>
            <w:tcW w:w="407" w:type="pct"/>
            <w:tcBorders>
              <w:right w:val="single" w:sz="4" w:space="0" w:color="auto"/>
            </w:tcBorders>
            <w:shd w:val="clear" w:color="auto" w:fill="auto"/>
            <w:noWrap/>
            <w:vAlign w:val="center"/>
            <w:hideMark/>
          </w:tcPr>
          <w:p w:rsidR="009237BA" w:rsidRPr="001E6CF3" w:rsidRDefault="009237BA" w:rsidP="00843CE2">
            <w:pPr>
              <w:spacing w:line="360" w:lineRule="auto"/>
              <w:jc w:val="center"/>
              <w:rPr>
                <w:b/>
                <w:bCs/>
              </w:rPr>
            </w:pPr>
            <w:r w:rsidRPr="001E6CF3">
              <w:rPr>
                <w:b/>
                <w:bCs/>
              </w:rPr>
              <w:t>2018/19</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37BA" w:rsidRPr="001E6CF3" w:rsidRDefault="009237BA" w:rsidP="00843CE2">
            <w:pPr>
              <w:spacing w:line="360" w:lineRule="auto"/>
              <w:jc w:val="center"/>
              <w:rPr>
                <w:b/>
                <w:bCs/>
              </w:rPr>
            </w:pPr>
            <w:r w:rsidRPr="001E6CF3">
              <w:rPr>
                <w:b/>
                <w:bCs/>
              </w:rPr>
              <w:t>2015/16-2016/17</w:t>
            </w:r>
          </w:p>
        </w:tc>
        <w:tc>
          <w:tcPr>
            <w:tcW w:w="121" w:type="pct"/>
            <w:tcBorders>
              <w:top w:val="nil"/>
              <w:left w:val="single" w:sz="4" w:space="0" w:color="auto"/>
              <w:bottom w:val="nil"/>
              <w:right w:val="single" w:sz="4" w:space="0" w:color="auto"/>
            </w:tcBorders>
            <w:shd w:val="clear" w:color="auto" w:fill="auto"/>
            <w:vAlign w:val="center"/>
          </w:tcPr>
          <w:p w:rsidR="009237BA" w:rsidRPr="001E6CF3" w:rsidRDefault="009237BA" w:rsidP="00843CE2">
            <w:pPr>
              <w:spacing w:line="360" w:lineRule="auto"/>
              <w:jc w:val="center"/>
              <w:rPr>
                <w:bCs/>
                <w:lang w:eastAsia="en-ZA"/>
              </w:rPr>
            </w:pPr>
          </w:p>
        </w:tc>
        <w:tc>
          <w:tcPr>
            <w:tcW w:w="1479" w:type="pct"/>
            <w:gridSpan w:val="2"/>
            <w:tcBorders>
              <w:left w:val="single" w:sz="4" w:space="0" w:color="auto"/>
            </w:tcBorders>
            <w:shd w:val="clear" w:color="auto" w:fill="auto"/>
            <w:noWrap/>
            <w:vAlign w:val="center"/>
            <w:hideMark/>
          </w:tcPr>
          <w:p w:rsidR="009237BA" w:rsidRPr="001E6CF3" w:rsidRDefault="009237BA" w:rsidP="00843CE2">
            <w:pPr>
              <w:spacing w:line="360" w:lineRule="auto"/>
              <w:jc w:val="center"/>
              <w:rPr>
                <w:b/>
                <w:bCs/>
                <w:lang w:eastAsia="en-ZA"/>
              </w:rPr>
            </w:pPr>
            <w:r w:rsidRPr="001E6CF3">
              <w:rPr>
                <w:b/>
                <w:bCs/>
              </w:rPr>
              <w:t>2015/16-2016/17</w:t>
            </w:r>
          </w:p>
        </w:tc>
      </w:tr>
      <w:tr w:rsidR="009237BA" w:rsidRPr="0050021F" w:rsidTr="00A64D62">
        <w:trPr>
          <w:trHeight w:val="255"/>
        </w:trPr>
        <w:tc>
          <w:tcPr>
            <w:tcW w:w="870" w:type="pct"/>
            <w:shd w:val="clear" w:color="auto" w:fill="auto"/>
            <w:vAlign w:val="center"/>
            <w:hideMark/>
          </w:tcPr>
          <w:p w:rsidR="009237BA" w:rsidRPr="001E6CF3" w:rsidRDefault="009237BA" w:rsidP="00843CE2">
            <w:pPr>
              <w:spacing w:line="360" w:lineRule="auto"/>
              <w:rPr>
                <w:lang w:eastAsia="en-ZA"/>
              </w:rPr>
            </w:pPr>
            <w:r w:rsidRPr="001E6CF3">
              <w:rPr>
                <w:lang w:eastAsia="en-ZA"/>
              </w:rPr>
              <w:t>Administration</w:t>
            </w:r>
          </w:p>
        </w:tc>
        <w:tc>
          <w:tcPr>
            <w:tcW w:w="507" w:type="pct"/>
            <w:shd w:val="clear" w:color="auto" w:fill="auto"/>
            <w:noWrap/>
            <w:hideMark/>
          </w:tcPr>
          <w:p w:rsidR="009237BA" w:rsidRPr="001E6CF3" w:rsidRDefault="009237BA" w:rsidP="00843CE2">
            <w:pPr>
              <w:spacing w:line="360" w:lineRule="auto"/>
              <w:jc w:val="right"/>
            </w:pPr>
            <w:r w:rsidRPr="001E6CF3">
              <w:t xml:space="preserve">  308.9</w:t>
            </w:r>
          </w:p>
        </w:tc>
        <w:tc>
          <w:tcPr>
            <w:tcW w:w="507" w:type="pct"/>
            <w:shd w:val="clear" w:color="auto" w:fill="auto"/>
            <w:noWrap/>
            <w:hideMark/>
          </w:tcPr>
          <w:p w:rsidR="009237BA" w:rsidRPr="001E6CF3" w:rsidRDefault="009237BA" w:rsidP="00843CE2">
            <w:pPr>
              <w:spacing w:line="360" w:lineRule="auto"/>
              <w:jc w:val="right"/>
            </w:pPr>
            <w:r w:rsidRPr="001E6CF3">
              <w:t xml:space="preserve">  310.9</w:t>
            </w:r>
          </w:p>
        </w:tc>
        <w:tc>
          <w:tcPr>
            <w:tcW w:w="423" w:type="pct"/>
            <w:shd w:val="clear" w:color="auto" w:fill="auto"/>
            <w:noWrap/>
            <w:hideMark/>
          </w:tcPr>
          <w:p w:rsidR="009237BA" w:rsidRPr="001E6CF3" w:rsidRDefault="009237BA" w:rsidP="00843CE2">
            <w:pPr>
              <w:spacing w:line="360" w:lineRule="auto"/>
              <w:jc w:val="right"/>
            </w:pPr>
            <w:r w:rsidRPr="001E6CF3">
              <w:t xml:space="preserve">  322.1</w:t>
            </w:r>
          </w:p>
        </w:tc>
        <w:tc>
          <w:tcPr>
            <w:tcW w:w="407" w:type="pct"/>
            <w:shd w:val="clear" w:color="auto" w:fill="auto"/>
            <w:noWrap/>
            <w:hideMark/>
          </w:tcPr>
          <w:p w:rsidR="009237BA" w:rsidRPr="001E6CF3" w:rsidRDefault="009237BA" w:rsidP="00843CE2">
            <w:pPr>
              <w:spacing w:line="360" w:lineRule="auto"/>
              <w:jc w:val="right"/>
            </w:pPr>
            <w:r w:rsidRPr="001E6CF3">
              <w:t xml:space="preserve">  338.7</w:t>
            </w:r>
          </w:p>
        </w:tc>
        <w:tc>
          <w:tcPr>
            <w:tcW w:w="686" w:type="pct"/>
            <w:tcBorders>
              <w:righ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  2.0</w:t>
            </w:r>
          </w:p>
        </w:tc>
        <w:tc>
          <w:tcPr>
            <w:tcW w:w="121" w:type="pct"/>
            <w:tcBorders>
              <w:top w:val="nil"/>
              <w:left w:val="single" w:sz="4" w:space="0" w:color="auto"/>
              <w:bottom w:val="nil"/>
              <w:right w:val="single" w:sz="4" w:space="0" w:color="auto"/>
            </w:tcBorders>
            <w:shd w:val="clear" w:color="auto" w:fill="auto"/>
            <w:noWrap/>
            <w:vAlign w:val="bottom"/>
            <w:hideMark/>
          </w:tcPr>
          <w:p w:rsidR="009237BA" w:rsidRPr="001E6CF3" w:rsidRDefault="009237BA" w:rsidP="00843CE2">
            <w:pPr>
              <w:spacing w:line="360" w:lineRule="auto"/>
              <w:jc w:val="right"/>
            </w:pPr>
          </w:p>
        </w:tc>
        <w:tc>
          <w:tcPr>
            <w:tcW w:w="662" w:type="pct"/>
            <w:tcBorders>
              <w:lef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0.65 </w:t>
            </w:r>
            <w:r w:rsidR="00BD2ECF" w:rsidRPr="001E6CF3">
              <w:t>%</w:t>
            </w:r>
          </w:p>
        </w:tc>
        <w:tc>
          <w:tcPr>
            <w:tcW w:w="817" w:type="pct"/>
            <w:shd w:val="clear" w:color="auto" w:fill="auto"/>
            <w:noWrap/>
            <w:vAlign w:val="bottom"/>
            <w:hideMark/>
          </w:tcPr>
          <w:p w:rsidR="009237BA" w:rsidRPr="001E6CF3" w:rsidRDefault="009237BA" w:rsidP="00843CE2">
            <w:pPr>
              <w:spacing w:line="360" w:lineRule="auto"/>
              <w:jc w:val="right"/>
            </w:pPr>
            <w:r w:rsidRPr="001E6CF3">
              <w:t xml:space="preserve">-5.58 </w:t>
            </w:r>
            <w:r w:rsidR="00BD2ECF" w:rsidRPr="001E6CF3">
              <w:t>%</w:t>
            </w:r>
          </w:p>
        </w:tc>
      </w:tr>
      <w:tr w:rsidR="009237BA" w:rsidRPr="0050021F" w:rsidTr="00A64D62">
        <w:trPr>
          <w:trHeight w:val="450"/>
        </w:trPr>
        <w:tc>
          <w:tcPr>
            <w:tcW w:w="870" w:type="pct"/>
            <w:shd w:val="clear" w:color="auto" w:fill="auto"/>
            <w:vAlign w:val="center"/>
            <w:hideMark/>
          </w:tcPr>
          <w:p w:rsidR="009237BA" w:rsidRPr="001E6CF3" w:rsidRDefault="009237BA" w:rsidP="00843CE2">
            <w:pPr>
              <w:spacing w:line="360" w:lineRule="auto"/>
              <w:rPr>
                <w:lang w:eastAsia="en-ZA"/>
              </w:rPr>
            </w:pPr>
            <w:r w:rsidRPr="001E6CF3">
              <w:rPr>
                <w:lang w:eastAsia="en-ZA"/>
              </w:rPr>
              <w:t>Promotion of Mine Safety and Health</w:t>
            </w:r>
          </w:p>
        </w:tc>
        <w:tc>
          <w:tcPr>
            <w:tcW w:w="507" w:type="pct"/>
            <w:shd w:val="clear" w:color="auto" w:fill="auto"/>
            <w:noWrap/>
            <w:hideMark/>
          </w:tcPr>
          <w:p w:rsidR="009237BA" w:rsidRPr="001E6CF3" w:rsidRDefault="009237BA" w:rsidP="00843CE2">
            <w:pPr>
              <w:spacing w:line="360" w:lineRule="auto"/>
              <w:jc w:val="right"/>
            </w:pPr>
            <w:r w:rsidRPr="001E6CF3">
              <w:t xml:space="preserve">  184.4</w:t>
            </w:r>
          </w:p>
        </w:tc>
        <w:tc>
          <w:tcPr>
            <w:tcW w:w="507" w:type="pct"/>
            <w:shd w:val="clear" w:color="auto" w:fill="auto"/>
            <w:noWrap/>
            <w:hideMark/>
          </w:tcPr>
          <w:p w:rsidR="009237BA" w:rsidRPr="001E6CF3" w:rsidRDefault="009237BA" w:rsidP="00843CE2">
            <w:pPr>
              <w:spacing w:line="360" w:lineRule="auto"/>
              <w:jc w:val="right"/>
            </w:pPr>
            <w:r w:rsidRPr="001E6CF3">
              <w:t xml:space="preserve">  184.9</w:t>
            </w:r>
          </w:p>
        </w:tc>
        <w:tc>
          <w:tcPr>
            <w:tcW w:w="423" w:type="pct"/>
            <w:shd w:val="clear" w:color="auto" w:fill="auto"/>
            <w:noWrap/>
            <w:hideMark/>
          </w:tcPr>
          <w:p w:rsidR="009237BA" w:rsidRPr="001E6CF3" w:rsidRDefault="009237BA" w:rsidP="00843CE2">
            <w:pPr>
              <w:spacing w:line="360" w:lineRule="auto"/>
              <w:jc w:val="right"/>
            </w:pPr>
            <w:r w:rsidRPr="001E6CF3">
              <w:t xml:space="preserve">  191.1</w:t>
            </w:r>
          </w:p>
        </w:tc>
        <w:tc>
          <w:tcPr>
            <w:tcW w:w="407" w:type="pct"/>
            <w:shd w:val="clear" w:color="auto" w:fill="auto"/>
            <w:noWrap/>
            <w:hideMark/>
          </w:tcPr>
          <w:p w:rsidR="009237BA" w:rsidRPr="001E6CF3" w:rsidRDefault="009237BA" w:rsidP="00843CE2">
            <w:pPr>
              <w:spacing w:line="360" w:lineRule="auto"/>
              <w:jc w:val="right"/>
            </w:pPr>
            <w:r w:rsidRPr="001E6CF3">
              <w:t xml:space="preserve">  198.3</w:t>
            </w:r>
          </w:p>
        </w:tc>
        <w:tc>
          <w:tcPr>
            <w:tcW w:w="686" w:type="pct"/>
            <w:tcBorders>
              <w:righ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  0.5</w:t>
            </w:r>
          </w:p>
        </w:tc>
        <w:tc>
          <w:tcPr>
            <w:tcW w:w="121" w:type="pct"/>
            <w:tcBorders>
              <w:top w:val="nil"/>
              <w:left w:val="single" w:sz="4" w:space="0" w:color="auto"/>
              <w:bottom w:val="nil"/>
              <w:right w:val="single" w:sz="4" w:space="0" w:color="auto"/>
            </w:tcBorders>
            <w:shd w:val="clear" w:color="auto" w:fill="auto"/>
            <w:noWrap/>
            <w:vAlign w:val="bottom"/>
            <w:hideMark/>
          </w:tcPr>
          <w:p w:rsidR="009237BA" w:rsidRPr="001E6CF3" w:rsidRDefault="009237BA" w:rsidP="00843CE2">
            <w:pPr>
              <w:spacing w:line="360" w:lineRule="auto"/>
              <w:jc w:val="right"/>
            </w:pPr>
          </w:p>
        </w:tc>
        <w:tc>
          <w:tcPr>
            <w:tcW w:w="662" w:type="pct"/>
            <w:tcBorders>
              <w:lef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0.27 </w:t>
            </w:r>
            <w:r w:rsidR="00BD2ECF" w:rsidRPr="001E6CF3">
              <w:t>%</w:t>
            </w:r>
          </w:p>
        </w:tc>
        <w:tc>
          <w:tcPr>
            <w:tcW w:w="817" w:type="pct"/>
            <w:shd w:val="clear" w:color="auto" w:fill="auto"/>
            <w:noWrap/>
            <w:vAlign w:val="bottom"/>
            <w:hideMark/>
          </w:tcPr>
          <w:p w:rsidR="009237BA" w:rsidRPr="001E6CF3" w:rsidRDefault="009237BA" w:rsidP="00843CE2">
            <w:pPr>
              <w:spacing w:line="360" w:lineRule="auto"/>
              <w:jc w:val="right"/>
            </w:pPr>
            <w:r w:rsidRPr="001E6CF3">
              <w:t xml:space="preserve">-5.94 </w:t>
            </w:r>
            <w:r w:rsidR="00BD2ECF" w:rsidRPr="001E6CF3">
              <w:t>%</w:t>
            </w:r>
          </w:p>
        </w:tc>
      </w:tr>
      <w:tr w:rsidR="009237BA" w:rsidRPr="0050021F" w:rsidTr="00A64D62">
        <w:trPr>
          <w:trHeight w:val="255"/>
        </w:trPr>
        <w:tc>
          <w:tcPr>
            <w:tcW w:w="870" w:type="pct"/>
            <w:shd w:val="clear" w:color="auto" w:fill="auto"/>
            <w:vAlign w:val="center"/>
            <w:hideMark/>
          </w:tcPr>
          <w:p w:rsidR="009237BA" w:rsidRPr="001E6CF3" w:rsidRDefault="009237BA" w:rsidP="00843CE2">
            <w:pPr>
              <w:spacing w:line="360" w:lineRule="auto"/>
              <w:rPr>
                <w:lang w:eastAsia="en-ZA"/>
              </w:rPr>
            </w:pPr>
            <w:r w:rsidRPr="001E6CF3">
              <w:rPr>
                <w:lang w:eastAsia="en-ZA"/>
              </w:rPr>
              <w:t>Mineral Regulation</w:t>
            </w:r>
          </w:p>
        </w:tc>
        <w:tc>
          <w:tcPr>
            <w:tcW w:w="507" w:type="pct"/>
            <w:shd w:val="clear" w:color="auto" w:fill="auto"/>
            <w:noWrap/>
            <w:hideMark/>
          </w:tcPr>
          <w:p w:rsidR="009237BA" w:rsidRPr="001E6CF3" w:rsidRDefault="009237BA" w:rsidP="00843CE2">
            <w:pPr>
              <w:spacing w:line="360" w:lineRule="auto"/>
              <w:jc w:val="right"/>
            </w:pPr>
            <w:r w:rsidRPr="001E6CF3">
              <w:t xml:space="preserve">  263.7</w:t>
            </w:r>
          </w:p>
        </w:tc>
        <w:tc>
          <w:tcPr>
            <w:tcW w:w="507" w:type="pct"/>
            <w:shd w:val="clear" w:color="auto" w:fill="auto"/>
            <w:noWrap/>
            <w:hideMark/>
          </w:tcPr>
          <w:p w:rsidR="009237BA" w:rsidRPr="001E6CF3" w:rsidRDefault="009237BA" w:rsidP="00843CE2">
            <w:pPr>
              <w:spacing w:line="360" w:lineRule="auto"/>
              <w:jc w:val="right"/>
            </w:pPr>
            <w:r w:rsidRPr="001E6CF3">
              <w:t xml:space="preserve">  270.8</w:t>
            </w:r>
          </w:p>
        </w:tc>
        <w:tc>
          <w:tcPr>
            <w:tcW w:w="423" w:type="pct"/>
            <w:shd w:val="clear" w:color="auto" w:fill="auto"/>
            <w:noWrap/>
            <w:hideMark/>
          </w:tcPr>
          <w:p w:rsidR="009237BA" w:rsidRPr="001E6CF3" w:rsidRDefault="009237BA" w:rsidP="00843CE2">
            <w:pPr>
              <w:spacing w:line="360" w:lineRule="auto"/>
              <w:jc w:val="right"/>
            </w:pPr>
            <w:r w:rsidRPr="001E6CF3">
              <w:t xml:space="preserve">  426.6</w:t>
            </w:r>
          </w:p>
        </w:tc>
        <w:tc>
          <w:tcPr>
            <w:tcW w:w="407" w:type="pct"/>
            <w:shd w:val="clear" w:color="auto" w:fill="auto"/>
            <w:noWrap/>
            <w:hideMark/>
          </w:tcPr>
          <w:p w:rsidR="009237BA" w:rsidRPr="001E6CF3" w:rsidRDefault="009237BA" w:rsidP="00843CE2">
            <w:pPr>
              <w:spacing w:line="360" w:lineRule="auto"/>
              <w:jc w:val="right"/>
            </w:pPr>
            <w:r w:rsidRPr="001E6CF3">
              <w:t xml:space="preserve">  452.0</w:t>
            </w:r>
          </w:p>
        </w:tc>
        <w:tc>
          <w:tcPr>
            <w:tcW w:w="686" w:type="pct"/>
            <w:tcBorders>
              <w:righ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  7.1</w:t>
            </w:r>
          </w:p>
        </w:tc>
        <w:tc>
          <w:tcPr>
            <w:tcW w:w="121" w:type="pct"/>
            <w:tcBorders>
              <w:top w:val="nil"/>
              <w:left w:val="single" w:sz="4" w:space="0" w:color="auto"/>
              <w:bottom w:val="nil"/>
              <w:right w:val="single" w:sz="4" w:space="0" w:color="auto"/>
            </w:tcBorders>
            <w:shd w:val="clear" w:color="auto" w:fill="auto"/>
            <w:noWrap/>
            <w:vAlign w:val="bottom"/>
            <w:hideMark/>
          </w:tcPr>
          <w:p w:rsidR="009237BA" w:rsidRPr="001E6CF3" w:rsidRDefault="009237BA" w:rsidP="00843CE2">
            <w:pPr>
              <w:spacing w:line="360" w:lineRule="auto"/>
              <w:jc w:val="right"/>
            </w:pPr>
          </w:p>
        </w:tc>
        <w:tc>
          <w:tcPr>
            <w:tcW w:w="662" w:type="pct"/>
            <w:tcBorders>
              <w:lef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2.68 </w:t>
            </w:r>
            <w:r w:rsidR="00BD2ECF" w:rsidRPr="001E6CF3">
              <w:t>%</w:t>
            </w:r>
          </w:p>
        </w:tc>
        <w:tc>
          <w:tcPr>
            <w:tcW w:w="817" w:type="pct"/>
            <w:shd w:val="clear" w:color="auto" w:fill="auto"/>
            <w:noWrap/>
            <w:vAlign w:val="bottom"/>
            <w:hideMark/>
          </w:tcPr>
          <w:p w:rsidR="009237BA" w:rsidRPr="001E6CF3" w:rsidRDefault="009237BA" w:rsidP="00843CE2">
            <w:pPr>
              <w:spacing w:line="360" w:lineRule="auto"/>
              <w:jc w:val="right"/>
            </w:pPr>
            <w:r w:rsidRPr="001E6CF3">
              <w:t xml:space="preserve">-3.68 </w:t>
            </w:r>
            <w:r w:rsidR="00BD2ECF" w:rsidRPr="001E6CF3">
              <w:t>%</w:t>
            </w:r>
          </w:p>
        </w:tc>
      </w:tr>
      <w:tr w:rsidR="009237BA" w:rsidRPr="0050021F" w:rsidTr="00A64D62">
        <w:trPr>
          <w:trHeight w:val="255"/>
        </w:trPr>
        <w:tc>
          <w:tcPr>
            <w:tcW w:w="870" w:type="pct"/>
            <w:shd w:val="clear" w:color="auto" w:fill="auto"/>
            <w:vAlign w:val="center"/>
            <w:hideMark/>
          </w:tcPr>
          <w:p w:rsidR="009237BA" w:rsidRPr="001E6CF3" w:rsidRDefault="009237BA" w:rsidP="00843CE2">
            <w:pPr>
              <w:spacing w:line="360" w:lineRule="auto"/>
              <w:rPr>
                <w:lang w:eastAsia="en-ZA"/>
              </w:rPr>
            </w:pPr>
            <w:r w:rsidRPr="001E6CF3">
              <w:rPr>
                <w:lang w:eastAsia="en-ZA"/>
              </w:rPr>
              <w:t>Mineral Policy and Promotion</w:t>
            </w:r>
          </w:p>
        </w:tc>
        <w:tc>
          <w:tcPr>
            <w:tcW w:w="507" w:type="pct"/>
            <w:shd w:val="clear" w:color="auto" w:fill="auto"/>
            <w:noWrap/>
            <w:hideMark/>
          </w:tcPr>
          <w:p w:rsidR="009237BA" w:rsidRPr="001E6CF3" w:rsidRDefault="009237BA" w:rsidP="00843CE2">
            <w:pPr>
              <w:spacing w:line="360" w:lineRule="auto"/>
              <w:jc w:val="right"/>
            </w:pPr>
            <w:r w:rsidRPr="001E6CF3">
              <w:t xml:space="preserve">  881.5</w:t>
            </w:r>
          </w:p>
        </w:tc>
        <w:tc>
          <w:tcPr>
            <w:tcW w:w="507" w:type="pct"/>
            <w:shd w:val="clear" w:color="auto" w:fill="auto"/>
            <w:noWrap/>
            <w:hideMark/>
          </w:tcPr>
          <w:p w:rsidR="009237BA" w:rsidRPr="001E6CF3" w:rsidRDefault="009237BA" w:rsidP="00843CE2">
            <w:pPr>
              <w:spacing w:line="360" w:lineRule="auto"/>
              <w:jc w:val="right"/>
            </w:pPr>
            <w:r w:rsidRPr="001E6CF3">
              <w:t xml:space="preserve">  902.5</w:t>
            </w:r>
          </w:p>
        </w:tc>
        <w:tc>
          <w:tcPr>
            <w:tcW w:w="423" w:type="pct"/>
            <w:shd w:val="clear" w:color="auto" w:fill="auto"/>
            <w:noWrap/>
            <w:hideMark/>
          </w:tcPr>
          <w:p w:rsidR="009237BA" w:rsidRPr="001E6CF3" w:rsidRDefault="009237BA" w:rsidP="00843CE2">
            <w:pPr>
              <w:spacing w:line="360" w:lineRule="auto"/>
              <w:jc w:val="right"/>
            </w:pPr>
            <w:r w:rsidRPr="001E6CF3">
              <w:t xml:space="preserve">  907.5</w:t>
            </w:r>
          </w:p>
        </w:tc>
        <w:tc>
          <w:tcPr>
            <w:tcW w:w="407" w:type="pct"/>
            <w:shd w:val="clear" w:color="auto" w:fill="auto"/>
            <w:noWrap/>
            <w:hideMark/>
          </w:tcPr>
          <w:p w:rsidR="009237BA" w:rsidRPr="001E6CF3" w:rsidRDefault="009237BA" w:rsidP="00843CE2">
            <w:pPr>
              <w:spacing w:line="360" w:lineRule="auto"/>
              <w:jc w:val="right"/>
            </w:pPr>
            <w:r w:rsidRPr="001E6CF3">
              <w:t xml:space="preserve">  835.5</w:t>
            </w:r>
          </w:p>
        </w:tc>
        <w:tc>
          <w:tcPr>
            <w:tcW w:w="686" w:type="pct"/>
            <w:tcBorders>
              <w:righ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  21.0</w:t>
            </w:r>
          </w:p>
        </w:tc>
        <w:tc>
          <w:tcPr>
            <w:tcW w:w="121" w:type="pct"/>
            <w:tcBorders>
              <w:top w:val="nil"/>
              <w:left w:val="single" w:sz="4" w:space="0" w:color="auto"/>
              <w:bottom w:val="nil"/>
              <w:right w:val="single" w:sz="4" w:space="0" w:color="auto"/>
            </w:tcBorders>
            <w:shd w:val="clear" w:color="auto" w:fill="auto"/>
            <w:noWrap/>
            <w:vAlign w:val="bottom"/>
            <w:hideMark/>
          </w:tcPr>
          <w:p w:rsidR="009237BA" w:rsidRPr="001E6CF3" w:rsidRDefault="009237BA" w:rsidP="00843CE2">
            <w:pPr>
              <w:spacing w:line="360" w:lineRule="auto"/>
              <w:jc w:val="right"/>
            </w:pPr>
          </w:p>
        </w:tc>
        <w:tc>
          <w:tcPr>
            <w:tcW w:w="662" w:type="pct"/>
            <w:tcBorders>
              <w:left w:val="single" w:sz="4" w:space="0" w:color="auto"/>
            </w:tcBorders>
            <w:shd w:val="clear" w:color="auto" w:fill="auto"/>
            <w:noWrap/>
            <w:vAlign w:val="bottom"/>
            <w:hideMark/>
          </w:tcPr>
          <w:p w:rsidR="009237BA" w:rsidRPr="001E6CF3" w:rsidRDefault="009237BA" w:rsidP="00843CE2">
            <w:pPr>
              <w:spacing w:line="360" w:lineRule="auto"/>
              <w:jc w:val="right"/>
            </w:pPr>
            <w:r w:rsidRPr="001E6CF3">
              <w:t xml:space="preserve">2.38 </w:t>
            </w:r>
            <w:r w:rsidR="00BD2ECF" w:rsidRPr="001E6CF3">
              <w:t>%</w:t>
            </w:r>
          </w:p>
        </w:tc>
        <w:tc>
          <w:tcPr>
            <w:tcW w:w="817" w:type="pct"/>
            <w:shd w:val="clear" w:color="auto" w:fill="auto"/>
            <w:noWrap/>
            <w:vAlign w:val="bottom"/>
            <w:hideMark/>
          </w:tcPr>
          <w:p w:rsidR="009237BA" w:rsidRPr="001E6CF3" w:rsidRDefault="009237BA" w:rsidP="00843CE2">
            <w:pPr>
              <w:spacing w:line="360" w:lineRule="auto"/>
              <w:jc w:val="right"/>
            </w:pPr>
            <w:r w:rsidRPr="001E6CF3">
              <w:t xml:space="preserve">-3.96 </w:t>
            </w:r>
            <w:r w:rsidR="00BD2ECF" w:rsidRPr="001E6CF3">
              <w:t>%</w:t>
            </w:r>
          </w:p>
        </w:tc>
      </w:tr>
      <w:tr w:rsidR="009237BA" w:rsidRPr="0050021F" w:rsidTr="00A64D62">
        <w:trPr>
          <w:trHeight w:val="270"/>
        </w:trPr>
        <w:tc>
          <w:tcPr>
            <w:tcW w:w="870" w:type="pct"/>
            <w:shd w:val="clear" w:color="auto" w:fill="auto"/>
            <w:noWrap/>
            <w:vAlign w:val="center"/>
            <w:hideMark/>
          </w:tcPr>
          <w:p w:rsidR="009237BA" w:rsidRPr="001E6CF3" w:rsidRDefault="009237BA" w:rsidP="00843CE2">
            <w:pPr>
              <w:spacing w:line="360" w:lineRule="auto"/>
              <w:rPr>
                <w:b/>
                <w:bCs/>
                <w:lang w:eastAsia="en-ZA"/>
              </w:rPr>
            </w:pPr>
            <w:r w:rsidRPr="001E6CF3">
              <w:rPr>
                <w:b/>
                <w:bCs/>
                <w:lang w:eastAsia="en-ZA"/>
              </w:rPr>
              <w:t>TOTAL</w:t>
            </w:r>
          </w:p>
        </w:tc>
        <w:tc>
          <w:tcPr>
            <w:tcW w:w="507" w:type="pct"/>
            <w:shd w:val="clear" w:color="auto" w:fill="auto"/>
            <w:noWrap/>
            <w:vAlign w:val="bottom"/>
            <w:hideMark/>
          </w:tcPr>
          <w:p w:rsidR="009237BA" w:rsidRPr="001E6CF3" w:rsidRDefault="009237BA" w:rsidP="00843CE2">
            <w:pPr>
              <w:spacing w:line="360" w:lineRule="auto"/>
              <w:jc w:val="right"/>
              <w:rPr>
                <w:b/>
                <w:bCs/>
              </w:rPr>
            </w:pPr>
            <w:r w:rsidRPr="001E6CF3">
              <w:rPr>
                <w:b/>
                <w:bCs/>
              </w:rPr>
              <w:t xml:space="preserve"> 1 638.5</w:t>
            </w:r>
          </w:p>
        </w:tc>
        <w:tc>
          <w:tcPr>
            <w:tcW w:w="507" w:type="pct"/>
            <w:shd w:val="clear" w:color="auto" w:fill="auto"/>
            <w:noWrap/>
            <w:vAlign w:val="bottom"/>
            <w:hideMark/>
          </w:tcPr>
          <w:p w:rsidR="009237BA" w:rsidRPr="001E6CF3" w:rsidRDefault="009237BA" w:rsidP="00843CE2">
            <w:pPr>
              <w:spacing w:line="360" w:lineRule="auto"/>
              <w:jc w:val="right"/>
              <w:rPr>
                <w:b/>
                <w:bCs/>
              </w:rPr>
            </w:pPr>
            <w:r w:rsidRPr="001E6CF3">
              <w:rPr>
                <w:b/>
                <w:bCs/>
              </w:rPr>
              <w:t xml:space="preserve"> 1 669.1</w:t>
            </w:r>
          </w:p>
        </w:tc>
        <w:tc>
          <w:tcPr>
            <w:tcW w:w="423" w:type="pct"/>
            <w:shd w:val="clear" w:color="auto" w:fill="auto"/>
            <w:noWrap/>
            <w:vAlign w:val="bottom"/>
            <w:hideMark/>
          </w:tcPr>
          <w:p w:rsidR="009237BA" w:rsidRPr="001E6CF3" w:rsidRDefault="009237BA" w:rsidP="00843CE2">
            <w:pPr>
              <w:spacing w:line="360" w:lineRule="auto"/>
              <w:jc w:val="right"/>
              <w:rPr>
                <w:b/>
              </w:rPr>
            </w:pPr>
            <w:r w:rsidRPr="001E6CF3">
              <w:rPr>
                <w:b/>
              </w:rPr>
              <w:t xml:space="preserve"> 1 847.2</w:t>
            </w:r>
          </w:p>
        </w:tc>
        <w:tc>
          <w:tcPr>
            <w:tcW w:w="407" w:type="pct"/>
            <w:shd w:val="clear" w:color="auto" w:fill="auto"/>
            <w:noWrap/>
            <w:vAlign w:val="bottom"/>
            <w:hideMark/>
          </w:tcPr>
          <w:p w:rsidR="009237BA" w:rsidRPr="001E6CF3" w:rsidRDefault="009237BA" w:rsidP="00843CE2">
            <w:pPr>
              <w:spacing w:line="360" w:lineRule="auto"/>
              <w:jc w:val="right"/>
              <w:rPr>
                <w:b/>
              </w:rPr>
            </w:pPr>
            <w:r w:rsidRPr="001E6CF3">
              <w:rPr>
                <w:b/>
              </w:rPr>
              <w:t xml:space="preserve"> 1 824.6</w:t>
            </w:r>
          </w:p>
        </w:tc>
        <w:tc>
          <w:tcPr>
            <w:tcW w:w="686" w:type="pct"/>
            <w:tcBorders>
              <w:right w:val="single" w:sz="4" w:space="0" w:color="auto"/>
            </w:tcBorders>
            <w:shd w:val="clear" w:color="auto" w:fill="auto"/>
            <w:noWrap/>
            <w:vAlign w:val="bottom"/>
            <w:hideMark/>
          </w:tcPr>
          <w:p w:rsidR="009237BA" w:rsidRPr="001E6CF3" w:rsidRDefault="009237BA" w:rsidP="00843CE2">
            <w:pPr>
              <w:spacing w:line="360" w:lineRule="auto"/>
              <w:jc w:val="right"/>
              <w:rPr>
                <w:b/>
                <w:bCs/>
              </w:rPr>
            </w:pPr>
            <w:r w:rsidRPr="001E6CF3">
              <w:rPr>
                <w:b/>
                <w:bCs/>
              </w:rPr>
              <w:t>30.5</w:t>
            </w:r>
          </w:p>
        </w:tc>
        <w:tc>
          <w:tcPr>
            <w:tcW w:w="121" w:type="pct"/>
            <w:tcBorders>
              <w:top w:val="nil"/>
              <w:left w:val="single" w:sz="4" w:space="0" w:color="auto"/>
              <w:bottom w:val="nil"/>
              <w:right w:val="single" w:sz="4" w:space="0" w:color="auto"/>
            </w:tcBorders>
            <w:shd w:val="clear" w:color="auto" w:fill="auto"/>
            <w:noWrap/>
            <w:vAlign w:val="bottom"/>
            <w:hideMark/>
          </w:tcPr>
          <w:p w:rsidR="009237BA" w:rsidRPr="001E6CF3" w:rsidRDefault="009237BA" w:rsidP="00843CE2">
            <w:pPr>
              <w:spacing w:line="360" w:lineRule="auto"/>
              <w:jc w:val="right"/>
              <w:rPr>
                <w:b/>
                <w:bCs/>
              </w:rPr>
            </w:pPr>
          </w:p>
        </w:tc>
        <w:tc>
          <w:tcPr>
            <w:tcW w:w="662" w:type="pct"/>
            <w:tcBorders>
              <w:left w:val="single" w:sz="4" w:space="0" w:color="auto"/>
            </w:tcBorders>
            <w:shd w:val="clear" w:color="auto" w:fill="auto"/>
            <w:noWrap/>
            <w:vAlign w:val="bottom"/>
            <w:hideMark/>
          </w:tcPr>
          <w:p w:rsidR="009237BA" w:rsidRPr="001E6CF3" w:rsidRDefault="009237BA" w:rsidP="00843CE2">
            <w:pPr>
              <w:spacing w:line="360" w:lineRule="auto"/>
              <w:jc w:val="right"/>
              <w:rPr>
                <w:b/>
                <w:bCs/>
              </w:rPr>
            </w:pPr>
            <w:r w:rsidRPr="001E6CF3">
              <w:rPr>
                <w:b/>
                <w:bCs/>
              </w:rPr>
              <w:t xml:space="preserve">1.86 </w:t>
            </w:r>
            <w:r w:rsidR="00BD2ECF" w:rsidRPr="001E6CF3">
              <w:rPr>
                <w:b/>
                <w:bCs/>
              </w:rPr>
              <w:t>%</w:t>
            </w:r>
          </w:p>
        </w:tc>
        <w:tc>
          <w:tcPr>
            <w:tcW w:w="817" w:type="pct"/>
            <w:shd w:val="clear" w:color="auto" w:fill="auto"/>
            <w:noWrap/>
            <w:vAlign w:val="bottom"/>
            <w:hideMark/>
          </w:tcPr>
          <w:p w:rsidR="009237BA" w:rsidRPr="001E6CF3" w:rsidRDefault="009237BA" w:rsidP="00843CE2">
            <w:pPr>
              <w:spacing w:line="360" w:lineRule="auto"/>
              <w:jc w:val="right"/>
              <w:rPr>
                <w:b/>
                <w:bCs/>
              </w:rPr>
            </w:pPr>
            <w:r w:rsidRPr="001E6CF3">
              <w:rPr>
                <w:b/>
                <w:bCs/>
              </w:rPr>
              <w:t xml:space="preserve">-4.44 </w:t>
            </w:r>
            <w:r w:rsidR="00BD2ECF" w:rsidRPr="001E6CF3">
              <w:rPr>
                <w:b/>
                <w:bCs/>
              </w:rPr>
              <w:t>%</w:t>
            </w:r>
          </w:p>
        </w:tc>
      </w:tr>
    </w:tbl>
    <w:p w:rsidR="009237BA" w:rsidRPr="001E6CF3" w:rsidRDefault="009237BA" w:rsidP="00843CE2">
      <w:pPr>
        <w:spacing w:line="360" w:lineRule="auto"/>
        <w:rPr>
          <w:i/>
        </w:rPr>
      </w:pPr>
      <w:r w:rsidRPr="001E6CF3">
        <w:rPr>
          <w:i/>
        </w:rPr>
        <w:t>Source: National Treasury (2016a) Vote 29: Mineral Resources 2016</w:t>
      </w:r>
      <w:r w:rsidRPr="001E6CF3">
        <w:rPr>
          <w:rStyle w:val="FootnoteReference"/>
          <w:i/>
        </w:rPr>
        <w:footnoteReference w:id="2"/>
      </w:r>
      <w:r w:rsidRPr="001E6CF3">
        <w:rPr>
          <w:i/>
        </w:rPr>
        <w:t xml:space="preserve"> </w:t>
      </w:r>
    </w:p>
    <w:p w:rsidR="009237BA" w:rsidRPr="001E6CF3" w:rsidRDefault="009237BA" w:rsidP="00843CE2">
      <w:pPr>
        <w:spacing w:line="360" w:lineRule="auto"/>
        <w:rPr>
          <w:b/>
          <w:i/>
        </w:rPr>
      </w:pPr>
    </w:p>
    <w:p w:rsidR="009237BA" w:rsidRPr="001E6CF3" w:rsidRDefault="009237BA" w:rsidP="00843CE2">
      <w:pPr>
        <w:spacing w:line="360" w:lineRule="auto"/>
        <w:jc w:val="both"/>
        <w:rPr>
          <w:color w:val="E36C0A" w:themeColor="accent6" w:themeShade="BF"/>
        </w:rPr>
      </w:pPr>
      <w:r w:rsidRPr="001E6CF3">
        <w:t>It is the task of the DMR to help South Africa to harness its mineral wealth for development. The budget of the Department is comparatively small, barely 0.2 per cent of the total appropriation by vote in 2016/17, but its role in wisely applying laws and fostering the contributions of several state agencies is critical for the growth of the minerals and mining sector, which is experiencing the most adverse economic climate since the 1990’s</w:t>
      </w:r>
      <w:r w:rsidRPr="001E6CF3">
        <w:rPr>
          <w:color w:val="E36C0A" w:themeColor="accent6" w:themeShade="BF"/>
        </w:rPr>
        <w:t xml:space="preserve">. </w:t>
      </w:r>
    </w:p>
    <w:p w:rsidR="009237BA" w:rsidRPr="001E6CF3" w:rsidRDefault="009237BA" w:rsidP="00843CE2">
      <w:pPr>
        <w:spacing w:line="360" w:lineRule="auto"/>
        <w:rPr>
          <w:color w:val="E36C0A" w:themeColor="accent6" w:themeShade="BF"/>
        </w:rPr>
      </w:pPr>
    </w:p>
    <w:p w:rsidR="009237BA" w:rsidRPr="001E6CF3" w:rsidRDefault="009237BA" w:rsidP="00843CE2">
      <w:pPr>
        <w:spacing w:line="360" w:lineRule="auto"/>
        <w:jc w:val="both"/>
      </w:pPr>
      <w:r w:rsidRPr="001E6CF3">
        <w:t xml:space="preserve">The budget of the DMR for the 2016/17 financial year is R1.7-billion. This represents a nominal increase of R30.5-million over the previous year, but in real terms, when inflation is taken into account, the allocation represents a four percent cut in the value of the resources available to the Department, compared with the previous year. This is part of the implementation of the government plan, announced by the Minister of Finance in the Budget Speech to moderate government expenditure to compensate for the weak performance of the SA economy. </w:t>
      </w:r>
    </w:p>
    <w:p w:rsidR="009237BA" w:rsidRPr="001E6CF3" w:rsidRDefault="009237BA" w:rsidP="00843CE2">
      <w:pPr>
        <w:spacing w:line="360" w:lineRule="auto"/>
        <w:jc w:val="both"/>
        <w:rPr>
          <w:color w:val="E36C0A" w:themeColor="accent6" w:themeShade="BF"/>
        </w:rPr>
      </w:pPr>
    </w:p>
    <w:p w:rsidR="009237BA" w:rsidRPr="001E6CF3" w:rsidRDefault="009237BA" w:rsidP="00843CE2">
      <w:pPr>
        <w:spacing w:line="360" w:lineRule="auto"/>
        <w:jc w:val="both"/>
      </w:pPr>
      <w:r w:rsidRPr="001E6CF3">
        <w:t>There has been no structural change from the pattern of past DMR budgets. Half (49.8 per cent) goes to current payments, half (49.4 per cent) to transfers (mainly to the Council for Geoscience and MINTEK), with a negligible proportion going to capital expenditure.</w:t>
      </w:r>
    </w:p>
    <w:p w:rsidR="009237BA" w:rsidRPr="001E6CF3" w:rsidRDefault="009237BA" w:rsidP="00843CE2">
      <w:pPr>
        <w:spacing w:line="360" w:lineRule="auto"/>
        <w:jc w:val="both"/>
        <w:rPr>
          <w:color w:val="E36C0A" w:themeColor="accent6" w:themeShade="BF"/>
        </w:rPr>
      </w:pPr>
    </w:p>
    <w:p w:rsidR="009237BA" w:rsidRPr="001E6CF3" w:rsidRDefault="009237BA" w:rsidP="00843CE2">
      <w:pPr>
        <w:spacing w:line="360" w:lineRule="auto"/>
        <w:jc w:val="both"/>
      </w:pPr>
      <w:r w:rsidRPr="001E6CF3">
        <w:t>The compensation of employees makes up 34 per cent of the total budget, with goods and services at 16 per cent and travel and subsistence at 4 per cent. These proportions are not significantly different from 2015/16.</w:t>
      </w:r>
    </w:p>
    <w:p w:rsidR="009237BA" w:rsidRPr="001E6CF3" w:rsidRDefault="009237BA" w:rsidP="00843CE2">
      <w:pPr>
        <w:spacing w:line="360" w:lineRule="auto"/>
        <w:jc w:val="both"/>
        <w:rPr>
          <w:color w:val="E36C0A" w:themeColor="accent6" w:themeShade="BF"/>
        </w:rPr>
      </w:pPr>
    </w:p>
    <w:p w:rsidR="009237BA" w:rsidRPr="001E6CF3" w:rsidRDefault="009237BA" w:rsidP="00843CE2">
      <w:pPr>
        <w:spacing w:line="360" w:lineRule="auto"/>
        <w:jc w:val="both"/>
      </w:pPr>
      <w:r w:rsidRPr="001E6CF3">
        <w:t>The weighting of the programmes as a percentage of the total Vote allocation is indicated in Figure 1, below, for 2015/16 and 2016/17, with the very small percentage changes in the size of the ‘slices’ indicated  next to each programme name:</w:t>
      </w:r>
    </w:p>
    <w:p w:rsidR="009237BA" w:rsidRPr="001E6CF3" w:rsidRDefault="009237BA" w:rsidP="00843CE2">
      <w:pPr>
        <w:spacing w:line="360" w:lineRule="auto"/>
        <w:jc w:val="both"/>
      </w:pPr>
    </w:p>
    <w:p w:rsidR="009237BA" w:rsidRPr="001E6CF3" w:rsidRDefault="009237BA" w:rsidP="00843CE2">
      <w:pPr>
        <w:spacing w:line="360" w:lineRule="auto"/>
        <w:jc w:val="both"/>
      </w:pPr>
      <w:r w:rsidRPr="001E6CF3">
        <w:t>[This shows that there are no significant changes in the share which each of four programmes has in the total budget for the Department]</w:t>
      </w:r>
    </w:p>
    <w:p w:rsidR="0088290D" w:rsidRPr="001E6CF3" w:rsidRDefault="0088290D" w:rsidP="00843CE2">
      <w:pPr>
        <w:pStyle w:val="Caption"/>
        <w:keepNext/>
        <w:spacing w:line="360" w:lineRule="auto"/>
        <w:rPr>
          <w:rFonts w:ascii="Times New Roman" w:hAnsi="Times New Roman"/>
          <w:sz w:val="24"/>
          <w:szCs w:val="24"/>
        </w:rPr>
      </w:pPr>
    </w:p>
    <w:p w:rsidR="009237BA" w:rsidRPr="001E6CF3" w:rsidRDefault="009237BA" w:rsidP="00843CE2">
      <w:pPr>
        <w:pStyle w:val="Caption"/>
        <w:keepNext/>
        <w:spacing w:line="360" w:lineRule="auto"/>
        <w:rPr>
          <w:rFonts w:ascii="Times New Roman" w:hAnsi="Times New Roman"/>
          <w:color w:val="auto"/>
          <w:sz w:val="24"/>
          <w:szCs w:val="24"/>
        </w:rPr>
      </w:pPr>
      <w:r w:rsidRPr="001E6CF3">
        <w:rPr>
          <w:rFonts w:ascii="Times New Roman" w:hAnsi="Times New Roman"/>
          <w:color w:val="auto"/>
          <w:sz w:val="24"/>
          <w:szCs w:val="24"/>
        </w:rPr>
        <w:t xml:space="preserve">Figure </w:t>
      </w:r>
      <w:r w:rsidR="008526E6" w:rsidRPr="001E6CF3">
        <w:rPr>
          <w:rFonts w:ascii="Times New Roman" w:hAnsi="Times New Roman"/>
          <w:color w:val="auto"/>
          <w:sz w:val="24"/>
          <w:szCs w:val="24"/>
        </w:rPr>
        <w:fldChar w:fldCharType="begin"/>
      </w:r>
      <w:r w:rsidRPr="001E6CF3">
        <w:rPr>
          <w:rFonts w:ascii="Times New Roman" w:hAnsi="Times New Roman"/>
          <w:color w:val="auto"/>
          <w:sz w:val="24"/>
          <w:szCs w:val="24"/>
        </w:rPr>
        <w:instrText xml:space="preserve"> SEQ Figure \* ARABIC </w:instrText>
      </w:r>
      <w:r w:rsidR="008526E6" w:rsidRPr="001E6CF3">
        <w:rPr>
          <w:rFonts w:ascii="Times New Roman" w:hAnsi="Times New Roman"/>
          <w:color w:val="auto"/>
          <w:sz w:val="24"/>
          <w:szCs w:val="24"/>
        </w:rPr>
        <w:fldChar w:fldCharType="separate"/>
      </w:r>
      <w:r w:rsidRPr="001E6CF3">
        <w:rPr>
          <w:rFonts w:ascii="Times New Roman" w:hAnsi="Times New Roman"/>
          <w:noProof/>
          <w:color w:val="auto"/>
          <w:sz w:val="24"/>
          <w:szCs w:val="24"/>
        </w:rPr>
        <w:t>1</w:t>
      </w:r>
      <w:r w:rsidR="008526E6" w:rsidRPr="001E6CF3">
        <w:rPr>
          <w:rFonts w:ascii="Times New Roman" w:hAnsi="Times New Roman"/>
          <w:noProof/>
          <w:color w:val="auto"/>
          <w:sz w:val="24"/>
          <w:szCs w:val="24"/>
        </w:rPr>
        <w:fldChar w:fldCharType="end"/>
      </w:r>
      <w:r w:rsidRPr="001E6CF3">
        <w:rPr>
          <w:rFonts w:ascii="Times New Roman" w:hAnsi="Times New Roman"/>
          <w:color w:val="auto"/>
          <w:sz w:val="24"/>
          <w:szCs w:val="24"/>
        </w:rPr>
        <w:t>: Vote 29: Comparison of the split of the Mineral Resources budget between Programmes</w:t>
      </w:r>
    </w:p>
    <w:p w:rsidR="009237BA" w:rsidRPr="001E6CF3" w:rsidRDefault="009237BA" w:rsidP="00843CE2">
      <w:pPr>
        <w:spacing w:line="360" w:lineRule="auto"/>
      </w:pPr>
    </w:p>
    <w:p w:rsidR="003715EC" w:rsidRPr="001E6CF3" w:rsidRDefault="009237BA" w:rsidP="00843CE2">
      <w:pPr>
        <w:spacing w:line="360" w:lineRule="auto"/>
        <w:ind w:right="-180"/>
        <w:jc w:val="both"/>
        <w:rPr>
          <w:lang w:val="en-ZA"/>
        </w:rPr>
      </w:pPr>
      <w:r w:rsidRPr="001E6CF3">
        <w:rPr>
          <w:noProof/>
          <w:color w:val="E36C0A" w:themeColor="accent6" w:themeShade="BF"/>
          <w:lang w:val="en-ZA" w:eastAsia="en-ZA"/>
        </w:rPr>
        <w:drawing>
          <wp:inline distT="0" distB="0" distL="0" distR="0" wp14:anchorId="520F388C" wp14:editId="2CF924C2">
            <wp:extent cx="6116320" cy="2396902"/>
            <wp:effectExtent l="0" t="0" r="0" b="381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16320" cy="2396902"/>
                    </a:xfrm>
                    <a:prstGeom prst="rect">
                      <a:avLst/>
                    </a:prstGeom>
                    <a:noFill/>
                    <a:ln w="9525">
                      <a:noFill/>
                      <a:miter lim="800000"/>
                      <a:headEnd/>
                      <a:tailEnd/>
                    </a:ln>
                  </pic:spPr>
                </pic:pic>
              </a:graphicData>
            </a:graphic>
          </wp:inline>
        </w:drawing>
      </w:r>
    </w:p>
    <w:p w:rsidR="0053228F" w:rsidRPr="001E6CF3" w:rsidRDefault="0053228F" w:rsidP="00843CE2">
      <w:pPr>
        <w:pStyle w:val="Heading2"/>
        <w:keepLines/>
        <w:pageBreakBefore/>
        <w:numPr>
          <w:ilvl w:val="1"/>
          <w:numId w:val="3"/>
        </w:numPr>
        <w:spacing w:before="40" w:after="0" w:line="360" w:lineRule="auto"/>
        <w:ind w:left="709" w:hanging="709"/>
        <w:rPr>
          <w:rFonts w:ascii="Times New Roman" w:hAnsi="Times New Roman" w:cs="Times New Roman"/>
          <w:sz w:val="24"/>
          <w:szCs w:val="24"/>
        </w:rPr>
      </w:pPr>
      <w:bookmarkStart w:id="5" w:name="_Toc444422064"/>
      <w:r w:rsidRPr="001E6CF3">
        <w:rPr>
          <w:rFonts w:ascii="Times New Roman" w:hAnsi="Times New Roman" w:cs="Times New Roman"/>
          <w:sz w:val="24"/>
          <w:szCs w:val="24"/>
        </w:rPr>
        <w:t>Programme Analysis</w:t>
      </w:r>
      <w:bookmarkEnd w:id="5"/>
      <w:r w:rsidRPr="001E6CF3">
        <w:rPr>
          <w:rFonts w:ascii="Times New Roman" w:hAnsi="Times New Roman" w:cs="Times New Roman"/>
          <w:sz w:val="24"/>
          <w:szCs w:val="24"/>
        </w:rPr>
        <w:t xml:space="preserve"> </w:t>
      </w:r>
    </w:p>
    <w:p w:rsidR="0053228F" w:rsidRPr="001E6CF3" w:rsidRDefault="0053228F" w:rsidP="00843CE2">
      <w:pPr>
        <w:spacing w:line="360" w:lineRule="auto"/>
      </w:pPr>
    </w:p>
    <w:p w:rsidR="0053228F" w:rsidRPr="001E6CF3" w:rsidRDefault="0053228F" w:rsidP="00843CE2">
      <w:pPr>
        <w:pStyle w:val="Heading3"/>
        <w:numPr>
          <w:ilvl w:val="2"/>
          <w:numId w:val="3"/>
        </w:numPr>
        <w:spacing w:before="0" w:line="360" w:lineRule="auto"/>
        <w:ind w:left="709" w:hanging="709"/>
        <w:jc w:val="both"/>
        <w:rPr>
          <w:rFonts w:ascii="Times New Roman" w:hAnsi="Times New Roman" w:cs="Times New Roman"/>
          <w:b/>
          <w:color w:val="auto"/>
        </w:rPr>
      </w:pPr>
      <w:bookmarkStart w:id="6" w:name="_Toc444422065"/>
      <w:r w:rsidRPr="001E6CF3">
        <w:rPr>
          <w:rFonts w:ascii="Times New Roman" w:hAnsi="Times New Roman" w:cs="Times New Roman"/>
          <w:b/>
          <w:color w:val="auto"/>
        </w:rPr>
        <w:t>Programme 1: Administration</w:t>
      </w:r>
      <w:bookmarkEnd w:id="6"/>
    </w:p>
    <w:p w:rsidR="0053228F" w:rsidRPr="001E6CF3" w:rsidRDefault="0053228F" w:rsidP="00843CE2">
      <w:pPr>
        <w:spacing w:line="360" w:lineRule="auto"/>
      </w:pPr>
    </w:p>
    <w:p w:rsidR="0053228F" w:rsidRPr="001E6CF3" w:rsidRDefault="0053228F" w:rsidP="00843CE2">
      <w:pPr>
        <w:spacing w:line="360" w:lineRule="auto"/>
      </w:pPr>
      <w:r w:rsidRPr="001E6CF3">
        <w:t xml:space="preserve">The purpose of the Administration Programme is to “provide strategic leadership, management and support services to the Department”. </w:t>
      </w:r>
    </w:p>
    <w:p w:rsidR="0053228F" w:rsidRPr="001E6CF3" w:rsidRDefault="0053228F" w:rsidP="00843CE2">
      <w:pPr>
        <w:spacing w:line="360" w:lineRule="auto"/>
      </w:pPr>
    </w:p>
    <w:p w:rsidR="0053228F" w:rsidRPr="001E6CF3" w:rsidRDefault="0053228F" w:rsidP="00843CE2">
      <w:pPr>
        <w:pStyle w:val="Caption"/>
        <w:keepNext/>
        <w:spacing w:line="360" w:lineRule="auto"/>
        <w:rPr>
          <w:rFonts w:ascii="Times New Roman" w:hAnsi="Times New Roman"/>
          <w:color w:val="auto"/>
          <w:sz w:val="24"/>
          <w:szCs w:val="24"/>
        </w:rPr>
      </w:pPr>
      <w:r w:rsidRPr="001E6CF3">
        <w:rPr>
          <w:rFonts w:ascii="Times New Roman" w:hAnsi="Times New Roman"/>
          <w:color w:val="auto"/>
          <w:sz w:val="24"/>
          <w:szCs w:val="24"/>
        </w:rPr>
        <w:t xml:space="preserve">Table </w:t>
      </w:r>
      <w:r w:rsidR="008526E6" w:rsidRPr="001E6CF3">
        <w:rPr>
          <w:rFonts w:ascii="Times New Roman" w:hAnsi="Times New Roman"/>
          <w:color w:val="auto"/>
          <w:sz w:val="24"/>
          <w:szCs w:val="24"/>
        </w:rPr>
        <w:fldChar w:fldCharType="begin"/>
      </w:r>
      <w:r w:rsidRPr="001E6CF3">
        <w:rPr>
          <w:rFonts w:ascii="Times New Roman" w:hAnsi="Times New Roman"/>
          <w:color w:val="auto"/>
          <w:sz w:val="24"/>
          <w:szCs w:val="24"/>
        </w:rPr>
        <w:instrText xml:space="preserve"> SEQ Table \* ARABIC </w:instrText>
      </w:r>
      <w:r w:rsidR="008526E6" w:rsidRPr="001E6CF3">
        <w:rPr>
          <w:rFonts w:ascii="Times New Roman" w:hAnsi="Times New Roman"/>
          <w:color w:val="auto"/>
          <w:sz w:val="24"/>
          <w:szCs w:val="24"/>
        </w:rPr>
        <w:fldChar w:fldCharType="separate"/>
      </w:r>
      <w:r w:rsidRPr="001E6CF3">
        <w:rPr>
          <w:rFonts w:ascii="Times New Roman" w:hAnsi="Times New Roman"/>
          <w:noProof/>
          <w:color w:val="auto"/>
          <w:sz w:val="24"/>
          <w:szCs w:val="24"/>
        </w:rPr>
        <w:t>2</w:t>
      </w:r>
      <w:r w:rsidR="008526E6" w:rsidRPr="001E6CF3">
        <w:rPr>
          <w:rFonts w:ascii="Times New Roman" w:hAnsi="Times New Roman"/>
          <w:noProof/>
          <w:color w:val="auto"/>
          <w:sz w:val="24"/>
          <w:szCs w:val="24"/>
        </w:rPr>
        <w:fldChar w:fldCharType="end"/>
      </w:r>
      <w:r w:rsidRPr="001E6CF3">
        <w:rPr>
          <w:rFonts w:ascii="Times New Roman" w:hAnsi="Times New Roman"/>
          <w:color w:val="auto"/>
          <w:sz w:val="24"/>
          <w:szCs w:val="24"/>
        </w:rPr>
        <w:t>: Programme 1 - Administration</w:t>
      </w:r>
    </w:p>
    <w:tbl>
      <w:tblPr>
        <w:tblW w:w="9230" w:type="dxa"/>
        <w:tblInd w:w="108" w:type="dxa"/>
        <w:tblLook w:val="04A0" w:firstRow="1" w:lastRow="0" w:firstColumn="1" w:lastColumn="0" w:noHBand="0" w:noVBand="1"/>
      </w:tblPr>
      <w:tblGrid>
        <w:gridCol w:w="2340"/>
        <w:gridCol w:w="1170"/>
        <w:gridCol w:w="1080"/>
        <w:gridCol w:w="1356"/>
        <w:gridCol w:w="1568"/>
        <w:gridCol w:w="1716"/>
      </w:tblGrid>
      <w:tr w:rsidR="0053228F" w:rsidRPr="0050021F" w:rsidTr="00A64D62">
        <w:tc>
          <w:tcPr>
            <w:tcW w:w="2340" w:type="dxa"/>
            <w:tcBorders>
              <w:top w:val="single" w:sz="4" w:space="0" w:color="auto"/>
              <w:left w:val="single" w:sz="4" w:space="0" w:color="auto"/>
              <w:bottom w:val="nil"/>
              <w:right w:val="nil"/>
            </w:tcBorders>
            <w:shd w:val="clear" w:color="auto" w:fill="auto"/>
            <w:noWrap/>
            <w:vAlign w:val="center"/>
            <w:hideMark/>
          </w:tcPr>
          <w:p w:rsidR="0053228F" w:rsidRPr="001E6CF3" w:rsidRDefault="0053228F" w:rsidP="00843CE2">
            <w:pPr>
              <w:spacing w:line="360" w:lineRule="auto"/>
              <w:rPr>
                <w:b/>
                <w:bCs/>
              </w:rPr>
            </w:pPr>
          </w:p>
          <w:p w:rsidR="0053228F" w:rsidRPr="001E6CF3" w:rsidRDefault="0053228F" w:rsidP="00843CE2">
            <w:pPr>
              <w:spacing w:line="360" w:lineRule="auto"/>
              <w:jc w:val="center"/>
              <w:rPr>
                <w:b/>
                <w:bCs/>
              </w:rPr>
            </w:pPr>
            <w:r w:rsidRPr="001E6CF3">
              <w:rPr>
                <w:b/>
                <w:bCs/>
              </w:rPr>
              <w:t>Sub-Programme</w:t>
            </w:r>
          </w:p>
        </w:tc>
        <w:tc>
          <w:tcPr>
            <w:tcW w:w="2250" w:type="dxa"/>
            <w:gridSpan w:val="2"/>
            <w:tcBorders>
              <w:top w:val="single" w:sz="4" w:space="0" w:color="auto"/>
              <w:left w:val="single" w:sz="4" w:space="0" w:color="auto"/>
              <w:bottom w:val="nil"/>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Budget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Nominal Increase / Decrease in 2016/17</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Nominal Percent change in 2016/17</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Real Percent change in 2016/17</w:t>
            </w:r>
          </w:p>
        </w:tc>
      </w:tr>
      <w:tr w:rsidR="0053228F" w:rsidRPr="0050021F" w:rsidTr="00A64D62">
        <w:trPr>
          <w:trHeight w:val="255"/>
        </w:trPr>
        <w:tc>
          <w:tcPr>
            <w:tcW w:w="2340" w:type="dxa"/>
            <w:tcBorders>
              <w:top w:val="nil"/>
              <w:left w:val="single" w:sz="4" w:space="0" w:color="auto"/>
              <w:bottom w:val="single" w:sz="4" w:space="0" w:color="auto"/>
              <w:right w:val="nil"/>
            </w:tcBorders>
            <w:shd w:val="clear" w:color="auto" w:fill="auto"/>
            <w:noWrap/>
            <w:vAlign w:val="bottom"/>
            <w:hideMark/>
          </w:tcPr>
          <w:p w:rsidR="0053228F" w:rsidRPr="001E6CF3" w:rsidRDefault="0053228F" w:rsidP="00843CE2">
            <w:pPr>
              <w:spacing w:line="360" w:lineRule="auto"/>
              <w:jc w:val="center"/>
              <w:rPr>
                <w:b/>
                <w:bCs/>
              </w:rPr>
            </w:pPr>
            <w:r w:rsidRPr="001E6CF3">
              <w:rPr>
                <w:b/>
                <w:bCs/>
              </w:rPr>
              <w:t>R million</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2015/16</w:t>
            </w:r>
          </w:p>
        </w:tc>
        <w:tc>
          <w:tcPr>
            <w:tcW w:w="1080"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2016/17</w:t>
            </w: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3228F" w:rsidRPr="001E6CF3" w:rsidRDefault="0053228F" w:rsidP="00843CE2">
            <w:pPr>
              <w:spacing w:line="360" w:lineRule="auto"/>
              <w:rPr>
                <w:b/>
                <w:bCs/>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rsidR="0053228F" w:rsidRPr="001E6CF3" w:rsidRDefault="0053228F" w:rsidP="00843CE2">
            <w:pPr>
              <w:spacing w:line="360" w:lineRule="auto"/>
              <w:rPr>
                <w:b/>
                <w:bCs/>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53228F" w:rsidRPr="001E6CF3" w:rsidRDefault="0053228F" w:rsidP="00843CE2">
            <w:pPr>
              <w:spacing w:line="360" w:lineRule="auto"/>
              <w:rPr>
                <w:b/>
                <w:bCs/>
              </w:rPr>
            </w:pP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Ministry</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28.8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23.4</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5.4</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-18.82 </w:t>
            </w:r>
            <w:r w:rsidR="00D5138D" w:rsidRPr="001E6CF3">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-23.84 </w:t>
            </w:r>
            <w:r w:rsidR="00D5138D" w:rsidRPr="001E6CF3">
              <w:t>%</w:t>
            </w: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Corporate Services</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120.6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123.7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3.2</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2.64 </w:t>
            </w:r>
            <w:r w:rsidR="00D5138D" w:rsidRPr="001E6CF3">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-3.72 </w:t>
            </w:r>
            <w:r w:rsidR="00D5138D" w:rsidRPr="001E6CF3">
              <w:t>%</w:t>
            </w: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Department Management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21.3</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20.2</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1.2</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-5.47 </w:t>
            </w:r>
            <w:r w:rsidR="00D5138D" w:rsidRPr="001E6CF3">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-11.33 </w:t>
            </w:r>
            <w:r w:rsidR="00D5138D" w:rsidRPr="001E6CF3">
              <w:t>%</w:t>
            </w: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Financial Administration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93.8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97.7</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4.0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4.22 </w:t>
            </w:r>
            <w:r w:rsidR="00D5138D" w:rsidRPr="001E6CF3">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-2.24 </w:t>
            </w:r>
            <w:r w:rsidR="00D5138D" w:rsidRPr="001E6CF3">
              <w:t>%</w:t>
            </w: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Internal Audit</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14.6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14.5</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0.1</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-0.79 </w:t>
            </w:r>
            <w:r w:rsidR="00D5138D" w:rsidRPr="001E6CF3">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-6.93 </w:t>
            </w:r>
            <w:r w:rsidR="00D5138D" w:rsidRPr="001E6CF3">
              <w:t>%</w:t>
            </w: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Office Accommodation</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29.7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31.3</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1.6</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5.30 </w:t>
            </w:r>
            <w:r w:rsidR="00D5138D" w:rsidRPr="001E6CF3">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-1.22 </w:t>
            </w:r>
            <w:r w:rsidR="00D5138D" w:rsidRPr="001E6CF3">
              <w:t>%</w:t>
            </w:r>
          </w:p>
        </w:tc>
      </w:tr>
      <w:tr w:rsidR="0053228F" w:rsidRPr="0050021F" w:rsidTr="00A64D62">
        <w:trPr>
          <w:trHeight w:val="25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rPr>
                <w:b/>
              </w:rPr>
            </w:pPr>
            <w:r w:rsidRPr="001E6CF3">
              <w:rPr>
                <w:b/>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  308.9</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  310.9</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t xml:space="preserve">  </w:t>
            </w:r>
            <w:r w:rsidRPr="001E6CF3">
              <w:rPr>
                <w:b/>
              </w:rPr>
              <w:t>2.0</w:t>
            </w:r>
          </w:p>
        </w:tc>
        <w:tc>
          <w:tcPr>
            <w:tcW w:w="1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0.6 </w:t>
            </w:r>
            <w:r w:rsidR="00D5138D" w:rsidRPr="001E6CF3">
              <w:rPr>
                <w:b/>
              </w:rPr>
              <w:t>%</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-5.58 </w:t>
            </w:r>
            <w:r w:rsidR="00D5138D" w:rsidRPr="001E6CF3">
              <w:rPr>
                <w:b/>
              </w:rPr>
              <w:t>%</w:t>
            </w:r>
          </w:p>
        </w:tc>
      </w:tr>
    </w:tbl>
    <w:p w:rsidR="0053228F" w:rsidRPr="001E6CF3" w:rsidRDefault="0053228F" w:rsidP="00843CE2">
      <w:pPr>
        <w:spacing w:line="360" w:lineRule="auto"/>
      </w:pPr>
      <w:r w:rsidRPr="001E6CF3">
        <w:t>Source: National Treasury Vote 29: Mineral Resources 2016</w:t>
      </w:r>
    </w:p>
    <w:p w:rsidR="0053228F" w:rsidRPr="001E6CF3" w:rsidRDefault="0053228F" w:rsidP="00843CE2">
      <w:pPr>
        <w:spacing w:line="360" w:lineRule="auto"/>
        <w:rPr>
          <w:color w:val="00B050"/>
        </w:rPr>
      </w:pPr>
    </w:p>
    <w:p w:rsidR="0053228F" w:rsidRPr="001E6CF3" w:rsidRDefault="0053228F" w:rsidP="00843CE2">
      <w:pPr>
        <w:spacing w:line="360" w:lineRule="auto"/>
      </w:pPr>
      <w:r w:rsidRPr="001E6CF3">
        <w:t>Overall, there is a 6 per cent real decrease in the budget allocation for Administration. The small net R2-million increase will not compensate for the eroding effects of inflation. The differences in the percentage changes between sub-programmes are minor, with the exception of the cut in the budget for the Ministry, which falls by a quarter in real terms.</w:t>
      </w:r>
    </w:p>
    <w:p w:rsidR="0053228F" w:rsidRPr="001E6CF3" w:rsidRDefault="0053228F" w:rsidP="00843CE2">
      <w:pPr>
        <w:spacing w:line="360" w:lineRule="auto"/>
      </w:pPr>
    </w:p>
    <w:p w:rsidR="00730872" w:rsidRDefault="0053228F" w:rsidP="00730872">
      <w:pPr>
        <w:spacing w:line="360" w:lineRule="auto"/>
      </w:pPr>
      <w:r w:rsidRPr="001E6CF3">
        <w:t>Administration: Over the medium term, to 2018/19, compensation of employees will grow by 4.8 per cent on average each year, despite the budgeted cut of R35-m in salary costs approved by Cabinet. This needs to be compared against the lower, 0.8 per cent, provision for the growth in goods and services. The number of employees stays constant at 399.</w:t>
      </w:r>
      <w:bookmarkStart w:id="7" w:name="_Toc444422066"/>
    </w:p>
    <w:p w:rsidR="0053228F" w:rsidRPr="001E6CF3" w:rsidRDefault="0088290D" w:rsidP="00730872">
      <w:pPr>
        <w:spacing w:line="360" w:lineRule="auto"/>
        <w:rPr>
          <w:b/>
        </w:rPr>
      </w:pPr>
      <w:r w:rsidRPr="001E6CF3">
        <w:rPr>
          <w:b/>
        </w:rPr>
        <w:t>1.2</w:t>
      </w:r>
      <w:r w:rsidRPr="001E6CF3">
        <w:rPr>
          <w:b/>
        </w:rPr>
        <w:tab/>
      </w:r>
      <w:r w:rsidR="0053228F" w:rsidRPr="001E6CF3">
        <w:rPr>
          <w:b/>
        </w:rPr>
        <w:t>Programme 2: Mine Health and Safety</w:t>
      </w:r>
      <w:bookmarkEnd w:id="7"/>
    </w:p>
    <w:p w:rsidR="0053228F" w:rsidRPr="0050021F" w:rsidRDefault="0053228F" w:rsidP="00843CE2">
      <w:pPr>
        <w:spacing w:line="360" w:lineRule="auto"/>
      </w:pPr>
    </w:p>
    <w:p w:rsidR="0053228F" w:rsidRPr="001E6CF3" w:rsidRDefault="0053228F" w:rsidP="00843CE2">
      <w:pPr>
        <w:spacing w:line="360" w:lineRule="auto"/>
      </w:pPr>
      <w:r w:rsidRPr="001E6CF3">
        <w:t>The purpose of the Promotion of Mine Health and Safety programme is “to ensure the safe mining of minerals under healthy working conditions”.</w:t>
      </w:r>
    </w:p>
    <w:p w:rsidR="0053228F" w:rsidRPr="001E6CF3" w:rsidRDefault="0053228F" w:rsidP="00843CE2">
      <w:pPr>
        <w:spacing w:line="360" w:lineRule="auto"/>
      </w:pPr>
    </w:p>
    <w:p w:rsidR="0053228F" w:rsidRPr="001E6CF3" w:rsidRDefault="0053228F" w:rsidP="00843CE2">
      <w:pPr>
        <w:pStyle w:val="Caption"/>
        <w:keepNext/>
        <w:spacing w:line="360" w:lineRule="auto"/>
        <w:rPr>
          <w:rFonts w:ascii="Times New Roman" w:hAnsi="Times New Roman"/>
          <w:color w:val="auto"/>
          <w:sz w:val="24"/>
          <w:szCs w:val="24"/>
        </w:rPr>
      </w:pPr>
      <w:r w:rsidRPr="001E6CF3">
        <w:rPr>
          <w:rFonts w:ascii="Times New Roman" w:hAnsi="Times New Roman"/>
          <w:color w:val="auto"/>
          <w:sz w:val="24"/>
          <w:szCs w:val="24"/>
        </w:rPr>
        <w:t xml:space="preserve">Table </w:t>
      </w:r>
      <w:r w:rsidR="008526E6" w:rsidRPr="001E6CF3">
        <w:rPr>
          <w:rFonts w:ascii="Times New Roman" w:hAnsi="Times New Roman"/>
          <w:color w:val="auto"/>
          <w:sz w:val="24"/>
          <w:szCs w:val="24"/>
        </w:rPr>
        <w:fldChar w:fldCharType="begin"/>
      </w:r>
      <w:r w:rsidRPr="001E6CF3">
        <w:rPr>
          <w:rFonts w:ascii="Times New Roman" w:hAnsi="Times New Roman"/>
          <w:color w:val="auto"/>
          <w:sz w:val="24"/>
          <w:szCs w:val="24"/>
        </w:rPr>
        <w:instrText xml:space="preserve"> SEQ Table \* ARABIC </w:instrText>
      </w:r>
      <w:r w:rsidR="008526E6" w:rsidRPr="001E6CF3">
        <w:rPr>
          <w:rFonts w:ascii="Times New Roman" w:hAnsi="Times New Roman"/>
          <w:color w:val="auto"/>
          <w:sz w:val="24"/>
          <w:szCs w:val="24"/>
        </w:rPr>
        <w:fldChar w:fldCharType="separate"/>
      </w:r>
      <w:r w:rsidRPr="001E6CF3">
        <w:rPr>
          <w:rFonts w:ascii="Times New Roman" w:hAnsi="Times New Roman"/>
          <w:noProof/>
          <w:color w:val="auto"/>
          <w:sz w:val="24"/>
          <w:szCs w:val="24"/>
        </w:rPr>
        <w:t>3</w:t>
      </w:r>
      <w:r w:rsidR="008526E6" w:rsidRPr="001E6CF3">
        <w:rPr>
          <w:rFonts w:ascii="Times New Roman" w:hAnsi="Times New Roman"/>
          <w:noProof/>
          <w:color w:val="auto"/>
          <w:sz w:val="24"/>
          <w:szCs w:val="24"/>
        </w:rPr>
        <w:fldChar w:fldCharType="end"/>
      </w:r>
      <w:r w:rsidRPr="001E6CF3">
        <w:rPr>
          <w:rFonts w:ascii="Times New Roman" w:hAnsi="Times New Roman"/>
          <w:color w:val="auto"/>
          <w:sz w:val="24"/>
          <w:szCs w:val="24"/>
        </w:rPr>
        <w:t>: Programme 2 - Mine Health and Safety</w:t>
      </w:r>
    </w:p>
    <w:tbl>
      <w:tblPr>
        <w:tblW w:w="9668" w:type="dxa"/>
        <w:tblInd w:w="108" w:type="dxa"/>
        <w:tblLayout w:type="fixed"/>
        <w:tblLook w:val="04A0" w:firstRow="1" w:lastRow="0" w:firstColumn="1" w:lastColumn="0" w:noHBand="0" w:noVBand="1"/>
      </w:tblPr>
      <w:tblGrid>
        <w:gridCol w:w="3643"/>
        <w:gridCol w:w="893"/>
        <w:gridCol w:w="954"/>
        <w:gridCol w:w="1173"/>
        <w:gridCol w:w="1452"/>
        <w:gridCol w:w="1553"/>
      </w:tblGrid>
      <w:tr w:rsidR="0053228F" w:rsidRPr="0050021F" w:rsidTr="00FC6945">
        <w:trPr>
          <w:trHeight w:val="76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center"/>
              <w:rPr>
                <w:b/>
                <w:bCs/>
              </w:rPr>
            </w:pPr>
            <w:r w:rsidRPr="001E6CF3">
              <w:rPr>
                <w:b/>
                <w:bCs/>
              </w:rPr>
              <w:t>Sub-programme</w:t>
            </w:r>
          </w:p>
        </w:tc>
        <w:tc>
          <w:tcPr>
            <w:tcW w:w="1847" w:type="dxa"/>
            <w:gridSpan w:val="2"/>
            <w:tcBorders>
              <w:top w:val="single" w:sz="4" w:space="0" w:color="auto"/>
              <w:left w:val="nil"/>
              <w:bottom w:val="nil"/>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Budget</w:t>
            </w:r>
          </w:p>
        </w:tc>
        <w:tc>
          <w:tcPr>
            <w:tcW w:w="1173" w:type="dxa"/>
            <w:vMerge w:val="restart"/>
            <w:tcBorders>
              <w:top w:val="single" w:sz="4" w:space="0" w:color="auto"/>
              <w:left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Nominal Increase / Decrease in 2016/17</w:t>
            </w:r>
          </w:p>
        </w:tc>
        <w:tc>
          <w:tcPr>
            <w:tcW w:w="1452" w:type="dxa"/>
            <w:vMerge w:val="restart"/>
            <w:tcBorders>
              <w:top w:val="single" w:sz="4" w:space="0" w:color="auto"/>
              <w:left w:val="single" w:sz="4" w:space="0" w:color="auto"/>
              <w:right w:val="single" w:sz="4" w:space="0" w:color="auto"/>
            </w:tcBorders>
            <w:vAlign w:val="center"/>
          </w:tcPr>
          <w:p w:rsidR="0053228F" w:rsidRPr="001E6CF3" w:rsidRDefault="0053228F" w:rsidP="00843CE2">
            <w:pPr>
              <w:spacing w:line="360" w:lineRule="auto"/>
              <w:jc w:val="center"/>
              <w:rPr>
                <w:b/>
                <w:bCs/>
              </w:rPr>
            </w:pPr>
            <w:r w:rsidRPr="001E6CF3">
              <w:rPr>
                <w:b/>
                <w:bCs/>
              </w:rPr>
              <w:t>Nominal Percent change in 2016/17</w:t>
            </w:r>
          </w:p>
        </w:tc>
        <w:tc>
          <w:tcPr>
            <w:tcW w:w="1553" w:type="dxa"/>
            <w:vMerge w:val="restart"/>
            <w:tcBorders>
              <w:top w:val="single" w:sz="4" w:space="0" w:color="auto"/>
              <w:left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Real Percent change in 2016/17</w:t>
            </w:r>
          </w:p>
        </w:tc>
      </w:tr>
      <w:tr w:rsidR="0053228F" w:rsidRPr="0050021F" w:rsidTr="00FC6945">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R million</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2015/16</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2016/17</w:t>
            </w:r>
          </w:p>
        </w:tc>
        <w:tc>
          <w:tcPr>
            <w:tcW w:w="1173" w:type="dxa"/>
            <w:vMerge/>
            <w:tcBorders>
              <w:left w:val="single" w:sz="4" w:space="0" w:color="auto"/>
              <w:bottom w:val="single" w:sz="4" w:space="0" w:color="auto"/>
              <w:right w:val="single" w:sz="4" w:space="0" w:color="auto"/>
            </w:tcBorders>
            <w:vAlign w:val="center"/>
          </w:tcPr>
          <w:p w:rsidR="0053228F" w:rsidRPr="001E6CF3" w:rsidRDefault="0053228F" w:rsidP="00843CE2">
            <w:pPr>
              <w:spacing w:line="360" w:lineRule="auto"/>
              <w:jc w:val="center"/>
              <w:rPr>
                <w:b/>
                <w:bCs/>
              </w:rPr>
            </w:pPr>
          </w:p>
        </w:tc>
        <w:tc>
          <w:tcPr>
            <w:tcW w:w="1452" w:type="dxa"/>
            <w:vMerge/>
            <w:tcBorders>
              <w:left w:val="single" w:sz="4" w:space="0" w:color="auto"/>
              <w:bottom w:val="single" w:sz="4" w:space="0" w:color="auto"/>
              <w:right w:val="single" w:sz="4" w:space="0" w:color="auto"/>
            </w:tcBorders>
            <w:vAlign w:val="center"/>
            <w:hideMark/>
          </w:tcPr>
          <w:p w:rsidR="0053228F" w:rsidRPr="001E6CF3" w:rsidRDefault="0053228F" w:rsidP="00843CE2">
            <w:pPr>
              <w:spacing w:line="360" w:lineRule="auto"/>
              <w:jc w:val="center"/>
              <w:rPr>
                <w:b/>
                <w:bCs/>
              </w:rPr>
            </w:pPr>
          </w:p>
        </w:tc>
        <w:tc>
          <w:tcPr>
            <w:tcW w:w="1553" w:type="dxa"/>
            <w:vMerge/>
            <w:tcBorders>
              <w:left w:val="single" w:sz="4" w:space="0" w:color="auto"/>
              <w:bottom w:val="single" w:sz="4" w:space="0" w:color="auto"/>
              <w:right w:val="single" w:sz="4" w:space="0" w:color="auto"/>
            </w:tcBorders>
            <w:vAlign w:val="bottom"/>
            <w:hideMark/>
          </w:tcPr>
          <w:p w:rsidR="0053228F" w:rsidRPr="001E6CF3" w:rsidRDefault="0053228F" w:rsidP="00843CE2">
            <w:pPr>
              <w:spacing w:line="360" w:lineRule="auto"/>
              <w:jc w:val="center"/>
              <w:rPr>
                <w:b/>
                <w:bCs/>
              </w:rPr>
            </w:pPr>
          </w:p>
        </w:tc>
      </w:tr>
      <w:tr w:rsidR="0053228F" w:rsidRPr="0050021F" w:rsidTr="00FC6945">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Governance Policy and Oversight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52.9</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52.6</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0.2</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-0.42 </w:t>
            </w:r>
            <w:r w:rsidR="00D5138D" w:rsidRPr="001E6CF3">
              <w:t>%</w:t>
            </w:r>
          </w:p>
        </w:tc>
        <w:tc>
          <w:tcPr>
            <w:tcW w:w="1553"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pPr>
            <w:r w:rsidRPr="001E6CF3">
              <w:t xml:space="preserve">-6.58 </w:t>
            </w:r>
            <w:r w:rsidR="00D5138D" w:rsidRPr="001E6CF3">
              <w:t>%</w:t>
            </w:r>
          </w:p>
        </w:tc>
      </w:tr>
      <w:tr w:rsidR="0053228F" w:rsidRPr="0050021F" w:rsidTr="00FC6945">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Mine Health and Safety Regions</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131.6</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132.3</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0.7</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0.55 </w:t>
            </w:r>
            <w:r w:rsidR="00D5138D" w:rsidRPr="001E6CF3">
              <w:t>%</w:t>
            </w:r>
          </w:p>
        </w:tc>
        <w:tc>
          <w:tcPr>
            <w:tcW w:w="155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pPr>
            <w:r w:rsidRPr="001E6CF3">
              <w:t xml:space="preserve">-5.68 </w:t>
            </w:r>
            <w:r w:rsidR="00D5138D" w:rsidRPr="001E6CF3">
              <w:t>%</w:t>
            </w:r>
          </w:p>
        </w:tc>
      </w:tr>
      <w:tr w:rsidR="0053228F" w:rsidRPr="0050021F" w:rsidTr="00FC6945">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rPr>
                <w:b/>
              </w:rPr>
            </w:pPr>
            <w:r w:rsidRPr="001E6CF3">
              <w:t>Mine Health and Safety Council</w:t>
            </w:r>
          </w:p>
        </w:tc>
        <w:tc>
          <w:tcPr>
            <w:tcW w:w="893"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  0.0</w:t>
            </w:r>
          </w:p>
        </w:tc>
        <w:tc>
          <w:tcPr>
            <w:tcW w:w="954"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  0.0</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0.0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center"/>
            </w:pPr>
            <w:r w:rsidRPr="001E6CF3">
              <w:t>#N/A</w:t>
            </w:r>
          </w:p>
        </w:tc>
        <w:tc>
          <w:tcPr>
            <w:tcW w:w="1553"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center"/>
            </w:pPr>
            <w:r w:rsidRPr="001E6CF3">
              <w:t>#N/A</w:t>
            </w:r>
          </w:p>
        </w:tc>
      </w:tr>
      <w:tr w:rsidR="0053228F" w:rsidRPr="0050021F" w:rsidTr="00FC6945">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rPr>
                <w:b/>
              </w:rPr>
            </w:pPr>
            <w:r w:rsidRPr="001E6CF3">
              <w:rPr>
                <w:b/>
              </w:rPr>
              <w:t>TOTAL</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t xml:space="preserve">  </w:t>
            </w:r>
            <w:r w:rsidRPr="001E6CF3">
              <w:rPr>
                <w:b/>
              </w:rPr>
              <w:t>184.4</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  184.9</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rPr>
                <w:b/>
              </w:rPr>
            </w:pPr>
            <w:r w:rsidRPr="001E6CF3">
              <w:t xml:space="preserve">  </w:t>
            </w:r>
            <w:r w:rsidRPr="001E6CF3">
              <w:rPr>
                <w:b/>
              </w:rPr>
              <w:t>0.5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0.3 </w:t>
            </w:r>
            <w:r w:rsidR="00D5138D" w:rsidRPr="001E6CF3">
              <w:rPr>
                <w:b/>
              </w:rPr>
              <w:t>%</w:t>
            </w:r>
          </w:p>
        </w:tc>
        <w:tc>
          <w:tcPr>
            <w:tcW w:w="155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rPr>
            </w:pPr>
            <w:r w:rsidRPr="001E6CF3">
              <w:rPr>
                <w:b/>
              </w:rPr>
              <w:t xml:space="preserve">-5.94 </w:t>
            </w:r>
            <w:r w:rsidR="00D5138D" w:rsidRPr="001E6CF3">
              <w:rPr>
                <w:b/>
              </w:rPr>
              <w:t>%</w:t>
            </w:r>
          </w:p>
        </w:tc>
      </w:tr>
    </w:tbl>
    <w:p w:rsidR="0053228F" w:rsidRPr="001E6CF3" w:rsidRDefault="0053228F" w:rsidP="00843CE2">
      <w:pPr>
        <w:spacing w:line="360" w:lineRule="auto"/>
      </w:pPr>
      <w:r w:rsidRPr="001E6CF3">
        <w:t>Source: National Treasury Vote 29: Mineral Resources 2016</w:t>
      </w:r>
    </w:p>
    <w:p w:rsidR="0053228F" w:rsidRPr="001E6CF3" w:rsidRDefault="0053228F" w:rsidP="00843CE2">
      <w:pPr>
        <w:spacing w:line="360" w:lineRule="auto"/>
      </w:pPr>
    </w:p>
    <w:p w:rsidR="0053228F" w:rsidRPr="001E6CF3" w:rsidRDefault="0053228F" w:rsidP="00843CE2">
      <w:pPr>
        <w:spacing w:line="360" w:lineRule="auto"/>
        <w:jc w:val="both"/>
      </w:pPr>
      <w:r w:rsidRPr="001E6CF3">
        <w:t>Overall, there is a 6 per cent real decrease in the budget allocation for Mine Health and Safety.</w:t>
      </w:r>
    </w:p>
    <w:p w:rsidR="0053228F" w:rsidRPr="001E6CF3" w:rsidRDefault="0053228F" w:rsidP="00843CE2">
      <w:pPr>
        <w:spacing w:line="360" w:lineRule="auto"/>
        <w:jc w:val="both"/>
      </w:pPr>
    </w:p>
    <w:p w:rsidR="0053228F" w:rsidRPr="001E6CF3" w:rsidRDefault="0053228F" w:rsidP="00843CE2">
      <w:pPr>
        <w:spacing w:line="360" w:lineRule="auto"/>
        <w:jc w:val="both"/>
      </w:pPr>
      <w:r w:rsidRPr="001E6CF3">
        <w:t>Mine Health and Safety: Over the medium term, to 2018/19, compensation of employees will grow by 1.2 per cent on average each year, despite the budgeted cut of R30.5-m in salary costs approved by Cabinet. This needs to be compared against the marginally higher, 1.8 per cent, provision for the growth in goods and services. The number of employees stays constant at 283.</w:t>
      </w:r>
    </w:p>
    <w:p w:rsidR="0053228F" w:rsidRPr="001E6CF3" w:rsidRDefault="0053228F" w:rsidP="00843CE2">
      <w:pPr>
        <w:spacing w:line="360" w:lineRule="auto"/>
        <w:jc w:val="both"/>
      </w:pPr>
    </w:p>
    <w:p w:rsidR="0053228F" w:rsidRPr="001E6CF3" w:rsidRDefault="0053228F" w:rsidP="00730872">
      <w:pPr>
        <w:spacing w:line="360" w:lineRule="auto"/>
        <w:jc w:val="both"/>
        <w:rPr>
          <w:b/>
        </w:rPr>
      </w:pPr>
      <w:r w:rsidRPr="001E6CF3">
        <w:t xml:space="preserve">Eight thousand health and safety inspections and 396 audits are to be commissioned in 2016/17, the same number as in the previous year. The </w:t>
      </w:r>
      <w:r w:rsidRPr="001E6CF3">
        <w:rPr>
          <w:lang w:eastAsia="en-ZA"/>
        </w:rPr>
        <w:t>Mine Health and Safety Council (MHSC) will not be supported by the customary transfer of R5-million in 2016/17 from the Department. The MHSC has performed poorly in failing to spend its research budget for several years. The Council has accumulated a substantial surplus from DMR transfers and the approximately R80-million a year it generates from levies that are imposed on the mines according to their health and safety record. The MHSC has plans in place to reduce substantially the surplus over the Medium Term Expenditure Framework (MTEF). Transfers will resume in 2017/18 and total R12.7m</w:t>
      </w:r>
      <w:r w:rsidR="00CF5D76" w:rsidRPr="001E6CF3">
        <w:rPr>
          <w:lang w:eastAsia="en-ZA"/>
        </w:rPr>
        <w:t>illion</w:t>
      </w:r>
      <w:r w:rsidRPr="001E6CF3">
        <w:rPr>
          <w:lang w:eastAsia="en-ZA"/>
        </w:rPr>
        <w:t xml:space="preserve"> over the medium term.</w:t>
      </w:r>
      <w:r w:rsidR="00730872">
        <w:rPr>
          <w:lang w:eastAsia="en-ZA"/>
        </w:rPr>
        <w:t xml:space="preserve"> </w:t>
      </w:r>
      <w:bookmarkStart w:id="8" w:name="_Toc444422067"/>
      <w:r w:rsidR="0088290D" w:rsidRPr="001E6CF3">
        <w:rPr>
          <w:b/>
        </w:rPr>
        <w:t>3.1.3</w:t>
      </w:r>
      <w:r w:rsidR="0088290D" w:rsidRPr="001E6CF3">
        <w:rPr>
          <w:b/>
        </w:rPr>
        <w:tab/>
      </w:r>
      <w:r w:rsidRPr="001E6CF3">
        <w:rPr>
          <w:b/>
        </w:rPr>
        <w:t>Programme 3: Mineral Regulation</w:t>
      </w:r>
      <w:bookmarkEnd w:id="8"/>
    </w:p>
    <w:p w:rsidR="0053228F" w:rsidRPr="001E6CF3" w:rsidRDefault="0053228F" w:rsidP="00843CE2">
      <w:pPr>
        <w:spacing w:line="360" w:lineRule="auto"/>
      </w:pPr>
    </w:p>
    <w:p w:rsidR="0053228F" w:rsidRPr="001E6CF3" w:rsidRDefault="0053228F" w:rsidP="00843CE2">
      <w:pPr>
        <w:spacing w:line="360" w:lineRule="auto"/>
      </w:pPr>
      <w:r w:rsidRPr="001E6CF3">
        <w:t>The purpose of the Mineral Regulation Programme is to “regulate the minerals and mining sector to promote economic development, employment and ensure transformation and environmental compliance”.</w:t>
      </w:r>
    </w:p>
    <w:p w:rsidR="0053228F" w:rsidRPr="001E6CF3" w:rsidRDefault="0053228F" w:rsidP="00843CE2">
      <w:pPr>
        <w:spacing w:line="360" w:lineRule="auto"/>
      </w:pPr>
    </w:p>
    <w:p w:rsidR="0053228F" w:rsidRPr="001E6CF3" w:rsidRDefault="0053228F" w:rsidP="00843CE2">
      <w:pPr>
        <w:pStyle w:val="Caption"/>
        <w:keepNext/>
        <w:spacing w:line="360" w:lineRule="auto"/>
        <w:rPr>
          <w:rFonts w:ascii="Times New Roman" w:hAnsi="Times New Roman"/>
          <w:color w:val="auto"/>
          <w:sz w:val="24"/>
          <w:szCs w:val="24"/>
        </w:rPr>
      </w:pPr>
      <w:r w:rsidRPr="001E6CF3">
        <w:rPr>
          <w:rFonts w:ascii="Times New Roman" w:hAnsi="Times New Roman"/>
          <w:color w:val="auto"/>
          <w:sz w:val="24"/>
          <w:szCs w:val="24"/>
        </w:rPr>
        <w:t xml:space="preserve">Table </w:t>
      </w:r>
      <w:r w:rsidR="008526E6" w:rsidRPr="001E6CF3">
        <w:rPr>
          <w:rFonts w:ascii="Times New Roman" w:hAnsi="Times New Roman"/>
          <w:color w:val="auto"/>
          <w:sz w:val="24"/>
          <w:szCs w:val="24"/>
        </w:rPr>
        <w:fldChar w:fldCharType="begin"/>
      </w:r>
      <w:r w:rsidRPr="001E6CF3">
        <w:rPr>
          <w:rFonts w:ascii="Times New Roman" w:hAnsi="Times New Roman"/>
          <w:color w:val="auto"/>
          <w:sz w:val="24"/>
          <w:szCs w:val="24"/>
        </w:rPr>
        <w:instrText xml:space="preserve"> SEQ Table \* ARABIC </w:instrText>
      </w:r>
      <w:r w:rsidR="008526E6" w:rsidRPr="001E6CF3">
        <w:rPr>
          <w:rFonts w:ascii="Times New Roman" w:hAnsi="Times New Roman"/>
          <w:color w:val="auto"/>
          <w:sz w:val="24"/>
          <w:szCs w:val="24"/>
        </w:rPr>
        <w:fldChar w:fldCharType="separate"/>
      </w:r>
      <w:r w:rsidRPr="001E6CF3">
        <w:rPr>
          <w:rFonts w:ascii="Times New Roman" w:hAnsi="Times New Roman"/>
          <w:noProof/>
          <w:color w:val="auto"/>
          <w:sz w:val="24"/>
          <w:szCs w:val="24"/>
        </w:rPr>
        <w:t>4</w:t>
      </w:r>
      <w:r w:rsidR="008526E6" w:rsidRPr="001E6CF3">
        <w:rPr>
          <w:rFonts w:ascii="Times New Roman" w:hAnsi="Times New Roman"/>
          <w:noProof/>
          <w:color w:val="auto"/>
          <w:sz w:val="24"/>
          <w:szCs w:val="24"/>
        </w:rPr>
        <w:fldChar w:fldCharType="end"/>
      </w:r>
      <w:r w:rsidRPr="001E6CF3">
        <w:rPr>
          <w:rFonts w:ascii="Times New Roman" w:hAnsi="Times New Roman"/>
          <w:color w:val="auto"/>
          <w:sz w:val="24"/>
          <w:szCs w:val="24"/>
        </w:rPr>
        <w:t>: Programme 3 - Mineral Regulation</w:t>
      </w:r>
    </w:p>
    <w:tbl>
      <w:tblPr>
        <w:tblW w:w="9567" w:type="dxa"/>
        <w:tblInd w:w="108" w:type="dxa"/>
        <w:tblLayout w:type="fixed"/>
        <w:tblLook w:val="04A0" w:firstRow="1" w:lastRow="0" w:firstColumn="1" w:lastColumn="0" w:noHBand="0" w:noVBand="1"/>
      </w:tblPr>
      <w:tblGrid>
        <w:gridCol w:w="3643"/>
        <w:gridCol w:w="893"/>
        <w:gridCol w:w="954"/>
        <w:gridCol w:w="1173"/>
        <w:gridCol w:w="1452"/>
        <w:gridCol w:w="1452"/>
      </w:tblGrid>
      <w:tr w:rsidR="0053228F" w:rsidRPr="0050021F" w:rsidTr="00A64D62">
        <w:trPr>
          <w:trHeight w:val="76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center"/>
              <w:rPr>
                <w:b/>
                <w:bCs/>
              </w:rPr>
            </w:pPr>
            <w:r w:rsidRPr="001E6CF3">
              <w:rPr>
                <w:b/>
                <w:bCs/>
              </w:rPr>
              <w:t>Sub-programme</w:t>
            </w:r>
          </w:p>
        </w:tc>
        <w:tc>
          <w:tcPr>
            <w:tcW w:w="1847" w:type="dxa"/>
            <w:gridSpan w:val="2"/>
            <w:tcBorders>
              <w:top w:val="single" w:sz="4" w:space="0" w:color="auto"/>
              <w:left w:val="nil"/>
              <w:bottom w:val="nil"/>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Budget</w:t>
            </w:r>
          </w:p>
        </w:tc>
        <w:tc>
          <w:tcPr>
            <w:tcW w:w="1173" w:type="dxa"/>
            <w:vMerge w:val="restart"/>
            <w:tcBorders>
              <w:top w:val="single" w:sz="4" w:space="0" w:color="auto"/>
              <w:left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Nominal Increase / Decrease in 2016/17</w:t>
            </w:r>
          </w:p>
        </w:tc>
        <w:tc>
          <w:tcPr>
            <w:tcW w:w="1452" w:type="dxa"/>
            <w:vMerge w:val="restart"/>
            <w:tcBorders>
              <w:top w:val="single" w:sz="4" w:space="0" w:color="auto"/>
              <w:left w:val="single" w:sz="4" w:space="0" w:color="auto"/>
              <w:right w:val="single" w:sz="4" w:space="0" w:color="auto"/>
            </w:tcBorders>
            <w:vAlign w:val="center"/>
          </w:tcPr>
          <w:p w:rsidR="0053228F" w:rsidRPr="001E6CF3" w:rsidRDefault="0053228F" w:rsidP="00843CE2">
            <w:pPr>
              <w:spacing w:line="360" w:lineRule="auto"/>
              <w:jc w:val="center"/>
              <w:rPr>
                <w:b/>
                <w:bCs/>
              </w:rPr>
            </w:pPr>
            <w:r w:rsidRPr="001E6CF3">
              <w:rPr>
                <w:b/>
                <w:bCs/>
              </w:rPr>
              <w:t>Nominal Percent change in 2016/17</w:t>
            </w:r>
          </w:p>
        </w:tc>
        <w:tc>
          <w:tcPr>
            <w:tcW w:w="1452" w:type="dxa"/>
            <w:vMerge w:val="restart"/>
            <w:tcBorders>
              <w:top w:val="single" w:sz="4" w:space="0" w:color="auto"/>
              <w:left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Real Percent change in 2016/17</w:t>
            </w:r>
          </w:p>
        </w:tc>
      </w:tr>
      <w:tr w:rsidR="0053228F" w:rsidRPr="0050021F" w:rsidTr="00A64D62">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R million</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2015/16</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2016/17</w:t>
            </w:r>
          </w:p>
        </w:tc>
        <w:tc>
          <w:tcPr>
            <w:tcW w:w="1173" w:type="dxa"/>
            <w:vMerge/>
            <w:tcBorders>
              <w:left w:val="single" w:sz="4" w:space="0" w:color="auto"/>
              <w:bottom w:val="single" w:sz="4" w:space="0" w:color="auto"/>
              <w:right w:val="single" w:sz="4" w:space="0" w:color="auto"/>
            </w:tcBorders>
            <w:vAlign w:val="center"/>
          </w:tcPr>
          <w:p w:rsidR="0053228F" w:rsidRPr="001E6CF3" w:rsidRDefault="0053228F" w:rsidP="00843CE2">
            <w:pPr>
              <w:spacing w:line="360" w:lineRule="auto"/>
              <w:jc w:val="center"/>
              <w:rPr>
                <w:b/>
                <w:bCs/>
              </w:rPr>
            </w:pPr>
          </w:p>
        </w:tc>
        <w:tc>
          <w:tcPr>
            <w:tcW w:w="1452" w:type="dxa"/>
            <w:vMerge/>
            <w:tcBorders>
              <w:left w:val="single" w:sz="4" w:space="0" w:color="auto"/>
              <w:bottom w:val="single" w:sz="4" w:space="0" w:color="auto"/>
              <w:right w:val="single" w:sz="4" w:space="0" w:color="auto"/>
            </w:tcBorders>
            <w:vAlign w:val="center"/>
            <w:hideMark/>
          </w:tcPr>
          <w:p w:rsidR="0053228F" w:rsidRPr="001E6CF3" w:rsidRDefault="0053228F" w:rsidP="00843CE2">
            <w:pPr>
              <w:spacing w:line="360" w:lineRule="auto"/>
              <w:jc w:val="center"/>
              <w:rPr>
                <w:b/>
                <w:bCs/>
              </w:rPr>
            </w:pPr>
          </w:p>
        </w:tc>
        <w:tc>
          <w:tcPr>
            <w:tcW w:w="1452" w:type="dxa"/>
            <w:vMerge/>
            <w:tcBorders>
              <w:left w:val="single" w:sz="4" w:space="0" w:color="auto"/>
              <w:bottom w:val="single" w:sz="4" w:space="0" w:color="auto"/>
              <w:right w:val="single" w:sz="4" w:space="0" w:color="auto"/>
            </w:tcBorders>
            <w:vAlign w:val="bottom"/>
            <w:hideMark/>
          </w:tcPr>
          <w:p w:rsidR="0053228F" w:rsidRPr="001E6CF3" w:rsidRDefault="0053228F" w:rsidP="00843CE2">
            <w:pPr>
              <w:spacing w:line="360" w:lineRule="auto"/>
              <w:jc w:val="center"/>
              <w:rPr>
                <w:b/>
                <w:bCs/>
              </w:rPr>
            </w:pP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Mineral Regulation and Administration</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174.9</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190.4</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15.5</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8.87 </w:t>
            </w:r>
            <w:r w:rsidR="00CF5D76" w:rsidRPr="001E6CF3">
              <w:t>%</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2.13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Management Mineral Regulation</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38.3</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27.2</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11.1</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-29.02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-33.41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pPr>
            <w:r w:rsidRPr="001E6CF3">
              <w:t>SA Diamond &amp; Precious Metals Regulator</w:t>
            </w:r>
          </w:p>
        </w:tc>
        <w:tc>
          <w:tcPr>
            <w:tcW w:w="893"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  50.5</w:t>
            </w:r>
          </w:p>
        </w:tc>
        <w:tc>
          <w:tcPr>
            <w:tcW w:w="954"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  53.2</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2.7</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5.30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-1.22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rPr>
                <w:b/>
              </w:rPr>
            </w:pPr>
            <w:r w:rsidRPr="001E6CF3">
              <w:rPr>
                <w:b/>
              </w:rPr>
              <w:t>TOTAL</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  263.7</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t xml:space="preserve">  </w:t>
            </w:r>
            <w:r w:rsidRPr="001E6CF3">
              <w:rPr>
                <w:b/>
              </w:rPr>
              <w:t>270.8</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rPr>
                <w:b/>
              </w:rPr>
            </w:pPr>
            <w:r w:rsidRPr="001E6CF3">
              <w:rPr>
                <w:b/>
              </w:rPr>
              <w:t xml:space="preserve">  7.1</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2.7 </w:t>
            </w:r>
            <w:r w:rsidR="00CF5D76" w:rsidRPr="001E6CF3">
              <w:rPr>
                <w:b/>
              </w:rPr>
              <w:t>%</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rPr>
                <w:b/>
              </w:rPr>
            </w:pPr>
            <w:r w:rsidRPr="001E6CF3">
              <w:rPr>
                <w:b/>
              </w:rPr>
              <w:t xml:space="preserve">-3.68 </w:t>
            </w:r>
            <w:r w:rsidR="00CF5D76" w:rsidRPr="001E6CF3">
              <w:rPr>
                <w:b/>
              </w:rPr>
              <w:t>%</w:t>
            </w:r>
          </w:p>
        </w:tc>
      </w:tr>
    </w:tbl>
    <w:p w:rsidR="0053228F" w:rsidRPr="001E6CF3" w:rsidRDefault="0053228F" w:rsidP="00843CE2">
      <w:pPr>
        <w:spacing w:line="360" w:lineRule="auto"/>
      </w:pPr>
      <w:r w:rsidRPr="001E6CF3">
        <w:t>Source: National Treasury Vote 29: Mineral Resources 2016</w:t>
      </w:r>
    </w:p>
    <w:p w:rsidR="0053228F" w:rsidRPr="001E6CF3" w:rsidRDefault="0053228F" w:rsidP="00843CE2">
      <w:pPr>
        <w:spacing w:line="360" w:lineRule="auto"/>
      </w:pPr>
    </w:p>
    <w:p w:rsidR="0053228F" w:rsidRPr="001E6CF3" w:rsidRDefault="0053228F" w:rsidP="00843CE2">
      <w:pPr>
        <w:spacing w:line="360" w:lineRule="auto"/>
        <w:jc w:val="both"/>
      </w:pPr>
      <w:r w:rsidRPr="001E6CF3">
        <w:t>Overall, there is a 4 per cent real decrease in the budget allocation for Mineral Regulation in 2016/17, compared with the previous year. Significant budget increases over the medium term in 2017/18 and 2018/19 are explained by the need for government to fund the operations of the PASA</w:t>
      </w:r>
      <w:r w:rsidR="00CF5D76" w:rsidRPr="001E6CF3">
        <w:t>,</w:t>
      </w:r>
      <w:r w:rsidRPr="001E6CF3">
        <w:t xml:space="preserve"> the regulator of the oil and gas sector</w:t>
      </w:r>
      <w:r w:rsidR="00CF5D76" w:rsidRPr="001E6CF3">
        <w:t>,</w:t>
      </w:r>
      <w:r w:rsidRPr="001E6CF3">
        <w:t xml:space="preserve"> after its reserves of funding have been exhausted. PASA will receive transfers from the budget of the DMR of about R150m</w:t>
      </w:r>
      <w:r w:rsidR="00CF5D76" w:rsidRPr="001E6CF3">
        <w:t>illion</w:t>
      </w:r>
      <w:r w:rsidRPr="001E6CF3">
        <w:t xml:space="preserve"> per year. The DMR budget allocation will be increased to cover this.</w:t>
      </w:r>
    </w:p>
    <w:p w:rsidR="0053228F" w:rsidRPr="001E6CF3" w:rsidRDefault="0053228F" w:rsidP="00843CE2">
      <w:pPr>
        <w:spacing w:line="360" w:lineRule="auto"/>
        <w:jc w:val="both"/>
      </w:pPr>
    </w:p>
    <w:p w:rsidR="0053228F" w:rsidRPr="001E6CF3" w:rsidRDefault="0053228F" w:rsidP="00843CE2">
      <w:pPr>
        <w:spacing w:line="360" w:lineRule="auto"/>
        <w:jc w:val="both"/>
      </w:pPr>
      <w:r w:rsidRPr="001E6CF3">
        <w:t>Mineral Regulation: Over the medium term, to 2018/19, compensation of employees will grow by 3.5 per cent on average each year, despite the budgeted cut of R36.9-m in salary costs approved by Cabinet. This needs to be compared against the lower, 2.5 per cent, provision for the growth in goods and services. The number of employees is set to increase from 409 to 415.</w:t>
      </w:r>
    </w:p>
    <w:p w:rsidR="0053228F" w:rsidRPr="001E6CF3" w:rsidRDefault="0053228F" w:rsidP="00843CE2">
      <w:pPr>
        <w:spacing w:line="360" w:lineRule="auto"/>
        <w:jc w:val="both"/>
      </w:pPr>
    </w:p>
    <w:p w:rsidR="0053228F" w:rsidRPr="001E6CF3" w:rsidRDefault="0053228F" w:rsidP="00843CE2">
      <w:pPr>
        <w:spacing w:line="360" w:lineRule="auto"/>
        <w:jc w:val="both"/>
      </w:pPr>
      <w:r w:rsidRPr="001E6CF3">
        <w:t>The significant cut in the budget for the Management Mineral Regulation sub-programme is not explained. This sub-programme provides overall management of the programme. Expenditure was increased significantly in 2015/16 because of the new responsibilities transferred from the Department of Environmental Affairs. These responsibilities still remain in place.</w:t>
      </w:r>
    </w:p>
    <w:p w:rsidR="0053228F" w:rsidRPr="001E6CF3" w:rsidRDefault="0053228F" w:rsidP="00843CE2">
      <w:pPr>
        <w:spacing w:line="360" w:lineRule="auto"/>
        <w:jc w:val="both"/>
      </w:pPr>
    </w:p>
    <w:p w:rsidR="0053228F" w:rsidRPr="001E6CF3" w:rsidRDefault="0053228F" w:rsidP="00843CE2">
      <w:pPr>
        <w:spacing w:line="360" w:lineRule="auto"/>
        <w:jc w:val="both"/>
      </w:pPr>
      <w:r w:rsidRPr="001E6CF3">
        <w:t xml:space="preserve">Despite the declared intention of the DMR to “protect and enhance our environmental assets” and to ensure compliance with environmental legislation, the Department has significantly reduced the number of environmental verification inspections in its performance targets. The annual number has been reduced by a quarter, to 1 275 from 1 700 in 2015/16. This target was itself reduced from 1 856 in 2014/15. This reduction in the environmental enforcement performance standard, comes in tandem with an increase in staff numbers in the Environmental Mineral Resource Inspectorate (EMRI). The reduction in the performance measure is said to be due to the “budgetary constraints”. No similar reduction is planned in the targets of the Mine Health and Safety Inspectorate, which is surely subject to the same constraints. The DMR became fully responsible to implement national environmental standards in the mining sector from December 2014. </w:t>
      </w:r>
    </w:p>
    <w:p w:rsidR="0053228F" w:rsidRPr="001E6CF3" w:rsidRDefault="0053228F" w:rsidP="00843CE2">
      <w:pPr>
        <w:spacing w:line="360" w:lineRule="auto"/>
      </w:pPr>
    </w:p>
    <w:p w:rsidR="0053228F" w:rsidRPr="001E6CF3" w:rsidRDefault="0088290D" w:rsidP="00843CE2">
      <w:pPr>
        <w:pStyle w:val="Heading3"/>
        <w:spacing w:before="0" w:line="360" w:lineRule="auto"/>
        <w:ind w:left="720" w:hanging="720"/>
        <w:jc w:val="both"/>
        <w:rPr>
          <w:rFonts w:ascii="Times New Roman" w:hAnsi="Times New Roman" w:cs="Times New Roman"/>
          <w:b/>
          <w:color w:val="auto"/>
        </w:rPr>
      </w:pPr>
      <w:bookmarkStart w:id="9" w:name="_Toc444422068"/>
      <w:r w:rsidRPr="001E6CF3">
        <w:rPr>
          <w:rFonts w:ascii="Times New Roman" w:hAnsi="Times New Roman" w:cs="Times New Roman"/>
          <w:b/>
          <w:color w:val="auto"/>
        </w:rPr>
        <w:t>3.1.4</w:t>
      </w:r>
      <w:r w:rsidRPr="001E6CF3">
        <w:rPr>
          <w:rFonts w:ascii="Times New Roman" w:hAnsi="Times New Roman" w:cs="Times New Roman"/>
          <w:b/>
          <w:color w:val="auto"/>
        </w:rPr>
        <w:tab/>
      </w:r>
      <w:r w:rsidR="0053228F" w:rsidRPr="001E6CF3">
        <w:rPr>
          <w:rFonts w:ascii="Times New Roman" w:hAnsi="Times New Roman" w:cs="Times New Roman"/>
          <w:b/>
          <w:color w:val="auto"/>
        </w:rPr>
        <w:t>Programme 4: Mineral Policy and Promotion</w:t>
      </w:r>
      <w:bookmarkEnd w:id="9"/>
    </w:p>
    <w:p w:rsidR="0053228F" w:rsidRPr="001E6CF3" w:rsidRDefault="0053228F" w:rsidP="00843CE2">
      <w:pPr>
        <w:spacing w:line="360" w:lineRule="auto"/>
      </w:pPr>
    </w:p>
    <w:p w:rsidR="0053228F" w:rsidRPr="001E6CF3" w:rsidRDefault="0053228F" w:rsidP="00843CE2">
      <w:pPr>
        <w:spacing w:line="360" w:lineRule="auto"/>
      </w:pPr>
      <w:r w:rsidRPr="001E6CF3">
        <w:t>The purpose of the Mineral Policy and Promotion programme is to “develop relevant mineral policies that promote South Africa’s mining and minerals industries to attract investment”.</w:t>
      </w:r>
    </w:p>
    <w:p w:rsidR="0053228F" w:rsidRPr="001E6CF3" w:rsidRDefault="0053228F" w:rsidP="00843CE2">
      <w:pPr>
        <w:spacing w:line="360" w:lineRule="auto"/>
      </w:pPr>
    </w:p>
    <w:p w:rsidR="0053228F" w:rsidRPr="001E6CF3" w:rsidRDefault="0053228F" w:rsidP="00843CE2">
      <w:pPr>
        <w:pStyle w:val="Caption"/>
        <w:keepNext/>
        <w:spacing w:line="360" w:lineRule="auto"/>
        <w:rPr>
          <w:rFonts w:ascii="Times New Roman" w:hAnsi="Times New Roman"/>
          <w:color w:val="auto"/>
          <w:sz w:val="24"/>
          <w:szCs w:val="24"/>
        </w:rPr>
      </w:pPr>
      <w:r w:rsidRPr="001E6CF3">
        <w:rPr>
          <w:rFonts w:ascii="Times New Roman" w:hAnsi="Times New Roman"/>
          <w:color w:val="auto"/>
          <w:sz w:val="24"/>
          <w:szCs w:val="24"/>
        </w:rPr>
        <w:t xml:space="preserve">Table </w:t>
      </w:r>
      <w:r w:rsidR="008526E6" w:rsidRPr="001E6CF3">
        <w:rPr>
          <w:rFonts w:ascii="Times New Roman" w:hAnsi="Times New Roman"/>
          <w:color w:val="auto"/>
          <w:sz w:val="24"/>
          <w:szCs w:val="24"/>
        </w:rPr>
        <w:fldChar w:fldCharType="begin"/>
      </w:r>
      <w:r w:rsidRPr="001E6CF3">
        <w:rPr>
          <w:rFonts w:ascii="Times New Roman" w:hAnsi="Times New Roman"/>
          <w:color w:val="auto"/>
          <w:sz w:val="24"/>
          <w:szCs w:val="24"/>
        </w:rPr>
        <w:instrText xml:space="preserve"> SEQ Table \* ARABIC </w:instrText>
      </w:r>
      <w:r w:rsidR="008526E6" w:rsidRPr="001E6CF3">
        <w:rPr>
          <w:rFonts w:ascii="Times New Roman" w:hAnsi="Times New Roman"/>
          <w:color w:val="auto"/>
          <w:sz w:val="24"/>
          <w:szCs w:val="24"/>
        </w:rPr>
        <w:fldChar w:fldCharType="separate"/>
      </w:r>
      <w:r w:rsidRPr="001E6CF3">
        <w:rPr>
          <w:rFonts w:ascii="Times New Roman" w:hAnsi="Times New Roman"/>
          <w:noProof/>
          <w:color w:val="auto"/>
          <w:sz w:val="24"/>
          <w:szCs w:val="24"/>
        </w:rPr>
        <w:t>5</w:t>
      </w:r>
      <w:r w:rsidR="008526E6" w:rsidRPr="001E6CF3">
        <w:rPr>
          <w:rFonts w:ascii="Times New Roman" w:hAnsi="Times New Roman"/>
          <w:noProof/>
          <w:color w:val="auto"/>
          <w:sz w:val="24"/>
          <w:szCs w:val="24"/>
        </w:rPr>
        <w:fldChar w:fldCharType="end"/>
      </w:r>
      <w:r w:rsidRPr="001E6CF3">
        <w:rPr>
          <w:rFonts w:ascii="Times New Roman" w:hAnsi="Times New Roman"/>
          <w:color w:val="auto"/>
          <w:sz w:val="24"/>
          <w:szCs w:val="24"/>
        </w:rPr>
        <w:t>: Programme 4 - Mineral Policy and Promotion</w:t>
      </w:r>
    </w:p>
    <w:tbl>
      <w:tblPr>
        <w:tblW w:w="9567" w:type="dxa"/>
        <w:tblInd w:w="108" w:type="dxa"/>
        <w:tblLayout w:type="fixed"/>
        <w:tblLook w:val="04A0" w:firstRow="1" w:lastRow="0" w:firstColumn="1" w:lastColumn="0" w:noHBand="0" w:noVBand="1"/>
      </w:tblPr>
      <w:tblGrid>
        <w:gridCol w:w="3643"/>
        <w:gridCol w:w="893"/>
        <w:gridCol w:w="954"/>
        <w:gridCol w:w="1173"/>
        <w:gridCol w:w="1452"/>
        <w:gridCol w:w="1452"/>
      </w:tblGrid>
      <w:tr w:rsidR="0053228F" w:rsidRPr="0050021F" w:rsidTr="00A64D62">
        <w:trPr>
          <w:trHeight w:val="76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center"/>
              <w:rPr>
                <w:b/>
                <w:bCs/>
              </w:rPr>
            </w:pPr>
            <w:r w:rsidRPr="001E6CF3">
              <w:rPr>
                <w:b/>
                <w:bCs/>
              </w:rPr>
              <w:t>Sub-programme</w:t>
            </w:r>
          </w:p>
        </w:tc>
        <w:tc>
          <w:tcPr>
            <w:tcW w:w="1847" w:type="dxa"/>
            <w:gridSpan w:val="2"/>
            <w:tcBorders>
              <w:top w:val="single" w:sz="4" w:space="0" w:color="auto"/>
              <w:left w:val="nil"/>
              <w:bottom w:val="nil"/>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Budget</w:t>
            </w:r>
          </w:p>
        </w:tc>
        <w:tc>
          <w:tcPr>
            <w:tcW w:w="1173" w:type="dxa"/>
            <w:vMerge w:val="restart"/>
            <w:tcBorders>
              <w:top w:val="single" w:sz="4" w:space="0" w:color="auto"/>
              <w:left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Nominal Increase / Decrease in 2016/17</w:t>
            </w:r>
          </w:p>
        </w:tc>
        <w:tc>
          <w:tcPr>
            <w:tcW w:w="1452" w:type="dxa"/>
            <w:vMerge w:val="restart"/>
            <w:tcBorders>
              <w:top w:val="single" w:sz="4" w:space="0" w:color="auto"/>
              <w:left w:val="single" w:sz="4" w:space="0" w:color="auto"/>
              <w:right w:val="single" w:sz="4" w:space="0" w:color="auto"/>
            </w:tcBorders>
            <w:vAlign w:val="center"/>
          </w:tcPr>
          <w:p w:rsidR="0053228F" w:rsidRPr="001E6CF3" w:rsidRDefault="0053228F" w:rsidP="00843CE2">
            <w:pPr>
              <w:spacing w:line="360" w:lineRule="auto"/>
              <w:jc w:val="center"/>
              <w:rPr>
                <w:b/>
                <w:bCs/>
              </w:rPr>
            </w:pPr>
            <w:r w:rsidRPr="001E6CF3">
              <w:rPr>
                <w:b/>
                <w:bCs/>
              </w:rPr>
              <w:t>Nominal Percent change in 2016/17</w:t>
            </w:r>
          </w:p>
        </w:tc>
        <w:tc>
          <w:tcPr>
            <w:tcW w:w="1452" w:type="dxa"/>
            <w:vMerge w:val="restart"/>
            <w:tcBorders>
              <w:top w:val="single" w:sz="4" w:space="0" w:color="auto"/>
              <w:left w:val="single" w:sz="4" w:space="0" w:color="auto"/>
              <w:right w:val="single" w:sz="4" w:space="0" w:color="auto"/>
            </w:tcBorders>
            <w:shd w:val="clear" w:color="auto" w:fill="auto"/>
            <w:vAlign w:val="center"/>
            <w:hideMark/>
          </w:tcPr>
          <w:p w:rsidR="0053228F" w:rsidRPr="001E6CF3" w:rsidRDefault="0053228F" w:rsidP="00843CE2">
            <w:pPr>
              <w:spacing w:line="360" w:lineRule="auto"/>
              <w:jc w:val="center"/>
              <w:rPr>
                <w:b/>
                <w:bCs/>
              </w:rPr>
            </w:pPr>
            <w:r w:rsidRPr="001E6CF3">
              <w:rPr>
                <w:b/>
                <w:bCs/>
              </w:rPr>
              <w:t>Real Percent change in 2016/17</w:t>
            </w:r>
          </w:p>
        </w:tc>
      </w:tr>
      <w:tr w:rsidR="0053228F" w:rsidRPr="0050021F" w:rsidTr="00A64D62">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R million</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2015/16</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rPr>
                <w:b/>
                <w:bCs/>
              </w:rPr>
            </w:pPr>
            <w:r w:rsidRPr="001E6CF3">
              <w:rPr>
                <w:b/>
                <w:bCs/>
              </w:rPr>
              <w:t>2016/17</w:t>
            </w:r>
          </w:p>
        </w:tc>
        <w:tc>
          <w:tcPr>
            <w:tcW w:w="1173" w:type="dxa"/>
            <w:vMerge/>
            <w:tcBorders>
              <w:left w:val="single" w:sz="4" w:space="0" w:color="auto"/>
              <w:bottom w:val="single" w:sz="4" w:space="0" w:color="auto"/>
              <w:right w:val="single" w:sz="4" w:space="0" w:color="auto"/>
            </w:tcBorders>
            <w:vAlign w:val="center"/>
          </w:tcPr>
          <w:p w:rsidR="0053228F" w:rsidRPr="001E6CF3" w:rsidRDefault="0053228F" w:rsidP="00843CE2">
            <w:pPr>
              <w:spacing w:line="360" w:lineRule="auto"/>
              <w:jc w:val="center"/>
              <w:rPr>
                <w:b/>
                <w:bCs/>
              </w:rPr>
            </w:pPr>
          </w:p>
        </w:tc>
        <w:tc>
          <w:tcPr>
            <w:tcW w:w="1452" w:type="dxa"/>
            <w:vMerge/>
            <w:tcBorders>
              <w:left w:val="single" w:sz="4" w:space="0" w:color="auto"/>
              <w:bottom w:val="single" w:sz="4" w:space="0" w:color="auto"/>
              <w:right w:val="single" w:sz="4" w:space="0" w:color="auto"/>
            </w:tcBorders>
            <w:vAlign w:val="center"/>
            <w:hideMark/>
          </w:tcPr>
          <w:p w:rsidR="0053228F" w:rsidRPr="001E6CF3" w:rsidRDefault="0053228F" w:rsidP="00843CE2">
            <w:pPr>
              <w:spacing w:line="360" w:lineRule="auto"/>
              <w:jc w:val="center"/>
              <w:rPr>
                <w:b/>
                <w:bCs/>
              </w:rPr>
            </w:pPr>
          </w:p>
        </w:tc>
        <w:tc>
          <w:tcPr>
            <w:tcW w:w="1452" w:type="dxa"/>
            <w:vMerge/>
            <w:tcBorders>
              <w:left w:val="single" w:sz="4" w:space="0" w:color="auto"/>
              <w:bottom w:val="single" w:sz="4" w:space="0" w:color="auto"/>
              <w:right w:val="single" w:sz="4" w:space="0" w:color="auto"/>
            </w:tcBorders>
            <w:vAlign w:val="bottom"/>
            <w:hideMark/>
          </w:tcPr>
          <w:p w:rsidR="0053228F" w:rsidRPr="001E6CF3" w:rsidRDefault="0053228F" w:rsidP="00843CE2">
            <w:pPr>
              <w:spacing w:line="360" w:lineRule="auto"/>
              <w:jc w:val="center"/>
              <w:rPr>
                <w:b/>
                <w:bCs/>
              </w:rPr>
            </w:pP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Management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26.6</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27.0</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0.4</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1.59 </w:t>
            </w:r>
            <w:r w:rsidR="00CF5D76" w:rsidRPr="001E6CF3">
              <w:t>%</w:t>
            </w:r>
          </w:p>
        </w:tc>
        <w:tc>
          <w:tcPr>
            <w:tcW w:w="1452" w:type="dxa"/>
            <w:tcBorders>
              <w:top w:val="single" w:sz="4" w:space="0" w:color="auto"/>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-4.70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Mineral Policy</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19.4</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18.5</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0.9</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-4.84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-10.73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pPr>
            <w:r w:rsidRPr="001E6CF3">
              <w:t>Mineral Promotion and International Coordination</w:t>
            </w:r>
          </w:p>
        </w:tc>
        <w:tc>
          <w:tcPr>
            <w:tcW w:w="893" w:type="dxa"/>
            <w:tcBorders>
              <w:top w:val="nil"/>
              <w:left w:val="nil"/>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right"/>
            </w:pPr>
            <w:r w:rsidRPr="001E6CF3">
              <w:t xml:space="preserve">  64.8</w:t>
            </w:r>
          </w:p>
        </w:tc>
        <w:tc>
          <w:tcPr>
            <w:tcW w:w="954" w:type="dxa"/>
            <w:tcBorders>
              <w:top w:val="nil"/>
              <w:left w:val="nil"/>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right"/>
            </w:pPr>
            <w:r w:rsidRPr="001E6CF3">
              <w:t xml:space="preserve">  76.5</w:t>
            </w:r>
          </w:p>
        </w:tc>
        <w:tc>
          <w:tcPr>
            <w:tcW w:w="1173" w:type="dxa"/>
            <w:tcBorders>
              <w:top w:val="single" w:sz="4" w:space="0" w:color="auto"/>
              <w:left w:val="nil"/>
              <w:bottom w:val="single" w:sz="4" w:space="0" w:color="auto"/>
              <w:right w:val="single" w:sz="4" w:space="0" w:color="auto"/>
            </w:tcBorders>
            <w:vAlign w:val="center"/>
          </w:tcPr>
          <w:p w:rsidR="0053228F" w:rsidRPr="001E6CF3" w:rsidRDefault="0053228F" w:rsidP="00843CE2">
            <w:pPr>
              <w:spacing w:line="360" w:lineRule="auto"/>
              <w:jc w:val="right"/>
            </w:pPr>
            <w:r w:rsidRPr="001E6CF3">
              <w:t xml:space="preserve">  11.6</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right"/>
            </w:pPr>
            <w:r w:rsidRPr="001E6CF3">
              <w:t xml:space="preserve">17.96 </w:t>
            </w:r>
            <w:r w:rsidR="00CF5D76" w:rsidRPr="001E6CF3">
              <w:t>%</w:t>
            </w:r>
          </w:p>
        </w:tc>
        <w:tc>
          <w:tcPr>
            <w:tcW w:w="1452" w:type="dxa"/>
            <w:tcBorders>
              <w:top w:val="nil"/>
              <w:left w:val="nil"/>
              <w:bottom w:val="single" w:sz="4" w:space="0" w:color="auto"/>
              <w:right w:val="single" w:sz="4" w:space="0" w:color="auto"/>
            </w:tcBorders>
            <w:shd w:val="clear" w:color="auto" w:fill="auto"/>
            <w:noWrap/>
            <w:vAlign w:val="center"/>
            <w:hideMark/>
          </w:tcPr>
          <w:p w:rsidR="0053228F" w:rsidRPr="001E6CF3" w:rsidRDefault="0053228F" w:rsidP="00843CE2">
            <w:pPr>
              <w:spacing w:line="360" w:lineRule="auto"/>
              <w:jc w:val="right"/>
            </w:pPr>
            <w:r w:rsidRPr="001E6CF3">
              <w:t xml:space="preserve">10.66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Assistance to Mines</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0.0</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5.3</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5.3</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pPr>
            <w:r w:rsidRPr="001E6CF3">
              <w:t>#N/A</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center"/>
            </w:pPr>
            <w:r w:rsidRPr="001E6CF3">
              <w:t>#N/A</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Council for Geoscience</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342.9</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378.6</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35.7</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10.41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3.57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Council for Mineral Technology</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414.7</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356.4</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58.3</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-14.06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-19.38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pPr>
            <w:r w:rsidRPr="001E6CF3">
              <w:t>Economic Advisory Services</w:t>
            </w:r>
          </w:p>
        </w:tc>
        <w:tc>
          <w:tcPr>
            <w:tcW w:w="893"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  3.6</w:t>
            </w:r>
          </w:p>
        </w:tc>
        <w:tc>
          <w:tcPr>
            <w:tcW w:w="954"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  4.9</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1.3</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36.38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pPr>
            <w:r w:rsidRPr="001E6CF3">
              <w:t xml:space="preserve">27.94 </w:t>
            </w:r>
            <w:r w:rsidR="00CF5D76" w:rsidRPr="001E6CF3">
              <w:t>%</w:t>
            </w:r>
          </w:p>
        </w:tc>
      </w:tr>
      <w:tr w:rsidR="0053228F" w:rsidRPr="0050021F" w:rsidTr="00A64D62">
        <w:trPr>
          <w:trHeight w:val="255"/>
        </w:trPr>
        <w:tc>
          <w:tcPr>
            <w:tcW w:w="3643" w:type="dxa"/>
            <w:tcBorders>
              <w:top w:val="nil"/>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pPr>
            <w:r w:rsidRPr="001E6CF3">
              <w:t>Mine Environmental Management</w:t>
            </w:r>
          </w:p>
        </w:tc>
        <w:tc>
          <w:tcPr>
            <w:tcW w:w="893"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9.5</w:t>
            </w:r>
          </w:p>
        </w:tc>
        <w:tc>
          <w:tcPr>
            <w:tcW w:w="954"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  35.4</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pPr>
            <w:r w:rsidRPr="001E6CF3">
              <w:t xml:space="preserve">  25.9</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273.6 </w:t>
            </w:r>
            <w:r w:rsidR="00CF5D76" w:rsidRPr="001E6CF3">
              <w:t>%</w:t>
            </w:r>
          </w:p>
        </w:tc>
        <w:tc>
          <w:tcPr>
            <w:tcW w:w="1452" w:type="dxa"/>
            <w:tcBorders>
              <w:top w:val="nil"/>
              <w:left w:val="nil"/>
              <w:bottom w:val="single" w:sz="4" w:space="0" w:color="auto"/>
              <w:right w:val="single" w:sz="4" w:space="0" w:color="auto"/>
            </w:tcBorders>
            <w:shd w:val="clear" w:color="auto" w:fill="auto"/>
            <w:noWrap/>
            <w:vAlign w:val="bottom"/>
            <w:hideMark/>
          </w:tcPr>
          <w:p w:rsidR="0053228F" w:rsidRPr="001E6CF3" w:rsidRDefault="0053228F" w:rsidP="00843CE2">
            <w:pPr>
              <w:spacing w:line="360" w:lineRule="auto"/>
              <w:jc w:val="right"/>
            </w:pPr>
            <w:r w:rsidRPr="001E6CF3">
              <w:t xml:space="preserve">250.4 </w:t>
            </w:r>
            <w:r w:rsidR="00F877C6" w:rsidRPr="001E6CF3">
              <w:t>%</w:t>
            </w:r>
          </w:p>
        </w:tc>
      </w:tr>
      <w:tr w:rsidR="0053228F" w:rsidRPr="0050021F" w:rsidTr="00A64D62">
        <w:trPr>
          <w:trHeight w:val="255"/>
        </w:trPr>
        <w:tc>
          <w:tcPr>
            <w:tcW w:w="36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rPr>
                <w:b/>
              </w:rPr>
            </w:pPr>
            <w:r w:rsidRPr="001E6CF3">
              <w:rPr>
                <w:b/>
              </w:rPr>
              <w:t>TOTAL</w:t>
            </w:r>
          </w:p>
        </w:tc>
        <w:tc>
          <w:tcPr>
            <w:tcW w:w="893" w:type="dxa"/>
            <w:tcBorders>
              <w:top w:val="single" w:sz="4" w:space="0" w:color="auto"/>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rPr>
                <w:b/>
              </w:rPr>
            </w:pPr>
            <w:r w:rsidRPr="001E6CF3">
              <w:rPr>
                <w:b/>
              </w:rPr>
              <w:t xml:space="preserve">  881.5</w:t>
            </w:r>
          </w:p>
        </w:tc>
        <w:tc>
          <w:tcPr>
            <w:tcW w:w="954" w:type="dxa"/>
            <w:tcBorders>
              <w:top w:val="single" w:sz="4" w:space="0" w:color="auto"/>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rPr>
                <w:b/>
              </w:rPr>
            </w:pPr>
            <w:r w:rsidRPr="001E6CF3">
              <w:rPr>
                <w:b/>
              </w:rPr>
              <w:t xml:space="preserve">  902.5</w:t>
            </w:r>
          </w:p>
        </w:tc>
        <w:tc>
          <w:tcPr>
            <w:tcW w:w="1173" w:type="dxa"/>
            <w:tcBorders>
              <w:top w:val="single" w:sz="4" w:space="0" w:color="auto"/>
              <w:left w:val="nil"/>
              <w:bottom w:val="single" w:sz="4" w:space="0" w:color="auto"/>
              <w:right w:val="single" w:sz="4" w:space="0" w:color="auto"/>
            </w:tcBorders>
            <w:vAlign w:val="bottom"/>
          </w:tcPr>
          <w:p w:rsidR="0053228F" w:rsidRPr="001E6CF3" w:rsidRDefault="0053228F" w:rsidP="00843CE2">
            <w:pPr>
              <w:spacing w:line="360" w:lineRule="auto"/>
              <w:jc w:val="right"/>
              <w:rPr>
                <w:b/>
              </w:rPr>
            </w:pPr>
            <w:r w:rsidRPr="001E6CF3">
              <w:t xml:space="preserve">  </w:t>
            </w:r>
            <w:r w:rsidRPr="001E6CF3">
              <w:rPr>
                <w:b/>
              </w:rPr>
              <w:t>21.0</w:t>
            </w:r>
          </w:p>
        </w:tc>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rPr>
                <w:b/>
              </w:rPr>
            </w:pPr>
            <w:r w:rsidRPr="001E6CF3">
              <w:rPr>
                <w:b/>
              </w:rPr>
              <w:t xml:space="preserve">2.4 </w:t>
            </w:r>
            <w:r w:rsidR="00F877C6" w:rsidRPr="001E6CF3">
              <w:rPr>
                <w:b/>
              </w:rPr>
              <w:t>%</w:t>
            </w: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53228F" w:rsidRPr="001E6CF3" w:rsidRDefault="0053228F" w:rsidP="00843CE2">
            <w:pPr>
              <w:spacing w:line="360" w:lineRule="auto"/>
              <w:jc w:val="right"/>
              <w:rPr>
                <w:b/>
              </w:rPr>
            </w:pPr>
            <w:r w:rsidRPr="001E6CF3">
              <w:rPr>
                <w:b/>
              </w:rPr>
              <w:t xml:space="preserve">-3.96 </w:t>
            </w:r>
            <w:r w:rsidR="00F877C6" w:rsidRPr="001E6CF3">
              <w:rPr>
                <w:b/>
              </w:rPr>
              <w:t>%</w:t>
            </w:r>
          </w:p>
        </w:tc>
      </w:tr>
    </w:tbl>
    <w:p w:rsidR="0053228F" w:rsidRPr="001E6CF3" w:rsidRDefault="0053228F" w:rsidP="00843CE2">
      <w:pPr>
        <w:spacing w:line="360" w:lineRule="auto"/>
      </w:pPr>
      <w:r w:rsidRPr="001E6CF3">
        <w:t>Source: National Treasury Vote 29: Mineral Resources 2016</w:t>
      </w:r>
    </w:p>
    <w:p w:rsidR="0053228F" w:rsidRPr="001E6CF3" w:rsidRDefault="0053228F" w:rsidP="00843CE2">
      <w:pPr>
        <w:spacing w:line="360" w:lineRule="auto"/>
      </w:pPr>
    </w:p>
    <w:p w:rsidR="0053228F" w:rsidRPr="001E6CF3" w:rsidRDefault="0053228F" w:rsidP="00843CE2">
      <w:pPr>
        <w:spacing w:line="360" w:lineRule="auto"/>
        <w:jc w:val="both"/>
      </w:pPr>
      <w:r w:rsidRPr="001E6CF3">
        <w:t xml:space="preserve">Overall, there is a 4 per cent real decrease in the budget allocation for Mineral Policy and Promotion in 2016/17, compared with the previous year. </w:t>
      </w:r>
    </w:p>
    <w:p w:rsidR="0053228F" w:rsidRPr="001E6CF3" w:rsidRDefault="0053228F" w:rsidP="00843CE2">
      <w:pPr>
        <w:spacing w:line="360" w:lineRule="auto"/>
        <w:jc w:val="both"/>
      </w:pPr>
    </w:p>
    <w:p w:rsidR="0053228F" w:rsidRPr="001E6CF3" w:rsidRDefault="0053228F" w:rsidP="00843CE2">
      <w:pPr>
        <w:spacing w:line="360" w:lineRule="auto"/>
        <w:jc w:val="both"/>
      </w:pPr>
      <w:r w:rsidRPr="001E6CF3">
        <w:t>Mineral Policy and Promotion: Over the medium term, to 2018/19, compensation of employees will grow by 3.8 per cent on average each year, despite the budgeted cut of R13.5m</w:t>
      </w:r>
      <w:r w:rsidR="00F877C6" w:rsidRPr="001E6CF3">
        <w:t>illion</w:t>
      </w:r>
      <w:r w:rsidRPr="001E6CF3">
        <w:t xml:space="preserve"> in salary costs approved by Cabinet. This needs to be compared against the much larger, 18.9 per cent, provision for the growth in goods and services. The number of employees is set to stay constant at 112.</w:t>
      </w:r>
    </w:p>
    <w:p w:rsidR="0053228F" w:rsidRPr="001E6CF3" w:rsidRDefault="0053228F" w:rsidP="00843CE2">
      <w:pPr>
        <w:spacing w:line="360" w:lineRule="auto"/>
        <w:jc w:val="both"/>
      </w:pPr>
    </w:p>
    <w:p w:rsidR="0053228F" w:rsidRPr="001E6CF3" w:rsidRDefault="0053228F" w:rsidP="00843CE2">
      <w:pPr>
        <w:spacing w:after="167" w:line="360" w:lineRule="auto"/>
        <w:ind w:right="45"/>
        <w:jc w:val="both"/>
      </w:pPr>
      <w:r w:rsidRPr="001E6CF3">
        <w:t>The two largest operational budget changes for Mineral Policy and Promotion relate first to an increase in advertising</w:t>
      </w:r>
      <w:r w:rsidR="00F877C6" w:rsidRPr="001E6CF3">
        <w:t xml:space="preserve">, </w:t>
      </w:r>
      <w:r w:rsidRPr="001E6CF3">
        <w:t>from R1.6</w:t>
      </w:r>
      <w:r w:rsidR="00F877C6" w:rsidRPr="001E6CF3">
        <w:t xml:space="preserve"> </w:t>
      </w:r>
      <w:r w:rsidRPr="001E6CF3">
        <w:t>m</w:t>
      </w:r>
      <w:r w:rsidR="00F877C6" w:rsidRPr="001E6CF3">
        <w:t>illion</w:t>
      </w:r>
      <w:r w:rsidRPr="001E6CF3">
        <w:t xml:space="preserve"> in 2015/16 to R10.3</w:t>
      </w:r>
      <w:r w:rsidR="00F877C6" w:rsidRPr="001E6CF3">
        <w:t xml:space="preserve"> </w:t>
      </w:r>
      <w:r w:rsidRPr="001E6CF3">
        <w:t>m</w:t>
      </w:r>
      <w:r w:rsidR="00F877C6" w:rsidRPr="001E6CF3">
        <w:t>illion</w:t>
      </w:r>
      <w:r w:rsidRPr="001E6CF3">
        <w:t xml:space="preserve"> in 2016/17, and totaling R36</w:t>
      </w:r>
      <w:r w:rsidR="00F877C6" w:rsidRPr="001E6CF3">
        <w:t xml:space="preserve"> </w:t>
      </w:r>
      <w:r w:rsidRPr="001E6CF3">
        <w:t>m</w:t>
      </w:r>
      <w:r w:rsidR="00F877C6" w:rsidRPr="001E6CF3">
        <w:t>illion</w:t>
      </w:r>
      <w:r w:rsidRPr="001E6CF3">
        <w:t xml:space="preserve"> over the next three years. Second, the budgeted expenditure on Mine Environmental Management will increase from less than R10</w:t>
      </w:r>
      <w:r w:rsidR="00F877C6" w:rsidRPr="001E6CF3">
        <w:t xml:space="preserve"> </w:t>
      </w:r>
      <w:r w:rsidRPr="001E6CF3">
        <w:t>m</w:t>
      </w:r>
      <w:r w:rsidR="00F877C6" w:rsidRPr="001E6CF3">
        <w:t>illion</w:t>
      </w:r>
      <w:r w:rsidRPr="001E6CF3">
        <w:t xml:space="preserve"> at present to over R35</w:t>
      </w:r>
      <w:r w:rsidR="00F877C6" w:rsidRPr="001E6CF3">
        <w:t xml:space="preserve"> </w:t>
      </w:r>
      <w:r w:rsidRPr="001E6CF3">
        <w:t>m</w:t>
      </w:r>
      <w:r w:rsidR="00F877C6" w:rsidRPr="001E6CF3">
        <w:t>illion</w:t>
      </w:r>
      <w:r w:rsidRPr="001E6CF3">
        <w:t xml:space="preserve"> for each of the next three years. This sub-programme “provides strategic guidance on mine environmental management and mine closure. This entails managing the rehabilitation of derelict and ownerless mines; and research on the impact of mining on water, air quality, and the environment in general.” It is noteworthy that this budgetary increase is accompanied by a reduction from 50 to 45 in the number of derelict and ownerless mines that will be rehabilitated every year.  </w:t>
      </w:r>
    </w:p>
    <w:p w:rsidR="0053228F" w:rsidRPr="001E6CF3" w:rsidRDefault="0053228F" w:rsidP="00843CE2">
      <w:pPr>
        <w:spacing w:after="167" w:line="360" w:lineRule="auto"/>
        <w:ind w:right="45"/>
        <w:jc w:val="both"/>
      </w:pPr>
      <w:r w:rsidRPr="001E6CF3">
        <w:t xml:space="preserve">Mineral Policy and Promotion is the largest programme of the DMR, absorbing 54 per cent of its budget. Over 85 per cent of the programme budget consists of transfers to Mintek and the CGS, two national science councils that are funded through Vote 29. A significant shift over the next three years will see this proportion decline to 78 per cent. The allocation to both entities will fall in absolute terms over the next three years. Mintek and the CGS will suffer average transfer cuts of -5.5% and -4.1 per cent per year, respectively. </w:t>
      </w:r>
    </w:p>
    <w:p w:rsidR="0053228F" w:rsidRPr="001E6CF3" w:rsidRDefault="0053228F" w:rsidP="00843CE2">
      <w:pPr>
        <w:pStyle w:val="Heading2"/>
        <w:keepLines/>
        <w:numPr>
          <w:ilvl w:val="0"/>
          <w:numId w:val="3"/>
        </w:numPr>
        <w:spacing w:before="40" w:after="0" w:line="360" w:lineRule="auto"/>
        <w:rPr>
          <w:rFonts w:ascii="Times New Roman" w:hAnsi="Times New Roman" w:cs="Times New Roman"/>
          <w:i w:val="0"/>
          <w:sz w:val="24"/>
          <w:szCs w:val="24"/>
        </w:rPr>
      </w:pPr>
      <w:bookmarkStart w:id="10" w:name="_Toc444422069"/>
      <w:bookmarkStart w:id="11" w:name="_Ref444436265"/>
      <w:r w:rsidRPr="001E6CF3">
        <w:rPr>
          <w:rFonts w:ascii="Times New Roman" w:hAnsi="Times New Roman" w:cs="Times New Roman"/>
          <w:i w:val="0"/>
          <w:sz w:val="24"/>
          <w:szCs w:val="24"/>
        </w:rPr>
        <w:t>Entity Analysis</w:t>
      </w:r>
      <w:bookmarkEnd w:id="10"/>
      <w:bookmarkEnd w:id="11"/>
      <w:r w:rsidRPr="001E6CF3">
        <w:rPr>
          <w:rFonts w:ascii="Times New Roman" w:hAnsi="Times New Roman" w:cs="Times New Roman"/>
          <w:i w:val="0"/>
          <w:sz w:val="24"/>
          <w:szCs w:val="24"/>
        </w:rPr>
        <w:t xml:space="preserve"> </w:t>
      </w:r>
    </w:p>
    <w:p w:rsidR="0053228F" w:rsidRPr="001E6CF3" w:rsidRDefault="0053228F" w:rsidP="00843CE2">
      <w:pPr>
        <w:spacing w:line="360" w:lineRule="auto"/>
      </w:pPr>
    </w:p>
    <w:p w:rsidR="0053228F" w:rsidRPr="001E6CF3" w:rsidRDefault="0053228F" w:rsidP="00843CE2">
      <w:pPr>
        <w:pStyle w:val="ListParagraph"/>
        <w:numPr>
          <w:ilvl w:val="0"/>
          <w:numId w:val="5"/>
        </w:numPr>
        <w:spacing w:line="360" w:lineRule="auto"/>
        <w:rPr>
          <w:rFonts w:ascii="Times New Roman" w:hAnsi="Times New Roman"/>
          <w:sz w:val="24"/>
          <w:szCs w:val="24"/>
          <w:lang w:val="en-GB" w:eastAsia="en-GB"/>
        </w:rPr>
      </w:pPr>
      <w:r w:rsidRPr="001E6CF3">
        <w:rPr>
          <w:rFonts w:ascii="Times New Roman" w:hAnsi="Times New Roman"/>
          <w:b/>
          <w:sz w:val="24"/>
          <w:szCs w:val="24"/>
          <w:lang w:val="en-GB" w:eastAsia="en-GB"/>
        </w:rPr>
        <w:t>The CGS</w:t>
      </w:r>
      <w:r w:rsidRPr="001E6CF3">
        <w:rPr>
          <w:rFonts w:ascii="Times New Roman" w:hAnsi="Times New Roman"/>
          <w:sz w:val="24"/>
          <w:szCs w:val="24"/>
          <w:lang w:val="en-GB" w:eastAsia="en-GB"/>
        </w:rPr>
        <w:t xml:space="preserve"> was established in terms of the </w:t>
      </w:r>
      <w:r w:rsidRPr="001E6CF3">
        <w:rPr>
          <w:rFonts w:ascii="Times New Roman" w:hAnsi="Times New Roman"/>
          <w:sz w:val="24"/>
          <w:szCs w:val="24"/>
        </w:rPr>
        <w:t xml:space="preserve">Geoscience Act, No. 100 of 1993. </w:t>
      </w:r>
      <w:r w:rsidRPr="001E6CF3">
        <w:rPr>
          <w:rFonts w:ascii="Times New Roman" w:hAnsi="Times New Roman"/>
          <w:sz w:val="24"/>
          <w:szCs w:val="24"/>
          <w:lang w:val="en-GB" w:eastAsia="en-GB"/>
        </w:rPr>
        <w:t xml:space="preserve">Its principal mandate is to develop and publish world class geoscience knowledge products and to provide geoscience related services to the South African public and to industry. </w:t>
      </w:r>
      <w:r w:rsidRPr="001E6CF3">
        <w:rPr>
          <w:rFonts w:ascii="Times New Roman" w:hAnsi="Times New Roman"/>
          <w:sz w:val="24"/>
          <w:szCs w:val="24"/>
        </w:rPr>
        <w:t>The CGS also earns income from commercial activities</w:t>
      </w:r>
      <w:r w:rsidR="00F877C6" w:rsidRPr="001E6CF3">
        <w:rPr>
          <w:rFonts w:ascii="Times New Roman" w:hAnsi="Times New Roman"/>
          <w:sz w:val="24"/>
          <w:szCs w:val="24"/>
        </w:rPr>
        <w:t>,</w:t>
      </w:r>
      <w:r w:rsidRPr="001E6CF3">
        <w:rPr>
          <w:rFonts w:ascii="Times New Roman" w:hAnsi="Times New Roman"/>
          <w:sz w:val="24"/>
          <w:szCs w:val="24"/>
        </w:rPr>
        <w:t xml:space="preserve"> with the private sector and international and foreign state entities. This will account for 11 per cent of revenue in 2016/17, compared with an estimated 9 per cent of revenue in 2015/16.The CGS has budgeted R75.6 million over the medium term to assist with research and advocacy in preparation for compliance monitoring for shale gas exploration. “The research will aim to restrict the geo-environmental impact linked to the potential exploitation of shale gas in South Africa, with special reference to the Karoo.” </w:t>
      </w:r>
      <w:r w:rsidRPr="001E6CF3">
        <w:rPr>
          <w:rFonts w:ascii="Times New Roman" w:hAnsi="Times New Roman"/>
          <w:sz w:val="24"/>
          <w:szCs w:val="24"/>
          <w:lang w:val="en-GB" w:eastAsia="en-GB"/>
        </w:rPr>
        <w:t>The CGS total transfer to be received from DMR for 2016/17 is R378.6 million, a 16 per cent nominal decline compared with transfers estimated for 2015/16. The DMR transfer to the CGS is scheduled to decline every year in the medium term</w:t>
      </w:r>
      <w:r w:rsidR="00F877C6" w:rsidRPr="001E6CF3">
        <w:rPr>
          <w:rFonts w:ascii="Times New Roman" w:hAnsi="Times New Roman"/>
          <w:sz w:val="24"/>
          <w:szCs w:val="24"/>
          <w:lang w:val="en-GB" w:eastAsia="en-GB"/>
        </w:rPr>
        <w:t>,</w:t>
      </w:r>
      <w:r w:rsidRPr="001E6CF3">
        <w:rPr>
          <w:rFonts w:ascii="Times New Roman" w:hAnsi="Times New Roman"/>
          <w:sz w:val="24"/>
          <w:szCs w:val="24"/>
          <w:lang w:val="en-GB" w:eastAsia="en-GB"/>
        </w:rPr>
        <w:t xml:space="preserve"> at an average rate of -12.5 per cent a year. It is concerning that over this period Compensation of employees will increase at 7.7 per cent a year, while expenditure on goods and services, which was R278-m in 2015/16 will be slashed to R93-million by 2018/19. The staff will be paid, but will they have the equipment, transport and supplies of paper, chemicals and software needed to perform their work?</w:t>
      </w:r>
    </w:p>
    <w:p w:rsidR="0053228F" w:rsidRPr="001E6CF3" w:rsidRDefault="0053228F" w:rsidP="00843CE2">
      <w:pPr>
        <w:spacing w:line="360" w:lineRule="auto"/>
        <w:rPr>
          <w:lang w:val="en-GB" w:eastAsia="en-GB"/>
        </w:rPr>
      </w:pPr>
    </w:p>
    <w:p w:rsidR="0053228F" w:rsidRPr="001E6CF3" w:rsidRDefault="0053228F" w:rsidP="00843CE2">
      <w:pPr>
        <w:pStyle w:val="ListParagraph"/>
        <w:numPr>
          <w:ilvl w:val="0"/>
          <w:numId w:val="5"/>
        </w:numPr>
        <w:spacing w:line="360" w:lineRule="auto"/>
        <w:rPr>
          <w:rFonts w:ascii="Times New Roman" w:hAnsi="Times New Roman"/>
          <w:sz w:val="24"/>
          <w:szCs w:val="24"/>
          <w:lang w:val="en-GB" w:eastAsia="en-GB"/>
        </w:rPr>
      </w:pPr>
      <w:r w:rsidRPr="001E6CF3">
        <w:rPr>
          <w:rFonts w:ascii="Times New Roman" w:hAnsi="Times New Roman"/>
          <w:b/>
          <w:sz w:val="24"/>
          <w:szCs w:val="24"/>
          <w:lang w:val="en-GB" w:eastAsia="en-GB"/>
        </w:rPr>
        <w:t>Mintek</w:t>
      </w:r>
      <w:r w:rsidRPr="001E6CF3">
        <w:rPr>
          <w:rFonts w:ascii="Times New Roman" w:hAnsi="Times New Roman"/>
          <w:sz w:val="24"/>
          <w:szCs w:val="24"/>
          <w:lang w:val="en-GB" w:eastAsia="en-GB"/>
        </w:rPr>
        <w:t xml:space="preserve"> was established in terms of the </w:t>
      </w:r>
      <w:r w:rsidRPr="001E6CF3">
        <w:rPr>
          <w:rFonts w:ascii="Times New Roman" w:hAnsi="Times New Roman"/>
          <w:color w:val="000000"/>
          <w:sz w:val="24"/>
          <w:szCs w:val="24"/>
        </w:rPr>
        <w:t xml:space="preserve">Mineral Technology Act, No. 30 of 1989. It </w:t>
      </w:r>
      <w:r w:rsidRPr="001E6CF3">
        <w:rPr>
          <w:rFonts w:ascii="Times New Roman" w:hAnsi="Times New Roman"/>
          <w:sz w:val="24"/>
          <w:szCs w:val="24"/>
          <w:lang w:val="en-GB" w:eastAsia="en-GB"/>
        </w:rPr>
        <w:t xml:space="preserve">develops appropriate and innovative technology for transfer to the minerals industry, and provides the industry with test work; and consultancy, analytical and mineralogical services. </w:t>
      </w:r>
      <w:r w:rsidRPr="001E6CF3">
        <w:rPr>
          <w:rFonts w:ascii="Times New Roman" w:hAnsi="Times New Roman"/>
          <w:sz w:val="24"/>
          <w:szCs w:val="24"/>
        </w:rPr>
        <w:t>Almost half of</w:t>
      </w:r>
      <w:r w:rsidRPr="001E6CF3">
        <w:rPr>
          <w:rFonts w:ascii="Times New Roman" w:hAnsi="Times New Roman"/>
          <w:color w:val="00B050"/>
          <w:sz w:val="24"/>
          <w:szCs w:val="24"/>
        </w:rPr>
        <w:t xml:space="preserve"> </w:t>
      </w:r>
      <w:r w:rsidRPr="001E6CF3">
        <w:rPr>
          <w:rFonts w:ascii="Times New Roman" w:hAnsi="Times New Roman"/>
          <w:sz w:val="24"/>
          <w:szCs w:val="24"/>
        </w:rPr>
        <w:t>MINTEK’s revenue comes from the sale of products, services and contracted research to the private sector. This pattern is changing, with recent higher levels of state funding, so that sales in 2015/16 will account for an estimated 46 per cent of revenue (compared with 54 per cent in 2014/15 and 71 per cent in 2011/12). MINTEK activities include research in water treatment, the rehabilitation of derelict and ownerless mines, the establishment of a precious gemstone facility in Northern Cape, waste and scrap reprocessing, and the building of a pilot plant for rare earth elements.</w:t>
      </w:r>
      <w:r w:rsidRPr="001E6CF3">
        <w:rPr>
          <w:rFonts w:ascii="Times New Roman" w:hAnsi="Times New Roman"/>
          <w:sz w:val="24"/>
          <w:szCs w:val="24"/>
          <w:lang w:val="en-GB" w:eastAsia="en-GB"/>
        </w:rPr>
        <w:t xml:space="preserve"> The MINTEK total transfer to be received from DMR for 2016/17 is R356.4 million.</w:t>
      </w:r>
    </w:p>
    <w:p w:rsidR="00C5765A" w:rsidRPr="001E6CF3" w:rsidRDefault="00C5765A" w:rsidP="00843CE2">
      <w:pPr>
        <w:pStyle w:val="ListParagraph"/>
        <w:spacing w:line="360" w:lineRule="auto"/>
        <w:rPr>
          <w:rFonts w:ascii="Times New Roman" w:hAnsi="Times New Roman"/>
          <w:sz w:val="24"/>
          <w:szCs w:val="24"/>
          <w:lang w:val="en-GB" w:eastAsia="en-GB"/>
        </w:rPr>
      </w:pPr>
    </w:p>
    <w:p w:rsidR="00C5765A" w:rsidRPr="001E6CF3" w:rsidRDefault="00C5765A" w:rsidP="00843CE2">
      <w:pPr>
        <w:numPr>
          <w:ilvl w:val="0"/>
          <w:numId w:val="1"/>
        </w:numPr>
        <w:spacing w:line="360" w:lineRule="auto"/>
        <w:jc w:val="both"/>
        <w:rPr>
          <w:lang w:val="en-GB" w:eastAsia="en-GB"/>
        </w:rPr>
      </w:pPr>
      <w:r w:rsidRPr="001E6CF3">
        <w:rPr>
          <w:b/>
          <w:lang w:val="en-GB" w:eastAsia="en-GB"/>
        </w:rPr>
        <w:t>The Mine Health and Safety Council (MHSC)</w:t>
      </w:r>
      <w:r w:rsidRPr="001E6CF3">
        <w:rPr>
          <w:lang w:val="en-GB" w:eastAsia="en-GB"/>
        </w:rPr>
        <w:t xml:space="preserve"> was established in terms of the MHSA and is mandated to advise the Minister of Mineral Resources on occupational health and safety at mines, develop legislation, conduct research and liaise with other statutory bodies on matters relating to occupational health and safety at mines. The MHSC will not receive any transfer from the DMR budget in 2016/17, but the traditional, small allocation, will then be restored:  of R6.2 million in 2017/18, and of R6.5 million is 2018/19.</w:t>
      </w:r>
      <w:r w:rsidR="00D57ED4" w:rsidRPr="001E6CF3">
        <w:rPr>
          <w:lang w:val="en-GB" w:eastAsia="en-GB"/>
        </w:rPr>
        <w:t xml:space="preserve"> (It should be noted that the tasks of the MHSC are entirely distinct from the Mine Health and Safety </w:t>
      </w:r>
      <w:r w:rsidR="00F877C6" w:rsidRPr="001E6CF3">
        <w:rPr>
          <w:i/>
          <w:lang w:val="en-GB" w:eastAsia="en-GB"/>
        </w:rPr>
        <w:t>Inspectorate</w:t>
      </w:r>
      <w:r w:rsidR="00F877C6" w:rsidRPr="001E6CF3">
        <w:rPr>
          <w:lang w:val="en-GB" w:eastAsia="en-GB"/>
        </w:rPr>
        <w:t>,</w:t>
      </w:r>
      <w:r w:rsidR="00D57ED4" w:rsidRPr="001E6CF3">
        <w:rPr>
          <w:lang w:val="en-GB" w:eastAsia="en-GB"/>
        </w:rPr>
        <w:t xml:space="preserve"> a branch of the Department itself that enforces the Act through the inspectors it employs.)</w:t>
      </w:r>
    </w:p>
    <w:p w:rsidR="00C5765A" w:rsidRPr="001E6CF3" w:rsidRDefault="00C5765A" w:rsidP="00843CE2">
      <w:pPr>
        <w:spacing w:line="360" w:lineRule="auto"/>
        <w:rPr>
          <w:lang w:val="en-GB" w:eastAsia="en-GB"/>
        </w:rPr>
      </w:pPr>
    </w:p>
    <w:p w:rsidR="00C5765A" w:rsidRPr="001E6CF3" w:rsidRDefault="00C5765A" w:rsidP="00843CE2">
      <w:pPr>
        <w:numPr>
          <w:ilvl w:val="0"/>
          <w:numId w:val="1"/>
        </w:numPr>
        <w:spacing w:line="360" w:lineRule="auto"/>
        <w:jc w:val="both"/>
        <w:rPr>
          <w:lang w:val="en-GB" w:eastAsia="en-GB"/>
        </w:rPr>
      </w:pPr>
      <w:r w:rsidRPr="001E6CF3">
        <w:rPr>
          <w:b/>
          <w:lang w:val="en-GB" w:eastAsia="en-GB"/>
        </w:rPr>
        <w:t>The South African Diamond and Precious Metals Regulator</w:t>
      </w:r>
      <w:r w:rsidRPr="001E6CF3">
        <w:rPr>
          <w:lang w:val="en-GB" w:eastAsia="en-GB"/>
        </w:rPr>
        <w:t xml:space="preserve"> operates in terms of Precious Metals Act, No. 37 of 2005 and the Diamonds Act, No. 56 of 1986, as amended. It is mandated to regulate control over the possession, purchase, sale, processing and export of diamonds; and the regulation of precious metals. The total transfer to be received by the Regulator from DMR for 2016/17 is R53.2 million, making up about 56 per cent of its total budget.</w:t>
      </w:r>
    </w:p>
    <w:p w:rsidR="00C5765A" w:rsidRPr="001E6CF3" w:rsidRDefault="00C5765A" w:rsidP="00843CE2">
      <w:pPr>
        <w:spacing w:line="360" w:lineRule="auto"/>
        <w:rPr>
          <w:lang w:val="en-GB" w:eastAsia="en-GB"/>
        </w:rPr>
      </w:pPr>
    </w:p>
    <w:p w:rsidR="00C5765A" w:rsidRPr="001E6CF3" w:rsidRDefault="00C5765A" w:rsidP="00843CE2">
      <w:pPr>
        <w:numPr>
          <w:ilvl w:val="0"/>
          <w:numId w:val="1"/>
        </w:numPr>
        <w:spacing w:line="360" w:lineRule="auto"/>
        <w:jc w:val="both"/>
        <w:rPr>
          <w:lang w:val="en-GB" w:eastAsia="en-GB"/>
        </w:rPr>
      </w:pPr>
      <w:r w:rsidRPr="001E6CF3">
        <w:rPr>
          <w:b/>
          <w:lang w:val="en-GB" w:eastAsia="en-GB"/>
        </w:rPr>
        <w:t>The State Diamond Trader (SDT)</w:t>
      </w:r>
      <w:r w:rsidRPr="001E6CF3">
        <w:rPr>
          <w:lang w:val="en-GB" w:eastAsia="en-GB"/>
        </w:rPr>
        <w:t xml:space="preserve"> was established in terms of the Diamonds Act, No. 56 of 1986, as amended.  The SDT is mandated to buy and sell rough diamonds to promote equitable access to diamonds and the local beneficiation of diamond resources. Its revenue is generated by means of selling rough diamonds to clients, who comprise mainly diamond polishers and cutters. The entity’s total revenue for 2016/17 is estimated at R631.3 million.</w:t>
      </w:r>
    </w:p>
    <w:p w:rsidR="00C5765A" w:rsidRPr="001E6CF3" w:rsidRDefault="00C5765A" w:rsidP="00843CE2">
      <w:pPr>
        <w:spacing w:line="360" w:lineRule="auto"/>
        <w:ind w:left="720"/>
        <w:rPr>
          <w:b/>
          <w:lang w:val="en-GB" w:eastAsia="en-GB"/>
        </w:rPr>
      </w:pPr>
    </w:p>
    <w:p w:rsidR="00C5765A" w:rsidRPr="001E6CF3" w:rsidRDefault="00C5765A" w:rsidP="00843CE2">
      <w:pPr>
        <w:spacing w:line="360" w:lineRule="auto"/>
        <w:ind w:left="720"/>
        <w:jc w:val="both"/>
      </w:pPr>
      <w:r w:rsidRPr="001E6CF3">
        <w:t>The SDT, which had 17 funded posts in 2015, intends to maintain its employment level at 16 in the medium term, thus abandoning the current plan, as set out in the 2015 ENE, to increase employment to 26 by 2017/18.</w:t>
      </w:r>
    </w:p>
    <w:p w:rsidR="00F87618" w:rsidRDefault="00F87618" w:rsidP="00843CE2">
      <w:pPr>
        <w:spacing w:line="360" w:lineRule="auto"/>
        <w:ind w:left="720"/>
      </w:pPr>
    </w:p>
    <w:p w:rsidR="00730872" w:rsidRPr="001E6CF3" w:rsidRDefault="00730872" w:rsidP="00843CE2">
      <w:pPr>
        <w:spacing w:line="360" w:lineRule="auto"/>
        <w:ind w:left="720"/>
      </w:pPr>
    </w:p>
    <w:p w:rsidR="002E029B" w:rsidRPr="001E6CF3" w:rsidRDefault="0088290D" w:rsidP="00843CE2">
      <w:pPr>
        <w:tabs>
          <w:tab w:val="left" w:pos="426"/>
        </w:tabs>
        <w:spacing w:line="360" w:lineRule="auto"/>
        <w:ind w:right="-180"/>
        <w:rPr>
          <w:b/>
        </w:rPr>
      </w:pPr>
      <w:r w:rsidRPr="001E6CF3">
        <w:rPr>
          <w:b/>
        </w:rPr>
        <w:t>5.</w:t>
      </w:r>
      <w:r w:rsidRPr="001E6CF3">
        <w:rPr>
          <w:b/>
        </w:rPr>
        <w:tab/>
      </w:r>
      <w:r w:rsidR="002E029B" w:rsidRPr="001E6CF3">
        <w:rPr>
          <w:b/>
        </w:rPr>
        <w:t xml:space="preserve">Briefing by the </w:t>
      </w:r>
      <w:r w:rsidR="005F3E02" w:rsidRPr="001E6CF3">
        <w:rPr>
          <w:b/>
        </w:rPr>
        <w:t xml:space="preserve">Financial </w:t>
      </w:r>
      <w:r w:rsidR="00D57ED4" w:rsidRPr="001E6CF3">
        <w:rPr>
          <w:b/>
        </w:rPr>
        <w:t xml:space="preserve">and </w:t>
      </w:r>
      <w:r w:rsidR="005F3E02" w:rsidRPr="001E6CF3">
        <w:rPr>
          <w:b/>
        </w:rPr>
        <w:t xml:space="preserve">Fiscal Commission </w:t>
      </w:r>
      <w:r w:rsidR="00A64D62" w:rsidRPr="001E6CF3">
        <w:rPr>
          <w:b/>
        </w:rPr>
        <w:t xml:space="preserve"> </w:t>
      </w:r>
    </w:p>
    <w:p w:rsidR="00C5765A" w:rsidRPr="001E6CF3" w:rsidRDefault="00C5765A" w:rsidP="00843CE2">
      <w:pPr>
        <w:tabs>
          <w:tab w:val="left" w:pos="426"/>
        </w:tabs>
        <w:spacing w:line="360" w:lineRule="auto"/>
        <w:ind w:right="-180"/>
        <w:rPr>
          <w:b/>
        </w:rPr>
      </w:pPr>
    </w:p>
    <w:p w:rsidR="00995ACF" w:rsidRPr="001E6CF3" w:rsidRDefault="00572361" w:rsidP="00843CE2">
      <w:pPr>
        <w:tabs>
          <w:tab w:val="left" w:pos="426"/>
        </w:tabs>
        <w:spacing w:line="360" w:lineRule="auto"/>
        <w:ind w:right="-180"/>
        <w:jc w:val="both"/>
      </w:pPr>
      <w:r w:rsidRPr="001E6CF3">
        <w:t xml:space="preserve">Mr B Khumalo, Chairperson of the Financial </w:t>
      </w:r>
      <w:r w:rsidR="00AA453C" w:rsidRPr="001E6CF3">
        <w:t xml:space="preserve">and </w:t>
      </w:r>
      <w:r w:rsidRPr="001E6CF3">
        <w:t xml:space="preserve">Fiscal Commission </w:t>
      </w:r>
      <w:r w:rsidR="002C5307" w:rsidRPr="001E6CF3">
        <w:t xml:space="preserve">noted that the </w:t>
      </w:r>
      <w:r w:rsidR="00995ACF" w:rsidRPr="001E6CF3">
        <w:t xml:space="preserve">Mineral Sector </w:t>
      </w:r>
      <w:r w:rsidR="002C5307" w:rsidRPr="001E6CF3">
        <w:t xml:space="preserve">is </w:t>
      </w:r>
      <w:r w:rsidR="00995ACF" w:rsidRPr="001E6CF3">
        <w:t>facing global headwinds</w:t>
      </w:r>
      <w:r w:rsidR="002C5307" w:rsidRPr="001E6CF3">
        <w:t>. T</w:t>
      </w:r>
      <w:r w:rsidR="00995ACF" w:rsidRPr="001E6CF3">
        <w:t xml:space="preserve">he rebalancing of </w:t>
      </w:r>
      <w:r w:rsidR="002C5307" w:rsidRPr="001E6CF3">
        <w:t xml:space="preserve">China’s </w:t>
      </w:r>
      <w:r w:rsidR="00995ACF" w:rsidRPr="001E6CF3">
        <w:t>economy has place</w:t>
      </w:r>
      <w:r w:rsidR="002C5307" w:rsidRPr="001E6CF3">
        <w:t>d</w:t>
      </w:r>
      <w:r w:rsidR="00995ACF" w:rsidRPr="001E6CF3">
        <w:t xml:space="preserve"> substantial downward pressure on global commodity prices</w:t>
      </w:r>
      <w:r w:rsidR="002C5307" w:rsidRPr="001E6CF3">
        <w:t xml:space="preserve">. This is </w:t>
      </w:r>
      <w:r w:rsidR="00995ACF" w:rsidRPr="001E6CF3">
        <w:t>particularly key for</w:t>
      </w:r>
      <w:r w:rsidR="002C5307" w:rsidRPr="001E6CF3">
        <w:t xml:space="preserve"> the</w:t>
      </w:r>
      <w:r w:rsidR="00995ACF" w:rsidRPr="001E6CF3">
        <w:t xml:space="preserve"> mining sector which relies on </w:t>
      </w:r>
      <w:r w:rsidR="002C5307" w:rsidRPr="001E6CF3">
        <w:t xml:space="preserve">China’s </w:t>
      </w:r>
      <w:r w:rsidR="00995ACF" w:rsidRPr="001E6CF3">
        <w:t xml:space="preserve">market </w:t>
      </w:r>
      <w:r w:rsidR="002C5307" w:rsidRPr="001E6CF3">
        <w:t xml:space="preserve">to buy </w:t>
      </w:r>
      <w:r w:rsidR="00995ACF" w:rsidRPr="001E6CF3">
        <w:t>over 80% of its export output.</w:t>
      </w:r>
    </w:p>
    <w:p w:rsidR="00995ACF" w:rsidRPr="001E6CF3" w:rsidRDefault="00995ACF" w:rsidP="00843CE2">
      <w:pPr>
        <w:tabs>
          <w:tab w:val="left" w:pos="426"/>
        </w:tabs>
        <w:spacing w:line="360" w:lineRule="auto"/>
        <w:ind w:right="-180"/>
        <w:jc w:val="both"/>
      </w:pPr>
    </w:p>
    <w:p w:rsidR="00EA0D24" w:rsidRPr="001E6CF3" w:rsidRDefault="00995ACF" w:rsidP="00843CE2">
      <w:pPr>
        <w:tabs>
          <w:tab w:val="left" w:pos="426"/>
        </w:tabs>
        <w:spacing w:line="360" w:lineRule="auto"/>
        <w:ind w:right="-180"/>
        <w:jc w:val="both"/>
      </w:pPr>
      <w:r w:rsidRPr="001E6CF3">
        <w:t xml:space="preserve">He outlined the trends in mining sector output specifically </w:t>
      </w:r>
      <w:r w:rsidR="00AA2225" w:rsidRPr="001E6CF3">
        <w:t xml:space="preserve">referring </w:t>
      </w:r>
      <w:r w:rsidR="002C5307" w:rsidRPr="001E6CF3">
        <w:t xml:space="preserve">on </w:t>
      </w:r>
      <w:r w:rsidR="005F713F" w:rsidRPr="001E6CF3">
        <w:t>percentage</w:t>
      </w:r>
      <w:r w:rsidR="002C5307" w:rsidRPr="001E6CF3">
        <w:t xml:space="preserve"> change</w:t>
      </w:r>
      <w:r w:rsidR="005F713F" w:rsidRPr="001E6CF3">
        <w:t xml:space="preserve">s </w:t>
      </w:r>
      <w:r w:rsidR="002C5307" w:rsidRPr="001E6CF3">
        <w:t xml:space="preserve">in </w:t>
      </w:r>
      <w:r w:rsidRPr="001E6CF3">
        <w:t xml:space="preserve">gold and </w:t>
      </w:r>
      <w:r w:rsidR="005F713F" w:rsidRPr="001E6CF3">
        <w:t>non-gold</w:t>
      </w:r>
      <w:r w:rsidRPr="001E6CF3">
        <w:t xml:space="preserve"> production. He said despite </w:t>
      </w:r>
      <w:r w:rsidR="002C5307" w:rsidRPr="001E6CF3">
        <w:t xml:space="preserve">a </w:t>
      </w:r>
      <w:r w:rsidRPr="001E6CF3">
        <w:t>substantial decline in gold output, growth in non-gold export</w:t>
      </w:r>
      <w:r w:rsidR="002C5307" w:rsidRPr="001E6CF3">
        <w:t>s</w:t>
      </w:r>
      <w:r w:rsidRPr="001E6CF3">
        <w:t xml:space="preserve"> ensured average growth in overall mining/mineral production remained positive between 1994 and 2008. On average, between 2010 and 2015, gold output declined by 5%, </w:t>
      </w:r>
      <w:r w:rsidR="005F713F" w:rsidRPr="001E6CF3">
        <w:t>non-gold</w:t>
      </w:r>
      <w:r w:rsidRPr="001E6CF3">
        <w:t xml:space="preserve"> </w:t>
      </w:r>
      <w:r w:rsidR="00AA2225" w:rsidRPr="001E6CF3">
        <w:t xml:space="preserve">output </w:t>
      </w:r>
      <w:r w:rsidRPr="001E6CF3">
        <w:t>increased by 2.4% and mining sector production increased by 1.04%.</w:t>
      </w:r>
    </w:p>
    <w:p w:rsidR="00EA0D24" w:rsidRPr="001E6CF3" w:rsidRDefault="00EA0D24" w:rsidP="00843CE2">
      <w:pPr>
        <w:tabs>
          <w:tab w:val="left" w:pos="426"/>
        </w:tabs>
        <w:spacing w:line="360" w:lineRule="auto"/>
        <w:ind w:right="-180"/>
        <w:jc w:val="both"/>
      </w:pPr>
    </w:p>
    <w:p w:rsidR="00EA0D24" w:rsidRPr="001E6CF3" w:rsidRDefault="00EA0D24" w:rsidP="00843CE2">
      <w:pPr>
        <w:tabs>
          <w:tab w:val="left" w:pos="426"/>
        </w:tabs>
        <w:spacing w:line="360" w:lineRule="auto"/>
        <w:ind w:right="-180"/>
        <w:jc w:val="both"/>
      </w:pPr>
      <w:r w:rsidRPr="001E6CF3">
        <w:t xml:space="preserve">In terms of economic importance </w:t>
      </w:r>
      <w:r w:rsidR="006F4AB4" w:rsidRPr="001E6CF3">
        <w:t>of the</w:t>
      </w:r>
      <w:r w:rsidR="002C5307" w:rsidRPr="001E6CF3">
        <w:t xml:space="preserve"> </w:t>
      </w:r>
      <w:r w:rsidRPr="001E6CF3">
        <w:t>minerals sector, Mr Khumalo said South Africa</w:t>
      </w:r>
      <w:r w:rsidR="00AA2225" w:rsidRPr="001E6CF3">
        <w:t>n</w:t>
      </w:r>
      <w:r w:rsidRPr="001E6CF3">
        <w:t xml:space="preserve"> economy</w:t>
      </w:r>
      <w:r w:rsidR="00AA2225" w:rsidRPr="001E6CF3">
        <w:t>’s</w:t>
      </w:r>
      <w:r w:rsidRPr="001E6CF3">
        <w:t xml:space="preserve"> </w:t>
      </w:r>
      <w:r w:rsidR="00AA2225" w:rsidRPr="001E6CF3">
        <w:t xml:space="preserve">profile </w:t>
      </w:r>
      <w:r w:rsidRPr="001E6CF3">
        <w:t xml:space="preserve">continues </w:t>
      </w:r>
      <w:r w:rsidR="002C5307" w:rsidRPr="001E6CF3">
        <w:t xml:space="preserve">to show the </w:t>
      </w:r>
      <w:r w:rsidRPr="001E6CF3">
        <w:t xml:space="preserve">declining role of primary sector, especially mining </w:t>
      </w:r>
      <w:r w:rsidR="002C5307" w:rsidRPr="001E6CF3">
        <w:t xml:space="preserve">and its </w:t>
      </w:r>
      <w:r w:rsidRPr="001E6CF3">
        <w:t>contribution to gross value added (GVA). Notable decline</w:t>
      </w:r>
      <w:r w:rsidR="002C5307" w:rsidRPr="001E6CF3">
        <w:t>s in the</w:t>
      </w:r>
      <w:r w:rsidRPr="001E6CF3">
        <w:t xml:space="preserve"> growth and share of mining sector gross value added </w:t>
      </w:r>
      <w:r w:rsidR="002C5307" w:rsidRPr="001E6CF3">
        <w:t xml:space="preserve">are evident. This fell </w:t>
      </w:r>
      <w:r w:rsidRPr="001E6CF3">
        <w:t xml:space="preserve">from almost 14% average share of total GVA between 1994 and 2004 to 9% since 2005.  He alluded to the commodity </w:t>
      </w:r>
      <w:r w:rsidR="00AA2225" w:rsidRPr="001E6CF3">
        <w:t>super cycle</w:t>
      </w:r>
      <w:r w:rsidRPr="001E6CF3">
        <w:t xml:space="preserve"> </w:t>
      </w:r>
      <w:r w:rsidR="002C5307" w:rsidRPr="001E6CF3">
        <w:t xml:space="preserve">which </w:t>
      </w:r>
      <w:r w:rsidRPr="001E6CF3">
        <w:t xml:space="preserve">contributed to significant growth in </w:t>
      </w:r>
      <w:r w:rsidR="00AA2225" w:rsidRPr="001E6CF3">
        <w:t xml:space="preserve">the </w:t>
      </w:r>
      <w:r w:rsidRPr="001E6CF3">
        <w:t xml:space="preserve">mining sector investments. Mining’s share of investment </w:t>
      </w:r>
      <w:r w:rsidR="002C5307" w:rsidRPr="001E6CF3">
        <w:t xml:space="preserve">has fallen and is </w:t>
      </w:r>
      <w:r w:rsidRPr="001E6CF3">
        <w:t>now at level</w:t>
      </w:r>
      <w:r w:rsidR="002C5307" w:rsidRPr="001E6CF3">
        <w:t>s</w:t>
      </w:r>
      <w:r w:rsidRPr="001E6CF3">
        <w:t xml:space="preserve"> last seen pre 1994</w:t>
      </w:r>
      <w:r w:rsidR="002C5307" w:rsidRPr="001E6CF3">
        <w:t>. It is n</w:t>
      </w:r>
      <w:r w:rsidRPr="001E6CF3">
        <w:t xml:space="preserve">otable that </w:t>
      </w:r>
      <w:r w:rsidR="002C5307" w:rsidRPr="001E6CF3">
        <w:t xml:space="preserve">the </w:t>
      </w:r>
      <w:r w:rsidRPr="001E6CF3">
        <w:t xml:space="preserve">performance of mining investment </w:t>
      </w:r>
      <w:r w:rsidR="002C5307" w:rsidRPr="001E6CF3">
        <w:t xml:space="preserve">in South Africa </w:t>
      </w:r>
      <w:r w:rsidRPr="001E6CF3">
        <w:t xml:space="preserve">has mirrored global dynamics around demand for minerals/ mining commodities. </w:t>
      </w:r>
    </w:p>
    <w:p w:rsidR="00EA0D24" w:rsidRPr="001E6CF3" w:rsidRDefault="00EA0D24" w:rsidP="00843CE2">
      <w:pPr>
        <w:tabs>
          <w:tab w:val="left" w:pos="426"/>
        </w:tabs>
        <w:spacing w:line="360" w:lineRule="auto"/>
        <w:ind w:right="-180"/>
        <w:jc w:val="both"/>
      </w:pPr>
    </w:p>
    <w:p w:rsidR="00EA0D24" w:rsidRPr="001E6CF3" w:rsidRDefault="00EA0D24" w:rsidP="00843CE2">
      <w:pPr>
        <w:tabs>
          <w:tab w:val="left" w:pos="426"/>
        </w:tabs>
        <w:spacing w:line="360" w:lineRule="auto"/>
        <w:ind w:right="-180"/>
        <w:jc w:val="both"/>
      </w:pPr>
      <w:r w:rsidRPr="001E6CF3">
        <w:t xml:space="preserve">He outlined the role of mining sector in facilitating employment and indicated that the production process in minerals extraction </w:t>
      </w:r>
      <w:r w:rsidR="002C5307" w:rsidRPr="001E6CF3">
        <w:t xml:space="preserve">is </w:t>
      </w:r>
      <w:r w:rsidRPr="001E6CF3">
        <w:t>becoming increasingly capital-intensive</w:t>
      </w:r>
      <w:r w:rsidR="002C5307" w:rsidRPr="001E6CF3">
        <w:t xml:space="preserve">. The </w:t>
      </w:r>
      <w:r w:rsidRPr="001E6CF3">
        <w:t>contribution to formal sector employment has declined</w:t>
      </w:r>
      <w:r w:rsidR="00DF4F53" w:rsidRPr="001E6CF3">
        <w:t xml:space="preserve"> </w:t>
      </w:r>
      <w:r w:rsidR="002C5307" w:rsidRPr="001E6CF3">
        <w:t xml:space="preserve">to </w:t>
      </w:r>
      <w:r w:rsidR="00DF4F53" w:rsidRPr="001E6CF3">
        <w:t>less than 6% and the rising costs and declining demand have resulted in restructuring programs with significant risks for existing jobs</w:t>
      </w:r>
      <w:r w:rsidR="002C5307" w:rsidRPr="001E6CF3">
        <w:t xml:space="preserve"> in mines</w:t>
      </w:r>
      <w:r w:rsidR="00DF4F53" w:rsidRPr="001E6CF3">
        <w:t xml:space="preserve">. </w:t>
      </w:r>
    </w:p>
    <w:p w:rsidR="00DF4F53" w:rsidRPr="001E6CF3" w:rsidRDefault="00DF4F53" w:rsidP="00843CE2">
      <w:pPr>
        <w:tabs>
          <w:tab w:val="left" w:pos="426"/>
        </w:tabs>
        <w:spacing w:line="360" w:lineRule="auto"/>
        <w:ind w:right="-180"/>
        <w:jc w:val="both"/>
      </w:pPr>
    </w:p>
    <w:p w:rsidR="00A23D42" w:rsidRPr="001E6CF3" w:rsidRDefault="00DF4F53" w:rsidP="00843CE2">
      <w:pPr>
        <w:spacing w:line="360" w:lineRule="auto"/>
        <w:jc w:val="both"/>
      </w:pPr>
      <w:r w:rsidRPr="001E6CF3">
        <w:t xml:space="preserve">The cornerstone gold sector upon which </w:t>
      </w:r>
      <w:r w:rsidR="001B3F7D" w:rsidRPr="001E6CF3">
        <w:t xml:space="preserve">the </w:t>
      </w:r>
      <w:r w:rsidRPr="001E6CF3">
        <w:t xml:space="preserve">modern South African economy was built continues to experience difficulties, with average annual production </w:t>
      </w:r>
      <w:r w:rsidR="001B3F7D" w:rsidRPr="001E6CF3">
        <w:t xml:space="preserve">declines of </w:t>
      </w:r>
      <w:r w:rsidRPr="001E6CF3">
        <w:t xml:space="preserve">5% between 2010 and 2015. While growth in non-gold output has ensured a relative recovery in </w:t>
      </w:r>
      <w:r w:rsidR="001B3F7D" w:rsidRPr="001E6CF3">
        <w:t xml:space="preserve">the </w:t>
      </w:r>
      <w:r w:rsidRPr="001E6CF3">
        <w:t xml:space="preserve">growth of total mining production, concerns remain </w:t>
      </w:r>
      <w:r w:rsidR="001B3F7D" w:rsidRPr="001E6CF3">
        <w:t xml:space="preserve">that </w:t>
      </w:r>
      <w:r w:rsidRPr="001E6CF3">
        <w:t xml:space="preserve">between 2010 and 2015, </w:t>
      </w:r>
      <w:r w:rsidR="001B3F7D" w:rsidRPr="001E6CF3">
        <w:t xml:space="preserve">the </w:t>
      </w:r>
      <w:r w:rsidRPr="001E6CF3">
        <w:t xml:space="preserve">mining share of total value added has remained </w:t>
      </w:r>
      <w:r w:rsidR="0088290D" w:rsidRPr="001E6CF3">
        <w:t>negative</w:t>
      </w:r>
      <w:r w:rsidRPr="001E6CF3">
        <w:t xml:space="preserve"> (-1.2%). Slowdown in global demand for commodities has seen investment levels decline from the peaks recorded during the commodity </w:t>
      </w:r>
      <w:r w:rsidR="00AA2225" w:rsidRPr="001E6CF3">
        <w:t>super cycle</w:t>
      </w:r>
      <w:r w:rsidRPr="001E6CF3">
        <w:t xml:space="preserve"> (</w:t>
      </w:r>
      <w:r w:rsidR="001B3F7D" w:rsidRPr="001E6CF3">
        <w:t xml:space="preserve">an </w:t>
      </w:r>
      <w:r w:rsidRPr="001E6CF3">
        <w:t xml:space="preserve">average of 27% </w:t>
      </w:r>
      <w:r w:rsidR="001B3F7D" w:rsidRPr="001E6CF3">
        <w:t xml:space="preserve">from </w:t>
      </w:r>
      <w:r w:rsidRPr="001E6CF3">
        <w:t xml:space="preserve">2006-2009 </w:t>
      </w:r>
      <w:r w:rsidR="001B3F7D" w:rsidRPr="001E6CF3">
        <w:t xml:space="preserve">compared to an </w:t>
      </w:r>
      <w:r w:rsidRPr="001E6CF3">
        <w:t>average of 0.87% between 2010 and 2015).</w:t>
      </w:r>
    </w:p>
    <w:p w:rsidR="00A23D42" w:rsidRPr="001E6CF3" w:rsidRDefault="00A23D42" w:rsidP="00843CE2">
      <w:pPr>
        <w:spacing w:line="360" w:lineRule="auto"/>
      </w:pPr>
    </w:p>
    <w:p w:rsidR="00AA2225" w:rsidRPr="001E6CF3" w:rsidRDefault="00A23D42" w:rsidP="00843CE2">
      <w:pPr>
        <w:spacing w:line="360" w:lineRule="auto"/>
        <w:jc w:val="both"/>
      </w:pPr>
      <w:r w:rsidRPr="001E6CF3">
        <w:t xml:space="preserve">Mr Khumalo outlined the </w:t>
      </w:r>
      <w:r w:rsidR="001B3F7D" w:rsidRPr="001E6CF3">
        <w:t xml:space="preserve">key </w:t>
      </w:r>
      <w:r w:rsidRPr="001E6CF3">
        <w:t xml:space="preserve">challenges as follows: </w:t>
      </w:r>
    </w:p>
    <w:p w:rsidR="00AA2225" w:rsidRPr="001E6CF3" w:rsidRDefault="00A23D42" w:rsidP="00843CE2">
      <w:pPr>
        <w:pStyle w:val="ListParagraph"/>
        <w:numPr>
          <w:ilvl w:val="0"/>
          <w:numId w:val="18"/>
        </w:numPr>
        <w:spacing w:line="360" w:lineRule="auto"/>
        <w:rPr>
          <w:rFonts w:ascii="Times New Roman" w:hAnsi="Times New Roman"/>
          <w:sz w:val="24"/>
          <w:szCs w:val="24"/>
        </w:rPr>
      </w:pPr>
      <w:r w:rsidRPr="001E6CF3">
        <w:rPr>
          <w:rFonts w:ascii="Times New Roman" w:hAnsi="Times New Roman"/>
          <w:sz w:val="24"/>
          <w:szCs w:val="24"/>
        </w:rPr>
        <w:t xml:space="preserve">Global economic outlook, </w:t>
      </w:r>
    </w:p>
    <w:p w:rsidR="00AA2225" w:rsidRPr="001E6CF3" w:rsidRDefault="00A23D42" w:rsidP="00843CE2">
      <w:pPr>
        <w:pStyle w:val="ListParagraph"/>
        <w:numPr>
          <w:ilvl w:val="0"/>
          <w:numId w:val="18"/>
        </w:numPr>
        <w:spacing w:line="360" w:lineRule="auto"/>
        <w:rPr>
          <w:rFonts w:ascii="Times New Roman" w:hAnsi="Times New Roman"/>
          <w:sz w:val="24"/>
          <w:szCs w:val="24"/>
        </w:rPr>
      </w:pPr>
      <w:r w:rsidRPr="001E6CF3">
        <w:rPr>
          <w:rFonts w:ascii="Times New Roman" w:hAnsi="Times New Roman"/>
          <w:sz w:val="24"/>
          <w:szCs w:val="24"/>
        </w:rPr>
        <w:t xml:space="preserve">Public expenditure growth cutback, </w:t>
      </w:r>
    </w:p>
    <w:p w:rsidR="00AA2225" w:rsidRPr="001E6CF3" w:rsidRDefault="00AA2225" w:rsidP="00843CE2">
      <w:pPr>
        <w:pStyle w:val="ListParagraph"/>
        <w:numPr>
          <w:ilvl w:val="0"/>
          <w:numId w:val="18"/>
        </w:numPr>
        <w:spacing w:line="360" w:lineRule="auto"/>
        <w:rPr>
          <w:rFonts w:ascii="Times New Roman" w:hAnsi="Times New Roman"/>
          <w:sz w:val="24"/>
          <w:szCs w:val="24"/>
        </w:rPr>
      </w:pPr>
      <w:r w:rsidRPr="001E6CF3">
        <w:rPr>
          <w:rFonts w:ascii="Times New Roman" w:hAnsi="Times New Roman"/>
          <w:sz w:val="24"/>
          <w:szCs w:val="24"/>
        </w:rPr>
        <w:t>I</w:t>
      </w:r>
      <w:r w:rsidR="00A23D42" w:rsidRPr="001E6CF3">
        <w:rPr>
          <w:rFonts w:ascii="Times New Roman" w:hAnsi="Times New Roman"/>
          <w:sz w:val="24"/>
          <w:szCs w:val="24"/>
        </w:rPr>
        <w:t>mplementing change/</w:t>
      </w:r>
      <w:r w:rsidR="00814ED1" w:rsidRPr="001E6CF3">
        <w:rPr>
          <w:rFonts w:ascii="Times New Roman" w:hAnsi="Times New Roman"/>
          <w:sz w:val="24"/>
          <w:szCs w:val="24"/>
        </w:rPr>
        <w:t>transformation</w:t>
      </w:r>
      <w:r w:rsidR="00A23D42" w:rsidRPr="001E6CF3">
        <w:rPr>
          <w:rFonts w:ascii="Times New Roman" w:hAnsi="Times New Roman"/>
          <w:sz w:val="24"/>
          <w:szCs w:val="24"/>
        </w:rPr>
        <w:t xml:space="preserve"> and gaining consensus on right economic and ownership strategy for mining </w:t>
      </w:r>
      <w:r w:rsidR="00474B66" w:rsidRPr="001E6CF3">
        <w:rPr>
          <w:rFonts w:ascii="Times New Roman" w:hAnsi="Times New Roman"/>
          <w:sz w:val="24"/>
          <w:szCs w:val="24"/>
        </w:rPr>
        <w:t>i.e.</w:t>
      </w:r>
      <w:r w:rsidR="00A23D42" w:rsidRPr="001E6CF3">
        <w:rPr>
          <w:rFonts w:ascii="Times New Roman" w:hAnsi="Times New Roman"/>
          <w:sz w:val="24"/>
          <w:szCs w:val="24"/>
        </w:rPr>
        <w:t xml:space="preserve"> ownership, </w:t>
      </w:r>
    </w:p>
    <w:p w:rsidR="00A23D42" w:rsidRPr="001E6CF3" w:rsidRDefault="00A23D42" w:rsidP="00843CE2">
      <w:pPr>
        <w:pStyle w:val="ListParagraph"/>
        <w:numPr>
          <w:ilvl w:val="0"/>
          <w:numId w:val="18"/>
        </w:numPr>
        <w:spacing w:line="360" w:lineRule="auto"/>
        <w:rPr>
          <w:rFonts w:ascii="Times New Roman" w:hAnsi="Times New Roman"/>
          <w:sz w:val="24"/>
          <w:szCs w:val="24"/>
        </w:rPr>
      </w:pPr>
      <w:r w:rsidRPr="001E6CF3">
        <w:rPr>
          <w:rFonts w:ascii="Times New Roman" w:hAnsi="Times New Roman"/>
          <w:sz w:val="24"/>
          <w:szCs w:val="24"/>
        </w:rPr>
        <w:t xml:space="preserve">Beneficiation and State Mining Company and other pressing issues </w:t>
      </w:r>
      <w:r w:rsidR="00814ED1" w:rsidRPr="001E6CF3">
        <w:rPr>
          <w:rFonts w:ascii="Times New Roman" w:hAnsi="Times New Roman"/>
          <w:sz w:val="24"/>
          <w:szCs w:val="24"/>
        </w:rPr>
        <w:t xml:space="preserve"> like impact of the mining related labour  unrests on growth, inflation and investment, lingering uncertainly around nationalization and issues about confusion between municipalities and traditional leaders and impact on mining investment,</w:t>
      </w:r>
    </w:p>
    <w:p w:rsidR="00633703" w:rsidRPr="001E6CF3" w:rsidRDefault="00633703" w:rsidP="00843CE2">
      <w:pPr>
        <w:spacing w:line="360" w:lineRule="auto"/>
        <w:jc w:val="both"/>
      </w:pPr>
    </w:p>
    <w:p w:rsidR="00814ED1" w:rsidRPr="001E6CF3" w:rsidRDefault="00814ED1" w:rsidP="00843CE2">
      <w:pPr>
        <w:spacing w:line="360" w:lineRule="auto"/>
        <w:jc w:val="both"/>
      </w:pPr>
      <w:r w:rsidRPr="001E6CF3">
        <w:t>Dr</w:t>
      </w:r>
      <w:r w:rsidR="00633703" w:rsidRPr="001E6CF3">
        <w:t xml:space="preserve"> H A Amusa,</w:t>
      </w:r>
      <w:r w:rsidR="00633703" w:rsidRPr="001E6CF3">
        <w:rPr>
          <w:lang w:val="en-ZA"/>
        </w:rPr>
        <w:t xml:space="preserve"> Programme Manager: Macroeconomics and Public </w:t>
      </w:r>
      <w:r w:rsidR="00F87618" w:rsidRPr="001E6CF3">
        <w:rPr>
          <w:lang w:val="en-ZA"/>
        </w:rPr>
        <w:t>Finance</w:t>
      </w:r>
      <w:r w:rsidR="00F87618" w:rsidRPr="001E6CF3">
        <w:t xml:space="preserve"> presented</w:t>
      </w:r>
      <w:r w:rsidRPr="001E6CF3">
        <w:t xml:space="preserve"> the </w:t>
      </w:r>
      <w:r w:rsidR="00807ABC" w:rsidRPr="001E6CF3">
        <w:t>D</w:t>
      </w:r>
      <w:r w:rsidRPr="001E6CF3">
        <w:t xml:space="preserve">epartmental analysis with reference to NDP and NGP </w:t>
      </w:r>
      <w:r w:rsidR="00B671FB" w:rsidRPr="001E6CF3">
        <w:t xml:space="preserve">policy </w:t>
      </w:r>
      <w:r w:rsidRPr="001E6CF3">
        <w:t>objective</w:t>
      </w:r>
      <w:r w:rsidR="00B671FB" w:rsidRPr="001E6CF3">
        <w:t>s</w:t>
      </w:r>
      <w:r w:rsidRPr="001E6CF3">
        <w:t xml:space="preserve"> for th</w:t>
      </w:r>
      <w:r w:rsidR="00C22816" w:rsidRPr="001E6CF3">
        <w:t>e</w:t>
      </w:r>
      <w:r w:rsidRPr="001E6CF3">
        <w:t xml:space="preserve"> Mining Sector and Departmental Strategic Outcomes Oriented Goals 2014-2019. He said the </w:t>
      </w:r>
      <w:r w:rsidR="00807ABC" w:rsidRPr="001E6CF3">
        <w:t>D</w:t>
      </w:r>
      <w:r w:rsidRPr="001E6CF3">
        <w:t xml:space="preserve">epartmental budget has </w:t>
      </w:r>
      <w:r w:rsidR="00B671FB" w:rsidRPr="001E6CF3">
        <w:t xml:space="preserve">increased </w:t>
      </w:r>
      <w:r w:rsidRPr="001E6CF3">
        <w:t xml:space="preserve">from R1.4 billion in 2014/15 to R1.6 billion in 2015/16. In </w:t>
      </w:r>
      <w:r w:rsidR="00807ABC" w:rsidRPr="001E6CF3">
        <w:t xml:space="preserve">the </w:t>
      </w:r>
      <w:r w:rsidRPr="001E6CF3">
        <w:t xml:space="preserve">medium term it </w:t>
      </w:r>
      <w:r w:rsidR="00807ABC" w:rsidRPr="001E6CF3">
        <w:t xml:space="preserve">will </w:t>
      </w:r>
      <w:r w:rsidRPr="001E6CF3">
        <w:t xml:space="preserve">increase to R1.8 billion. The average growth rate has decelerated </w:t>
      </w:r>
      <w:r w:rsidR="0050021F" w:rsidRPr="001E6CF3">
        <w:t>from</w:t>
      </w:r>
      <w:r w:rsidRPr="001E6CF3">
        <w:t xml:space="preserve"> 24.98% between 2013/1</w:t>
      </w:r>
      <w:r w:rsidR="00807ABC" w:rsidRPr="001E6CF3">
        <w:t>4</w:t>
      </w:r>
      <w:r w:rsidRPr="001E6CF3">
        <w:t xml:space="preserve"> -2015/16 to 5.85% in the medium term 2016/17-2018/19, suggesting a significant slowdown in the growth of the departmental budget in the medium term.</w:t>
      </w:r>
    </w:p>
    <w:p w:rsidR="00814ED1" w:rsidRPr="001E6CF3" w:rsidRDefault="00814ED1" w:rsidP="00843CE2">
      <w:pPr>
        <w:spacing w:line="360" w:lineRule="auto"/>
        <w:jc w:val="both"/>
      </w:pPr>
    </w:p>
    <w:p w:rsidR="00814ED1" w:rsidRPr="001E6CF3" w:rsidRDefault="00633703" w:rsidP="00843CE2">
      <w:pPr>
        <w:spacing w:line="360" w:lineRule="auto"/>
        <w:jc w:val="both"/>
      </w:pPr>
      <w:r w:rsidRPr="001E6CF3">
        <w:t>Dr Amusa</w:t>
      </w:r>
      <w:r w:rsidR="00F87618" w:rsidRPr="001E6CF3">
        <w:t xml:space="preserve"> </w:t>
      </w:r>
      <w:r w:rsidR="00814ED1" w:rsidRPr="001E6CF3">
        <w:t xml:space="preserve">indicated that the </w:t>
      </w:r>
      <w:r w:rsidR="00B671FB" w:rsidRPr="001E6CF3">
        <w:t xml:space="preserve">Department </w:t>
      </w:r>
      <w:r w:rsidR="00814ED1" w:rsidRPr="001E6CF3">
        <w:t>has demonstrated a very good record in minimizing budget and spending variation. In 2013/14 and 2014/15 almost all the programme</w:t>
      </w:r>
      <w:r w:rsidR="00B671FB" w:rsidRPr="001E6CF3">
        <w:t>s</w:t>
      </w:r>
      <w:r w:rsidR="00814ED1" w:rsidRPr="001E6CF3">
        <w:t xml:space="preserve"> </w:t>
      </w:r>
      <w:r w:rsidR="00BD2ECF" w:rsidRPr="001E6CF3">
        <w:t>achieved a</w:t>
      </w:r>
      <w:r w:rsidR="00B671FB" w:rsidRPr="001E6CF3">
        <w:t xml:space="preserve"> </w:t>
      </w:r>
      <w:r w:rsidR="00814ED1" w:rsidRPr="001E6CF3">
        <w:t xml:space="preserve">100% record when actual expenditure is compared with </w:t>
      </w:r>
      <w:r w:rsidR="00B671FB" w:rsidRPr="001E6CF3">
        <w:t xml:space="preserve">the </w:t>
      </w:r>
      <w:r w:rsidR="00814ED1" w:rsidRPr="001E6CF3">
        <w:t>final appropriation.</w:t>
      </w:r>
    </w:p>
    <w:p w:rsidR="00814ED1" w:rsidRPr="001E6CF3" w:rsidRDefault="00814ED1" w:rsidP="00843CE2">
      <w:pPr>
        <w:spacing w:line="360" w:lineRule="auto"/>
        <w:jc w:val="both"/>
      </w:pPr>
    </w:p>
    <w:p w:rsidR="002E029B" w:rsidRPr="001E6CF3" w:rsidRDefault="00814ED1" w:rsidP="00843CE2">
      <w:pPr>
        <w:spacing w:line="360" w:lineRule="auto"/>
        <w:jc w:val="both"/>
      </w:pPr>
      <w:r w:rsidRPr="001E6CF3">
        <w:t xml:space="preserve">With regards to Budget </w:t>
      </w:r>
      <w:r w:rsidR="00807ABC" w:rsidRPr="001E6CF3">
        <w:t>c</w:t>
      </w:r>
      <w:r w:rsidRPr="001E6CF3">
        <w:t xml:space="preserve">omposition across programme for 2015/16, Dr </w:t>
      </w:r>
      <w:r w:rsidR="00B671FB" w:rsidRPr="001E6CF3">
        <w:t xml:space="preserve">Amusa </w:t>
      </w:r>
      <w:r w:rsidR="00F90DF3" w:rsidRPr="001E6CF3">
        <w:t xml:space="preserve">indicated that the largest programme is Mineral Policy and Promotion Programme. Its initiative over the medium term is to promote investment in the mineral and upstream petroleum sectors, research on shale gas and </w:t>
      </w:r>
      <w:r w:rsidR="00B671FB" w:rsidRPr="001E6CF3">
        <w:t xml:space="preserve">channel </w:t>
      </w:r>
      <w:r w:rsidR="00F90DF3" w:rsidRPr="001E6CF3">
        <w:t xml:space="preserve">assistance to small, medium and micro enterprises (SMMEs). He said the Administration programme will focus on attracting and retaining skilled workers over MTEF. The smallest programme is Promotion of Mine Health and Safety. He said it is a concern that the average growth rate of the programme is only 2.4% while </w:t>
      </w:r>
      <w:r w:rsidR="00B671FB" w:rsidRPr="001E6CF3">
        <w:t xml:space="preserve">the </w:t>
      </w:r>
      <w:r w:rsidR="00F90DF3" w:rsidRPr="001E6CF3">
        <w:t>safety track record in the mining industr</w:t>
      </w:r>
      <w:r w:rsidR="00B671FB" w:rsidRPr="001E6CF3">
        <w:t>y r</w:t>
      </w:r>
      <w:r w:rsidR="00F90DF3" w:rsidRPr="001E6CF3">
        <w:t xml:space="preserve">emains a challenge as evidenced by </w:t>
      </w:r>
      <w:r w:rsidR="00B671FB" w:rsidRPr="001E6CF3">
        <w:t xml:space="preserve">incidents </w:t>
      </w:r>
      <w:r w:rsidR="00F90DF3" w:rsidRPr="001E6CF3">
        <w:t xml:space="preserve">in Lonmin Marikana and Lily Mines. </w:t>
      </w:r>
    </w:p>
    <w:p w:rsidR="0050001C" w:rsidRPr="001E6CF3" w:rsidRDefault="0050001C" w:rsidP="00843CE2">
      <w:pPr>
        <w:spacing w:line="360" w:lineRule="auto"/>
        <w:jc w:val="both"/>
      </w:pPr>
    </w:p>
    <w:p w:rsidR="0050001C" w:rsidRPr="001E6CF3" w:rsidRDefault="0050001C" w:rsidP="00843CE2">
      <w:pPr>
        <w:spacing w:line="360" w:lineRule="auto"/>
        <w:jc w:val="both"/>
      </w:pPr>
      <w:r w:rsidRPr="001E6CF3">
        <w:t xml:space="preserve">The </w:t>
      </w:r>
      <w:r w:rsidR="00B671FB" w:rsidRPr="001E6CF3">
        <w:t xml:space="preserve">Department </w:t>
      </w:r>
      <w:r w:rsidR="00807ABC" w:rsidRPr="001E6CF3">
        <w:t>realize</w:t>
      </w:r>
      <w:r w:rsidRPr="001E6CF3">
        <w:t xml:space="preserve"> </w:t>
      </w:r>
      <w:r w:rsidR="00341763" w:rsidRPr="001E6CF3">
        <w:t xml:space="preserve">much </w:t>
      </w:r>
      <w:r w:rsidRPr="001E6CF3">
        <w:t xml:space="preserve">of its mandate through the entities in its portfolio. More </w:t>
      </w:r>
      <w:r w:rsidR="007307E4" w:rsidRPr="001E6CF3">
        <w:t>than</w:t>
      </w:r>
      <w:r w:rsidRPr="001E6CF3">
        <w:t xml:space="preserve"> 50% of the </w:t>
      </w:r>
      <w:r w:rsidR="00807ABC" w:rsidRPr="001E6CF3">
        <w:t>D</w:t>
      </w:r>
      <w:r w:rsidRPr="001E6CF3">
        <w:t xml:space="preserve">epartmental budget is allocated to transfers and services in </w:t>
      </w:r>
      <w:r w:rsidR="00341763" w:rsidRPr="001E6CF3">
        <w:t>2016</w:t>
      </w:r>
      <w:r w:rsidRPr="001E6CF3">
        <w:t>/</w:t>
      </w:r>
      <w:r w:rsidR="00341763" w:rsidRPr="001E6CF3">
        <w:t>17</w:t>
      </w:r>
      <w:r w:rsidRPr="001E6CF3">
        <w:t xml:space="preserve">. Capital Assets receives only 1% of the departmental financial resources. The compensation of employees recorded the highest average growth rate (10,9%) between 2012/13 to 2015/16 but decelerates to 3.3% in the medium term. Goods and services records the highest growth in the medium term (4.9%), followed by transfers and services. Capital assets records the least growth (2.6%) in the medium term. </w:t>
      </w:r>
    </w:p>
    <w:p w:rsidR="00710D5B" w:rsidRPr="001E6CF3" w:rsidRDefault="00710D5B" w:rsidP="00843CE2">
      <w:pPr>
        <w:spacing w:line="360" w:lineRule="auto"/>
        <w:jc w:val="both"/>
      </w:pPr>
    </w:p>
    <w:p w:rsidR="00710D5B" w:rsidRPr="001E6CF3" w:rsidRDefault="007307E4" w:rsidP="00843CE2">
      <w:pPr>
        <w:spacing w:line="360" w:lineRule="auto"/>
        <w:jc w:val="both"/>
      </w:pPr>
      <w:r w:rsidRPr="001E6CF3">
        <w:t>Dr</w:t>
      </w:r>
      <w:r w:rsidR="00633703" w:rsidRPr="001E6CF3">
        <w:t xml:space="preserve"> Amusa </w:t>
      </w:r>
      <w:r w:rsidRPr="001E6CF3">
        <w:t xml:space="preserve">outlined the </w:t>
      </w:r>
      <w:r w:rsidR="00341763" w:rsidRPr="001E6CF3">
        <w:t xml:space="preserve">Departmental </w:t>
      </w:r>
      <w:r w:rsidRPr="001E6CF3">
        <w:t xml:space="preserve">budget for Entities. He said the State Diamond Trader has </w:t>
      </w:r>
      <w:r w:rsidR="00341763" w:rsidRPr="001E6CF3">
        <w:t xml:space="preserve">a </w:t>
      </w:r>
      <w:r w:rsidRPr="001E6CF3">
        <w:t>highe</w:t>
      </w:r>
      <w:r w:rsidR="00AA453C" w:rsidRPr="001E6CF3">
        <w:t>r</w:t>
      </w:r>
      <w:r w:rsidRPr="001E6CF3">
        <w:t xml:space="preserve"> </w:t>
      </w:r>
      <w:r w:rsidR="00341763" w:rsidRPr="001E6CF3">
        <w:t xml:space="preserve">budget </w:t>
      </w:r>
      <w:r w:rsidRPr="001E6CF3">
        <w:t>than all other entities</w:t>
      </w:r>
      <w:r w:rsidR="00AA453C" w:rsidRPr="001E6CF3">
        <w:t>,</w:t>
      </w:r>
      <w:r w:rsidRPr="001E6CF3">
        <w:t xml:space="preserve"> followed by Mintek</w:t>
      </w:r>
      <w:r w:rsidR="00AA453C" w:rsidRPr="001E6CF3">
        <w:t>,</w:t>
      </w:r>
      <w:r w:rsidRPr="001E6CF3">
        <w:t xml:space="preserve"> </w:t>
      </w:r>
      <w:r w:rsidR="00341763" w:rsidRPr="001E6CF3">
        <w:t xml:space="preserve">while </w:t>
      </w:r>
      <w:r w:rsidRPr="001E6CF3">
        <w:t>the South African Diamond an</w:t>
      </w:r>
      <w:r w:rsidR="00AA453C" w:rsidRPr="001E6CF3">
        <w:t>d</w:t>
      </w:r>
      <w:r w:rsidRPr="001E6CF3">
        <w:t xml:space="preserve"> Precious Metals Regulator has the smallest budget. Almost all the budgets for the entities </w:t>
      </w:r>
      <w:r w:rsidR="00AA453C" w:rsidRPr="001E6CF3">
        <w:t>will decline</w:t>
      </w:r>
      <w:r w:rsidRPr="001E6CF3">
        <w:t xml:space="preserve"> in the medium term (2016/17-2018/19). Only the South African Diamond and Precious Metals Regulator </w:t>
      </w:r>
      <w:r w:rsidR="00C22816" w:rsidRPr="001E6CF3">
        <w:t>has a</w:t>
      </w:r>
      <w:r w:rsidRPr="001E6CF3">
        <w:t xml:space="preserve"> positive average growth rate. </w:t>
      </w:r>
    </w:p>
    <w:p w:rsidR="000E6101" w:rsidRPr="001E6CF3" w:rsidRDefault="000E6101" w:rsidP="00843CE2">
      <w:pPr>
        <w:spacing w:line="360" w:lineRule="auto"/>
        <w:jc w:val="both"/>
      </w:pPr>
    </w:p>
    <w:p w:rsidR="000E6101" w:rsidRPr="001E6CF3" w:rsidRDefault="000E6101" w:rsidP="00843CE2">
      <w:pPr>
        <w:spacing w:line="360" w:lineRule="auto"/>
        <w:jc w:val="both"/>
      </w:pPr>
      <w:r w:rsidRPr="001E6CF3">
        <w:t>In his concluding remarks, Dr.</w:t>
      </w:r>
      <w:r w:rsidR="00C22816" w:rsidRPr="001E6CF3">
        <w:t xml:space="preserve"> Amusa</w:t>
      </w:r>
      <w:r w:rsidRPr="001E6CF3">
        <w:t xml:space="preserve"> said the DMR has oversight over </w:t>
      </w:r>
      <w:r w:rsidR="00AA453C" w:rsidRPr="001E6CF3">
        <w:t xml:space="preserve">a </w:t>
      </w:r>
      <w:r w:rsidRPr="001E6CF3">
        <w:t xml:space="preserve">sector </w:t>
      </w:r>
      <w:r w:rsidR="00AA453C" w:rsidRPr="001E6CF3">
        <w:t xml:space="preserve">that is critical </w:t>
      </w:r>
      <w:r w:rsidRPr="001E6CF3">
        <w:t>to South Africa’s economy</w:t>
      </w:r>
      <w:r w:rsidR="00AA453C" w:rsidRPr="001E6CF3">
        <w:t>. An i</w:t>
      </w:r>
      <w:r w:rsidRPr="001E6CF3">
        <w:t xml:space="preserve">nnovative approach </w:t>
      </w:r>
      <w:r w:rsidR="00AA453C" w:rsidRPr="001E6CF3">
        <w:t xml:space="preserve">is called for, </w:t>
      </w:r>
      <w:r w:rsidRPr="001E6CF3">
        <w:t>to deal with current global headwinds that impact on</w:t>
      </w:r>
      <w:r w:rsidR="00AA453C" w:rsidRPr="001E6CF3">
        <w:t xml:space="preserve"> the</w:t>
      </w:r>
      <w:r w:rsidRPr="001E6CF3">
        <w:t xml:space="preserve"> functioning of </w:t>
      </w:r>
      <w:r w:rsidR="00AA453C" w:rsidRPr="001E6CF3">
        <w:t xml:space="preserve">the </w:t>
      </w:r>
      <w:r w:rsidRPr="001E6CF3">
        <w:t>sector. Innovation could include a renewed focus on enhancing viability, productivity and value chains embodied with small scale mining. In an era of fiscal constraints, DMR will need to ensure more prudent management of existing capacity especially in relation to inspectors and mineral economist</w:t>
      </w:r>
      <w:r w:rsidR="00AA453C" w:rsidRPr="001E6CF3">
        <w:t>s</w:t>
      </w:r>
      <w:r w:rsidRPr="001E6CF3">
        <w:t xml:space="preserve"> or specialists</w:t>
      </w:r>
      <w:r w:rsidR="00FE276E" w:rsidRPr="001E6CF3">
        <w:t xml:space="preserve">. Influencing capacity development through </w:t>
      </w:r>
      <w:r w:rsidR="00AA453C" w:rsidRPr="001E6CF3">
        <w:t xml:space="preserve">the </w:t>
      </w:r>
      <w:r w:rsidR="00FE276E" w:rsidRPr="001E6CF3">
        <w:t>Mining Qualification</w:t>
      </w:r>
      <w:r w:rsidR="00AA453C" w:rsidRPr="001E6CF3">
        <w:t>s</w:t>
      </w:r>
      <w:r w:rsidR="00FE276E" w:rsidRPr="001E6CF3">
        <w:t xml:space="preserve"> Authority (</w:t>
      </w:r>
      <w:r w:rsidR="00AA453C" w:rsidRPr="001E6CF3">
        <w:t xml:space="preserve">the mining </w:t>
      </w:r>
      <w:r w:rsidR="00FE276E" w:rsidRPr="001E6CF3">
        <w:t xml:space="preserve">SETA) would be critical to dealing with capacity constraints. </w:t>
      </w:r>
    </w:p>
    <w:p w:rsidR="005F3E02" w:rsidRPr="00730872" w:rsidRDefault="00730872" w:rsidP="00730872">
      <w:pPr>
        <w:keepNext/>
        <w:keepLines/>
        <w:tabs>
          <w:tab w:val="left" w:pos="426"/>
        </w:tabs>
        <w:spacing w:line="360" w:lineRule="auto"/>
        <w:ind w:right="-187"/>
        <w:rPr>
          <w:b/>
        </w:rPr>
      </w:pPr>
      <w:r>
        <w:rPr>
          <w:b/>
        </w:rPr>
        <w:t xml:space="preserve">6. </w:t>
      </w:r>
      <w:r w:rsidR="005F3E02" w:rsidRPr="00730872">
        <w:rPr>
          <w:b/>
        </w:rPr>
        <w:t xml:space="preserve">Briefing by DPME </w:t>
      </w:r>
    </w:p>
    <w:p w:rsidR="00015D46" w:rsidRPr="001E6CF3" w:rsidRDefault="00015D46" w:rsidP="00843CE2">
      <w:pPr>
        <w:keepNext/>
        <w:keepLines/>
        <w:tabs>
          <w:tab w:val="left" w:pos="426"/>
        </w:tabs>
        <w:spacing w:line="360" w:lineRule="auto"/>
        <w:ind w:right="-187"/>
        <w:jc w:val="both"/>
        <w:rPr>
          <w:b/>
        </w:rPr>
      </w:pPr>
    </w:p>
    <w:p w:rsidR="00015D46" w:rsidRPr="001E6CF3" w:rsidRDefault="00015D46" w:rsidP="00843CE2">
      <w:pPr>
        <w:keepNext/>
        <w:keepLines/>
        <w:tabs>
          <w:tab w:val="left" w:pos="426"/>
        </w:tabs>
        <w:spacing w:line="360" w:lineRule="auto"/>
        <w:ind w:right="-187"/>
        <w:jc w:val="both"/>
      </w:pPr>
      <w:r w:rsidRPr="001E6CF3">
        <w:t>Mr R Dicks, DDG</w:t>
      </w:r>
      <w:r w:rsidR="00AA453C" w:rsidRPr="001E6CF3">
        <w:t>,</w:t>
      </w:r>
      <w:r w:rsidRPr="001E6CF3">
        <w:t xml:space="preserve"> presented the Performance Assessment for the Department of Mineral Resources for 2015/16. He gave an MTSF context and indicated that the MTSF is government’s five year implementation plan of the NDP, covering the financial years 2014/15 to 2018/19. It reflect</w:t>
      </w:r>
      <w:r w:rsidR="00AA453C" w:rsidRPr="001E6CF3">
        <w:t>s</w:t>
      </w:r>
      <w:r w:rsidRPr="001E6CF3">
        <w:t xml:space="preserve"> the commitments made in the election manifest</w:t>
      </w:r>
      <w:r w:rsidR="00AA453C" w:rsidRPr="001E6CF3">
        <w:t>o</w:t>
      </w:r>
      <w:r w:rsidRPr="001E6CF3">
        <w:t xml:space="preserve"> of the governing party</w:t>
      </w:r>
      <w:r w:rsidR="00AA453C" w:rsidRPr="001E6CF3">
        <w:t>,</w:t>
      </w:r>
      <w:r w:rsidRPr="001E6CF3">
        <w:t xml:space="preserve"> including the commitment </w:t>
      </w:r>
      <w:r w:rsidR="00AA453C" w:rsidRPr="001E6CF3">
        <w:t xml:space="preserve">to </w:t>
      </w:r>
      <w:r w:rsidRPr="001E6CF3">
        <w:t xml:space="preserve">implement the NDP through a program of radical economic transformation. He said this is the first MTSF to follow the adoption of the NDP in September 2012. The introduction of a long-term plan </w:t>
      </w:r>
      <w:r w:rsidR="00AA453C" w:rsidRPr="001E6CF3">
        <w:t xml:space="preserve">to </w:t>
      </w:r>
      <w:r w:rsidRPr="001E6CF3">
        <w:t>bring greater coherence an</w:t>
      </w:r>
      <w:r w:rsidR="00AA453C" w:rsidRPr="001E6CF3">
        <w:t>d</w:t>
      </w:r>
      <w:r w:rsidRPr="001E6CF3">
        <w:t xml:space="preserve"> continuity to the planning system means that the MTSF becomes a five year building block towards the achievement of the vision and goal of the country</w:t>
      </w:r>
      <w:r w:rsidR="00AA453C" w:rsidRPr="001E6CF3">
        <w:t>’s</w:t>
      </w:r>
      <w:r w:rsidRPr="001E6CF3">
        <w:t xml:space="preserve"> long term plan. The aim of the MTSF is to ensure policy coherence, alignment and </w:t>
      </w:r>
      <w:r w:rsidR="00A93C1D" w:rsidRPr="001E6CF3">
        <w:t>coordination</w:t>
      </w:r>
      <w:r w:rsidRPr="001E6CF3">
        <w:t xml:space="preserve"> across government plan as well as alignment with budget processes. </w:t>
      </w:r>
    </w:p>
    <w:p w:rsidR="00015D46" w:rsidRPr="001E6CF3" w:rsidRDefault="00015D46" w:rsidP="00843CE2">
      <w:pPr>
        <w:keepNext/>
        <w:keepLines/>
        <w:tabs>
          <w:tab w:val="left" w:pos="426"/>
        </w:tabs>
        <w:spacing w:line="360" w:lineRule="auto"/>
        <w:ind w:right="-187"/>
        <w:jc w:val="both"/>
        <w:rPr>
          <w:b/>
        </w:rPr>
      </w:pPr>
    </w:p>
    <w:p w:rsidR="00015D46" w:rsidRPr="001E6CF3" w:rsidRDefault="008548B9" w:rsidP="00843CE2">
      <w:pPr>
        <w:keepNext/>
        <w:keepLines/>
        <w:tabs>
          <w:tab w:val="left" w:pos="426"/>
        </w:tabs>
        <w:spacing w:line="360" w:lineRule="auto"/>
        <w:ind w:right="-187"/>
        <w:jc w:val="both"/>
      </w:pPr>
      <w:r w:rsidRPr="001E6CF3">
        <w:t xml:space="preserve">He said the report </w:t>
      </w:r>
      <w:r w:rsidR="006F4AB4" w:rsidRPr="001E6CF3">
        <w:t>reviews</w:t>
      </w:r>
      <w:r w:rsidRPr="001E6CF3">
        <w:t xml:space="preserve"> overall progress against the targets in the MTSF for the Department of Mineral Resources identified in Outcome 4, 6 and 10.</w:t>
      </w:r>
    </w:p>
    <w:p w:rsidR="008548B9" w:rsidRPr="001E6CF3" w:rsidRDefault="008548B9" w:rsidP="00843CE2">
      <w:pPr>
        <w:keepNext/>
        <w:keepLines/>
        <w:tabs>
          <w:tab w:val="left" w:pos="426"/>
        </w:tabs>
        <w:spacing w:line="360" w:lineRule="auto"/>
        <w:ind w:right="-187"/>
        <w:jc w:val="both"/>
      </w:pPr>
    </w:p>
    <w:p w:rsidR="008548B9" w:rsidRPr="001E6CF3" w:rsidRDefault="00465C78" w:rsidP="00843CE2">
      <w:pPr>
        <w:keepNext/>
        <w:keepLines/>
        <w:tabs>
          <w:tab w:val="left" w:pos="426"/>
        </w:tabs>
        <w:spacing w:line="360" w:lineRule="auto"/>
        <w:ind w:right="-187"/>
        <w:jc w:val="both"/>
      </w:pPr>
      <w:r w:rsidRPr="001E6CF3">
        <w:t>The action and the Progress for 1</w:t>
      </w:r>
      <w:r w:rsidRPr="001E6CF3">
        <w:rPr>
          <w:vertAlign w:val="superscript"/>
        </w:rPr>
        <w:t>st</w:t>
      </w:r>
      <w:r w:rsidRPr="001E6CF3">
        <w:t xml:space="preserve"> -3</w:t>
      </w:r>
      <w:r w:rsidRPr="001E6CF3">
        <w:rPr>
          <w:vertAlign w:val="superscript"/>
        </w:rPr>
        <w:t>rd</w:t>
      </w:r>
      <w:r w:rsidRPr="001E6CF3">
        <w:t xml:space="preserve"> Quarter</w:t>
      </w:r>
      <w:r w:rsidR="00AA453C" w:rsidRPr="001E6CF3">
        <w:t xml:space="preserve"> 2015/16</w:t>
      </w:r>
      <w:r w:rsidRPr="001E6CF3">
        <w:t xml:space="preserve"> on the performance</w:t>
      </w:r>
      <w:r w:rsidR="008548B9" w:rsidRPr="001E6CF3">
        <w:t xml:space="preserve"> </w:t>
      </w:r>
      <w:r w:rsidR="00AA453C" w:rsidRPr="001E6CF3">
        <w:t xml:space="preserve">assessment </w:t>
      </w:r>
      <w:r w:rsidR="00807ABC" w:rsidRPr="001E6CF3">
        <w:t>of Outcome</w:t>
      </w:r>
      <w:r w:rsidR="008548B9" w:rsidRPr="001E6CF3">
        <w:t xml:space="preserve"> 4 (1) was reported as follows:</w:t>
      </w:r>
    </w:p>
    <w:p w:rsidR="00AA453C" w:rsidRPr="001E6CF3" w:rsidRDefault="00AA453C" w:rsidP="00843CE2">
      <w:pPr>
        <w:keepNext/>
        <w:keepLines/>
        <w:tabs>
          <w:tab w:val="left" w:pos="426"/>
        </w:tabs>
        <w:spacing w:line="360" w:lineRule="auto"/>
        <w:ind w:right="-187"/>
        <w:jc w:val="both"/>
      </w:pPr>
    </w:p>
    <w:p w:rsidR="008548B9" w:rsidRPr="001E6CF3" w:rsidRDefault="008548B9" w:rsidP="00843CE2">
      <w:pPr>
        <w:keepNext/>
        <w:keepLines/>
        <w:tabs>
          <w:tab w:val="left" w:pos="426"/>
        </w:tabs>
        <w:spacing w:line="360" w:lineRule="auto"/>
        <w:ind w:right="-187"/>
        <w:jc w:val="both"/>
        <w:rPr>
          <w:b/>
        </w:rPr>
      </w:pPr>
      <w:r w:rsidRPr="001E6CF3">
        <w:t>Review of the mining sector strategy with the objective to increase mining exploration, investment, production and ensure sustainability and transformation of the industry</w:t>
      </w:r>
      <w:r w:rsidRPr="001E6CF3">
        <w:rPr>
          <w:b/>
        </w:rPr>
        <w:t xml:space="preserve">: </w:t>
      </w:r>
    </w:p>
    <w:p w:rsidR="008548B9" w:rsidRPr="001E6CF3" w:rsidRDefault="008548B9" w:rsidP="00843CE2">
      <w:pPr>
        <w:pStyle w:val="ListParagraph"/>
        <w:keepNext/>
        <w:keepLines/>
        <w:numPr>
          <w:ilvl w:val="0"/>
          <w:numId w:val="6"/>
        </w:numPr>
        <w:tabs>
          <w:tab w:val="left" w:pos="426"/>
        </w:tabs>
        <w:spacing w:line="360" w:lineRule="auto"/>
        <w:ind w:right="-187"/>
        <w:rPr>
          <w:rFonts w:ascii="Times New Roman" w:hAnsi="Times New Roman"/>
          <w:b/>
          <w:sz w:val="24"/>
          <w:szCs w:val="24"/>
        </w:rPr>
      </w:pPr>
      <w:r w:rsidRPr="001E6CF3">
        <w:rPr>
          <w:rFonts w:ascii="Times New Roman" w:hAnsi="Times New Roman"/>
          <w:sz w:val="24"/>
          <w:szCs w:val="24"/>
        </w:rPr>
        <w:t xml:space="preserve">With the completion of the Mining Phakisa in November 2015, further post lab consultations </w:t>
      </w:r>
      <w:r w:rsidR="00AA453C" w:rsidRPr="001E6CF3">
        <w:rPr>
          <w:rFonts w:ascii="Times New Roman" w:hAnsi="Times New Roman"/>
          <w:sz w:val="24"/>
          <w:szCs w:val="24"/>
        </w:rPr>
        <w:t>took</w:t>
      </w:r>
      <w:r w:rsidRPr="001E6CF3">
        <w:rPr>
          <w:rFonts w:ascii="Times New Roman" w:hAnsi="Times New Roman"/>
          <w:sz w:val="24"/>
          <w:szCs w:val="24"/>
        </w:rPr>
        <w:t xml:space="preserve"> place </w:t>
      </w:r>
      <w:r w:rsidR="00E520D8" w:rsidRPr="001E6CF3">
        <w:rPr>
          <w:rFonts w:ascii="Times New Roman" w:hAnsi="Times New Roman"/>
          <w:sz w:val="24"/>
          <w:szCs w:val="24"/>
        </w:rPr>
        <w:t xml:space="preserve">in </w:t>
      </w:r>
      <w:r w:rsidRPr="001E6CF3">
        <w:rPr>
          <w:rFonts w:ascii="Times New Roman" w:hAnsi="Times New Roman"/>
          <w:sz w:val="24"/>
          <w:szCs w:val="24"/>
        </w:rPr>
        <w:t>January and February 2016 to finalise</w:t>
      </w:r>
      <w:r w:rsidR="00E520D8" w:rsidRPr="001E6CF3">
        <w:rPr>
          <w:rFonts w:ascii="Times New Roman" w:hAnsi="Times New Roman"/>
          <w:sz w:val="24"/>
          <w:szCs w:val="24"/>
        </w:rPr>
        <w:t xml:space="preserve"> the</w:t>
      </w:r>
      <w:r w:rsidRPr="001E6CF3">
        <w:rPr>
          <w:rFonts w:ascii="Times New Roman" w:hAnsi="Times New Roman"/>
          <w:sz w:val="24"/>
          <w:szCs w:val="24"/>
        </w:rPr>
        <w:t xml:space="preserve"> lab initiative</w:t>
      </w:r>
      <w:r w:rsidR="00E520D8" w:rsidRPr="001E6CF3">
        <w:rPr>
          <w:rFonts w:ascii="Times New Roman" w:hAnsi="Times New Roman"/>
          <w:sz w:val="24"/>
          <w:szCs w:val="24"/>
        </w:rPr>
        <w:t>s.</w:t>
      </w:r>
    </w:p>
    <w:p w:rsidR="008548B9" w:rsidRPr="001E6CF3" w:rsidRDefault="008548B9" w:rsidP="00843CE2">
      <w:pPr>
        <w:pStyle w:val="ListParagraph"/>
        <w:keepNext/>
        <w:keepLines/>
        <w:numPr>
          <w:ilvl w:val="0"/>
          <w:numId w:val="6"/>
        </w:numPr>
        <w:tabs>
          <w:tab w:val="left" w:pos="426"/>
        </w:tabs>
        <w:spacing w:line="360" w:lineRule="auto"/>
        <w:ind w:right="-187"/>
        <w:rPr>
          <w:rFonts w:ascii="Times New Roman" w:hAnsi="Times New Roman"/>
          <w:b/>
          <w:sz w:val="24"/>
          <w:szCs w:val="24"/>
        </w:rPr>
      </w:pPr>
      <w:r w:rsidRPr="001E6CF3">
        <w:rPr>
          <w:rFonts w:ascii="Times New Roman" w:hAnsi="Times New Roman"/>
          <w:sz w:val="24"/>
          <w:szCs w:val="24"/>
        </w:rPr>
        <w:t>However the mining industry continues to face significant challenges</w:t>
      </w:r>
      <w:r w:rsidR="00807ABC" w:rsidRPr="001E6CF3">
        <w:rPr>
          <w:rFonts w:ascii="Times New Roman" w:hAnsi="Times New Roman"/>
          <w:sz w:val="24"/>
          <w:szCs w:val="24"/>
        </w:rPr>
        <w:t>,</w:t>
      </w:r>
      <w:r w:rsidRPr="001E6CF3">
        <w:rPr>
          <w:rFonts w:ascii="Times New Roman" w:hAnsi="Times New Roman"/>
          <w:sz w:val="24"/>
          <w:szCs w:val="24"/>
        </w:rPr>
        <w:t xml:space="preserve"> this </w:t>
      </w:r>
      <w:r w:rsidR="00E520D8" w:rsidRPr="001E6CF3">
        <w:rPr>
          <w:rFonts w:ascii="Times New Roman" w:hAnsi="Times New Roman"/>
          <w:sz w:val="24"/>
          <w:szCs w:val="24"/>
        </w:rPr>
        <w:t>became</w:t>
      </w:r>
      <w:r w:rsidRPr="001E6CF3">
        <w:rPr>
          <w:rFonts w:ascii="Times New Roman" w:hAnsi="Times New Roman"/>
          <w:sz w:val="24"/>
          <w:szCs w:val="24"/>
        </w:rPr>
        <w:t xml:space="preserve"> more acute towards the end of 2015</w:t>
      </w:r>
      <w:r w:rsidR="00E520D8" w:rsidRPr="001E6CF3">
        <w:rPr>
          <w:rFonts w:ascii="Times New Roman" w:hAnsi="Times New Roman"/>
          <w:sz w:val="24"/>
          <w:szCs w:val="24"/>
        </w:rPr>
        <w:t>:</w:t>
      </w:r>
    </w:p>
    <w:p w:rsidR="008548B9" w:rsidRPr="001E6CF3" w:rsidRDefault="008548B9" w:rsidP="00843CE2">
      <w:pPr>
        <w:pStyle w:val="ListParagraph"/>
        <w:keepNext/>
        <w:keepLines/>
        <w:numPr>
          <w:ilvl w:val="0"/>
          <w:numId w:val="7"/>
        </w:numPr>
        <w:tabs>
          <w:tab w:val="left" w:pos="426"/>
        </w:tabs>
        <w:spacing w:line="360" w:lineRule="auto"/>
        <w:ind w:right="-187"/>
        <w:rPr>
          <w:rFonts w:ascii="Times New Roman" w:hAnsi="Times New Roman"/>
          <w:b/>
          <w:sz w:val="24"/>
          <w:szCs w:val="24"/>
        </w:rPr>
      </w:pPr>
      <w:r w:rsidRPr="001E6CF3">
        <w:rPr>
          <w:rFonts w:ascii="Times New Roman" w:hAnsi="Times New Roman"/>
          <w:sz w:val="24"/>
          <w:szCs w:val="24"/>
        </w:rPr>
        <w:t>More than 80% of the SA platinum mining industry and 31% of the gold mining industry was loss making</w:t>
      </w:r>
      <w:r w:rsidR="00E520D8" w:rsidRPr="001E6CF3">
        <w:rPr>
          <w:rFonts w:ascii="Times New Roman" w:hAnsi="Times New Roman"/>
          <w:sz w:val="24"/>
          <w:szCs w:val="24"/>
        </w:rPr>
        <w:t>.</w:t>
      </w:r>
    </w:p>
    <w:p w:rsidR="008548B9" w:rsidRPr="001E6CF3" w:rsidRDefault="008548B9" w:rsidP="00843CE2">
      <w:pPr>
        <w:pStyle w:val="ListParagraph"/>
        <w:keepNext/>
        <w:keepLines/>
        <w:numPr>
          <w:ilvl w:val="0"/>
          <w:numId w:val="7"/>
        </w:numPr>
        <w:tabs>
          <w:tab w:val="left" w:pos="426"/>
        </w:tabs>
        <w:spacing w:line="360" w:lineRule="auto"/>
        <w:ind w:right="-187"/>
        <w:rPr>
          <w:rFonts w:ascii="Times New Roman" w:hAnsi="Times New Roman"/>
          <w:b/>
          <w:sz w:val="24"/>
          <w:szCs w:val="24"/>
        </w:rPr>
      </w:pPr>
      <w:r w:rsidRPr="001E6CF3">
        <w:rPr>
          <w:rFonts w:ascii="Times New Roman" w:hAnsi="Times New Roman"/>
          <w:sz w:val="24"/>
          <w:szCs w:val="24"/>
        </w:rPr>
        <w:t>The bulk sectors such as coal, iron ore and manganese ore have on average 50% of</w:t>
      </w:r>
      <w:r w:rsidR="00E520D8" w:rsidRPr="001E6CF3">
        <w:rPr>
          <w:rFonts w:ascii="Times New Roman" w:hAnsi="Times New Roman"/>
          <w:sz w:val="24"/>
          <w:szCs w:val="24"/>
        </w:rPr>
        <w:t xml:space="preserve"> their</w:t>
      </w:r>
      <w:r w:rsidRPr="001E6CF3">
        <w:rPr>
          <w:rFonts w:ascii="Times New Roman" w:hAnsi="Times New Roman"/>
          <w:sz w:val="24"/>
          <w:szCs w:val="24"/>
        </w:rPr>
        <w:t xml:space="preserve"> operations </w:t>
      </w:r>
      <w:r w:rsidR="00E520D8" w:rsidRPr="001E6CF3">
        <w:rPr>
          <w:rFonts w:ascii="Times New Roman" w:hAnsi="Times New Roman"/>
          <w:sz w:val="24"/>
          <w:szCs w:val="24"/>
        </w:rPr>
        <w:t xml:space="preserve">in a </w:t>
      </w:r>
      <w:r w:rsidRPr="001E6CF3">
        <w:rPr>
          <w:rFonts w:ascii="Times New Roman" w:hAnsi="Times New Roman"/>
          <w:sz w:val="24"/>
          <w:szCs w:val="24"/>
        </w:rPr>
        <w:t>break-even to loss making</w:t>
      </w:r>
      <w:r w:rsidR="00E520D8" w:rsidRPr="001E6CF3">
        <w:rPr>
          <w:rFonts w:ascii="Times New Roman" w:hAnsi="Times New Roman"/>
          <w:sz w:val="24"/>
          <w:szCs w:val="24"/>
        </w:rPr>
        <w:t xml:space="preserve"> position.</w:t>
      </w:r>
    </w:p>
    <w:p w:rsidR="008548B9" w:rsidRPr="001E6CF3" w:rsidRDefault="008548B9" w:rsidP="00843CE2">
      <w:pPr>
        <w:pStyle w:val="ListParagraph"/>
        <w:keepNext/>
        <w:keepLines/>
        <w:numPr>
          <w:ilvl w:val="0"/>
          <w:numId w:val="7"/>
        </w:numPr>
        <w:tabs>
          <w:tab w:val="left" w:pos="426"/>
        </w:tabs>
        <w:spacing w:line="360" w:lineRule="auto"/>
        <w:ind w:right="-187"/>
        <w:rPr>
          <w:rFonts w:ascii="Times New Roman" w:hAnsi="Times New Roman"/>
          <w:b/>
          <w:sz w:val="24"/>
          <w:szCs w:val="24"/>
        </w:rPr>
      </w:pPr>
      <w:r w:rsidRPr="001E6CF3">
        <w:rPr>
          <w:rFonts w:ascii="Times New Roman" w:hAnsi="Times New Roman"/>
          <w:sz w:val="24"/>
          <w:szCs w:val="24"/>
        </w:rPr>
        <w:t xml:space="preserve">Between 1 April and December 2015, the </w:t>
      </w:r>
      <w:r w:rsidR="00A93C1D" w:rsidRPr="001E6CF3">
        <w:rPr>
          <w:rFonts w:ascii="Times New Roman" w:hAnsi="Times New Roman"/>
          <w:sz w:val="24"/>
          <w:szCs w:val="24"/>
        </w:rPr>
        <w:t>downturn</w:t>
      </w:r>
      <w:r w:rsidRPr="001E6CF3">
        <w:rPr>
          <w:rFonts w:ascii="Times New Roman" w:hAnsi="Times New Roman"/>
          <w:sz w:val="24"/>
          <w:szCs w:val="24"/>
        </w:rPr>
        <w:t xml:space="preserve"> has led to over twenty thousand retrenchment applications</w:t>
      </w:r>
      <w:r w:rsidR="00E520D8" w:rsidRPr="001E6CF3">
        <w:rPr>
          <w:rFonts w:ascii="Times New Roman" w:hAnsi="Times New Roman"/>
          <w:sz w:val="24"/>
          <w:szCs w:val="24"/>
        </w:rPr>
        <w:t xml:space="preserve"> by mining companies.</w:t>
      </w:r>
    </w:p>
    <w:p w:rsidR="008548B9" w:rsidRPr="001E6CF3" w:rsidRDefault="008548B9" w:rsidP="00843CE2">
      <w:pPr>
        <w:pStyle w:val="ListParagraph"/>
        <w:keepNext/>
        <w:keepLines/>
        <w:numPr>
          <w:ilvl w:val="0"/>
          <w:numId w:val="7"/>
        </w:numPr>
        <w:tabs>
          <w:tab w:val="left" w:pos="426"/>
        </w:tabs>
        <w:spacing w:line="360" w:lineRule="auto"/>
        <w:ind w:right="-187"/>
        <w:rPr>
          <w:rFonts w:ascii="Times New Roman" w:hAnsi="Times New Roman"/>
          <w:b/>
          <w:sz w:val="24"/>
          <w:szCs w:val="24"/>
        </w:rPr>
      </w:pPr>
      <w:r w:rsidRPr="001E6CF3">
        <w:rPr>
          <w:rFonts w:ascii="Times New Roman" w:hAnsi="Times New Roman"/>
          <w:sz w:val="24"/>
          <w:szCs w:val="24"/>
        </w:rPr>
        <w:t>Numerous large scale downstream mineral processing facilities have been closed or are in a state a crisis as a result of under-investment and the sharp increase in energy prices</w:t>
      </w:r>
      <w:r w:rsidR="00E520D8" w:rsidRPr="001E6CF3">
        <w:rPr>
          <w:rFonts w:ascii="Times New Roman" w:hAnsi="Times New Roman"/>
          <w:sz w:val="24"/>
          <w:szCs w:val="24"/>
        </w:rPr>
        <w:t>.</w:t>
      </w:r>
    </w:p>
    <w:p w:rsidR="000320C4" w:rsidRPr="001E6CF3" w:rsidRDefault="00EB660E" w:rsidP="00843CE2">
      <w:pPr>
        <w:pStyle w:val="ListParagraph"/>
        <w:keepNext/>
        <w:keepLines/>
        <w:numPr>
          <w:ilvl w:val="0"/>
          <w:numId w:val="8"/>
        </w:numPr>
        <w:tabs>
          <w:tab w:val="left" w:pos="426"/>
        </w:tabs>
        <w:spacing w:line="360" w:lineRule="auto"/>
        <w:ind w:left="709" w:right="-187" w:hanging="283"/>
        <w:rPr>
          <w:rFonts w:ascii="Times New Roman" w:hAnsi="Times New Roman"/>
          <w:b/>
          <w:sz w:val="24"/>
          <w:szCs w:val="24"/>
        </w:rPr>
      </w:pPr>
      <w:r w:rsidRPr="001E6CF3">
        <w:rPr>
          <w:rFonts w:ascii="Times New Roman" w:hAnsi="Times New Roman"/>
          <w:sz w:val="24"/>
          <w:szCs w:val="24"/>
        </w:rPr>
        <w:t>The DPME</w:t>
      </w:r>
      <w:r w:rsidR="00E520D8" w:rsidRPr="001E6CF3">
        <w:rPr>
          <w:rFonts w:ascii="Times New Roman" w:hAnsi="Times New Roman"/>
          <w:sz w:val="24"/>
          <w:szCs w:val="24"/>
        </w:rPr>
        <w:t xml:space="preserve"> has promoted</w:t>
      </w:r>
      <w:r w:rsidRPr="001E6CF3">
        <w:rPr>
          <w:rFonts w:ascii="Times New Roman" w:hAnsi="Times New Roman"/>
          <w:sz w:val="24"/>
          <w:szCs w:val="24"/>
        </w:rPr>
        <w:t xml:space="preserve"> immediate intervention</w:t>
      </w:r>
      <w:r w:rsidR="00E520D8" w:rsidRPr="001E6CF3">
        <w:rPr>
          <w:rFonts w:ascii="Times New Roman" w:hAnsi="Times New Roman"/>
          <w:sz w:val="24"/>
          <w:szCs w:val="24"/>
        </w:rPr>
        <w:t>s</w:t>
      </w:r>
      <w:r w:rsidRPr="001E6CF3">
        <w:rPr>
          <w:rFonts w:ascii="Times New Roman" w:hAnsi="Times New Roman"/>
          <w:sz w:val="24"/>
          <w:szCs w:val="24"/>
        </w:rPr>
        <w:t xml:space="preserve"> to ensure that they fast track </w:t>
      </w:r>
      <w:r w:rsidR="00A93C1D" w:rsidRPr="001E6CF3">
        <w:rPr>
          <w:rFonts w:ascii="Times New Roman" w:hAnsi="Times New Roman"/>
          <w:sz w:val="24"/>
          <w:szCs w:val="24"/>
        </w:rPr>
        <w:t>measures</w:t>
      </w:r>
      <w:r w:rsidRPr="001E6CF3">
        <w:rPr>
          <w:rFonts w:ascii="Times New Roman" w:hAnsi="Times New Roman"/>
          <w:sz w:val="24"/>
          <w:szCs w:val="24"/>
        </w:rPr>
        <w:t xml:space="preserve"> to </w:t>
      </w:r>
      <w:r w:rsidR="00A93C1D" w:rsidRPr="001E6CF3">
        <w:rPr>
          <w:rFonts w:ascii="Times New Roman" w:hAnsi="Times New Roman"/>
          <w:sz w:val="24"/>
          <w:szCs w:val="24"/>
        </w:rPr>
        <w:t>avoid</w:t>
      </w:r>
      <w:r w:rsidRPr="001E6CF3">
        <w:rPr>
          <w:rFonts w:ascii="Times New Roman" w:hAnsi="Times New Roman"/>
          <w:sz w:val="24"/>
          <w:szCs w:val="24"/>
        </w:rPr>
        <w:t xml:space="preserve"> or reduce job </w:t>
      </w:r>
      <w:r w:rsidR="003A26BF" w:rsidRPr="001E6CF3">
        <w:rPr>
          <w:rFonts w:ascii="Times New Roman" w:hAnsi="Times New Roman"/>
          <w:sz w:val="24"/>
          <w:szCs w:val="24"/>
        </w:rPr>
        <w:t>los</w:t>
      </w:r>
      <w:r w:rsidR="0050021F" w:rsidRPr="001E6CF3">
        <w:rPr>
          <w:rFonts w:ascii="Times New Roman" w:hAnsi="Times New Roman"/>
          <w:sz w:val="24"/>
          <w:szCs w:val="24"/>
        </w:rPr>
        <w:t>s</w:t>
      </w:r>
      <w:r w:rsidR="003A26BF" w:rsidRPr="001E6CF3">
        <w:rPr>
          <w:rFonts w:ascii="Times New Roman" w:hAnsi="Times New Roman"/>
          <w:sz w:val="24"/>
          <w:szCs w:val="24"/>
        </w:rPr>
        <w:t>es</w:t>
      </w:r>
      <w:r w:rsidRPr="001E6CF3">
        <w:rPr>
          <w:rFonts w:ascii="Times New Roman" w:hAnsi="Times New Roman"/>
          <w:sz w:val="24"/>
          <w:szCs w:val="24"/>
        </w:rPr>
        <w:t xml:space="preserve">, significantly scale up the </w:t>
      </w:r>
      <w:r w:rsidR="00A93C1D" w:rsidRPr="001E6CF3">
        <w:rPr>
          <w:rFonts w:ascii="Times New Roman" w:hAnsi="Times New Roman"/>
          <w:sz w:val="24"/>
          <w:szCs w:val="24"/>
        </w:rPr>
        <w:t>Training</w:t>
      </w:r>
      <w:r w:rsidRPr="001E6CF3">
        <w:rPr>
          <w:rFonts w:ascii="Times New Roman" w:hAnsi="Times New Roman"/>
          <w:sz w:val="24"/>
          <w:szCs w:val="24"/>
        </w:rPr>
        <w:t xml:space="preserve"> Lay-off Schem</w:t>
      </w:r>
      <w:r w:rsidR="00A93C1D" w:rsidRPr="001E6CF3">
        <w:rPr>
          <w:rFonts w:ascii="Times New Roman" w:hAnsi="Times New Roman"/>
          <w:sz w:val="24"/>
          <w:szCs w:val="24"/>
        </w:rPr>
        <w:t>e</w:t>
      </w:r>
      <w:r w:rsidRPr="001E6CF3">
        <w:rPr>
          <w:rFonts w:ascii="Times New Roman" w:hAnsi="Times New Roman"/>
          <w:sz w:val="24"/>
          <w:szCs w:val="24"/>
        </w:rPr>
        <w:t>s and introduce company</w:t>
      </w:r>
      <w:r w:rsidR="00E520D8" w:rsidRPr="001E6CF3">
        <w:rPr>
          <w:rFonts w:ascii="Times New Roman" w:hAnsi="Times New Roman"/>
          <w:sz w:val="24"/>
          <w:szCs w:val="24"/>
        </w:rPr>
        <w:t>-</w:t>
      </w:r>
      <w:r w:rsidRPr="001E6CF3">
        <w:rPr>
          <w:rFonts w:ascii="Times New Roman" w:hAnsi="Times New Roman"/>
          <w:sz w:val="24"/>
          <w:szCs w:val="24"/>
        </w:rPr>
        <w:t xml:space="preserve">specific distress support </w:t>
      </w:r>
      <w:r w:rsidR="00A93C1D" w:rsidRPr="001E6CF3">
        <w:rPr>
          <w:rFonts w:ascii="Times New Roman" w:hAnsi="Times New Roman"/>
          <w:sz w:val="24"/>
          <w:szCs w:val="24"/>
        </w:rPr>
        <w:t>interventions</w:t>
      </w:r>
      <w:r w:rsidRPr="001E6CF3">
        <w:rPr>
          <w:rFonts w:ascii="Times New Roman" w:hAnsi="Times New Roman"/>
          <w:sz w:val="24"/>
          <w:szCs w:val="24"/>
        </w:rPr>
        <w:t xml:space="preserve"> throu</w:t>
      </w:r>
      <w:r w:rsidR="00A93C1D" w:rsidRPr="001E6CF3">
        <w:rPr>
          <w:rFonts w:ascii="Times New Roman" w:hAnsi="Times New Roman"/>
          <w:sz w:val="24"/>
          <w:szCs w:val="24"/>
        </w:rPr>
        <w:t>gh</w:t>
      </w:r>
      <w:r w:rsidRPr="001E6CF3">
        <w:rPr>
          <w:rFonts w:ascii="Times New Roman" w:hAnsi="Times New Roman"/>
          <w:sz w:val="24"/>
          <w:szCs w:val="24"/>
        </w:rPr>
        <w:t xml:space="preserve"> the IDC</w:t>
      </w:r>
      <w:r w:rsidR="00E520D8" w:rsidRPr="001E6CF3">
        <w:rPr>
          <w:rFonts w:ascii="Times New Roman" w:hAnsi="Times New Roman"/>
          <w:sz w:val="24"/>
          <w:szCs w:val="24"/>
        </w:rPr>
        <w:t>.</w:t>
      </w:r>
    </w:p>
    <w:p w:rsidR="00E520D8" w:rsidRPr="001E6CF3" w:rsidRDefault="00E520D8" w:rsidP="00843CE2">
      <w:pPr>
        <w:pStyle w:val="ListParagraph"/>
        <w:keepNext/>
        <w:keepLines/>
        <w:tabs>
          <w:tab w:val="left" w:pos="426"/>
        </w:tabs>
        <w:spacing w:line="360" w:lineRule="auto"/>
        <w:ind w:left="709" w:right="-187"/>
        <w:rPr>
          <w:rFonts w:ascii="Times New Roman" w:hAnsi="Times New Roman"/>
          <w:b/>
          <w:sz w:val="24"/>
          <w:szCs w:val="24"/>
        </w:rPr>
      </w:pPr>
    </w:p>
    <w:p w:rsidR="00A93C1D" w:rsidRPr="001E6CF3" w:rsidRDefault="00DC4878" w:rsidP="00843CE2">
      <w:pPr>
        <w:keepNext/>
        <w:keepLines/>
        <w:tabs>
          <w:tab w:val="left" w:pos="426"/>
        </w:tabs>
        <w:spacing w:line="360" w:lineRule="auto"/>
        <w:ind w:right="-187"/>
        <w:jc w:val="both"/>
      </w:pPr>
      <w:r w:rsidRPr="001E6CF3">
        <w:t>The action and the Progress for 1</w:t>
      </w:r>
      <w:r w:rsidRPr="001E6CF3">
        <w:rPr>
          <w:vertAlign w:val="superscript"/>
        </w:rPr>
        <w:t>st</w:t>
      </w:r>
      <w:r w:rsidRPr="001E6CF3">
        <w:t xml:space="preserve"> </w:t>
      </w:r>
      <w:r w:rsidR="003A26BF" w:rsidRPr="001E6CF3">
        <w:t xml:space="preserve">to </w:t>
      </w:r>
      <w:r w:rsidRPr="001E6CF3">
        <w:t>3</w:t>
      </w:r>
      <w:r w:rsidRPr="001E6CF3">
        <w:rPr>
          <w:vertAlign w:val="superscript"/>
        </w:rPr>
        <w:t>rd</w:t>
      </w:r>
      <w:r w:rsidRPr="001E6CF3">
        <w:t xml:space="preserve"> Quarter </w:t>
      </w:r>
      <w:r w:rsidR="00E520D8" w:rsidRPr="001E6CF3">
        <w:t xml:space="preserve">2015/16 </w:t>
      </w:r>
      <w:r w:rsidRPr="001E6CF3">
        <w:t>on t</w:t>
      </w:r>
      <w:r w:rsidR="00A93C1D" w:rsidRPr="001E6CF3">
        <w:t xml:space="preserve">he performance </w:t>
      </w:r>
      <w:r w:rsidR="00E520D8" w:rsidRPr="001E6CF3">
        <w:t>a</w:t>
      </w:r>
      <w:r w:rsidR="00A93C1D" w:rsidRPr="001E6CF3">
        <w:t>ssessment</w:t>
      </w:r>
      <w:r w:rsidR="00E520D8" w:rsidRPr="001E6CF3">
        <w:t xml:space="preserve"> </w:t>
      </w:r>
      <w:r w:rsidR="006F4AB4" w:rsidRPr="001E6CF3">
        <w:t>of Outcome</w:t>
      </w:r>
      <w:r w:rsidR="00A93C1D" w:rsidRPr="001E6CF3">
        <w:t xml:space="preserve"> 4 (2) was reported as follows:</w:t>
      </w:r>
    </w:p>
    <w:p w:rsidR="00A93C1D" w:rsidRPr="001E6CF3" w:rsidRDefault="00A93C1D" w:rsidP="00843CE2">
      <w:pPr>
        <w:pStyle w:val="ListParagraph"/>
        <w:keepNext/>
        <w:keepLines/>
        <w:numPr>
          <w:ilvl w:val="0"/>
          <w:numId w:val="8"/>
        </w:numPr>
        <w:tabs>
          <w:tab w:val="left" w:pos="426"/>
        </w:tabs>
        <w:spacing w:line="360" w:lineRule="auto"/>
        <w:ind w:left="709" w:right="-187" w:hanging="283"/>
        <w:rPr>
          <w:rFonts w:ascii="Times New Roman" w:hAnsi="Times New Roman"/>
          <w:sz w:val="24"/>
          <w:szCs w:val="24"/>
        </w:rPr>
      </w:pPr>
      <w:r w:rsidRPr="001E6CF3">
        <w:rPr>
          <w:rFonts w:ascii="Times New Roman" w:hAnsi="Times New Roman"/>
          <w:sz w:val="24"/>
          <w:szCs w:val="24"/>
        </w:rPr>
        <w:t>Finalisation of the MPRDA is critical step towards creating a stable and policy certainly environment in the mining sector</w:t>
      </w:r>
      <w:r w:rsidR="00E520D8" w:rsidRPr="001E6CF3">
        <w:rPr>
          <w:rFonts w:ascii="Times New Roman" w:hAnsi="Times New Roman"/>
          <w:sz w:val="24"/>
          <w:szCs w:val="24"/>
        </w:rPr>
        <w:t>.</w:t>
      </w:r>
    </w:p>
    <w:p w:rsidR="00A93C1D" w:rsidRPr="001E6CF3" w:rsidRDefault="00E520D8" w:rsidP="00843CE2">
      <w:pPr>
        <w:pStyle w:val="ListParagraph"/>
        <w:keepNext/>
        <w:keepLines/>
        <w:numPr>
          <w:ilvl w:val="0"/>
          <w:numId w:val="8"/>
        </w:numPr>
        <w:tabs>
          <w:tab w:val="left" w:pos="426"/>
        </w:tabs>
        <w:spacing w:line="360" w:lineRule="auto"/>
        <w:ind w:left="709" w:right="-187" w:hanging="283"/>
        <w:rPr>
          <w:rFonts w:ascii="Times New Roman" w:hAnsi="Times New Roman"/>
          <w:sz w:val="24"/>
          <w:szCs w:val="24"/>
        </w:rPr>
      </w:pPr>
      <w:r w:rsidRPr="001E6CF3">
        <w:rPr>
          <w:rFonts w:ascii="Times New Roman" w:hAnsi="Times New Roman"/>
          <w:sz w:val="24"/>
          <w:szCs w:val="24"/>
        </w:rPr>
        <w:t xml:space="preserve">The DMR should leverage </w:t>
      </w:r>
      <w:r w:rsidR="00A93C1D" w:rsidRPr="001E6CF3">
        <w:rPr>
          <w:rFonts w:ascii="Times New Roman" w:hAnsi="Times New Roman"/>
          <w:sz w:val="24"/>
          <w:szCs w:val="24"/>
        </w:rPr>
        <w:t xml:space="preserve">the State’s right to set conditions on </w:t>
      </w:r>
      <w:r w:rsidRPr="001E6CF3">
        <w:rPr>
          <w:rFonts w:ascii="Times New Roman" w:hAnsi="Times New Roman"/>
          <w:sz w:val="24"/>
          <w:szCs w:val="24"/>
        </w:rPr>
        <w:t xml:space="preserve">granting </w:t>
      </w:r>
      <w:r w:rsidR="00A93C1D" w:rsidRPr="001E6CF3">
        <w:rPr>
          <w:rFonts w:ascii="Times New Roman" w:hAnsi="Times New Roman"/>
          <w:sz w:val="24"/>
          <w:szCs w:val="24"/>
        </w:rPr>
        <w:t xml:space="preserve">21,4% of Kumba’s iron ore </w:t>
      </w:r>
      <w:r w:rsidRPr="001E6CF3">
        <w:rPr>
          <w:rFonts w:ascii="Times New Roman" w:hAnsi="Times New Roman"/>
          <w:sz w:val="24"/>
          <w:szCs w:val="24"/>
        </w:rPr>
        <w:t>mining right</w:t>
      </w:r>
      <w:r w:rsidR="00A93C1D" w:rsidRPr="001E6CF3">
        <w:rPr>
          <w:rFonts w:ascii="Times New Roman" w:hAnsi="Times New Roman"/>
          <w:sz w:val="24"/>
          <w:szCs w:val="24"/>
        </w:rPr>
        <w:t>:</w:t>
      </w:r>
    </w:p>
    <w:p w:rsidR="00A93C1D" w:rsidRPr="001E6CF3" w:rsidRDefault="00C22816"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P</w:t>
      </w:r>
      <w:r w:rsidR="00A93C1D" w:rsidRPr="001E6CF3">
        <w:rPr>
          <w:rFonts w:ascii="Times New Roman" w:hAnsi="Times New Roman"/>
          <w:sz w:val="24"/>
          <w:szCs w:val="24"/>
        </w:rPr>
        <w:t xml:space="preserve">rogress towards </w:t>
      </w:r>
      <w:r w:rsidR="00E520D8" w:rsidRPr="001E6CF3">
        <w:rPr>
          <w:rFonts w:ascii="Times New Roman" w:hAnsi="Times New Roman"/>
          <w:sz w:val="24"/>
          <w:szCs w:val="24"/>
        </w:rPr>
        <w:t>this has been very</w:t>
      </w:r>
      <w:r w:rsidR="00A93C1D" w:rsidRPr="001E6CF3">
        <w:rPr>
          <w:rFonts w:ascii="Times New Roman" w:hAnsi="Times New Roman"/>
          <w:sz w:val="24"/>
          <w:szCs w:val="24"/>
        </w:rPr>
        <w:t xml:space="preserve"> slow</w:t>
      </w:r>
      <w:r w:rsidR="00E520D8" w:rsidRPr="001E6CF3">
        <w:rPr>
          <w:rFonts w:ascii="Times New Roman" w:hAnsi="Times New Roman"/>
          <w:sz w:val="24"/>
          <w:szCs w:val="24"/>
        </w:rPr>
        <w:t xml:space="preserve">, but </w:t>
      </w:r>
      <w:r w:rsidR="00A93C1D" w:rsidRPr="001E6CF3">
        <w:rPr>
          <w:rFonts w:ascii="Times New Roman" w:hAnsi="Times New Roman"/>
          <w:sz w:val="24"/>
          <w:szCs w:val="24"/>
        </w:rPr>
        <w:t xml:space="preserve">the report indicates that the process of </w:t>
      </w:r>
      <w:r w:rsidR="006F4AB4" w:rsidRPr="001E6CF3">
        <w:rPr>
          <w:rFonts w:ascii="Times New Roman" w:hAnsi="Times New Roman"/>
          <w:sz w:val="24"/>
          <w:szCs w:val="24"/>
        </w:rPr>
        <w:t>granting</w:t>
      </w:r>
      <w:r w:rsidR="00E520D8" w:rsidRPr="001E6CF3">
        <w:rPr>
          <w:rFonts w:ascii="Times New Roman" w:hAnsi="Times New Roman"/>
          <w:sz w:val="24"/>
          <w:szCs w:val="24"/>
        </w:rPr>
        <w:t xml:space="preserve"> </w:t>
      </w:r>
      <w:r w:rsidR="00A93C1D" w:rsidRPr="001E6CF3">
        <w:rPr>
          <w:rFonts w:ascii="Times New Roman" w:hAnsi="Times New Roman"/>
          <w:sz w:val="24"/>
          <w:szCs w:val="24"/>
        </w:rPr>
        <w:t>the right with conditions is underway</w:t>
      </w:r>
      <w:r w:rsidR="00E520D8" w:rsidRPr="001E6CF3">
        <w:rPr>
          <w:rFonts w:ascii="Times New Roman" w:hAnsi="Times New Roman"/>
          <w:sz w:val="24"/>
          <w:szCs w:val="24"/>
        </w:rPr>
        <w:t>.</w:t>
      </w:r>
    </w:p>
    <w:p w:rsidR="00A93C1D" w:rsidRPr="001E6CF3" w:rsidRDefault="00A93C1D"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There is </w:t>
      </w:r>
      <w:r w:rsidR="00E520D8" w:rsidRPr="001E6CF3">
        <w:rPr>
          <w:rFonts w:ascii="Times New Roman" w:hAnsi="Times New Roman"/>
          <w:sz w:val="24"/>
          <w:szCs w:val="24"/>
        </w:rPr>
        <w:t>an</w:t>
      </w:r>
      <w:r w:rsidRPr="001E6CF3">
        <w:rPr>
          <w:rFonts w:ascii="Times New Roman" w:hAnsi="Times New Roman"/>
          <w:sz w:val="24"/>
          <w:szCs w:val="24"/>
        </w:rPr>
        <w:t xml:space="preserve"> alarming threat of around 4 000 job cuts at the Sishen Iron Ore</w:t>
      </w:r>
      <w:r w:rsidR="00E520D8" w:rsidRPr="001E6CF3">
        <w:rPr>
          <w:rFonts w:ascii="Times New Roman" w:hAnsi="Times New Roman"/>
          <w:sz w:val="24"/>
          <w:szCs w:val="24"/>
        </w:rPr>
        <w:t xml:space="preserve"> Company</w:t>
      </w:r>
      <w:r w:rsidRPr="001E6CF3">
        <w:rPr>
          <w:rFonts w:ascii="Times New Roman" w:hAnsi="Times New Roman"/>
          <w:sz w:val="24"/>
          <w:szCs w:val="24"/>
        </w:rPr>
        <w:t>.</w:t>
      </w:r>
    </w:p>
    <w:p w:rsidR="00E520D8" w:rsidRPr="001E6CF3" w:rsidRDefault="00E520D8" w:rsidP="00843CE2">
      <w:pPr>
        <w:keepNext/>
        <w:keepLines/>
        <w:tabs>
          <w:tab w:val="left" w:pos="426"/>
        </w:tabs>
        <w:spacing w:line="360" w:lineRule="auto"/>
        <w:ind w:right="-187"/>
        <w:jc w:val="both"/>
      </w:pPr>
    </w:p>
    <w:p w:rsidR="00216980" w:rsidRPr="001E6CF3" w:rsidRDefault="00DC4878" w:rsidP="00843CE2">
      <w:pPr>
        <w:keepNext/>
        <w:keepLines/>
        <w:tabs>
          <w:tab w:val="left" w:pos="426"/>
        </w:tabs>
        <w:spacing w:line="360" w:lineRule="auto"/>
        <w:ind w:right="-187"/>
        <w:jc w:val="both"/>
      </w:pPr>
      <w:r w:rsidRPr="001E6CF3">
        <w:t>The action and the Progress for 1</w:t>
      </w:r>
      <w:r w:rsidRPr="001E6CF3">
        <w:rPr>
          <w:vertAlign w:val="superscript"/>
        </w:rPr>
        <w:t>st</w:t>
      </w:r>
      <w:r w:rsidRPr="001E6CF3">
        <w:t xml:space="preserve"> </w:t>
      </w:r>
      <w:r w:rsidR="003A26BF" w:rsidRPr="001E6CF3">
        <w:t xml:space="preserve">to </w:t>
      </w:r>
      <w:r w:rsidRPr="001E6CF3">
        <w:t>-3</w:t>
      </w:r>
      <w:r w:rsidRPr="001E6CF3">
        <w:rPr>
          <w:vertAlign w:val="superscript"/>
        </w:rPr>
        <w:t>rd</w:t>
      </w:r>
      <w:r w:rsidRPr="001E6CF3">
        <w:t xml:space="preserve"> Quarter </w:t>
      </w:r>
      <w:r w:rsidR="00E520D8" w:rsidRPr="001E6CF3">
        <w:t xml:space="preserve">2015/16 </w:t>
      </w:r>
      <w:r w:rsidRPr="001E6CF3">
        <w:t>on t</w:t>
      </w:r>
      <w:r w:rsidR="00216980" w:rsidRPr="001E6CF3">
        <w:t xml:space="preserve">he performance </w:t>
      </w:r>
      <w:r w:rsidR="00E520D8" w:rsidRPr="001E6CF3">
        <w:t>a</w:t>
      </w:r>
      <w:r w:rsidR="00216980" w:rsidRPr="001E6CF3">
        <w:t>ssessment</w:t>
      </w:r>
      <w:r w:rsidR="00E520D8" w:rsidRPr="001E6CF3">
        <w:t xml:space="preserve"> of</w:t>
      </w:r>
      <w:r w:rsidR="00216980" w:rsidRPr="001E6CF3">
        <w:t xml:space="preserve"> Outcome 4 (3) was reported as follows:</w:t>
      </w:r>
    </w:p>
    <w:p w:rsidR="00216980" w:rsidRPr="001E6CF3" w:rsidRDefault="00E520D8"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While there is a plan to undertake </w:t>
      </w:r>
      <w:r w:rsidR="00216980" w:rsidRPr="001E6CF3">
        <w:rPr>
          <w:rFonts w:ascii="Times New Roman" w:hAnsi="Times New Roman"/>
          <w:sz w:val="24"/>
          <w:szCs w:val="24"/>
        </w:rPr>
        <w:t>a nationwide assessment of uranium and thorium resources in South Africa</w:t>
      </w:r>
      <w:r w:rsidRPr="001E6CF3">
        <w:rPr>
          <w:rFonts w:ascii="Times New Roman" w:hAnsi="Times New Roman"/>
          <w:sz w:val="24"/>
          <w:szCs w:val="24"/>
        </w:rPr>
        <w:t xml:space="preserve"> and t</w:t>
      </w:r>
      <w:r w:rsidR="00216980" w:rsidRPr="001E6CF3">
        <w:rPr>
          <w:rFonts w:ascii="Times New Roman" w:hAnsi="Times New Roman"/>
          <w:sz w:val="24"/>
          <w:szCs w:val="24"/>
        </w:rPr>
        <w:t>he desktop studies on mineral occurrence have been completed</w:t>
      </w:r>
      <w:r w:rsidRPr="001E6CF3">
        <w:rPr>
          <w:rFonts w:ascii="Times New Roman" w:hAnsi="Times New Roman"/>
          <w:sz w:val="24"/>
          <w:szCs w:val="24"/>
        </w:rPr>
        <w:t xml:space="preserve">, </w:t>
      </w:r>
      <w:r w:rsidR="00216980" w:rsidRPr="001E6CF3">
        <w:rPr>
          <w:rFonts w:ascii="Times New Roman" w:hAnsi="Times New Roman"/>
          <w:sz w:val="24"/>
          <w:szCs w:val="24"/>
        </w:rPr>
        <w:t xml:space="preserve">there is </w:t>
      </w:r>
      <w:r w:rsidRPr="001E6CF3">
        <w:rPr>
          <w:rFonts w:ascii="Times New Roman" w:hAnsi="Times New Roman"/>
          <w:sz w:val="24"/>
          <w:szCs w:val="24"/>
        </w:rPr>
        <w:t xml:space="preserve"> again </w:t>
      </w:r>
      <w:r w:rsidR="00216980" w:rsidRPr="001E6CF3">
        <w:rPr>
          <w:rFonts w:ascii="Times New Roman" w:hAnsi="Times New Roman"/>
          <w:sz w:val="24"/>
          <w:szCs w:val="24"/>
        </w:rPr>
        <w:t>no detailed report provided in the third quarter</w:t>
      </w:r>
    </w:p>
    <w:p w:rsidR="003A26BF" w:rsidRPr="001E6CF3" w:rsidRDefault="00E520D8"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In determining the viability of shale gas, three steps were intended</w:t>
      </w:r>
      <w:r w:rsidR="00216980" w:rsidRPr="001E6CF3">
        <w:rPr>
          <w:rFonts w:ascii="Times New Roman" w:hAnsi="Times New Roman"/>
          <w:sz w:val="24"/>
          <w:szCs w:val="24"/>
        </w:rPr>
        <w:t xml:space="preserve">: </w:t>
      </w:r>
    </w:p>
    <w:p w:rsidR="003A26BF" w:rsidRPr="001E6CF3" w:rsidRDefault="00216980"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(a) Ensure development of and implementation of explanatory drilling plan; </w:t>
      </w:r>
    </w:p>
    <w:p w:rsidR="003A26BF" w:rsidRPr="001E6CF3" w:rsidRDefault="00216980"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(b) Appropriate legislation developed and </w:t>
      </w:r>
    </w:p>
    <w:p w:rsidR="00216980" w:rsidRPr="001E6CF3" w:rsidRDefault="00216980"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(c) </w:t>
      </w:r>
      <w:r w:rsidR="0050021F" w:rsidRPr="001E6CF3">
        <w:rPr>
          <w:rFonts w:ascii="Times New Roman" w:hAnsi="Times New Roman"/>
          <w:sz w:val="24"/>
          <w:szCs w:val="24"/>
        </w:rPr>
        <w:t>E</w:t>
      </w:r>
      <w:r w:rsidRPr="001E6CF3">
        <w:rPr>
          <w:rFonts w:ascii="Times New Roman" w:hAnsi="Times New Roman"/>
          <w:sz w:val="24"/>
          <w:szCs w:val="24"/>
        </w:rPr>
        <w:t>nsure implementation of shale exploration programmes:</w:t>
      </w:r>
    </w:p>
    <w:p w:rsidR="00216980" w:rsidRPr="001E6CF3" w:rsidRDefault="00216980"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In the first quarter the </w:t>
      </w:r>
      <w:r w:rsidR="003A26BF" w:rsidRPr="001E6CF3">
        <w:rPr>
          <w:rFonts w:ascii="Times New Roman" w:hAnsi="Times New Roman"/>
          <w:sz w:val="24"/>
          <w:szCs w:val="24"/>
        </w:rPr>
        <w:t>D</w:t>
      </w:r>
      <w:r w:rsidRPr="001E6CF3">
        <w:rPr>
          <w:rFonts w:ascii="Times New Roman" w:hAnsi="Times New Roman"/>
          <w:sz w:val="24"/>
          <w:szCs w:val="24"/>
        </w:rPr>
        <w:t xml:space="preserve">epartment reported </w:t>
      </w:r>
      <w:r w:rsidR="00E520D8" w:rsidRPr="001E6CF3">
        <w:rPr>
          <w:rFonts w:ascii="Times New Roman" w:hAnsi="Times New Roman"/>
          <w:sz w:val="24"/>
          <w:szCs w:val="24"/>
        </w:rPr>
        <w:t>that r</w:t>
      </w:r>
      <w:r w:rsidR="009E13FD" w:rsidRPr="001E6CF3">
        <w:rPr>
          <w:rFonts w:ascii="Times New Roman" w:hAnsi="Times New Roman"/>
          <w:sz w:val="24"/>
          <w:szCs w:val="24"/>
        </w:rPr>
        <w:t>egulations</w:t>
      </w:r>
      <w:r w:rsidRPr="001E6CF3">
        <w:rPr>
          <w:rFonts w:ascii="Times New Roman" w:hAnsi="Times New Roman"/>
          <w:sz w:val="24"/>
          <w:szCs w:val="24"/>
        </w:rPr>
        <w:t xml:space="preserve"> on Petroleum Exploration and Production </w:t>
      </w:r>
      <w:r w:rsidR="00E520D8" w:rsidRPr="001E6CF3">
        <w:rPr>
          <w:rFonts w:ascii="Times New Roman" w:hAnsi="Times New Roman"/>
          <w:sz w:val="24"/>
          <w:szCs w:val="24"/>
        </w:rPr>
        <w:t xml:space="preserve">had been </w:t>
      </w:r>
      <w:r w:rsidRPr="001E6CF3">
        <w:rPr>
          <w:rFonts w:ascii="Times New Roman" w:hAnsi="Times New Roman"/>
          <w:sz w:val="24"/>
          <w:szCs w:val="24"/>
        </w:rPr>
        <w:t xml:space="preserve">developed and published, </w:t>
      </w:r>
      <w:r w:rsidR="00E520D8" w:rsidRPr="001E6CF3">
        <w:rPr>
          <w:rFonts w:ascii="Times New Roman" w:hAnsi="Times New Roman"/>
          <w:sz w:val="24"/>
          <w:szCs w:val="24"/>
        </w:rPr>
        <w:t xml:space="preserve">a </w:t>
      </w:r>
      <w:r w:rsidRPr="001E6CF3">
        <w:rPr>
          <w:rFonts w:ascii="Times New Roman" w:hAnsi="Times New Roman"/>
          <w:sz w:val="24"/>
          <w:szCs w:val="24"/>
        </w:rPr>
        <w:t xml:space="preserve">Strategic Environment </w:t>
      </w:r>
      <w:r w:rsidR="009E13FD" w:rsidRPr="001E6CF3">
        <w:rPr>
          <w:rFonts w:ascii="Times New Roman" w:hAnsi="Times New Roman"/>
          <w:sz w:val="24"/>
          <w:szCs w:val="24"/>
        </w:rPr>
        <w:t>Assessment</w:t>
      </w:r>
      <w:r w:rsidRPr="001E6CF3">
        <w:rPr>
          <w:rFonts w:ascii="Times New Roman" w:hAnsi="Times New Roman"/>
          <w:sz w:val="24"/>
          <w:szCs w:val="24"/>
        </w:rPr>
        <w:t xml:space="preserve"> </w:t>
      </w:r>
      <w:r w:rsidR="00E520D8" w:rsidRPr="001E6CF3">
        <w:rPr>
          <w:rFonts w:ascii="Times New Roman" w:hAnsi="Times New Roman"/>
          <w:sz w:val="24"/>
          <w:szCs w:val="24"/>
        </w:rPr>
        <w:t xml:space="preserve">is </w:t>
      </w:r>
      <w:r w:rsidRPr="001E6CF3">
        <w:rPr>
          <w:rFonts w:ascii="Times New Roman" w:hAnsi="Times New Roman"/>
          <w:sz w:val="24"/>
          <w:szCs w:val="24"/>
        </w:rPr>
        <w:t xml:space="preserve">in progress, </w:t>
      </w:r>
      <w:r w:rsidR="00E520D8" w:rsidRPr="001E6CF3">
        <w:rPr>
          <w:rFonts w:ascii="Times New Roman" w:hAnsi="Times New Roman"/>
          <w:sz w:val="24"/>
          <w:szCs w:val="24"/>
        </w:rPr>
        <w:t xml:space="preserve">the processing </w:t>
      </w:r>
      <w:r w:rsidRPr="001E6CF3">
        <w:rPr>
          <w:rFonts w:ascii="Times New Roman" w:hAnsi="Times New Roman"/>
          <w:sz w:val="24"/>
          <w:szCs w:val="24"/>
        </w:rPr>
        <w:t>of application</w:t>
      </w:r>
      <w:r w:rsidR="00E520D8" w:rsidRPr="001E6CF3">
        <w:rPr>
          <w:rFonts w:ascii="Times New Roman" w:hAnsi="Times New Roman"/>
          <w:sz w:val="24"/>
          <w:szCs w:val="24"/>
        </w:rPr>
        <w:t>s</w:t>
      </w:r>
      <w:r w:rsidRPr="001E6CF3">
        <w:rPr>
          <w:rFonts w:ascii="Times New Roman" w:hAnsi="Times New Roman"/>
          <w:sz w:val="24"/>
          <w:szCs w:val="24"/>
        </w:rPr>
        <w:t xml:space="preserve"> is in progress and </w:t>
      </w:r>
      <w:r w:rsidR="00E520D8" w:rsidRPr="001E6CF3">
        <w:rPr>
          <w:rFonts w:ascii="Times New Roman" w:hAnsi="Times New Roman"/>
          <w:sz w:val="24"/>
          <w:szCs w:val="24"/>
        </w:rPr>
        <w:t>an a</w:t>
      </w:r>
      <w:r w:rsidR="009E13FD" w:rsidRPr="001E6CF3">
        <w:rPr>
          <w:rFonts w:ascii="Times New Roman" w:hAnsi="Times New Roman"/>
          <w:sz w:val="24"/>
          <w:szCs w:val="24"/>
        </w:rPr>
        <w:t>wareness</w:t>
      </w:r>
      <w:r w:rsidRPr="001E6CF3">
        <w:rPr>
          <w:rFonts w:ascii="Times New Roman" w:hAnsi="Times New Roman"/>
          <w:sz w:val="24"/>
          <w:szCs w:val="24"/>
        </w:rPr>
        <w:t xml:space="preserve"> campaign is on-going, through community road show</w:t>
      </w:r>
      <w:r w:rsidR="00E520D8" w:rsidRPr="001E6CF3">
        <w:rPr>
          <w:rFonts w:ascii="Times New Roman" w:hAnsi="Times New Roman"/>
          <w:sz w:val="24"/>
          <w:szCs w:val="24"/>
        </w:rPr>
        <w:t>s</w:t>
      </w:r>
      <w:r w:rsidRPr="001E6CF3">
        <w:rPr>
          <w:rFonts w:ascii="Times New Roman" w:hAnsi="Times New Roman"/>
          <w:sz w:val="24"/>
          <w:szCs w:val="24"/>
        </w:rPr>
        <w:t>.</w:t>
      </w:r>
    </w:p>
    <w:p w:rsidR="00216980" w:rsidRPr="001E6CF3" w:rsidRDefault="00216980"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Progress continues to be made through the work of the Shale Gas Strategic Environmental Assessment process. </w:t>
      </w:r>
    </w:p>
    <w:p w:rsidR="00216980" w:rsidRPr="001E6CF3" w:rsidRDefault="00216980" w:rsidP="00843CE2">
      <w:pPr>
        <w:keepNext/>
        <w:keepLines/>
        <w:tabs>
          <w:tab w:val="left" w:pos="426"/>
        </w:tabs>
        <w:spacing w:line="360" w:lineRule="auto"/>
        <w:ind w:right="-187"/>
        <w:jc w:val="both"/>
      </w:pPr>
      <w:r w:rsidRPr="001E6CF3">
        <w:tab/>
      </w:r>
    </w:p>
    <w:p w:rsidR="009E13FD" w:rsidRPr="001E6CF3" w:rsidRDefault="00DC4878" w:rsidP="00843CE2">
      <w:pPr>
        <w:keepNext/>
        <w:keepLines/>
        <w:tabs>
          <w:tab w:val="left" w:pos="426"/>
        </w:tabs>
        <w:spacing w:line="360" w:lineRule="auto"/>
        <w:ind w:right="-187"/>
        <w:jc w:val="both"/>
      </w:pPr>
      <w:r w:rsidRPr="001E6CF3">
        <w:t>The action and the Progress for 1</w:t>
      </w:r>
      <w:r w:rsidRPr="001E6CF3">
        <w:rPr>
          <w:vertAlign w:val="superscript"/>
        </w:rPr>
        <w:t>st</w:t>
      </w:r>
      <w:r w:rsidRPr="001E6CF3">
        <w:t xml:space="preserve"> </w:t>
      </w:r>
      <w:r w:rsidR="003A26BF" w:rsidRPr="001E6CF3">
        <w:t xml:space="preserve">to </w:t>
      </w:r>
      <w:r w:rsidRPr="001E6CF3">
        <w:t>3</w:t>
      </w:r>
      <w:r w:rsidRPr="001E6CF3">
        <w:rPr>
          <w:vertAlign w:val="superscript"/>
        </w:rPr>
        <w:t>rd</w:t>
      </w:r>
      <w:r w:rsidRPr="001E6CF3">
        <w:t xml:space="preserve"> Quarter on t</w:t>
      </w:r>
      <w:r w:rsidR="009E13FD" w:rsidRPr="001E6CF3">
        <w:t xml:space="preserve">he performance </w:t>
      </w:r>
      <w:r w:rsidR="00E520D8" w:rsidRPr="001E6CF3">
        <w:t xml:space="preserve">assessment of </w:t>
      </w:r>
      <w:r w:rsidR="009E13FD" w:rsidRPr="001E6CF3">
        <w:t>Outcome 6 (1) was reported as follows:</w:t>
      </w:r>
    </w:p>
    <w:p w:rsidR="00216980" w:rsidRPr="001E6CF3" w:rsidRDefault="00E520D8" w:rsidP="00843CE2">
      <w:pPr>
        <w:pStyle w:val="ListParagraph"/>
        <w:keepNext/>
        <w:keepLines/>
        <w:numPr>
          <w:ilvl w:val="0"/>
          <w:numId w:val="9"/>
        </w:numPr>
        <w:tabs>
          <w:tab w:val="left" w:pos="426"/>
        </w:tabs>
        <w:spacing w:before="240" w:line="360" w:lineRule="auto"/>
        <w:ind w:right="-187"/>
        <w:rPr>
          <w:rFonts w:ascii="Times New Roman" w:hAnsi="Times New Roman"/>
          <w:sz w:val="24"/>
          <w:szCs w:val="24"/>
        </w:rPr>
      </w:pPr>
      <w:r w:rsidRPr="001E6CF3">
        <w:rPr>
          <w:rFonts w:ascii="Times New Roman" w:hAnsi="Times New Roman"/>
          <w:sz w:val="24"/>
          <w:szCs w:val="24"/>
        </w:rPr>
        <w:t xml:space="preserve">A formal </w:t>
      </w:r>
      <w:r w:rsidR="009E13FD" w:rsidRPr="001E6CF3">
        <w:rPr>
          <w:rFonts w:ascii="Times New Roman" w:hAnsi="Times New Roman"/>
          <w:sz w:val="24"/>
          <w:szCs w:val="24"/>
        </w:rPr>
        <w:t>structure to foster collaboration between government, Eskom, Transnet, Sasol, IPP and the coal industry</w:t>
      </w:r>
      <w:r w:rsidRPr="001E6CF3">
        <w:rPr>
          <w:rFonts w:ascii="Times New Roman" w:hAnsi="Times New Roman"/>
          <w:sz w:val="24"/>
          <w:szCs w:val="24"/>
        </w:rPr>
        <w:t xml:space="preserve"> was intended. The aim was </w:t>
      </w:r>
      <w:r w:rsidR="009E13FD" w:rsidRPr="001E6CF3">
        <w:rPr>
          <w:rFonts w:ascii="Times New Roman" w:hAnsi="Times New Roman"/>
          <w:sz w:val="24"/>
          <w:szCs w:val="24"/>
        </w:rPr>
        <w:t>to optimise domestic coal use while maximising coal exports; to address fragmentation in the coal industry, and to plan optimal utilisation for specific coal fields (draw</w:t>
      </w:r>
      <w:r w:rsidR="00F120AD" w:rsidRPr="001E6CF3">
        <w:rPr>
          <w:rFonts w:ascii="Times New Roman" w:hAnsi="Times New Roman"/>
          <w:sz w:val="24"/>
          <w:szCs w:val="24"/>
        </w:rPr>
        <w:t>ing</w:t>
      </w:r>
      <w:r w:rsidR="009E13FD" w:rsidRPr="001E6CF3">
        <w:rPr>
          <w:rFonts w:ascii="Times New Roman" w:hAnsi="Times New Roman"/>
          <w:sz w:val="24"/>
          <w:szCs w:val="24"/>
        </w:rPr>
        <w:t xml:space="preserve"> on </w:t>
      </w:r>
      <w:r w:rsidR="00F120AD" w:rsidRPr="001E6CF3">
        <w:rPr>
          <w:rFonts w:ascii="Times New Roman" w:hAnsi="Times New Roman"/>
          <w:sz w:val="24"/>
          <w:szCs w:val="24"/>
        </w:rPr>
        <w:t xml:space="preserve">the </w:t>
      </w:r>
      <w:r w:rsidR="009E13FD" w:rsidRPr="001E6CF3">
        <w:rPr>
          <w:rFonts w:ascii="Times New Roman" w:hAnsi="Times New Roman"/>
          <w:sz w:val="24"/>
          <w:szCs w:val="24"/>
        </w:rPr>
        <w:t>Coal Road Map</w:t>
      </w:r>
      <w:r w:rsidR="003A26BF" w:rsidRPr="001E6CF3">
        <w:rPr>
          <w:rFonts w:ascii="Times New Roman" w:hAnsi="Times New Roman"/>
          <w:sz w:val="24"/>
          <w:szCs w:val="24"/>
        </w:rPr>
        <w:t>)</w:t>
      </w:r>
      <w:r w:rsidR="009E13FD" w:rsidRPr="001E6CF3">
        <w:rPr>
          <w:rFonts w:ascii="Times New Roman" w:hAnsi="Times New Roman"/>
          <w:sz w:val="24"/>
          <w:szCs w:val="24"/>
        </w:rPr>
        <w:t>:</w:t>
      </w:r>
    </w:p>
    <w:p w:rsidR="009E13FD" w:rsidRPr="001E6CF3" w:rsidRDefault="009E13FD"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The December </w:t>
      </w:r>
      <w:r w:rsidR="00F120AD" w:rsidRPr="001E6CF3">
        <w:rPr>
          <w:rFonts w:ascii="Times New Roman" w:hAnsi="Times New Roman"/>
          <w:sz w:val="24"/>
          <w:szCs w:val="24"/>
        </w:rPr>
        <w:t xml:space="preserve">2015 deadline </w:t>
      </w:r>
      <w:r w:rsidRPr="001E6CF3">
        <w:rPr>
          <w:rFonts w:ascii="Times New Roman" w:hAnsi="Times New Roman"/>
          <w:sz w:val="24"/>
          <w:szCs w:val="24"/>
        </w:rPr>
        <w:t>was not met as committed</w:t>
      </w:r>
      <w:r w:rsidR="00F120AD" w:rsidRPr="001E6CF3">
        <w:rPr>
          <w:rFonts w:ascii="Times New Roman" w:hAnsi="Times New Roman"/>
          <w:sz w:val="24"/>
          <w:szCs w:val="24"/>
        </w:rPr>
        <w:t xml:space="preserve"> to</w:t>
      </w:r>
      <w:r w:rsidRPr="001E6CF3">
        <w:rPr>
          <w:rFonts w:ascii="Times New Roman" w:hAnsi="Times New Roman"/>
          <w:sz w:val="24"/>
          <w:szCs w:val="24"/>
        </w:rPr>
        <w:t xml:space="preserve">; however some progress has been noted </w:t>
      </w:r>
      <w:r w:rsidR="00F120AD" w:rsidRPr="001E6CF3">
        <w:rPr>
          <w:rFonts w:ascii="Times New Roman" w:hAnsi="Times New Roman"/>
          <w:sz w:val="24"/>
          <w:szCs w:val="24"/>
        </w:rPr>
        <w:t xml:space="preserve">during </w:t>
      </w:r>
      <w:r w:rsidRPr="001E6CF3">
        <w:rPr>
          <w:rFonts w:ascii="Times New Roman" w:hAnsi="Times New Roman"/>
          <w:sz w:val="24"/>
          <w:szCs w:val="24"/>
        </w:rPr>
        <w:t>the 3</w:t>
      </w:r>
      <w:r w:rsidRPr="001E6CF3">
        <w:rPr>
          <w:rFonts w:ascii="Times New Roman" w:hAnsi="Times New Roman"/>
          <w:sz w:val="24"/>
          <w:szCs w:val="24"/>
          <w:vertAlign w:val="superscript"/>
        </w:rPr>
        <w:t>rd</w:t>
      </w:r>
      <w:r w:rsidRPr="001E6CF3">
        <w:rPr>
          <w:rFonts w:ascii="Times New Roman" w:hAnsi="Times New Roman"/>
          <w:sz w:val="24"/>
          <w:szCs w:val="24"/>
        </w:rPr>
        <w:t xml:space="preserve"> quarter</w:t>
      </w:r>
      <w:r w:rsidR="00F120AD" w:rsidRPr="001E6CF3">
        <w:rPr>
          <w:rFonts w:ascii="Times New Roman" w:hAnsi="Times New Roman"/>
          <w:sz w:val="24"/>
          <w:szCs w:val="24"/>
        </w:rPr>
        <w:t>,</w:t>
      </w:r>
      <w:r w:rsidRPr="001E6CF3">
        <w:rPr>
          <w:rFonts w:ascii="Times New Roman" w:hAnsi="Times New Roman"/>
          <w:sz w:val="24"/>
          <w:szCs w:val="24"/>
        </w:rPr>
        <w:t xml:space="preserve"> with the formation of a multi-stakeholder structure.</w:t>
      </w:r>
    </w:p>
    <w:p w:rsidR="009E13FD" w:rsidRPr="001E6CF3" w:rsidRDefault="00F120AD"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It was intended to develop a </w:t>
      </w:r>
      <w:r w:rsidR="009E13FD" w:rsidRPr="001E6CF3">
        <w:rPr>
          <w:rFonts w:ascii="Times New Roman" w:hAnsi="Times New Roman"/>
          <w:sz w:val="24"/>
          <w:szCs w:val="24"/>
        </w:rPr>
        <w:t>National Coal Policy with regulations that will include a strategy to secure coal supply:</w:t>
      </w:r>
    </w:p>
    <w:p w:rsidR="009E13FD" w:rsidRPr="001E6CF3" w:rsidRDefault="009E13FD"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The development of draft coal policy </w:t>
      </w:r>
      <w:r w:rsidR="00F120AD" w:rsidRPr="001E6CF3">
        <w:rPr>
          <w:rFonts w:ascii="Times New Roman" w:hAnsi="Times New Roman"/>
          <w:sz w:val="24"/>
          <w:szCs w:val="24"/>
        </w:rPr>
        <w:t xml:space="preserve">is </w:t>
      </w:r>
      <w:r w:rsidRPr="001E6CF3">
        <w:rPr>
          <w:rFonts w:ascii="Times New Roman" w:hAnsi="Times New Roman"/>
          <w:sz w:val="24"/>
          <w:szCs w:val="24"/>
        </w:rPr>
        <w:t xml:space="preserve">still lagging behind, however a task team has been established </w:t>
      </w:r>
      <w:r w:rsidR="00F120AD" w:rsidRPr="001E6CF3">
        <w:rPr>
          <w:rFonts w:ascii="Times New Roman" w:hAnsi="Times New Roman"/>
          <w:sz w:val="24"/>
          <w:szCs w:val="24"/>
        </w:rPr>
        <w:t>du</w:t>
      </w:r>
      <w:r w:rsidRPr="001E6CF3">
        <w:rPr>
          <w:rFonts w:ascii="Times New Roman" w:hAnsi="Times New Roman"/>
          <w:sz w:val="24"/>
          <w:szCs w:val="24"/>
        </w:rPr>
        <w:t>ring the 3</w:t>
      </w:r>
      <w:r w:rsidRPr="001E6CF3">
        <w:rPr>
          <w:rFonts w:ascii="Times New Roman" w:hAnsi="Times New Roman"/>
          <w:sz w:val="24"/>
          <w:szCs w:val="24"/>
          <w:vertAlign w:val="superscript"/>
        </w:rPr>
        <w:t>rd</w:t>
      </w:r>
      <w:r w:rsidRPr="001E6CF3">
        <w:rPr>
          <w:rFonts w:ascii="Times New Roman" w:hAnsi="Times New Roman"/>
          <w:sz w:val="24"/>
          <w:szCs w:val="24"/>
        </w:rPr>
        <w:t xml:space="preserve"> quarter reporting period. </w:t>
      </w:r>
      <w:r w:rsidR="00F120AD" w:rsidRPr="001E6CF3">
        <w:rPr>
          <w:rFonts w:ascii="Times New Roman" w:hAnsi="Times New Roman"/>
          <w:sz w:val="24"/>
          <w:szCs w:val="24"/>
        </w:rPr>
        <w:t xml:space="preserve">Mr Dicks </w:t>
      </w:r>
      <w:r w:rsidRPr="001E6CF3">
        <w:rPr>
          <w:rFonts w:ascii="Times New Roman" w:hAnsi="Times New Roman"/>
          <w:sz w:val="24"/>
          <w:szCs w:val="24"/>
        </w:rPr>
        <w:t xml:space="preserve">reported that it was unlikely that the target of July 2016 would be met. </w:t>
      </w:r>
    </w:p>
    <w:p w:rsidR="00DC4878" w:rsidRPr="001E6CF3" w:rsidRDefault="00DC4878" w:rsidP="00843CE2">
      <w:pPr>
        <w:keepNext/>
        <w:keepLines/>
        <w:tabs>
          <w:tab w:val="left" w:pos="426"/>
        </w:tabs>
        <w:spacing w:line="360" w:lineRule="auto"/>
        <w:ind w:right="-187"/>
        <w:jc w:val="both"/>
      </w:pPr>
    </w:p>
    <w:p w:rsidR="00216980" w:rsidRPr="001E6CF3" w:rsidRDefault="00DC4878" w:rsidP="00843CE2">
      <w:pPr>
        <w:keepNext/>
        <w:keepLines/>
        <w:tabs>
          <w:tab w:val="left" w:pos="426"/>
        </w:tabs>
        <w:spacing w:line="360" w:lineRule="auto"/>
        <w:ind w:right="-187"/>
        <w:jc w:val="both"/>
      </w:pPr>
      <w:r w:rsidRPr="001E6CF3">
        <w:t xml:space="preserve">The action and the </w:t>
      </w:r>
      <w:r w:rsidR="00F120AD" w:rsidRPr="001E6CF3">
        <w:t xml:space="preserve">progress </w:t>
      </w:r>
      <w:r w:rsidRPr="001E6CF3">
        <w:t>for 1</w:t>
      </w:r>
      <w:r w:rsidRPr="001E6CF3">
        <w:rPr>
          <w:vertAlign w:val="superscript"/>
        </w:rPr>
        <w:t>st</w:t>
      </w:r>
      <w:r w:rsidRPr="001E6CF3">
        <w:t xml:space="preserve"> </w:t>
      </w:r>
      <w:r w:rsidR="003A26BF" w:rsidRPr="001E6CF3">
        <w:t xml:space="preserve">to </w:t>
      </w:r>
      <w:r w:rsidRPr="001E6CF3">
        <w:t>3</w:t>
      </w:r>
      <w:r w:rsidRPr="001E6CF3">
        <w:rPr>
          <w:vertAlign w:val="superscript"/>
        </w:rPr>
        <w:t>rd</w:t>
      </w:r>
      <w:r w:rsidRPr="001E6CF3">
        <w:t xml:space="preserve"> Quarter on the </w:t>
      </w:r>
      <w:r w:rsidR="00F120AD" w:rsidRPr="001E6CF3">
        <w:t xml:space="preserve">performance assessment of </w:t>
      </w:r>
      <w:r w:rsidRPr="001E6CF3">
        <w:t>Outcome 10(1)</w:t>
      </w:r>
      <w:r w:rsidR="00F120AD" w:rsidRPr="001E6CF3">
        <w:t xml:space="preserve"> reported that:</w:t>
      </w:r>
    </w:p>
    <w:p w:rsidR="00DC4878" w:rsidRPr="001E6CF3" w:rsidRDefault="00DC4878"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Number of derelict and ownerless mine sites rehabilitated:</w:t>
      </w:r>
    </w:p>
    <w:p w:rsidR="00DC4878" w:rsidRPr="001E6CF3" w:rsidRDefault="00DC4878"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DMR has made good progress in terms of the rehabilitating of derelict and ownerless mine sites in terms of MTSF target. Site specific information has also been made available to Outcome 10 Coordinators.</w:t>
      </w:r>
    </w:p>
    <w:p w:rsidR="00DC4878" w:rsidRPr="001E6CF3" w:rsidRDefault="00DC4878"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Despite progress with 43 rehabilitated sites for 2015/16 financial year against the MTSF target of 50, South Africa has an estimated 6</w:t>
      </w:r>
      <w:r w:rsidR="00F120AD" w:rsidRPr="001E6CF3">
        <w:rPr>
          <w:rFonts w:ascii="Times New Roman" w:hAnsi="Times New Roman"/>
          <w:sz w:val="24"/>
          <w:szCs w:val="24"/>
        </w:rPr>
        <w:t>,</w:t>
      </w:r>
      <w:r w:rsidRPr="001E6CF3">
        <w:rPr>
          <w:rFonts w:ascii="Times New Roman" w:hAnsi="Times New Roman"/>
          <w:sz w:val="24"/>
          <w:szCs w:val="24"/>
        </w:rPr>
        <w:t>000 derelict and ownerless mine sites.</w:t>
      </w:r>
    </w:p>
    <w:p w:rsidR="00DC4878" w:rsidRPr="001E6CF3" w:rsidRDefault="00DC4878"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Number of mines monitored for non-compliance in accordance with water license conditions:</w:t>
      </w:r>
    </w:p>
    <w:p w:rsidR="00DC4878" w:rsidRPr="001E6CF3" w:rsidRDefault="00DC4878"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Significant progress has been made by DWS in monitoring of mines for non- compliance with the</w:t>
      </w:r>
      <w:r w:rsidR="003A26BF" w:rsidRPr="001E6CF3">
        <w:rPr>
          <w:rFonts w:ascii="Times New Roman" w:hAnsi="Times New Roman"/>
          <w:sz w:val="24"/>
          <w:szCs w:val="24"/>
        </w:rPr>
        <w:t>ir respective</w:t>
      </w:r>
      <w:r w:rsidRPr="001E6CF3">
        <w:rPr>
          <w:rFonts w:ascii="Times New Roman" w:hAnsi="Times New Roman"/>
          <w:sz w:val="24"/>
          <w:szCs w:val="24"/>
        </w:rPr>
        <w:t xml:space="preserve"> water license conditions however coordination and cooperation at operational level between DMR and DWS official needs </w:t>
      </w:r>
      <w:r w:rsidR="003A26BF" w:rsidRPr="001E6CF3">
        <w:rPr>
          <w:rFonts w:ascii="Times New Roman" w:hAnsi="Times New Roman"/>
          <w:sz w:val="24"/>
          <w:szCs w:val="24"/>
        </w:rPr>
        <w:t xml:space="preserve">to be </w:t>
      </w:r>
      <w:r w:rsidRPr="001E6CF3">
        <w:rPr>
          <w:rFonts w:ascii="Times New Roman" w:hAnsi="Times New Roman"/>
          <w:sz w:val="24"/>
          <w:szCs w:val="24"/>
        </w:rPr>
        <w:t>improve</w:t>
      </w:r>
      <w:r w:rsidR="003A26BF" w:rsidRPr="001E6CF3">
        <w:rPr>
          <w:rFonts w:ascii="Times New Roman" w:hAnsi="Times New Roman"/>
          <w:sz w:val="24"/>
          <w:szCs w:val="24"/>
        </w:rPr>
        <w:t>d</w:t>
      </w:r>
      <w:r w:rsidRPr="001E6CF3">
        <w:rPr>
          <w:rFonts w:ascii="Times New Roman" w:hAnsi="Times New Roman"/>
          <w:sz w:val="24"/>
          <w:szCs w:val="24"/>
        </w:rPr>
        <w:t>.</w:t>
      </w:r>
    </w:p>
    <w:p w:rsidR="00DC4878" w:rsidRPr="001E6CF3" w:rsidRDefault="00DC4878"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Despite progress slow implementation results in non-compliance; however DWS is in the process on fast tracking backlogs and existing applications.</w:t>
      </w:r>
    </w:p>
    <w:p w:rsidR="00F120AD" w:rsidRPr="001E6CF3" w:rsidRDefault="00F120AD" w:rsidP="00843CE2">
      <w:pPr>
        <w:keepNext/>
        <w:keepLines/>
        <w:tabs>
          <w:tab w:val="left" w:pos="426"/>
        </w:tabs>
        <w:spacing w:line="360" w:lineRule="auto"/>
        <w:ind w:right="-187"/>
        <w:jc w:val="both"/>
      </w:pPr>
    </w:p>
    <w:p w:rsidR="00DC4878" w:rsidRPr="001E6CF3" w:rsidRDefault="00DC4878" w:rsidP="00843CE2">
      <w:pPr>
        <w:keepNext/>
        <w:keepLines/>
        <w:tabs>
          <w:tab w:val="left" w:pos="426"/>
        </w:tabs>
        <w:spacing w:line="360" w:lineRule="auto"/>
        <w:ind w:right="-187"/>
        <w:jc w:val="both"/>
      </w:pPr>
      <w:r w:rsidRPr="001E6CF3">
        <w:t xml:space="preserve">The action and the </w:t>
      </w:r>
      <w:r w:rsidR="00F120AD" w:rsidRPr="001E6CF3">
        <w:t xml:space="preserve">progress </w:t>
      </w:r>
      <w:r w:rsidRPr="001E6CF3">
        <w:t>for 1</w:t>
      </w:r>
      <w:r w:rsidRPr="001E6CF3">
        <w:rPr>
          <w:vertAlign w:val="superscript"/>
        </w:rPr>
        <w:t>st</w:t>
      </w:r>
      <w:r w:rsidRPr="001E6CF3">
        <w:t xml:space="preserve"> </w:t>
      </w:r>
      <w:r w:rsidR="003A26BF" w:rsidRPr="001E6CF3">
        <w:t xml:space="preserve">to </w:t>
      </w:r>
      <w:r w:rsidRPr="001E6CF3">
        <w:t>-3</w:t>
      </w:r>
      <w:r w:rsidRPr="001E6CF3">
        <w:rPr>
          <w:vertAlign w:val="superscript"/>
        </w:rPr>
        <w:t>rd</w:t>
      </w:r>
      <w:r w:rsidRPr="001E6CF3">
        <w:t xml:space="preserve"> Quarter on the </w:t>
      </w:r>
      <w:r w:rsidR="00F120AD" w:rsidRPr="001E6CF3">
        <w:t xml:space="preserve">performance assessment of </w:t>
      </w:r>
      <w:r w:rsidRPr="001E6CF3">
        <w:t>Outcome 10(2)</w:t>
      </w:r>
      <w:r w:rsidR="00F120AD" w:rsidRPr="001E6CF3">
        <w:t xml:space="preserve"> reported that:</w:t>
      </w:r>
    </w:p>
    <w:p w:rsidR="00DC4878" w:rsidRPr="001E6CF3" w:rsidRDefault="00F120AD"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The integration </w:t>
      </w:r>
      <w:r w:rsidR="00DC4878" w:rsidRPr="001E6CF3">
        <w:rPr>
          <w:rFonts w:ascii="Times New Roman" w:hAnsi="Times New Roman"/>
          <w:sz w:val="24"/>
          <w:szCs w:val="24"/>
        </w:rPr>
        <w:t>of ecological infrastructure considerations into land-use planning and decision making about new developments</w:t>
      </w:r>
      <w:r w:rsidRPr="001E6CF3">
        <w:rPr>
          <w:rFonts w:ascii="Times New Roman" w:hAnsi="Times New Roman"/>
          <w:sz w:val="24"/>
          <w:szCs w:val="24"/>
        </w:rPr>
        <w:t xml:space="preserve"> is intended. However:</w:t>
      </w:r>
    </w:p>
    <w:p w:rsidR="00DC4878" w:rsidRPr="001E6CF3" w:rsidRDefault="00F120AD"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As the</w:t>
      </w:r>
      <w:r w:rsidR="00B343D3" w:rsidRPr="001E6CF3">
        <w:rPr>
          <w:rFonts w:ascii="Times New Roman" w:hAnsi="Times New Roman"/>
          <w:sz w:val="24"/>
          <w:szCs w:val="24"/>
        </w:rPr>
        <w:t xml:space="preserve"> Competent Authority</w:t>
      </w:r>
      <w:r w:rsidRPr="001E6CF3">
        <w:rPr>
          <w:rFonts w:ascii="Times New Roman" w:hAnsi="Times New Roman"/>
          <w:sz w:val="24"/>
          <w:szCs w:val="24"/>
        </w:rPr>
        <w:t>, the DMR</w:t>
      </w:r>
      <w:r w:rsidR="00B343D3" w:rsidRPr="001E6CF3">
        <w:rPr>
          <w:rFonts w:ascii="Times New Roman" w:hAnsi="Times New Roman"/>
          <w:sz w:val="24"/>
          <w:szCs w:val="24"/>
        </w:rPr>
        <w:t xml:space="preserve"> has </w:t>
      </w:r>
      <w:r w:rsidR="006F4AB4" w:rsidRPr="001E6CF3">
        <w:rPr>
          <w:rFonts w:ascii="Times New Roman" w:hAnsi="Times New Roman"/>
          <w:sz w:val="24"/>
          <w:szCs w:val="24"/>
        </w:rPr>
        <w:t>not yet</w:t>
      </w:r>
      <w:r w:rsidRPr="001E6CF3">
        <w:rPr>
          <w:rFonts w:ascii="Times New Roman" w:hAnsi="Times New Roman"/>
          <w:sz w:val="24"/>
          <w:szCs w:val="24"/>
        </w:rPr>
        <w:t xml:space="preserve"> </w:t>
      </w:r>
      <w:r w:rsidR="00B343D3" w:rsidRPr="001E6CF3">
        <w:rPr>
          <w:rFonts w:ascii="Times New Roman" w:hAnsi="Times New Roman"/>
          <w:sz w:val="24"/>
          <w:szCs w:val="24"/>
        </w:rPr>
        <w:t xml:space="preserve">commenced reporting </w:t>
      </w:r>
      <w:r w:rsidR="003A26BF" w:rsidRPr="001E6CF3">
        <w:rPr>
          <w:rFonts w:ascii="Times New Roman" w:hAnsi="Times New Roman"/>
          <w:sz w:val="24"/>
          <w:szCs w:val="24"/>
        </w:rPr>
        <w:t xml:space="preserve">on </w:t>
      </w:r>
      <w:r w:rsidR="00B343D3" w:rsidRPr="001E6CF3">
        <w:rPr>
          <w:rFonts w:ascii="Times New Roman" w:hAnsi="Times New Roman"/>
          <w:sz w:val="24"/>
          <w:szCs w:val="24"/>
        </w:rPr>
        <w:t>the percentage of Environmental Impact Assessment Applications (EIAs) they are able to finalise within the legislated timeframes against the target of 98% in the MTSF, in the National Environmental Assessment System (NEAS).</w:t>
      </w:r>
    </w:p>
    <w:p w:rsidR="00B343D3" w:rsidRPr="001E6CF3" w:rsidRDefault="00B343D3" w:rsidP="00843CE2">
      <w:pPr>
        <w:pStyle w:val="ListParagraph"/>
        <w:keepNext/>
        <w:keepLines/>
        <w:numPr>
          <w:ilvl w:val="0"/>
          <w:numId w:val="7"/>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As a result the sector is unable to determine the efficiency of the </w:t>
      </w:r>
      <w:r w:rsidR="00F120AD" w:rsidRPr="001E6CF3">
        <w:rPr>
          <w:rFonts w:ascii="Times New Roman" w:hAnsi="Times New Roman"/>
          <w:sz w:val="24"/>
          <w:szCs w:val="24"/>
        </w:rPr>
        <w:t xml:space="preserve">Department </w:t>
      </w:r>
      <w:r w:rsidRPr="001E6CF3">
        <w:rPr>
          <w:rFonts w:ascii="Times New Roman" w:hAnsi="Times New Roman"/>
          <w:sz w:val="24"/>
          <w:szCs w:val="24"/>
        </w:rPr>
        <w:t>in carrying out this legislated mandate.</w:t>
      </w:r>
    </w:p>
    <w:p w:rsidR="00B343D3" w:rsidRPr="001E6CF3" w:rsidRDefault="00B343D3" w:rsidP="00843CE2">
      <w:pPr>
        <w:keepNext/>
        <w:keepLines/>
        <w:tabs>
          <w:tab w:val="left" w:pos="426"/>
        </w:tabs>
        <w:spacing w:line="360" w:lineRule="auto"/>
        <w:ind w:right="-187"/>
      </w:pPr>
    </w:p>
    <w:p w:rsidR="00B343D3" w:rsidRPr="001E6CF3" w:rsidRDefault="00B343D3" w:rsidP="00843CE2">
      <w:pPr>
        <w:keepNext/>
        <w:keepLines/>
        <w:tabs>
          <w:tab w:val="left" w:pos="426"/>
        </w:tabs>
        <w:spacing w:line="360" w:lineRule="auto"/>
        <w:ind w:right="-187"/>
      </w:pPr>
      <w:r w:rsidRPr="001E6CF3">
        <w:t>In conclusion Mr Dicks recommended the following:</w:t>
      </w:r>
    </w:p>
    <w:p w:rsidR="00B343D3" w:rsidRPr="001E6CF3" w:rsidRDefault="00B343D3" w:rsidP="00843CE2">
      <w:pPr>
        <w:keepNext/>
        <w:keepLines/>
        <w:tabs>
          <w:tab w:val="left" w:pos="426"/>
        </w:tabs>
        <w:spacing w:line="360" w:lineRule="auto"/>
        <w:ind w:right="-187"/>
      </w:pPr>
    </w:p>
    <w:p w:rsidR="00B343D3" w:rsidRPr="001E6CF3" w:rsidRDefault="00B343D3"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Finalisation of the </w:t>
      </w:r>
      <w:r w:rsidR="00F120AD" w:rsidRPr="001E6CF3">
        <w:rPr>
          <w:rFonts w:ascii="Times New Roman" w:hAnsi="Times New Roman"/>
          <w:sz w:val="24"/>
          <w:szCs w:val="24"/>
        </w:rPr>
        <w:t xml:space="preserve">MPRDA </w:t>
      </w:r>
      <w:r w:rsidRPr="001E6CF3">
        <w:rPr>
          <w:rFonts w:ascii="Times New Roman" w:hAnsi="Times New Roman"/>
          <w:sz w:val="24"/>
          <w:szCs w:val="24"/>
        </w:rPr>
        <w:t xml:space="preserve">must be prioritised to ensure policy certainty </w:t>
      </w:r>
      <w:r w:rsidR="0064786B" w:rsidRPr="001E6CF3">
        <w:rPr>
          <w:rFonts w:ascii="Times New Roman" w:hAnsi="Times New Roman"/>
          <w:sz w:val="24"/>
          <w:szCs w:val="24"/>
        </w:rPr>
        <w:t>and</w:t>
      </w:r>
      <w:r w:rsidRPr="001E6CF3">
        <w:rPr>
          <w:rFonts w:ascii="Times New Roman" w:hAnsi="Times New Roman"/>
          <w:sz w:val="24"/>
          <w:szCs w:val="24"/>
        </w:rPr>
        <w:t xml:space="preserve"> a stable environment in the mining sector is created.</w:t>
      </w:r>
    </w:p>
    <w:p w:rsidR="00B343D3" w:rsidRPr="001E6CF3" w:rsidRDefault="00B343D3"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Given the current crisis in the mining sector, the DPME immediate interventions </w:t>
      </w:r>
      <w:r w:rsidR="0012496A" w:rsidRPr="001E6CF3">
        <w:rPr>
          <w:rFonts w:ascii="Times New Roman" w:hAnsi="Times New Roman"/>
          <w:sz w:val="24"/>
          <w:szCs w:val="24"/>
        </w:rPr>
        <w:t>must</w:t>
      </w:r>
      <w:r w:rsidRPr="001E6CF3">
        <w:rPr>
          <w:rFonts w:ascii="Times New Roman" w:hAnsi="Times New Roman"/>
          <w:sz w:val="24"/>
          <w:szCs w:val="24"/>
        </w:rPr>
        <w:t xml:space="preserve"> be to fast-track job saving and distressed company interventions.</w:t>
      </w:r>
    </w:p>
    <w:p w:rsidR="00B343D3" w:rsidRPr="001E6CF3" w:rsidRDefault="00B343D3"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Coal plays a vital role in South African’s energy economy as it accounts to 93% of electricity generation, DMR should therefore fast </w:t>
      </w:r>
      <w:r w:rsidR="00F120AD" w:rsidRPr="001E6CF3">
        <w:rPr>
          <w:rFonts w:ascii="Times New Roman" w:hAnsi="Times New Roman"/>
          <w:sz w:val="24"/>
          <w:szCs w:val="24"/>
        </w:rPr>
        <w:t xml:space="preserve">track </w:t>
      </w:r>
      <w:r w:rsidRPr="001E6CF3">
        <w:rPr>
          <w:rFonts w:ascii="Times New Roman" w:hAnsi="Times New Roman"/>
          <w:sz w:val="24"/>
          <w:szCs w:val="24"/>
        </w:rPr>
        <w:t xml:space="preserve">the development of </w:t>
      </w:r>
      <w:r w:rsidR="00F120AD" w:rsidRPr="001E6CF3">
        <w:rPr>
          <w:rFonts w:ascii="Times New Roman" w:hAnsi="Times New Roman"/>
          <w:sz w:val="24"/>
          <w:szCs w:val="24"/>
        </w:rPr>
        <w:t xml:space="preserve">the </w:t>
      </w:r>
      <w:r w:rsidRPr="001E6CF3">
        <w:rPr>
          <w:rFonts w:ascii="Times New Roman" w:hAnsi="Times New Roman"/>
          <w:sz w:val="24"/>
          <w:szCs w:val="24"/>
        </w:rPr>
        <w:t>National Coal Policy for approval by Cabinet in order to improve coal investment.</w:t>
      </w:r>
      <w:r w:rsidR="00F120AD" w:rsidRPr="001E6CF3">
        <w:rPr>
          <w:rFonts w:ascii="Times New Roman" w:hAnsi="Times New Roman"/>
          <w:sz w:val="24"/>
          <w:szCs w:val="24"/>
        </w:rPr>
        <w:t xml:space="preserve"> It has not yet met its commitments in this regard.</w:t>
      </w:r>
    </w:p>
    <w:p w:rsidR="00B343D3" w:rsidRPr="001E6CF3" w:rsidRDefault="00B343D3"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Despite</w:t>
      </w:r>
      <w:r w:rsidR="0012496A" w:rsidRPr="001E6CF3">
        <w:rPr>
          <w:rFonts w:ascii="Times New Roman" w:hAnsi="Times New Roman"/>
          <w:sz w:val="24"/>
          <w:szCs w:val="24"/>
        </w:rPr>
        <w:t xml:space="preserve"> excellent progress on meeting the required target</w:t>
      </w:r>
      <w:r w:rsidR="00F120AD" w:rsidRPr="001E6CF3">
        <w:rPr>
          <w:rFonts w:ascii="Times New Roman" w:hAnsi="Times New Roman"/>
          <w:sz w:val="24"/>
          <w:szCs w:val="24"/>
        </w:rPr>
        <w:t>s</w:t>
      </w:r>
      <w:r w:rsidR="0012496A" w:rsidRPr="001E6CF3">
        <w:rPr>
          <w:rFonts w:ascii="Times New Roman" w:hAnsi="Times New Roman"/>
          <w:sz w:val="24"/>
          <w:szCs w:val="24"/>
        </w:rPr>
        <w:t xml:space="preserve"> for </w:t>
      </w:r>
      <w:r w:rsidR="00F120AD" w:rsidRPr="001E6CF3">
        <w:rPr>
          <w:rFonts w:ascii="Times New Roman" w:hAnsi="Times New Roman"/>
          <w:sz w:val="24"/>
          <w:szCs w:val="24"/>
        </w:rPr>
        <w:t xml:space="preserve">the </w:t>
      </w:r>
      <w:r w:rsidR="0012496A" w:rsidRPr="001E6CF3">
        <w:rPr>
          <w:rFonts w:ascii="Times New Roman" w:hAnsi="Times New Roman"/>
          <w:sz w:val="24"/>
          <w:szCs w:val="24"/>
        </w:rPr>
        <w:t xml:space="preserve">rehabilitation of ownerless and derelict mine sites, a review of the </w:t>
      </w:r>
      <w:r w:rsidR="00F120AD" w:rsidRPr="001E6CF3">
        <w:rPr>
          <w:rFonts w:ascii="Times New Roman" w:hAnsi="Times New Roman"/>
          <w:sz w:val="24"/>
          <w:szCs w:val="24"/>
        </w:rPr>
        <w:t xml:space="preserve">adequacy of the </w:t>
      </w:r>
      <w:r w:rsidR="0012496A" w:rsidRPr="001E6CF3">
        <w:rPr>
          <w:rFonts w:ascii="Times New Roman" w:hAnsi="Times New Roman"/>
          <w:sz w:val="24"/>
          <w:szCs w:val="24"/>
        </w:rPr>
        <w:t>MTSF target should be considered under the current MTSF review process.</w:t>
      </w:r>
      <w:r w:rsidR="00F120AD" w:rsidRPr="001E6CF3">
        <w:rPr>
          <w:rFonts w:ascii="Times New Roman" w:hAnsi="Times New Roman"/>
          <w:sz w:val="24"/>
          <w:szCs w:val="24"/>
        </w:rPr>
        <w:t xml:space="preserve"> Rehabilitating 6 000 mines at a rate of 50 per year will take 120 years!</w:t>
      </w:r>
    </w:p>
    <w:p w:rsidR="0012496A" w:rsidRPr="001E6CF3" w:rsidRDefault="0012496A"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 xml:space="preserve">Immediate corrective action </w:t>
      </w:r>
      <w:r w:rsidR="00F120AD" w:rsidRPr="001E6CF3">
        <w:rPr>
          <w:rFonts w:ascii="Times New Roman" w:hAnsi="Times New Roman"/>
          <w:sz w:val="24"/>
          <w:szCs w:val="24"/>
        </w:rPr>
        <w:t xml:space="preserve">should be taken to </w:t>
      </w:r>
      <w:r w:rsidRPr="001E6CF3">
        <w:rPr>
          <w:rFonts w:ascii="Times New Roman" w:hAnsi="Times New Roman"/>
          <w:sz w:val="24"/>
          <w:szCs w:val="24"/>
        </w:rPr>
        <w:t xml:space="preserve">ensure </w:t>
      </w:r>
      <w:r w:rsidR="00F120AD" w:rsidRPr="001E6CF3">
        <w:rPr>
          <w:rFonts w:ascii="Times New Roman" w:hAnsi="Times New Roman"/>
          <w:sz w:val="24"/>
          <w:szCs w:val="24"/>
        </w:rPr>
        <w:t xml:space="preserve">the </w:t>
      </w:r>
      <w:r w:rsidRPr="001E6CF3">
        <w:rPr>
          <w:rFonts w:ascii="Times New Roman" w:hAnsi="Times New Roman"/>
          <w:sz w:val="24"/>
          <w:szCs w:val="24"/>
        </w:rPr>
        <w:t>DMR report</w:t>
      </w:r>
      <w:r w:rsidR="00F120AD" w:rsidRPr="001E6CF3">
        <w:rPr>
          <w:rFonts w:ascii="Times New Roman" w:hAnsi="Times New Roman"/>
          <w:sz w:val="24"/>
          <w:szCs w:val="24"/>
        </w:rPr>
        <w:t>s on</w:t>
      </w:r>
      <w:r w:rsidRPr="001E6CF3">
        <w:rPr>
          <w:rFonts w:ascii="Times New Roman" w:hAnsi="Times New Roman"/>
          <w:sz w:val="24"/>
          <w:szCs w:val="24"/>
        </w:rPr>
        <w:t xml:space="preserve"> the percentage of Environmental Impact Assessment Applications (EIAs) they are able to finalise with the legislated timeframes in the MTSF in the National Environmental Assessment System (NEAS) and </w:t>
      </w:r>
    </w:p>
    <w:p w:rsidR="0012496A" w:rsidRPr="001E6CF3" w:rsidRDefault="0012496A" w:rsidP="00843CE2">
      <w:pPr>
        <w:pStyle w:val="ListParagraph"/>
        <w:keepNext/>
        <w:keepLines/>
        <w:numPr>
          <w:ilvl w:val="0"/>
          <w:numId w:val="9"/>
        </w:numPr>
        <w:tabs>
          <w:tab w:val="left" w:pos="426"/>
        </w:tabs>
        <w:spacing w:line="360" w:lineRule="auto"/>
        <w:ind w:right="-187"/>
        <w:rPr>
          <w:rFonts w:ascii="Times New Roman" w:hAnsi="Times New Roman"/>
          <w:sz w:val="24"/>
          <w:szCs w:val="24"/>
        </w:rPr>
      </w:pPr>
      <w:r w:rsidRPr="001E6CF3">
        <w:rPr>
          <w:rFonts w:ascii="Times New Roman" w:hAnsi="Times New Roman"/>
          <w:sz w:val="24"/>
          <w:szCs w:val="24"/>
        </w:rPr>
        <w:t>Better cooperation at operational level bet</w:t>
      </w:r>
      <w:r w:rsidR="0064786B" w:rsidRPr="001E6CF3">
        <w:rPr>
          <w:rFonts w:ascii="Times New Roman" w:hAnsi="Times New Roman"/>
          <w:sz w:val="24"/>
          <w:szCs w:val="24"/>
        </w:rPr>
        <w:t>ween DWS and DMR should be establish</w:t>
      </w:r>
      <w:r w:rsidRPr="001E6CF3">
        <w:rPr>
          <w:rFonts w:ascii="Times New Roman" w:hAnsi="Times New Roman"/>
          <w:sz w:val="24"/>
          <w:szCs w:val="24"/>
        </w:rPr>
        <w:t xml:space="preserve">ed to deal with issues of </w:t>
      </w:r>
      <w:r w:rsidR="0064786B" w:rsidRPr="001E6CF3">
        <w:rPr>
          <w:rFonts w:ascii="Times New Roman" w:hAnsi="Times New Roman"/>
          <w:sz w:val="24"/>
          <w:szCs w:val="24"/>
        </w:rPr>
        <w:t>noncompliance</w:t>
      </w:r>
      <w:r w:rsidRPr="001E6CF3">
        <w:rPr>
          <w:rFonts w:ascii="Times New Roman" w:hAnsi="Times New Roman"/>
          <w:sz w:val="24"/>
          <w:szCs w:val="24"/>
        </w:rPr>
        <w:t xml:space="preserve"> by mines.</w:t>
      </w:r>
    </w:p>
    <w:p w:rsidR="00DC4878" w:rsidRPr="001E6CF3" w:rsidRDefault="00DC4878" w:rsidP="00843CE2">
      <w:pPr>
        <w:keepNext/>
        <w:keepLines/>
        <w:tabs>
          <w:tab w:val="left" w:pos="426"/>
        </w:tabs>
        <w:spacing w:line="360" w:lineRule="auto"/>
        <w:ind w:right="-187"/>
      </w:pPr>
    </w:p>
    <w:p w:rsidR="00ED111A" w:rsidRPr="001E6CF3" w:rsidRDefault="00730872" w:rsidP="00843CE2">
      <w:pPr>
        <w:keepNext/>
        <w:keepLines/>
        <w:tabs>
          <w:tab w:val="left" w:pos="426"/>
        </w:tabs>
        <w:spacing w:line="360" w:lineRule="auto"/>
        <w:ind w:right="-187"/>
        <w:jc w:val="both"/>
        <w:rPr>
          <w:b/>
        </w:rPr>
      </w:pPr>
      <w:r>
        <w:rPr>
          <w:b/>
        </w:rPr>
        <w:t>7</w:t>
      </w:r>
      <w:r w:rsidR="005F3E02" w:rsidRPr="001E6CF3">
        <w:rPr>
          <w:b/>
        </w:rPr>
        <w:t>.</w:t>
      </w:r>
      <w:r w:rsidR="005F3E02" w:rsidRPr="001E6CF3">
        <w:rPr>
          <w:b/>
        </w:rPr>
        <w:tab/>
      </w:r>
      <w:r w:rsidR="00ED111A" w:rsidRPr="001E6CF3">
        <w:rPr>
          <w:b/>
        </w:rPr>
        <w:t xml:space="preserve">Briefing by </w:t>
      </w:r>
      <w:r w:rsidR="002E029B" w:rsidRPr="001E6CF3">
        <w:rPr>
          <w:b/>
        </w:rPr>
        <w:t>Mine Health and Safety Council</w:t>
      </w:r>
      <w:r w:rsidR="003C0377" w:rsidRPr="001E6CF3">
        <w:rPr>
          <w:b/>
        </w:rPr>
        <w:t xml:space="preserve"> (MHSC)</w:t>
      </w:r>
    </w:p>
    <w:p w:rsidR="009708A9" w:rsidRPr="001E6CF3" w:rsidRDefault="009708A9" w:rsidP="00843CE2">
      <w:pPr>
        <w:keepNext/>
        <w:keepLines/>
        <w:spacing w:line="360" w:lineRule="auto"/>
        <w:ind w:right="-187"/>
        <w:jc w:val="both"/>
        <w:rPr>
          <w:b/>
        </w:rPr>
      </w:pPr>
    </w:p>
    <w:p w:rsidR="009E3DCF" w:rsidRPr="001E6CF3" w:rsidRDefault="0073059C" w:rsidP="00843CE2">
      <w:pPr>
        <w:autoSpaceDN w:val="0"/>
        <w:spacing w:after="200" w:line="360" w:lineRule="auto"/>
        <w:jc w:val="both"/>
        <w:rPr>
          <w:b/>
          <w:color w:val="000000"/>
          <w:spacing w:val="6"/>
          <w:lang w:val="en-GB" w:eastAsia="en-GB"/>
        </w:rPr>
      </w:pPr>
      <w:r w:rsidRPr="001E6CF3">
        <w:rPr>
          <w:color w:val="000000"/>
          <w:spacing w:val="6"/>
          <w:lang w:val="en-GB" w:eastAsia="en-GB"/>
        </w:rPr>
        <w:t>Mr T Dube</w:t>
      </w:r>
      <w:r w:rsidR="006649D1" w:rsidRPr="001E6CF3">
        <w:rPr>
          <w:color w:val="000000"/>
          <w:spacing w:val="6"/>
          <w:lang w:val="en-GB" w:eastAsia="en-GB"/>
        </w:rPr>
        <w:t xml:space="preserve">, the CEO </w:t>
      </w:r>
      <w:r w:rsidR="00E21FA9" w:rsidRPr="001E6CF3">
        <w:rPr>
          <w:color w:val="000000"/>
          <w:spacing w:val="6"/>
          <w:lang w:val="en-GB" w:eastAsia="en-GB"/>
        </w:rPr>
        <w:t xml:space="preserve">spoke to </w:t>
      </w:r>
      <w:r w:rsidR="005F713F" w:rsidRPr="001E6CF3">
        <w:rPr>
          <w:color w:val="000000"/>
          <w:spacing w:val="6"/>
          <w:lang w:val="en-GB" w:eastAsia="en-GB"/>
        </w:rPr>
        <w:t xml:space="preserve">the history of MHSC and </w:t>
      </w:r>
      <w:r w:rsidR="00E21FA9" w:rsidRPr="001E6CF3">
        <w:rPr>
          <w:color w:val="000000"/>
          <w:spacing w:val="6"/>
          <w:lang w:val="en-GB" w:eastAsia="en-GB"/>
        </w:rPr>
        <w:t xml:space="preserve">the </w:t>
      </w:r>
      <w:r w:rsidR="005F713F" w:rsidRPr="001E6CF3">
        <w:rPr>
          <w:color w:val="000000"/>
          <w:spacing w:val="6"/>
          <w:lang w:val="en-GB" w:eastAsia="en-GB"/>
        </w:rPr>
        <w:t xml:space="preserve">Journey to Zero Harm, </w:t>
      </w:r>
      <w:r w:rsidR="00E21FA9" w:rsidRPr="001E6CF3">
        <w:rPr>
          <w:color w:val="000000"/>
          <w:spacing w:val="6"/>
          <w:lang w:val="en-GB" w:eastAsia="en-GB"/>
        </w:rPr>
        <w:t xml:space="preserve">the </w:t>
      </w:r>
      <w:r w:rsidR="005F713F" w:rsidRPr="001E6CF3">
        <w:rPr>
          <w:color w:val="000000"/>
          <w:spacing w:val="6"/>
          <w:lang w:val="en-GB" w:eastAsia="en-GB"/>
        </w:rPr>
        <w:t xml:space="preserve">MHSC Mandate, </w:t>
      </w:r>
      <w:r w:rsidR="00E21FA9" w:rsidRPr="001E6CF3">
        <w:rPr>
          <w:color w:val="000000"/>
          <w:spacing w:val="6"/>
          <w:lang w:val="en-GB" w:eastAsia="en-GB"/>
        </w:rPr>
        <w:t xml:space="preserve">its </w:t>
      </w:r>
      <w:r w:rsidR="005F713F" w:rsidRPr="001E6CF3">
        <w:rPr>
          <w:color w:val="000000"/>
          <w:spacing w:val="6"/>
          <w:lang w:val="en-GB" w:eastAsia="en-GB"/>
        </w:rPr>
        <w:t xml:space="preserve">Vision, Mission and Goals, </w:t>
      </w:r>
      <w:r w:rsidR="00E21FA9" w:rsidRPr="001E6CF3">
        <w:rPr>
          <w:color w:val="000000"/>
          <w:spacing w:val="6"/>
          <w:lang w:val="en-GB" w:eastAsia="en-GB"/>
        </w:rPr>
        <w:t xml:space="preserve">the </w:t>
      </w:r>
      <w:r w:rsidR="005F713F" w:rsidRPr="001E6CF3">
        <w:rPr>
          <w:color w:val="000000"/>
          <w:spacing w:val="6"/>
          <w:lang w:val="en-GB" w:eastAsia="en-GB"/>
        </w:rPr>
        <w:t xml:space="preserve">MHSC Structure, </w:t>
      </w:r>
      <w:r w:rsidR="00E21FA9" w:rsidRPr="001E6CF3">
        <w:rPr>
          <w:color w:val="000000"/>
          <w:spacing w:val="6"/>
          <w:lang w:val="en-GB" w:eastAsia="en-GB"/>
        </w:rPr>
        <w:t xml:space="preserve">the </w:t>
      </w:r>
      <w:r w:rsidR="005F713F" w:rsidRPr="001E6CF3">
        <w:rPr>
          <w:color w:val="000000"/>
          <w:spacing w:val="6"/>
          <w:lang w:val="en-GB" w:eastAsia="en-GB"/>
        </w:rPr>
        <w:t>MHSC Strategic Objective</w:t>
      </w:r>
      <w:r w:rsidR="00E21FA9" w:rsidRPr="001E6CF3">
        <w:rPr>
          <w:color w:val="000000"/>
          <w:spacing w:val="6"/>
          <w:lang w:val="en-GB" w:eastAsia="en-GB"/>
        </w:rPr>
        <w:t xml:space="preserve">s the progress made on the implementation </w:t>
      </w:r>
      <w:r w:rsidR="005F713F" w:rsidRPr="001E6CF3">
        <w:rPr>
          <w:color w:val="000000"/>
          <w:spacing w:val="6"/>
          <w:lang w:val="en-GB" w:eastAsia="en-GB"/>
        </w:rPr>
        <w:t>of 2014 Mine Health and Safety Summit Milestones an</w:t>
      </w:r>
      <w:r w:rsidR="00E21FA9" w:rsidRPr="001E6CF3">
        <w:rPr>
          <w:color w:val="000000"/>
          <w:spacing w:val="6"/>
          <w:lang w:val="en-GB" w:eastAsia="en-GB"/>
        </w:rPr>
        <w:t>d</w:t>
      </w:r>
      <w:r w:rsidR="005F713F" w:rsidRPr="001E6CF3">
        <w:rPr>
          <w:color w:val="000000"/>
          <w:spacing w:val="6"/>
          <w:lang w:val="en-GB" w:eastAsia="en-GB"/>
        </w:rPr>
        <w:t xml:space="preserve"> Agreement</w:t>
      </w:r>
      <w:r w:rsidR="00E21FA9" w:rsidRPr="001E6CF3">
        <w:rPr>
          <w:color w:val="000000"/>
          <w:spacing w:val="6"/>
          <w:lang w:val="en-GB" w:eastAsia="en-GB"/>
        </w:rPr>
        <w:t xml:space="preserve"> and the </w:t>
      </w:r>
      <w:r w:rsidR="005F713F" w:rsidRPr="001E6CF3">
        <w:rPr>
          <w:color w:val="000000"/>
          <w:spacing w:val="6"/>
          <w:lang w:val="en-GB" w:eastAsia="en-GB"/>
        </w:rPr>
        <w:t>MHSC Project Portfolio</w:t>
      </w:r>
      <w:r w:rsidR="005F713F" w:rsidRPr="001E6CF3">
        <w:rPr>
          <w:b/>
          <w:color w:val="000000"/>
          <w:spacing w:val="6"/>
          <w:lang w:val="en-GB" w:eastAsia="en-GB"/>
        </w:rPr>
        <w:t xml:space="preserve">. </w:t>
      </w:r>
    </w:p>
    <w:p w:rsidR="006649D1" w:rsidRPr="001E6CF3" w:rsidRDefault="00E21FA9" w:rsidP="00843CE2">
      <w:pPr>
        <w:autoSpaceDN w:val="0"/>
        <w:spacing w:after="200" w:line="360" w:lineRule="auto"/>
        <w:jc w:val="both"/>
        <w:rPr>
          <w:color w:val="000000"/>
          <w:spacing w:val="6"/>
          <w:lang w:val="en-GB" w:eastAsia="en-GB"/>
        </w:rPr>
      </w:pPr>
      <w:r w:rsidRPr="001E6CF3">
        <w:rPr>
          <w:color w:val="000000"/>
          <w:spacing w:val="6"/>
          <w:lang w:val="en-GB" w:eastAsia="en-GB"/>
        </w:rPr>
        <w:t>Mr</w:t>
      </w:r>
      <w:r w:rsidR="006649D1" w:rsidRPr="001E6CF3">
        <w:rPr>
          <w:color w:val="000000"/>
          <w:spacing w:val="6"/>
          <w:lang w:val="en-GB" w:eastAsia="en-GB"/>
        </w:rPr>
        <w:t xml:space="preserve"> Dube reported that the milestones were developed collaboratively between the stakeholders agreed upon by MHSC principals. The spirit of collaboration should continue to prevail in implementing all initiatives of the summit milestones. Each milestone has clear initiatives action plans and implementation of critical activities such as adoption of leading practices and implementation of research outcomes. Clear timeframes, roles and responsibilities for implementation of summit action plans were outlined. It was indicated that every mining company must have a target of ZERO fatalities and target to eliminate fatalities by December 2020. Targets are for 2016, a 20% reduction in serious injuries per year and from January 2017 a 20% reduction in lost time Injuries per year. </w:t>
      </w:r>
    </w:p>
    <w:p w:rsidR="00085592"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With regards to elimination of noise induced hearing loss, it was indicated that by December 2024, the total operational or process noise emitted by any equipment must not exceed a milestone sound pressure level of 107 </w:t>
      </w:r>
      <w:r w:rsidR="00F3564E" w:rsidRPr="001E6CF3">
        <w:rPr>
          <w:color w:val="000000"/>
          <w:spacing w:val="6"/>
          <w:lang w:val="en-GB" w:eastAsia="en-GB"/>
        </w:rPr>
        <w:t>dB (</w:t>
      </w:r>
      <w:r w:rsidRPr="001E6CF3">
        <w:rPr>
          <w:color w:val="000000"/>
          <w:spacing w:val="6"/>
          <w:lang w:val="en-GB" w:eastAsia="en-GB"/>
        </w:rPr>
        <w:t xml:space="preserve">A). With regards to individuals, it was indicated that by December 2016, no employee’s Standard Threshold Shift (STS) will exceed 25dB </w:t>
      </w:r>
      <w:r w:rsidR="0050021F" w:rsidRPr="001E6CF3">
        <w:rPr>
          <w:color w:val="000000"/>
          <w:spacing w:val="6"/>
          <w:lang w:val="en-GB" w:eastAsia="en-GB"/>
        </w:rPr>
        <w:t>from</w:t>
      </w:r>
      <w:r w:rsidRPr="001E6CF3">
        <w:rPr>
          <w:color w:val="000000"/>
          <w:spacing w:val="6"/>
          <w:lang w:val="en-GB" w:eastAsia="en-GB"/>
        </w:rPr>
        <w:t xml:space="preserve"> the baseline when averaged at 2000, 3000 and 4000 Hz in one or both ears. </w:t>
      </w:r>
      <w:r w:rsidR="009E3DCF" w:rsidRPr="001E6CF3">
        <w:rPr>
          <w:color w:val="000000"/>
          <w:spacing w:val="6"/>
          <w:lang w:val="en-GB" w:eastAsia="en-GB"/>
        </w:rPr>
        <w:t>With regards to elimination of lung diseases, by 2024, 95% of exposure measurement results will be below milestones level of coal dust crystalline silica and platinum respira</w:t>
      </w:r>
      <w:r w:rsidR="00F3564E" w:rsidRPr="001E6CF3">
        <w:rPr>
          <w:color w:val="000000"/>
          <w:spacing w:val="6"/>
          <w:lang w:val="en-GB" w:eastAsia="en-GB"/>
        </w:rPr>
        <w:t>tory</w:t>
      </w:r>
      <w:r w:rsidR="009E3DCF" w:rsidRPr="001E6CF3">
        <w:rPr>
          <w:color w:val="000000"/>
          <w:spacing w:val="6"/>
          <w:lang w:val="en-GB" w:eastAsia="en-GB"/>
        </w:rPr>
        <w:t xml:space="preserve"> particulate dust. Using presents diagnostic techniques, no new cases of occupational diseases: silicosis and pneumoconiosis</w:t>
      </w:r>
      <w:r w:rsidR="00085592" w:rsidRPr="001E6CF3">
        <w:rPr>
          <w:color w:val="000000"/>
          <w:spacing w:val="6"/>
          <w:lang w:val="en-GB" w:eastAsia="en-GB"/>
        </w:rPr>
        <w:t>. Mr Dube reported that MHSC is facilitating the Indaba on the rehabilitation of mine workers injured on du</w:t>
      </w:r>
      <w:r w:rsidR="00F3564E" w:rsidRPr="001E6CF3">
        <w:rPr>
          <w:color w:val="000000"/>
          <w:spacing w:val="6"/>
          <w:lang w:val="en-GB" w:eastAsia="en-GB"/>
        </w:rPr>
        <w:t>ty</w:t>
      </w:r>
      <w:r w:rsidR="00085592" w:rsidRPr="001E6CF3">
        <w:rPr>
          <w:color w:val="000000"/>
          <w:spacing w:val="6"/>
          <w:lang w:val="en-GB" w:eastAsia="en-GB"/>
        </w:rPr>
        <w:t xml:space="preserve"> and integration and simplifying of compensation systems. </w:t>
      </w:r>
    </w:p>
    <w:p w:rsidR="006649D1"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With regards to reduction and prevention of TB, HIV and AIDS infections, it was reported that by December 2024, the TB incidence rate should be below the National TB incidence rate and 100% of employees should be offered HIV Counselling and Testing (HCT) annually with all eligible employees linked to an Antiretroviral Therapy treatment (ART) programme as per the National Strategic Plan (NSP).</w:t>
      </w:r>
    </w:p>
    <w:p w:rsidR="00F72A39"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With regards to culture transformation framework (CTF), it was indicated that by December 2020 there will be 100% implementation of </w:t>
      </w:r>
      <w:r w:rsidR="006F4AB4" w:rsidRPr="001E6CF3">
        <w:rPr>
          <w:color w:val="000000"/>
          <w:spacing w:val="6"/>
          <w:lang w:val="en-GB" w:eastAsia="en-GB"/>
        </w:rPr>
        <w:t>six pillars</w:t>
      </w:r>
      <w:r w:rsidR="00F72A39" w:rsidRPr="001E6CF3">
        <w:rPr>
          <w:color w:val="000000"/>
          <w:spacing w:val="6"/>
          <w:lang w:val="en-GB" w:eastAsia="en-GB"/>
        </w:rPr>
        <w:t>. After December 202</w:t>
      </w:r>
      <w:r w:rsidR="00F3564E" w:rsidRPr="001E6CF3">
        <w:rPr>
          <w:color w:val="000000"/>
          <w:spacing w:val="6"/>
          <w:lang w:val="en-GB" w:eastAsia="en-GB"/>
        </w:rPr>
        <w:t>0</w:t>
      </w:r>
      <w:r w:rsidR="00F72A39" w:rsidRPr="001E6CF3">
        <w:rPr>
          <w:color w:val="000000"/>
          <w:spacing w:val="6"/>
          <w:lang w:val="en-GB" w:eastAsia="en-GB"/>
        </w:rPr>
        <w:t xml:space="preserve"> the remaining five pillars will be implemented. </w:t>
      </w:r>
      <w:r w:rsidRPr="001E6CF3">
        <w:rPr>
          <w:color w:val="000000"/>
          <w:spacing w:val="6"/>
          <w:lang w:val="en-GB" w:eastAsia="en-GB"/>
        </w:rPr>
        <w:t xml:space="preserve"> </w:t>
      </w:r>
    </w:p>
    <w:p w:rsidR="00F72A39"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MHSC </w:t>
      </w:r>
      <w:r w:rsidR="00F72A39" w:rsidRPr="001E6CF3">
        <w:rPr>
          <w:color w:val="000000"/>
          <w:spacing w:val="6"/>
          <w:lang w:val="en-GB" w:eastAsia="en-GB"/>
        </w:rPr>
        <w:t xml:space="preserve">implemented the </w:t>
      </w:r>
      <w:r w:rsidRPr="001E6CF3">
        <w:rPr>
          <w:color w:val="000000"/>
          <w:spacing w:val="6"/>
          <w:lang w:val="en-GB" w:eastAsia="en-GB"/>
        </w:rPr>
        <w:t xml:space="preserve">Centre of Excellence (CoE) </w:t>
      </w:r>
      <w:r w:rsidR="00F72A39" w:rsidRPr="001E6CF3">
        <w:rPr>
          <w:color w:val="000000"/>
          <w:spacing w:val="6"/>
          <w:lang w:val="en-GB" w:eastAsia="en-GB"/>
        </w:rPr>
        <w:t>which are Quick</w:t>
      </w:r>
      <w:r w:rsidRPr="001E6CF3">
        <w:rPr>
          <w:color w:val="000000"/>
          <w:spacing w:val="6"/>
          <w:lang w:val="en-GB" w:eastAsia="en-GB"/>
        </w:rPr>
        <w:t xml:space="preserve"> win Projects</w:t>
      </w:r>
      <w:r w:rsidR="00F72A39" w:rsidRPr="001E6CF3">
        <w:rPr>
          <w:color w:val="000000"/>
          <w:spacing w:val="6"/>
          <w:lang w:val="en-GB" w:eastAsia="en-GB"/>
        </w:rPr>
        <w:t xml:space="preserve"> and </w:t>
      </w:r>
      <w:r w:rsidR="00F3564E" w:rsidRPr="001E6CF3">
        <w:rPr>
          <w:color w:val="000000"/>
          <w:spacing w:val="6"/>
          <w:lang w:val="en-GB" w:eastAsia="en-GB"/>
        </w:rPr>
        <w:t>Technology</w:t>
      </w:r>
      <w:r w:rsidR="00F72A39" w:rsidRPr="001E6CF3">
        <w:rPr>
          <w:color w:val="000000"/>
          <w:spacing w:val="6"/>
          <w:lang w:val="en-GB" w:eastAsia="en-GB"/>
        </w:rPr>
        <w:t xml:space="preserve"> and Knowledge transfer projects. Mr Dube indicated that MHSC project Portfolio are CoE Quick-win Projects, Continuation Projects (</w:t>
      </w:r>
      <w:r w:rsidR="006F4AB4" w:rsidRPr="001E6CF3">
        <w:rPr>
          <w:color w:val="000000"/>
          <w:spacing w:val="6"/>
          <w:lang w:val="en-GB" w:eastAsia="en-GB"/>
        </w:rPr>
        <w:t>Multi</w:t>
      </w:r>
      <w:r w:rsidR="0050021F" w:rsidRPr="001E6CF3">
        <w:rPr>
          <w:color w:val="000000"/>
          <w:spacing w:val="6"/>
          <w:lang w:val="en-GB" w:eastAsia="en-GB"/>
        </w:rPr>
        <w:t>-</w:t>
      </w:r>
      <w:r w:rsidR="006F4AB4" w:rsidRPr="001E6CF3">
        <w:rPr>
          <w:color w:val="000000"/>
          <w:spacing w:val="6"/>
          <w:lang w:val="en-GB" w:eastAsia="en-GB"/>
        </w:rPr>
        <w:t>year</w:t>
      </w:r>
      <w:r w:rsidR="00F72A39" w:rsidRPr="001E6CF3">
        <w:rPr>
          <w:color w:val="000000"/>
          <w:spacing w:val="6"/>
          <w:lang w:val="en-GB" w:eastAsia="en-GB"/>
        </w:rPr>
        <w:t xml:space="preserve"> projects), New Simrac Projects, </w:t>
      </w:r>
      <w:r w:rsidR="00F3564E" w:rsidRPr="001E6CF3">
        <w:rPr>
          <w:color w:val="000000"/>
          <w:spacing w:val="6"/>
          <w:lang w:val="en-GB" w:eastAsia="en-GB"/>
        </w:rPr>
        <w:t>Summit</w:t>
      </w:r>
      <w:r w:rsidR="00F72A39" w:rsidRPr="001E6CF3">
        <w:rPr>
          <w:color w:val="000000"/>
          <w:spacing w:val="6"/>
          <w:lang w:val="en-GB" w:eastAsia="en-GB"/>
        </w:rPr>
        <w:t xml:space="preserve"> Milestone Action Plan Projects, Completed Projects Initiative (Knowledge and Technology Transfer Projects and Communication and Promotion </w:t>
      </w:r>
      <w:r w:rsidR="006F4AB4" w:rsidRPr="001E6CF3">
        <w:rPr>
          <w:color w:val="000000"/>
          <w:spacing w:val="6"/>
          <w:lang w:val="en-GB" w:eastAsia="en-GB"/>
        </w:rPr>
        <w:t>Project:</w:t>
      </w:r>
      <w:r w:rsidR="00F72A39" w:rsidRPr="001E6CF3">
        <w:rPr>
          <w:color w:val="000000"/>
          <w:spacing w:val="6"/>
          <w:lang w:val="en-GB" w:eastAsia="en-GB"/>
        </w:rPr>
        <w:t xml:space="preserve"> workshops forum, conferences and Special Projects. </w:t>
      </w:r>
    </w:p>
    <w:p w:rsidR="009C32F6" w:rsidRPr="001E6CF3" w:rsidRDefault="006649D1" w:rsidP="00843CE2">
      <w:pPr>
        <w:autoSpaceDN w:val="0"/>
        <w:spacing w:after="200" w:line="360" w:lineRule="auto"/>
        <w:jc w:val="both"/>
        <w:rPr>
          <w:b/>
          <w:color w:val="000000"/>
          <w:spacing w:val="6"/>
          <w:lang w:val="en-GB" w:eastAsia="en-GB"/>
        </w:rPr>
      </w:pPr>
      <w:r w:rsidRPr="001E6CF3">
        <w:rPr>
          <w:b/>
          <w:color w:val="000000"/>
          <w:spacing w:val="6"/>
          <w:lang w:val="en-GB" w:eastAsia="en-GB"/>
        </w:rPr>
        <w:t xml:space="preserve">Mr Dube </w:t>
      </w:r>
      <w:r w:rsidR="009C32F6" w:rsidRPr="001E6CF3">
        <w:rPr>
          <w:b/>
          <w:color w:val="000000"/>
          <w:spacing w:val="6"/>
          <w:lang w:val="en-GB" w:eastAsia="en-GB"/>
        </w:rPr>
        <w:t xml:space="preserve">outlined the special MHSC projects </w:t>
      </w:r>
      <w:r w:rsidR="0040459F" w:rsidRPr="001E6CF3">
        <w:rPr>
          <w:b/>
          <w:color w:val="000000"/>
          <w:spacing w:val="6"/>
          <w:lang w:val="en-GB" w:eastAsia="en-GB"/>
        </w:rPr>
        <w:t>as follows</w:t>
      </w:r>
      <w:r w:rsidR="009C32F6" w:rsidRPr="001E6CF3">
        <w:rPr>
          <w:b/>
          <w:color w:val="000000"/>
          <w:spacing w:val="6"/>
          <w:lang w:val="en-GB" w:eastAsia="en-GB"/>
        </w:rPr>
        <w:t xml:space="preserve">: </w:t>
      </w:r>
    </w:p>
    <w:p w:rsidR="009C32F6" w:rsidRPr="001E6CF3" w:rsidRDefault="009C32F6" w:rsidP="00843CE2">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Women in Mining</w:t>
      </w:r>
      <w:r w:rsidR="00E21FA9" w:rsidRPr="001E6CF3">
        <w:rPr>
          <w:rFonts w:ascii="Times New Roman" w:hAnsi="Times New Roman"/>
          <w:color w:val="000000"/>
          <w:spacing w:val="6"/>
          <w:sz w:val="24"/>
          <w:szCs w:val="24"/>
          <w:lang w:val="en-GB" w:eastAsia="en-GB"/>
        </w:rPr>
        <w:t xml:space="preserve">: </w:t>
      </w:r>
      <w:r w:rsidR="006F4AB4" w:rsidRPr="001E6CF3">
        <w:rPr>
          <w:rFonts w:ascii="Times New Roman" w:hAnsi="Times New Roman"/>
          <w:color w:val="000000"/>
          <w:spacing w:val="6"/>
          <w:sz w:val="24"/>
          <w:szCs w:val="24"/>
          <w:lang w:val="en-GB" w:eastAsia="en-GB"/>
        </w:rPr>
        <w:t>Following</w:t>
      </w:r>
      <w:r w:rsidRPr="001E6CF3">
        <w:rPr>
          <w:rFonts w:ascii="Times New Roman" w:hAnsi="Times New Roman"/>
          <w:color w:val="000000"/>
          <w:spacing w:val="6"/>
          <w:sz w:val="24"/>
          <w:szCs w:val="24"/>
          <w:lang w:val="en-GB" w:eastAsia="en-GB"/>
        </w:rPr>
        <w:t xml:space="preserve"> the conference resolutions in 2015, </w:t>
      </w:r>
      <w:r w:rsidR="00E21FA9" w:rsidRPr="001E6CF3">
        <w:rPr>
          <w:rFonts w:ascii="Times New Roman" w:hAnsi="Times New Roman"/>
          <w:color w:val="000000"/>
          <w:spacing w:val="6"/>
          <w:sz w:val="24"/>
          <w:szCs w:val="24"/>
          <w:lang w:val="en-GB" w:eastAsia="en-GB"/>
        </w:rPr>
        <w:t xml:space="preserve">a </w:t>
      </w:r>
      <w:r w:rsidRPr="001E6CF3">
        <w:rPr>
          <w:rFonts w:ascii="Times New Roman" w:hAnsi="Times New Roman"/>
          <w:color w:val="000000"/>
          <w:spacing w:val="6"/>
          <w:sz w:val="24"/>
          <w:szCs w:val="24"/>
          <w:lang w:val="en-GB" w:eastAsia="en-GB"/>
        </w:rPr>
        <w:t>WIM subcommittee has been established to develop a comprehensive plan for implementation on pertinent OHS issues impacting on WIM.</w:t>
      </w:r>
    </w:p>
    <w:p w:rsidR="009C32F6" w:rsidRPr="001E6CF3" w:rsidRDefault="009C32F6" w:rsidP="00843CE2">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Commemoration of Mine Disaster</w:t>
      </w:r>
      <w:r w:rsidR="00E21FA9" w:rsidRPr="001E6CF3">
        <w:rPr>
          <w:rFonts w:ascii="Times New Roman" w:hAnsi="Times New Roman"/>
          <w:color w:val="000000"/>
          <w:spacing w:val="6"/>
          <w:sz w:val="24"/>
          <w:szCs w:val="24"/>
          <w:lang w:val="en-GB" w:eastAsia="en-GB"/>
        </w:rPr>
        <w:t>s</w:t>
      </w:r>
      <w:r w:rsidRPr="001E6CF3">
        <w:rPr>
          <w:rFonts w:ascii="Times New Roman" w:hAnsi="Times New Roman"/>
          <w:color w:val="000000"/>
          <w:spacing w:val="6"/>
          <w:sz w:val="24"/>
          <w:szCs w:val="24"/>
          <w:lang w:val="en-GB" w:eastAsia="en-GB"/>
        </w:rPr>
        <w:t xml:space="preserve"> – focusing in </w:t>
      </w:r>
      <w:r w:rsidR="00E21FA9" w:rsidRPr="001E6CF3">
        <w:rPr>
          <w:rFonts w:ascii="Times New Roman" w:hAnsi="Times New Roman"/>
          <w:color w:val="000000"/>
          <w:spacing w:val="6"/>
          <w:sz w:val="24"/>
          <w:szCs w:val="24"/>
          <w:lang w:val="en-GB" w:eastAsia="en-GB"/>
        </w:rPr>
        <w:t>Coal</w:t>
      </w:r>
      <w:r w:rsidRPr="001E6CF3">
        <w:rPr>
          <w:rFonts w:ascii="Times New Roman" w:hAnsi="Times New Roman"/>
          <w:color w:val="000000"/>
          <w:spacing w:val="6"/>
          <w:sz w:val="24"/>
          <w:szCs w:val="24"/>
          <w:lang w:val="en-GB" w:eastAsia="en-GB"/>
        </w:rPr>
        <w:t xml:space="preserve">brook disaster and ensuring that ex-mineworkers who passed </w:t>
      </w:r>
      <w:r w:rsidR="00F3564E" w:rsidRPr="001E6CF3">
        <w:rPr>
          <w:rFonts w:ascii="Times New Roman" w:hAnsi="Times New Roman"/>
          <w:color w:val="000000"/>
          <w:spacing w:val="6"/>
          <w:sz w:val="24"/>
          <w:szCs w:val="24"/>
          <w:lang w:val="en-GB" w:eastAsia="en-GB"/>
        </w:rPr>
        <w:t xml:space="preserve">away </w:t>
      </w:r>
      <w:r w:rsidRPr="001E6CF3">
        <w:rPr>
          <w:rFonts w:ascii="Times New Roman" w:hAnsi="Times New Roman"/>
          <w:color w:val="000000"/>
          <w:spacing w:val="6"/>
          <w:sz w:val="24"/>
          <w:szCs w:val="24"/>
          <w:lang w:val="en-GB" w:eastAsia="en-GB"/>
        </w:rPr>
        <w:t xml:space="preserve">on are honoured. </w:t>
      </w:r>
    </w:p>
    <w:p w:rsidR="009C32F6" w:rsidRPr="001E6CF3" w:rsidRDefault="009C32F6" w:rsidP="00843CE2">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Development of a comprehensive compensation system for the mining industry – </w:t>
      </w:r>
      <w:r w:rsidR="00E21FA9" w:rsidRPr="001E6CF3">
        <w:rPr>
          <w:rFonts w:ascii="Times New Roman" w:hAnsi="Times New Roman"/>
          <w:color w:val="000000"/>
          <w:spacing w:val="6"/>
          <w:sz w:val="24"/>
          <w:szCs w:val="24"/>
          <w:lang w:val="en-GB" w:eastAsia="en-GB"/>
        </w:rPr>
        <w:t xml:space="preserve">MHSC will </w:t>
      </w:r>
      <w:r w:rsidRPr="001E6CF3">
        <w:rPr>
          <w:rFonts w:ascii="Times New Roman" w:hAnsi="Times New Roman"/>
          <w:color w:val="000000"/>
          <w:spacing w:val="6"/>
          <w:sz w:val="24"/>
          <w:szCs w:val="24"/>
          <w:lang w:val="en-GB" w:eastAsia="en-GB"/>
        </w:rPr>
        <w:t>provide evidence based research to inform policy direction</w:t>
      </w:r>
      <w:r w:rsidR="00E21FA9" w:rsidRPr="001E6CF3">
        <w:rPr>
          <w:rFonts w:ascii="Times New Roman" w:hAnsi="Times New Roman"/>
          <w:color w:val="000000"/>
          <w:spacing w:val="6"/>
          <w:sz w:val="24"/>
          <w:szCs w:val="24"/>
          <w:lang w:val="en-GB" w:eastAsia="en-GB"/>
        </w:rPr>
        <w:t xml:space="preserve"> at a planned meeting in May 2016 that will include the Departments of Health and Labour.</w:t>
      </w:r>
    </w:p>
    <w:p w:rsidR="009C32F6" w:rsidRPr="001E6CF3" w:rsidRDefault="009C32F6" w:rsidP="00843CE2">
      <w:pPr>
        <w:pStyle w:val="ListParagraph"/>
        <w:numPr>
          <w:ilvl w:val="0"/>
          <w:numId w:val="10"/>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Host the OHS Tripartite Summit in November 2016 and other events. </w:t>
      </w:r>
    </w:p>
    <w:p w:rsidR="0040459F" w:rsidRPr="001E6CF3" w:rsidRDefault="0040459F"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With regards to adherence </w:t>
      </w:r>
      <w:r w:rsidR="00E21FA9" w:rsidRPr="001E6CF3">
        <w:rPr>
          <w:color w:val="000000"/>
          <w:spacing w:val="6"/>
          <w:lang w:val="en-GB" w:eastAsia="en-GB"/>
        </w:rPr>
        <w:t xml:space="preserve">to </w:t>
      </w:r>
      <w:r w:rsidRPr="001E6CF3">
        <w:rPr>
          <w:color w:val="000000"/>
          <w:spacing w:val="6"/>
          <w:lang w:val="en-GB" w:eastAsia="en-GB"/>
        </w:rPr>
        <w:t>turnaround time</w:t>
      </w:r>
      <w:r w:rsidR="00E21FA9" w:rsidRPr="001E6CF3">
        <w:rPr>
          <w:color w:val="000000"/>
          <w:spacing w:val="6"/>
          <w:lang w:val="en-GB" w:eastAsia="en-GB"/>
        </w:rPr>
        <w:t>s</w:t>
      </w:r>
      <w:r w:rsidRPr="001E6CF3">
        <w:rPr>
          <w:color w:val="000000"/>
          <w:spacing w:val="6"/>
          <w:lang w:val="en-GB" w:eastAsia="en-GB"/>
        </w:rPr>
        <w:t xml:space="preserve"> for </w:t>
      </w:r>
      <w:r w:rsidR="00E21FA9" w:rsidRPr="001E6CF3">
        <w:rPr>
          <w:color w:val="000000"/>
          <w:spacing w:val="6"/>
          <w:lang w:val="en-GB" w:eastAsia="en-GB"/>
        </w:rPr>
        <w:t xml:space="preserve">the </w:t>
      </w:r>
      <w:r w:rsidRPr="001E6CF3">
        <w:rPr>
          <w:color w:val="000000"/>
          <w:spacing w:val="6"/>
          <w:lang w:val="en-GB" w:eastAsia="en-GB"/>
        </w:rPr>
        <w:t>procurement of services to ensure delivery by MHSC, Mr Dube reported that the Council has capacitated the SCM with new SCM Practitioners. Training of SCM</w:t>
      </w:r>
      <w:r w:rsidR="00F3564E" w:rsidRPr="001E6CF3">
        <w:rPr>
          <w:color w:val="000000"/>
          <w:spacing w:val="6"/>
          <w:lang w:val="en-GB" w:eastAsia="en-GB"/>
        </w:rPr>
        <w:t xml:space="preserve"> (Supply Chain Management)</w:t>
      </w:r>
      <w:r w:rsidRPr="001E6CF3">
        <w:rPr>
          <w:color w:val="000000"/>
          <w:spacing w:val="6"/>
          <w:lang w:val="en-GB" w:eastAsia="en-GB"/>
        </w:rPr>
        <w:t xml:space="preserve"> and Bid Committees members </w:t>
      </w:r>
      <w:r w:rsidR="00E21FA9" w:rsidRPr="001E6CF3">
        <w:rPr>
          <w:color w:val="000000"/>
          <w:spacing w:val="6"/>
          <w:lang w:val="en-GB" w:eastAsia="en-GB"/>
        </w:rPr>
        <w:t xml:space="preserve">has been </w:t>
      </w:r>
      <w:r w:rsidRPr="001E6CF3">
        <w:rPr>
          <w:color w:val="000000"/>
          <w:spacing w:val="6"/>
          <w:lang w:val="en-GB" w:eastAsia="en-GB"/>
        </w:rPr>
        <w:t xml:space="preserve">completed. </w:t>
      </w:r>
      <w:r w:rsidR="00E21FA9" w:rsidRPr="001E6CF3">
        <w:rPr>
          <w:color w:val="000000"/>
          <w:spacing w:val="6"/>
          <w:lang w:val="en-GB" w:eastAsia="en-GB"/>
        </w:rPr>
        <w:t xml:space="preserve">The implementation </w:t>
      </w:r>
      <w:r w:rsidRPr="001E6CF3">
        <w:rPr>
          <w:color w:val="000000"/>
          <w:spacing w:val="6"/>
          <w:lang w:val="en-GB" w:eastAsia="en-GB"/>
        </w:rPr>
        <w:t xml:space="preserve">of SCM sourcing strategies </w:t>
      </w:r>
      <w:r w:rsidR="00E21FA9" w:rsidRPr="001E6CF3">
        <w:rPr>
          <w:color w:val="000000"/>
          <w:spacing w:val="6"/>
          <w:lang w:val="en-GB" w:eastAsia="en-GB"/>
        </w:rPr>
        <w:t xml:space="preserve">has been </w:t>
      </w:r>
      <w:r w:rsidRPr="001E6CF3">
        <w:rPr>
          <w:color w:val="000000"/>
          <w:spacing w:val="6"/>
          <w:lang w:val="en-GB" w:eastAsia="en-GB"/>
        </w:rPr>
        <w:t xml:space="preserve">completed. </w:t>
      </w:r>
      <w:r w:rsidR="00E21FA9" w:rsidRPr="001E6CF3">
        <w:rPr>
          <w:color w:val="000000"/>
          <w:spacing w:val="6"/>
          <w:lang w:val="en-GB" w:eastAsia="en-GB"/>
        </w:rPr>
        <w:t xml:space="preserve">The advertising </w:t>
      </w:r>
      <w:r w:rsidRPr="001E6CF3">
        <w:rPr>
          <w:color w:val="000000"/>
          <w:spacing w:val="6"/>
          <w:lang w:val="en-GB" w:eastAsia="en-GB"/>
        </w:rPr>
        <w:t>of Annual Supplier Database updating and Migration to National Treasury Database is in progress</w:t>
      </w:r>
      <w:r w:rsidRPr="0050021F">
        <w:rPr>
          <w:color w:val="000000"/>
          <w:spacing w:val="6"/>
          <w:lang w:val="en-GB" w:eastAsia="en-GB"/>
        </w:rPr>
        <w:t xml:space="preserve">. </w:t>
      </w:r>
      <w:r w:rsidRPr="001E6CF3">
        <w:rPr>
          <w:color w:val="000000"/>
          <w:spacing w:val="6"/>
          <w:lang w:val="en-GB" w:eastAsia="en-GB"/>
        </w:rPr>
        <w:t xml:space="preserve">Provision of regular SCM reporting to ensure monitoring and necessary interventions. </w:t>
      </w:r>
    </w:p>
    <w:p w:rsidR="0040459F" w:rsidRPr="001E6CF3" w:rsidRDefault="0040459F" w:rsidP="00843CE2">
      <w:pPr>
        <w:autoSpaceDN w:val="0"/>
        <w:spacing w:after="200" w:line="360" w:lineRule="auto"/>
        <w:jc w:val="both"/>
        <w:rPr>
          <w:color w:val="000000"/>
          <w:spacing w:val="6"/>
          <w:lang w:val="en-GB" w:eastAsia="en-GB"/>
        </w:rPr>
      </w:pPr>
      <w:r w:rsidRPr="001E6CF3">
        <w:rPr>
          <w:color w:val="000000"/>
          <w:spacing w:val="6"/>
          <w:lang w:val="en-GB" w:eastAsia="en-GB"/>
        </w:rPr>
        <w:t>Mr Dube reported that the MOU’s for the Centre of Excellence has been agreed upon with PSP’s</w:t>
      </w:r>
      <w:r w:rsidR="00F3564E" w:rsidRPr="001E6CF3">
        <w:rPr>
          <w:color w:val="000000"/>
          <w:spacing w:val="6"/>
          <w:lang w:val="en-GB" w:eastAsia="en-GB"/>
        </w:rPr>
        <w:t xml:space="preserve"> (Private Service Providers)</w:t>
      </w:r>
      <w:r w:rsidRPr="001E6CF3">
        <w:rPr>
          <w:color w:val="000000"/>
          <w:spacing w:val="6"/>
          <w:lang w:val="en-GB" w:eastAsia="en-GB"/>
        </w:rPr>
        <w:t xml:space="preserve"> including use of HDI’s (Wits, UP, CSIR and NIOH). The MHSC has source</w:t>
      </w:r>
      <w:r w:rsidR="00E21FA9" w:rsidRPr="001E6CF3">
        <w:rPr>
          <w:color w:val="000000"/>
          <w:spacing w:val="6"/>
          <w:lang w:val="en-GB" w:eastAsia="en-GB"/>
        </w:rPr>
        <w:t>d</w:t>
      </w:r>
      <w:r w:rsidRPr="001E6CF3">
        <w:rPr>
          <w:color w:val="000000"/>
          <w:spacing w:val="6"/>
          <w:lang w:val="en-GB" w:eastAsia="en-GB"/>
        </w:rPr>
        <w:t xml:space="preserve"> a service provider to develop a business plan that will outline the requirements to </w:t>
      </w:r>
      <w:r w:rsidR="00F3564E" w:rsidRPr="001E6CF3">
        <w:rPr>
          <w:color w:val="000000"/>
          <w:spacing w:val="6"/>
          <w:lang w:val="en-GB" w:eastAsia="en-GB"/>
        </w:rPr>
        <w:t>operationalize</w:t>
      </w:r>
      <w:r w:rsidRPr="001E6CF3">
        <w:rPr>
          <w:color w:val="000000"/>
          <w:spacing w:val="6"/>
          <w:lang w:val="en-GB" w:eastAsia="en-GB"/>
        </w:rPr>
        <w:t xml:space="preserve"> it in </w:t>
      </w:r>
      <w:r w:rsidR="00F3564E" w:rsidRPr="001E6CF3">
        <w:rPr>
          <w:color w:val="000000"/>
          <w:spacing w:val="6"/>
          <w:lang w:val="en-GB" w:eastAsia="en-GB"/>
        </w:rPr>
        <w:t xml:space="preserve">the </w:t>
      </w:r>
      <w:r w:rsidRPr="001E6CF3">
        <w:rPr>
          <w:color w:val="000000"/>
          <w:spacing w:val="6"/>
          <w:lang w:val="en-GB" w:eastAsia="en-GB"/>
        </w:rPr>
        <w:t>1</w:t>
      </w:r>
      <w:r w:rsidRPr="001E6CF3">
        <w:rPr>
          <w:color w:val="000000"/>
          <w:spacing w:val="6"/>
          <w:vertAlign w:val="superscript"/>
          <w:lang w:val="en-GB" w:eastAsia="en-GB"/>
        </w:rPr>
        <w:t>st</w:t>
      </w:r>
      <w:r w:rsidRPr="001E6CF3">
        <w:rPr>
          <w:color w:val="000000"/>
          <w:spacing w:val="6"/>
          <w:lang w:val="en-GB" w:eastAsia="en-GB"/>
        </w:rPr>
        <w:t xml:space="preserve"> week of May 2016. Audit for PSP’s to check the status of readiness will be conducted. The business plan will also outline governance framework for CoE in line with the approved model. The implementation date is </w:t>
      </w:r>
      <w:r w:rsidR="00F3564E" w:rsidRPr="001E6CF3">
        <w:rPr>
          <w:color w:val="000000"/>
          <w:spacing w:val="6"/>
          <w:lang w:val="en-GB" w:eastAsia="en-GB"/>
        </w:rPr>
        <w:t xml:space="preserve">the </w:t>
      </w:r>
      <w:r w:rsidR="00BD2ECF" w:rsidRPr="001E6CF3">
        <w:rPr>
          <w:color w:val="000000"/>
          <w:spacing w:val="6"/>
          <w:lang w:val="en-GB" w:eastAsia="en-GB"/>
        </w:rPr>
        <w:t>1</w:t>
      </w:r>
      <w:r w:rsidR="00BD2ECF" w:rsidRPr="001E6CF3">
        <w:rPr>
          <w:color w:val="000000"/>
          <w:spacing w:val="6"/>
          <w:vertAlign w:val="superscript"/>
          <w:lang w:val="en-GB" w:eastAsia="en-GB"/>
        </w:rPr>
        <w:t>st</w:t>
      </w:r>
      <w:r w:rsidR="00BD2ECF" w:rsidRPr="001E6CF3">
        <w:rPr>
          <w:color w:val="000000"/>
          <w:spacing w:val="6"/>
          <w:lang w:val="en-GB" w:eastAsia="en-GB"/>
        </w:rPr>
        <w:t xml:space="preserve"> of</w:t>
      </w:r>
      <w:r w:rsidR="00F3564E" w:rsidRPr="001E6CF3">
        <w:rPr>
          <w:color w:val="000000"/>
          <w:spacing w:val="6"/>
          <w:lang w:val="en-GB" w:eastAsia="en-GB"/>
        </w:rPr>
        <w:t xml:space="preserve"> </w:t>
      </w:r>
      <w:r w:rsidRPr="001E6CF3">
        <w:rPr>
          <w:color w:val="000000"/>
          <w:spacing w:val="6"/>
          <w:lang w:val="en-GB" w:eastAsia="en-GB"/>
        </w:rPr>
        <w:t xml:space="preserve">April 2017. </w:t>
      </w:r>
    </w:p>
    <w:p w:rsidR="006649D1" w:rsidRPr="001E6CF3" w:rsidRDefault="00EC288C" w:rsidP="00843CE2">
      <w:pPr>
        <w:autoSpaceDN w:val="0"/>
        <w:spacing w:after="200" w:line="360" w:lineRule="auto"/>
        <w:jc w:val="both"/>
        <w:rPr>
          <w:color w:val="000000"/>
          <w:spacing w:val="6"/>
          <w:lang w:val="en-GB" w:eastAsia="en-GB"/>
        </w:rPr>
      </w:pPr>
      <w:r w:rsidRPr="001E6CF3">
        <w:rPr>
          <w:color w:val="000000"/>
          <w:spacing w:val="6"/>
          <w:lang w:val="en-GB" w:eastAsia="en-GB"/>
        </w:rPr>
        <w:t>Mr Dube</w:t>
      </w:r>
      <w:r w:rsidR="006649D1" w:rsidRPr="001E6CF3">
        <w:rPr>
          <w:color w:val="000000"/>
          <w:spacing w:val="6"/>
          <w:lang w:val="en-GB" w:eastAsia="en-GB"/>
        </w:rPr>
        <w:t xml:space="preserve"> presented the approved budget for period ended 31 March 201</w:t>
      </w:r>
      <w:r w:rsidRPr="001E6CF3">
        <w:rPr>
          <w:color w:val="000000"/>
          <w:spacing w:val="6"/>
          <w:lang w:val="en-GB" w:eastAsia="en-GB"/>
        </w:rPr>
        <w:t>7</w:t>
      </w:r>
      <w:r w:rsidR="006649D1" w:rsidRPr="001E6CF3">
        <w:rPr>
          <w:color w:val="000000"/>
          <w:spacing w:val="6"/>
          <w:lang w:val="en-GB" w:eastAsia="en-GB"/>
        </w:rPr>
        <w:t>-20</w:t>
      </w:r>
      <w:r w:rsidRPr="001E6CF3">
        <w:rPr>
          <w:color w:val="000000"/>
          <w:spacing w:val="6"/>
          <w:lang w:val="en-GB" w:eastAsia="en-GB"/>
        </w:rPr>
        <w:t>20</w:t>
      </w:r>
      <w:r w:rsidR="006649D1" w:rsidRPr="001E6CF3">
        <w:rPr>
          <w:color w:val="000000"/>
          <w:spacing w:val="6"/>
          <w:lang w:val="en-GB" w:eastAsia="en-GB"/>
        </w:rPr>
        <w:t>. The income received amounted to R</w:t>
      </w:r>
      <w:r w:rsidRPr="001E6CF3">
        <w:rPr>
          <w:color w:val="000000"/>
          <w:spacing w:val="6"/>
          <w:lang w:val="en-GB" w:eastAsia="en-GB"/>
        </w:rPr>
        <w:t>83</w:t>
      </w:r>
      <w:r w:rsidR="00E21FA9" w:rsidRPr="001E6CF3">
        <w:rPr>
          <w:color w:val="000000"/>
          <w:spacing w:val="6"/>
          <w:lang w:val="en-GB" w:eastAsia="en-GB"/>
        </w:rPr>
        <w:t>,</w:t>
      </w:r>
      <w:r w:rsidRPr="001E6CF3">
        <w:rPr>
          <w:color w:val="000000"/>
          <w:spacing w:val="6"/>
          <w:lang w:val="en-GB" w:eastAsia="en-GB"/>
        </w:rPr>
        <w:t>843</w:t>
      </w:r>
      <w:r w:rsidR="00E21FA9" w:rsidRPr="001E6CF3">
        <w:rPr>
          <w:color w:val="000000"/>
          <w:spacing w:val="6"/>
          <w:lang w:val="en-GB" w:eastAsia="en-GB"/>
        </w:rPr>
        <w:t>,</w:t>
      </w:r>
      <w:r w:rsidRPr="001E6CF3">
        <w:rPr>
          <w:color w:val="000000"/>
          <w:spacing w:val="6"/>
          <w:lang w:val="en-GB" w:eastAsia="en-GB"/>
        </w:rPr>
        <w:t>241</w:t>
      </w:r>
      <w:r w:rsidR="006649D1" w:rsidRPr="001E6CF3">
        <w:rPr>
          <w:color w:val="000000"/>
          <w:spacing w:val="6"/>
          <w:lang w:val="en-GB" w:eastAsia="en-GB"/>
        </w:rPr>
        <w:t>.</w:t>
      </w:r>
      <w:r w:rsidR="00B83001" w:rsidRPr="001E6CF3">
        <w:rPr>
          <w:color w:val="000000"/>
          <w:spacing w:val="6"/>
          <w:lang w:val="en-GB" w:eastAsia="en-GB"/>
        </w:rPr>
        <w:t xml:space="preserve">75. </w:t>
      </w:r>
      <w:r w:rsidR="006649D1" w:rsidRPr="001E6CF3">
        <w:rPr>
          <w:color w:val="000000"/>
          <w:spacing w:val="6"/>
          <w:lang w:val="en-GB" w:eastAsia="en-GB"/>
        </w:rPr>
        <w:t>The approved roll over on research expenditure from Treasury was R</w:t>
      </w:r>
      <w:r w:rsidRPr="001E6CF3">
        <w:rPr>
          <w:color w:val="000000"/>
          <w:spacing w:val="6"/>
          <w:lang w:val="en-GB" w:eastAsia="en-GB"/>
        </w:rPr>
        <w:t>8</w:t>
      </w:r>
      <w:r w:rsidR="00E21FA9" w:rsidRPr="001E6CF3">
        <w:rPr>
          <w:color w:val="000000"/>
          <w:spacing w:val="6"/>
          <w:lang w:val="en-GB" w:eastAsia="en-GB"/>
        </w:rPr>
        <w:t>,</w:t>
      </w:r>
      <w:r w:rsidRPr="001E6CF3">
        <w:rPr>
          <w:color w:val="000000"/>
          <w:spacing w:val="6"/>
          <w:lang w:val="en-GB" w:eastAsia="en-GB"/>
        </w:rPr>
        <w:t>115</w:t>
      </w:r>
      <w:r w:rsidR="00E21FA9" w:rsidRPr="001E6CF3">
        <w:rPr>
          <w:color w:val="000000"/>
          <w:spacing w:val="6"/>
          <w:lang w:val="en-GB" w:eastAsia="en-GB"/>
        </w:rPr>
        <w:t>,</w:t>
      </w:r>
      <w:r w:rsidRPr="001E6CF3">
        <w:rPr>
          <w:color w:val="000000"/>
          <w:spacing w:val="6"/>
          <w:lang w:val="en-GB" w:eastAsia="en-GB"/>
        </w:rPr>
        <w:t>378.77</w:t>
      </w:r>
      <w:r w:rsidR="006649D1" w:rsidRPr="001E6CF3">
        <w:rPr>
          <w:color w:val="000000"/>
          <w:spacing w:val="6"/>
          <w:lang w:val="en-GB" w:eastAsia="en-GB"/>
        </w:rPr>
        <w:t>. The surplus for the year was R</w:t>
      </w:r>
      <w:r w:rsidRPr="001E6CF3">
        <w:rPr>
          <w:color w:val="000000"/>
          <w:spacing w:val="6"/>
          <w:lang w:val="en-GB" w:eastAsia="en-GB"/>
        </w:rPr>
        <w:t>971</w:t>
      </w:r>
      <w:r w:rsidR="00E21FA9" w:rsidRPr="001E6CF3">
        <w:rPr>
          <w:color w:val="000000"/>
          <w:spacing w:val="6"/>
          <w:lang w:val="en-GB" w:eastAsia="en-GB"/>
        </w:rPr>
        <w:t>,</w:t>
      </w:r>
      <w:r w:rsidRPr="001E6CF3">
        <w:rPr>
          <w:color w:val="000000"/>
          <w:spacing w:val="6"/>
          <w:lang w:val="en-GB" w:eastAsia="en-GB"/>
        </w:rPr>
        <w:t>817.46</w:t>
      </w:r>
      <w:r w:rsidR="006649D1" w:rsidRPr="001E6CF3">
        <w:rPr>
          <w:color w:val="000000"/>
          <w:spacing w:val="6"/>
          <w:lang w:val="en-GB" w:eastAsia="en-GB"/>
        </w:rPr>
        <w:t>.</w:t>
      </w:r>
      <w:r w:rsidRPr="001E6CF3">
        <w:rPr>
          <w:color w:val="000000"/>
          <w:spacing w:val="6"/>
          <w:lang w:val="en-GB" w:eastAsia="en-GB"/>
        </w:rPr>
        <w:t xml:space="preserve">   Mr Dube outlined the initiative to improve expenditure as follows:</w:t>
      </w:r>
    </w:p>
    <w:p w:rsidR="00EC288C" w:rsidRPr="001E6CF3" w:rsidRDefault="00EC288C" w:rsidP="00843CE2">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Critical monthly project milestones variances monitoring</w:t>
      </w:r>
    </w:p>
    <w:p w:rsidR="00EC288C" w:rsidRPr="001E6CF3" w:rsidRDefault="00EC288C" w:rsidP="00843CE2">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Centre of Excellence(CoE) Project contracted</w:t>
      </w:r>
    </w:p>
    <w:p w:rsidR="00EC288C" w:rsidRPr="001E6CF3" w:rsidRDefault="00EC288C" w:rsidP="00843CE2">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Research Projects Budget including New Projects all contracted</w:t>
      </w:r>
    </w:p>
    <w:p w:rsidR="00EC288C" w:rsidRPr="001E6CF3" w:rsidRDefault="00EC288C" w:rsidP="00843CE2">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Approved surplus funds expenditure, influence mostly implementation of CoE</w:t>
      </w:r>
    </w:p>
    <w:p w:rsidR="00EC288C" w:rsidRPr="001E6CF3" w:rsidRDefault="00EC288C" w:rsidP="00843CE2">
      <w:pPr>
        <w:pStyle w:val="ListParagraph"/>
        <w:numPr>
          <w:ilvl w:val="0"/>
          <w:numId w:val="11"/>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Tight monthly budgets vs expenditure analysis and interventions. </w:t>
      </w:r>
    </w:p>
    <w:p w:rsidR="006649D1"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Council concluded that it is important that all stakeholders live the theme “every mine worker returns </w:t>
      </w:r>
      <w:r w:rsidR="007275FE" w:rsidRPr="001E6CF3">
        <w:rPr>
          <w:color w:val="000000"/>
          <w:spacing w:val="6"/>
          <w:lang w:val="en-GB" w:eastAsia="en-GB"/>
        </w:rPr>
        <w:t>from</w:t>
      </w:r>
      <w:r w:rsidRPr="001E6CF3">
        <w:rPr>
          <w:color w:val="000000"/>
          <w:spacing w:val="6"/>
          <w:lang w:val="en-GB" w:eastAsia="en-GB"/>
        </w:rPr>
        <w:t xml:space="preserve"> work unharmed every day, striving for Zero </w:t>
      </w:r>
      <w:r w:rsidR="00EC288C" w:rsidRPr="001E6CF3">
        <w:rPr>
          <w:color w:val="000000"/>
          <w:spacing w:val="6"/>
          <w:lang w:val="en-GB" w:eastAsia="en-GB"/>
        </w:rPr>
        <w:t>H</w:t>
      </w:r>
      <w:r w:rsidRPr="001E6CF3">
        <w:rPr>
          <w:color w:val="000000"/>
          <w:spacing w:val="6"/>
          <w:lang w:val="en-GB" w:eastAsia="en-GB"/>
        </w:rPr>
        <w:t>arm”. Increased participation of tripartite forums, professional mining associations, mining companies and other stakeholders is paramount. Commitment of all stakeholders is critical to ensure that MHSC strategic objectives including 2014 milestones are achieved.</w:t>
      </w:r>
    </w:p>
    <w:p w:rsidR="002C5571" w:rsidRPr="001E6CF3" w:rsidRDefault="002C5571" w:rsidP="00843CE2">
      <w:pPr>
        <w:autoSpaceDN w:val="0"/>
        <w:spacing w:after="200" w:line="360" w:lineRule="auto"/>
        <w:jc w:val="both"/>
        <w:rPr>
          <w:color w:val="000000"/>
          <w:spacing w:val="6"/>
          <w:lang w:val="en-GB" w:eastAsia="en-GB"/>
        </w:rPr>
      </w:pPr>
      <w:r w:rsidRPr="001E6CF3">
        <w:rPr>
          <w:color w:val="000000"/>
          <w:spacing w:val="6"/>
          <w:lang w:val="en-GB" w:eastAsia="en-GB"/>
        </w:rPr>
        <w:t>Members were concerned about the serious challenges that face the compensation fund and how the MHSC intends to contribute to reforming the system to compensate workers who contract occupational diseases</w:t>
      </w:r>
    </w:p>
    <w:p w:rsidR="00B83001" w:rsidRPr="001E6CF3" w:rsidRDefault="00B8300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CEO responded that the compensation indaba to be held in May </w:t>
      </w:r>
      <w:r w:rsidR="002C5571" w:rsidRPr="001E6CF3">
        <w:rPr>
          <w:color w:val="000000"/>
          <w:spacing w:val="6"/>
          <w:lang w:val="en-GB" w:eastAsia="en-GB"/>
        </w:rPr>
        <w:t xml:space="preserve">2016 </w:t>
      </w:r>
      <w:r w:rsidRPr="001E6CF3">
        <w:rPr>
          <w:color w:val="000000"/>
          <w:spacing w:val="6"/>
          <w:lang w:val="en-GB" w:eastAsia="en-GB"/>
        </w:rPr>
        <w:t>will come up with</w:t>
      </w:r>
      <w:r w:rsidRPr="001E6CF3">
        <w:rPr>
          <w:b/>
          <w:color w:val="000000"/>
          <w:spacing w:val="6"/>
          <w:lang w:val="en-GB" w:eastAsia="en-GB"/>
        </w:rPr>
        <w:t xml:space="preserve"> </w:t>
      </w:r>
      <w:r w:rsidRPr="001E6CF3">
        <w:rPr>
          <w:color w:val="000000"/>
          <w:spacing w:val="6"/>
          <w:lang w:val="en-GB" w:eastAsia="en-GB"/>
        </w:rPr>
        <w:t>ideas of how to deal with these</w:t>
      </w:r>
      <w:r w:rsidR="002C5571" w:rsidRPr="001E6CF3">
        <w:rPr>
          <w:color w:val="000000"/>
          <w:spacing w:val="6"/>
          <w:lang w:val="en-GB" w:eastAsia="en-GB"/>
        </w:rPr>
        <w:t xml:space="preserve"> issues</w:t>
      </w:r>
      <w:r w:rsidRPr="001E6CF3">
        <w:rPr>
          <w:color w:val="000000"/>
          <w:spacing w:val="6"/>
          <w:lang w:val="en-GB" w:eastAsia="en-GB"/>
        </w:rPr>
        <w:t>. The board member</w:t>
      </w:r>
      <w:r w:rsidR="002C5571" w:rsidRPr="001E6CF3">
        <w:rPr>
          <w:color w:val="000000"/>
          <w:spacing w:val="6"/>
          <w:lang w:val="en-GB" w:eastAsia="en-GB"/>
        </w:rPr>
        <w:t>s</w:t>
      </w:r>
      <w:r w:rsidRPr="001E6CF3">
        <w:rPr>
          <w:color w:val="000000"/>
          <w:spacing w:val="6"/>
          <w:lang w:val="en-GB" w:eastAsia="en-GB"/>
        </w:rPr>
        <w:t xml:space="preserve"> added that there are challenges with compensation and suggested that </w:t>
      </w:r>
      <w:r w:rsidR="002C5571" w:rsidRPr="001E6CF3">
        <w:rPr>
          <w:color w:val="000000"/>
          <w:spacing w:val="6"/>
          <w:lang w:val="en-GB" w:eastAsia="en-GB"/>
        </w:rPr>
        <w:t xml:space="preserve">steps to harmonize </w:t>
      </w:r>
      <w:r w:rsidRPr="001E6CF3">
        <w:rPr>
          <w:color w:val="000000"/>
          <w:spacing w:val="6"/>
          <w:lang w:val="en-GB" w:eastAsia="en-GB"/>
        </w:rPr>
        <w:t>COIDA and ODIM</w:t>
      </w:r>
      <w:r w:rsidR="002C5571" w:rsidRPr="001E6CF3">
        <w:rPr>
          <w:color w:val="000000"/>
          <w:spacing w:val="6"/>
          <w:lang w:val="en-GB" w:eastAsia="en-GB"/>
        </w:rPr>
        <w:t>W</w:t>
      </w:r>
      <w:r w:rsidRPr="001E6CF3">
        <w:rPr>
          <w:color w:val="000000"/>
          <w:spacing w:val="6"/>
          <w:lang w:val="en-GB" w:eastAsia="en-GB"/>
        </w:rPr>
        <w:t xml:space="preserve">A be looked at as </w:t>
      </w:r>
      <w:r w:rsidR="002C5571" w:rsidRPr="001E6CF3">
        <w:rPr>
          <w:color w:val="000000"/>
          <w:spacing w:val="6"/>
          <w:lang w:val="en-GB" w:eastAsia="en-GB"/>
        </w:rPr>
        <w:t xml:space="preserve">both </w:t>
      </w:r>
      <w:r w:rsidRPr="001E6CF3">
        <w:rPr>
          <w:color w:val="000000"/>
          <w:spacing w:val="6"/>
          <w:lang w:val="en-GB" w:eastAsia="en-GB"/>
        </w:rPr>
        <w:t xml:space="preserve">deals with compensation of workers </w:t>
      </w:r>
      <w:r w:rsidR="002C5571" w:rsidRPr="001E6CF3">
        <w:rPr>
          <w:color w:val="000000"/>
          <w:spacing w:val="6"/>
          <w:lang w:val="en-GB" w:eastAsia="en-GB"/>
        </w:rPr>
        <w:t>with occupational diseases.</w:t>
      </w:r>
      <w:r w:rsidRPr="001E6CF3">
        <w:rPr>
          <w:color w:val="000000"/>
          <w:spacing w:val="6"/>
          <w:lang w:val="en-GB" w:eastAsia="en-GB"/>
        </w:rPr>
        <w:t xml:space="preserve"> </w:t>
      </w:r>
    </w:p>
    <w:p w:rsidR="002C5571" w:rsidRPr="001E6CF3" w:rsidRDefault="002C557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Members questioned the MHSC on what measures are in place for further reducing fatalities under the zero harm concept.  Members asked on the issue of commemoration of mine workers, how </w:t>
      </w:r>
      <w:r w:rsidR="006F4AB4" w:rsidRPr="001E6CF3">
        <w:rPr>
          <w:color w:val="000000"/>
          <w:spacing w:val="6"/>
          <w:lang w:val="en-GB" w:eastAsia="en-GB"/>
        </w:rPr>
        <w:t>MHSC is</w:t>
      </w:r>
      <w:r w:rsidRPr="001E6CF3">
        <w:rPr>
          <w:color w:val="000000"/>
          <w:spacing w:val="6"/>
          <w:lang w:val="en-GB" w:eastAsia="en-GB"/>
        </w:rPr>
        <w:t xml:space="preserve"> intends to honour this commitment and who is the Council working with.  .  </w:t>
      </w:r>
    </w:p>
    <w:p w:rsidR="00B83001" w:rsidRPr="001E6CF3" w:rsidRDefault="00B83001" w:rsidP="00843CE2">
      <w:pPr>
        <w:autoSpaceDN w:val="0"/>
        <w:spacing w:after="200" w:line="360" w:lineRule="auto"/>
        <w:jc w:val="both"/>
        <w:rPr>
          <w:color w:val="000000"/>
          <w:spacing w:val="6"/>
          <w:lang w:val="en-GB" w:eastAsia="en-GB"/>
        </w:rPr>
      </w:pPr>
      <w:r w:rsidRPr="001E6CF3">
        <w:rPr>
          <w:color w:val="000000"/>
          <w:spacing w:val="6"/>
          <w:lang w:val="en-GB" w:eastAsia="en-GB"/>
        </w:rPr>
        <w:t>On the issue of Commemoration, the CEO responded that the Council is engaged with Police, Department of Home Affairs and Department of Arts and Culture and he reported that there is continuous progress.</w:t>
      </w:r>
    </w:p>
    <w:p w:rsidR="00171422" w:rsidRPr="00730872" w:rsidRDefault="00730872" w:rsidP="00730872">
      <w:pPr>
        <w:tabs>
          <w:tab w:val="left" w:pos="426"/>
        </w:tabs>
        <w:spacing w:line="360" w:lineRule="auto"/>
        <w:ind w:left="360" w:right="-180"/>
        <w:rPr>
          <w:b/>
        </w:rPr>
      </w:pPr>
      <w:r>
        <w:rPr>
          <w:b/>
        </w:rPr>
        <w:t xml:space="preserve">8. </w:t>
      </w:r>
      <w:r w:rsidR="00171422" w:rsidRPr="00730872">
        <w:rPr>
          <w:b/>
        </w:rPr>
        <w:t>Briefing by Council for Geoscience (CGS)</w:t>
      </w:r>
    </w:p>
    <w:p w:rsidR="006649D1" w:rsidRPr="001E6CF3" w:rsidRDefault="006649D1" w:rsidP="00843CE2">
      <w:pPr>
        <w:pStyle w:val="ListParagraph"/>
        <w:tabs>
          <w:tab w:val="left" w:pos="426"/>
        </w:tabs>
        <w:spacing w:line="360" w:lineRule="auto"/>
        <w:ind w:right="-180"/>
        <w:rPr>
          <w:rFonts w:ascii="Times New Roman" w:hAnsi="Times New Roman"/>
          <w:b/>
          <w:sz w:val="24"/>
          <w:szCs w:val="24"/>
        </w:rPr>
      </w:pPr>
    </w:p>
    <w:p w:rsidR="004D3434" w:rsidRPr="001E6CF3" w:rsidRDefault="00215B41" w:rsidP="00843CE2">
      <w:pPr>
        <w:tabs>
          <w:tab w:val="left" w:pos="426"/>
        </w:tabs>
        <w:spacing w:line="360" w:lineRule="auto"/>
        <w:ind w:right="-180"/>
        <w:jc w:val="both"/>
        <w:rPr>
          <w:color w:val="000000"/>
          <w:spacing w:val="6"/>
          <w:lang w:val="en-GB" w:eastAsia="en-GB"/>
        </w:rPr>
      </w:pPr>
      <w:r w:rsidRPr="001E6CF3">
        <w:t>The Chairperson of CGS, Prof Ngoepe led the delegation</w:t>
      </w:r>
      <w:r w:rsidR="002C5571" w:rsidRPr="001E6CF3">
        <w:t xml:space="preserve">. </w:t>
      </w:r>
      <w:r w:rsidR="004D3434" w:rsidRPr="001E6CF3">
        <w:t xml:space="preserve">Mr S Skhosana, Acting CEO gave a presentation which focused on the mandate of the CGS, Focus areas, Operations, Human Resources and Finances. </w:t>
      </w:r>
      <w:r w:rsidR="004D3434" w:rsidRPr="001E6CF3">
        <w:rPr>
          <w:color w:val="000000"/>
          <w:spacing w:val="6"/>
          <w:lang w:val="en-GB" w:eastAsia="en-GB"/>
        </w:rPr>
        <w:t xml:space="preserve"> The CGS reported the Key National </w:t>
      </w:r>
      <w:r w:rsidR="00843CE2" w:rsidRPr="001E6CF3">
        <w:rPr>
          <w:color w:val="000000"/>
          <w:spacing w:val="6"/>
          <w:lang w:val="en-GB" w:eastAsia="en-GB"/>
        </w:rPr>
        <w:t>Priority</w:t>
      </w:r>
      <w:r w:rsidR="004D3434" w:rsidRPr="001E6CF3">
        <w:rPr>
          <w:color w:val="000000"/>
          <w:spacing w:val="6"/>
          <w:lang w:val="en-GB" w:eastAsia="en-GB"/>
        </w:rPr>
        <w:t xml:space="preserve"> Projects as Stimulating Investment on Mineral Resources of South Africa, Shale Gas, Mine Rehabilitation</w:t>
      </w:r>
      <w:r w:rsidR="00D85BB6" w:rsidRPr="001E6CF3">
        <w:rPr>
          <w:color w:val="000000"/>
          <w:spacing w:val="6"/>
          <w:lang w:val="en-GB" w:eastAsia="en-GB"/>
        </w:rPr>
        <w:t>, Derelict</w:t>
      </w:r>
      <w:r w:rsidR="004D3434" w:rsidRPr="001E6CF3">
        <w:rPr>
          <w:color w:val="000000"/>
          <w:spacing w:val="6"/>
          <w:lang w:val="en-GB" w:eastAsia="en-GB"/>
        </w:rPr>
        <w:t xml:space="preserve"> and Ownerless Mines, Mine Water Management and Microzonation of Johannesburg. </w:t>
      </w:r>
    </w:p>
    <w:p w:rsidR="002C5571" w:rsidRPr="001E6CF3" w:rsidRDefault="002C5571" w:rsidP="00843CE2">
      <w:pPr>
        <w:tabs>
          <w:tab w:val="left" w:pos="426"/>
        </w:tabs>
        <w:spacing w:line="360" w:lineRule="auto"/>
        <w:ind w:right="-180"/>
        <w:jc w:val="both"/>
        <w:rPr>
          <w:color w:val="000000"/>
          <w:spacing w:val="6"/>
          <w:lang w:val="en-GB" w:eastAsia="en-GB"/>
        </w:rPr>
      </w:pPr>
    </w:p>
    <w:p w:rsidR="004D3434" w:rsidRPr="001E6CF3" w:rsidRDefault="004D3434" w:rsidP="00843CE2">
      <w:pPr>
        <w:tabs>
          <w:tab w:val="left" w:pos="426"/>
        </w:tabs>
        <w:spacing w:line="360" w:lineRule="auto"/>
        <w:ind w:right="-180"/>
        <w:jc w:val="both"/>
        <w:rPr>
          <w:color w:val="000000"/>
          <w:spacing w:val="6"/>
          <w:lang w:val="en-GB" w:eastAsia="en-GB"/>
        </w:rPr>
      </w:pPr>
      <w:r w:rsidRPr="001E6CF3">
        <w:rPr>
          <w:color w:val="000000"/>
          <w:spacing w:val="6"/>
          <w:lang w:val="en-GB" w:eastAsia="en-GB"/>
        </w:rPr>
        <w:t xml:space="preserve">Dr Makgae, the COO alluded </w:t>
      </w:r>
      <w:r w:rsidR="00A4361F" w:rsidRPr="001E6CF3">
        <w:rPr>
          <w:color w:val="000000"/>
          <w:spacing w:val="6"/>
          <w:lang w:val="en-GB" w:eastAsia="en-GB"/>
        </w:rPr>
        <w:t>to</w:t>
      </w:r>
      <w:r w:rsidRPr="001E6CF3">
        <w:rPr>
          <w:color w:val="000000"/>
          <w:spacing w:val="6"/>
          <w:lang w:val="en-GB" w:eastAsia="en-GB"/>
        </w:rPr>
        <w:t xml:space="preserve"> the importance of conducting research studies on shale gas exploration. She said shale gas is crucial for South African because it can provide clean</w:t>
      </w:r>
      <w:r w:rsidR="002C5571" w:rsidRPr="001E6CF3">
        <w:rPr>
          <w:color w:val="000000"/>
          <w:spacing w:val="6"/>
          <w:lang w:val="en-GB" w:eastAsia="en-GB"/>
        </w:rPr>
        <w:t xml:space="preserve">er </w:t>
      </w:r>
      <w:r w:rsidR="00EE55D7" w:rsidRPr="001E6CF3">
        <w:rPr>
          <w:color w:val="000000"/>
          <w:spacing w:val="6"/>
          <w:lang w:val="en-GB" w:eastAsia="en-GB"/>
        </w:rPr>
        <w:t>energy</w:t>
      </w:r>
      <w:r w:rsidRPr="001E6CF3">
        <w:rPr>
          <w:color w:val="000000"/>
          <w:spacing w:val="6"/>
          <w:lang w:val="en-GB" w:eastAsia="en-GB"/>
        </w:rPr>
        <w:t xml:space="preserve">, the country can be less reliable to coal usage and it will </w:t>
      </w:r>
      <w:r w:rsidR="002C5571" w:rsidRPr="001E6CF3">
        <w:rPr>
          <w:color w:val="000000"/>
          <w:spacing w:val="6"/>
          <w:lang w:val="en-GB" w:eastAsia="en-GB"/>
        </w:rPr>
        <w:t xml:space="preserve">boost </w:t>
      </w:r>
      <w:r w:rsidRPr="001E6CF3">
        <w:rPr>
          <w:color w:val="000000"/>
          <w:spacing w:val="6"/>
          <w:lang w:val="en-GB" w:eastAsia="en-GB"/>
        </w:rPr>
        <w:t xml:space="preserve">the economy of South Africa. She said the CGS shale gas project will serve as a baseline study for future shale gas research work and play a vital role in review of Petroleum Exploration and Exploitation Regulations. NEMA regulation will be utilised as a framework in identifying shortfalls of the environmental impacts of the shale gas exploration. </w:t>
      </w:r>
    </w:p>
    <w:p w:rsidR="004D3434" w:rsidRPr="001E6CF3" w:rsidRDefault="004D3434" w:rsidP="00843CE2">
      <w:pPr>
        <w:tabs>
          <w:tab w:val="left" w:pos="426"/>
        </w:tabs>
        <w:spacing w:line="360" w:lineRule="auto"/>
        <w:ind w:right="-180"/>
        <w:jc w:val="both"/>
        <w:rPr>
          <w:b/>
          <w:color w:val="000000"/>
          <w:spacing w:val="6"/>
          <w:lang w:val="en-GB" w:eastAsia="en-GB"/>
        </w:rPr>
      </w:pPr>
    </w:p>
    <w:p w:rsidR="00EE55D7"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management of Derelict and Ownerless mines is a task the CGS performs for the DMR. Field investigations are continuously improving the quality of information on the database, to help to prioritise which old mine sites need rehabilitation. The CGS will close mine holings in Limpopo and Gauteng, design rehabilitation measures for highly prioritised sites and assist with the annual review of DMR’s liability. Through the work of the CGS, Department officials have been made aware of the mega-shafts that are still open in Gauteng and the risk they are posing </w:t>
      </w:r>
      <w:r w:rsidR="00843CE2" w:rsidRPr="001E6CF3">
        <w:rPr>
          <w:color w:val="000000"/>
          <w:spacing w:val="6"/>
          <w:lang w:val="en-GB" w:eastAsia="en-GB"/>
        </w:rPr>
        <w:t>to communities</w:t>
      </w:r>
      <w:r w:rsidRPr="001E6CF3">
        <w:rPr>
          <w:color w:val="000000"/>
          <w:spacing w:val="6"/>
          <w:lang w:val="en-GB" w:eastAsia="en-GB"/>
        </w:rPr>
        <w:t xml:space="preserve">. </w:t>
      </w:r>
    </w:p>
    <w:p w:rsidR="00EE55D7" w:rsidRPr="001E6CF3" w:rsidRDefault="00EE55D7" w:rsidP="00843CE2">
      <w:pPr>
        <w:autoSpaceDN w:val="0"/>
        <w:spacing w:after="200" w:line="360" w:lineRule="auto"/>
        <w:jc w:val="both"/>
        <w:rPr>
          <w:color w:val="000000"/>
          <w:spacing w:val="6"/>
          <w:lang w:val="en-GB" w:eastAsia="en-GB"/>
        </w:rPr>
      </w:pPr>
      <w:r w:rsidRPr="001E6CF3">
        <w:rPr>
          <w:color w:val="000000"/>
          <w:spacing w:val="6"/>
          <w:lang w:val="en-GB" w:eastAsia="en-GB"/>
        </w:rPr>
        <w:t>The COO indicated that mine water projects are undertaken in the gold mines of the Witwatersrand and the coal mines in Mpumalanga. C</w:t>
      </w:r>
      <w:r w:rsidR="00A4361F" w:rsidRPr="001E6CF3">
        <w:rPr>
          <w:color w:val="000000"/>
          <w:spacing w:val="6"/>
          <w:lang w:val="en-GB" w:eastAsia="en-GB"/>
        </w:rPr>
        <w:t>G</w:t>
      </w:r>
      <w:r w:rsidRPr="001E6CF3">
        <w:rPr>
          <w:color w:val="000000"/>
          <w:spacing w:val="6"/>
          <w:lang w:val="en-GB" w:eastAsia="en-GB"/>
        </w:rPr>
        <w:t xml:space="preserve">S report the following Commercial Projects that </w:t>
      </w:r>
      <w:r w:rsidR="00A4361F" w:rsidRPr="001E6CF3">
        <w:rPr>
          <w:color w:val="000000"/>
          <w:spacing w:val="6"/>
          <w:lang w:val="en-GB" w:eastAsia="en-GB"/>
        </w:rPr>
        <w:t>are in progress</w:t>
      </w:r>
      <w:r w:rsidRPr="001E6CF3">
        <w:rPr>
          <w:color w:val="000000"/>
          <w:spacing w:val="6"/>
          <w:lang w:val="en-GB" w:eastAsia="en-GB"/>
        </w:rPr>
        <w:t>: Geological mapping in Namibia, Hydrogeological mapping of Malawi, Geological mapping of Malawi, Supervisory role in mapping of Cameroon, City of Johannesburg – ground water study, ENVIREE (EU)</w:t>
      </w:r>
      <w:r w:rsidR="006F2FB9" w:rsidRPr="001E6CF3">
        <w:rPr>
          <w:color w:val="000000"/>
          <w:spacing w:val="6"/>
          <w:lang w:val="en-GB" w:eastAsia="en-GB"/>
        </w:rPr>
        <w:t>,</w:t>
      </w:r>
      <w:r w:rsidRPr="001E6CF3">
        <w:rPr>
          <w:color w:val="000000"/>
          <w:spacing w:val="6"/>
          <w:lang w:val="en-GB" w:eastAsia="en-GB"/>
        </w:rPr>
        <w:t xml:space="preserve">  Feasibility of extraction of REE from mine wastes and SANEDI</w:t>
      </w:r>
      <w:r w:rsidR="006F2FB9" w:rsidRPr="001E6CF3">
        <w:rPr>
          <w:color w:val="000000"/>
          <w:spacing w:val="6"/>
          <w:lang w:val="en-GB" w:eastAsia="en-GB"/>
        </w:rPr>
        <w:t>,</w:t>
      </w:r>
      <w:r w:rsidRPr="001E6CF3">
        <w:rPr>
          <w:color w:val="000000"/>
          <w:spacing w:val="6"/>
          <w:lang w:val="en-GB" w:eastAsia="en-GB"/>
        </w:rPr>
        <w:t xml:space="preserve"> Carbon Capture Storage. </w:t>
      </w:r>
    </w:p>
    <w:p w:rsidR="00CC1D21" w:rsidRPr="001E6CF3" w:rsidRDefault="00CC1D21" w:rsidP="00843CE2">
      <w:pPr>
        <w:autoSpaceDN w:val="0"/>
        <w:spacing w:after="200" w:line="360" w:lineRule="auto"/>
        <w:jc w:val="both"/>
        <w:rPr>
          <w:color w:val="000000"/>
          <w:spacing w:val="6"/>
          <w:lang w:val="en-GB" w:eastAsia="en-GB"/>
        </w:rPr>
      </w:pPr>
      <w:r w:rsidRPr="001E6CF3">
        <w:rPr>
          <w:color w:val="000000"/>
          <w:spacing w:val="6"/>
          <w:lang w:val="en-GB" w:eastAsia="en-GB"/>
        </w:rPr>
        <w:t>The CGS reported that it has a 351 staff complement as of 31 March 2016.  The top Management consists of 3 African Male 1 African Female.</w:t>
      </w:r>
    </w:p>
    <w:p w:rsidR="00D53CC7" w:rsidRPr="001E6CF3" w:rsidRDefault="00CC1D21" w:rsidP="00843CE2">
      <w:pPr>
        <w:tabs>
          <w:tab w:val="left" w:pos="426"/>
        </w:tabs>
        <w:spacing w:line="360" w:lineRule="auto"/>
        <w:ind w:right="-180"/>
        <w:jc w:val="both"/>
        <w:rPr>
          <w:color w:val="000000"/>
          <w:spacing w:val="6"/>
          <w:lang w:val="en-GB" w:eastAsia="en-GB"/>
        </w:rPr>
      </w:pPr>
      <w:r w:rsidRPr="001E6CF3">
        <w:rPr>
          <w:color w:val="000000"/>
          <w:spacing w:val="6"/>
          <w:lang w:val="en-GB" w:eastAsia="en-GB"/>
        </w:rPr>
        <w:t>The CFO, Mr M</w:t>
      </w:r>
      <w:r w:rsidRPr="001E6CF3">
        <w:rPr>
          <w:b/>
          <w:color w:val="000000"/>
          <w:spacing w:val="6"/>
          <w:lang w:val="en-GB" w:eastAsia="en-GB"/>
        </w:rPr>
        <w:t xml:space="preserve"> </w:t>
      </w:r>
      <w:r w:rsidRPr="001E6CF3">
        <w:rPr>
          <w:color w:val="000000"/>
          <w:spacing w:val="6"/>
          <w:lang w:val="en-GB" w:eastAsia="en-GB"/>
        </w:rPr>
        <w:t>Matsepe presented the budget for 2015/16</w:t>
      </w:r>
      <w:r w:rsidR="006F2FB9" w:rsidRPr="001E6CF3">
        <w:rPr>
          <w:color w:val="000000"/>
          <w:spacing w:val="6"/>
          <w:lang w:val="en-GB" w:eastAsia="en-GB"/>
        </w:rPr>
        <w:t xml:space="preserve"> </w:t>
      </w:r>
      <w:r w:rsidRPr="001E6CF3">
        <w:rPr>
          <w:color w:val="000000"/>
          <w:spacing w:val="6"/>
          <w:lang w:val="en-GB" w:eastAsia="en-GB"/>
        </w:rPr>
        <w:t xml:space="preserve">- 2018/19. </w:t>
      </w:r>
      <w:r w:rsidR="00C2035A" w:rsidRPr="001E6CF3">
        <w:rPr>
          <w:color w:val="000000"/>
          <w:spacing w:val="6"/>
          <w:lang w:val="en-GB" w:eastAsia="en-GB"/>
        </w:rPr>
        <w:t xml:space="preserve">He indicated that CGS received total income of </w:t>
      </w:r>
      <w:r w:rsidR="002C5571" w:rsidRPr="001E6CF3">
        <w:rPr>
          <w:color w:val="000000"/>
          <w:spacing w:val="6"/>
          <w:lang w:val="en-GB" w:eastAsia="en-GB"/>
        </w:rPr>
        <w:t>R492.</w:t>
      </w:r>
      <w:r w:rsidR="00C2035A" w:rsidRPr="001E6CF3">
        <w:rPr>
          <w:color w:val="000000"/>
          <w:spacing w:val="6"/>
          <w:lang w:val="en-GB" w:eastAsia="en-GB"/>
        </w:rPr>
        <w:t>501</w:t>
      </w:r>
      <w:r w:rsidR="002C5571" w:rsidRPr="001E6CF3">
        <w:rPr>
          <w:color w:val="000000"/>
          <w:spacing w:val="6"/>
          <w:lang w:val="en-GB" w:eastAsia="en-GB"/>
        </w:rPr>
        <w:t>-million</w:t>
      </w:r>
      <w:r w:rsidR="00C2035A" w:rsidRPr="001E6CF3">
        <w:rPr>
          <w:color w:val="000000"/>
          <w:spacing w:val="6"/>
          <w:lang w:val="en-GB" w:eastAsia="en-GB"/>
        </w:rPr>
        <w:t xml:space="preserve"> for 2015/16 and projected to receive </w:t>
      </w:r>
      <w:r w:rsidR="002C5571" w:rsidRPr="001E6CF3">
        <w:rPr>
          <w:color w:val="000000"/>
          <w:spacing w:val="6"/>
          <w:lang w:val="en-GB" w:eastAsia="en-GB"/>
        </w:rPr>
        <w:t>R</w:t>
      </w:r>
      <w:r w:rsidR="00C2035A" w:rsidRPr="001E6CF3">
        <w:rPr>
          <w:color w:val="000000"/>
          <w:spacing w:val="6"/>
          <w:lang w:val="en-GB" w:eastAsia="en-GB"/>
        </w:rPr>
        <w:t>359</w:t>
      </w:r>
      <w:r w:rsidR="002C5571" w:rsidRPr="001E6CF3">
        <w:rPr>
          <w:color w:val="000000"/>
          <w:spacing w:val="6"/>
          <w:lang w:val="en-GB" w:eastAsia="en-GB"/>
        </w:rPr>
        <w:t>.</w:t>
      </w:r>
      <w:r w:rsidR="00C2035A" w:rsidRPr="001E6CF3">
        <w:rPr>
          <w:color w:val="000000"/>
          <w:spacing w:val="6"/>
          <w:lang w:val="en-GB" w:eastAsia="en-GB"/>
        </w:rPr>
        <w:t>796</w:t>
      </w:r>
      <w:r w:rsidR="002C5571" w:rsidRPr="001E6CF3">
        <w:rPr>
          <w:color w:val="000000"/>
          <w:spacing w:val="6"/>
          <w:lang w:val="en-GB" w:eastAsia="en-GB"/>
        </w:rPr>
        <w:t>-m</w:t>
      </w:r>
      <w:r w:rsidR="00C2035A" w:rsidRPr="001E6CF3">
        <w:rPr>
          <w:color w:val="000000"/>
          <w:spacing w:val="6"/>
          <w:lang w:val="en-GB" w:eastAsia="en-GB"/>
        </w:rPr>
        <w:t xml:space="preserve"> for 2018/19. The income was as a result of </w:t>
      </w:r>
      <w:r w:rsidR="006F2FB9" w:rsidRPr="001E6CF3">
        <w:rPr>
          <w:color w:val="000000"/>
          <w:spacing w:val="6"/>
          <w:lang w:val="en-GB" w:eastAsia="en-GB"/>
        </w:rPr>
        <w:t>Government</w:t>
      </w:r>
      <w:r w:rsidR="00C2035A" w:rsidRPr="001E6CF3">
        <w:rPr>
          <w:color w:val="000000"/>
          <w:spacing w:val="6"/>
          <w:lang w:val="en-GB" w:eastAsia="en-GB"/>
        </w:rPr>
        <w:t xml:space="preserve"> grants, deferred income, sale and contracts and sundry income. With regards to expenditure, CGS has a total expenditure of </w:t>
      </w:r>
      <w:r w:rsidR="002C5571" w:rsidRPr="001E6CF3">
        <w:rPr>
          <w:color w:val="000000"/>
          <w:spacing w:val="6"/>
          <w:lang w:val="en-GB" w:eastAsia="en-GB"/>
        </w:rPr>
        <w:t>R</w:t>
      </w:r>
      <w:r w:rsidR="00C2035A" w:rsidRPr="001E6CF3">
        <w:rPr>
          <w:color w:val="000000"/>
          <w:spacing w:val="6"/>
          <w:lang w:val="en-GB" w:eastAsia="en-GB"/>
        </w:rPr>
        <w:t>492</w:t>
      </w:r>
      <w:r w:rsidR="002C5571" w:rsidRPr="001E6CF3">
        <w:rPr>
          <w:color w:val="000000"/>
          <w:spacing w:val="6"/>
          <w:lang w:val="en-GB" w:eastAsia="en-GB"/>
        </w:rPr>
        <w:t>.</w:t>
      </w:r>
      <w:r w:rsidR="00C2035A" w:rsidRPr="001E6CF3">
        <w:rPr>
          <w:color w:val="000000"/>
          <w:spacing w:val="6"/>
          <w:lang w:val="en-GB" w:eastAsia="en-GB"/>
        </w:rPr>
        <w:t>501</w:t>
      </w:r>
      <w:r w:rsidR="002C5571" w:rsidRPr="001E6CF3">
        <w:rPr>
          <w:color w:val="000000"/>
          <w:spacing w:val="6"/>
          <w:lang w:val="en-GB" w:eastAsia="en-GB"/>
        </w:rPr>
        <w:t>-m</w:t>
      </w:r>
      <w:r w:rsidR="00C2035A" w:rsidRPr="001E6CF3">
        <w:rPr>
          <w:color w:val="000000"/>
          <w:spacing w:val="6"/>
          <w:lang w:val="en-GB" w:eastAsia="en-GB"/>
        </w:rPr>
        <w:t xml:space="preserve"> for 2015/16 and projected to have </w:t>
      </w:r>
      <w:r w:rsidR="002C5571" w:rsidRPr="001E6CF3">
        <w:rPr>
          <w:color w:val="000000"/>
          <w:spacing w:val="6"/>
          <w:lang w:val="en-GB" w:eastAsia="en-GB"/>
        </w:rPr>
        <w:t>R</w:t>
      </w:r>
      <w:r w:rsidR="00C2035A" w:rsidRPr="001E6CF3">
        <w:rPr>
          <w:color w:val="000000"/>
          <w:spacing w:val="6"/>
          <w:lang w:val="en-GB" w:eastAsia="en-GB"/>
        </w:rPr>
        <w:t>421</w:t>
      </w:r>
      <w:r w:rsidR="00843CE2" w:rsidRPr="001E6CF3">
        <w:rPr>
          <w:color w:val="000000"/>
          <w:spacing w:val="6"/>
          <w:lang w:val="en-GB" w:eastAsia="en-GB"/>
        </w:rPr>
        <w:t>, 965</w:t>
      </w:r>
      <w:r w:rsidR="002C5571" w:rsidRPr="001E6CF3">
        <w:rPr>
          <w:color w:val="000000"/>
          <w:spacing w:val="6"/>
          <w:lang w:val="en-GB" w:eastAsia="en-GB"/>
        </w:rPr>
        <w:t>-m</w:t>
      </w:r>
      <w:r w:rsidR="00C2035A" w:rsidRPr="001E6CF3">
        <w:rPr>
          <w:color w:val="000000"/>
          <w:spacing w:val="6"/>
          <w:lang w:val="en-GB" w:eastAsia="en-GB"/>
        </w:rPr>
        <w:t xml:space="preserve"> for 2018/19. Surplus before Capital Expenditure of </w:t>
      </w:r>
      <w:r w:rsidR="002C5571" w:rsidRPr="001E6CF3">
        <w:rPr>
          <w:color w:val="000000"/>
          <w:spacing w:val="6"/>
          <w:lang w:val="en-GB" w:eastAsia="en-GB"/>
        </w:rPr>
        <w:t>R</w:t>
      </w:r>
      <w:r w:rsidR="00C2035A" w:rsidRPr="001E6CF3">
        <w:rPr>
          <w:color w:val="000000"/>
          <w:spacing w:val="6"/>
          <w:lang w:val="en-GB" w:eastAsia="en-GB"/>
        </w:rPr>
        <w:t>85</w:t>
      </w:r>
      <w:r w:rsidR="002C5571" w:rsidRPr="001E6CF3">
        <w:rPr>
          <w:color w:val="000000"/>
          <w:spacing w:val="6"/>
          <w:lang w:val="en-GB" w:eastAsia="en-GB"/>
        </w:rPr>
        <w:t>.</w:t>
      </w:r>
      <w:r w:rsidR="00C2035A" w:rsidRPr="001E6CF3">
        <w:rPr>
          <w:color w:val="000000"/>
          <w:spacing w:val="6"/>
          <w:lang w:val="en-GB" w:eastAsia="en-GB"/>
        </w:rPr>
        <w:t>981</w:t>
      </w:r>
      <w:r w:rsidR="002C5571" w:rsidRPr="001E6CF3">
        <w:rPr>
          <w:color w:val="000000"/>
          <w:spacing w:val="6"/>
          <w:lang w:val="en-GB" w:eastAsia="en-GB"/>
        </w:rPr>
        <w:t>m</w:t>
      </w:r>
      <w:r w:rsidR="006F2FB9" w:rsidRPr="001E6CF3">
        <w:rPr>
          <w:color w:val="000000"/>
          <w:spacing w:val="6"/>
          <w:lang w:val="en-GB" w:eastAsia="en-GB"/>
        </w:rPr>
        <w:t>illion</w:t>
      </w:r>
      <w:r w:rsidR="00C2035A" w:rsidRPr="001E6CF3">
        <w:rPr>
          <w:color w:val="000000"/>
          <w:spacing w:val="6"/>
          <w:lang w:val="en-GB" w:eastAsia="en-GB"/>
        </w:rPr>
        <w:t xml:space="preserve"> has been recorded. The CFO reported that the baseline allocation for 2015/</w:t>
      </w:r>
      <w:r w:rsidR="006F4AB4" w:rsidRPr="001E6CF3">
        <w:rPr>
          <w:color w:val="000000"/>
          <w:spacing w:val="6"/>
          <w:lang w:val="en-GB" w:eastAsia="en-GB"/>
        </w:rPr>
        <w:t>16 for</w:t>
      </w:r>
      <w:r w:rsidR="00C2035A" w:rsidRPr="001E6CF3">
        <w:rPr>
          <w:color w:val="000000"/>
          <w:spacing w:val="6"/>
          <w:lang w:val="en-GB" w:eastAsia="en-GB"/>
        </w:rPr>
        <w:t xml:space="preserve"> </w:t>
      </w:r>
      <w:r w:rsidR="002C5571" w:rsidRPr="001E6CF3">
        <w:rPr>
          <w:color w:val="000000"/>
          <w:spacing w:val="6"/>
          <w:lang w:val="en-GB" w:eastAsia="en-GB"/>
        </w:rPr>
        <w:t xml:space="preserve">the </w:t>
      </w:r>
      <w:r w:rsidR="00C2035A" w:rsidRPr="001E6CF3">
        <w:rPr>
          <w:color w:val="000000"/>
          <w:spacing w:val="6"/>
          <w:lang w:val="en-GB" w:eastAsia="en-GB"/>
        </w:rPr>
        <w:t>mine rehabilitation programme</w:t>
      </w:r>
      <w:r w:rsidR="006F4AB4" w:rsidRPr="001E6CF3">
        <w:rPr>
          <w:color w:val="000000"/>
          <w:spacing w:val="6"/>
          <w:lang w:val="en-GB" w:eastAsia="en-GB"/>
        </w:rPr>
        <w:t>, mine</w:t>
      </w:r>
      <w:r w:rsidR="00C2035A" w:rsidRPr="001E6CF3">
        <w:rPr>
          <w:color w:val="000000"/>
          <w:spacing w:val="6"/>
          <w:lang w:val="en-GB" w:eastAsia="en-GB"/>
        </w:rPr>
        <w:t xml:space="preserve"> water ingress project, shale gas, economic competitiveness support package (ECSP), stimulation of Investment in the mineral section and Laboratory and infrastructure (AC) amounted </w:t>
      </w:r>
      <w:r w:rsidR="006F2FB9" w:rsidRPr="001E6CF3">
        <w:rPr>
          <w:color w:val="000000"/>
          <w:spacing w:val="6"/>
          <w:lang w:val="en-GB" w:eastAsia="en-GB"/>
        </w:rPr>
        <w:t>to R165.3</w:t>
      </w:r>
      <w:r w:rsidR="00C2035A" w:rsidRPr="001E6CF3">
        <w:rPr>
          <w:color w:val="000000"/>
          <w:spacing w:val="6"/>
          <w:lang w:val="en-GB" w:eastAsia="en-GB"/>
        </w:rPr>
        <w:t xml:space="preserve"> million. The total government grant is </w:t>
      </w:r>
      <w:r w:rsidR="002C5571" w:rsidRPr="001E6CF3">
        <w:rPr>
          <w:color w:val="000000"/>
          <w:spacing w:val="6"/>
          <w:lang w:val="en-GB" w:eastAsia="en-GB"/>
        </w:rPr>
        <w:t>R</w:t>
      </w:r>
      <w:r w:rsidR="00C2035A" w:rsidRPr="001E6CF3">
        <w:rPr>
          <w:color w:val="000000"/>
          <w:spacing w:val="6"/>
          <w:lang w:val="en-GB" w:eastAsia="en-GB"/>
        </w:rPr>
        <w:t>342.9 million</w:t>
      </w:r>
      <w:r w:rsidR="00D53CC7" w:rsidRPr="001E6CF3">
        <w:rPr>
          <w:color w:val="000000"/>
          <w:spacing w:val="6"/>
          <w:lang w:val="en-GB" w:eastAsia="en-GB"/>
        </w:rPr>
        <w:t>.</w:t>
      </w:r>
      <w:r w:rsidR="007275FE" w:rsidRPr="001E6CF3">
        <w:rPr>
          <w:color w:val="000000"/>
          <w:spacing w:val="6"/>
          <w:lang w:val="en-GB" w:eastAsia="en-GB"/>
        </w:rPr>
        <w:t xml:space="preserve"> </w:t>
      </w:r>
    </w:p>
    <w:p w:rsidR="007275FE" w:rsidRPr="001E6CF3" w:rsidRDefault="007275FE" w:rsidP="00843CE2">
      <w:pPr>
        <w:tabs>
          <w:tab w:val="left" w:pos="426"/>
        </w:tabs>
        <w:spacing w:line="360" w:lineRule="auto"/>
        <w:ind w:right="-180"/>
        <w:jc w:val="both"/>
        <w:rPr>
          <w:color w:val="000000"/>
          <w:spacing w:val="6"/>
          <w:lang w:val="en-GB" w:eastAsia="en-GB"/>
        </w:rPr>
      </w:pPr>
    </w:p>
    <w:p w:rsidR="007275FE" w:rsidRPr="001E6CF3" w:rsidRDefault="007275FE" w:rsidP="00843CE2">
      <w:pPr>
        <w:tabs>
          <w:tab w:val="left" w:pos="426"/>
        </w:tabs>
        <w:spacing w:line="360" w:lineRule="auto"/>
        <w:ind w:right="-180"/>
        <w:jc w:val="both"/>
        <w:rPr>
          <w:color w:val="000000"/>
          <w:spacing w:val="6"/>
          <w:lang w:val="en-GB" w:eastAsia="en-GB"/>
        </w:rPr>
      </w:pPr>
      <w:r w:rsidRPr="001E6CF3">
        <w:rPr>
          <w:color w:val="000000"/>
          <w:spacing w:val="6"/>
          <w:lang w:val="en-GB" w:eastAsia="en-GB"/>
        </w:rPr>
        <w:t xml:space="preserve">With regards </w:t>
      </w:r>
      <w:r w:rsidR="00BE281F" w:rsidRPr="001E6CF3">
        <w:rPr>
          <w:color w:val="000000"/>
          <w:spacing w:val="6"/>
          <w:lang w:val="en-GB" w:eastAsia="en-GB"/>
        </w:rPr>
        <w:t xml:space="preserve">to </w:t>
      </w:r>
      <w:r w:rsidRPr="001E6CF3">
        <w:rPr>
          <w:color w:val="000000"/>
          <w:spacing w:val="6"/>
          <w:lang w:val="en-GB" w:eastAsia="en-GB"/>
        </w:rPr>
        <w:t xml:space="preserve">personnel and operational costs, </w:t>
      </w:r>
      <w:r w:rsidR="00BE281F" w:rsidRPr="001E6CF3">
        <w:rPr>
          <w:color w:val="000000"/>
          <w:spacing w:val="6"/>
          <w:lang w:val="en-GB" w:eastAsia="en-GB"/>
        </w:rPr>
        <w:t>R</w:t>
      </w:r>
      <w:r w:rsidRPr="001E6CF3">
        <w:rPr>
          <w:color w:val="000000"/>
          <w:spacing w:val="6"/>
          <w:lang w:val="en-GB" w:eastAsia="en-GB"/>
        </w:rPr>
        <w:t>196</w:t>
      </w:r>
      <w:r w:rsidR="00BE281F" w:rsidRPr="001E6CF3">
        <w:rPr>
          <w:color w:val="000000"/>
          <w:spacing w:val="6"/>
          <w:lang w:val="en-GB" w:eastAsia="en-GB"/>
        </w:rPr>
        <w:t>.</w:t>
      </w:r>
      <w:r w:rsidRPr="001E6CF3">
        <w:rPr>
          <w:color w:val="000000"/>
          <w:spacing w:val="6"/>
          <w:lang w:val="en-GB" w:eastAsia="en-GB"/>
        </w:rPr>
        <w:t>148</w:t>
      </w:r>
      <w:r w:rsidR="006F2FB9" w:rsidRPr="001E6CF3">
        <w:rPr>
          <w:color w:val="000000"/>
          <w:spacing w:val="6"/>
          <w:lang w:val="en-GB" w:eastAsia="en-GB"/>
        </w:rPr>
        <w:t xml:space="preserve"> </w:t>
      </w:r>
      <w:r w:rsidR="00BE281F" w:rsidRPr="001E6CF3">
        <w:rPr>
          <w:color w:val="000000"/>
          <w:spacing w:val="6"/>
          <w:lang w:val="en-GB" w:eastAsia="en-GB"/>
        </w:rPr>
        <w:t>m</w:t>
      </w:r>
      <w:r w:rsidR="006F2FB9" w:rsidRPr="001E6CF3">
        <w:rPr>
          <w:color w:val="000000"/>
          <w:spacing w:val="6"/>
          <w:lang w:val="en-GB" w:eastAsia="en-GB"/>
        </w:rPr>
        <w:t>illion</w:t>
      </w:r>
      <w:r w:rsidRPr="001E6CF3">
        <w:rPr>
          <w:color w:val="000000"/>
          <w:spacing w:val="6"/>
          <w:lang w:val="en-GB" w:eastAsia="en-GB"/>
        </w:rPr>
        <w:t xml:space="preserve"> was budgeted for 2015/16 on personnel cost</w:t>
      </w:r>
      <w:r w:rsidR="00BE281F" w:rsidRPr="001E6CF3">
        <w:rPr>
          <w:color w:val="000000"/>
          <w:spacing w:val="6"/>
          <w:lang w:val="en-GB" w:eastAsia="en-GB"/>
        </w:rPr>
        <w:t>s</w:t>
      </w:r>
      <w:r w:rsidRPr="001E6CF3">
        <w:rPr>
          <w:color w:val="000000"/>
          <w:spacing w:val="6"/>
          <w:lang w:val="en-GB" w:eastAsia="en-GB"/>
        </w:rPr>
        <w:t xml:space="preserve"> and </w:t>
      </w:r>
      <w:r w:rsidR="00BE281F" w:rsidRPr="001E6CF3">
        <w:rPr>
          <w:color w:val="000000"/>
          <w:spacing w:val="6"/>
          <w:lang w:val="en-GB" w:eastAsia="en-GB"/>
        </w:rPr>
        <w:t>R</w:t>
      </w:r>
      <w:r w:rsidRPr="001E6CF3">
        <w:rPr>
          <w:color w:val="000000"/>
          <w:spacing w:val="6"/>
          <w:lang w:val="en-GB" w:eastAsia="en-GB"/>
        </w:rPr>
        <w:t>29</w:t>
      </w:r>
      <w:r w:rsidR="00BE281F" w:rsidRPr="001E6CF3">
        <w:rPr>
          <w:color w:val="000000"/>
          <w:spacing w:val="6"/>
          <w:lang w:val="en-GB" w:eastAsia="en-GB"/>
        </w:rPr>
        <w:t>.</w:t>
      </w:r>
      <w:r w:rsidRPr="001E6CF3">
        <w:rPr>
          <w:color w:val="000000"/>
          <w:spacing w:val="6"/>
          <w:lang w:val="en-GB" w:eastAsia="en-GB"/>
        </w:rPr>
        <w:t>643</w:t>
      </w:r>
      <w:r w:rsidR="006F2FB9" w:rsidRPr="001E6CF3">
        <w:rPr>
          <w:color w:val="000000"/>
          <w:spacing w:val="6"/>
          <w:lang w:val="en-GB" w:eastAsia="en-GB"/>
        </w:rPr>
        <w:t xml:space="preserve"> </w:t>
      </w:r>
      <w:r w:rsidR="00BE281F" w:rsidRPr="001E6CF3">
        <w:rPr>
          <w:color w:val="000000"/>
          <w:spacing w:val="6"/>
          <w:lang w:val="en-GB" w:eastAsia="en-GB"/>
        </w:rPr>
        <w:t>m</w:t>
      </w:r>
      <w:r w:rsidR="006F2FB9" w:rsidRPr="001E6CF3">
        <w:rPr>
          <w:color w:val="000000"/>
          <w:spacing w:val="6"/>
          <w:lang w:val="en-GB" w:eastAsia="en-GB"/>
        </w:rPr>
        <w:t>illion</w:t>
      </w:r>
      <w:r w:rsidRPr="001E6CF3">
        <w:rPr>
          <w:color w:val="000000"/>
          <w:spacing w:val="6"/>
          <w:lang w:val="en-GB" w:eastAsia="en-GB"/>
        </w:rPr>
        <w:t xml:space="preserve"> on operational cost</w:t>
      </w:r>
      <w:r w:rsidR="00BE281F" w:rsidRPr="001E6CF3">
        <w:rPr>
          <w:color w:val="000000"/>
          <w:spacing w:val="6"/>
          <w:lang w:val="en-GB" w:eastAsia="en-GB"/>
        </w:rPr>
        <w:t>s</w:t>
      </w:r>
      <w:r w:rsidRPr="001E6CF3">
        <w:rPr>
          <w:color w:val="000000"/>
          <w:spacing w:val="6"/>
          <w:lang w:val="en-GB" w:eastAsia="en-GB"/>
        </w:rPr>
        <w:t xml:space="preserve"> and there was a total shortfall of </w:t>
      </w:r>
      <w:r w:rsidR="00BE281F" w:rsidRPr="001E6CF3">
        <w:rPr>
          <w:color w:val="000000"/>
          <w:spacing w:val="6"/>
          <w:lang w:val="en-GB" w:eastAsia="en-GB"/>
        </w:rPr>
        <w:t>R</w:t>
      </w:r>
      <w:r w:rsidRPr="001E6CF3">
        <w:rPr>
          <w:color w:val="000000"/>
          <w:spacing w:val="6"/>
          <w:lang w:val="en-GB" w:eastAsia="en-GB"/>
        </w:rPr>
        <w:t>60</w:t>
      </w:r>
      <w:r w:rsidR="00BE281F" w:rsidRPr="001E6CF3">
        <w:rPr>
          <w:color w:val="000000"/>
          <w:spacing w:val="6"/>
          <w:lang w:val="en-GB" w:eastAsia="en-GB"/>
        </w:rPr>
        <w:t>.</w:t>
      </w:r>
      <w:r w:rsidRPr="001E6CF3">
        <w:rPr>
          <w:color w:val="000000"/>
          <w:spacing w:val="6"/>
          <w:lang w:val="en-GB" w:eastAsia="en-GB"/>
        </w:rPr>
        <w:t>490</w:t>
      </w:r>
      <w:r w:rsidR="006F2FB9" w:rsidRPr="001E6CF3">
        <w:rPr>
          <w:color w:val="000000"/>
          <w:spacing w:val="6"/>
          <w:lang w:val="en-GB" w:eastAsia="en-GB"/>
        </w:rPr>
        <w:t xml:space="preserve"> </w:t>
      </w:r>
      <w:r w:rsidR="00BE281F" w:rsidRPr="001E6CF3">
        <w:rPr>
          <w:color w:val="000000"/>
          <w:spacing w:val="6"/>
          <w:lang w:val="en-GB" w:eastAsia="en-GB"/>
        </w:rPr>
        <w:t>m</w:t>
      </w:r>
      <w:r w:rsidR="006F2FB9" w:rsidRPr="001E6CF3">
        <w:rPr>
          <w:color w:val="000000"/>
          <w:spacing w:val="6"/>
          <w:lang w:val="en-GB" w:eastAsia="en-GB"/>
        </w:rPr>
        <w:t>illion</w:t>
      </w:r>
      <w:r w:rsidRPr="001E6CF3">
        <w:rPr>
          <w:color w:val="000000"/>
          <w:spacing w:val="6"/>
          <w:lang w:val="en-GB" w:eastAsia="en-GB"/>
        </w:rPr>
        <w:t>. For 2016/17</w:t>
      </w:r>
      <w:r w:rsidR="00BE281F" w:rsidRPr="001E6CF3">
        <w:rPr>
          <w:color w:val="000000"/>
          <w:spacing w:val="6"/>
          <w:lang w:val="en-GB" w:eastAsia="en-GB"/>
        </w:rPr>
        <w:t>,</w:t>
      </w:r>
      <w:r w:rsidRPr="001E6CF3">
        <w:rPr>
          <w:color w:val="000000"/>
          <w:spacing w:val="6"/>
          <w:lang w:val="en-GB" w:eastAsia="en-GB"/>
        </w:rPr>
        <w:t xml:space="preserve"> </w:t>
      </w:r>
      <w:r w:rsidR="00BE281F" w:rsidRPr="001E6CF3">
        <w:rPr>
          <w:color w:val="000000"/>
          <w:spacing w:val="6"/>
          <w:lang w:val="en-GB" w:eastAsia="en-GB"/>
        </w:rPr>
        <w:t xml:space="preserve">there is </w:t>
      </w:r>
      <w:r w:rsidRPr="001E6CF3">
        <w:rPr>
          <w:color w:val="000000"/>
          <w:spacing w:val="6"/>
          <w:lang w:val="en-GB" w:eastAsia="en-GB"/>
        </w:rPr>
        <w:t xml:space="preserve">a baseline allocation </w:t>
      </w:r>
      <w:r w:rsidR="006F4AB4" w:rsidRPr="001E6CF3">
        <w:rPr>
          <w:color w:val="000000"/>
          <w:spacing w:val="6"/>
          <w:lang w:val="en-GB" w:eastAsia="en-GB"/>
        </w:rPr>
        <w:t>of R184.592</w:t>
      </w:r>
      <w:r w:rsidRPr="001E6CF3">
        <w:rPr>
          <w:color w:val="000000"/>
          <w:spacing w:val="6"/>
          <w:lang w:val="en-GB" w:eastAsia="en-GB"/>
        </w:rPr>
        <w:t xml:space="preserve"> against personnel cost of </w:t>
      </w:r>
      <w:r w:rsidR="00BE281F" w:rsidRPr="001E6CF3">
        <w:rPr>
          <w:color w:val="000000"/>
          <w:spacing w:val="6"/>
          <w:lang w:val="en-GB" w:eastAsia="en-GB"/>
        </w:rPr>
        <w:t>R</w:t>
      </w:r>
      <w:r w:rsidRPr="001E6CF3">
        <w:rPr>
          <w:color w:val="000000"/>
          <w:spacing w:val="6"/>
          <w:lang w:val="en-GB" w:eastAsia="en-GB"/>
        </w:rPr>
        <w:t>211</w:t>
      </w:r>
      <w:r w:rsidR="00BE281F" w:rsidRPr="001E6CF3">
        <w:rPr>
          <w:color w:val="000000"/>
          <w:spacing w:val="6"/>
          <w:lang w:val="en-GB" w:eastAsia="en-GB"/>
        </w:rPr>
        <w:t>.</w:t>
      </w:r>
      <w:r w:rsidRPr="001E6CF3">
        <w:rPr>
          <w:color w:val="000000"/>
          <w:spacing w:val="6"/>
          <w:lang w:val="en-GB" w:eastAsia="en-GB"/>
        </w:rPr>
        <w:t>840</w:t>
      </w:r>
      <w:r w:rsidR="006F2FB9" w:rsidRPr="001E6CF3">
        <w:rPr>
          <w:color w:val="000000"/>
          <w:spacing w:val="6"/>
          <w:lang w:val="en-GB" w:eastAsia="en-GB"/>
        </w:rPr>
        <w:t xml:space="preserve"> </w:t>
      </w:r>
      <w:r w:rsidR="00BE281F" w:rsidRPr="001E6CF3">
        <w:rPr>
          <w:color w:val="000000"/>
          <w:spacing w:val="6"/>
          <w:lang w:val="en-GB" w:eastAsia="en-GB"/>
        </w:rPr>
        <w:t>m</w:t>
      </w:r>
      <w:r w:rsidR="006F2FB9" w:rsidRPr="001E6CF3">
        <w:rPr>
          <w:color w:val="000000"/>
          <w:spacing w:val="6"/>
          <w:lang w:val="en-GB" w:eastAsia="en-GB"/>
        </w:rPr>
        <w:t>illion</w:t>
      </w:r>
      <w:r w:rsidRPr="001E6CF3">
        <w:rPr>
          <w:color w:val="000000"/>
          <w:spacing w:val="6"/>
          <w:lang w:val="en-GB" w:eastAsia="en-GB"/>
        </w:rPr>
        <w:t xml:space="preserve"> and operational cost of </w:t>
      </w:r>
      <w:r w:rsidR="00BE281F" w:rsidRPr="001E6CF3">
        <w:rPr>
          <w:color w:val="000000"/>
          <w:spacing w:val="6"/>
          <w:lang w:val="en-GB" w:eastAsia="en-GB"/>
        </w:rPr>
        <w:t>R</w:t>
      </w:r>
      <w:r w:rsidRPr="001E6CF3">
        <w:rPr>
          <w:color w:val="000000"/>
          <w:spacing w:val="6"/>
          <w:lang w:val="en-GB" w:eastAsia="en-GB"/>
        </w:rPr>
        <w:t>33</w:t>
      </w:r>
      <w:r w:rsidR="00BE281F" w:rsidRPr="001E6CF3">
        <w:rPr>
          <w:color w:val="000000"/>
          <w:spacing w:val="6"/>
          <w:lang w:val="en-GB" w:eastAsia="en-GB"/>
        </w:rPr>
        <w:t>.</w:t>
      </w:r>
      <w:r w:rsidRPr="001E6CF3">
        <w:rPr>
          <w:color w:val="000000"/>
          <w:spacing w:val="6"/>
          <w:lang w:val="en-GB" w:eastAsia="en-GB"/>
        </w:rPr>
        <w:t>104</w:t>
      </w:r>
      <w:r w:rsidR="006F2FB9" w:rsidRPr="001E6CF3">
        <w:rPr>
          <w:color w:val="000000"/>
          <w:spacing w:val="6"/>
          <w:lang w:val="en-GB" w:eastAsia="en-GB"/>
        </w:rPr>
        <w:t xml:space="preserve"> </w:t>
      </w:r>
      <w:r w:rsidR="00BE281F" w:rsidRPr="001E6CF3">
        <w:rPr>
          <w:color w:val="000000"/>
          <w:spacing w:val="6"/>
          <w:lang w:val="en-GB" w:eastAsia="en-GB"/>
        </w:rPr>
        <w:t>m</w:t>
      </w:r>
      <w:r w:rsidR="006F2FB9" w:rsidRPr="001E6CF3">
        <w:rPr>
          <w:color w:val="000000"/>
          <w:spacing w:val="6"/>
          <w:lang w:val="en-GB" w:eastAsia="en-GB"/>
        </w:rPr>
        <w:t>illion</w:t>
      </w:r>
      <w:r w:rsidRPr="001E6CF3">
        <w:rPr>
          <w:color w:val="000000"/>
          <w:spacing w:val="6"/>
          <w:lang w:val="en-GB" w:eastAsia="en-GB"/>
        </w:rPr>
        <w:t xml:space="preserve"> and there is a total shortfall of </w:t>
      </w:r>
      <w:r w:rsidR="00BE281F" w:rsidRPr="001E6CF3">
        <w:rPr>
          <w:color w:val="000000"/>
          <w:spacing w:val="6"/>
          <w:lang w:val="en-GB" w:eastAsia="en-GB"/>
        </w:rPr>
        <w:t>R</w:t>
      </w:r>
      <w:r w:rsidRPr="001E6CF3">
        <w:rPr>
          <w:color w:val="000000"/>
          <w:spacing w:val="6"/>
          <w:lang w:val="en-GB" w:eastAsia="en-GB"/>
        </w:rPr>
        <w:t>60</w:t>
      </w:r>
      <w:r w:rsidR="00BE281F" w:rsidRPr="001E6CF3">
        <w:rPr>
          <w:color w:val="000000"/>
          <w:spacing w:val="6"/>
          <w:lang w:val="en-GB" w:eastAsia="en-GB"/>
        </w:rPr>
        <w:t>.</w:t>
      </w:r>
      <w:r w:rsidRPr="001E6CF3">
        <w:rPr>
          <w:color w:val="000000"/>
          <w:spacing w:val="6"/>
          <w:lang w:val="en-GB" w:eastAsia="en-GB"/>
        </w:rPr>
        <w:t>352</w:t>
      </w:r>
      <w:r w:rsidR="00BE281F" w:rsidRPr="001E6CF3">
        <w:rPr>
          <w:color w:val="000000"/>
          <w:spacing w:val="6"/>
          <w:lang w:val="en-GB" w:eastAsia="en-GB"/>
        </w:rPr>
        <w:t>-m</w:t>
      </w:r>
      <w:r w:rsidR="00474B66" w:rsidRPr="001E6CF3">
        <w:rPr>
          <w:color w:val="000000"/>
          <w:spacing w:val="6"/>
          <w:lang w:val="en-GB" w:eastAsia="en-GB"/>
        </w:rPr>
        <w:t>.</w:t>
      </w:r>
    </w:p>
    <w:p w:rsidR="007275FE" w:rsidRPr="001E6CF3" w:rsidRDefault="007275FE" w:rsidP="00843CE2">
      <w:pPr>
        <w:tabs>
          <w:tab w:val="left" w:pos="426"/>
        </w:tabs>
        <w:spacing w:line="360" w:lineRule="auto"/>
        <w:ind w:right="-180"/>
        <w:jc w:val="both"/>
        <w:rPr>
          <w:color w:val="000000"/>
          <w:spacing w:val="6"/>
          <w:lang w:val="en-GB" w:eastAsia="en-GB"/>
        </w:rPr>
      </w:pPr>
    </w:p>
    <w:p w:rsidR="00CE139B" w:rsidRPr="00730872" w:rsidRDefault="00730872" w:rsidP="00730872">
      <w:pPr>
        <w:tabs>
          <w:tab w:val="left" w:pos="426"/>
        </w:tabs>
        <w:spacing w:line="360" w:lineRule="auto"/>
        <w:ind w:right="-180"/>
        <w:rPr>
          <w:b/>
        </w:rPr>
      </w:pPr>
      <w:r w:rsidRPr="00730872">
        <w:rPr>
          <w:b/>
          <w:color w:val="000000"/>
          <w:spacing w:val="6"/>
          <w:lang w:val="en-GB" w:eastAsia="en-GB"/>
        </w:rPr>
        <w:t>9.</w:t>
      </w:r>
      <w:r w:rsidR="00C2035A" w:rsidRPr="00730872">
        <w:rPr>
          <w:b/>
          <w:color w:val="000000"/>
          <w:spacing w:val="6"/>
          <w:lang w:val="en-GB" w:eastAsia="en-GB"/>
        </w:rPr>
        <w:t xml:space="preserve"> </w:t>
      </w:r>
      <w:r w:rsidR="00CE139B" w:rsidRPr="00730872">
        <w:rPr>
          <w:b/>
        </w:rPr>
        <w:t>Briefing by Mintek</w:t>
      </w:r>
    </w:p>
    <w:p w:rsidR="00C22816" w:rsidRPr="001E6CF3" w:rsidRDefault="00C22816" w:rsidP="00843CE2">
      <w:pPr>
        <w:autoSpaceDN w:val="0"/>
        <w:spacing w:after="200" w:line="360" w:lineRule="auto"/>
        <w:rPr>
          <w:color w:val="000000"/>
          <w:spacing w:val="6"/>
          <w:lang w:val="en-GB" w:eastAsia="en-GB"/>
        </w:rPr>
      </w:pPr>
    </w:p>
    <w:p w:rsidR="00CE139B" w:rsidRPr="001E6CF3" w:rsidRDefault="00CE139B" w:rsidP="00843CE2">
      <w:pPr>
        <w:autoSpaceDN w:val="0"/>
        <w:spacing w:after="200" w:line="360" w:lineRule="auto"/>
        <w:jc w:val="both"/>
        <w:rPr>
          <w:color w:val="000000"/>
          <w:spacing w:val="6"/>
          <w:lang w:val="en-GB" w:eastAsia="en-GB"/>
        </w:rPr>
      </w:pPr>
      <w:r w:rsidRPr="001E6CF3">
        <w:rPr>
          <w:color w:val="000000"/>
          <w:spacing w:val="6"/>
          <w:lang w:val="en-GB" w:eastAsia="en-GB"/>
        </w:rPr>
        <w:t>Mr Mngomezulu, CEO and President of Mintek outlined the shareholde</w:t>
      </w:r>
      <w:r w:rsidR="0037036A" w:rsidRPr="001E6CF3">
        <w:rPr>
          <w:color w:val="000000"/>
          <w:spacing w:val="6"/>
          <w:lang w:val="en-GB" w:eastAsia="en-GB"/>
        </w:rPr>
        <w:t>r Performance Agreement for 2016/17</w:t>
      </w:r>
      <w:r w:rsidRPr="001E6CF3">
        <w:rPr>
          <w:color w:val="000000"/>
          <w:spacing w:val="6"/>
          <w:lang w:val="en-GB" w:eastAsia="en-GB"/>
        </w:rPr>
        <w:t>. Mintek’s core business is research and development of efficient mineral processing technologies and value added products and services, promot</w:t>
      </w:r>
      <w:r w:rsidR="0037036A" w:rsidRPr="001E6CF3">
        <w:rPr>
          <w:color w:val="000000"/>
          <w:spacing w:val="6"/>
          <w:lang w:val="en-GB" w:eastAsia="en-GB"/>
        </w:rPr>
        <w:t>ion of mineral based economies through upholding good governance practices,</w:t>
      </w:r>
      <w:r w:rsidRPr="001E6CF3">
        <w:rPr>
          <w:color w:val="000000"/>
          <w:spacing w:val="6"/>
          <w:lang w:val="en-GB" w:eastAsia="en-GB"/>
        </w:rPr>
        <w:t xml:space="preserve"> to build world class R&amp;D excellence</w:t>
      </w:r>
      <w:r w:rsidR="0037036A" w:rsidRPr="001E6CF3">
        <w:rPr>
          <w:color w:val="000000"/>
          <w:spacing w:val="6"/>
          <w:lang w:val="en-GB" w:eastAsia="en-GB"/>
        </w:rPr>
        <w:t xml:space="preserve"> and enhance </w:t>
      </w:r>
      <w:r w:rsidRPr="001E6CF3">
        <w:rPr>
          <w:color w:val="000000"/>
          <w:spacing w:val="6"/>
          <w:lang w:val="en-GB" w:eastAsia="en-GB"/>
        </w:rPr>
        <w:t xml:space="preserve"> Mintek’s visibility and credibility to all stakeholders. </w:t>
      </w:r>
    </w:p>
    <w:p w:rsidR="00450E39" w:rsidRPr="001E6CF3" w:rsidRDefault="00CE139B" w:rsidP="00843CE2">
      <w:pPr>
        <w:autoSpaceDN w:val="0"/>
        <w:spacing w:after="200" w:line="360" w:lineRule="auto"/>
        <w:jc w:val="both"/>
        <w:rPr>
          <w:color w:val="000000"/>
          <w:spacing w:val="6"/>
          <w:lang w:val="en-GB" w:eastAsia="en-GB"/>
        </w:rPr>
      </w:pPr>
      <w:r w:rsidRPr="001E6CF3">
        <w:rPr>
          <w:color w:val="000000"/>
          <w:spacing w:val="6"/>
          <w:lang w:val="en-GB" w:eastAsia="en-GB"/>
        </w:rPr>
        <w:t>The CEO indicated that</w:t>
      </w:r>
      <w:r w:rsidR="00450E39" w:rsidRPr="001E6CF3">
        <w:rPr>
          <w:color w:val="000000"/>
          <w:spacing w:val="6"/>
          <w:lang w:val="en-GB" w:eastAsia="en-GB"/>
        </w:rPr>
        <w:t xml:space="preserve"> Mintek</w:t>
      </w:r>
      <w:r w:rsidR="00BE281F" w:rsidRPr="001E6CF3">
        <w:rPr>
          <w:color w:val="000000"/>
          <w:spacing w:val="6"/>
          <w:lang w:val="en-GB" w:eastAsia="en-GB"/>
        </w:rPr>
        <w:t>’</w:t>
      </w:r>
      <w:r w:rsidR="00450E39" w:rsidRPr="001E6CF3">
        <w:rPr>
          <w:color w:val="000000"/>
          <w:spacing w:val="6"/>
          <w:lang w:val="en-GB" w:eastAsia="en-GB"/>
        </w:rPr>
        <w:t>s R &amp; D strategy is aligned to the NDP with the following point</w:t>
      </w:r>
      <w:r w:rsidR="00BE281F" w:rsidRPr="001E6CF3">
        <w:rPr>
          <w:color w:val="000000"/>
          <w:spacing w:val="6"/>
          <w:lang w:val="en-GB" w:eastAsia="en-GB"/>
        </w:rPr>
        <w:t>s</w:t>
      </w:r>
      <w:r w:rsidR="00450E39" w:rsidRPr="001E6CF3">
        <w:rPr>
          <w:color w:val="000000"/>
          <w:spacing w:val="6"/>
          <w:lang w:val="en-GB" w:eastAsia="en-GB"/>
        </w:rPr>
        <w:t xml:space="preserve"> identified: Improved extraction efficiency to extend ore resources, improved energy and water efficiency and beneficiation to downstream, value added products. In addition to points identified to NDP, Mintek included the two additional points which are mining, industrial and consumer waste treatment and small scale and artisanal mining.</w:t>
      </w:r>
    </w:p>
    <w:p w:rsidR="00450E39" w:rsidRPr="001E6CF3" w:rsidRDefault="00450E39"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CEO indicated that there are six specific </w:t>
      </w:r>
      <w:r w:rsidR="008E0D8E" w:rsidRPr="001E6CF3">
        <w:rPr>
          <w:color w:val="000000"/>
          <w:spacing w:val="6"/>
          <w:lang w:val="en-GB" w:eastAsia="en-GB"/>
        </w:rPr>
        <w:t xml:space="preserve">Mining </w:t>
      </w:r>
      <w:r w:rsidRPr="001E6CF3">
        <w:rPr>
          <w:color w:val="000000"/>
          <w:spacing w:val="6"/>
          <w:lang w:val="en-GB" w:eastAsia="en-GB"/>
        </w:rPr>
        <w:t xml:space="preserve">Phakisa interventions that are closely aligned with </w:t>
      </w:r>
      <w:r w:rsidR="00E163F7" w:rsidRPr="001E6CF3">
        <w:rPr>
          <w:color w:val="000000"/>
          <w:spacing w:val="6"/>
          <w:lang w:val="en-GB" w:eastAsia="en-GB"/>
        </w:rPr>
        <w:t>existing</w:t>
      </w:r>
      <w:r w:rsidRPr="001E6CF3">
        <w:rPr>
          <w:color w:val="000000"/>
          <w:spacing w:val="6"/>
          <w:lang w:val="en-GB" w:eastAsia="en-GB"/>
        </w:rPr>
        <w:t xml:space="preserve"> Mintek projects which are: </w:t>
      </w:r>
    </w:p>
    <w:p w:rsidR="00450E39" w:rsidRPr="001E6CF3" w:rsidRDefault="00450E39" w:rsidP="00843CE2">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 Effective management of water resources</w:t>
      </w:r>
    </w:p>
    <w:p w:rsidR="00450E39" w:rsidRPr="001E6CF3" w:rsidRDefault="00450E39" w:rsidP="00843CE2">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Acid Mine Drainage (AMD) impact mitigation</w:t>
      </w:r>
    </w:p>
    <w:p w:rsidR="00450E39" w:rsidRPr="001E6CF3" w:rsidRDefault="00450E39" w:rsidP="00843CE2">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Fuel Cells as PGM beneficiation opportunity</w:t>
      </w:r>
    </w:p>
    <w:p w:rsidR="00450E39" w:rsidRPr="001E6CF3" w:rsidRDefault="00450E39" w:rsidP="00843CE2">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Local Battery manufacture</w:t>
      </w:r>
    </w:p>
    <w:p w:rsidR="00450E39" w:rsidRPr="001E6CF3" w:rsidRDefault="00450E39" w:rsidP="00843CE2">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Local silicon </w:t>
      </w:r>
      <w:r w:rsidR="008E0D8E" w:rsidRPr="001E6CF3">
        <w:rPr>
          <w:rFonts w:ascii="Times New Roman" w:hAnsi="Times New Roman"/>
          <w:color w:val="000000"/>
          <w:spacing w:val="6"/>
          <w:sz w:val="24"/>
          <w:szCs w:val="24"/>
          <w:lang w:val="en-GB" w:eastAsia="en-GB"/>
        </w:rPr>
        <w:t xml:space="preserve">wafer </w:t>
      </w:r>
      <w:r w:rsidRPr="001E6CF3">
        <w:rPr>
          <w:rFonts w:ascii="Times New Roman" w:hAnsi="Times New Roman"/>
          <w:color w:val="000000"/>
          <w:spacing w:val="6"/>
          <w:sz w:val="24"/>
          <w:szCs w:val="24"/>
          <w:lang w:val="en-GB" w:eastAsia="en-GB"/>
        </w:rPr>
        <w:t>manufacture</w:t>
      </w:r>
    </w:p>
    <w:p w:rsidR="00450E39" w:rsidRPr="001E6CF3" w:rsidRDefault="00450E39" w:rsidP="00843CE2">
      <w:pPr>
        <w:pStyle w:val="ListParagraph"/>
        <w:numPr>
          <w:ilvl w:val="0"/>
          <w:numId w:val="7"/>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Next generation Mining skill development</w:t>
      </w:r>
    </w:p>
    <w:p w:rsidR="00450E39" w:rsidRPr="001E6CF3" w:rsidRDefault="00450E39"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He said there is a need to coordinate these </w:t>
      </w:r>
      <w:r w:rsidR="0073681A" w:rsidRPr="001E6CF3">
        <w:rPr>
          <w:color w:val="000000"/>
          <w:spacing w:val="6"/>
          <w:lang w:val="en-GB" w:eastAsia="en-GB"/>
        </w:rPr>
        <w:t>activities</w:t>
      </w:r>
      <w:r w:rsidRPr="001E6CF3">
        <w:rPr>
          <w:color w:val="000000"/>
          <w:spacing w:val="6"/>
          <w:lang w:val="en-GB" w:eastAsia="en-GB"/>
        </w:rPr>
        <w:t xml:space="preserve"> to derive maximum synergy. Building on </w:t>
      </w:r>
      <w:r w:rsidR="0073681A" w:rsidRPr="001E6CF3">
        <w:rPr>
          <w:color w:val="000000"/>
          <w:spacing w:val="6"/>
          <w:lang w:val="en-GB" w:eastAsia="en-GB"/>
        </w:rPr>
        <w:t>existing</w:t>
      </w:r>
      <w:r w:rsidRPr="001E6CF3">
        <w:rPr>
          <w:color w:val="000000"/>
          <w:spacing w:val="6"/>
          <w:lang w:val="en-GB" w:eastAsia="en-GB"/>
        </w:rPr>
        <w:t xml:space="preserve"> Mintek achievement</w:t>
      </w:r>
      <w:r w:rsidR="006F2FB9" w:rsidRPr="001E6CF3">
        <w:rPr>
          <w:color w:val="000000"/>
          <w:spacing w:val="6"/>
          <w:lang w:val="en-GB" w:eastAsia="en-GB"/>
        </w:rPr>
        <w:t>s</w:t>
      </w:r>
      <w:r w:rsidRPr="001E6CF3">
        <w:rPr>
          <w:color w:val="000000"/>
          <w:spacing w:val="6"/>
          <w:lang w:val="en-GB" w:eastAsia="en-GB"/>
        </w:rPr>
        <w:t xml:space="preserve"> in these areas could facilitate certain “Quick Hits”</w:t>
      </w:r>
    </w:p>
    <w:p w:rsidR="00CE139B" w:rsidRPr="001E6CF3" w:rsidRDefault="00632ADD"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Mr P Craven, General Manager </w:t>
      </w:r>
      <w:r w:rsidR="008E0D8E" w:rsidRPr="001E6CF3">
        <w:rPr>
          <w:color w:val="000000"/>
          <w:spacing w:val="6"/>
          <w:lang w:val="en-GB" w:eastAsia="en-GB"/>
        </w:rPr>
        <w:t xml:space="preserve">in </w:t>
      </w:r>
      <w:r w:rsidRPr="001E6CF3">
        <w:rPr>
          <w:color w:val="000000"/>
          <w:spacing w:val="6"/>
          <w:lang w:val="en-GB" w:eastAsia="en-GB"/>
        </w:rPr>
        <w:t>Business Development reported that b</w:t>
      </w:r>
      <w:r w:rsidR="00CE139B" w:rsidRPr="001E6CF3">
        <w:rPr>
          <w:color w:val="000000"/>
          <w:spacing w:val="6"/>
          <w:lang w:val="en-GB" w:eastAsia="en-GB"/>
        </w:rPr>
        <w:t xml:space="preserve">ecause of a sharp fall </w:t>
      </w:r>
      <w:r w:rsidR="0073681A" w:rsidRPr="001E6CF3">
        <w:rPr>
          <w:color w:val="000000"/>
          <w:spacing w:val="6"/>
          <w:lang w:val="en-GB" w:eastAsia="en-GB"/>
        </w:rPr>
        <w:t xml:space="preserve">in exploration and </w:t>
      </w:r>
      <w:r w:rsidR="00CE139B" w:rsidRPr="001E6CF3">
        <w:rPr>
          <w:color w:val="000000"/>
          <w:spacing w:val="6"/>
          <w:lang w:val="en-GB" w:eastAsia="en-GB"/>
        </w:rPr>
        <w:t xml:space="preserve">project development, major mining companies have cut back on capital expenditure and juniors cannot raise money. This means </w:t>
      </w:r>
      <w:r w:rsidR="0073681A" w:rsidRPr="001E6CF3">
        <w:rPr>
          <w:color w:val="000000"/>
          <w:spacing w:val="6"/>
          <w:lang w:val="en-GB" w:eastAsia="en-GB"/>
        </w:rPr>
        <w:t>that for</w:t>
      </w:r>
      <w:r w:rsidR="00CE139B" w:rsidRPr="001E6CF3">
        <w:rPr>
          <w:color w:val="000000"/>
          <w:spacing w:val="6"/>
          <w:lang w:val="en-GB" w:eastAsia="en-GB"/>
        </w:rPr>
        <w:t xml:space="preserve"> Mintek, there is far less work from new capital projects and junior companies, and more requests for operational efficiency improvements.</w:t>
      </w:r>
      <w:r w:rsidR="0073681A" w:rsidRPr="001E6CF3">
        <w:rPr>
          <w:color w:val="000000"/>
          <w:spacing w:val="6"/>
          <w:lang w:val="en-GB" w:eastAsia="en-GB"/>
        </w:rPr>
        <w:t xml:space="preserve"> Fortunately, increased state funding was available to use the available Mintek capacity to do valuable R &amp; D. </w:t>
      </w:r>
      <w:r w:rsidR="00CE139B" w:rsidRPr="001E6CF3">
        <w:rPr>
          <w:color w:val="000000"/>
          <w:spacing w:val="6"/>
          <w:lang w:val="en-GB" w:eastAsia="en-GB"/>
        </w:rPr>
        <w:t xml:space="preserve"> Mintek expects the slo</w:t>
      </w:r>
      <w:r w:rsidR="0073681A" w:rsidRPr="001E6CF3">
        <w:rPr>
          <w:color w:val="000000"/>
          <w:spacing w:val="6"/>
          <w:lang w:val="en-GB" w:eastAsia="en-GB"/>
        </w:rPr>
        <w:t>wdown to bottom out in late 2016</w:t>
      </w:r>
      <w:r w:rsidR="00CE139B" w:rsidRPr="001E6CF3">
        <w:rPr>
          <w:color w:val="000000"/>
          <w:spacing w:val="6"/>
          <w:lang w:val="en-GB" w:eastAsia="en-GB"/>
        </w:rPr>
        <w:t xml:space="preserve"> </w:t>
      </w:r>
      <w:r w:rsidR="0073681A" w:rsidRPr="001E6CF3">
        <w:rPr>
          <w:color w:val="000000"/>
          <w:spacing w:val="6"/>
          <w:lang w:val="en-GB" w:eastAsia="en-GB"/>
        </w:rPr>
        <w:t xml:space="preserve">and </w:t>
      </w:r>
      <w:r w:rsidR="00CE139B" w:rsidRPr="001E6CF3">
        <w:rPr>
          <w:color w:val="000000"/>
          <w:spacing w:val="6"/>
          <w:lang w:val="en-GB" w:eastAsia="en-GB"/>
        </w:rPr>
        <w:t>investment, explor</w:t>
      </w:r>
      <w:r w:rsidR="0073681A" w:rsidRPr="001E6CF3">
        <w:rPr>
          <w:color w:val="000000"/>
          <w:spacing w:val="6"/>
          <w:lang w:val="en-GB" w:eastAsia="en-GB"/>
        </w:rPr>
        <w:t xml:space="preserve">ation and project development </w:t>
      </w:r>
      <w:r w:rsidR="008E0D8E" w:rsidRPr="001E6CF3">
        <w:rPr>
          <w:color w:val="000000"/>
          <w:spacing w:val="6"/>
          <w:lang w:val="en-GB" w:eastAsia="en-GB"/>
        </w:rPr>
        <w:t xml:space="preserve">to recover </w:t>
      </w:r>
      <w:r w:rsidR="0073681A" w:rsidRPr="001E6CF3">
        <w:rPr>
          <w:color w:val="000000"/>
          <w:spacing w:val="6"/>
          <w:lang w:val="en-GB" w:eastAsia="en-GB"/>
        </w:rPr>
        <w:t>f</w:t>
      </w:r>
      <w:r w:rsidR="00CE139B" w:rsidRPr="001E6CF3">
        <w:rPr>
          <w:color w:val="000000"/>
          <w:spacing w:val="6"/>
          <w:lang w:val="en-GB" w:eastAsia="en-GB"/>
        </w:rPr>
        <w:t>r</w:t>
      </w:r>
      <w:r w:rsidR="0073681A" w:rsidRPr="001E6CF3">
        <w:rPr>
          <w:color w:val="000000"/>
          <w:spacing w:val="6"/>
          <w:lang w:val="en-GB" w:eastAsia="en-GB"/>
        </w:rPr>
        <w:t>o</w:t>
      </w:r>
      <w:r w:rsidR="00CE139B" w:rsidRPr="001E6CF3">
        <w:rPr>
          <w:color w:val="000000"/>
          <w:spacing w:val="6"/>
          <w:lang w:val="en-GB" w:eastAsia="en-GB"/>
        </w:rPr>
        <w:t xml:space="preserve">m 2017. </w:t>
      </w:r>
    </w:p>
    <w:p w:rsidR="00CE139B" w:rsidRPr="001E6CF3" w:rsidRDefault="00CE139B"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To respond to the commercial environment, Mintek is modifying its structure and putting more emphasis in supporting existing mine operational improvements rather than technologies aimed at new projects. It is maintaining and developing capacity to handle an </w:t>
      </w:r>
      <w:r w:rsidR="0073681A" w:rsidRPr="001E6CF3">
        <w:rPr>
          <w:color w:val="000000"/>
          <w:spacing w:val="6"/>
          <w:lang w:val="en-GB" w:eastAsia="en-GB"/>
        </w:rPr>
        <w:t>expected upturn in 20</w:t>
      </w:r>
      <w:r w:rsidRPr="001E6CF3">
        <w:rPr>
          <w:color w:val="000000"/>
          <w:spacing w:val="6"/>
          <w:lang w:val="en-GB" w:eastAsia="en-GB"/>
        </w:rPr>
        <w:t>17. It is developing technology for new</w:t>
      </w:r>
      <w:r w:rsidR="0073681A" w:rsidRPr="001E6CF3">
        <w:rPr>
          <w:color w:val="000000"/>
          <w:spacing w:val="6"/>
          <w:lang w:val="en-GB" w:eastAsia="en-GB"/>
        </w:rPr>
        <w:t xml:space="preserve"> strategic resource</w:t>
      </w:r>
      <w:r w:rsidRPr="001E6CF3">
        <w:rPr>
          <w:color w:val="000000"/>
          <w:spacing w:val="6"/>
          <w:lang w:val="en-GB" w:eastAsia="en-GB"/>
        </w:rPr>
        <w:t xml:space="preserve"> opportunities (Bushveld titaniferious magnetite and Springbok Flats coal/uranium) and will focus on strategic areas of energy and water efficiency, environmental impact and waste treatment.  </w:t>
      </w:r>
    </w:p>
    <w:p w:rsidR="00CE139B" w:rsidRPr="001E6CF3" w:rsidRDefault="00CE139B"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With regards to </w:t>
      </w:r>
      <w:r w:rsidR="008E0D8E" w:rsidRPr="001E6CF3">
        <w:rPr>
          <w:color w:val="000000"/>
          <w:spacing w:val="6"/>
          <w:lang w:val="en-GB" w:eastAsia="en-GB"/>
        </w:rPr>
        <w:t>D</w:t>
      </w:r>
      <w:r w:rsidRPr="001E6CF3">
        <w:rPr>
          <w:color w:val="000000"/>
          <w:spacing w:val="6"/>
          <w:lang w:val="en-GB" w:eastAsia="en-GB"/>
        </w:rPr>
        <w:t xml:space="preserve">erelict and Ownerless Mine Rehabilitation, </w:t>
      </w:r>
      <w:r w:rsidR="00A12CBB" w:rsidRPr="001E6CF3">
        <w:rPr>
          <w:color w:val="000000"/>
          <w:spacing w:val="6"/>
          <w:lang w:val="en-GB" w:eastAsia="en-GB"/>
        </w:rPr>
        <w:t>the</w:t>
      </w:r>
      <w:r w:rsidR="00632ADD" w:rsidRPr="001E6CF3">
        <w:rPr>
          <w:color w:val="000000"/>
          <w:spacing w:val="6"/>
          <w:lang w:val="en-GB" w:eastAsia="en-GB"/>
        </w:rPr>
        <w:t xml:space="preserve"> contract between Mintek and DM</w:t>
      </w:r>
      <w:r w:rsidR="008E0D8E" w:rsidRPr="001E6CF3">
        <w:rPr>
          <w:color w:val="000000"/>
          <w:spacing w:val="6"/>
          <w:lang w:val="en-GB" w:eastAsia="en-GB"/>
        </w:rPr>
        <w:t>R</w:t>
      </w:r>
      <w:r w:rsidR="00632ADD" w:rsidRPr="001E6CF3">
        <w:rPr>
          <w:color w:val="000000"/>
          <w:spacing w:val="6"/>
          <w:lang w:val="en-GB" w:eastAsia="en-GB"/>
        </w:rPr>
        <w:t xml:space="preserve"> has come to an end and new contract is expected to </w:t>
      </w:r>
      <w:r w:rsidR="005D4BAF" w:rsidRPr="001E6CF3">
        <w:rPr>
          <w:color w:val="000000"/>
          <w:spacing w:val="6"/>
          <w:lang w:val="en-GB" w:eastAsia="en-GB"/>
        </w:rPr>
        <w:t xml:space="preserve">be </w:t>
      </w:r>
      <w:r w:rsidR="00632ADD" w:rsidRPr="001E6CF3">
        <w:rPr>
          <w:color w:val="000000"/>
          <w:spacing w:val="6"/>
          <w:lang w:val="en-GB" w:eastAsia="en-GB"/>
        </w:rPr>
        <w:t xml:space="preserve">signed off soon. </w:t>
      </w:r>
      <w:r w:rsidRPr="001E6CF3">
        <w:rPr>
          <w:color w:val="000000"/>
          <w:spacing w:val="6"/>
          <w:lang w:val="en-GB" w:eastAsia="en-GB"/>
        </w:rPr>
        <w:t xml:space="preserve">These are mainly old asbestos mines in Limpopo, Northern Cape and KwaZulu Natal and Mpumalanga. Rehabilitation design for Osizweni clay and coal pit was reported to be </w:t>
      </w:r>
      <w:r w:rsidR="00632ADD" w:rsidRPr="001E6CF3">
        <w:rPr>
          <w:color w:val="000000"/>
          <w:spacing w:val="6"/>
          <w:lang w:val="en-GB" w:eastAsia="en-GB"/>
        </w:rPr>
        <w:t>on hold</w:t>
      </w:r>
      <w:r w:rsidR="008E0D8E" w:rsidRPr="001E6CF3">
        <w:rPr>
          <w:color w:val="000000"/>
          <w:spacing w:val="6"/>
          <w:lang w:val="en-GB" w:eastAsia="en-GB"/>
        </w:rPr>
        <w:t xml:space="preserve"> </w:t>
      </w:r>
      <w:r w:rsidR="006F4AB4" w:rsidRPr="001E6CF3">
        <w:rPr>
          <w:color w:val="000000"/>
          <w:spacing w:val="6"/>
          <w:lang w:val="en-GB" w:eastAsia="en-GB"/>
        </w:rPr>
        <w:t>until</w:t>
      </w:r>
      <w:r w:rsidR="008E0D8E" w:rsidRPr="001E6CF3">
        <w:rPr>
          <w:color w:val="000000"/>
          <w:spacing w:val="6"/>
          <w:lang w:val="en-GB" w:eastAsia="en-GB"/>
        </w:rPr>
        <w:t xml:space="preserve"> the illegal miners have been moved. </w:t>
      </w:r>
      <w:r w:rsidRPr="001E6CF3">
        <w:rPr>
          <w:color w:val="000000"/>
          <w:spacing w:val="6"/>
          <w:lang w:val="en-GB" w:eastAsia="en-GB"/>
        </w:rPr>
        <w:t>Mintek is currently busy with the design of an additional 4 sites, which commenced in 2015/16 to be completed in 2016/17 (Buisvlei North, Buisvlei South, Masaneng</w:t>
      </w:r>
      <w:r w:rsidR="008E0D8E" w:rsidRPr="001E6CF3">
        <w:rPr>
          <w:color w:val="000000"/>
          <w:spacing w:val="6"/>
          <w:lang w:val="en-GB" w:eastAsia="en-GB"/>
        </w:rPr>
        <w:t xml:space="preserve"> and </w:t>
      </w:r>
      <w:r w:rsidRPr="001E6CF3">
        <w:rPr>
          <w:color w:val="000000"/>
          <w:spacing w:val="6"/>
          <w:lang w:val="en-GB" w:eastAsia="en-GB"/>
        </w:rPr>
        <w:t xml:space="preserve">Sithilo). </w:t>
      </w:r>
    </w:p>
    <w:p w:rsidR="00633703" w:rsidRPr="001E6CF3" w:rsidRDefault="00633703"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Mr </w:t>
      </w:r>
      <w:r w:rsidR="00D637E7" w:rsidRPr="001E6CF3">
        <w:rPr>
          <w:color w:val="000000"/>
          <w:spacing w:val="6"/>
          <w:lang w:val="en-GB" w:eastAsia="en-GB"/>
        </w:rPr>
        <w:t>S Simelane</w:t>
      </w:r>
      <w:r w:rsidRPr="001E6CF3">
        <w:rPr>
          <w:color w:val="000000"/>
          <w:spacing w:val="6"/>
          <w:lang w:val="en-GB" w:eastAsia="en-GB"/>
        </w:rPr>
        <w:t xml:space="preserve">, General Manager: </w:t>
      </w:r>
      <w:r w:rsidR="00D637E7" w:rsidRPr="001E6CF3">
        <w:rPr>
          <w:color w:val="000000"/>
          <w:spacing w:val="6"/>
          <w:lang w:val="en-GB" w:eastAsia="en-GB"/>
        </w:rPr>
        <w:t>Finance presented</w:t>
      </w:r>
      <w:r w:rsidRPr="001E6CF3">
        <w:rPr>
          <w:color w:val="000000"/>
          <w:spacing w:val="6"/>
          <w:lang w:val="en-GB" w:eastAsia="en-GB"/>
        </w:rPr>
        <w:t xml:space="preserve"> the 2016 financial outlook for Mintek.</w:t>
      </w:r>
      <w:r w:rsidRPr="001E6CF3">
        <w:rPr>
          <w:b/>
          <w:color w:val="000000"/>
          <w:spacing w:val="6"/>
          <w:lang w:val="en-GB" w:eastAsia="en-GB"/>
        </w:rPr>
        <w:t xml:space="preserve"> </w:t>
      </w:r>
      <w:r w:rsidRPr="001E6CF3">
        <w:rPr>
          <w:color w:val="000000"/>
          <w:spacing w:val="6"/>
          <w:lang w:val="en-GB" w:eastAsia="en-GB"/>
        </w:rPr>
        <w:t>Mintek maintains a strong balance sheet position with assets of more than R600m.</w:t>
      </w:r>
      <w:r w:rsidRPr="001E6CF3">
        <w:rPr>
          <w:b/>
          <w:color w:val="000000"/>
          <w:spacing w:val="6"/>
          <w:lang w:val="en-GB" w:eastAsia="en-GB"/>
        </w:rPr>
        <w:t xml:space="preserve"> </w:t>
      </w:r>
      <w:r w:rsidRPr="001E6CF3">
        <w:rPr>
          <w:color w:val="000000"/>
          <w:spacing w:val="6"/>
          <w:lang w:val="en-GB" w:eastAsia="en-GB"/>
        </w:rPr>
        <w:t>The liquidity ratio is 2:1 with a strong cash flow</w:t>
      </w:r>
      <w:r w:rsidRPr="001E6CF3">
        <w:rPr>
          <w:b/>
          <w:color w:val="000000"/>
          <w:spacing w:val="6"/>
          <w:lang w:val="en-GB" w:eastAsia="en-GB"/>
        </w:rPr>
        <w:t xml:space="preserve">. </w:t>
      </w:r>
      <w:r w:rsidRPr="001E6CF3">
        <w:rPr>
          <w:color w:val="000000"/>
          <w:spacing w:val="6"/>
          <w:lang w:val="en-GB" w:eastAsia="en-GB"/>
        </w:rPr>
        <w:t>Income and expenditure trends will continue with income expected</w:t>
      </w:r>
      <w:r w:rsidR="0050578D" w:rsidRPr="001E6CF3">
        <w:rPr>
          <w:color w:val="000000"/>
          <w:spacing w:val="6"/>
          <w:lang w:val="en-GB" w:eastAsia="en-GB"/>
        </w:rPr>
        <w:t xml:space="preserve"> to remain around R500</w:t>
      </w:r>
      <w:r w:rsidRPr="001E6CF3">
        <w:rPr>
          <w:color w:val="000000"/>
          <w:spacing w:val="6"/>
          <w:lang w:val="en-GB" w:eastAsia="en-GB"/>
        </w:rPr>
        <w:t>m mark</w:t>
      </w:r>
      <w:r w:rsidR="005D4BAF" w:rsidRPr="001E6CF3">
        <w:rPr>
          <w:color w:val="000000"/>
          <w:spacing w:val="6"/>
          <w:lang w:val="en-GB" w:eastAsia="en-GB"/>
        </w:rPr>
        <w:t>,</w:t>
      </w:r>
      <w:r w:rsidRPr="001E6CF3">
        <w:rPr>
          <w:color w:val="000000"/>
          <w:spacing w:val="6"/>
          <w:lang w:val="en-GB" w:eastAsia="en-GB"/>
        </w:rPr>
        <w:t xml:space="preserve"> 2015/16 </w:t>
      </w:r>
      <w:r w:rsidR="0050578D" w:rsidRPr="001E6CF3">
        <w:rPr>
          <w:color w:val="000000"/>
          <w:spacing w:val="6"/>
          <w:lang w:val="en-GB" w:eastAsia="en-GB"/>
        </w:rPr>
        <w:t xml:space="preserve">was </w:t>
      </w:r>
      <w:r w:rsidRPr="001E6CF3">
        <w:rPr>
          <w:color w:val="000000"/>
          <w:spacing w:val="6"/>
          <w:lang w:val="en-GB" w:eastAsia="en-GB"/>
        </w:rPr>
        <w:t>the final year of a 3 year rehabilitation project with DMR, but a new contract is expected to be signed</w:t>
      </w:r>
      <w:r w:rsidR="0050578D" w:rsidRPr="001E6CF3">
        <w:rPr>
          <w:color w:val="000000"/>
          <w:spacing w:val="6"/>
          <w:lang w:val="en-GB" w:eastAsia="en-GB"/>
        </w:rPr>
        <w:t xml:space="preserve"> soon</w:t>
      </w:r>
      <w:r w:rsidRPr="001E6CF3">
        <w:rPr>
          <w:color w:val="000000"/>
          <w:spacing w:val="6"/>
          <w:lang w:val="en-GB" w:eastAsia="en-GB"/>
        </w:rPr>
        <w:t xml:space="preserve">. Mintek expects the trend to continue on smaller projects and a few larger ones. </w:t>
      </w:r>
      <w:r w:rsidR="0050578D" w:rsidRPr="001E6CF3">
        <w:rPr>
          <w:color w:val="000000"/>
          <w:spacing w:val="6"/>
          <w:lang w:val="en-GB" w:eastAsia="en-GB"/>
        </w:rPr>
        <w:t xml:space="preserve">The MTEF work for research and capital is expected to continue. </w:t>
      </w:r>
      <w:r w:rsidRPr="001E6CF3">
        <w:rPr>
          <w:color w:val="000000"/>
          <w:spacing w:val="6"/>
          <w:lang w:val="en-GB" w:eastAsia="en-GB"/>
        </w:rPr>
        <w:t xml:space="preserve">Mintek is a stable and well-resourced institution. It is not for profit but for development. It is a partner with other institutions on innovation. </w:t>
      </w:r>
    </w:p>
    <w:p w:rsidR="00BF32BF" w:rsidRPr="001E6CF3" w:rsidRDefault="00D637E7" w:rsidP="00843CE2">
      <w:pPr>
        <w:autoSpaceDN w:val="0"/>
        <w:spacing w:after="200" w:line="360" w:lineRule="auto"/>
        <w:jc w:val="both"/>
        <w:rPr>
          <w:b/>
          <w:color w:val="000000"/>
          <w:spacing w:val="6"/>
          <w:lang w:val="en-GB" w:eastAsia="en-GB"/>
        </w:rPr>
      </w:pPr>
      <w:r w:rsidRPr="001E6CF3">
        <w:rPr>
          <w:color w:val="000000"/>
          <w:spacing w:val="6"/>
          <w:lang w:val="en-GB" w:eastAsia="en-GB"/>
        </w:rPr>
        <w:t>Ms G Nyanda, General Manager: Corporate Services presented the Human Capital</w:t>
      </w:r>
      <w:r w:rsidR="008E0D8E" w:rsidRPr="001E6CF3">
        <w:rPr>
          <w:color w:val="000000"/>
          <w:spacing w:val="6"/>
          <w:lang w:val="en-GB" w:eastAsia="en-GB"/>
        </w:rPr>
        <w:t xml:space="preserve"> plans</w:t>
      </w:r>
      <w:r w:rsidRPr="001E6CF3">
        <w:rPr>
          <w:color w:val="000000"/>
          <w:spacing w:val="6"/>
          <w:lang w:val="en-GB" w:eastAsia="en-GB"/>
        </w:rPr>
        <w:t>. With regards to human capital, Mintek has a staff complement of 673 employees who are permanent. The gender balance is 60.9% male and 39.1% female. In terms of Employment Equity (EE), the target for females for 2016/17 is 46%.</w:t>
      </w:r>
      <w:r w:rsidRPr="001E6CF3">
        <w:rPr>
          <w:b/>
          <w:color w:val="000000"/>
          <w:spacing w:val="6"/>
          <w:lang w:val="en-GB" w:eastAsia="en-GB"/>
        </w:rPr>
        <w:t xml:space="preserve"> </w:t>
      </w:r>
      <w:r w:rsidRPr="001E6CF3">
        <w:rPr>
          <w:color w:val="000000"/>
          <w:spacing w:val="6"/>
          <w:lang w:val="en-GB" w:eastAsia="en-GB"/>
        </w:rPr>
        <w:t xml:space="preserve">The number of undergraduate bursars for 2016 is projected to </w:t>
      </w:r>
      <w:r w:rsidR="00BF32BF" w:rsidRPr="001E6CF3">
        <w:rPr>
          <w:color w:val="000000"/>
          <w:spacing w:val="6"/>
          <w:lang w:val="en-GB" w:eastAsia="en-GB"/>
        </w:rPr>
        <w:t>20</w:t>
      </w:r>
      <w:r w:rsidRPr="001E6CF3">
        <w:rPr>
          <w:color w:val="000000"/>
          <w:spacing w:val="6"/>
          <w:lang w:val="en-GB" w:eastAsia="en-GB"/>
        </w:rPr>
        <w:t xml:space="preserve"> bursars on full time and </w:t>
      </w:r>
      <w:r w:rsidR="00BF32BF" w:rsidRPr="001E6CF3">
        <w:rPr>
          <w:color w:val="000000"/>
          <w:spacing w:val="6"/>
          <w:lang w:val="en-GB" w:eastAsia="en-GB"/>
        </w:rPr>
        <w:t>60</w:t>
      </w:r>
      <w:r w:rsidRPr="001E6CF3">
        <w:rPr>
          <w:color w:val="000000"/>
          <w:spacing w:val="6"/>
          <w:lang w:val="en-GB" w:eastAsia="en-GB"/>
        </w:rPr>
        <w:t xml:space="preserve"> on part time. For postgraduate bursars the projection is </w:t>
      </w:r>
      <w:r w:rsidR="00BF32BF" w:rsidRPr="001E6CF3">
        <w:rPr>
          <w:color w:val="000000"/>
          <w:spacing w:val="6"/>
          <w:lang w:val="en-GB" w:eastAsia="en-GB"/>
        </w:rPr>
        <w:t>10</w:t>
      </w:r>
      <w:r w:rsidRPr="001E6CF3">
        <w:rPr>
          <w:color w:val="000000"/>
          <w:spacing w:val="6"/>
          <w:lang w:val="en-GB" w:eastAsia="en-GB"/>
        </w:rPr>
        <w:t xml:space="preserve"> on full time and</w:t>
      </w:r>
      <w:r w:rsidR="00BF32BF" w:rsidRPr="001E6CF3">
        <w:rPr>
          <w:color w:val="000000"/>
          <w:spacing w:val="6"/>
          <w:lang w:val="en-GB" w:eastAsia="en-GB"/>
        </w:rPr>
        <w:t xml:space="preserve"> 80</w:t>
      </w:r>
      <w:r w:rsidRPr="001E6CF3">
        <w:rPr>
          <w:color w:val="000000"/>
          <w:spacing w:val="6"/>
          <w:lang w:val="en-GB" w:eastAsia="en-GB"/>
        </w:rPr>
        <w:t xml:space="preserve"> on part time.</w:t>
      </w:r>
      <w:r w:rsidRPr="001E6CF3">
        <w:rPr>
          <w:b/>
          <w:color w:val="000000"/>
          <w:spacing w:val="6"/>
          <w:lang w:val="en-GB" w:eastAsia="en-GB"/>
        </w:rPr>
        <w:t xml:space="preserve"> </w:t>
      </w:r>
    </w:p>
    <w:p w:rsidR="00D637E7" w:rsidRPr="001E6CF3" w:rsidRDefault="00E208F0" w:rsidP="00843CE2">
      <w:pPr>
        <w:autoSpaceDN w:val="0"/>
        <w:spacing w:after="200" w:line="360" w:lineRule="auto"/>
        <w:jc w:val="both"/>
        <w:rPr>
          <w:color w:val="000000"/>
          <w:spacing w:val="6"/>
          <w:lang w:val="en-GB" w:eastAsia="en-GB"/>
        </w:rPr>
      </w:pPr>
      <w:r w:rsidRPr="001E6CF3">
        <w:rPr>
          <w:color w:val="000000"/>
          <w:spacing w:val="6"/>
          <w:lang w:val="en-GB" w:eastAsia="en-GB"/>
        </w:rPr>
        <w:t>Ms Nyanda indicated the targets for absenteeism rate for 2014/15 was at 2.6%, 2015/15 was at 3.1%, 2016/17 was at 3.5% and for 2017/18 and 2018/19 is projected to be on 3</w:t>
      </w:r>
      <w:r w:rsidR="005D4BAF" w:rsidRPr="001E6CF3">
        <w:rPr>
          <w:color w:val="000000"/>
          <w:spacing w:val="6"/>
          <w:lang w:val="en-GB" w:eastAsia="en-GB"/>
        </w:rPr>
        <w:t>, 5</w:t>
      </w:r>
      <w:r w:rsidRPr="001E6CF3">
        <w:rPr>
          <w:color w:val="000000"/>
          <w:spacing w:val="6"/>
          <w:lang w:val="en-GB" w:eastAsia="en-GB"/>
        </w:rPr>
        <w:t>%. The priorities for the 2016/17</w:t>
      </w:r>
      <w:r w:rsidR="00D637E7" w:rsidRPr="001E6CF3">
        <w:rPr>
          <w:color w:val="000000"/>
          <w:spacing w:val="6"/>
          <w:lang w:val="en-GB" w:eastAsia="en-GB"/>
        </w:rPr>
        <w:t xml:space="preserve"> financial year is women empowerment and increasing re</w:t>
      </w:r>
      <w:r w:rsidRPr="001E6CF3">
        <w:rPr>
          <w:color w:val="000000"/>
          <w:spacing w:val="6"/>
          <w:lang w:val="en-GB" w:eastAsia="en-GB"/>
        </w:rPr>
        <w:t>presentation of women in Mintek, employee cost management and training and development.  The representation of women has already reco</w:t>
      </w:r>
      <w:r w:rsidR="0050021F" w:rsidRPr="001E6CF3">
        <w:rPr>
          <w:color w:val="000000"/>
          <w:spacing w:val="6"/>
          <w:lang w:val="en-GB" w:eastAsia="en-GB"/>
        </w:rPr>
        <w:t>r</w:t>
      </w:r>
      <w:r w:rsidRPr="001E6CF3">
        <w:rPr>
          <w:color w:val="000000"/>
          <w:spacing w:val="6"/>
          <w:lang w:val="en-GB" w:eastAsia="en-GB"/>
        </w:rPr>
        <w:t>d</w:t>
      </w:r>
      <w:r w:rsidR="005D4BAF" w:rsidRPr="001E6CF3">
        <w:rPr>
          <w:color w:val="000000"/>
          <w:spacing w:val="6"/>
          <w:lang w:val="en-GB" w:eastAsia="en-GB"/>
        </w:rPr>
        <w:t>ed</w:t>
      </w:r>
      <w:r w:rsidRPr="001E6CF3">
        <w:rPr>
          <w:color w:val="000000"/>
          <w:spacing w:val="6"/>
          <w:lang w:val="en-GB" w:eastAsia="en-GB"/>
        </w:rPr>
        <w:t xml:space="preserve"> gains and increased proportion to 39.1% by end of March 2016. With regards to employee </w:t>
      </w:r>
      <w:r w:rsidR="00A53B90" w:rsidRPr="001E6CF3">
        <w:rPr>
          <w:color w:val="000000"/>
          <w:spacing w:val="6"/>
          <w:lang w:val="en-GB" w:eastAsia="en-GB"/>
        </w:rPr>
        <w:t>cost</w:t>
      </w:r>
      <w:r w:rsidRPr="001E6CF3">
        <w:rPr>
          <w:color w:val="000000"/>
          <w:spacing w:val="6"/>
          <w:lang w:val="en-GB" w:eastAsia="en-GB"/>
        </w:rPr>
        <w:t xml:space="preserve"> management, the </w:t>
      </w:r>
      <w:r w:rsidR="00A53B90" w:rsidRPr="001E6CF3">
        <w:rPr>
          <w:color w:val="000000"/>
          <w:spacing w:val="6"/>
          <w:lang w:val="en-GB" w:eastAsia="en-GB"/>
        </w:rPr>
        <w:t>strategy</w:t>
      </w:r>
      <w:r w:rsidRPr="001E6CF3">
        <w:rPr>
          <w:color w:val="000000"/>
          <w:spacing w:val="6"/>
          <w:lang w:val="en-GB" w:eastAsia="en-GB"/>
        </w:rPr>
        <w:t xml:space="preserve"> is to control base line increase and slightly higher once-off performance bonus and basket of benefits that matter instead of competing on salaries. With regards to training and development, skills development audit outcomes </w:t>
      </w:r>
      <w:r w:rsidR="005D4BAF" w:rsidRPr="001E6CF3">
        <w:rPr>
          <w:color w:val="000000"/>
          <w:spacing w:val="6"/>
          <w:lang w:val="en-GB" w:eastAsia="en-GB"/>
        </w:rPr>
        <w:t>will</w:t>
      </w:r>
      <w:r w:rsidRPr="001E6CF3">
        <w:rPr>
          <w:color w:val="000000"/>
          <w:spacing w:val="6"/>
          <w:lang w:val="en-GB" w:eastAsia="en-GB"/>
        </w:rPr>
        <w:t xml:space="preserve"> inform training intervention and continued investment is </w:t>
      </w:r>
      <w:r w:rsidR="00A53B90" w:rsidRPr="001E6CF3">
        <w:rPr>
          <w:color w:val="000000"/>
          <w:spacing w:val="6"/>
          <w:lang w:val="en-GB" w:eastAsia="en-GB"/>
        </w:rPr>
        <w:t xml:space="preserve">training of staff and increasing Master’s and PhDs. </w:t>
      </w:r>
      <w:r w:rsidR="00D637E7" w:rsidRPr="001E6CF3">
        <w:rPr>
          <w:color w:val="000000"/>
          <w:spacing w:val="6"/>
          <w:lang w:val="en-GB" w:eastAsia="en-GB"/>
        </w:rPr>
        <w:t xml:space="preserve"> </w:t>
      </w:r>
    </w:p>
    <w:p w:rsidR="007149AA" w:rsidRPr="001E6CF3" w:rsidRDefault="007149AA"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Dr M Makhafola, General Manager Research and Development reported that Mintek has a programme of </w:t>
      </w:r>
      <w:r w:rsidR="008E0D8E" w:rsidRPr="001E6CF3">
        <w:rPr>
          <w:color w:val="000000"/>
          <w:spacing w:val="6"/>
          <w:lang w:val="en-GB" w:eastAsia="en-GB"/>
        </w:rPr>
        <w:t xml:space="preserve">developing </w:t>
      </w:r>
      <w:r w:rsidRPr="001E6CF3">
        <w:rPr>
          <w:color w:val="000000"/>
          <w:spacing w:val="6"/>
          <w:lang w:val="en-GB" w:eastAsia="en-GB"/>
        </w:rPr>
        <w:t xml:space="preserve">energy </w:t>
      </w:r>
      <w:r w:rsidR="008E0D8E" w:rsidRPr="001E6CF3">
        <w:rPr>
          <w:color w:val="000000"/>
          <w:spacing w:val="6"/>
          <w:lang w:val="en-GB" w:eastAsia="en-GB"/>
        </w:rPr>
        <w:t xml:space="preserve">options </w:t>
      </w:r>
      <w:r w:rsidRPr="001E6CF3">
        <w:rPr>
          <w:color w:val="000000"/>
          <w:spacing w:val="6"/>
          <w:lang w:val="en-GB" w:eastAsia="en-GB"/>
        </w:rPr>
        <w:t xml:space="preserve">for rural communities. The </w:t>
      </w:r>
      <w:r w:rsidR="00FA7DC7" w:rsidRPr="001E6CF3">
        <w:rPr>
          <w:color w:val="000000"/>
          <w:spacing w:val="6"/>
          <w:lang w:val="en-GB" w:eastAsia="en-GB"/>
        </w:rPr>
        <w:t>research</w:t>
      </w:r>
      <w:r w:rsidRPr="001E6CF3">
        <w:rPr>
          <w:color w:val="000000"/>
          <w:spacing w:val="6"/>
          <w:lang w:val="en-GB" w:eastAsia="en-GB"/>
        </w:rPr>
        <w:t xml:space="preserve"> and development programme is in collaboration with Virginia Tech (USA), North West University</w:t>
      </w:r>
      <w:r w:rsidR="00FA7DC7" w:rsidRPr="001E6CF3">
        <w:rPr>
          <w:color w:val="000000"/>
          <w:spacing w:val="6"/>
          <w:lang w:val="en-GB" w:eastAsia="en-GB"/>
        </w:rPr>
        <w:t xml:space="preserve"> 9NWU) – Mafikeng Campus and University of Limpopo (UL), Wits University enabled by the Department of Science and Technology </w:t>
      </w:r>
      <w:r w:rsidR="006F4AB4" w:rsidRPr="001E6CF3">
        <w:rPr>
          <w:color w:val="000000"/>
          <w:spacing w:val="6"/>
          <w:lang w:val="en-GB" w:eastAsia="en-GB"/>
        </w:rPr>
        <w:t>(DST) and Air Force Office of Scie</w:t>
      </w:r>
      <w:r w:rsidR="00FA7DC7" w:rsidRPr="001E6CF3">
        <w:rPr>
          <w:color w:val="000000"/>
          <w:spacing w:val="6"/>
          <w:lang w:val="en-GB" w:eastAsia="en-GB"/>
        </w:rPr>
        <w:t>ntific Research (AFOSR)</w:t>
      </w:r>
      <w:r w:rsidR="00A12CBB" w:rsidRPr="001E6CF3">
        <w:rPr>
          <w:color w:val="000000"/>
          <w:spacing w:val="6"/>
          <w:lang w:val="en-GB" w:eastAsia="en-GB"/>
        </w:rPr>
        <w:t xml:space="preserve"> </w:t>
      </w:r>
      <w:r w:rsidR="00FA7DC7" w:rsidRPr="001E6CF3">
        <w:rPr>
          <w:color w:val="000000"/>
          <w:spacing w:val="6"/>
          <w:lang w:val="en-GB" w:eastAsia="en-GB"/>
        </w:rPr>
        <w:t>t</w:t>
      </w:r>
      <w:r w:rsidR="00A12CBB" w:rsidRPr="001E6CF3">
        <w:rPr>
          <w:color w:val="000000"/>
          <w:spacing w:val="6"/>
          <w:lang w:val="en-GB" w:eastAsia="en-GB"/>
        </w:rPr>
        <w:t>o</w:t>
      </w:r>
      <w:r w:rsidR="00FA7DC7" w:rsidRPr="001E6CF3">
        <w:rPr>
          <w:color w:val="000000"/>
          <w:spacing w:val="6"/>
          <w:lang w:val="en-GB" w:eastAsia="en-GB"/>
        </w:rPr>
        <w:t xml:space="preserve"> develop rare-earth modified high performance alloys for multiple applications such as electric motors for wind turbines. </w:t>
      </w:r>
    </w:p>
    <w:p w:rsidR="001D3320" w:rsidRPr="001E6CF3" w:rsidRDefault="001D3320"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Dr Makhafola indicated that </w:t>
      </w:r>
      <w:r w:rsidR="00A12CBB" w:rsidRPr="001E6CF3">
        <w:rPr>
          <w:color w:val="000000"/>
          <w:spacing w:val="6"/>
          <w:lang w:val="en-GB" w:eastAsia="en-GB"/>
        </w:rPr>
        <w:t>the rapid</w:t>
      </w:r>
      <w:r w:rsidRPr="001E6CF3">
        <w:rPr>
          <w:color w:val="000000"/>
          <w:spacing w:val="6"/>
          <w:lang w:val="en-GB" w:eastAsia="en-GB"/>
        </w:rPr>
        <w:t xml:space="preserve"> test kits development </w:t>
      </w:r>
      <w:r w:rsidR="00A12CBB" w:rsidRPr="001E6CF3">
        <w:rPr>
          <w:color w:val="000000"/>
          <w:spacing w:val="6"/>
          <w:lang w:val="en-GB" w:eastAsia="en-GB"/>
        </w:rPr>
        <w:t xml:space="preserve">is for accurate, low-cost, simple to operate and interpret and rapid. The kit is used for remote areas where there is lack of infrastructure and resources. </w:t>
      </w:r>
      <w:r w:rsidR="00E163F7" w:rsidRPr="001E6CF3">
        <w:rPr>
          <w:color w:val="000000"/>
          <w:spacing w:val="6"/>
          <w:lang w:val="en-GB" w:eastAsia="en-GB"/>
        </w:rPr>
        <w:t xml:space="preserve">He indicated that the benefits of the low cost cynoprobe cyanide measurement are 70% reduction in cost, more accessible to small gold producers, better environmental compliance and potential for use in environmental water quality monitoring. </w:t>
      </w:r>
    </w:p>
    <w:p w:rsidR="008D246D" w:rsidRPr="001E6CF3" w:rsidRDefault="00CE139B" w:rsidP="00843CE2">
      <w:pPr>
        <w:autoSpaceDN w:val="0"/>
        <w:spacing w:after="200" w:line="360" w:lineRule="auto"/>
        <w:jc w:val="both"/>
        <w:rPr>
          <w:b/>
          <w:color w:val="000000"/>
          <w:spacing w:val="6"/>
          <w:lang w:val="en-GB" w:eastAsia="en-GB"/>
        </w:rPr>
      </w:pPr>
      <w:r w:rsidRPr="001E6CF3">
        <w:rPr>
          <w:color w:val="000000"/>
          <w:spacing w:val="6"/>
          <w:lang w:val="en-GB" w:eastAsia="en-GB"/>
        </w:rPr>
        <w:t xml:space="preserve">With regards </w:t>
      </w:r>
      <w:r w:rsidR="0071106B" w:rsidRPr="001E6CF3">
        <w:rPr>
          <w:color w:val="000000"/>
          <w:spacing w:val="6"/>
          <w:lang w:val="en-GB" w:eastAsia="en-GB"/>
        </w:rPr>
        <w:t>to Technology, Mr A McKenzie reported</w:t>
      </w:r>
      <w:r w:rsidRPr="001E6CF3">
        <w:rPr>
          <w:color w:val="000000"/>
          <w:spacing w:val="6"/>
          <w:lang w:val="en-GB" w:eastAsia="en-GB"/>
        </w:rPr>
        <w:t xml:space="preserve"> </w:t>
      </w:r>
      <w:r w:rsidR="0071106B" w:rsidRPr="001E6CF3">
        <w:rPr>
          <w:color w:val="000000"/>
          <w:spacing w:val="6"/>
          <w:lang w:val="en-GB" w:eastAsia="en-GB"/>
        </w:rPr>
        <w:t xml:space="preserve">a current MTEF funded project </w:t>
      </w:r>
      <w:r w:rsidR="008E0D8E" w:rsidRPr="001E6CF3">
        <w:rPr>
          <w:color w:val="000000"/>
          <w:spacing w:val="6"/>
          <w:lang w:val="en-GB" w:eastAsia="en-GB"/>
        </w:rPr>
        <w:t xml:space="preserve">is </w:t>
      </w:r>
      <w:r w:rsidR="0071106B" w:rsidRPr="001E6CF3">
        <w:rPr>
          <w:color w:val="000000"/>
          <w:spacing w:val="6"/>
          <w:lang w:val="en-GB" w:eastAsia="en-GB"/>
        </w:rPr>
        <w:t xml:space="preserve">to end this year with an </w:t>
      </w:r>
      <w:r w:rsidR="005D4BAF" w:rsidRPr="001E6CF3">
        <w:rPr>
          <w:color w:val="000000"/>
          <w:spacing w:val="6"/>
          <w:lang w:val="en-GB" w:eastAsia="en-GB"/>
        </w:rPr>
        <w:t>onsite</w:t>
      </w:r>
      <w:r w:rsidR="0071106B" w:rsidRPr="001E6CF3">
        <w:rPr>
          <w:color w:val="000000"/>
          <w:spacing w:val="6"/>
          <w:lang w:val="en-GB" w:eastAsia="en-GB"/>
        </w:rPr>
        <w:t xml:space="preserve"> demonstration plant for Sensor sorting. The project is aimed at upgrading low grade coal to Eskom specifications. The Demonstration plant is being installed and contains 2 by 130 tph x-ray transmission sorters. He indicated that the plant will be operated in the first half of the year.  </w:t>
      </w:r>
      <w:r w:rsidRPr="001E6CF3">
        <w:rPr>
          <w:color w:val="000000"/>
          <w:spacing w:val="6"/>
          <w:lang w:val="en-GB" w:eastAsia="en-GB"/>
        </w:rPr>
        <w:t xml:space="preserve"> </w:t>
      </w:r>
      <w:r w:rsidR="0071106B" w:rsidRPr="001E6CF3">
        <w:rPr>
          <w:color w:val="000000"/>
          <w:spacing w:val="6"/>
          <w:lang w:val="en-GB" w:eastAsia="en-GB"/>
        </w:rPr>
        <w:t xml:space="preserve"> The </w:t>
      </w:r>
      <w:r w:rsidRPr="001E6CF3">
        <w:rPr>
          <w:color w:val="000000"/>
          <w:spacing w:val="6"/>
          <w:lang w:val="en-GB" w:eastAsia="en-GB"/>
        </w:rPr>
        <w:t>Savmin is a Mintek technology to treat Acid Mine Drainage (AMD).</w:t>
      </w:r>
      <w:r w:rsidR="0071106B" w:rsidRPr="001E6CF3">
        <w:rPr>
          <w:color w:val="000000"/>
          <w:spacing w:val="6"/>
          <w:lang w:val="en-GB" w:eastAsia="en-GB"/>
        </w:rPr>
        <w:t xml:space="preserve"> The programme continues, further laboratory and demonstration plant activities </w:t>
      </w:r>
      <w:r w:rsidR="008E0D8E" w:rsidRPr="001E6CF3">
        <w:rPr>
          <w:color w:val="000000"/>
          <w:spacing w:val="6"/>
          <w:lang w:val="en-GB" w:eastAsia="en-GB"/>
        </w:rPr>
        <w:t xml:space="preserve">are </w:t>
      </w:r>
      <w:r w:rsidR="0071106B" w:rsidRPr="001E6CF3">
        <w:rPr>
          <w:color w:val="000000"/>
          <w:spacing w:val="6"/>
          <w:lang w:val="en-GB" w:eastAsia="en-GB"/>
        </w:rPr>
        <w:t xml:space="preserve">planned. </w:t>
      </w:r>
      <w:r w:rsidRPr="001E6CF3">
        <w:rPr>
          <w:b/>
          <w:color w:val="000000"/>
          <w:spacing w:val="6"/>
          <w:lang w:val="en-GB" w:eastAsia="en-GB"/>
        </w:rPr>
        <w:t xml:space="preserve">  </w:t>
      </w:r>
      <w:r w:rsidRPr="001E6CF3">
        <w:rPr>
          <w:color w:val="000000"/>
          <w:spacing w:val="6"/>
          <w:lang w:val="en-GB" w:eastAsia="en-GB"/>
        </w:rPr>
        <w:t>The project was completed and the plant is being operated in collaboration with Veolia, the world’s largest water treatment company, to further reduce costs.</w:t>
      </w:r>
      <w:r w:rsidRPr="001E6CF3">
        <w:rPr>
          <w:b/>
          <w:color w:val="000000"/>
          <w:spacing w:val="6"/>
          <w:lang w:val="en-GB" w:eastAsia="en-GB"/>
        </w:rPr>
        <w:t xml:space="preserve"> </w:t>
      </w:r>
      <w:r w:rsidR="008D246D" w:rsidRPr="001E6CF3">
        <w:rPr>
          <w:b/>
          <w:color w:val="000000"/>
          <w:spacing w:val="6"/>
          <w:lang w:val="en-GB" w:eastAsia="en-GB"/>
        </w:rPr>
        <w:t xml:space="preserve"> </w:t>
      </w:r>
      <w:r w:rsidR="008E0D8E" w:rsidRPr="001E6CF3">
        <w:rPr>
          <w:color w:val="000000"/>
          <w:spacing w:val="6"/>
          <w:lang w:val="en-GB" w:eastAsia="en-GB"/>
        </w:rPr>
        <w:t>But the costs of the Savmin technology are too great at present to make any commercial uptake viable.</w:t>
      </w:r>
    </w:p>
    <w:p w:rsidR="0071106B" w:rsidRPr="001E6CF3" w:rsidRDefault="008D246D" w:rsidP="00843CE2">
      <w:pPr>
        <w:autoSpaceDN w:val="0"/>
        <w:spacing w:after="200" w:line="360" w:lineRule="auto"/>
        <w:jc w:val="both"/>
        <w:rPr>
          <w:color w:val="000000"/>
          <w:spacing w:val="6"/>
          <w:lang w:val="en-GB" w:eastAsia="en-GB"/>
        </w:rPr>
      </w:pPr>
      <w:r w:rsidRPr="001E6CF3">
        <w:rPr>
          <w:color w:val="000000"/>
          <w:spacing w:val="6"/>
          <w:lang w:val="en-GB" w:eastAsia="en-GB"/>
        </w:rPr>
        <w:t>The water treatment activities is the</w:t>
      </w:r>
      <w:r w:rsidRPr="001E6CF3">
        <w:rPr>
          <w:b/>
          <w:color w:val="000000"/>
          <w:spacing w:val="6"/>
          <w:lang w:val="en-GB" w:eastAsia="en-GB"/>
        </w:rPr>
        <w:t xml:space="preserve"> </w:t>
      </w:r>
      <w:r w:rsidRPr="001E6CF3">
        <w:rPr>
          <w:color w:val="000000"/>
          <w:spacing w:val="6"/>
          <w:lang w:val="en-GB" w:eastAsia="en-GB"/>
        </w:rPr>
        <w:t xml:space="preserve">expansion of current Savmin site </w:t>
      </w:r>
      <w:r w:rsidR="008E0D8E" w:rsidRPr="001E6CF3">
        <w:rPr>
          <w:color w:val="000000"/>
          <w:spacing w:val="6"/>
          <w:lang w:val="en-GB" w:eastAsia="en-GB"/>
        </w:rPr>
        <w:t xml:space="preserve">are </w:t>
      </w:r>
      <w:r w:rsidRPr="001E6CF3">
        <w:rPr>
          <w:color w:val="000000"/>
          <w:spacing w:val="6"/>
          <w:lang w:val="en-GB" w:eastAsia="en-GB"/>
        </w:rPr>
        <w:t xml:space="preserve">to incorporate additional treatment technologies. It is aimed to demonstrate </w:t>
      </w:r>
      <w:r w:rsidR="008E0D8E" w:rsidRPr="001E6CF3">
        <w:rPr>
          <w:color w:val="000000"/>
          <w:spacing w:val="6"/>
          <w:lang w:val="en-GB" w:eastAsia="en-GB"/>
        </w:rPr>
        <w:t xml:space="preserve">a </w:t>
      </w:r>
      <w:r w:rsidRPr="001E6CF3">
        <w:rPr>
          <w:color w:val="000000"/>
          <w:spacing w:val="6"/>
          <w:lang w:val="en-GB" w:eastAsia="en-GB"/>
        </w:rPr>
        <w:t>suite of technologies for total remediation of Robinson Late</w:t>
      </w:r>
      <w:r w:rsidR="005D4BAF" w:rsidRPr="001E6CF3">
        <w:rPr>
          <w:color w:val="000000"/>
          <w:spacing w:val="6"/>
          <w:lang w:val="en-GB" w:eastAsia="en-GB"/>
        </w:rPr>
        <w:t>,</w:t>
      </w:r>
      <w:r w:rsidRPr="001E6CF3">
        <w:rPr>
          <w:color w:val="000000"/>
          <w:spacing w:val="6"/>
          <w:lang w:val="en-GB" w:eastAsia="en-GB"/>
        </w:rPr>
        <w:t xml:space="preserve"> a highly toxic site 1.5 km </w:t>
      </w:r>
      <w:r w:rsidR="008E0D8E" w:rsidRPr="001E6CF3">
        <w:rPr>
          <w:color w:val="000000"/>
          <w:spacing w:val="6"/>
          <w:lang w:val="en-GB" w:eastAsia="en-GB"/>
        </w:rPr>
        <w:t>from</w:t>
      </w:r>
      <w:r w:rsidRPr="001E6CF3">
        <w:rPr>
          <w:color w:val="000000"/>
          <w:spacing w:val="6"/>
          <w:lang w:val="en-GB" w:eastAsia="en-GB"/>
        </w:rPr>
        <w:t xml:space="preserve"> the Savmin site. It is a multiyear programme starting this year. </w:t>
      </w:r>
    </w:p>
    <w:p w:rsidR="00AC23BB" w:rsidRPr="001E6CF3" w:rsidRDefault="00AC23BB" w:rsidP="00843CE2">
      <w:pPr>
        <w:autoSpaceDN w:val="0"/>
        <w:spacing w:after="200" w:line="360" w:lineRule="auto"/>
        <w:jc w:val="both"/>
        <w:rPr>
          <w:color w:val="000000"/>
          <w:spacing w:val="6"/>
          <w:lang w:val="en-GB" w:eastAsia="en-GB"/>
        </w:rPr>
      </w:pPr>
      <w:r w:rsidRPr="001E6CF3">
        <w:rPr>
          <w:color w:val="000000"/>
          <w:spacing w:val="6"/>
          <w:lang w:val="en-GB" w:eastAsia="en-GB"/>
        </w:rPr>
        <w:t>The underground processing is the significant research programme looking at underground processing of ores. It is fundamentally different approach to processing on the surface. It was reported that it was a 2</w:t>
      </w:r>
      <w:r w:rsidRPr="001E6CF3">
        <w:rPr>
          <w:color w:val="000000"/>
          <w:spacing w:val="6"/>
          <w:vertAlign w:val="superscript"/>
          <w:lang w:val="en-GB" w:eastAsia="en-GB"/>
        </w:rPr>
        <w:t>nd</w:t>
      </w:r>
      <w:r w:rsidRPr="001E6CF3">
        <w:rPr>
          <w:color w:val="000000"/>
          <w:spacing w:val="6"/>
          <w:lang w:val="en-GB" w:eastAsia="en-GB"/>
        </w:rPr>
        <w:t xml:space="preserve"> year of a</w:t>
      </w:r>
      <w:r w:rsidR="008E0D8E" w:rsidRPr="001E6CF3">
        <w:rPr>
          <w:color w:val="000000"/>
          <w:spacing w:val="6"/>
          <w:lang w:val="en-GB" w:eastAsia="en-GB"/>
        </w:rPr>
        <w:t xml:space="preserve"> </w:t>
      </w:r>
      <w:r w:rsidRPr="001E6CF3">
        <w:rPr>
          <w:color w:val="000000"/>
          <w:spacing w:val="6"/>
          <w:lang w:val="en-GB" w:eastAsia="en-GB"/>
        </w:rPr>
        <w:t xml:space="preserve">long term programme. Mr Mckenzie reported that Mintek is working with a number of technology vendors and partners. </w:t>
      </w:r>
    </w:p>
    <w:p w:rsidR="008507AE" w:rsidRPr="001E6CF3" w:rsidRDefault="008507AE" w:rsidP="00843CE2">
      <w:pPr>
        <w:autoSpaceDN w:val="0"/>
        <w:spacing w:after="200" w:line="360" w:lineRule="auto"/>
        <w:jc w:val="both"/>
        <w:rPr>
          <w:color w:val="000000"/>
          <w:spacing w:val="6"/>
          <w:lang w:val="en-GB" w:eastAsia="en-GB"/>
        </w:rPr>
      </w:pPr>
      <w:r w:rsidRPr="001E6CF3">
        <w:rPr>
          <w:color w:val="000000"/>
          <w:spacing w:val="6"/>
          <w:lang w:val="en-GB" w:eastAsia="en-GB"/>
        </w:rPr>
        <w:t>With regards to commercialisation technologies</w:t>
      </w:r>
      <w:r w:rsidR="00054D3E" w:rsidRPr="001E6CF3">
        <w:rPr>
          <w:color w:val="000000"/>
          <w:spacing w:val="6"/>
          <w:lang w:val="en-GB" w:eastAsia="en-GB"/>
        </w:rPr>
        <w:t xml:space="preserve">, he reported </w:t>
      </w:r>
      <w:r w:rsidR="008E0D8E" w:rsidRPr="001E6CF3">
        <w:rPr>
          <w:color w:val="000000"/>
          <w:spacing w:val="6"/>
          <w:lang w:val="en-GB" w:eastAsia="en-GB"/>
        </w:rPr>
        <w:t xml:space="preserve">that the </w:t>
      </w:r>
      <w:r w:rsidRPr="001E6CF3">
        <w:rPr>
          <w:color w:val="000000"/>
          <w:spacing w:val="6"/>
          <w:lang w:val="en-GB" w:eastAsia="en-GB"/>
        </w:rPr>
        <w:t>SACREF</w:t>
      </w:r>
      <w:r w:rsidR="00054D3E" w:rsidRPr="001E6CF3">
        <w:rPr>
          <w:color w:val="000000"/>
          <w:spacing w:val="6"/>
          <w:lang w:val="en-GB" w:eastAsia="en-GB"/>
        </w:rPr>
        <w:t xml:space="preserve"> rare earth refinery concept </w:t>
      </w:r>
      <w:r w:rsidR="008E0D8E" w:rsidRPr="001E6CF3">
        <w:rPr>
          <w:color w:val="000000"/>
          <w:spacing w:val="6"/>
          <w:lang w:val="en-GB" w:eastAsia="en-GB"/>
        </w:rPr>
        <w:t xml:space="preserve">for the SADC region </w:t>
      </w:r>
      <w:r w:rsidR="00054D3E" w:rsidRPr="001E6CF3">
        <w:rPr>
          <w:color w:val="000000"/>
          <w:spacing w:val="6"/>
          <w:lang w:val="en-GB" w:eastAsia="en-GB"/>
        </w:rPr>
        <w:t>continues in spite of poor market conditions. He said Mintek partner Jubilee Platinum is struggling to raise capital for Conroast PGM smelting technology.  For Low Grade ferrochrome process, Mintek</w:t>
      </w:r>
      <w:r w:rsidR="008E0D8E" w:rsidRPr="001E6CF3">
        <w:rPr>
          <w:color w:val="000000"/>
          <w:spacing w:val="6"/>
          <w:lang w:val="en-GB" w:eastAsia="en-GB"/>
        </w:rPr>
        <w:t>’</w:t>
      </w:r>
      <w:r w:rsidR="00054D3E" w:rsidRPr="001E6CF3">
        <w:rPr>
          <w:color w:val="000000"/>
          <w:spacing w:val="6"/>
          <w:lang w:val="en-GB" w:eastAsia="en-GB"/>
        </w:rPr>
        <w:t xml:space="preserve">s partner, Siyanda Resources has raised a substantial portion of the capital required and the project is on track. For </w:t>
      </w:r>
      <w:r w:rsidR="008E0D8E" w:rsidRPr="001E6CF3">
        <w:rPr>
          <w:color w:val="000000"/>
          <w:spacing w:val="6"/>
          <w:lang w:val="en-GB" w:eastAsia="en-GB"/>
        </w:rPr>
        <w:t xml:space="preserve">the </w:t>
      </w:r>
      <w:r w:rsidR="00054D3E" w:rsidRPr="001E6CF3">
        <w:rPr>
          <w:color w:val="000000"/>
          <w:spacing w:val="6"/>
          <w:lang w:val="en-GB" w:eastAsia="en-GB"/>
        </w:rPr>
        <w:t>PGM atomisation process, he reported that Anglo American Platinum is not committing capital</w:t>
      </w:r>
      <w:r w:rsidR="008E0D8E" w:rsidRPr="001E6CF3">
        <w:rPr>
          <w:color w:val="000000"/>
          <w:spacing w:val="6"/>
          <w:lang w:val="en-GB" w:eastAsia="en-GB"/>
        </w:rPr>
        <w:t xml:space="preserve"> at the present time, due to the economic climate,</w:t>
      </w:r>
      <w:r w:rsidR="00054D3E" w:rsidRPr="001E6CF3">
        <w:rPr>
          <w:color w:val="000000"/>
          <w:spacing w:val="6"/>
          <w:lang w:val="en-GB" w:eastAsia="en-GB"/>
        </w:rPr>
        <w:t xml:space="preserve"> but Mintek is exploring other avenues. The Sensor sorting plant </w:t>
      </w:r>
      <w:r w:rsidR="008E0D8E" w:rsidRPr="001E6CF3">
        <w:rPr>
          <w:color w:val="000000"/>
          <w:spacing w:val="6"/>
          <w:lang w:val="en-GB" w:eastAsia="en-GB"/>
        </w:rPr>
        <w:t xml:space="preserve">at </w:t>
      </w:r>
      <w:r w:rsidR="00054D3E" w:rsidRPr="001E6CF3">
        <w:rPr>
          <w:color w:val="000000"/>
          <w:spacing w:val="6"/>
          <w:lang w:val="en-GB" w:eastAsia="en-GB"/>
        </w:rPr>
        <w:t xml:space="preserve">Anglo American Platinum is being commissioned. </w:t>
      </w:r>
    </w:p>
    <w:p w:rsidR="00C22816" w:rsidRPr="001E6CF3" w:rsidRDefault="00315194" w:rsidP="00843CE2">
      <w:pPr>
        <w:tabs>
          <w:tab w:val="left" w:pos="426"/>
        </w:tabs>
        <w:spacing w:line="360" w:lineRule="auto"/>
        <w:ind w:right="-180"/>
        <w:jc w:val="both"/>
        <w:rPr>
          <w:color w:val="000000"/>
          <w:spacing w:val="6"/>
          <w:lang w:val="en-GB" w:eastAsia="en-GB"/>
        </w:rPr>
      </w:pPr>
      <w:r w:rsidRPr="001E6CF3">
        <w:rPr>
          <w:color w:val="000000"/>
          <w:spacing w:val="6"/>
          <w:lang w:val="en-GB" w:eastAsia="en-GB"/>
        </w:rPr>
        <w:t>Mr Mckenzie gave a background on the NAM</w:t>
      </w:r>
      <w:r w:rsidR="005D4BAF" w:rsidRPr="001E6CF3">
        <w:rPr>
          <w:color w:val="000000"/>
          <w:spacing w:val="6"/>
          <w:lang w:val="en-GB" w:eastAsia="en-GB"/>
        </w:rPr>
        <w:t xml:space="preserve"> (Non </w:t>
      </w:r>
      <w:r w:rsidR="00843CE2" w:rsidRPr="001E6CF3">
        <w:rPr>
          <w:color w:val="000000"/>
          <w:spacing w:val="6"/>
          <w:lang w:val="en-GB" w:eastAsia="en-GB"/>
        </w:rPr>
        <w:t>Aligned</w:t>
      </w:r>
      <w:r w:rsidR="005D4BAF" w:rsidRPr="001E6CF3">
        <w:rPr>
          <w:color w:val="000000"/>
          <w:spacing w:val="6"/>
          <w:lang w:val="en-GB" w:eastAsia="en-GB"/>
        </w:rPr>
        <w:t xml:space="preserve"> Movement)</w:t>
      </w:r>
      <w:r w:rsidRPr="001E6CF3">
        <w:rPr>
          <w:color w:val="000000"/>
          <w:spacing w:val="6"/>
          <w:lang w:val="en-GB" w:eastAsia="en-GB"/>
        </w:rPr>
        <w:t xml:space="preserve"> training programme. He said South African currently hold</w:t>
      </w:r>
      <w:r w:rsidR="008E0D8E" w:rsidRPr="001E6CF3">
        <w:rPr>
          <w:color w:val="000000"/>
          <w:spacing w:val="6"/>
          <w:lang w:val="en-GB" w:eastAsia="en-GB"/>
        </w:rPr>
        <w:t>s</w:t>
      </w:r>
      <w:r w:rsidRPr="001E6CF3">
        <w:rPr>
          <w:color w:val="000000"/>
          <w:spacing w:val="6"/>
          <w:lang w:val="en-GB" w:eastAsia="en-GB"/>
        </w:rPr>
        <w:t xml:space="preserve"> the Presidency of the NAM Science and Technology Centre. DST has asked Mintek to host </w:t>
      </w:r>
      <w:r w:rsidR="00632ADD" w:rsidRPr="001E6CF3">
        <w:rPr>
          <w:color w:val="000000"/>
          <w:spacing w:val="6"/>
          <w:lang w:val="en-GB" w:eastAsia="en-GB"/>
        </w:rPr>
        <w:t>training</w:t>
      </w:r>
      <w:r w:rsidRPr="001E6CF3">
        <w:rPr>
          <w:color w:val="000000"/>
          <w:spacing w:val="6"/>
          <w:lang w:val="en-GB" w:eastAsia="en-GB"/>
        </w:rPr>
        <w:t xml:space="preserve"> course as part of the programme. </w:t>
      </w:r>
      <w:r w:rsidR="008E0D8E" w:rsidRPr="001E6CF3">
        <w:rPr>
          <w:color w:val="000000"/>
          <w:spacing w:val="6"/>
          <w:lang w:val="en-GB" w:eastAsia="en-GB"/>
        </w:rPr>
        <w:t xml:space="preserve">The first </w:t>
      </w:r>
      <w:r w:rsidRPr="001E6CF3">
        <w:rPr>
          <w:color w:val="000000"/>
          <w:spacing w:val="6"/>
          <w:lang w:val="en-GB" w:eastAsia="en-GB"/>
        </w:rPr>
        <w:t xml:space="preserve">was held in 2015 and the second will be held from May to July 2016. 20 </w:t>
      </w:r>
      <w:r w:rsidR="008E0D8E" w:rsidRPr="001E6CF3">
        <w:rPr>
          <w:color w:val="000000"/>
          <w:spacing w:val="6"/>
          <w:lang w:val="en-GB" w:eastAsia="en-GB"/>
        </w:rPr>
        <w:t xml:space="preserve">fellows from third world countries </w:t>
      </w:r>
      <w:r w:rsidRPr="001E6CF3">
        <w:rPr>
          <w:color w:val="000000"/>
          <w:spacing w:val="6"/>
          <w:lang w:val="en-GB" w:eastAsia="en-GB"/>
        </w:rPr>
        <w:t xml:space="preserve">will spend 3 months at Mintek as part of the programme. </w:t>
      </w:r>
    </w:p>
    <w:p w:rsidR="00C22816" w:rsidRPr="0050021F" w:rsidRDefault="00C22816" w:rsidP="00843CE2">
      <w:pPr>
        <w:tabs>
          <w:tab w:val="left" w:pos="426"/>
        </w:tabs>
        <w:spacing w:line="360" w:lineRule="auto"/>
        <w:ind w:right="-180"/>
        <w:rPr>
          <w:color w:val="000000"/>
          <w:spacing w:val="6"/>
          <w:lang w:val="en-GB" w:eastAsia="en-GB"/>
        </w:rPr>
      </w:pPr>
    </w:p>
    <w:p w:rsidR="000320C4" w:rsidRPr="00730872" w:rsidRDefault="00730872" w:rsidP="00730872">
      <w:pPr>
        <w:tabs>
          <w:tab w:val="left" w:pos="426"/>
        </w:tabs>
        <w:spacing w:line="360" w:lineRule="auto"/>
        <w:ind w:left="360" w:right="-180"/>
        <w:rPr>
          <w:b/>
        </w:rPr>
      </w:pPr>
      <w:r>
        <w:rPr>
          <w:b/>
        </w:rPr>
        <w:t xml:space="preserve">10. </w:t>
      </w:r>
      <w:r w:rsidR="00ED111A" w:rsidRPr="00730872">
        <w:rPr>
          <w:b/>
        </w:rPr>
        <w:t xml:space="preserve">Briefing </w:t>
      </w:r>
      <w:r w:rsidR="000320C4" w:rsidRPr="00730872">
        <w:rPr>
          <w:b/>
        </w:rPr>
        <w:t>by State Diamond Trader (SDT)</w:t>
      </w:r>
    </w:p>
    <w:p w:rsidR="006649D1" w:rsidRPr="001E6CF3" w:rsidRDefault="006649D1" w:rsidP="00843CE2">
      <w:pPr>
        <w:tabs>
          <w:tab w:val="left" w:pos="426"/>
        </w:tabs>
        <w:spacing w:line="360" w:lineRule="auto"/>
        <w:ind w:right="-180"/>
        <w:rPr>
          <w:b/>
        </w:rPr>
      </w:pPr>
    </w:p>
    <w:p w:rsidR="00AD4727" w:rsidRPr="001E6CF3" w:rsidRDefault="00026940" w:rsidP="00843CE2">
      <w:pPr>
        <w:autoSpaceDN w:val="0"/>
        <w:spacing w:after="200" w:line="360" w:lineRule="auto"/>
        <w:jc w:val="both"/>
        <w:rPr>
          <w:color w:val="000000"/>
          <w:spacing w:val="6"/>
          <w:lang w:val="en-GB" w:eastAsia="en-GB"/>
        </w:rPr>
      </w:pPr>
      <w:r w:rsidRPr="001E6CF3">
        <w:rPr>
          <w:color w:val="000000"/>
          <w:spacing w:val="6"/>
          <w:lang w:val="en-GB" w:eastAsia="en-GB"/>
        </w:rPr>
        <w:t>The</w:t>
      </w:r>
      <w:r w:rsidRPr="001E6CF3">
        <w:rPr>
          <w:b/>
          <w:color w:val="000000"/>
          <w:spacing w:val="6"/>
          <w:lang w:val="en-GB" w:eastAsia="en-GB"/>
        </w:rPr>
        <w:t xml:space="preserve"> </w:t>
      </w:r>
      <w:r w:rsidRPr="001E6CF3">
        <w:rPr>
          <w:color w:val="000000"/>
          <w:spacing w:val="6"/>
          <w:lang w:val="en-GB" w:eastAsia="en-GB"/>
        </w:rPr>
        <w:t xml:space="preserve">CEO, Ms F Zikalala Mvelase </w:t>
      </w:r>
      <w:r w:rsidR="00AD4727" w:rsidRPr="001E6CF3">
        <w:rPr>
          <w:color w:val="000000"/>
          <w:spacing w:val="6"/>
          <w:lang w:val="en-GB" w:eastAsia="en-GB"/>
        </w:rPr>
        <w:t xml:space="preserve">presented the Annual Performance Plan 2016/17 against the backdrop of severely affected market performance. The CEO indicated </w:t>
      </w:r>
      <w:r w:rsidR="0025038D" w:rsidRPr="001E6CF3">
        <w:rPr>
          <w:color w:val="000000"/>
          <w:spacing w:val="6"/>
          <w:lang w:val="en-GB" w:eastAsia="en-GB"/>
        </w:rPr>
        <w:t xml:space="preserve">that </w:t>
      </w:r>
      <w:r w:rsidR="00AD4727" w:rsidRPr="001E6CF3">
        <w:rPr>
          <w:color w:val="000000"/>
          <w:spacing w:val="6"/>
          <w:lang w:val="en-GB" w:eastAsia="en-GB"/>
        </w:rPr>
        <w:t>since the middle of 2014, the global diamond industry performed negative</w:t>
      </w:r>
      <w:r w:rsidR="0025038D" w:rsidRPr="001E6CF3">
        <w:rPr>
          <w:color w:val="000000"/>
          <w:spacing w:val="6"/>
          <w:lang w:val="en-GB" w:eastAsia="en-GB"/>
        </w:rPr>
        <w:t>ly</w:t>
      </w:r>
      <w:r w:rsidR="00AD4727" w:rsidRPr="001E6CF3">
        <w:rPr>
          <w:color w:val="000000"/>
          <w:spacing w:val="6"/>
          <w:lang w:val="en-GB" w:eastAsia="en-GB"/>
        </w:rPr>
        <w:t xml:space="preserve"> and the local industry and SDT were not immune </w:t>
      </w:r>
      <w:r w:rsidR="0025038D" w:rsidRPr="001E6CF3">
        <w:rPr>
          <w:color w:val="000000"/>
          <w:spacing w:val="6"/>
          <w:lang w:val="en-GB" w:eastAsia="en-GB"/>
        </w:rPr>
        <w:t xml:space="preserve">to </w:t>
      </w:r>
      <w:r w:rsidR="00AD4727" w:rsidRPr="001E6CF3">
        <w:rPr>
          <w:color w:val="000000"/>
          <w:spacing w:val="6"/>
          <w:lang w:val="en-GB" w:eastAsia="en-GB"/>
        </w:rPr>
        <w:t xml:space="preserve">the negative </w:t>
      </w:r>
      <w:r w:rsidR="008C6C32" w:rsidRPr="001E6CF3">
        <w:rPr>
          <w:color w:val="000000"/>
          <w:spacing w:val="6"/>
          <w:lang w:val="en-GB" w:eastAsia="en-GB"/>
        </w:rPr>
        <w:t>environment</w:t>
      </w:r>
      <w:r w:rsidR="00AD4727" w:rsidRPr="001E6CF3">
        <w:rPr>
          <w:color w:val="000000"/>
          <w:spacing w:val="6"/>
          <w:lang w:val="en-GB" w:eastAsia="en-GB"/>
        </w:rPr>
        <w:t xml:space="preserve">. She said if the slight improvement in the global market recorded since January 2016 carries on, the SDT is confident that its budgeted purchases and sales as </w:t>
      </w:r>
      <w:r w:rsidR="0025038D" w:rsidRPr="001E6CF3">
        <w:rPr>
          <w:color w:val="000000"/>
          <w:spacing w:val="6"/>
          <w:lang w:val="en-GB" w:eastAsia="en-GB"/>
        </w:rPr>
        <w:t>w</w:t>
      </w:r>
      <w:r w:rsidR="00AD4727" w:rsidRPr="001E6CF3">
        <w:rPr>
          <w:color w:val="000000"/>
          <w:spacing w:val="6"/>
          <w:lang w:val="en-GB" w:eastAsia="en-GB"/>
        </w:rPr>
        <w:t xml:space="preserve">ell as the loss for the year 2016/17 will </w:t>
      </w:r>
      <w:r w:rsidR="008C6C32" w:rsidRPr="001E6CF3">
        <w:rPr>
          <w:color w:val="000000"/>
          <w:spacing w:val="6"/>
          <w:lang w:val="en-GB" w:eastAsia="en-GB"/>
        </w:rPr>
        <w:t>be</w:t>
      </w:r>
      <w:r w:rsidR="00AD4727" w:rsidRPr="001E6CF3">
        <w:rPr>
          <w:color w:val="000000"/>
          <w:spacing w:val="6"/>
          <w:lang w:val="en-GB" w:eastAsia="en-GB"/>
        </w:rPr>
        <w:t xml:space="preserve"> positively </w:t>
      </w:r>
      <w:r w:rsidR="008C6C32" w:rsidRPr="001E6CF3">
        <w:rPr>
          <w:color w:val="000000"/>
          <w:spacing w:val="6"/>
          <w:lang w:val="en-GB" w:eastAsia="en-GB"/>
        </w:rPr>
        <w:t>impacted</w:t>
      </w:r>
      <w:r w:rsidR="00AD4727" w:rsidRPr="001E6CF3">
        <w:rPr>
          <w:color w:val="000000"/>
          <w:spacing w:val="6"/>
          <w:lang w:val="en-GB" w:eastAsia="en-GB"/>
        </w:rPr>
        <w:t xml:space="preserve"> during the course of the year.</w:t>
      </w:r>
    </w:p>
    <w:p w:rsidR="00AD4727" w:rsidRPr="001E6CF3" w:rsidRDefault="00AD4727" w:rsidP="00843CE2">
      <w:pPr>
        <w:autoSpaceDN w:val="0"/>
        <w:spacing w:after="200" w:line="360" w:lineRule="auto"/>
        <w:jc w:val="both"/>
        <w:rPr>
          <w:color w:val="000000"/>
          <w:spacing w:val="6"/>
          <w:lang w:val="en-GB" w:eastAsia="en-GB"/>
        </w:rPr>
      </w:pPr>
      <w:r w:rsidRPr="001E6CF3">
        <w:rPr>
          <w:color w:val="000000"/>
          <w:spacing w:val="6"/>
          <w:lang w:val="en-GB" w:eastAsia="en-GB"/>
        </w:rPr>
        <w:t>The CEO presented the strategic objective</w:t>
      </w:r>
      <w:r w:rsidR="0025038D" w:rsidRPr="001E6CF3">
        <w:rPr>
          <w:color w:val="000000"/>
          <w:spacing w:val="6"/>
          <w:lang w:val="en-GB" w:eastAsia="en-GB"/>
        </w:rPr>
        <w:t>s</w:t>
      </w:r>
      <w:r w:rsidRPr="001E6CF3">
        <w:rPr>
          <w:color w:val="000000"/>
          <w:spacing w:val="6"/>
          <w:lang w:val="en-GB" w:eastAsia="en-GB"/>
        </w:rPr>
        <w:t xml:space="preserve"> as follows:</w:t>
      </w:r>
    </w:p>
    <w:p w:rsidR="00AD4727" w:rsidRPr="001E6CF3" w:rsidRDefault="00AD4727" w:rsidP="00843CE2">
      <w:pPr>
        <w:pStyle w:val="ListParagraph"/>
        <w:numPr>
          <w:ilvl w:val="0"/>
          <w:numId w:val="13"/>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To contribute to the growth of the local diamond beneficiation industry</w:t>
      </w:r>
    </w:p>
    <w:p w:rsidR="00AD4727" w:rsidRPr="001E6CF3" w:rsidRDefault="00AD4727" w:rsidP="00843CE2">
      <w:pPr>
        <w:pStyle w:val="ListParagraph"/>
        <w:numPr>
          <w:ilvl w:val="0"/>
          <w:numId w:val="13"/>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To increase sale of ro</w:t>
      </w:r>
      <w:r w:rsidR="00C22816" w:rsidRPr="001E6CF3">
        <w:rPr>
          <w:rFonts w:ascii="Times New Roman" w:hAnsi="Times New Roman"/>
          <w:color w:val="000000"/>
          <w:spacing w:val="6"/>
          <w:sz w:val="24"/>
          <w:szCs w:val="24"/>
          <w:lang w:val="en-GB" w:eastAsia="en-GB"/>
        </w:rPr>
        <w:t>ugh diamonds to HDSA beneficiat</w:t>
      </w:r>
      <w:r w:rsidRPr="001E6CF3">
        <w:rPr>
          <w:rFonts w:ascii="Times New Roman" w:hAnsi="Times New Roman"/>
          <w:color w:val="000000"/>
          <w:spacing w:val="6"/>
          <w:sz w:val="24"/>
          <w:szCs w:val="24"/>
          <w:lang w:val="en-GB" w:eastAsia="en-GB"/>
        </w:rPr>
        <w:t>ors</w:t>
      </w:r>
    </w:p>
    <w:p w:rsidR="00AD4727" w:rsidRPr="001E6CF3" w:rsidRDefault="00AD4727" w:rsidP="00843CE2">
      <w:pPr>
        <w:pStyle w:val="ListParagraph"/>
        <w:numPr>
          <w:ilvl w:val="0"/>
          <w:numId w:val="13"/>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To contribute towards youth skills development.</w:t>
      </w:r>
    </w:p>
    <w:p w:rsidR="00AD4727" w:rsidRPr="001E6CF3" w:rsidRDefault="00AD4727" w:rsidP="00843CE2">
      <w:pPr>
        <w:autoSpaceDN w:val="0"/>
        <w:spacing w:after="200" w:line="360" w:lineRule="auto"/>
        <w:jc w:val="both"/>
        <w:rPr>
          <w:color w:val="000000"/>
          <w:spacing w:val="6"/>
          <w:lang w:val="en-GB" w:eastAsia="en-GB"/>
        </w:rPr>
      </w:pPr>
      <w:r w:rsidRPr="001E6CF3">
        <w:rPr>
          <w:color w:val="000000"/>
          <w:spacing w:val="6"/>
          <w:lang w:val="en-GB" w:eastAsia="en-GB"/>
        </w:rPr>
        <w:t>She said the strategic objective</w:t>
      </w:r>
      <w:r w:rsidR="0025038D" w:rsidRPr="001E6CF3">
        <w:rPr>
          <w:color w:val="000000"/>
          <w:spacing w:val="6"/>
          <w:lang w:val="en-GB" w:eastAsia="en-GB"/>
        </w:rPr>
        <w:t>s</w:t>
      </w:r>
      <w:r w:rsidRPr="001E6CF3">
        <w:rPr>
          <w:color w:val="000000"/>
          <w:spacing w:val="6"/>
          <w:lang w:val="en-GB" w:eastAsia="en-GB"/>
        </w:rPr>
        <w:t xml:space="preserve"> are aimed at the following outcomes:</w:t>
      </w:r>
    </w:p>
    <w:p w:rsidR="00AD4727" w:rsidRPr="001E6CF3" w:rsidRDefault="00AD4727" w:rsidP="00843CE2">
      <w:pPr>
        <w:pStyle w:val="ListParagraph"/>
        <w:numPr>
          <w:ilvl w:val="0"/>
          <w:numId w:val="14"/>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A sustainable growing and transformed  diamond </w:t>
      </w:r>
      <w:r w:rsidR="000B7E21" w:rsidRPr="001E6CF3">
        <w:rPr>
          <w:rFonts w:ascii="Times New Roman" w:hAnsi="Times New Roman"/>
          <w:color w:val="000000"/>
          <w:spacing w:val="6"/>
          <w:sz w:val="24"/>
          <w:szCs w:val="24"/>
          <w:lang w:val="en-GB" w:eastAsia="en-GB"/>
        </w:rPr>
        <w:t>beneficiation</w:t>
      </w:r>
      <w:r w:rsidRPr="001E6CF3">
        <w:rPr>
          <w:rFonts w:ascii="Times New Roman" w:hAnsi="Times New Roman"/>
          <w:color w:val="000000"/>
          <w:spacing w:val="6"/>
          <w:sz w:val="24"/>
          <w:szCs w:val="24"/>
          <w:lang w:val="en-GB" w:eastAsia="en-GB"/>
        </w:rPr>
        <w:t xml:space="preserve"> industry</w:t>
      </w:r>
    </w:p>
    <w:p w:rsidR="00AD4727" w:rsidRPr="001E6CF3" w:rsidRDefault="00AD4727" w:rsidP="00843CE2">
      <w:pPr>
        <w:pStyle w:val="ListParagraph"/>
        <w:numPr>
          <w:ilvl w:val="0"/>
          <w:numId w:val="14"/>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Diamond </w:t>
      </w:r>
      <w:r w:rsidR="00C22816" w:rsidRPr="001E6CF3">
        <w:rPr>
          <w:rFonts w:ascii="Times New Roman" w:hAnsi="Times New Roman"/>
          <w:color w:val="000000"/>
          <w:spacing w:val="6"/>
          <w:sz w:val="24"/>
          <w:szCs w:val="24"/>
          <w:lang w:val="en-GB" w:eastAsia="en-GB"/>
        </w:rPr>
        <w:t>industry</w:t>
      </w:r>
      <w:r w:rsidRPr="001E6CF3">
        <w:rPr>
          <w:rFonts w:ascii="Times New Roman" w:hAnsi="Times New Roman"/>
          <w:color w:val="000000"/>
          <w:spacing w:val="6"/>
          <w:sz w:val="24"/>
          <w:szCs w:val="24"/>
          <w:lang w:val="en-GB" w:eastAsia="en-GB"/>
        </w:rPr>
        <w:t xml:space="preserve"> enterprise development</w:t>
      </w:r>
    </w:p>
    <w:p w:rsidR="00AD4727" w:rsidRPr="001E6CF3" w:rsidRDefault="00AD4727" w:rsidP="00843CE2">
      <w:pPr>
        <w:pStyle w:val="ListParagraph"/>
        <w:numPr>
          <w:ilvl w:val="0"/>
          <w:numId w:val="14"/>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Large scale SA (HDSA) owned sustainable diamond </w:t>
      </w:r>
      <w:r w:rsidR="0025038D" w:rsidRPr="001E6CF3">
        <w:rPr>
          <w:rFonts w:ascii="Times New Roman" w:hAnsi="Times New Roman"/>
          <w:color w:val="000000"/>
          <w:spacing w:val="6"/>
          <w:sz w:val="24"/>
          <w:szCs w:val="24"/>
          <w:lang w:val="en-GB" w:eastAsia="en-GB"/>
        </w:rPr>
        <w:t xml:space="preserve">cutting </w:t>
      </w:r>
      <w:r w:rsidRPr="001E6CF3">
        <w:rPr>
          <w:rFonts w:ascii="Times New Roman" w:hAnsi="Times New Roman"/>
          <w:color w:val="000000"/>
          <w:spacing w:val="6"/>
          <w:sz w:val="24"/>
          <w:szCs w:val="24"/>
          <w:lang w:val="en-GB" w:eastAsia="en-GB"/>
        </w:rPr>
        <w:t>and polishing companies established</w:t>
      </w:r>
    </w:p>
    <w:p w:rsidR="00AD4727" w:rsidRPr="001E6CF3" w:rsidRDefault="00AD4727" w:rsidP="00843CE2">
      <w:pPr>
        <w:pStyle w:val="ListParagraph"/>
        <w:numPr>
          <w:ilvl w:val="0"/>
          <w:numId w:val="14"/>
        </w:numPr>
        <w:autoSpaceDN w:val="0"/>
        <w:spacing w:after="200" w:line="360" w:lineRule="auto"/>
        <w:rPr>
          <w:rFonts w:ascii="Times New Roman" w:hAnsi="Times New Roman"/>
          <w:color w:val="000000"/>
          <w:spacing w:val="6"/>
          <w:sz w:val="24"/>
          <w:szCs w:val="24"/>
          <w:lang w:val="en-GB" w:eastAsia="en-GB"/>
        </w:rPr>
      </w:pPr>
      <w:r w:rsidRPr="001E6CF3">
        <w:rPr>
          <w:rFonts w:ascii="Times New Roman" w:hAnsi="Times New Roman"/>
          <w:color w:val="000000"/>
          <w:spacing w:val="6"/>
          <w:sz w:val="24"/>
          <w:szCs w:val="24"/>
          <w:lang w:val="en-GB" w:eastAsia="en-GB"/>
        </w:rPr>
        <w:t xml:space="preserve">Be an efficient, innovative and development orientated </w:t>
      </w:r>
      <w:r w:rsidR="00C22816" w:rsidRPr="001E6CF3">
        <w:rPr>
          <w:rFonts w:ascii="Times New Roman" w:hAnsi="Times New Roman"/>
          <w:color w:val="000000"/>
          <w:spacing w:val="6"/>
          <w:sz w:val="24"/>
          <w:szCs w:val="24"/>
          <w:lang w:val="en-GB" w:eastAsia="en-GB"/>
        </w:rPr>
        <w:t>organising</w:t>
      </w:r>
      <w:r w:rsidRPr="001E6CF3">
        <w:rPr>
          <w:rFonts w:ascii="Times New Roman" w:hAnsi="Times New Roman"/>
          <w:color w:val="000000"/>
          <w:spacing w:val="6"/>
          <w:sz w:val="24"/>
          <w:szCs w:val="24"/>
          <w:lang w:val="en-GB" w:eastAsia="en-GB"/>
        </w:rPr>
        <w:t xml:space="preserve"> (continuous learning environment).</w:t>
      </w:r>
    </w:p>
    <w:p w:rsidR="000B7E21" w:rsidRPr="001E6CF3" w:rsidRDefault="000B7E21" w:rsidP="00843CE2">
      <w:pPr>
        <w:autoSpaceDN w:val="0"/>
        <w:spacing w:after="200" w:line="360" w:lineRule="auto"/>
        <w:jc w:val="both"/>
        <w:rPr>
          <w:color w:val="000000"/>
          <w:spacing w:val="6"/>
          <w:lang w:val="en-GB" w:eastAsia="en-GB"/>
        </w:rPr>
      </w:pPr>
      <w:r w:rsidRPr="001E6CF3">
        <w:rPr>
          <w:color w:val="000000"/>
          <w:spacing w:val="6"/>
          <w:lang w:val="en-GB" w:eastAsia="en-GB"/>
        </w:rPr>
        <w:t>The CEO outline</w:t>
      </w:r>
      <w:r w:rsidR="0025038D" w:rsidRPr="001E6CF3">
        <w:rPr>
          <w:color w:val="000000"/>
          <w:spacing w:val="6"/>
          <w:lang w:val="en-GB" w:eastAsia="en-GB"/>
        </w:rPr>
        <w:t>d</w:t>
      </w:r>
      <w:r w:rsidRPr="001E6CF3">
        <w:rPr>
          <w:color w:val="000000"/>
          <w:spacing w:val="6"/>
          <w:lang w:val="en-GB" w:eastAsia="en-GB"/>
        </w:rPr>
        <w:t xml:space="preserve"> the key activities for 2016/17. She reported that the inaugural SA Diamond Indaba 2015 achieved its objective of getting all stakeholders of the Diamond Indaba conversing about the status quo and the future of th</w:t>
      </w:r>
      <w:r w:rsidR="00C22816" w:rsidRPr="001E6CF3">
        <w:rPr>
          <w:color w:val="000000"/>
          <w:spacing w:val="6"/>
          <w:lang w:val="en-GB" w:eastAsia="en-GB"/>
        </w:rPr>
        <w:t>e</w:t>
      </w:r>
      <w:r w:rsidRPr="001E6CF3">
        <w:rPr>
          <w:color w:val="000000"/>
          <w:spacing w:val="6"/>
          <w:lang w:val="en-GB" w:eastAsia="en-GB"/>
        </w:rPr>
        <w:t xml:space="preserve"> SA Diamond Industry. The SDT is building on this success and importantly providing a platform for diamond industry discussions on industry growth, sustainability and transformation. She indicated that Government and Industry stakeholders are being consulted on </w:t>
      </w:r>
      <w:r w:rsidR="006F4AB4" w:rsidRPr="001E6CF3">
        <w:rPr>
          <w:color w:val="000000"/>
          <w:spacing w:val="6"/>
          <w:lang w:val="en-GB" w:eastAsia="en-GB"/>
        </w:rPr>
        <w:t>a second</w:t>
      </w:r>
      <w:r w:rsidRPr="001E6CF3">
        <w:rPr>
          <w:color w:val="000000"/>
          <w:spacing w:val="6"/>
          <w:lang w:val="en-GB" w:eastAsia="en-GB"/>
        </w:rPr>
        <w:t xml:space="preserve"> Indaba. Issues of industry and transformation in a competitive environment will be high on the agenda. Youth participation has been identified as core to the growth of the industry and their participati</w:t>
      </w:r>
      <w:r w:rsidR="008C6C32" w:rsidRPr="001E6CF3">
        <w:rPr>
          <w:color w:val="000000"/>
          <w:spacing w:val="6"/>
          <w:lang w:val="en-GB" w:eastAsia="en-GB"/>
        </w:rPr>
        <w:t>o</w:t>
      </w:r>
      <w:r w:rsidRPr="001E6CF3">
        <w:rPr>
          <w:color w:val="000000"/>
          <w:spacing w:val="6"/>
          <w:lang w:val="en-GB" w:eastAsia="en-GB"/>
        </w:rPr>
        <w:t xml:space="preserve">n will be key. </w:t>
      </w:r>
    </w:p>
    <w:p w:rsidR="000B7E21" w:rsidRPr="001E6CF3" w:rsidRDefault="000B7E2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SDT, in collaboration with the </w:t>
      </w:r>
      <w:r w:rsidR="009D6AE6" w:rsidRPr="001E6CF3">
        <w:rPr>
          <w:color w:val="000000"/>
          <w:spacing w:val="6"/>
          <w:lang w:val="en-GB" w:eastAsia="en-GB"/>
        </w:rPr>
        <w:t>DTI</w:t>
      </w:r>
      <w:r w:rsidRPr="001E6CF3">
        <w:rPr>
          <w:color w:val="000000"/>
          <w:spacing w:val="6"/>
          <w:lang w:val="en-GB" w:eastAsia="en-GB"/>
        </w:rPr>
        <w:t xml:space="preserve">, will continue to facilitate participation of its clients, especially HDSA clients, at exhibitions related to diamonds, for example; the Hong Kong </w:t>
      </w:r>
      <w:r w:rsidR="009D6AE6" w:rsidRPr="001E6CF3">
        <w:rPr>
          <w:color w:val="000000"/>
          <w:spacing w:val="6"/>
          <w:lang w:val="en-GB" w:eastAsia="en-GB"/>
        </w:rPr>
        <w:t xml:space="preserve">Gem </w:t>
      </w:r>
      <w:r w:rsidRPr="001E6CF3">
        <w:rPr>
          <w:color w:val="000000"/>
          <w:spacing w:val="6"/>
          <w:lang w:val="en-GB" w:eastAsia="en-GB"/>
        </w:rPr>
        <w:t xml:space="preserve">and </w:t>
      </w:r>
      <w:r w:rsidR="00C22816" w:rsidRPr="001E6CF3">
        <w:rPr>
          <w:color w:val="000000"/>
          <w:spacing w:val="6"/>
          <w:lang w:val="en-GB" w:eastAsia="en-GB"/>
        </w:rPr>
        <w:t>Jewellery</w:t>
      </w:r>
      <w:r w:rsidRPr="001E6CF3">
        <w:rPr>
          <w:color w:val="000000"/>
          <w:spacing w:val="6"/>
          <w:lang w:val="en-GB" w:eastAsia="en-GB"/>
        </w:rPr>
        <w:t xml:space="preserve"> Show, Jewellex South </w:t>
      </w:r>
      <w:r w:rsidR="008C6C32" w:rsidRPr="001E6CF3">
        <w:rPr>
          <w:color w:val="000000"/>
          <w:spacing w:val="6"/>
          <w:lang w:val="en-GB" w:eastAsia="en-GB"/>
        </w:rPr>
        <w:t>African</w:t>
      </w:r>
      <w:r w:rsidRPr="001E6CF3">
        <w:rPr>
          <w:color w:val="000000"/>
          <w:spacing w:val="6"/>
          <w:lang w:val="en-GB" w:eastAsia="en-GB"/>
        </w:rPr>
        <w:t xml:space="preserve"> and Africa Jewellery Show.  The participating client business growth target for 2016/17 was set at 5%. She said the consultations and </w:t>
      </w:r>
      <w:r w:rsidR="00C22816" w:rsidRPr="001E6CF3">
        <w:rPr>
          <w:color w:val="000000"/>
          <w:spacing w:val="6"/>
          <w:lang w:val="en-GB" w:eastAsia="en-GB"/>
        </w:rPr>
        <w:t>surveys</w:t>
      </w:r>
      <w:r w:rsidRPr="001E6CF3">
        <w:rPr>
          <w:color w:val="000000"/>
          <w:spacing w:val="6"/>
          <w:lang w:val="en-GB" w:eastAsia="en-GB"/>
        </w:rPr>
        <w:t xml:space="preserve"> will be conducted on participating clients and results will determine further engagements.  The SDT has commenced with its three year Enterprise Development Programme for the youth in 2015. This is set to continue in 2016/17. Industry </w:t>
      </w:r>
      <w:r w:rsidR="00C64801" w:rsidRPr="001E6CF3">
        <w:rPr>
          <w:color w:val="000000"/>
          <w:spacing w:val="6"/>
          <w:lang w:val="en-GB" w:eastAsia="en-GB"/>
        </w:rPr>
        <w:t>partners</w:t>
      </w:r>
      <w:r w:rsidRPr="001E6CF3">
        <w:rPr>
          <w:color w:val="000000"/>
          <w:spacing w:val="6"/>
          <w:lang w:val="en-GB" w:eastAsia="en-GB"/>
        </w:rPr>
        <w:t xml:space="preserve"> have expressed an interest and excitement in further partnering with the SDT. The SDT is looking a</w:t>
      </w:r>
      <w:r w:rsidR="00C22816" w:rsidRPr="001E6CF3">
        <w:rPr>
          <w:color w:val="000000"/>
          <w:spacing w:val="6"/>
          <w:lang w:val="en-GB" w:eastAsia="en-GB"/>
        </w:rPr>
        <w:t>t</w:t>
      </w:r>
      <w:r w:rsidRPr="001E6CF3">
        <w:rPr>
          <w:color w:val="000000"/>
          <w:spacing w:val="6"/>
          <w:lang w:val="en-GB" w:eastAsia="en-GB"/>
        </w:rPr>
        <w:t xml:space="preserve"> a success rate of 75% which will be participants establishing their own beneficiation enterprises starting in 2018/19.</w:t>
      </w:r>
    </w:p>
    <w:p w:rsidR="00C64801" w:rsidRPr="0050021F" w:rsidRDefault="00C64801" w:rsidP="00843CE2">
      <w:pPr>
        <w:autoSpaceDN w:val="0"/>
        <w:spacing w:after="200" w:line="360" w:lineRule="auto"/>
        <w:jc w:val="both"/>
        <w:rPr>
          <w:color w:val="000000"/>
          <w:spacing w:val="6"/>
          <w:lang w:val="en-GB" w:eastAsia="en-GB"/>
        </w:rPr>
      </w:pPr>
      <w:r w:rsidRPr="001E6CF3">
        <w:rPr>
          <w:color w:val="000000"/>
          <w:spacing w:val="6"/>
          <w:lang w:val="en-GB" w:eastAsia="en-GB"/>
        </w:rPr>
        <w:t>The SDT began visiting provinces in 2014/15 and continued with this task in 2015/16, thereby marketing both diamond beneficiation and the SDT. The CEO indicated that the SDT plans to conduct five Provincial Promotional Activities throughout the country.  The SDT will continue with work done in 2015/16 preparing for the employment of you</w:t>
      </w:r>
      <w:r w:rsidR="008C6C32" w:rsidRPr="001E6CF3">
        <w:rPr>
          <w:color w:val="000000"/>
          <w:spacing w:val="6"/>
          <w:lang w:val="en-GB" w:eastAsia="en-GB"/>
        </w:rPr>
        <w:t>th</w:t>
      </w:r>
      <w:r w:rsidRPr="001E6CF3">
        <w:rPr>
          <w:color w:val="000000"/>
          <w:spacing w:val="6"/>
          <w:lang w:val="en-GB" w:eastAsia="en-GB"/>
        </w:rPr>
        <w:t xml:space="preserve"> with disabilities. She reported that training is scheduled to start in quarter two for a period of 3 year</w:t>
      </w:r>
      <w:r w:rsidR="008C6C32" w:rsidRPr="001E6CF3">
        <w:rPr>
          <w:color w:val="000000"/>
          <w:spacing w:val="6"/>
          <w:lang w:val="en-GB" w:eastAsia="en-GB"/>
        </w:rPr>
        <w:t>s</w:t>
      </w:r>
      <w:r w:rsidRPr="001E6CF3">
        <w:rPr>
          <w:color w:val="000000"/>
          <w:spacing w:val="6"/>
          <w:lang w:val="en-GB" w:eastAsia="en-GB"/>
        </w:rPr>
        <w:t>. The train</w:t>
      </w:r>
      <w:r w:rsidR="008C6C32" w:rsidRPr="001E6CF3">
        <w:rPr>
          <w:color w:val="000000"/>
          <w:spacing w:val="6"/>
          <w:lang w:val="en-GB" w:eastAsia="en-GB"/>
        </w:rPr>
        <w:t>ee</w:t>
      </w:r>
      <w:r w:rsidRPr="001E6CF3">
        <w:rPr>
          <w:color w:val="000000"/>
          <w:spacing w:val="6"/>
          <w:lang w:val="en-GB" w:eastAsia="en-GB"/>
        </w:rPr>
        <w:t xml:space="preserve"> </w:t>
      </w:r>
      <w:r w:rsidR="008C6C32" w:rsidRPr="001E6CF3">
        <w:rPr>
          <w:color w:val="000000"/>
          <w:spacing w:val="6"/>
          <w:lang w:val="en-GB" w:eastAsia="en-GB"/>
        </w:rPr>
        <w:t>will be</w:t>
      </w:r>
      <w:r w:rsidRPr="001E6CF3">
        <w:rPr>
          <w:color w:val="000000"/>
          <w:spacing w:val="6"/>
          <w:lang w:val="en-GB" w:eastAsia="en-GB"/>
        </w:rPr>
        <w:t xml:space="preserve"> employ</w:t>
      </w:r>
      <w:r w:rsidR="008C6C32" w:rsidRPr="001E6CF3">
        <w:rPr>
          <w:color w:val="000000"/>
          <w:spacing w:val="6"/>
          <w:lang w:val="en-GB" w:eastAsia="en-GB"/>
        </w:rPr>
        <w:t>ed</w:t>
      </w:r>
      <w:r w:rsidRPr="001E6CF3">
        <w:rPr>
          <w:color w:val="000000"/>
          <w:spacing w:val="6"/>
          <w:lang w:val="en-GB" w:eastAsia="en-GB"/>
        </w:rPr>
        <w:t xml:space="preserve"> by the SDT once completed.</w:t>
      </w:r>
    </w:p>
    <w:p w:rsidR="001A3B08" w:rsidRPr="001E6CF3" w:rsidRDefault="001A3B08" w:rsidP="00843CE2">
      <w:pPr>
        <w:autoSpaceDN w:val="0"/>
        <w:spacing w:after="200" w:line="360" w:lineRule="auto"/>
        <w:jc w:val="both"/>
        <w:rPr>
          <w:color w:val="000000"/>
          <w:spacing w:val="6"/>
          <w:lang w:val="en-GB" w:eastAsia="en-GB"/>
        </w:rPr>
      </w:pPr>
      <w:r w:rsidRPr="001E6CF3">
        <w:rPr>
          <w:color w:val="000000"/>
          <w:spacing w:val="6"/>
          <w:lang w:val="en-GB" w:eastAsia="en-GB"/>
        </w:rPr>
        <w:t>The CE</w:t>
      </w:r>
      <w:r w:rsidR="006649D1" w:rsidRPr="001E6CF3">
        <w:rPr>
          <w:color w:val="000000"/>
          <w:spacing w:val="6"/>
          <w:lang w:val="en-GB" w:eastAsia="en-GB"/>
        </w:rPr>
        <w:t>O pres</w:t>
      </w:r>
      <w:r w:rsidRPr="001E6CF3">
        <w:rPr>
          <w:color w:val="000000"/>
          <w:spacing w:val="6"/>
          <w:lang w:val="en-GB" w:eastAsia="en-GB"/>
        </w:rPr>
        <w:t>ented the budget of SDT for 2016/17</w:t>
      </w:r>
      <w:r w:rsidR="006649D1" w:rsidRPr="001E6CF3">
        <w:rPr>
          <w:color w:val="000000"/>
          <w:spacing w:val="6"/>
          <w:lang w:val="en-GB" w:eastAsia="en-GB"/>
        </w:rPr>
        <w:t>. The projected sales for the year are recorded at R</w:t>
      </w:r>
      <w:r w:rsidRPr="001E6CF3">
        <w:rPr>
          <w:color w:val="000000"/>
          <w:spacing w:val="6"/>
          <w:lang w:val="en-GB" w:eastAsia="en-GB"/>
        </w:rPr>
        <w:t>425</w:t>
      </w:r>
      <w:r w:rsidR="009D6AE6" w:rsidRPr="001E6CF3">
        <w:rPr>
          <w:color w:val="000000"/>
          <w:spacing w:val="6"/>
          <w:lang w:val="en-GB" w:eastAsia="en-GB"/>
        </w:rPr>
        <w:t>,</w:t>
      </w:r>
      <w:r w:rsidR="00C22816" w:rsidRPr="001E6CF3">
        <w:rPr>
          <w:color w:val="000000"/>
          <w:spacing w:val="6"/>
          <w:lang w:val="en-GB" w:eastAsia="en-GB"/>
        </w:rPr>
        <w:t>256</w:t>
      </w:r>
      <w:r w:rsidR="008C6C32" w:rsidRPr="001E6CF3">
        <w:rPr>
          <w:color w:val="000000"/>
          <w:spacing w:val="6"/>
          <w:lang w:val="en-GB" w:eastAsia="en-GB"/>
        </w:rPr>
        <w:t>, 000</w:t>
      </w:r>
      <w:r w:rsidRPr="001E6CF3">
        <w:rPr>
          <w:color w:val="000000"/>
          <w:spacing w:val="6"/>
          <w:lang w:val="en-GB" w:eastAsia="en-GB"/>
        </w:rPr>
        <w:t xml:space="preserve"> The Cost of </w:t>
      </w:r>
      <w:r w:rsidR="00C22816" w:rsidRPr="001E6CF3">
        <w:rPr>
          <w:color w:val="000000"/>
          <w:spacing w:val="6"/>
          <w:lang w:val="en-GB" w:eastAsia="en-GB"/>
        </w:rPr>
        <w:t>Goods</w:t>
      </w:r>
      <w:r w:rsidRPr="001E6CF3">
        <w:rPr>
          <w:color w:val="000000"/>
          <w:spacing w:val="6"/>
          <w:lang w:val="en-GB" w:eastAsia="en-GB"/>
        </w:rPr>
        <w:t xml:space="preserve"> sold were recorded at </w:t>
      </w:r>
      <w:r w:rsidR="009D6AE6" w:rsidRPr="001E6CF3">
        <w:rPr>
          <w:color w:val="000000"/>
          <w:spacing w:val="6"/>
          <w:lang w:val="en-GB" w:eastAsia="en-GB"/>
        </w:rPr>
        <w:t>R</w:t>
      </w:r>
      <w:r w:rsidRPr="001E6CF3">
        <w:rPr>
          <w:color w:val="000000"/>
          <w:spacing w:val="6"/>
          <w:lang w:val="en-GB" w:eastAsia="en-GB"/>
        </w:rPr>
        <w:t>408</w:t>
      </w:r>
      <w:r w:rsidR="009D6AE6" w:rsidRPr="001E6CF3">
        <w:rPr>
          <w:color w:val="000000"/>
          <w:spacing w:val="6"/>
          <w:lang w:val="en-GB" w:eastAsia="en-GB"/>
        </w:rPr>
        <w:t>,</w:t>
      </w:r>
      <w:r w:rsidRPr="001E6CF3">
        <w:rPr>
          <w:color w:val="000000"/>
          <w:spacing w:val="6"/>
          <w:lang w:val="en-GB" w:eastAsia="en-GB"/>
        </w:rPr>
        <w:t>900</w:t>
      </w:r>
      <w:r w:rsidR="009D6AE6" w:rsidRPr="001E6CF3">
        <w:rPr>
          <w:color w:val="000000"/>
          <w:spacing w:val="6"/>
          <w:lang w:val="en-GB" w:eastAsia="en-GB"/>
        </w:rPr>
        <w:t>,</w:t>
      </w:r>
      <w:r w:rsidRPr="001E6CF3">
        <w:rPr>
          <w:color w:val="000000"/>
          <w:spacing w:val="6"/>
          <w:lang w:val="en-GB" w:eastAsia="en-GB"/>
        </w:rPr>
        <w:t xml:space="preserve">000. The Gross </w:t>
      </w:r>
      <w:r w:rsidR="00C22816" w:rsidRPr="001E6CF3">
        <w:rPr>
          <w:color w:val="000000"/>
          <w:spacing w:val="6"/>
          <w:lang w:val="en-GB" w:eastAsia="en-GB"/>
        </w:rPr>
        <w:t>Profit</w:t>
      </w:r>
      <w:r w:rsidRPr="001E6CF3">
        <w:rPr>
          <w:color w:val="000000"/>
          <w:spacing w:val="6"/>
          <w:lang w:val="en-GB" w:eastAsia="en-GB"/>
        </w:rPr>
        <w:t xml:space="preserve"> was recorded at </w:t>
      </w:r>
      <w:r w:rsidR="009D6AE6" w:rsidRPr="001E6CF3">
        <w:rPr>
          <w:color w:val="000000"/>
          <w:spacing w:val="6"/>
          <w:lang w:val="en-GB" w:eastAsia="en-GB"/>
        </w:rPr>
        <w:t>R</w:t>
      </w:r>
      <w:r w:rsidRPr="001E6CF3">
        <w:rPr>
          <w:color w:val="000000"/>
          <w:spacing w:val="6"/>
          <w:lang w:val="en-GB" w:eastAsia="en-GB"/>
        </w:rPr>
        <w:t>16</w:t>
      </w:r>
      <w:r w:rsidR="008C6C32" w:rsidRPr="001E6CF3">
        <w:rPr>
          <w:color w:val="000000"/>
          <w:spacing w:val="6"/>
          <w:lang w:val="en-GB" w:eastAsia="en-GB"/>
        </w:rPr>
        <w:t>, 356,000</w:t>
      </w:r>
      <w:r w:rsidRPr="001E6CF3">
        <w:rPr>
          <w:color w:val="000000"/>
          <w:spacing w:val="6"/>
          <w:lang w:val="en-GB" w:eastAsia="en-GB"/>
        </w:rPr>
        <w:t xml:space="preserve">. </w:t>
      </w:r>
      <w:r w:rsidR="006649D1" w:rsidRPr="001E6CF3">
        <w:rPr>
          <w:color w:val="000000"/>
          <w:spacing w:val="6"/>
          <w:lang w:val="en-GB" w:eastAsia="en-GB"/>
        </w:rPr>
        <w:t>The Earnings Before Interest an</w:t>
      </w:r>
      <w:r w:rsidRPr="001E6CF3">
        <w:rPr>
          <w:color w:val="000000"/>
          <w:spacing w:val="6"/>
          <w:lang w:val="en-GB" w:eastAsia="en-GB"/>
        </w:rPr>
        <w:t>d Tax (EBIT) are projected at (R4</w:t>
      </w:r>
      <w:r w:rsidR="00843CE2" w:rsidRPr="001E6CF3">
        <w:rPr>
          <w:color w:val="000000"/>
          <w:spacing w:val="6"/>
          <w:lang w:val="en-GB" w:eastAsia="en-GB"/>
        </w:rPr>
        <w:t>, 809,478</w:t>
      </w:r>
      <w:r w:rsidR="00C22816" w:rsidRPr="001E6CF3">
        <w:rPr>
          <w:color w:val="000000"/>
          <w:spacing w:val="6"/>
          <w:lang w:val="en-GB" w:eastAsia="en-GB"/>
        </w:rPr>
        <w:t>) this</w:t>
      </w:r>
      <w:r w:rsidR="006649D1" w:rsidRPr="001E6CF3">
        <w:rPr>
          <w:color w:val="000000"/>
          <w:spacing w:val="6"/>
          <w:lang w:val="en-GB" w:eastAsia="en-GB"/>
        </w:rPr>
        <w:t xml:space="preserve"> is after covering the overheads of </w:t>
      </w:r>
      <w:r w:rsidR="00263470" w:rsidRPr="001E6CF3">
        <w:rPr>
          <w:color w:val="000000"/>
          <w:spacing w:val="6"/>
          <w:lang w:val="en-GB" w:eastAsia="en-GB"/>
        </w:rPr>
        <w:t xml:space="preserve">approximately </w:t>
      </w:r>
      <w:r w:rsidR="00C22816" w:rsidRPr="001E6CF3">
        <w:rPr>
          <w:color w:val="000000"/>
          <w:spacing w:val="6"/>
          <w:lang w:val="en-GB" w:eastAsia="en-GB"/>
        </w:rPr>
        <w:t>(R21</w:t>
      </w:r>
      <w:r w:rsidR="009D6AE6" w:rsidRPr="001E6CF3">
        <w:rPr>
          <w:color w:val="000000"/>
          <w:spacing w:val="6"/>
          <w:lang w:val="en-GB" w:eastAsia="en-GB"/>
        </w:rPr>
        <w:t>,</w:t>
      </w:r>
      <w:r w:rsidRPr="001E6CF3">
        <w:rPr>
          <w:color w:val="000000"/>
          <w:spacing w:val="6"/>
          <w:lang w:val="en-GB" w:eastAsia="en-GB"/>
        </w:rPr>
        <w:t>165</w:t>
      </w:r>
      <w:r w:rsidR="009D6AE6" w:rsidRPr="001E6CF3">
        <w:rPr>
          <w:color w:val="000000"/>
          <w:spacing w:val="6"/>
          <w:lang w:val="en-GB" w:eastAsia="en-GB"/>
        </w:rPr>
        <w:t>,</w:t>
      </w:r>
      <w:r w:rsidRPr="001E6CF3">
        <w:rPr>
          <w:color w:val="000000"/>
          <w:spacing w:val="6"/>
          <w:lang w:val="en-GB" w:eastAsia="en-GB"/>
        </w:rPr>
        <w:t>478</w:t>
      </w:r>
      <w:r w:rsidR="00C22816" w:rsidRPr="001E6CF3">
        <w:rPr>
          <w:color w:val="000000"/>
          <w:spacing w:val="6"/>
          <w:lang w:val="en-GB" w:eastAsia="en-GB"/>
        </w:rPr>
        <w:t xml:space="preserve">). </w:t>
      </w:r>
    </w:p>
    <w:p w:rsidR="001A3B08" w:rsidRPr="001E6CF3" w:rsidRDefault="001A3B08"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Members congratulated the </w:t>
      </w:r>
      <w:r w:rsidR="009D6AE6" w:rsidRPr="001E6CF3">
        <w:rPr>
          <w:color w:val="000000"/>
          <w:spacing w:val="6"/>
          <w:lang w:val="en-GB" w:eastAsia="en-GB"/>
        </w:rPr>
        <w:t xml:space="preserve">SDT on the </w:t>
      </w:r>
      <w:r w:rsidRPr="001E6CF3">
        <w:rPr>
          <w:color w:val="000000"/>
          <w:spacing w:val="6"/>
          <w:lang w:val="en-GB" w:eastAsia="en-GB"/>
        </w:rPr>
        <w:t xml:space="preserve">empowerment of women and wanted to know how the decisions of the previous Indaba will be implemented. </w:t>
      </w:r>
    </w:p>
    <w:p w:rsidR="006649D1"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CEO explained that the objective of the Diamond Indaba is to engage on transformation and to discuss where the diamond industry is going. </w:t>
      </w:r>
      <w:r w:rsidR="00263470" w:rsidRPr="001E6CF3">
        <w:rPr>
          <w:color w:val="000000"/>
          <w:spacing w:val="6"/>
          <w:lang w:val="en-GB" w:eastAsia="en-GB"/>
        </w:rPr>
        <w:t xml:space="preserve"> She indicated that the Indaba would be done on an annual basis</w:t>
      </w:r>
      <w:r w:rsidR="009D6AE6" w:rsidRPr="001E6CF3">
        <w:rPr>
          <w:color w:val="000000"/>
          <w:spacing w:val="6"/>
          <w:lang w:val="en-GB" w:eastAsia="en-GB"/>
        </w:rPr>
        <w:t>,</w:t>
      </w:r>
      <w:r w:rsidR="00263470" w:rsidRPr="001E6CF3">
        <w:rPr>
          <w:color w:val="000000"/>
          <w:spacing w:val="6"/>
          <w:lang w:val="en-GB" w:eastAsia="en-GB"/>
        </w:rPr>
        <w:t xml:space="preserve"> but not as a </w:t>
      </w:r>
      <w:r w:rsidR="008C6C32" w:rsidRPr="001E6CF3">
        <w:rPr>
          <w:color w:val="000000"/>
          <w:spacing w:val="6"/>
          <w:lang w:val="en-GB" w:eastAsia="en-GB"/>
        </w:rPr>
        <w:t>stand-alone</w:t>
      </w:r>
      <w:r w:rsidR="00263470" w:rsidRPr="001E6CF3">
        <w:rPr>
          <w:color w:val="000000"/>
          <w:spacing w:val="6"/>
          <w:lang w:val="en-GB" w:eastAsia="en-GB"/>
        </w:rPr>
        <w:t xml:space="preserve"> event. It will happen during the </w:t>
      </w:r>
      <w:r w:rsidR="008C6C32" w:rsidRPr="001E6CF3">
        <w:rPr>
          <w:color w:val="000000"/>
          <w:spacing w:val="6"/>
          <w:lang w:val="en-GB" w:eastAsia="en-GB"/>
        </w:rPr>
        <w:t>Jewellex</w:t>
      </w:r>
      <w:r w:rsidR="00263470" w:rsidRPr="001E6CF3">
        <w:rPr>
          <w:color w:val="000000"/>
          <w:spacing w:val="6"/>
          <w:lang w:val="en-GB" w:eastAsia="en-GB"/>
        </w:rPr>
        <w:t xml:space="preserve">. </w:t>
      </w:r>
    </w:p>
    <w:p w:rsidR="00730872" w:rsidRPr="001E6CF3" w:rsidRDefault="00730872" w:rsidP="00843CE2">
      <w:pPr>
        <w:autoSpaceDN w:val="0"/>
        <w:spacing w:after="200" w:line="360" w:lineRule="auto"/>
        <w:jc w:val="both"/>
      </w:pPr>
    </w:p>
    <w:p w:rsidR="001D6FC6" w:rsidRPr="001E6CF3" w:rsidRDefault="00730872" w:rsidP="00843CE2">
      <w:pPr>
        <w:tabs>
          <w:tab w:val="left" w:pos="426"/>
        </w:tabs>
        <w:spacing w:line="360" w:lineRule="auto"/>
        <w:ind w:right="-180"/>
        <w:rPr>
          <w:b/>
        </w:rPr>
      </w:pPr>
      <w:r>
        <w:rPr>
          <w:b/>
        </w:rPr>
        <w:t>11</w:t>
      </w:r>
      <w:r w:rsidR="008F5919" w:rsidRPr="001E6CF3">
        <w:rPr>
          <w:b/>
        </w:rPr>
        <w:t>.</w:t>
      </w:r>
      <w:r w:rsidR="008F5919" w:rsidRPr="001E6CF3">
        <w:rPr>
          <w:b/>
        </w:rPr>
        <w:tab/>
      </w:r>
      <w:r w:rsidR="00ED111A" w:rsidRPr="001E6CF3">
        <w:rPr>
          <w:b/>
        </w:rPr>
        <w:t>South African Diamond and Precious Metals Regulator</w:t>
      </w:r>
      <w:r w:rsidR="002A492C" w:rsidRPr="001E6CF3">
        <w:rPr>
          <w:b/>
        </w:rPr>
        <w:t xml:space="preserve"> (SADPM</w:t>
      </w:r>
      <w:r w:rsidR="006649D1" w:rsidRPr="001E6CF3">
        <w:rPr>
          <w:b/>
        </w:rPr>
        <w:t>R)</w:t>
      </w:r>
    </w:p>
    <w:p w:rsidR="009D6AE6" w:rsidRPr="001E6CF3" w:rsidRDefault="009D6AE6" w:rsidP="00843CE2">
      <w:pPr>
        <w:autoSpaceDN w:val="0"/>
        <w:spacing w:after="200" w:line="360" w:lineRule="auto"/>
        <w:rPr>
          <w:color w:val="000000"/>
          <w:spacing w:val="6"/>
          <w:lang w:val="en-GB" w:eastAsia="en-GB"/>
        </w:rPr>
      </w:pPr>
    </w:p>
    <w:p w:rsidR="00263470"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CEO, Mr Levy Rapoo </w:t>
      </w:r>
      <w:r w:rsidR="009D6AE6" w:rsidRPr="001E6CF3">
        <w:rPr>
          <w:color w:val="000000"/>
          <w:spacing w:val="6"/>
          <w:lang w:val="en-GB" w:eastAsia="en-GB"/>
        </w:rPr>
        <w:t>introduced</w:t>
      </w:r>
      <w:r w:rsidR="002754DC" w:rsidRPr="001E6CF3">
        <w:rPr>
          <w:color w:val="000000"/>
          <w:spacing w:val="6"/>
          <w:lang w:val="en-GB" w:eastAsia="en-GB"/>
        </w:rPr>
        <w:t xml:space="preserve"> the GM Ms L Nkumishe who </w:t>
      </w:r>
      <w:r w:rsidR="00263470" w:rsidRPr="001E6CF3">
        <w:rPr>
          <w:color w:val="000000"/>
          <w:spacing w:val="6"/>
          <w:lang w:val="en-GB" w:eastAsia="en-GB"/>
        </w:rPr>
        <w:t xml:space="preserve">indicated that SADPMR has a total staff </w:t>
      </w:r>
      <w:r w:rsidR="002754DC" w:rsidRPr="001E6CF3">
        <w:rPr>
          <w:color w:val="000000"/>
          <w:spacing w:val="6"/>
          <w:lang w:val="en-GB" w:eastAsia="en-GB"/>
        </w:rPr>
        <w:t>complement of</w:t>
      </w:r>
      <w:r w:rsidR="00263470" w:rsidRPr="001E6CF3">
        <w:rPr>
          <w:color w:val="000000"/>
          <w:spacing w:val="6"/>
          <w:lang w:val="en-GB" w:eastAsia="en-GB"/>
        </w:rPr>
        <w:t xml:space="preserve"> 125 employees as at the 31 March 2016. In terms of gender and ra</w:t>
      </w:r>
      <w:r w:rsidR="009D6AE6" w:rsidRPr="001E6CF3">
        <w:rPr>
          <w:color w:val="000000"/>
          <w:spacing w:val="6"/>
          <w:lang w:val="en-GB" w:eastAsia="en-GB"/>
        </w:rPr>
        <w:t>c</w:t>
      </w:r>
      <w:r w:rsidR="00263470" w:rsidRPr="001E6CF3">
        <w:rPr>
          <w:color w:val="000000"/>
          <w:spacing w:val="6"/>
          <w:lang w:val="en-GB" w:eastAsia="en-GB"/>
        </w:rPr>
        <w:t>e, the regulator has 52 male and 73 females. In terms of race the Africans are 115</w:t>
      </w:r>
      <w:r w:rsidR="002754DC" w:rsidRPr="001E6CF3">
        <w:rPr>
          <w:color w:val="000000"/>
          <w:spacing w:val="6"/>
          <w:lang w:val="en-GB" w:eastAsia="en-GB"/>
        </w:rPr>
        <w:t>, Coloured</w:t>
      </w:r>
      <w:r w:rsidR="00263470" w:rsidRPr="001E6CF3">
        <w:rPr>
          <w:color w:val="000000"/>
          <w:spacing w:val="6"/>
          <w:lang w:val="en-GB" w:eastAsia="en-GB"/>
        </w:rPr>
        <w:t xml:space="preserve"> are 4, Indians are 4 and whites are 2. </w:t>
      </w:r>
    </w:p>
    <w:p w:rsidR="00AD4D7B"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CEO indicated that the Annual Performance plan was informed by and aligned to the National Development Plan, </w:t>
      </w:r>
      <w:r w:rsidR="009D6AE6" w:rsidRPr="001E6CF3">
        <w:rPr>
          <w:color w:val="000000"/>
          <w:spacing w:val="6"/>
          <w:lang w:val="en-GB" w:eastAsia="en-GB"/>
        </w:rPr>
        <w:t>the 9</w:t>
      </w:r>
      <w:r w:rsidR="00263470" w:rsidRPr="001E6CF3">
        <w:rPr>
          <w:color w:val="000000"/>
          <w:spacing w:val="6"/>
          <w:lang w:val="en-GB" w:eastAsia="en-GB"/>
        </w:rPr>
        <w:t xml:space="preserve"> Point Plan of </w:t>
      </w:r>
      <w:r w:rsidR="00C22816" w:rsidRPr="001E6CF3">
        <w:rPr>
          <w:color w:val="000000"/>
          <w:spacing w:val="6"/>
          <w:lang w:val="en-GB" w:eastAsia="en-GB"/>
        </w:rPr>
        <w:t>Government and</w:t>
      </w:r>
      <w:r w:rsidRPr="001E6CF3">
        <w:rPr>
          <w:color w:val="000000"/>
          <w:spacing w:val="6"/>
          <w:lang w:val="en-GB" w:eastAsia="en-GB"/>
        </w:rPr>
        <w:t xml:space="preserve"> all applicable legislation.  He reported that the basis for the transformation agenda was set in the Mining Charter. The board approved the transformation plan which was implemented by </w:t>
      </w:r>
      <w:r w:rsidR="009D6AE6" w:rsidRPr="001E6CF3">
        <w:rPr>
          <w:color w:val="000000"/>
          <w:spacing w:val="6"/>
          <w:lang w:val="en-GB" w:eastAsia="en-GB"/>
        </w:rPr>
        <w:t xml:space="preserve">a </w:t>
      </w:r>
      <w:r w:rsidRPr="001E6CF3">
        <w:rPr>
          <w:color w:val="000000"/>
          <w:spacing w:val="6"/>
          <w:lang w:val="en-GB" w:eastAsia="en-GB"/>
        </w:rPr>
        <w:t xml:space="preserve">transformation team to monitor progress on ownership, human resources development, procurement and employment equity. The </w:t>
      </w:r>
      <w:r w:rsidR="00263470" w:rsidRPr="001E6CF3">
        <w:rPr>
          <w:color w:val="000000"/>
          <w:spacing w:val="6"/>
          <w:lang w:val="en-GB" w:eastAsia="en-GB"/>
        </w:rPr>
        <w:t xml:space="preserve">Transformation Team is ensuring compliance to the </w:t>
      </w:r>
      <w:r w:rsidR="00AD4D7B" w:rsidRPr="001E6CF3">
        <w:rPr>
          <w:color w:val="000000"/>
          <w:spacing w:val="6"/>
          <w:lang w:val="en-GB" w:eastAsia="en-GB"/>
        </w:rPr>
        <w:t xml:space="preserve">commitments and undertaking companies made while </w:t>
      </w:r>
      <w:r w:rsidR="002754DC" w:rsidRPr="001E6CF3">
        <w:rPr>
          <w:color w:val="000000"/>
          <w:spacing w:val="6"/>
          <w:lang w:val="en-GB" w:eastAsia="en-GB"/>
        </w:rPr>
        <w:t>applying</w:t>
      </w:r>
      <w:r w:rsidR="00AD4D7B" w:rsidRPr="001E6CF3">
        <w:rPr>
          <w:color w:val="000000"/>
          <w:spacing w:val="6"/>
          <w:lang w:val="en-GB" w:eastAsia="en-GB"/>
        </w:rPr>
        <w:t xml:space="preserve"> for their respective licences/permits. A lot of companies have been forced to adhere to these undertaking and correct their infringements, as a result a lot of HDSA’s are being included in the management, operations and decision making processes of the companies. </w:t>
      </w:r>
    </w:p>
    <w:p w:rsidR="001309FF"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The</w:t>
      </w:r>
      <w:r w:rsidR="002754DC" w:rsidRPr="001E6CF3">
        <w:rPr>
          <w:color w:val="000000"/>
          <w:spacing w:val="6"/>
          <w:lang w:val="en-GB" w:eastAsia="en-GB"/>
        </w:rPr>
        <w:t xml:space="preserve"> Company Secretary, Ms K Sibanyoni </w:t>
      </w:r>
      <w:r w:rsidRPr="001E6CF3">
        <w:rPr>
          <w:color w:val="000000"/>
          <w:spacing w:val="6"/>
          <w:lang w:val="en-GB" w:eastAsia="en-GB"/>
        </w:rPr>
        <w:t xml:space="preserve">gave a progress report on the establishment of the </w:t>
      </w:r>
      <w:r w:rsidR="009D6AE6" w:rsidRPr="001E6CF3">
        <w:rPr>
          <w:color w:val="000000"/>
          <w:spacing w:val="6"/>
          <w:lang w:val="en-GB" w:eastAsia="en-GB"/>
        </w:rPr>
        <w:t xml:space="preserve">planned Diamond </w:t>
      </w:r>
      <w:r w:rsidRPr="001E6CF3">
        <w:rPr>
          <w:color w:val="000000"/>
          <w:spacing w:val="6"/>
          <w:lang w:val="en-GB" w:eastAsia="en-GB"/>
        </w:rPr>
        <w:t xml:space="preserve">Bourse.  Research and benchmark studies were completed last year on four of the 27 bourses registered with the World Federation of Diamond Bourses: i.e. Antwerp in Belgium, Shanghai in China, Dubai Diamond Exchange in Dubai </w:t>
      </w:r>
      <w:r w:rsidR="006F4AB4" w:rsidRPr="001E6CF3">
        <w:rPr>
          <w:color w:val="000000"/>
          <w:spacing w:val="6"/>
          <w:lang w:val="en-GB" w:eastAsia="en-GB"/>
        </w:rPr>
        <w:t>and the</w:t>
      </w:r>
      <w:r w:rsidR="009D6AE6" w:rsidRPr="001E6CF3">
        <w:rPr>
          <w:color w:val="000000"/>
          <w:spacing w:val="6"/>
          <w:lang w:val="en-GB" w:eastAsia="en-GB"/>
        </w:rPr>
        <w:t xml:space="preserve"> </w:t>
      </w:r>
      <w:r w:rsidRPr="001E6CF3">
        <w:rPr>
          <w:color w:val="000000"/>
          <w:spacing w:val="6"/>
          <w:lang w:val="en-GB" w:eastAsia="en-GB"/>
        </w:rPr>
        <w:t xml:space="preserve">Russian Federation. A draft concept document on the establishment of a State Bourse has been completed and submitted to the Board of Directors for their consideration. </w:t>
      </w:r>
      <w:r w:rsidR="008F5919" w:rsidRPr="001E6CF3">
        <w:rPr>
          <w:color w:val="000000"/>
          <w:spacing w:val="6"/>
          <w:lang w:val="en-GB" w:eastAsia="en-GB"/>
        </w:rPr>
        <w:t>The Concept</w:t>
      </w:r>
      <w:r w:rsidR="002754DC" w:rsidRPr="001E6CF3">
        <w:rPr>
          <w:color w:val="000000"/>
          <w:spacing w:val="6"/>
          <w:lang w:val="en-GB" w:eastAsia="en-GB"/>
        </w:rPr>
        <w:t xml:space="preserve"> </w:t>
      </w:r>
      <w:r w:rsidR="008F5919" w:rsidRPr="001E6CF3">
        <w:rPr>
          <w:color w:val="000000"/>
          <w:spacing w:val="6"/>
          <w:lang w:val="en-GB" w:eastAsia="en-GB"/>
        </w:rPr>
        <w:t>document on</w:t>
      </w:r>
      <w:r w:rsidR="002754DC" w:rsidRPr="001E6CF3">
        <w:rPr>
          <w:color w:val="000000"/>
          <w:spacing w:val="6"/>
          <w:lang w:val="en-GB" w:eastAsia="en-GB"/>
        </w:rPr>
        <w:t xml:space="preserve"> the establishment of the Bourse was approved for submission to the </w:t>
      </w:r>
      <w:r w:rsidR="009D6AE6" w:rsidRPr="001E6CF3">
        <w:rPr>
          <w:color w:val="000000"/>
          <w:spacing w:val="6"/>
          <w:lang w:val="en-GB" w:eastAsia="en-GB"/>
        </w:rPr>
        <w:t>DMR</w:t>
      </w:r>
      <w:r w:rsidR="002754DC" w:rsidRPr="001E6CF3">
        <w:rPr>
          <w:color w:val="000000"/>
          <w:spacing w:val="6"/>
          <w:lang w:val="en-GB" w:eastAsia="en-GB"/>
        </w:rPr>
        <w:t xml:space="preserve"> by the Board at its sitting of the 28</w:t>
      </w:r>
      <w:r w:rsidR="002754DC" w:rsidRPr="001E6CF3">
        <w:rPr>
          <w:color w:val="000000"/>
          <w:spacing w:val="6"/>
          <w:vertAlign w:val="superscript"/>
          <w:lang w:val="en-GB" w:eastAsia="en-GB"/>
        </w:rPr>
        <w:t>th</w:t>
      </w:r>
      <w:r w:rsidR="002754DC" w:rsidRPr="001E6CF3">
        <w:rPr>
          <w:color w:val="000000"/>
          <w:spacing w:val="6"/>
          <w:lang w:val="en-GB" w:eastAsia="en-GB"/>
        </w:rPr>
        <w:t xml:space="preserve"> July 2015. The Concept Document has been submitted to the DMR and the Department has since submitted its inputs to the document. The process is still at the consultation </w:t>
      </w:r>
      <w:r w:rsidR="001309FF" w:rsidRPr="001E6CF3">
        <w:rPr>
          <w:color w:val="000000"/>
          <w:spacing w:val="6"/>
          <w:lang w:val="en-GB" w:eastAsia="en-GB"/>
        </w:rPr>
        <w:t>phase</w:t>
      </w:r>
      <w:r w:rsidR="002754DC" w:rsidRPr="001E6CF3">
        <w:rPr>
          <w:color w:val="000000"/>
          <w:spacing w:val="6"/>
          <w:lang w:val="en-GB" w:eastAsia="en-GB"/>
        </w:rPr>
        <w:t xml:space="preserve">.  The SADPMR is in the </w:t>
      </w:r>
      <w:r w:rsidR="001309FF" w:rsidRPr="001E6CF3">
        <w:rPr>
          <w:color w:val="000000"/>
          <w:spacing w:val="6"/>
          <w:lang w:val="en-GB" w:eastAsia="en-GB"/>
        </w:rPr>
        <w:t>meantime</w:t>
      </w:r>
      <w:r w:rsidR="002754DC" w:rsidRPr="001E6CF3">
        <w:rPr>
          <w:color w:val="000000"/>
          <w:spacing w:val="6"/>
          <w:lang w:val="en-GB" w:eastAsia="en-GB"/>
        </w:rPr>
        <w:t xml:space="preserve">, engaging with the Gauteng Industrial Development Zone (GIDZ), which is currently in the roll-out phase of the approved Industrial Development Zone (IDX) at the OR Tambo </w:t>
      </w:r>
      <w:r w:rsidR="001309FF" w:rsidRPr="001E6CF3">
        <w:rPr>
          <w:color w:val="000000"/>
          <w:spacing w:val="6"/>
          <w:lang w:val="en-GB" w:eastAsia="en-GB"/>
        </w:rPr>
        <w:t>International airport</w:t>
      </w:r>
      <w:r w:rsidR="002754DC" w:rsidRPr="001E6CF3">
        <w:rPr>
          <w:color w:val="000000"/>
          <w:spacing w:val="6"/>
          <w:lang w:val="en-GB" w:eastAsia="en-GB"/>
        </w:rPr>
        <w:t xml:space="preserve">, Johannesburg. The IDZ will contain a </w:t>
      </w:r>
      <w:r w:rsidR="001309FF" w:rsidRPr="001E6CF3">
        <w:rPr>
          <w:color w:val="000000"/>
          <w:spacing w:val="6"/>
          <w:lang w:val="en-GB" w:eastAsia="en-GB"/>
        </w:rPr>
        <w:t>Jewellery</w:t>
      </w:r>
      <w:r w:rsidR="002754DC" w:rsidRPr="001E6CF3">
        <w:rPr>
          <w:color w:val="000000"/>
          <w:spacing w:val="6"/>
          <w:lang w:val="en-GB" w:eastAsia="en-GB"/>
        </w:rPr>
        <w:t xml:space="preserve"> Manufacturing precinct, which will be an ideal </w:t>
      </w:r>
      <w:r w:rsidR="001309FF" w:rsidRPr="001E6CF3">
        <w:rPr>
          <w:color w:val="000000"/>
          <w:spacing w:val="6"/>
          <w:lang w:val="en-GB" w:eastAsia="en-GB"/>
        </w:rPr>
        <w:t>environment</w:t>
      </w:r>
      <w:r w:rsidR="002754DC" w:rsidRPr="001E6CF3">
        <w:rPr>
          <w:color w:val="000000"/>
          <w:spacing w:val="6"/>
          <w:lang w:val="en-GB" w:eastAsia="en-GB"/>
        </w:rPr>
        <w:t xml:space="preserve"> for the location of th</w:t>
      </w:r>
      <w:r w:rsidR="001309FF" w:rsidRPr="001E6CF3">
        <w:rPr>
          <w:color w:val="000000"/>
          <w:spacing w:val="6"/>
          <w:lang w:val="en-GB" w:eastAsia="en-GB"/>
        </w:rPr>
        <w:t>e</w:t>
      </w:r>
      <w:r w:rsidR="002754DC" w:rsidRPr="001E6CF3">
        <w:rPr>
          <w:color w:val="000000"/>
          <w:spacing w:val="6"/>
          <w:lang w:val="en-GB" w:eastAsia="en-GB"/>
        </w:rPr>
        <w:t xml:space="preserve"> State Bourse once it is approved</w:t>
      </w:r>
      <w:r w:rsidR="001309FF" w:rsidRPr="001E6CF3">
        <w:rPr>
          <w:color w:val="000000"/>
          <w:spacing w:val="6"/>
          <w:lang w:val="en-GB" w:eastAsia="en-GB"/>
        </w:rPr>
        <w:t xml:space="preserve">. </w:t>
      </w:r>
    </w:p>
    <w:p w:rsidR="006649D1" w:rsidRPr="001E6CF3" w:rsidRDefault="001309FF" w:rsidP="00843CE2">
      <w:pPr>
        <w:autoSpaceDN w:val="0"/>
        <w:spacing w:after="200" w:line="360" w:lineRule="auto"/>
        <w:jc w:val="both"/>
        <w:rPr>
          <w:color w:val="000000"/>
          <w:spacing w:val="6"/>
          <w:lang w:val="en-GB" w:eastAsia="en-GB"/>
        </w:rPr>
      </w:pPr>
      <w:r w:rsidRPr="001E6CF3">
        <w:rPr>
          <w:color w:val="000000"/>
          <w:spacing w:val="6"/>
          <w:lang w:val="en-GB" w:eastAsia="en-GB"/>
        </w:rPr>
        <w:t>The CFO, Ms I Tshifura presented the budget allocation. She indicated that t</w:t>
      </w:r>
      <w:r w:rsidR="006649D1" w:rsidRPr="001E6CF3">
        <w:rPr>
          <w:color w:val="000000"/>
          <w:spacing w:val="6"/>
          <w:lang w:val="en-GB" w:eastAsia="en-GB"/>
        </w:rPr>
        <w:t>he grant allocation for 201</w:t>
      </w:r>
      <w:r w:rsidRPr="001E6CF3">
        <w:rPr>
          <w:color w:val="000000"/>
          <w:spacing w:val="6"/>
          <w:lang w:val="en-GB" w:eastAsia="en-GB"/>
        </w:rPr>
        <w:t>6</w:t>
      </w:r>
      <w:r w:rsidR="006649D1" w:rsidRPr="001E6CF3">
        <w:rPr>
          <w:color w:val="000000"/>
          <w:spacing w:val="6"/>
          <w:lang w:val="en-GB" w:eastAsia="en-GB"/>
        </w:rPr>
        <w:t>/201 is R5</w:t>
      </w:r>
      <w:r w:rsidRPr="001E6CF3">
        <w:rPr>
          <w:color w:val="000000"/>
          <w:spacing w:val="6"/>
          <w:lang w:val="en-GB" w:eastAsia="en-GB"/>
        </w:rPr>
        <w:t>3</w:t>
      </w:r>
      <w:r w:rsidR="006649D1" w:rsidRPr="001E6CF3">
        <w:rPr>
          <w:color w:val="000000"/>
          <w:spacing w:val="6"/>
          <w:lang w:val="en-GB" w:eastAsia="en-GB"/>
        </w:rPr>
        <w:t>.</w:t>
      </w:r>
      <w:r w:rsidRPr="001E6CF3">
        <w:rPr>
          <w:color w:val="000000"/>
          <w:spacing w:val="6"/>
          <w:lang w:val="en-GB" w:eastAsia="en-GB"/>
        </w:rPr>
        <w:t>205</w:t>
      </w:r>
      <w:r w:rsidR="006649D1" w:rsidRPr="001E6CF3">
        <w:rPr>
          <w:color w:val="000000"/>
          <w:spacing w:val="6"/>
          <w:lang w:val="en-GB" w:eastAsia="en-GB"/>
        </w:rPr>
        <w:t xml:space="preserve"> million. The projected revenue generated in-house is R</w:t>
      </w:r>
      <w:r w:rsidRPr="001E6CF3">
        <w:rPr>
          <w:color w:val="000000"/>
          <w:spacing w:val="6"/>
          <w:lang w:val="en-GB" w:eastAsia="en-GB"/>
        </w:rPr>
        <w:t>41</w:t>
      </w:r>
      <w:r w:rsidR="009D6AE6" w:rsidRPr="001E6CF3">
        <w:rPr>
          <w:color w:val="000000"/>
          <w:spacing w:val="6"/>
          <w:lang w:val="en-GB" w:eastAsia="en-GB"/>
        </w:rPr>
        <w:t>.</w:t>
      </w:r>
      <w:r w:rsidR="008F5919" w:rsidRPr="001E6CF3">
        <w:rPr>
          <w:color w:val="000000"/>
          <w:spacing w:val="6"/>
          <w:lang w:val="en-GB" w:eastAsia="en-GB"/>
        </w:rPr>
        <w:t>398 million</w:t>
      </w:r>
      <w:r w:rsidR="006649D1" w:rsidRPr="001E6CF3">
        <w:rPr>
          <w:color w:val="000000"/>
          <w:spacing w:val="6"/>
          <w:lang w:val="en-GB" w:eastAsia="en-GB"/>
        </w:rPr>
        <w:t xml:space="preserve"> and the projected total budget was R</w:t>
      </w:r>
      <w:r w:rsidRPr="001E6CF3">
        <w:rPr>
          <w:color w:val="000000"/>
          <w:spacing w:val="6"/>
          <w:lang w:val="en-GB" w:eastAsia="en-GB"/>
        </w:rPr>
        <w:t>94</w:t>
      </w:r>
      <w:r w:rsidR="009D6AE6" w:rsidRPr="001E6CF3">
        <w:rPr>
          <w:color w:val="000000"/>
          <w:spacing w:val="6"/>
          <w:lang w:val="en-GB" w:eastAsia="en-GB"/>
        </w:rPr>
        <w:t>.</w:t>
      </w:r>
      <w:r w:rsidRPr="001E6CF3">
        <w:rPr>
          <w:color w:val="000000"/>
          <w:spacing w:val="6"/>
          <w:lang w:val="en-GB" w:eastAsia="en-GB"/>
        </w:rPr>
        <w:t>603</w:t>
      </w:r>
      <w:r w:rsidR="006649D1" w:rsidRPr="001E6CF3">
        <w:rPr>
          <w:color w:val="000000"/>
          <w:spacing w:val="6"/>
          <w:lang w:val="en-GB" w:eastAsia="en-GB"/>
        </w:rPr>
        <w:t xml:space="preserve"> million. The projected expenditure was R</w:t>
      </w:r>
      <w:r w:rsidRPr="001E6CF3">
        <w:rPr>
          <w:color w:val="000000"/>
          <w:spacing w:val="6"/>
          <w:lang w:val="en-GB" w:eastAsia="en-GB"/>
        </w:rPr>
        <w:t>90</w:t>
      </w:r>
      <w:r w:rsidR="006649D1" w:rsidRPr="001E6CF3">
        <w:rPr>
          <w:color w:val="000000"/>
          <w:spacing w:val="6"/>
          <w:lang w:val="en-GB" w:eastAsia="en-GB"/>
        </w:rPr>
        <w:t>.</w:t>
      </w:r>
      <w:r w:rsidRPr="001E6CF3">
        <w:rPr>
          <w:color w:val="000000"/>
          <w:spacing w:val="6"/>
          <w:lang w:val="en-GB" w:eastAsia="en-GB"/>
        </w:rPr>
        <w:t>508</w:t>
      </w:r>
      <w:r w:rsidR="006649D1" w:rsidRPr="001E6CF3">
        <w:rPr>
          <w:color w:val="000000"/>
          <w:spacing w:val="6"/>
          <w:lang w:val="en-GB" w:eastAsia="en-GB"/>
        </w:rPr>
        <w:t xml:space="preserve"> million with a surplus of R</w:t>
      </w:r>
      <w:r w:rsidRPr="001E6CF3">
        <w:rPr>
          <w:color w:val="000000"/>
          <w:spacing w:val="6"/>
          <w:lang w:val="en-GB" w:eastAsia="en-GB"/>
        </w:rPr>
        <w:t>4</w:t>
      </w:r>
      <w:r w:rsidR="00634EBD" w:rsidRPr="001E6CF3">
        <w:rPr>
          <w:color w:val="000000"/>
          <w:spacing w:val="6"/>
          <w:lang w:val="en-GB" w:eastAsia="en-GB"/>
        </w:rPr>
        <w:t>, 095</w:t>
      </w:r>
      <w:r w:rsidR="006F4AB4" w:rsidRPr="001E6CF3">
        <w:rPr>
          <w:color w:val="000000"/>
          <w:spacing w:val="6"/>
          <w:lang w:val="en-GB" w:eastAsia="en-GB"/>
        </w:rPr>
        <w:t>, 000</w:t>
      </w:r>
      <w:r w:rsidR="006649D1" w:rsidRPr="001E6CF3">
        <w:rPr>
          <w:color w:val="000000"/>
          <w:spacing w:val="6"/>
          <w:lang w:val="en-GB" w:eastAsia="en-GB"/>
        </w:rPr>
        <w:t xml:space="preserve">. </w:t>
      </w:r>
    </w:p>
    <w:p w:rsidR="006649D1" w:rsidRPr="001E6CF3" w:rsidRDefault="006649D1" w:rsidP="00843CE2">
      <w:pPr>
        <w:autoSpaceDN w:val="0"/>
        <w:spacing w:after="200" w:line="360" w:lineRule="auto"/>
        <w:jc w:val="both"/>
        <w:rPr>
          <w:color w:val="000000"/>
          <w:spacing w:val="6"/>
          <w:lang w:val="en-GB" w:eastAsia="en-GB"/>
        </w:rPr>
      </w:pPr>
      <w:r w:rsidRPr="001E6CF3">
        <w:rPr>
          <w:color w:val="000000"/>
          <w:spacing w:val="6"/>
          <w:lang w:val="en-GB" w:eastAsia="en-GB"/>
        </w:rPr>
        <w:t xml:space="preserve">The regulator is faced with challenges </w:t>
      </w:r>
      <w:r w:rsidR="008F5919" w:rsidRPr="001E6CF3">
        <w:rPr>
          <w:color w:val="000000"/>
          <w:spacing w:val="6"/>
          <w:lang w:val="en-GB" w:eastAsia="en-GB"/>
        </w:rPr>
        <w:t>of the</w:t>
      </w:r>
      <w:r w:rsidR="001309FF" w:rsidRPr="001E6CF3">
        <w:rPr>
          <w:color w:val="000000"/>
          <w:spacing w:val="6"/>
          <w:lang w:val="en-GB" w:eastAsia="en-GB"/>
        </w:rPr>
        <w:t xml:space="preserve"> global economic downturn </w:t>
      </w:r>
      <w:r w:rsidR="009D6AE6" w:rsidRPr="001E6CF3">
        <w:rPr>
          <w:color w:val="000000"/>
          <w:spacing w:val="6"/>
          <w:lang w:val="en-GB" w:eastAsia="en-GB"/>
        </w:rPr>
        <w:t xml:space="preserve">which </w:t>
      </w:r>
      <w:r w:rsidR="001309FF" w:rsidRPr="001E6CF3">
        <w:rPr>
          <w:color w:val="000000"/>
          <w:spacing w:val="6"/>
          <w:lang w:val="en-GB" w:eastAsia="en-GB"/>
        </w:rPr>
        <w:t xml:space="preserve">has </w:t>
      </w:r>
      <w:r w:rsidR="00C22816" w:rsidRPr="001E6CF3">
        <w:rPr>
          <w:color w:val="000000"/>
          <w:spacing w:val="6"/>
          <w:lang w:val="en-GB" w:eastAsia="en-GB"/>
        </w:rPr>
        <w:t>up to</w:t>
      </w:r>
      <w:r w:rsidR="001309FF" w:rsidRPr="001E6CF3">
        <w:rPr>
          <w:color w:val="000000"/>
          <w:spacing w:val="6"/>
          <w:lang w:val="en-GB" w:eastAsia="en-GB"/>
        </w:rPr>
        <w:t xml:space="preserve"> now </w:t>
      </w:r>
      <w:r w:rsidR="009D6AE6" w:rsidRPr="001E6CF3">
        <w:rPr>
          <w:color w:val="000000"/>
          <w:spacing w:val="6"/>
          <w:lang w:val="en-GB" w:eastAsia="en-GB"/>
        </w:rPr>
        <w:t xml:space="preserve">continued </w:t>
      </w:r>
      <w:r w:rsidR="001309FF" w:rsidRPr="001E6CF3">
        <w:rPr>
          <w:color w:val="000000"/>
          <w:spacing w:val="6"/>
          <w:lang w:val="en-GB" w:eastAsia="en-GB"/>
        </w:rPr>
        <w:t xml:space="preserve">to have an </w:t>
      </w:r>
      <w:r w:rsidR="008F5919" w:rsidRPr="001E6CF3">
        <w:rPr>
          <w:color w:val="000000"/>
          <w:spacing w:val="6"/>
          <w:lang w:val="en-GB" w:eastAsia="en-GB"/>
        </w:rPr>
        <w:t>adverse</w:t>
      </w:r>
      <w:r w:rsidR="001309FF" w:rsidRPr="001E6CF3">
        <w:rPr>
          <w:color w:val="000000"/>
          <w:spacing w:val="6"/>
          <w:lang w:val="en-GB" w:eastAsia="en-GB"/>
        </w:rPr>
        <w:t xml:space="preserve"> impact on the industry</w:t>
      </w:r>
      <w:r w:rsidR="009D6AE6" w:rsidRPr="001E6CF3">
        <w:rPr>
          <w:color w:val="000000"/>
          <w:spacing w:val="6"/>
          <w:lang w:val="en-GB" w:eastAsia="en-GB"/>
        </w:rPr>
        <w:t>,</w:t>
      </w:r>
      <w:r w:rsidR="001309FF" w:rsidRPr="001E6CF3">
        <w:rPr>
          <w:color w:val="000000"/>
          <w:spacing w:val="6"/>
          <w:lang w:val="en-GB" w:eastAsia="en-GB"/>
        </w:rPr>
        <w:t xml:space="preserve"> </w:t>
      </w:r>
      <w:r w:rsidR="009D6AE6" w:rsidRPr="001E6CF3">
        <w:rPr>
          <w:color w:val="000000"/>
          <w:spacing w:val="6"/>
          <w:lang w:val="en-GB" w:eastAsia="en-GB"/>
        </w:rPr>
        <w:t>which has</w:t>
      </w:r>
      <w:r w:rsidR="001309FF" w:rsidRPr="001E6CF3">
        <w:rPr>
          <w:color w:val="000000"/>
          <w:spacing w:val="6"/>
          <w:lang w:val="en-GB" w:eastAsia="en-GB"/>
        </w:rPr>
        <w:t xml:space="preserve"> yet to recover. It is </w:t>
      </w:r>
      <w:r w:rsidR="008F5919" w:rsidRPr="001E6CF3">
        <w:rPr>
          <w:color w:val="000000"/>
          <w:spacing w:val="6"/>
          <w:lang w:val="en-GB" w:eastAsia="en-GB"/>
        </w:rPr>
        <w:t>however</w:t>
      </w:r>
      <w:r w:rsidR="001309FF" w:rsidRPr="001E6CF3">
        <w:rPr>
          <w:color w:val="000000"/>
          <w:spacing w:val="6"/>
          <w:lang w:val="en-GB" w:eastAsia="en-GB"/>
        </w:rPr>
        <w:t xml:space="preserve"> anticipated that the State Bourse</w:t>
      </w:r>
      <w:r w:rsidR="006D3F97" w:rsidRPr="001E6CF3">
        <w:rPr>
          <w:color w:val="000000"/>
          <w:spacing w:val="6"/>
          <w:lang w:val="en-GB" w:eastAsia="en-GB"/>
        </w:rPr>
        <w:t>,</w:t>
      </w:r>
      <w:r w:rsidR="001309FF" w:rsidRPr="001E6CF3">
        <w:rPr>
          <w:color w:val="000000"/>
          <w:spacing w:val="6"/>
          <w:lang w:val="en-GB" w:eastAsia="en-GB"/>
        </w:rPr>
        <w:t xml:space="preserve"> once establ</w:t>
      </w:r>
      <w:r w:rsidR="008F5919" w:rsidRPr="001E6CF3">
        <w:rPr>
          <w:color w:val="000000"/>
          <w:spacing w:val="6"/>
          <w:lang w:val="en-GB" w:eastAsia="en-GB"/>
        </w:rPr>
        <w:t>ished</w:t>
      </w:r>
      <w:r w:rsidR="006D3F97" w:rsidRPr="001E6CF3">
        <w:rPr>
          <w:color w:val="000000"/>
          <w:spacing w:val="6"/>
          <w:lang w:val="en-GB" w:eastAsia="en-GB"/>
        </w:rPr>
        <w:t>,</w:t>
      </w:r>
      <w:r w:rsidR="001309FF" w:rsidRPr="001E6CF3">
        <w:rPr>
          <w:color w:val="000000"/>
          <w:spacing w:val="6"/>
          <w:lang w:val="en-GB" w:eastAsia="en-GB"/>
        </w:rPr>
        <w:t xml:space="preserve"> will address some of the cha</w:t>
      </w:r>
      <w:r w:rsidR="006D3F97" w:rsidRPr="001E6CF3">
        <w:rPr>
          <w:color w:val="000000"/>
          <w:spacing w:val="6"/>
          <w:lang w:val="en-GB" w:eastAsia="en-GB"/>
        </w:rPr>
        <w:t>lle</w:t>
      </w:r>
      <w:r w:rsidR="001309FF" w:rsidRPr="001E6CF3">
        <w:rPr>
          <w:color w:val="000000"/>
          <w:spacing w:val="6"/>
          <w:lang w:val="en-GB" w:eastAsia="en-GB"/>
        </w:rPr>
        <w:t>nges face</w:t>
      </w:r>
      <w:r w:rsidR="006D3F97" w:rsidRPr="001E6CF3">
        <w:rPr>
          <w:color w:val="000000"/>
          <w:spacing w:val="6"/>
          <w:lang w:val="en-GB" w:eastAsia="en-GB"/>
        </w:rPr>
        <w:t>d</w:t>
      </w:r>
      <w:r w:rsidR="001309FF" w:rsidRPr="001E6CF3">
        <w:rPr>
          <w:color w:val="000000"/>
          <w:spacing w:val="6"/>
          <w:lang w:val="en-GB" w:eastAsia="en-GB"/>
        </w:rPr>
        <w:t xml:space="preserve"> in the industry and stimulate the </w:t>
      </w:r>
      <w:r w:rsidR="008F5919" w:rsidRPr="001E6CF3">
        <w:rPr>
          <w:color w:val="000000"/>
          <w:spacing w:val="6"/>
          <w:lang w:val="en-GB" w:eastAsia="en-GB"/>
        </w:rPr>
        <w:t>sector</w:t>
      </w:r>
      <w:r w:rsidR="001309FF" w:rsidRPr="001E6CF3">
        <w:rPr>
          <w:color w:val="000000"/>
          <w:spacing w:val="6"/>
          <w:lang w:val="en-GB" w:eastAsia="en-GB"/>
        </w:rPr>
        <w:t xml:space="preserve">. The SADPMR is also engaging with certain </w:t>
      </w:r>
      <w:r w:rsidR="008F5919" w:rsidRPr="001E6CF3">
        <w:rPr>
          <w:color w:val="000000"/>
          <w:spacing w:val="6"/>
          <w:lang w:val="en-GB" w:eastAsia="en-GB"/>
        </w:rPr>
        <w:t>international</w:t>
      </w:r>
      <w:r w:rsidR="001309FF" w:rsidRPr="001E6CF3">
        <w:rPr>
          <w:color w:val="000000"/>
          <w:spacing w:val="6"/>
          <w:lang w:val="en-GB" w:eastAsia="en-GB"/>
        </w:rPr>
        <w:t xml:space="preserve"> companies to invest in South African and settle in the country to impact their knowledge and skill, specifically in cutting and </w:t>
      </w:r>
      <w:r w:rsidR="00843CE2" w:rsidRPr="001E6CF3">
        <w:rPr>
          <w:color w:val="000000"/>
          <w:spacing w:val="6"/>
          <w:lang w:val="en-GB" w:eastAsia="en-GB"/>
        </w:rPr>
        <w:t>polishing diamonds</w:t>
      </w:r>
      <w:r w:rsidR="001309FF" w:rsidRPr="001E6CF3">
        <w:rPr>
          <w:color w:val="000000"/>
          <w:spacing w:val="6"/>
          <w:lang w:val="en-GB" w:eastAsia="en-GB"/>
        </w:rPr>
        <w:t xml:space="preserve"> </w:t>
      </w:r>
      <w:r w:rsidR="006D3F97" w:rsidRPr="001E6CF3">
        <w:rPr>
          <w:color w:val="000000"/>
          <w:spacing w:val="6"/>
          <w:lang w:val="en-GB" w:eastAsia="en-GB"/>
        </w:rPr>
        <w:t>c</w:t>
      </w:r>
      <w:r w:rsidRPr="001E6CF3">
        <w:rPr>
          <w:color w:val="000000"/>
          <w:spacing w:val="6"/>
          <w:lang w:val="en-GB" w:eastAsia="en-GB"/>
        </w:rPr>
        <w:t>ould reverse the</w:t>
      </w:r>
      <w:r w:rsidR="00634EBD" w:rsidRPr="001E6CF3">
        <w:rPr>
          <w:color w:val="000000"/>
          <w:spacing w:val="6"/>
          <w:lang w:val="en-GB" w:eastAsia="en-GB"/>
        </w:rPr>
        <w:t xml:space="preserve"> </w:t>
      </w:r>
      <w:r w:rsidR="00843CE2" w:rsidRPr="001E6CF3">
        <w:rPr>
          <w:color w:val="000000"/>
          <w:spacing w:val="6"/>
          <w:lang w:val="en-GB" w:eastAsia="en-GB"/>
        </w:rPr>
        <w:t>current</w:t>
      </w:r>
      <w:r w:rsidRPr="001E6CF3">
        <w:rPr>
          <w:color w:val="000000"/>
          <w:spacing w:val="6"/>
          <w:lang w:val="en-GB" w:eastAsia="en-GB"/>
        </w:rPr>
        <w:t xml:space="preserve"> situation. </w:t>
      </w:r>
    </w:p>
    <w:p w:rsidR="006649D1" w:rsidRPr="001E6CF3" w:rsidRDefault="008F5919" w:rsidP="00843CE2">
      <w:pPr>
        <w:autoSpaceDN w:val="0"/>
        <w:spacing w:after="200" w:line="360" w:lineRule="auto"/>
        <w:rPr>
          <w:color w:val="000000"/>
          <w:spacing w:val="6"/>
          <w:lang w:val="en-GB" w:eastAsia="en-GB"/>
        </w:rPr>
      </w:pPr>
      <w:r w:rsidRPr="001E6CF3">
        <w:rPr>
          <w:color w:val="000000"/>
          <w:spacing w:val="6"/>
          <w:lang w:val="en-GB" w:eastAsia="en-GB"/>
        </w:rPr>
        <w:t>T</w:t>
      </w:r>
      <w:r w:rsidR="006649D1" w:rsidRPr="001E6CF3">
        <w:rPr>
          <w:color w:val="000000"/>
          <w:spacing w:val="6"/>
          <w:lang w:val="en-GB" w:eastAsia="en-GB"/>
        </w:rPr>
        <w:t>he SADPMR continues to implement</w:t>
      </w:r>
      <w:r w:rsidRPr="001E6CF3">
        <w:rPr>
          <w:color w:val="000000"/>
          <w:spacing w:val="6"/>
          <w:lang w:val="en-GB" w:eastAsia="en-GB"/>
        </w:rPr>
        <w:t xml:space="preserve"> principles and provisions of the DMR’s Women in Mining and National Youth Strategies, both internally and externally within the industry. </w:t>
      </w:r>
      <w:r w:rsidR="006649D1" w:rsidRPr="001E6CF3">
        <w:rPr>
          <w:color w:val="000000"/>
          <w:spacing w:val="6"/>
          <w:lang w:val="en-GB" w:eastAsia="en-GB"/>
        </w:rPr>
        <w:t xml:space="preserve"> </w:t>
      </w:r>
    </w:p>
    <w:p w:rsidR="00A603EC" w:rsidRPr="001E6CF3" w:rsidRDefault="00730872" w:rsidP="00843CE2">
      <w:pPr>
        <w:tabs>
          <w:tab w:val="left" w:pos="426"/>
        </w:tabs>
        <w:spacing w:line="360" w:lineRule="auto"/>
        <w:ind w:right="-180"/>
        <w:jc w:val="both"/>
        <w:rPr>
          <w:b/>
        </w:rPr>
      </w:pPr>
      <w:r>
        <w:rPr>
          <w:b/>
        </w:rPr>
        <w:t>12</w:t>
      </w:r>
      <w:r w:rsidR="00C22816" w:rsidRPr="001E6CF3">
        <w:rPr>
          <w:b/>
        </w:rPr>
        <w:t>.</w:t>
      </w:r>
      <w:r w:rsidR="008F5919" w:rsidRPr="001E6CF3">
        <w:rPr>
          <w:b/>
        </w:rPr>
        <w:t xml:space="preserve"> </w:t>
      </w:r>
      <w:r w:rsidR="00ED111A" w:rsidRPr="001E6CF3">
        <w:rPr>
          <w:b/>
        </w:rPr>
        <w:tab/>
      </w:r>
      <w:r w:rsidR="00F46FC1" w:rsidRPr="001E6CF3">
        <w:rPr>
          <w:b/>
        </w:rPr>
        <w:t xml:space="preserve">Observations </w:t>
      </w:r>
    </w:p>
    <w:p w:rsidR="002E6F8F" w:rsidRPr="001E6CF3" w:rsidRDefault="002E6F8F" w:rsidP="00843CE2">
      <w:pPr>
        <w:spacing w:line="360" w:lineRule="auto"/>
        <w:ind w:right="-180"/>
        <w:jc w:val="both"/>
        <w:rPr>
          <w:b/>
        </w:rPr>
      </w:pPr>
    </w:p>
    <w:p w:rsidR="00C173ED" w:rsidRPr="001E6CF3" w:rsidRDefault="009C4A94" w:rsidP="00843CE2">
      <w:pPr>
        <w:spacing w:line="360" w:lineRule="auto"/>
        <w:ind w:right="-180"/>
        <w:jc w:val="both"/>
        <w:rPr>
          <w:b/>
          <w:lang w:val="en-ZA" w:eastAsia="en-GB"/>
        </w:rPr>
      </w:pPr>
      <w:r w:rsidRPr="001E6CF3">
        <w:rPr>
          <w:b/>
          <w:lang w:val="en-ZA" w:eastAsia="en-GB"/>
        </w:rPr>
        <w:t>The Committee following its deliberations noted the following concerns</w:t>
      </w:r>
      <w:r w:rsidR="00FE7436" w:rsidRPr="001E6CF3">
        <w:rPr>
          <w:b/>
          <w:lang w:val="en-ZA" w:eastAsia="en-GB"/>
        </w:rPr>
        <w:t>:</w:t>
      </w:r>
      <w:r w:rsidRPr="001E6CF3">
        <w:rPr>
          <w:b/>
          <w:lang w:val="en-ZA" w:eastAsia="en-GB"/>
        </w:rPr>
        <w:t xml:space="preserve"> </w:t>
      </w:r>
      <w:r w:rsidR="00773AB8" w:rsidRPr="001E6CF3">
        <w:rPr>
          <w:b/>
          <w:lang w:val="en-ZA" w:eastAsia="en-GB"/>
        </w:rPr>
        <w:t xml:space="preserve"> </w:t>
      </w:r>
    </w:p>
    <w:p w:rsidR="000A40DC" w:rsidRPr="001E6CF3" w:rsidRDefault="000A40DC" w:rsidP="00843CE2">
      <w:pPr>
        <w:spacing w:line="360" w:lineRule="auto"/>
        <w:ind w:right="-180"/>
        <w:jc w:val="both"/>
        <w:rPr>
          <w:lang w:val="en-ZA" w:eastAsia="en-GB"/>
        </w:rPr>
      </w:pPr>
    </w:p>
    <w:p w:rsidR="000A40DC" w:rsidRPr="001E6CF3" w:rsidRDefault="000A40DC" w:rsidP="00843CE2">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lang w:eastAsia="en-GB"/>
        </w:rPr>
        <w:t xml:space="preserve">When mineral reserves are depleted, mining can only continue sustainably if new resources are identified. This requires investment in exploration and in research and development to make the mining of new </w:t>
      </w:r>
      <w:r w:rsidR="00634EBD" w:rsidRPr="001E6CF3">
        <w:rPr>
          <w:rFonts w:ascii="Times New Roman" w:hAnsi="Times New Roman"/>
          <w:sz w:val="24"/>
          <w:szCs w:val="24"/>
          <w:lang w:eastAsia="en-GB"/>
        </w:rPr>
        <w:t>deposits</w:t>
      </w:r>
      <w:r w:rsidRPr="001E6CF3">
        <w:rPr>
          <w:rFonts w:ascii="Times New Roman" w:hAnsi="Times New Roman"/>
          <w:sz w:val="24"/>
          <w:szCs w:val="24"/>
          <w:lang w:eastAsia="en-GB"/>
        </w:rPr>
        <w:t xml:space="preserve"> economical.</w:t>
      </w:r>
    </w:p>
    <w:p w:rsidR="000A40DC" w:rsidRPr="001E6CF3" w:rsidRDefault="000A40DC" w:rsidP="00843CE2">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lang w:eastAsia="en-GB"/>
        </w:rPr>
        <w:t>The Committee is concerned that, despite many applications by the DMR, the National Treasury has not provided the funds needed for the Council for Geoscience to fulfil its mandate to assist junior miners as well as established companies to identify new mineral prospects. This applies particularly to the need for the full implementation of the amendments to the Geoscience Act</w:t>
      </w:r>
      <w:r w:rsidR="00843CE2" w:rsidRPr="001E6CF3">
        <w:rPr>
          <w:rFonts w:ascii="Times New Roman" w:hAnsi="Times New Roman"/>
          <w:sz w:val="24"/>
          <w:szCs w:val="24"/>
          <w:lang w:eastAsia="en-GB"/>
        </w:rPr>
        <w:t>, now</w:t>
      </w:r>
      <w:r w:rsidRPr="001E6CF3">
        <w:rPr>
          <w:rFonts w:ascii="Times New Roman" w:hAnsi="Times New Roman"/>
          <w:sz w:val="24"/>
          <w:szCs w:val="24"/>
          <w:lang w:eastAsia="en-GB"/>
        </w:rPr>
        <w:t xml:space="preserve"> delayed for over six years</w:t>
      </w:r>
      <w:r w:rsidR="00634EBD" w:rsidRPr="001E6CF3">
        <w:rPr>
          <w:rFonts w:ascii="Times New Roman" w:hAnsi="Times New Roman"/>
          <w:sz w:val="24"/>
          <w:szCs w:val="24"/>
          <w:lang w:eastAsia="en-GB"/>
        </w:rPr>
        <w:t>,</w:t>
      </w:r>
      <w:r w:rsidR="00DF1ED3" w:rsidRPr="001E6CF3">
        <w:rPr>
          <w:rFonts w:ascii="Times New Roman" w:hAnsi="Times New Roman"/>
          <w:sz w:val="24"/>
          <w:szCs w:val="24"/>
          <w:lang w:eastAsia="en-GB"/>
        </w:rPr>
        <w:t xml:space="preserve"> and</w:t>
      </w:r>
      <w:r w:rsidRPr="001E6CF3">
        <w:rPr>
          <w:rFonts w:ascii="Times New Roman" w:hAnsi="Times New Roman"/>
          <w:sz w:val="24"/>
          <w:szCs w:val="24"/>
          <w:lang w:eastAsia="en-GB"/>
        </w:rPr>
        <w:t xml:space="preserve"> for dedicated funding to allow the geological mapping of South Africa to be completed. </w:t>
      </w:r>
    </w:p>
    <w:p w:rsidR="000A40DC" w:rsidRPr="001E6CF3" w:rsidRDefault="000A40DC" w:rsidP="00843CE2">
      <w:pPr>
        <w:pStyle w:val="ListParagraph"/>
        <w:spacing w:line="360" w:lineRule="auto"/>
        <w:ind w:right="-180"/>
        <w:rPr>
          <w:rFonts w:ascii="Times New Roman" w:hAnsi="Times New Roman"/>
          <w:sz w:val="24"/>
          <w:szCs w:val="24"/>
          <w:lang w:eastAsia="en-GB"/>
        </w:rPr>
      </w:pPr>
      <w:r w:rsidRPr="001E6CF3">
        <w:rPr>
          <w:rFonts w:ascii="Times New Roman" w:hAnsi="Times New Roman"/>
          <w:sz w:val="24"/>
          <w:szCs w:val="24"/>
          <w:lang w:eastAsia="en-GB"/>
        </w:rPr>
        <w:t xml:space="preserve">In addition, the Committee is concerned that research and development, particularly around new technologies for mining, does not receive adequate state attention. </w:t>
      </w:r>
    </w:p>
    <w:p w:rsidR="000A40DC" w:rsidRPr="001E6CF3" w:rsidRDefault="000A40DC" w:rsidP="00843CE2">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lang w:eastAsia="en-GB"/>
        </w:rPr>
        <w:t xml:space="preserve">Dedicated science councils are in place to deal with exploration (CGS) and the </w:t>
      </w:r>
      <w:r w:rsidR="006F4AB4" w:rsidRPr="001E6CF3">
        <w:rPr>
          <w:rFonts w:ascii="Times New Roman" w:hAnsi="Times New Roman"/>
          <w:sz w:val="24"/>
          <w:szCs w:val="24"/>
          <w:lang w:eastAsia="en-GB"/>
        </w:rPr>
        <w:t>technologies for</w:t>
      </w:r>
      <w:r w:rsidRPr="001E6CF3">
        <w:rPr>
          <w:rFonts w:ascii="Times New Roman" w:hAnsi="Times New Roman"/>
          <w:sz w:val="24"/>
          <w:szCs w:val="24"/>
          <w:lang w:eastAsia="en-GB"/>
        </w:rPr>
        <w:t xml:space="preserve"> the processing of ore (Mintek). </w:t>
      </w:r>
      <w:r w:rsidR="00DF1ED3" w:rsidRPr="001E6CF3">
        <w:rPr>
          <w:rFonts w:ascii="Times New Roman" w:hAnsi="Times New Roman"/>
          <w:sz w:val="24"/>
          <w:szCs w:val="24"/>
          <w:lang w:eastAsia="en-GB"/>
        </w:rPr>
        <w:t>Technologies for the extraction of ore – particularly from deep, narrow reefs in hard rock – are needed for the future development of South Africa’s mineral wealth. This is a particular characteristic of mining in South Africa, and state involvement is needed to bolster private sector efforts in this regard.</w:t>
      </w:r>
      <w:r w:rsidRPr="001E6CF3">
        <w:rPr>
          <w:rFonts w:ascii="Times New Roman" w:hAnsi="Times New Roman"/>
          <w:sz w:val="24"/>
          <w:szCs w:val="24"/>
          <w:lang w:eastAsia="en-GB"/>
        </w:rPr>
        <w:t xml:space="preserve"> </w:t>
      </w:r>
    </w:p>
    <w:p w:rsidR="00DF1ED3" w:rsidRPr="001E6CF3" w:rsidRDefault="00053C23" w:rsidP="00843CE2">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rPr>
        <w:t xml:space="preserve">The Committee is concerned that, despite the declared intention of the DMR to “protect and enhance our environmental assets” and to ensure compliance with environmental legislation, the Department has significantly reduced the number of environmental verification inspections in its performance targets. </w:t>
      </w:r>
    </w:p>
    <w:p w:rsidR="006D3F97" w:rsidRPr="001E6CF3" w:rsidRDefault="006D3F97" w:rsidP="00843CE2">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rPr>
        <w:t xml:space="preserve">Ex-mineworkers are seriously affected by the inferior compensation payments due to them under the present law as well as by the administrative chaos that still surrounds the Compensation Fund managed by the Department of Health. An indaba on compensation is welcome, but strong action is needed. The harmonization of the compensation laws </w:t>
      </w:r>
      <w:r w:rsidR="00634EBD" w:rsidRPr="001E6CF3">
        <w:rPr>
          <w:rFonts w:ascii="Times New Roman" w:hAnsi="Times New Roman"/>
          <w:sz w:val="24"/>
          <w:szCs w:val="24"/>
        </w:rPr>
        <w:t>has been part of the</w:t>
      </w:r>
      <w:r w:rsidRPr="001E6CF3">
        <w:rPr>
          <w:rFonts w:ascii="Times New Roman" w:hAnsi="Times New Roman"/>
          <w:sz w:val="24"/>
          <w:szCs w:val="24"/>
        </w:rPr>
        <w:t xml:space="preserve"> government policy </w:t>
      </w:r>
      <w:r w:rsidR="00634EBD" w:rsidRPr="001E6CF3">
        <w:rPr>
          <w:rFonts w:ascii="Times New Roman" w:hAnsi="Times New Roman"/>
          <w:sz w:val="24"/>
          <w:szCs w:val="24"/>
        </w:rPr>
        <w:t xml:space="preserve">for the last </w:t>
      </w:r>
      <w:r w:rsidRPr="001E6CF3">
        <w:rPr>
          <w:rFonts w:ascii="Times New Roman" w:hAnsi="Times New Roman"/>
          <w:sz w:val="24"/>
          <w:szCs w:val="24"/>
        </w:rPr>
        <w:t xml:space="preserve">five </w:t>
      </w:r>
      <w:r w:rsidR="00634EBD" w:rsidRPr="001E6CF3">
        <w:rPr>
          <w:rFonts w:ascii="Times New Roman" w:hAnsi="Times New Roman"/>
          <w:sz w:val="24"/>
          <w:szCs w:val="24"/>
        </w:rPr>
        <w:t>years</w:t>
      </w:r>
      <w:r w:rsidRPr="001E6CF3">
        <w:rPr>
          <w:rFonts w:ascii="Times New Roman" w:hAnsi="Times New Roman"/>
          <w:sz w:val="24"/>
          <w:szCs w:val="24"/>
        </w:rPr>
        <w:t xml:space="preserve">, </w:t>
      </w:r>
      <w:r w:rsidR="00634EBD" w:rsidRPr="001E6CF3">
        <w:rPr>
          <w:rFonts w:ascii="Times New Roman" w:hAnsi="Times New Roman"/>
          <w:sz w:val="24"/>
          <w:szCs w:val="24"/>
        </w:rPr>
        <w:t>however</w:t>
      </w:r>
      <w:r w:rsidRPr="001E6CF3">
        <w:rPr>
          <w:rFonts w:ascii="Times New Roman" w:hAnsi="Times New Roman"/>
          <w:sz w:val="24"/>
          <w:szCs w:val="24"/>
        </w:rPr>
        <w:t xml:space="preserve"> neither the Department of Health nor the Department of Labour ha</w:t>
      </w:r>
      <w:r w:rsidR="00634EBD" w:rsidRPr="001E6CF3">
        <w:rPr>
          <w:rFonts w:ascii="Times New Roman" w:hAnsi="Times New Roman"/>
          <w:sz w:val="24"/>
          <w:szCs w:val="24"/>
        </w:rPr>
        <w:t>ve</w:t>
      </w:r>
      <w:r w:rsidRPr="001E6CF3">
        <w:rPr>
          <w:rFonts w:ascii="Times New Roman" w:hAnsi="Times New Roman"/>
          <w:sz w:val="24"/>
          <w:szCs w:val="24"/>
        </w:rPr>
        <w:t xml:space="preserve"> taken the </w:t>
      </w:r>
      <w:r w:rsidR="00634EBD" w:rsidRPr="001E6CF3">
        <w:rPr>
          <w:rFonts w:ascii="Times New Roman" w:hAnsi="Times New Roman"/>
          <w:sz w:val="24"/>
          <w:szCs w:val="24"/>
        </w:rPr>
        <w:t xml:space="preserve">appropriate </w:t>
      </w:r>
      <w:r w:rsidRPr="001E6CF3">
        <w:rPr>
          <w:rFonts w:ascii="Times New Roman" w:hAnsi="Times New Roman"/>
          <w:sz w:val="24"/>
          <w:szCs w:val="24"/>
        </w:rPr>
        <w:t xml:space="preserve">steps </w:t>
      </w:r>
      <w:r w:rsidR="00634EBD" w:rsidRPr="001E6CF3">
        <w:rPr>
          <w:rFonts w:ascii="Times New Roman" w:hAnsi="Times New Roman"/>
          <w:sz w:val="24"/>
          <w:szCs w:val="24"/>
        </w:rPr>
        <w:t>to address the above issue</w:t>
      </w:r>
      <w:r w:rsidR="006F4AB4" w:rsidRPr="001E6CF3">
        <w:rPr>
          <w:rFonts w:ascii="Times New Roman" w:hAnsi="Times New Roman"/>
          <w:sz w:val="24"/>
          <w:szCs w:val="24"/>
        </w:rPr>
        <w:t>.</w:t>
      </w:r>
      <w:r w:rsidRPr="001E6CF3">
        <w:rPr>
          <w:rFonts w:ascii="Times New Roman" w:hAnsi="Times New Roman"/>
          <w:sz w:val="24"/>
          <w:szCs w:val="24"/>
        </w:rPr>
        <w:t xml:space="preserve"> </w:t>
      </w:r>
    </w:p>
    <w:p w:rsidR="00341763" w:rsidRPr="001E6CF3" w:rsidRDefault="00341763" w:rsidP="00843CE2">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rPr>
        <w:t>The State Diamond Trader has the highest budget of all the entities managed by the Department. It has, however, largely failed to make productive use of both its revenues and its legal entitlement to sell up to 10 per cent of South Africa’s diamonds</w:t>
      </w:r>
      <w:r w:rsidR="00634EBD" w:rsidRPr="001E6CF3">
        <w:rPr>
          <w:rFonts w:ascii="Times New Roman" w:hAnsi="Times New Roman"/>
          <w:sz w:val="24"/>
          <w:szCs w:val="24"/>
        </w:rPr>
        <w:t>, to the targeted group (HDI)</w:t>
      </w:r>
      <w:r w:rsidRPr="001E6CF3">
        <w:rPr>
          <w:rFonts w:ascii="Times New Roman" w:hAnsi="Times New Roman"/>
          <w:sz w:val="24"/>
          <w:szCs w:val="24"/>
        </w:rPr>
        <w:t>. It buys less than 3 per cent</w:t>
      </w:r>
      <w:r w:rsidR="00634EBD" w:rsidRPr="001E6CF3">
        <w:rPr>
          <w:rFonts w:ascii="Times New Roman" w:hAnsi="Times New Roman"/>
          <w:sz w:val="24"/>
          <w:szCs w:val="24"/>
        </w:rPr>
        <w:t xml:space="preserve"> of its 10</w:t>
      </w:r>
      <w:r w:rsidR="005D5374" w:rsidRPr="001E6CF3">
        <w:rPr>
          <w:rFonts w:ascii="Times New Roman" w:hAnsi="Times New Roman"/>
          <w:sz w:val="24"/>
          <w:szCs w:val="24"/>
        </w:rPr>
        <w:t xml:space="preserve"> percent quota</w:t>
      </w:r>
      <w:r w:rsidRPr="001E6CF3">
        <w:rPr>
          <w:rFonts w:ascii="Times New Roman" w:hAnsi="Times New Roman"/>
          <w:sz w:val="24"/>
          <w:szCs w:val="24"/>
        </w:rPr>
        <w:t xml:space="preserve"> of diamond production and under</w:t>
      </w:r>
      <w:r w:rsidR="00CD1E8C" w:rsidRPr="001E6CF3">
        <w:rPr>
          <w:rFonts w:ascii="Times New Roman" w:hAnsi="Times New Roman"/>
          <w:sz w:val="24"/>
          <w:szCs w:val="24"/>
        </w:rPr>
        <w:t xml:space="preserve"> </w:t>
      </w:r>
      <w:r w:rsidRPr="001E6CF3">
        <w:rPr>
          <w:rFonts w:ascii="Times New Roman" w:hAnsi="Times New Roman"/>
          <w:sz w:val="24"/>
          <w:szCs w:val="24"/>
        </w:rPr>
        <w:t xml:space="preserve">its watch </w:t>
      </w:r>
      <w:r w:rsidR="00CD1E8C" w:rsidRPr="001E6CF3">
        <w:rPr>
          <w:rFonts w:ascii="Times New Roman" w:hAnsi="Times New Roman"/>
          <w:sz w:val="24"/>
          <w:szCs w:val="24"/>
        </w:rPr>
        <w:t xml:space="preserve">diamond beneficiation in the country has decreased, </w:t>
      </w:r>
      <w:r w:rsidR="00634EBD" w:rsidRPr="001E6CF3">
        <w:rPr>
          <w:rFonts w:ascii="Times New Roman" w:hAnsi="Times New Roman"/>
          <w:sz w:val="24"/>
          <w:szCs w:val="24"/>
        </w:rPr>
        <w:t>resulting in</w:t>
      </w:r>
      <w:r w:rsidR="00CD1E8C" w:rsidRPr="001E6CF3">
        <w:rPr>
          <w:rFonts w:ascii="Times New Roman" w:hAnsi="Times New Roman"/>
          <w:sz w:val="24"/>
          <w:szCs w:val="24"/>
        </w:rPr>
        <w:t xml:space="preserve"> the loss of hundreds of jobs.</w:t>
      </w:r>
    </w:p>
    <w:p w:rsidR="00D57ED4" w:rsidRPr="001E6CF3" w:rsidRDefault="00025A7C" w:rsidP="00C45B00">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rPr>
        <w:t>Whilst appreciate the extreme work done to address issues of demographics and gender by  the</w:t>
      </w:r>
      <w:r w:rsidR="00C45B00" w:rsidRPr="001E6CF3">
        <w:rPr>
          <w:rFonts w:ascii="Times New Roman" w:hAnsi="Times New Roman"/>
          <w:sz w:val="24"/>
          <w:szCs w:val="24"/>
        </w:rPr>
        <w:t xml:space="preserve"> South African Diamond and Precious Metals  Regulator  (SADPMR) </w:t>
      </w:r>
      <w:r w:rsidRPr="001E6CF3">
        <w:rPr>
          <w:rFonts w:ascii="Times New Roman" w:hAnsi="Times New Roman"/>
          <w:sz w:val="24"/>
          <w:szCs w:val="24"/>
        </w:rPr>
        <w:t>, clarity has to be given on the role of th</w:t>
      </w:r>
      <w:r w:rsidR="00C45B00" w:rsidRPr="001E6CF3">
        <w:rPr>
          <w:rFonts w:ascii="Times New Roman" w:hAnsi="Times New Roman"/>
          <w:sz w:val="24"/>
          <w:szCs w:val="24"/>
        </w:rPr>
        <w:t xml:space="preserve">e additional “transformation officer” as to whether there are new task or responsibilities attached. </w:t>
      </w:r>
    </w:p>
    <w:p w:rsidR="00C45B00" w:rsidRPr="001E6CF3" w:rsidRDefault="00C45B00" w:rsidP="00C45B00">
      <w:pPr>
        <w:pStyle w:val="ListParagraph"/>
        <w:numPr>
          <w:ilvl w:val="0"/>
          <w:numId w:val="16"/>
        </w:numPr>
        <w:spacing w:line="360" w:lineRule="auto"/>
        <w:ind w:right="-180"/>
        <w:rPr>
          <w:rFonts w:ascii="Times New Roman" w:hAnsi="Times New Roman"/>
          <w:sz w:val="24"/>
          <w:szCs w:val="24"/>
          <w:lang w:eastAsia="en-GB"/>
        </w:rPr>
      </w:pPr>
      <w:r w:rsidRPr="001E6CF3">
        <w:rPr>
          <w:rFonts w:ascii="Times New Roman" w:hAnsi="Times New Roman"/>
          <w:sz w:val="24"/>
          <w:szCs w:val="24"/>
        </w:rPr>
        <w:t xml:space="preserve">Despite its concerns, the Committee notes that the DMR and its entities has performed well its handling of public funds and resources as confirmed by the audit outs and Auditor General. </w:t>
      </w:r>
    </w:p>
    <w:p w:rsidR="00D57ED4" w:rsidRPr="001E6CF3" w:rsidRDefault="00D57ED4" w:rsidP="00843CE2">
      <w:pPr>
        <w:spacing w:line="360" w:lineRule="auto"/>
        <w:ind w:right="-180"/>
        <w:jc w:val="both"/>
        <w:rPr>
          <w:b/>
        </w:rPr>
      </w:pPr>
    </w:p>
    <w:p w:rsidR="00D448D4" w:rsidRPr="001E6CF3" w:rsidRDefault="00730872" w:rsidP="00843CE2">
      <w:pPr>
        <w:spacing w:line="360" w:lineRule="auto"/>
        <w:jc w:val="both"/>
        <w:rPr>
          <w:b/>
          <w:lang w:val="en-ZA"/>
        </w:rPr>
      </w:pPr>
      <w:r>
        <w:rPr>
          <w:b/>
          <w:lang w:val="en-ZA"/>
        </w:rPr>
        <w:t>13</w:t>
      </w:r>
      <w:r w:rsidR="00340BA6" w:rsidRPr="001E6CF3">
        <w:rPr>
          <w:b/>
          <w:lang w:val="en-ZA"/>
        </w:rPr>
        <w:t>.</w:t>
      </w:r>
      <w:r w:rsidR="00D448D4" w:rsidRPr="001E6CF3">
        <w:rPr>
          <w:b/>
          <w:lang w:val="en-ZA"/>
        </w:rPr>
        <w:tab/>
      </w:r>
      <w:r w:rsidR="00A5436D" w:rsidRPr="001E6CF3">
        <w:rPr>
          <w:b/>
          <w:lang w:val="en-ZA"/>
        </w:rPr>
        <w:t xml:space="preserve">Recommendations </w:t>
      </w:r>
    </w:p>
    <w:p w:rsidR="00C45B00" w:rsidRPr="001E6CF3" w:rsidRDefault="00C45B00" w:rsidP="00843CE2">
      <w:pPr>
        <w:spacing w:line="360" w:lineRule="auto"/>
        <w:jc w:val="both"/>
        <w:rPr>
          <w:b/>
          <w:lang w:val="en-ZA"/>
        </w:rPr>
      </w:pPr>
    </w:p>
    <w:p w:rsidR="005D5374" w:rsidRPr="0050021F" w:rsidRDefault="00F85FF1" w:rsidP="00F433F0">
      <w:pPr>
        <w:spacing w:line="360" w:lineRule="auto"/>
      </w:pPr>
      <w:r w:rsidRPr="001E6CF3">
        <w:t xml:space="preserve">Having considered the Strategic Plan, Annual Performance Plans and </w:t>
      </w:r>
      <w:r w:rsidR="00D85BB6" w:rsidRPr="001E6CF3">
        <w:t>B</w:t>
      </w:r>
      <w:r w:rsidRPr="001E6CF3">
        <w:t>udget for the Department of Mineral Resources and its entities, the Committee recommends as follows</w:t>
      </w:r>
      <w:r w:rsidRPr="001E6CF3">
        <w:rPr>
          <w:lang w:val="en-ZA"/>
        </w:rPr>
        <w:t>:</w:t>
      </w:r>
    </w:p>
    <w:p w:rsidR="006D3F97" w:rsidRPr="001E6CF3" w:rsidRDefault="006D3F97" w:rsidP="00843CE2">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The Minister of Mineral Resources should appoint a representative of the national treasury to the Board of the CGS immediately, as is required by the Geoscience Act.</w:t>
      </w:r>
    </w:p>
    <w:p w:rsidR="006D3F97" w:rsidRPr="001E6CF3" w:rsidRDefault="005805C1" w:rsidP="00C45B00">
      <w:pPr>
        <w:spacing w:line="360" w:lineRule="auto"/>
        <w:ind w:left="709"/>
      </w:pPr>
      <w:r w:rsidRPr="001E6CF3">
        <w:t>The national treasury should account to the Committee for its failure to respond to the financial needs of the CGS to carry out the functions given to it by Parliament, despite five years of approaches from the DMR on this issue.</w:t>
      </w:r>
    </w:p>
    <w:p w:rsidR="00D85BB6" w:rsidRPr="001E6CF3" w:rsidRDefault="00D85BB6" w:rsidP="002268CD">
      <w:pPr>
        <w:pStyle w:val="ListParagraph"/>
        <w:spacing w:line="360" w:lineRule="auto"/>
        <w:ind w:left="709"/>
        <w:rPr>
          <w:rFonts w:ascii="Times New Roman" w:hAnsi="Times New Roman"/>
          <w:sz w:val="24"/>
          <w:szCs w:val="24"/>
        </w:rPr>
      </w:pPr>
    </w:p>
    <w:p w:rsidR="005805C1" w:rsidRPr="001E6CF3" w:rsidRDefault="005805C1" w:rsidP="00843CE2">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The funding and co-ordination of state-funded research and innovation for the mining sector, including mineral extraction R&amp;D, should be adopted as a government priority going forward. This is required to support the efforts of DMR to encourage new investors in the SA mining sector and to provide a basis for the mining sector to develop sustainably into the future and to generate benefits from the country’s rich mineral endowment.</w:t>
      </w:r>
    </w:p>
    <w:p w:rsidR="00F433F0" w:rsidRPr="001E6CF3" w:rsidRDefault="00F433F0" w:rsidP="00F433F0">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 xml:space="preserve">DMR </w:t>
      </w:r>
      <w:r w:rsidR="00443133" w:rsidRPr="001E6CF3">
        <w:rPr>
          <w:rFonts w:ascii="Times New Roman" w:hAnsi="Times New Roman"/>
          <w:sz w:val="24"/>
          <w:szCs w:val="24"/>
        </w:rPr>
        <w:t>should address</w:t>
      </w:r>
      <w:r w:rsidRPr="001E6CF3">
        <w:rPr>
          <w:rFonts w:ascii="Times New Roman" w:hAnsi="Times New Roman"/>
          <w:sz w:val="24"/>
          <w:szCs w:val="24"/>
        </w:rPr>
        <w:t xml:space="preserve"> </w:t>
      </w:r>
      <w:r w:rsidR="00D85BB6" w:rsidRPr="001E6CF3">
        <w:rPr>
          <w:rFonts w:ascii="Times New Roman" w:hAnsi="Times New Roman"/>
          <w:sz w:val="24"/>
          <w:szCs w:val="24"/>
        </w:rPr>
        <w:t xml:space="preserve">all </w:t>
      </w:r>
      <w:r w:rsidRPr="001E6CF3">
        <w:rPr>
          <w:rFonts w:ascii="Times New Roman" w:hAnsi="Times New Roman"/>
          <w:sz w:val="24"/>
          <w:szCs w:val="24"/>
        </w:rPr>
        <w:t xml:space="preserve">concerns </w:t>
      </w:r>
      <w:r w:rsidR="00D85BB6" w:rsidRPr="001E6CF3">
        <w:rPr>
          <w:rFonts w:ascii="Times New Roman" w:hAnsi="Times New Roman"/>
          <w:sz w:val="24"/>
          <w:szCs w:val="24"/>
        </w:rPr>
        <w:t>around</w:t>
      </w:r>
      <w:r w:rsidRPr="001E6CF3">
        <w:rPr>
          <w:rFonts w:ascii="Times New Roman" w:hAnsi="Times New Roman"/>
          <w:sz w:val="24"/>
          <w:szCs w:val="24"/>
        </w:rPr>
        <w:t xml:space="preserve"> adequate environmental compliance</w:t>
      </w:r>
      <w:r w:rsidR="00443133" w:rsidRPr="001E6CF3">
        <w:rPr>
          <w:rFonts w:ascii="Times New Roman" w:hAnsi="Times New Roman"/>
          <w:sz w:val="24"/>
          <w:szCs w:val="24"/>
        </w:rPr>
        <w:t>.</w:t>
      </w:r>
    </w:p>
    <w:p w:rsidR="00F433F0" w:rsidRPr="001E6CF3" w:rsidRDefault="00F433F0" w:rsidP="00F433F0">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DMR should fast track all necessary and appropriate legislation and regulations (e.g. MPRDA, Mine Health and Safety, State Diamond Trader, etc.) that will assist in achieving certainty in the mining industry.</w:t>
      </w:r>
    </w:p>
    <w:p w:rsidR="00F433F0" w:rsidRPr="001E6CF3" w:rsidRDefault="00F433F0" w:rsidP="00F433F0">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DMR and entities should improve on their turnaround time</w:t>
      </w:r>
      <w:r w:rsidR="00D85BB6" w:rsidRPr="001E6CF3">
        <w:rPr>
          <w:rFonts w:ascii="Times New Roman" w:hAnsi="Times New Roman"/>
          <w:sz w:val="24"/>
          <w:szCs w:val="24"/>
        </w:rPr>
        <w:t xml:space="preserve"> as prescribed by </w:t>
      </w:r>
      <w:r w:rsidR="00443133" w:rsidRPr="001E6CF3">
        <w:rPr>
          <w:rFonts w:ascii="Times New Roman" w:hAnsi="Times New Roman"/>
          <w:sz w:val="24"/>
          <w:szCs w:val="24"/>
        </w:rPr>
        <w:t>the applicable legislation</w:t>
      </w:r>
      <w:r w:rsidRPr="001E6CF3">
        <w:rPr>
          <w:rFonts w:ascii="Times New Roman" w:hAnsi="Times New Roman"/>
          <w:sz w:val="24"/>
          <w:szCs w:val="24"/>
        </w:rPr>
        <w:t>.</w:t>
      </w:r>
    </w:p>
    <w:p w:rsidR="00F433F0" w:rsidRPr="001E6CF3" w:rsidRDefault="00F433F0" w:rsidP="00F433F0">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 xml:space="preserve">DMR needs to address </w:t>
      </w:r>
      <w:r w:rsidR="00912F38" w:rsidRPr="001E6CF3">
        <w:rPr>
          <w:rFonts w:ascii="Times New Roman" w:hAnsi="Times New Roman"/>
          <w:sz w:val="24"/>
          <w:szCs w:val="24"/>
        </w:rPr>
        <w:t>the issue</w:t>
      </w:r>
      <w:r w:rsidRPr="001E6CF3">
        <w:rPr>
          <w:rFonts w:ascii="Times New Roman" w:hAnsi="Times New Roman"/>
          <w:sz w:val="24"/>
          <w:szCs w:val="24"/>
        </w:rPr>
        <w:t xml:space="preserve"> of tax avoidance.  It should work in collaboration with </w:t>
      </w:r>
      <w:r w:rsidR="00443133" w:rsidRPr="001E6CF3">
        <w:rPr>
          <w:rFonts w:ascii="Times New Roman" w:hAnsi="Times New Roman"/>
          <w:sz w:val="24"/>
          <w:szCs w:val="24"/>
        </w:rPr>
        <w:t xml:space="preserve">the </w:t>
      </w:r>
      <w:r w:rsidRPr="001E6CF3">
        <w:rPr>
          <w:rFonts w:ascii="Times New Roman" w:hAnsi="Times New Roman"/>
          <w:sz w:val="24"/>
          <w:szCs w:val="24"/>
        </w:rPr>
        <w:t>Dep</w:t>
      </w:r>
      <w:r w:rsidR="00443133" w:rsidRPr="001E6CF3">
        <w:rPr>
          <w:rFonts w:ascii="Times New Roman" w:hAnsi="Times New Roman"/>
          <w:sz w:val="24"/>
          <w:szCs w:val="24"/>
        </w:rPr>
        <w:t>artmen</w:t>
      </w:r>
      <w:r w:rsidRPr="001E6CF3">
        <w:rPr>
          <w:rFonts w:ascii="Times New Roman" w:hAnsi="Times New Roman"/>
          <w:sz w:val="24"/>
          <w:szCs w:val="24"/>
        </w:rPr>
        <w:t>t of Finance</w:t>
      </w:r>
      <w:r w:rsidR="00443133" w:rsidRPr="001E6CF3">
        <w:rPr>
          <w:rFonts w:ascii="Times New Roman" w:hAnsi="Times New Roman"/>
          <w:sz w:val="24"/>
          <w:szCs w:val="24"/>
        </w:rPr>
        <w:t>,</w:t>
      </w:r>
      <w:r w:rsidRPr="001E6CF3">
        <w:rPr>
          <w:rFonts w:ascii="Times New Roman" w:hAnsi="Times New Roman"/>
          <w:sz w:val="24"/>
          <w:szCs w:val="24"/>
        </w:rPr>
        <w:t xml:space="preserve"> Trade and Industry and other relevant </w:t>
      </w:r>
      <w:r w:rsidR="00443133" w:rsidRPr="001E6CF3">
        <w:rPr>
          <w:rFonts w:ascii="Times New Roman" w:hAnsi="Times New Roman"/>
          <w:sz w:val="24"/>
          <w:szCs w:val="24"/>
        </w:rPr>
        <w:t>D</w:t>
      </w:r>
      <w:r w:rsidRPr="001E6CF3">
        <w:rPr>
          <w:rFonts w:ascii="Times New Roman" w:hAnsi="Times New Roman"/>
          <w:sz w:val="24"/>
          <w:szCs w:val="24"/>
        </w:rPr>
        <w:t>epartments to deal with aggressive tax avoidance.</w:t>
      </w:r>
    </w:p>
    <w:p w:rsidR="00F433F0" w:rsidRPr="001E6CF3" w:rsidRDefault="00F433F0" w:rsidP="00F433F0">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 xml:space="preserve">MHSC should come and present </w:t>
      </w:r>
      <w:r w:rsidR="00CE3365" w:rsidRPr="001E6CF3">
        <w:rPr>
          <w:rFonts w:ascii="Times New Roman" w:hAnsi="Times New Roman"/>
          <w:sz w:val="24"/>
          <w:szCs w:val="24"/>
        </w:rPr>
        <w:t>the expenditure and</w:t>
      </w:r>
      <w:r w:rsidRPr="001E6CF3">
        <w:rPr>
          <w:rFonts w:ascii="Times New Roman" w:hAnsi="Times New Roman"/>
          <w:sz w:val="24"/>
          <w:szCs w:val="24"/>
        </w:rPr>
        <w:t xml:space="preserve"> how it intends to spend allocated grant</w:t>
      </w:r>
      <w:r w:rsidR="00CE3365" w:rsidRPr="001E6CF3">
        <w:rPr>
          <w:rFonts w:ascii="Times New Roman" w:hAnsi="Times New Roman"/>
          <w:sz w:val="24"/>
          <w:szCs w:val="24"/>
        </w:rPr>
        <w:t>.</w:t>
      </w:r>
    </w:p>
    <w:p w:rsidR="006D3F97" w:rsidRPr="001E6CF3" w:rsidRDefault="00F433F0" w:rsidP="00F433F0">
      <w:pPr>
        <w:pStyle w:val="ListParagraph"/>
        <w:numPr>
          <w:ilvl w:val="0"/>
          <w:numId w:val="17"/>
        </w:numPr>
        <w:spacing w:line="360" w:lineRule="auto"/>
        <w:ind w:left="709" w:hanging="425"/>
        <w:rPr>
          <w:rFonts w:ascii="Times New Roman" w:hAnsi="Times New Roman"/>
          <w:sz w:val="24"/>
          <w:szCs w:val="24"/>
        </w:rPr>
      </w:pPr>
      <w:r w:rsidRPr="001E6CF3">
        <w:rPr>
          <w:rFonts w:ascii="Times New Roman" w:hAnsi="Times New Roman"/>
          <w:sz w:val="24"/>
          <w:szCs w:val="24"/>
        </w:rPr>
        <w:t xml:space="preserve">Compensation Indaba </w:t>
      </w:r>
      <w:r w:rsidR="00443133" w:rsidRPr="001E6CF3">
        <w:rPr>
          <w:rFonts w:ascii="Times New Roman" w:hAnsi="Times New Roman"/>
          <w:sz w:val="24"/>
          <w:szCs w:val="24"/>
        </w:rPr>
        <w:t xml:space="preserve">that will be convened in 2016 </w:t>
      </w:r>
      <w:r w:rsidR="00CE3365" w:rsidRPr="001E6CF3">
        <w:rPr>
          <w:rFonts w:ascii="Times New Roman" w:hAnsi="Times New Roman"/>
          <w:sz w:val="24"/>
          <w:szCs w:val="24"/>
        </w:rPr>
        <w:t>should</w:t>
      </w:r>
      <w:r w:rsidRPr="001E6CF3">
        <w:rPr>
          <w:rFonts w:ascii="Times New Roman" w:hAnsi="Times New Roman"/>
          <w:sz w:val="24"/>
          <w:szCs w:val="24"/>
        </w:rPr>
        <w:t xml:space="preserve"> consider </w:t>
      </w:r>
      <w:r w:rsidR="00443133" w:rsidRPr="001E6CF3">
        <w:rPr>
          <w:rFonts w:ascii="Times New Roman" w:hAnsi="Times New Roman"/>
          <w:sz w:val="24"/>
          <w:szCs w:val="24"/>
        </w:rPr>
        <w:t xml:space="preserve">and finalize </w:t>
      </w:r>
      <w:r w:rsidRPr="001E6CF3">
        <w:rPr>
          <w:rFonts w:ascii="Times New Roman" w:hAnsi="Times New Roman"/>
          <w:sz w:val="24"/>
          <w:szCs w:val="24"/>
        </w:rPr>
        <w:t>all issues relat</w:t>
      </w:r>
      <w:r w:rsidR="00443133" w:rsidRPr="001E6CF3">
        <w:rPr>
          <w:rFonts w:ascii="Times New Roman" w:hAnsi="Times New Roman"/>
          <w:sz w:val="24"/>
          <w:szCs w:val="24"/>
        </w:rPr>
        <w:t>ing</w:t>
      </w:r>
      <w:r w:rsidRPr="001E6CF3">
        <w:rPr>
          <w:rFonts w:ascii="Times New Roman" w:hAnsi="Times New Roman"/>
          <w:sz w:val="24"/>
          <w:szCs w:val="24"/>
        </w:rPr>
        <w:t xml:space="preserve"> to Ex mine workers</w:t>
      </w:r>
      <w:r w:rsidR="00443133" w:rsidRPr="001E6CF3">
        <w:rPr>
          <w:rFonts w:ascii="Times New Roman" w:hAnsi="Times New Roman"/>
          <w:sz w:val="24"/>
          <w:szCs w:val="24"/>
        </w:rPr>
        <w:t>, especially the integration of compensation systems</w:t>
      </w:r>
      <w:r w:rsidR="00CE3365" w:rsidRPr="001E6CF3">
        <w:rPr>
          <w:rFonts w:ascii="Times New Roman" w:hAnsi="Times New Roman"/>
          <w:sz w:val="24"/>
          <w:szCs w:val="24"/>
        </w:rPr>
        <w:t>.</w:t>
      </w:r>
    </w:p>
    <w:p w:rsidR="00C53663" w:rsidRPr="001E6CF3" w:rsidRDefault="00C53663" w:rsidP="00843CE2">
      <w:pPr>
        <w:spacing w:line="360" w:lineRule="auto"/>
        <w:jc w:val="both"/>
        <w:rPr>
          <w:b/>
          <w:lang w:val="en-ZA"/>
        </w:rPr>
      </w:pPr>
    </w:p>
    <w:p w:rsidR="00F11878" w:rsidRPr="001E6CF3" w:rsidRDefault="00730872" w:rsidP="00843CE2">
      <w:pPr>
        <w:spacing w:line="360" w:lineRule="auto"/>
        <w:jc w:val="both"/>
        <w:rPr>
          <w:b/>
          <w:lang w:val="en-ZA"/>
        </w:rPr>
      </w:pPr>
      <w:r>
        <w:rPr>
          <w:b/>
          <w:lang w:val="en-ZA"/>
        </w:rPr>
        <w:t>14</w:t>
      </w:r>
      <w:r w:rsidR="00F11878" w:rsidRPr="001E6CF3">
        <w:rPr>
          <w:b/>
          <w:lang w:val="en-ZA"/>
        </w:rPr>
        <w:t>.</w:t>
      </w:r>
      <w:r w:rsidR="00F11878" w:rsidRPr="001E6CF3">
        <w:rPr>
          <w:b/>
          <w:lang w:val="en-ZA"/>
        </w:rPr>
        <w:tab/>
        <w:t>Conclusion</w:t>
      </w:r>
    </w:p>
    <w:p w:rsidR="00DC3D6C" w:rsidRPr="001E6CF3" w:rsidRDefault="00DC3D6C" w:rsidP="00843CE2">
      <w:pPr>
        <w:spacing w:line="360" w:lineRule="auto"/>
        <w:jc w:val="both"/>
        <w:rPr>
          <w:b/>
          <w:lang w:val="en-ZA"/>
        </w:rPr>
      </w:pPr>
    </w:p>
    <w:p w:rsidR="00114BAA" w:rsidRPr="001E6CF3" w:rsidRDefault="00114BAA" w:rsidP="00843CE2">
      <w:pPr>
        <w:spacing w:line="360" w:lineRule="auto"/>
        <w:jc w:val="both"/>
      </w:pPr>
      <w:r w:rsidRPr="001E6CF3">
        <w:t>The</w:t>
      </w:r>
      <w:r w:rsidR="00B82DB6" w:rsidRPr="001E6CF3">
        <w:t xml:space="preserve"> </w:t>
      </w:r>
      <w:r w:rsidR="00F433F0" w:rsidRPr="001E6CF3">
        <w:t>Chairperson thanked</w:t>
      </w:r>
      <w:r w:rsidRPr="001E6CF3">
        <w:t xml:space="preserve"> the Department and the entities for the</w:t>
      </w:r>
      <w:r w:rsidR="00AE41DD" w:rsidRPr="001E6CF3">
        <w:t xml:space="preserve"> in-depth</w:t>
      </w:r>
      <w:r w:rsidRPr="001E6CF3">
        <w:t xml:space="preserve"> discussions on their Annual Performance</w:t>
      </w:r>
      <w:r w:rsidR="00AE41DD" w:rsidRPr="001E6CF3">
        <w:t xml:space="preserve"> Plans and</w:t>
      </w:r>
      <w:r w:rsidRPr="001E6CF3">
        <w:t xml:space="preserve"> Strategic Plans. </w:t>
      </w:r>
      <w:r w:rsidR="00B82DB6" w:rsidRPr="001E6CF3">
        <w:t>He extended the word of appreciation to members for</w:t>
      </w:r>
      <w:r w:rsidR="00F433F0" w:rsidRPr="001E6CF3">
        <w:t xml:space="preserve"> their meaningful</w:t>
      </w:r>
      <w:r w:rsidR="00B82DB6" w:rsidRPr="001E6CF3">
        <w:t xml:space="preserve"> contribution and praised the support staff</w:t>
      </w:r>
      <w:r w:rsidR="00391CBB" w:rsidRPr="001E6CF3">
        <w:t xml:space="preserve"> who worked under difficult circumstances but do their bes</w:t>
      </w:r>
      <w:r w:rsidR="00F433F0" w:rsidRPr="001E6CF3">
        <w:t>t</w:t>
      </w:r>
      <w:r w:rsidR="00391CBB" w:rsidRPr="001E6CF3">
        <w:t xml:space="preserve"> </w:t>
      </w:r>
      <w:r w:rsidR="00F433F0" w:rsidRPr="001E6CF3">
        <w:t>to make</w:t>
      </w:r>
      <w:r w:rsidR="00391CBB" w:rsidRPr="001E6CF3">
        <w:t xml:space="preserve"> sure that the work of the Committee is done effectively. </w:t>
      </w:r>
    </w:p>
    <w:p w:rsidR="00BF6D6D" w:rsidRPr="001E6CF3" w:rsidRDefault="00BF6D6D" w:rsidP="00255F74">
      <w:pPr>
        <w:ind w:right="-180"/>
        <w:jc w:val="both"/>
      </w:pPr>
    </w:p>
    <w:p w:rsidR="00F85FF1" w:rsidRPr="001E6CF3" w:rsidRDefault="00F85FF1" w:rsidP="00255F74">
      <w:pPr>
        <w:ind w:right="-180"/>
        <w:jc w:val="both"/>
        <w:rPr>
          <w:b/>
        </w:rPr>
      </w:pPr>
    </w:p>
    <w:p w:rsidR="00BF6D6D" w:rsidRPr="001E6CF3" w:rsidRDefault="00BF6D6D" w:rsidP="00255F74">
      <w:pPr>
        <w:ind w:right="-180"/>
        <w:jc w:val="both"/>
        <w:rPr>
          <w:b/>
        </w:rPr>
      </w:pPr>
    </w:p>
    <w:p w:rsidR="00A5436D" w:rsidRPr="001E6CF3" w:rsidRDefault="0018025E" w:rsidP="003C0377">
      <w:pPr>
        <w:ind w:right="-180"/>
        <w:jc w:val="both"/>
        <w:rPr>
          <w:b/>
        </w:rPr>
      </w:pPr>
      <w:r w:rsidRPr="001E6CF3">
        <w:rPr>
          <w:b/>
        </w:rPr>
        <w:t>Report to be considered</w:t>
      </w:r>
      <w:r w:rsidR="001D39A7" w:rsidRPr="001E6CF3">
        <w:rPr>
          <w:b/>
        </w:rPr>
        <w:t>.</w:t>
      </w:r>
    </w:p>
    <w:sectPr w:rsidR="00A5436D" w:rsidRPr="001E6CF3" w:rsidSect="0080518C">
      <w:footerReference w:type="even" r:id="rId10"/>
      <w:footerReference w:type="default" r:id="rId11"/>
      <w:pgSz w:w="12240" w:h="15840"/>
      <w:pgMar w:top="1440" w:right="1304" w:bottom="899"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72" w:rsidRDefault="00730872">
      <w:r>
        <w:separator/>
      </w:r>
    </w:p>
  </w:endnote>
  <w:endnote w:type="continuationSeparator" w:id="0">
    <w:p w:rsidR="00730872" w:rsidRDefault="0073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72" w:rsidRDefault="00730872" w:rsidP="00E31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730872" w:rsidRDefault="00730872" w:rsidP="00D875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72" w:rsidRDefault="00730872" w:rsidP="00E31D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04C0">
      <w:rPr>
        <w:rStyle w:val="PageNumber"/>
        <w:noProof/>
      </w:rPr>
      <w:t>1</w:t>
    </w:r>
    <w:r>
      <w:rPr>
        <w:rStyle w:val="PageNumber"/>
      </w:rPr>
      <w:fldChar w:fldCharType="end"/>
    </w:r>
  </w:p>
  <w:p w:rsidR="00730872" w:rsidRDefault="00730872" w:rsidP="00D875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72" w:rsidRDefault="00730872">
      <w:r>
        <w:separator/>
      </w:r>
    </w:p>
  </w:footnote>
  <w:footnote w:type="continuationSeparator" w:id="0">
    <w:p w:rsidR="00730872" w:rsidRDefault="00730872">
      <w:r>
        <w:continuationSeparator/>
      </w:r>
    </w:p>
  </w:footnote>
  <w:footnote w:id="1">
    <w:p w:rsidR="00730872" w:rsidRPr="001F6A14" w:rsidRDefault="00730872" w:rsidP="009237BA">
      <w:pPr>
        <w:pStyle w:val="FootnoteText"/>
      </w:pPr>
      <w:r>
        <w:rPr>
          <w:rStyle w:val="FootnoteReference"/>
        </w:rPr>
        <w:footnoteRef/>
      </w:r>
      <w:r>
        <w:t xml:space="preserve"> DMR (2016c).</w:t>
      </w:r>
    </w:p>
  </w:footnote>
  <w:footnote w:id="2">
    <w:p w:rsidR="00730872" w:rsidRPr="00B30346" w:rsidRDefault="00730872" w:rsidP="009237BA">
      <w:pPr>
        <w:pStyle w:val="FootnoteText"/>
      </w:pPr>
      <w:r>
        <w:rPr>
          <w:rStyle w:val="FootnoteReference"/>
        </w:rPr>
        <w:footnoteRef/>
      </w:r>
      <w:r>
        <w:t xml:space="preserve"> An inflation rate based on the Consumer Price Index is used to calculate the ‘real’ change in the buying power of Budget allocations in 2016/17 compared with 2015/16. This is 6.6 per cent (National Treasury, 2016b:30) </w:t>
      </w:r>
      <w:r>
        <w:rPr>
          <w:i/>
        </w:rPr>
        <w:t>Budget Review.</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7DF1"/>
    <w:multiLevelType w:val="hybridMultilevel"/>
    <w:tmpl w:val="BA6A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92C5D3D"/>
    <w:multiLevelType w:val="hybridMultilevel"/>
    <w:tmpl w:val="4EB6F15C"/>
    <w:lvl w:ilvl="0" w:tplc="DA688AE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CF469AC"/>
    <w:multiLevelType w:val="hybridMultilevel"/>
    <w:tmpl w:val="66B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2089C"/>
    <w:multiLevelType w:val="hybridMultilevel"/>
    <w:tmpl w:val="B2DE8A66"/>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E924578"/>
    <w:multiLevelType w:val="hybridMultilevel"/>
    <w:tmpl w:val="A89A90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52B740C"/>
    <w:multiLevelType w:val="hybridMultilevel"/>
    <w:tmpl w:val="925EA5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37767767"/>
    <w:multiLevelType w:val="hybridMultilevel"/>
    <w:tmpl w:val="E7EAA3B8"/>
    <w:lvl w:ilvl="0" w:tplc="1C090001">
      <w:start w:val="1"/>
      <w:numFmt w:val="bullet"/>
      <w:lvlText w:val=""/>
      <w:lvlJc w:val="left"/>
      <w:pPr>
        <w:ind w:left="1139" w:hanging="360"/>
      </w:pPr>
      <w:rPr>
        <w:rFonts w:ascii="Symbol" w:hAnsi="Symbol" w:hint="default"/>
      </w:rPr>
    </w:lvl>
    <w:lvl w:ilvl="1" w:tplc="1C090003" w:tentative="1">
      <w:start w:val="1"/>
      <w:numFmt w:val="bullet"/>
      <w:lvlText w:val="o"/>
      <w:lvlJc w:val="left"/>
      <w:pPr>
        <w:ind w:left="1859" w:hanging="360"/>
      </w:pPr>
      <w:rPr>
        <w:rFonts w:ascii="Courier New" w:hAnsi="Courier New" w:cs="Courier New" w:hint="default"/>
      </w:rPr>
    </w:lvl>
    <w:lvl w:ilvl="2" w:tplc="1C090005" w:tentative="1">
      <w:start w:val="1"/>
      <w:numFmt w:val="bullet"/>
      <w:lvlText w:val=""/>
      <w:lvlJc w:val="left"/>
      <w:pPr>
        <w:ind w:left="2579" w:hanging="360"/>
      </w:pPr>
      <w:rPr>
        <w:rFonts w:ascii="Wingdings" w:hAnsi="Wingdings" w:hint="default"/>
      </w:rPr>
    </w:lvl>
    <w:lvl w:ilvl="3" w:tplc="1C090001" w:tentative="1">
      <w:start w:val="1"/>
      <w:numFmt w:val="bullet"/>
      <w:lvlText w:val=""/>
      <w:lvlJc w:val="left"/>
      <w:pPr>
        <w:ind w:left="3299" w:hanging="360"/>
      </w:pPr>
      <w:rPr>
        <w:rFonts w:ascii="Symbol" w:hAnsi="Symbol" w:hint="default"/>
      </w:rPr>
    </w:lvl>
    <w:lvl w:ilvl="4" w:tplc="1C090003" w:tentative="1">
      <w:start w:val="1"/>
      <w:numFmt w:val="bullet"/>
      <w:lvlText w:val="o"/>
      <w:lvlJc w:val="left"/>
      <w:pPr>
        <w:ind w:left="4019" w:hanging="360"/>
      </w:pPr>
      <w:rPr>
        <w:rFonts w:ascii="Courier New" w:hAnsi="Courier New" w:cs="Courier New" w:hint="default"/>
      </w:rPr>
    </w:lvl>
    <w:lvl w:ilvl="5" w:tplc="1C090005" w:tentative="1">
      <w:start w:val="1"/>
      <w:numFmt w:val="bullet"/>
      <w:lvlText w:val=""/>
      <w:lvlJc w:val="left"/>
      <w:pPr>
        <w:ind w:left="4739" w:hanging="360"/>
      </w:pPr>
      <w:rPr>
        <w:rFonts w:ascii="Wingdings" w:hAnsi="Wingdings" w:hint="default"/>
      </w:rPr>
    </w:lvl>
    <w:lvl w:ilvl="6" w:tplc="1C090001" w:tentative="1">
      <w:start w:val="1"/>
      <w:numFmt w:val="bullet"/>
      <w:lvlText w:val=""/>
      <w:lvlJc w:val="left"/>
      <w:pPr>
        <w:ind w:left="5459" w:hanging="360"/>
      </w:pPr>
      <w:rPr>
        <w:rFonts w:ascii="Symbol" w:hAnsi="Symbol" w:hint="default"/>
      </w:rPr>
    </w:lvl>
    <w:lvl w:ilvl="7" w:tplc="1C090003" w:tentative="1">
      <w:start w:val="1"/>
      <w:numFmt w:val="bullet"/>
      <w:lvlText w:val="o"/>
      <w:lvlJc w:val="left"/>
      <w:pPr>
        <w:ind w:left="6179" w:hanging="360"/>
      </w:pPr>
      <w:rPr>
        <w:rFonts w:ascii="Courier New" w:hAnsi="Courier New" w:cs="Courier New" w:hint="default"/>
      </w:rPr>
    </w:lvl>
    <w:lvl w:ilvl="8" w:tplc="1C090005" w:tentative="1">
      <w:start w:val="1"/>
      <w:numFmt w:val="bullet"/>
      <w:lvlText w:val=""/>
      <w:lvlJc w:val="left"/>
      <w:pPr>
        <w:ind w:left="6899" w:hanging="360"/>
      </w:pPr>
      <w:rPr>
        <w:rFonts w:ascii="Wingdings" w:hAnsi="Wingdings" w:hint="default"/>
      </w:rPr>
    </w:lvl>
  </w:abstractNum>
  <w:abstractNum w:abstractNumId="7">
    <w:nsid w:val="389742F8"/>
    <w:multiLevelType w:val="hybridMultilevel"/>
    <w:tmpl w:val="37566764"/>
    <w:lvl w:ilvl="0" w:tplc="1C090001">
      <w:start w:val="1"/>
      <w:numFmt w:val="bullet"/>
      <w:pStyle w:val="Indent14p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BB710A"/>
    <w:multiLevelType w:val="hybridMultilevel"/>
    <w:tmpl w:val="A0B2612C"/>
    <w:lvl w:ilvl="0" w:tplc="F71208E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37C38E7"/>
    <w:multiLevelType w:val="hybridMultilevel"/>
    <w:tmpl w:val="94E0E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79741EC"/>
    <w:multiLevelType w:val="hybridMultilevel"/>
    <w:tmpl w:val="801E9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7A8205F"/>
    <w:multiLevelType w:val="hybridMultilevel"/>
    <w:tmpl w:val="357072C6"/>
    <w:lvl w:ilvl="0" w:tplc="C77A46D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8A86B42"/>
    <w:multiLevelType w:val="hybridMultilevel"/>
    <w:tmpl w:val="26EC9D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5385E80"/>
    <w:multiLevelType w:val="hybridMultilevel"/>
    <w:tmpl w:val="25F473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6DEF3442"/>
    <w:multiLevelType w:val="hybridMultilevel"/>
    <w:tmpl w:val="173A6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00647F"/>
    <w:multiLevelType w:val="multilevel"/>
    <w:tmpl w:val="78C240CA"/>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7C5637F4"/>
    <w:multiLevelType w:val="hybridMultilevel"/>
    <w:tmpl w:val="A4B68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C9E7D9A"/>
    <w:multiLevelType w:val="hybridMultilevel"/>
    <w:tmpl w:val="A0CEA99C"/>
    <w:lvl w:ilvl="0" w:tplc="C77A46D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FA35972"/>
    <w:multiLevelType w:val="hybridMultilevel"/>
    <w:tmpl w:val="8870C69E"/>
    <w:lvl w:ilvl="0" w:tplc="CD3041E6">
      <w:start w:val="4"/>
      <w:numFmt w:val="bullet"/>
      <w:lvlText w:val="-"/>
      <w:lvlJc w:val="left"/>
      <w:pPr>
        <w:ind w:left="1080" w:hanging="360"/>
      </w:pPr>
      <w:rPr>
        <w:rFonts w:ascii="Arial" w:eastAsia="Times New Roman" w:hAnsi="Arial" w:cs="Arial" w:hint="default"/>
        <w:b w:val="0"/>
        <w:sz w:val="22"/>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5"/>
  </w:num>
  <w:num w:numId="4">
    <w:abstractNumId w:val="2"/>
  </w:num>
  <w:num w:numId="5">
    <w:abstractNumId w:val="14"/>
  </w:num>
  <w:num w:numId="6">
    <w:abstractNumId w:val="5"/>
  </w:num>
  <w:num w:numId="7">
    <w:abstractNumId w:val="18"/>
  </w:num>
  <w:num w:numId="8">
    <w:abstractNumId w:val="6"/>
  </w:num>
  <w:num w:numId="9">
    <w:abstractNumId w:val="9"/>
  </w:num>
  <w:num w:numId="10">
    <w:abstractNumId w:val="16"/>
  </w:num>
  <w:num w:numId="11">
    <w:abstractNumId w:val="0"/>
  </w:num>
  <w:num w:numId="12">
    <w:abstractNumId w:val="1"/>
  </w:num>
  <w:num w:numId="13">
    <w:abstractNumId w:val="11"/>
  </w:num>
  <w:num w:numId="14">
    <w:abstractNumId w:val="17"/>
  </w:num>
  <w:num w:numId="15">
    <w:abstractNumId w:val="3"/>
  </w:num>
  <w:num w:numId="16">
    <w:abstractNumId w:val="4"/>
  </w:num>
  <w:num w:numId="17">
    <w:abstractNumId w:val="13"/>
  </w:num>
  <w:num w:numId="18">
    <w:abstractNumId w:val="12"/>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57C"/>
    <w:rsid w:val="0000362C"/>
    <w:rsid w:val="00003D14"/>
    <w:rsid w:val="000052B1"/>
    <w:rsid w:val="00005BD6"/>
    <w:rsid w:val="00007E5A"/>
    <w:rsid w:val="000133FD"/>
    <w:rsid w:val="00013562"/>
    <w:rsid w:val="00013AF2"/>
    <w:rsid w:val="0001418E"/>
    <w:rsid w:val="000152A1"/>
    <w:rsid w:val="00015D46"/>
    <w:rsid w:val="00020CA8"/>
    <w:rsid w:val="00022F55"/>
    <w:rsid w:val="000242DE"/>
    <w:rsid w:val="00025A7C"/>
    <w:rsid w:val="00026940"/>
    <w:rsid w:val="00027AA9"/>
    <w:rsid w:val="00027C16"/>
    <w:rsid w:val="00030379"/>
    <w:rsid w:val="000305BA"/>
    <w:rsid w:val="00031993"/>
    <w:rsid w:val="00031AFA"/>
    <w:rsid w:val="000320C4"/>
    <w:rsid w:val="00032991"/>
    <w:rsid w:val="0003411D"/>
    <w:rsid w:val="00034784"/>
    <w:rsid w:val="00035308"/>
    <w:rsid w:val="0003791D"/>
    <w:rsid w:val="00042E47"/>
    <w:rsid w:val="000431B4"/>
    <w:rsid w:val="00047687"/>
    <w:rsid w:val="000519E1"/>
    <w:rsid w:val="000521B4"/>
    <w:rsid w:val="00053C23"/>
    <w:rsid w:val="00054D3E"/>
    <w:rsid w:val="00056394"/>
    <w:rsid w:val="0005699E"/>
    <w:rsid w:val="00056CBB"/>
    <w:rsid w:val="0006036A"/>
    <w:rsid w:val="00061B7D"/>
    <w:rsid w:val="00061F39"/>
    <w:rsid w:val="00062303"/>
    <w:rsid w:val="00062B5C"/>
    <w:rsid w:val="00062EA9"/>
    <w:rsid w:val="0006586D"/>
    <w:rsid w:val="000672B1"/>
    <w:rsid w:val="00071CE0"/>
    <w:rsid w:val="000726CD"/>
    <w:rsid w:val="000732FA"/>
    <w:rsid w:val="00074A04"/>
    <w:rsid w:val="00075477"/>
    <w:rsid w:val="000758A0"/>
    <w:rsid w:val="000768F8"/>
    <w:rsid w:val="00080209"/>
    <w:rsid w:val="000805CC"/>
    <w:rsid w:val="000810A9"/>
    <w:rsid w:val="000811CE"/>
    <w:rsid w:val="000812A3"/>
    <w:rsid w:val="00081B63"/>
    <w:rsid w:val="00082314"/>
    <w:rsid w:val="00083090"/>
    <w:rsid w:val="00083DE3"/>
    <w:rsid w:val="0008417B"/>
    <w:rsid w:val="00084A56"/>
    <w:rsid w:val="00085592"/>
    <w:rsid w:val="00085E90"/>
    <w:rsid w:val="00086300"/>
    <w:rsid w:val="00086B10"/>
    <w:rsid w:val="00086B9B"/>
    <w:rsid w:val="00087A0B"/>
    <w:rsid w:val="00087C01"/>
    <w:rsid w:val="00090B21"/>
    <w:rsid w:val="00091BDE"/>
    <w:rsid w:val="00091D04"/>
    <w:rsid w:val="00093203"/>
    <w:rsid w:val="000937C5"/>
    <w:rsid w:val="00097E59"/>
    <w:rsid w:val="000A07C1"/>
    <w:rsid w:val="000A33B6"/>
    <w:rsid w:val="000A3EEE"/>
    <w:rsid w:val="000A40DC"/>
    <w:rsid w:val="000A6A8E"/>
    <w:rsid w:val="000A6D32"/>
    <w:rsid w:val="000B0EA1"/>
    <w:rsid w:val="000B45E8"/>
    <w:rsid w:val="000B6613"/>
    <w:rsid w:val="000B7E21"/>
    <w:rsid w:val="000C0D42"/>
    <w:rsid w:val="000C24F2"/>
    <w:rsid w:val="000C5655"/>
    <w:rsid w:val="000C6E02"/>
    <w:rsid w:val="000C737F"/>
    <w:rsid w:val="000C799A"/>
    <w:rsid w:val="000D10A8"/>
    <w:rsid w:val="000D1401"/>
    <w:rsid w:val="000E379D"/>
    <w:rsid w:val="000E53CF"/>
    <w:rsid w:val="000E6101"/>
    <w:rsid w:val="000E796D"/>
    <w:rsid w:val="000E7A8C"/>
    <w:rsid w:val="000E7F42"/>
    <w:rsid w:val="000F2BCF"/>
    <w:rsid w:val="000F3FAA"/>
    <w:rsid w:val="000F4E66"/>
    <w:rsid w:val="000F5057"/>
    <w:rsid w:val="001003B2"/>
    <w:rsid w:val="00102CDE"/>
    <w:rsid w:val="00103423"/>
    <w:rsid w:val="001067A9"/>
    <w:rsid w:val="00106F14"/>
    <w:rsid w:val="00110A23"/>
    <w:rsid w:val="00112065"/>
    <w:rsid w:val="00112399"/>
    <w:rsid w:val="00114935"/>
    <w:rsid w:val="00114BAA"/>
    <w:rsid w:val="00114E48"/>
    <w:rsid w:val="001155C4"/>
    <w:rsid w:val="0011708A"/>
    <w:rsid w:val="0012053E"/>
    <w:rsid w:val="00121610"/>
    <w:rsid w:val="001216A8"/>
    <w:rsid w:val="00121901"/>
    <w:rsid w:val="00123691"/>
    <w:rsid w:val="00123E9E"/>
    <w:rsid w:val="0012496A"/>
    <w:rsid w:val="0012570D"/>
    <w:rsid w:val="0012705D"/>
    <w:rsid w:val="001309FF"/>
    <w:rsid w:val="00130FA9"/>
    <w:rsid w:val="001358FE"/>
    <w:rsid w:val="0013673A"/>
    <w:rsid w:val="00136751"/>
    <w:rsid w:val="00136A4B"/>
    <w:rsid w:val="00136D10"/>
    <w:rsid w:val="001409B8"/>
    <w:rsid w:val="00140E29"/>
    <w:rsid w:val="001415CD"/>
    <w:rsid w:val="001455DE"/>
    <w:rsid w:val="001464B7"/>
    <w:rsid w:val="0015107F"/>
    <w:rsid w:val="00153DAB"/>
    <w:rsid w:val="0015491D"/>
    <w:rsid w:val="00156E69"/>
    <w:rsid w:val="0016153D"/>
    <w:rsid w:val="001641FA"/>
    <w:rsid w:val="00165008"/>
    <w:rsid w:val="00170B7A"/>
    <w:rsid w:val="00171422"/>
    <w:rsid w:val="0017288A"/>
    <w:rsid w:val="00174C35"/>
    <w:rsid w:val="001759DB"/>
    <w:rsid w:val="00176810"/>
    <w:rsid w:val="00177166"/>
    <w:rsid w:val="0018025E"/>
    <w:rsid w:val="001846C1"/>
    <w:rsid w:val="001862F6"/>
    <w:rsid w:val="00186DAB"/>
    <w:rsid w:val="00190C1E"/>
    <w:rsid w:val="0019378A"/>
    <w:rsid w:val="00195CE7"/>
    <w:rsid w:val="001A16BA"/>
    <w:rsid w:val="001A32D3"/>
    <w:rsid w:val="001A39FE"/>
    <w:rsid w:val="001A3B08"/>
    <w:rsid w:val="001A57EB"/>
    <w:rsid w:val="001A621B"/>
    <w:rsid w:val="001A65C4"/>
    <w:rsid w:val="001B2B06"/>
    <w:rsid w:val="001B3F7D"/>
    <w:rsid w:val="001B50CF"/>
    <w:rsid w:val="001B7B20"/>
    <w:rsid w:val="001C1CD1"/>
    <w:rsid w:val="001C2F44"/>
    <w:rsid w:val="001C47F3"/>
    <w:rsid w:val="001C48B5"/>
    <w:rsid w:val="001D0210"/>
    <w:rsid w:val="001D07CD"/>
    <w:rsid w:val="001D16C5"/>
    <w:rsid w:val="001D32D3"/>
    <w:rsid w:val="001D3320"/>
    <w:rsid w:val="001D39A7"/>
    <w:rsid w:val="001D42A3"/>
    <w:rsid w:val="001D42F2"/>
    <w:rsid w:val="001D47D6"/>
    <w:rsid w:val="001D6FC6"/>
    <w:rsid w:val="001D7230"/>
    <w:rsid w:val="001D729B"/>
    <w:rsid w:val="001E05B7"/>
    <w:rsid w:val="001E0D24"/>
    <w:rsid w:val="001E21C4"/>
    <w:rsid w:val="001E347D"/>
    <w:rsid w:val="001E3907"/>
    <w:rsid w:val="001E401B"/>
    <w:rsid w:val="001E6176"/>
    <w:rsid w:val="001E6CF3"/>
    <w:rsid w:val="001F1FB2"/>
    <w:rsid w:val="001F5CCA"/>
    <w:rsid w:val="001F5E90"/>
    <w:rsid w:val="001F6D27"/>
    <w:rsid w:val="00200868"/>
    <w:rsid w:val="00201304"/>
    <w:rsid w:val="00203398"/>
    <w:rsid w:val="002044BE"/>
    <w:rsid w:val="00204ACC"/>
    <w:rsid w:val="00206C03"/>
    <w:rsid w:val="0021335A"/>
    <w:rsid w:val="00214CF0"/>
    <w:rsid w:val="00215B41"/>
    <w:rsid w:val="00215CC9"/>
    <w:rsid w:val="00216843"/>
    <w:rsid w:val="00216980"/>
    <w:rsid w:val="00220333"/>
    <w:rsid w:val="0022089B"/>
    <w:rsid w:val="00220E3C"/>
    <w:rsid w:val="002219E9"/>
    <w:rsid w:val="00221B04"/>
    <w:rsid w:val="002224A7"/>
    <w:rsid w:val="00224A49"/>
    <w:rsid w:val="0022541D"/>
    <w:rsid w:val="002257DE"/>
    <w:rsid w:val="0022587E"/>
    <w:rsid w:val="002268CD"/>
    <w:rsid w:val="002309F3"/>
    <w:rsid w:val="002318BC"/>
    <w:rsid w:val="00231DBE"/>
    <w:rsid w:val="0023208B"/>
    <w:rsid w:val="00235EA0"/>
    <w:rsid w:val="00236324"/>
    <w:rsid w:val="00245CF0"/>
    <w:rsid w:val="00247D1F"/>
    <w:rsid w:val="0025038D"/>
    <w:rsid w:val="002536AD"/>
    <w:rsid w:val="0025373A"/>
    <w:rsid w:val="00255F74"/>
    <w:rsid w:val="002565B4"/>
    <w:rsid w:val="00262A5D"/>
    <w:rsid w:val="00263470"/>
    <w:rsid w:val="002648D9"/>
    <w:rsid w:val="002659FD"/>
    <w:rsid w:val="002667B5"/>
    <w:rsid w:val="00267696"/>
    <w:rsid w:val="00270E04"/>
    <w:rsid w:val="00271E7E"/>
    <w:rsid w:val="0027325B"/>
    <w:rsid w:val="002736BD"/>
    <w:rsid w:val="002754DC"/>
    <w:rsid w:val="002825D5"/>
    <w:rsid w:val="002828A2"/>
    <w:rsid w:val="002836F3"/>
    <w:rsid w:val="00284629"/>
    <w:rsid w:val="00285642"/>
    <w:rsid w:val="002857FC"/>
    <w:rsid w:val="00290F2F"/>
    <w:rsid w:val="002919AD"/>
    <w:rsid w:val="0029312C"/>
    <w:rsid w:val="0029341B"/>
    <w:rsid w:val="00294609"/>
    <w:rsid w:val="002948C3"/>
    <w:rsid w:val="00296C27"/>
    <w:rsid w:val="00297C6D"/>
    <w:rsid w:val="002A1F1B"/>
    <w:rsid w:val="002A29F6"/>
    <w:rsid w:val="002A3944"/>
    <w:rsid w:val="002A3BCB"/>
    <w:rsid w:val="002A492C"/>
    <w:rsid w:val="002A5475"/>
    <w:rsid w:val="002A67CD"/>
    <w:rsid w:val="002A69D9"/>
    <w:rsid w:val="002B0B1A"/>
    <w:rsid w:val="002B18C6"/>
    <w:rsid w:val="002B1F4C"/>
    <w:rsid w:val="002B355D"/>
    <w:rsid w:val="002B7D6D"/>
    <w:rsid w:val="002C0DEC"/>
    <w:rsid w:val="002C10A4"/>
    <w:rsid w:val="002C2577"/>
    <w:rsid w:val="002C2B71"/>
    <w:rsid w:val="002C4193"/>
    <w:rsid w:val="002C52D3"/>
    <w:rsid w:val="002C5307"/>
    <w:rsid w:val="002C5571"/>
    <w:rsid w:val="002C7840"/>
    <w:rsid w:val="002D0DFC"/>
    <w:rsid w:val="002D171D"/>
    <w:rsid w:val="002D2EE4"/>
    <w:rsid w:val="002D4AB2"/>
    <w:rsid w:val="002D7856"/>
    <w:rsid w:val="002E029B"/>
    <w:rsid w:val="002E0DAF"/>
    <w:rsid w:val="002E6F8F"/>
    <w:rsid w:val="002F035F"/>
    <w:rsid w:val="002F17B8"/>
    <w:rsid w:val="002F2FA6"/>
    <w:rsid w:val="002F48AA"/>
    <w:rsid w:val="002F6294"/>
    <w:rsid w:val="0030034C"/>
    <w:rsid w:val="00301543"/>
    <w:rsid w:val="00302846"/>
    <w:rsid w:val="00302888"/>
    <w:rsid w:val="0030335D"/>
    <w:rsid w:val="00304949"/>
    <w:rsid w:val="00307B2E"/>
    <w:rsid w:val="00310B31"/>
    <w:rsid w:val="00315194"/>
    <w:rsid w:val="00316AEE"/>
    <w:rsid w:val="00316C67"/>
    <w:rsid w:val="00316CFE"/>
    <w:rsid w:val="00317B37"/>
    <w:rsid w:val="00317BB8"/>
    <w:rsid w:val="00321C92"/>
    <w:rsid w:val="00330496"/>
    <w:rsid w:val="00331CE6"/>
    <w:rsid w:val="003331D5"/>
    <w:rsid w:val="00333E2E"/>
    <w:rsid w:val="003371EF"/>
    <w:rsid w:val="00340239"/>
    <w:rsid w:val="00340332"/>
    <w:rsid w:val="00340BA6"/>
    <w:rsid w:val="00341763"/>
    <w:rsid w:val="00344B54"/>
    <w:rsid w:val="00345D7D"/>
    <w:rsid w:val="003511F5"/>
    <w:rsid w:val="003513D6"/>
    <w:rsid w:val="00352E4E"/>
    <w:rsid w:val="0035329B"/>
    <w:rsid w:val="00355118"/>
    <w:rsid w:val="003562CD"/>
    <w:rsid w:val="00363F4D"/>
    <w:rsid w:val="0036488D"/>
    <w:rsid w:val="00364FF6"/>
    <w:rsid w:val="00365029"/>
    <w:rsid w:val="003657A7"/>
    <w:rsid w:val="0036759F"/>
    <w:rsid w:val="0037036A"/>
    <w:rsid w:val="003715EC"/>
    <w:rsid w:val="003720B1"/>
    <w:rsid w:val="0037426D"/>
    <w:rsid w:val="003746B3"/>
    <w:rsid w:val="003749BC"/>
    <w:rsid w:val="00374DDA"/>
    <w:rsid w:val="0037584B"/>
    <w:rsid w:val="0038304F"/>
    <w:rsid w:val="00383C4E"/>
    <w:rsid w:val="003858EE"/>
    <w:rsid w:val="003869A3"/>
    <w:rsid w:val="00386D06"/>
    <w:rsid w:val="0038775B"/>
    <w:rsid w:val="00391B31"/>
    <w:rsid w:val="00391CBB"/>
    <w:rsid w:val="00392B03"/>
    <w:rsid w:val="00394719"/>
    <w:rsid w:val="003976C3"/>
    <w:rsid w:val="003A26BF"/>
    <w:rsid w:val="003A371E"/>
    <w:rsid w:val="003A60F3"/>
    <w:rsid w:val="003A7636"/>
    <w:rsid w:val="003B1D72"/>
    <w:rsid w:val="003C02A5"/>
    <w:rsid w:val="003C0377"/>
    <w:rsid w:val="003C0507"/>
    <w:rsid w:val="003C1666"/>
    <w:rsid w:val="003C2AA4"/>
    <w:rsid w:val="003C4065"/>
    <w:rsid w:val="003C6159"/>
    <w:rsid w:val="003C660A"/>
    <w:rsid w:val="003C6B09"/>
    <w:rsid w:val="003D12A8"/>
    <w:rsid w:val="003D1799"/>
    <w:rsid w:val="003D1ADB"/>
    <w:rsid w:val="003D4966"/>
    <w:rsid w:val="003D4E2E"/>
    <w:rsid w:val="003D5F2F"/>
    <w:rsid w:val="003D7128"/>
    <w:rsid w:val="003E0E20"/>
    <w:rsid w:val="003E1492"/>
    <w:rsid w:val="003E39EB"/>
    <w:rsid w:val="003E4028"/>
    <w:rsid w:val="003E4918"/>
    <w:rsid w:val="003E4A51"/>
    <w:rsid w:val="003E62C4"/>
    <w:rsid w:val="003E6D21"/>
    <w:rsid w:val="003E7D4D"/>
    <w:rsid w:val="003F176B"/>
    <w:rsid w:val="003F19EF"/>
    <w:rsid w:val="003F1A6D"/>
    <w:rsid w:val="003F2CBE"/>
    <w:rsid w:val="003F5F17"/>
    <w:rsid w:val="003F6C80"/>
    <w:rsid w:val="003F7F18"/>
    <w:rsid w:val="0040077D"/>
    <w:rsid w:val="0040222F"/>
    <w:rsid w:val="00402465"/>
    <w:rsid w:val="00403209"/>
    <w:rsid w:val="0040459F"/>
    <w:rsid w:val="00406909"/>
    <w:rsid w:val="00406CB8"/>
    <w:rsid w:val="004076EB"/>
    <w:rsid w:val="004100F2"/>
    <w:rsid w:val="004104BC"/>
    <w:rsid w:val="00414148"/>
    <w:rsid w:val="00414CF4"/>
    <w:rsid w:val="0041561B"/>
    <w:rsid w:val="0042040C"/>
    <w:rsid w:val="00422EDA"/>
    <w:rsid w:val="0042306C"/>
    <w:rsid w:val="00425FE5"/>
    <w:rsid w:val="004268C0"/>
    <w:rsid w:val="004273FE"/>
    <w:rsid w:val="00433467"/>
    <w:rsid w:val="004336D7"/>
    <w:rsid w:val="00434402"/>
    <w:rsid w:val="004347C4"/>
    <w:rsid w:val="004375FB"/>
    <w:rsid w:val="00437B64"/>
    <w:rsid w:val="0044178D"/>
    <w:rsid w:val="00443133"/>
    <w:rsid w:val="00447D94"/>
    <w:rsid w:val="00450E39"/>
    <w:rsid w:val="0045433E"/>
    <w:rsid w:val="004544D9"/>
    <w:rsid w:val="00456808"/>
    <w:rsid w:val="004574A2"/>
    <w:rsid w:val="00462226"/>
    <w:rsid w:val="00462C5F"/>
    <w:rsid w:val="00463C6F"/>
    <w:rsid w:val="004646CC"/>
    <w:rsid w:val="0046578B"/>
    <w:rsid w:val="00465C78"/>
    <w:rsid w:val="0047174B"/>
    <w:rsid w:val="00471D24"/>
    <w:rsid w:val="00472635"/>
    <w:rsid w:val="004735C4"/>
    <w:rsid w:val="00474B66"/>
    <w:rsid w:val="004765AD"/>
    <w:rsid w:val="00477357"/>
    <w:rsid w:val="00477C18"/>
    <w:rsid w:val="00477C9B"/>
    <w:rsid w:val="00483EA2"/>
    <w:rsid w:val="0048693C"/>
    <w:rsid w:val="004907D8"/>
    <w:rsid w:val="0049238B"/>
    <w:rsid w:val="00492941"/>
    <w:rsid w:val="00492A79"/>
    <w:rsid w:val="00495312"/>
    <w:rsid w:val="00495361"/>
    <w:rsid w:val="00496ECD"/>
    <w:rsid w:val="00496F32"/>
    <w:rsid w:val="004A3FF4"/>
    <w:rsid w:val="004A50BC"/>
    <w:rsid w:val="004A78BB"/>
    <w:rsid w:val="004A7997"/>
    <w:rsid w:val="004B3394"/>
    <w:rsid w:val="004B3FB4"/>
    <w:rsid w:val="004B4506"/>
    <w:rsid w:val="004B5F30"/>
    <w:rsid w:val="004B6D99"/>
    <w:rsid w:val="004C2DE9"/>
    <w:rsid w:val="004C4728"/>
    <w:rsid w:val="004C7E64"/>
    <w:rsid w:val="004D1018"/>
    <w:rsid w:val="004D1333"/>
    <w:rsid w:val="004D1796"/>
    <w:rsid w:val="004D3434"/>
    <w:rsid w:val="004D41B5"/>
    <w:rsid w:val="004D5DCA"/>
    <w:rsid w:val="004E042A"/>
    <w:rsid w:val="004E1EF2"/>
    <w:rsid w:val="004E2578"/>
    <w:rsid w:val="004E4B09"/>
    <w:rsid w:val="004E7608"/>
    <w:rsid w:val="004E783A"/>
    <w:rsid w:val="004F10EC"/>
    <w:rsid w:val="004F14D9"/>
    <w:rsid w:val="004F4ED2"/>
    <w:rsid w:val="004F5427"/>
    <w:rsid w:val="004F58A7"/>
    <w:rsid w:val="004F6C5A"/>
    <w:rsid w:val="004F7400"/>
    <w:rsid w:val="004F7AF1"/>
    <w:rsid w:val="004F7C57"/>
    <w:rsid w:val="0050001C"/>
    <w:rsid w:val="0050021F"/>
    <w:rsid w:val="00501C8E"/>
    <w:rsid w:val="0050578D"/>
    <w:rsid w:val="00506147"/>
    <w:rsid w:val="005061B5"/>
    <w:rsid w:val="0051120D"/>
    <w:rsid w:val="00512726"/>
    <w:rsid w:val="0051348D"/>
    <w:rsid w:val="00514EAE"/>
    <w:rsid w:val="00523CA7"/>
    <w:rsid w:val="005277E5"/>
    <w:rsid w:val="00527C9B"/>
    <w:rsid w:val="00527DE5"/>
    <w:rsid w:val="00531D81"/>
    <w:rsid w:val="0053228F"/>
    <w:rsid w:val="005340CE"/>
    <w:rsid w:val="00535E1C"/>
    <w:rsid w:val="00536193"/>
    <w:rsid w:val="005364CD"/>
    <w:rsid w:val="00536DA9"/>
    <w:rsid w:val="0053712B"/>
    <w:rsid w:val="005411A8"/>
    <w:rsid w:val="0054147F"/>
    <w:rsid w:val="00541C96"/>
    <w:rsid w:val="00543131"/>
    <w:rsid w:val="005456A5"/>
    <w:rsid w:val="00545F61"/>
    <w:rsid w:val="005506A0"/>
    <w:rsid w:val="0055173D"/>
    <w:rsid w:val="00552883"/>
    <w:rsid w:val="00552E58"/>
    <w:rsid w:val="0055536D"/>
    <w:rsid w:val="0055635F"/>
    <w:rsid w:val="00556C1C"/>
    <w:rsid w:val="00557CD4"/>
    <w:rsid w:val="005608FB"/>
    <w:rsid w:val="0056249C"/>
    <w:rsid w:val="00562CB1"/>
    <w:rsid w:val="0056333B"/>
    <w:rsid w:val="005659EE"/>
    <w:rsid w:val="005664BD"/>
    <w:rsid w:val="0056742E"/>
    <w:rsid w:val="005676C0"/>
    <w:rsid w:val="005677F4"/>
    <w:rsid w:val="00567AD3"/>
    <w:rsid w:val="005702D8"/>
    <w:rsid w:val="005713AA"/>
    <w:rsid w:val="00572361"/>
    <w:rsid w:val="0057391B"/>
    <w:rsid w:val="005750A7"/>
    <w:rsid w:val="005753FF"/>
    <w:rsid w:val="005805C1"/>
    <w:rsid w:val="005830CF"/>
    <w:rsid w:val="00583C1A"/>
    <w:rsid w:val="0058557B"/>
    <w:rsid w:val="00585B8E"/>
    <w:rsid w:val="00590287"/>
    <w:rsid w:val="00592E18"/>
    <w:rsid w:val="005948D6"/>
    <w:rsid w:val="00597479"/>
    <w:rsid w:val="00597CFD"/>
    <w:rsid w:val="005A389E"/>
    <w:rsid w:val="005A66D7"/>
    <w:rsid w:val="005A74E2"/>
    <w:rsid w:val="005B1E9E"/>
    <w:rsid w:val="005B55FB"/>
    <w:rsid w:val="005B5EB6"/>
    <w:rsid w:val="005C1CAB"/>
    <w:rsid w:val="005C4DAF"/>
    <w:rsid w:val="005C55B9"/>
    <w:rsid w:val="005C7286"/>
    <w:rsid w:val="005C72C8"/>
    <w:rsid w:val="005C7434"/>
    <w:rsid w:val="005C784C"/>
    <w:rsid w:val="005D15F4"/>
    <w:rsid w:val="005D4543"/>
    <w:rsid w:val="005D4BAF"/>
    <w:rsid w:val="005D51D6"/>
    <w:rsid w:val="005D5374"/>
    <w:rsid w:val="005D5DE4"/>
    <w:rsid w:val="005D6A6D"/>
    <w:rsid w:val="005E0F38"/>
    <w:rsid w:val="005E251B"/>
    <w:rsid w:val="005E44E8"/>
    <w:rsid w:val="005E6366"/>
    <w:rsid w:val="005E6E0E"/>
    <w:rsid w:val="005E716C"/>
    <w:rsid w:val="005E7B01"/>
    <w:rsid w:val="005F0306"/>
    <w:rsid w:val="005F39FB"/>
    <w:rsid w:val="005F3E02"/>
    <w:rsid w:val="005F43A3"/>
    <w:rsid w:val="005F67F2"/>
    <w:rsid w:val="005F713F"/>
    <w:rsid w:val="005F79EE"/>
    <w:rsid w:val="005F7DD9"/>
    <w:rsid w:val="006000E5"/>
    <w:rsid w:val="00602DFF"/>
    <w:rsid w:val="0060301C"/>
    <w:rsid w:val="0060322B"/>
    <w:rsid w:val="00603464"/>
    <w:rsid w:val="006038F3"/>
    <w:rsid w:val="006100D1"/>
    <w:rsid w:val="006115D8"/>
    <w:rsid w:val="00612638"/>
    <w:rsid w:val="0061394F"/>
    <w:rsid w:val="006168E1"/>
    <w:rsid w:val="00616BBE"/>
    <w:rsid w:val="00617AE8"/>
    <w:rsid w:val="0062202C"/>
    <w:rsid w:val="00622369"/>
    <w:rsid w:val="00622981"/>
    <w:rsid w:val="0062361C"/>
    <w:rsid w:val="0062462A"/>
    <w:rsid w:val="006278B6"/>
    <w:rsid w:val="00630344"/>
    <w:rsid w:val="00630C91"/>
    <w:rsid w:val="0063155B"/>
    <w:rsid w:val="00632ADD"/>
    <w:rsid w:val="00632BF1"/>
    <w:rsid w:val="00633703"/>
    <w:rsid w:val="006345AB"/>
    <w:rsid w:val="006346C9"/>
    <w:rsid w:val="00634EBD"/>
    <w:rsid w:val="006369C3"/>
    <w:rsid w:val="00637EEE"/>
    <w:rsid w:val="00640788"/>
    <w:rsid w:val="006419BC"/>
    <w:rsid w:val="00643DAB"/>
    <w:rsid w:val="0064786B"/>
    <w:rsid w:val="00650BCD"/>
    <w:rsid w:val="00655AAA"/>
    <w:rsid w:val="006563B0"/>
    <w:rsid w:val="006563BF"/>
    <w:rsid w:val="00662A52"/>
    <w:rsid w:val="006649D1"/>
    <w:rsid w:val="00666874"/>
    <w:rsid w:val="00667647"/>
    <w:rsid w:val="00667FBA"/>
    <w:rsid w:val="0067131B"/>
    <w:rsid w:val="00672164"/>
    <w:rsid w:val="006724C6"/>
    <w:rsid w:val="006726B7"/>
    <w:rsid w:val="00672BD0"/>
    <w:rsid w:val="00673608"/>
    <w:rsid w:val="00674196"/>
    <w:rsid w:val="00677581"/>
    <w:rsid w:val="006806E4"/>
    <w:rsid w:val="00681066"/>
    <w:rsid w:val="00681330"/>
    <w:rsid w:val="00682371"/>
    <w:rsid w:val="00683D01"/>
    <w:rsid w:val="00687882"/>
    <w:rsid w:val="006878D4"/>
    <w:rsid w:val="006900EB"/>
    <w:rsid w:val="00691D8E"/>
    <w:rsid w:val="0069380A"/>
    <w:rsid w:val="00696160"/>
    <w:rsid w:val="006A120D"/>
    <w:rsid w:val="006A2EA2"/>
    <w:rsid w:val="006A3D93"/>
    <w:rsid w:val="006A4ADA"/>
    <w:rsid w:val="006A65B8"/>
    <w:rsid w:val="006A74C1"/>
    <w:rsid w:val="006B107B"/>
    <w:rsid w:val="006B4EB1"/>
    <w:rsid w:val="006B636B"/>
    <w:rsid w:val="006B7197"/>
    <w:rsid w:val="006C22C5"/>
    <w:rsid w:val="006C263E"/>
    <w:rsid w:val="006C42D4"/>
    <w:rsid w:val="006C51A0"/>
    <w:rsid w:val="006C532C"/>
    <w:rsid w:val="006C68CA"/>
    <w:rsid w:val="006D1B8E"/>
    <w:rsid w:val="006D2DA6"/>
    <w:rsid w:val="006D3F97"/>
    <w:rsid w:val="006D555C"/>
    <w:rsid w:val="006D670A"/>
    <w:rsid w:val="006D792E"/>
    <w:rsid w:val="006E1D0D"/>
    <w:rsid w:val="006E26E1"/>
    <w:rsid w:val="006E2C95"/>
    <w:rsid w:val="006E43FA"/>
    <w:rsid w:val="006E495B"/>
    <w:rsid w:val="006E564C"/>
    <w:rsid w:val="006E57BD"/>
    <w:rsid w:val="006E580C"/>
    <w:rsid w:val="006E58DB"/>
    <w:rsid w:val="006E6004"/>
    <w:rsid w:val="006E66F0"/>
    <w:rsid w:val="006E6979"/>
    <w:rsid w:val="006F07DE"/>
    <w:rsid w:val="006F0BEA"/>
    <w:rsid w:val="006F2025"/>
    <w:rsid w:val="006F2505"/>
    <w:rsid w:val="006F2FB9"/>
    <w:rsid w:val="006F3D47"/>
    <w:rsid w:val="006F43A4"/>
    <w:rsid w:val="006F4AB4"/>
    <w:rsid w:val="006F5F17"/>
    <w:rsid w:val="006F65DC"/>
    <w:rsid w:val="006F67F1"/>
    <w:rsid w:val="00700C9F"/>
    <w:rsid w:val="00703BE2"/>
    <w:rsid w:val="00704176"/>
    <w:rsid w:val="007050CD"/>
    <w:rsid w:val="0070514A"/>
    <w:rsid w:val="00710D5B"/>
    <w:rsid w:val="0071106B"/>
    <w:rsid w:val="007134AB"/>
    <w:rsid w:val="007149AA"/>
    <w:rsid w:val="007152D2"/>
    <w:rsid w:val="007164F2"/>
    <w:rsid w:val="0072099D"/>
    <w:rsid w:val="00721684"/>
    <w:rsid w:val="007223A7"/>
    <w:rsid w:val="0072264C"/>
    <w:rsid w:val="00723358"/>
    <w:rsid w:val="00724414"/>
    <w:rsid w:val="00724860"/>
    <w:rsid w:val="007251DC"/>
    <w:rsid w:val="0072550E"/>
    <w:rsid w:val="007275FE"/>
    <w:rsid w:val="0072768C"/>
    <w:rsid w:val="007277B7"/>
    <w:rsid w:val="0073059C"/>
    <w:rsid w:val="007307E4"/>
    <w:rsid w:val="00730872"/>
    <w:rsid w:val="00730C1F"/>
    <w:rsid w:val="00731759"/>
    <w:rsid w:val="00732EFA"/>
    <w:rsid w:val="00734000"/>
    <w:rsid w:val="0073449C"/>
    <w:rsid w:val="007366E4"/>
    <w:rsid w:val="0073681A"/>
    <w:rsid w:val="00741235"/>
    <w:rsid w:val="0074126F"/>
    <w:rsid w:val="0074133F"/>
    <w:rsid w:val="00741E41"/>
    <w:rsid w:val="00742178"/>
    <w:rsid w:val="00742316"/>
    <w:rsid w:val="00743474"/>
    <w:rsid w:val="007470F4"/>
    <w:rsid w:val="00747682"/>
    <w:rsid w:val="00747FD7"/>
    <w:rsid w:val="00750420"/>
    <w:rsid w:val="00753BE9"/>
    <w:rsid w:val="00756015"/>
    <w:rsid w:val="00756E2C"/>
    <w:rsid w:val="007574B2"/>
    <w:rsid w:val="007576C6"/>
    <w:rsid w:val="007603D3"/>
    <w:rsid w:val="00760B05"/>
    <w:rsid w:val="00760E4E"/>
    <w:rsid w:val="007614CA"/>
    <w:rsid w:val="00761AA2"/>
    <w:rsid w:val="00763A6A"/>
    <w:rsid w:val="00763E76"/>
    <w:rsid w:val="00767986"/>
    <w:rsid w:val="0077021A"/>
    <w:rsid w:val="00770853"/>
    <w:rsid w:val="00771F07"/>
    <w:rsid w:val="007730E6"/>
    <w:rsid w:val="00773AB8"/>
    <w:rsid w:val="007769E7"/>
    <w:rsid w:val="00776DD1"/>
    <w:rsid w:val="00780990"/>
    <w:rsid w:val="00780FC8"/>
    <w:rsid w:val="0078473A"/>
    <w:rsid w:val="00784D78"/>
    <w:rsid w:val="00785285"/>
    <w:rsid w:val="007909AD"/>
    <w:rsid w:val="00790E27"/>
    <w:rsid w:val="00792CE5"/>
    <w:rsid w:val="00792D3B"/>
    <w:rsid w:val="0079354A"/>
    <w:rsid w:val="00794A47"/>
    <w:rsid w:val="007977B4"/>
    <w:rsid w:val="007A2609"/>
    <w:rsid w:val="007A2D09"/>
    <w:rsid w:val="007A32C4"/>
    <w:rsid w:val="007A6172"/>
    <w:rsid w:val="007A704D"/>
    <w:rsid w:val="007B211E"/>
    <w:rsid w:val="007B2B1C"/>
    <w:rsid w:val="007B54E9"/>
    <w:rsid w:val="007B569D"/>
    <w:rsid w:val="007C198B"/>
    <w:rsid w:val="007C1B8A"/>
    <w:rsid w:val="007C222C"/>
    <w:rsid w:val="007C4BAC"/>
    <w:rsid w:val="007C5EDF"/>
    <w:rsid w:val="007D07F2"/>
    <w:rsid w:val="007D09A7"/>
    <w:rsid w:val="007D4308"/>
    <w:rsid w:val="007D45D9"/>
    <w:rsid w:val="007D59DC"/>
    <w:rsid w:val="007D5E7C"/>
    <w:rsid w:val="007D5FA0"/>
    <w:rsid w:val="007D634F"/>
    <w:rsid w:val="007D679F"/>
    <w:rsid w:val="007D6A1B"/>
    <w:rsid w:val="007F216C"/>
    <w:rsid w:val="007F2EC7"/>
    <w:rsid w:val="007F3BE8"/>
    <w:rsid w:val="007F620D"/>
    <w:rsid w:val="007F721B"/>
    <w:rsid w:val="007F7EA4"/>
    <w:rsid w:val="008028D9"/>
    <w:rsid w:val="008041D0"/>
    <w:rsid w:val="0080438B"/>
    <w:rsid w:val="0080518C"/>
    <w:rsid w:val="00807495"/>
    <w:rsid w:val="00807ABC"/>
    <w:rsid w:val="00807CC8"/>
    <w:rsid w:val="00810FD9"/>
    <w:rsid w:val="008125D8"/>
    <w:rsid w:val="00814ED1"/>
    <w:rsid w:val="00815D59"/>
    <w:rsid w:val="008222C9"/>
    <w:rsid w:val="00823231"/>
    <w:rsid w:val="008234A8"/>
    <w:rsid w:val="008237BF"/>
    <w:rsid w:val="00827612"/>
    <w:rsid w:val="00830436"/>
    <w:rsid w:val="008312EA"/>
    <w:rsid w:val="00832865"/>
    <w:rsid w:val="00834752"/>
    <w:rsid w:val="00835630"/>
    <w:rsid w:val="008357C9"/>
    <w:rsid w:val="00836987"/>
    <w:rsid w:val="0083768C"/>
    <w:rsid w:val="008416A3"/>
    <w:rsid w:val="00842189"/>
    <w:rsid w:val="0084231D"/>
    <w:rsid w:val="00843172"/>
    <w:rsid w:val="00843CE2"/>
    <w:rsid w:val="008455A0"/>
    <w:rsid w:val="0084644A"/>
    <w:rsid w:val="00846C0B"/>
    <w:rsid w:val="008507AE"/>
    <w:rsid w:val="0085100A"/>
    <w:rsid w:val="008526E6"/>
    <w:rsid w:val="00852770"/>
    <w:rsid w:val="008548B9"/>
    <w:rsid w:val="00854AA1"/>
    <w:rsid w:val="00854BD8"/>
    <w:rsid w:val="0085617F"/>
    <w:rsid w:val="00857DFF"/>
    <w:rsid w:val="00861B44"/>
    <w:rsid w:val="0086230D"/>
    <w:rsid w:val="00867E53"/>
    <w:rsid w:val="00872633"/>
    <w:rsid w:val="00873633"/>
    <w:rsid w:val="008757B5"/>
    <w:rsid w:val="0087658B"/>
    <w:rsid w:val="00880176"/>
    <w:rsid w:val="00880A6D"/>
    <w:rsid w:val="0088290D"/>
    <w:rsid w:val="00882CE5"/>
    <w:rsid w:val="00883015"/>
    <w:rsid w:val="00885498"/>
    <w:rsid w:val="008871F3"/>
    <w:rsid w:val="00887B7B"/>
    <w:rsid w:val="00894D58"/>
    <w:rsid w:val="00897578"/>
    <w:rsid w:val="00897DCF"/>
    <w:rsid w:val="008A16A5"/>
    <w:rsid w:val="008A1CDF"/>
    <w:rsid w:val="008A214E"/>
    <w:rsid w:val="008A3260"/>
    <w:rsid w:val="008A3566"/>
    <w:rsid w:val="008A35CC"/>
    <w:rsid w:val="008A3C2B"/>
    <w:rsid w:val="008A5FBB"/>
    <w:rsid w:val="008A6708"/>
    <w:rsid w:val="008A7B50"/>
    <w:rsid w:val="008B0C28"/>
    <w:rsid w:val="008B6617"/>
    <w:rsid w:val="008B7008"/>
    <w:rsid w:val="008C182F"/>
    <w:rsid w:val="008C3323"/>
    <w:rsid w:val="008C582D"/>
    <w:rsid w:val="008C66A8"/>
    <w:rsid w:val="008C6C32"/>
    <w:rsid w:val="008D0AC8"/>
    <w:rsid w:val="008D246D"/>
    <w:rsid w:val="008D3340"/>
    <w:rsid w:val="008D5F0A"/>
    <w:rsid w:val="008D6F97"/>
    <w:rsid w:val="008E0D8E"/>
    <w:rsid w:val="008E32C0"/>
    <w:rsid w:val="008E6622"/>
    <w:rsid w:val="008E7723"/>
    <w:rsid w:val="008F03A8"/>
    <w:rsid w:val="008F560C"/>
    <w:rsid w:val="008F5919"/>
    <w:rsid w:val="008F6E32"/>
    <w:rsid w:val="008F734D"/>
    <w:rsid w:val="008F7CD2"/>
    <w:rsid w:val="0090164A"/>
    <w:rsid w:val="009041CD"/>
    <w:rsid w:val="00905372"/>
    <w:rsid w:val="00905514"/>
    <w:rsid w:val="0090755C"/>
    <w:rsid w:val="00912F38"/>
    <w:rsid w:val="0091476B"/>
    <w:rsid w:val="009157BD"/>
    <w:rsid w:val="00920B9C"/>
    <w:rsid w:val="00920C45"/>
    <w:rsid w:val="009215EC"/>
    <w:rsid w:val="009237BA"/>
    <w:rsid w:val="00923A86"/>
    <w:rsid w:val="00927386"/>
    <w:rsid w:val="00930302"/>
    <w:rsid w:val="00930D19"/>
    <w:rsid w:val="00930D64"/>
    <w:rsid w:val="00931EE8"/>
    <w:rsid w:val="0093236C"/>
    <w:rsid w:val="00936B64"/>
    <w:rsid w:val="009376B1"/>
    <w:rsid w:val="009377E1"/>
    <w:rsid w:val="00940538"/>
    <w:rsid w:val="00942090"/>
    <w:rsid w:val="00943656"/>
    <w:rsid w:val="009444A6"/>
    <w:rsid w:val="009452DE"/>
    <w:rsid w:val="0095053B"/>
    <w:rsid w:val="00951B2C"/>
    <w:rsid w:val="00953397"/>
    <w:rsid w:val="00953B61"/>
    <w:rsid w:val="009543C8"/>
    <w:rsid w:val="00956CC4"/>
    <w:rsid w:val="00956E42"/>
    <w:rsid w:val="0096005C"/>
    <w:rsid w:val="00960D0C"/>
    <w:rsid w:val="0096200F"/>
    <w:rsid w:val="009628C6"/>
    <w:rsid w:val="00963F94"/>
    <w:rsid w:val="00964804"/>
    <w:rsid w:val="009656E6"/>
    <w:rsid w:val="00966D4A"/>
    <w:rsid w:val="00966FA8"/>
    <w:rsid w:val="009678B3"/>
    <w:rsid w:val="009708A9"/>
    <w:rsid w:val="00972583"/>
    <w:rsid w:val="00972E6E"/>
    <w:rsid w:val="00973899"/>
    <w:rsid w:val="00973924"/>
    <w:rsid w:val="00974A30"/>
    <w:rsid w:val="009817FE"/>
    <w:rsid w:val="0098302A"/>
    <w:rsid w:val="00984ADD"/>
    <w:rsid w:val="00986148"/>
    <w:rsid w:val="00986570"/>
    <w:rsid w:val="00987B5A"/>
    <w:rsid w:val="0099019F"/>
    <w:rsid w:val="009919D8"/>
    <w:rsid w:val="00991E07"/>
    <w:rsid w:val="009928D5"/>
    <w:rsid w:val="00994288"/>
    <w:rsid w:val="00995ACF"/>
    <w:rsid w:val="009A0902"/>
    <w:rsid w:val="009A2270"/>
    <w:rsid w:val="009A426A"/>
    <w:rsid w:val="009B08C2"/>
    <w:rsid w:val="009B0AD0"/>
    <w:rsid w:val="009B20A2"/>
    <w:rsid w:val="009B3B30"/>
    <w:rsid w:val="009B478F"/>
    <w:rsid w:val="009B5C17"/>
    <w:rsid w:val="009B741F"/>
    <w:rsid w:val="009C065E"/>
    <w:rsid w:val="009C32F6"/>
    <w:rsid w:val="009C4A94"/>
    <w:rsid w:val="009C5155"/>
    <w:rsid w:val="009C55F9"/>
    <w:rsid w:val="009C65B4"/>
    <w:rsid w:val="009C7B66"/>
    <w:rsid w:val="009D1A3A"/>
    <w:rsid w:val="009D4D0C"/>
    <w:rsid w:val="009D5280"/>
    <w:rsid w:val="009D579B"/>
    <w:rsid w:val="009D6AE6"/>
    <w:rsid w:val="009E13FD"/>
    <w:rsid w:val="009E294C"/>
    <w:rsid w:val="009E3DCF"/>
    <w:rsid w:val="009E63D3"/>
    <w:rsid w:val="009E6F5F"/>
    <w:rsid w:val="009E7016"/>
    <w:rsid w:val="009F1FD2"/>
    <w:rsid w:val="009F24BB"/>
    <w:rsid w:val="009F3F20"/>
    <w:rsid w:val="009F4557"/>
    <w:rsid w:val="009F5246"/>
    <w:rsid w:val="009F65B2"/>
    <w:rsid w:val="00A01B26"/>
    <w:rsid w:val="00A03B4A"/>
    <w:rsid w:val="00A0549D"/>
    <w:rsid w:val="00A12CBB"/>
    <w:rsid w:val="00A13733"/>
    <w:rsid w:val="00A1376C"/>
    <w:rsid w:val="00A15759"/>
    <w:rsid w:val="00A2022C"/>
    <w:rsid w:val="00A2059C"/>
    <w:rsid w:val="00A208D0"/>
    <w:rsid w:val="00A229E2"/>
    <w:rsid w:val="00A23A7B"/>
    <w:rsid w:val="00A23D42"/>
    <w:rsid w:val="00A24A1E"/>
    <w:rsid w:val="00A251E9"/>
    <w:rsid w:val="00A26573"/>
    <w:rsid w:val="00A2699A"/>
    <w:rsid w:val="00A30EC7"/>
    <w:rsid w:val="00A3370C"/>
    <w:rsid w:val="00A34893"/>
    <w:rsid w:val="00A34CC0"/>
    <w:rsid w:val="00A350B1"/>
    <w:rsid w:val="00A350E8"/>
    <w:rsid w:val="00A3593C"/>
    <w:rsid w:val="00A3636C"/>
    <w:rsid w:val="00A41548"/>
    <w:rsid w:val="00A41F90"/>
    <w:rsid w:val="00A4219A"/>
    <w:rsid w:val="00A433EE"/>
    <w:rsid w:val="00A4361F"/>
    <w:rsid w:val="00A43A64"/>
    <w:rsid w:val="00A4498A"/>
    <w:rsid w:val="00A44E91"/>
    <w:rsid w:val="00A458CA"/>
    <w:rsid w:val="00A45D22"/>
    <w:rsid w:val="00A45F6E"/>
    <w:rsid w:val="00A51046"/>
    <w:rsid w:val="00A51453"/>
    <w:rsid w:val="00A51F11"/>
    <w:rsid w:val="00A53B90"/>
    <w:rsid w:val="00A53DED"/>
    <w:rsid w:val="00A5436D"/>
    <w:rsid w:val="00A55F16"/>
    <w:rsid w:val="00A603EC"/>
    <w:rsid w:val="00A61634"/>
    <w:rsid w:val="00A62A3A"/>
    <w:rsid w:val="00A64D62"/>
    <w:rsid w:val="00A64EE8"/>
    <w:rsid w:val="00A702F5"/>
    <w:rsid w:val="00A7109F"/>
    <w:rsid w:val="00A771C2"/>
    <w:rsid w:val="00A8009C"/>
    <w:rsid w:val="00A805D2"/>
    <w:rsid w:val="00A80989"/>
    <w:rsid w:val="00A819C6"/>
    <w:rsid w:val="00A90840"/>
    <w:rsid w:val="00A90F29"/>
    <w:rsid w:val="00A93C1D"/>
    <w:rsid w:val="00A95A0B"/>
    <w:rsid w:val="00A969A7"/>
    <w:rsid w:val="00A96F7A"/>
    <w:rsid w:val="00AA2225"/>
    <w:rsid w:val="00AA453C"/>
    <w:rsid w:val="00AA6781"/>
    <w:rsid w:val="00AA7A94"/>
    <w:rsid w:val="00AB0106"/>
    <w:rsid w:val="00AB1071"/>
    <w:rsid w:val="00AB33EA"/>
    <w:rsid w:val="00AB6068"/>
    <w:rsid w:val="00AB6825"/>
    <w:rsid w:val="00AB6D69"/>
    <w:rsid w:val="00AC15EC"/>
    <w:rsid w:val="00AC170D"/>
    <w:rsid w:val="00AC23BB"/>
    <w:rsid w:val="00AC662C"/>
    <w:rsid w:val="00AC7D28"/>
    <w:rsid w:val="00AD0536"/>
    <w:rsid w:val="00AD35DF"/>
    <w:rsid w:val="00AD4727"/>
    <w:rsid w:val="00AD4D7B"/>
    <w:rsid w:val="00AD5939"/>
    <w:rsid w:val="00AD602D"/>
    <w:rsid w:val="00AE0362"/>
    <w:rsid w:val="00AE351C"/>
    <w:rsid w:val="00AE3D4F"/>
    <w:rsid w:val="00AE3F3B"/>
    <w:rsid w:val="00AE41DD"/>
    <w:rsid w:val="00AE5557"/>
    <w:rsid w:val="00AE6083"/>
    <w:rsid w:val="00AE7359"/>
    <w:rsid w:val="00AF06A5"/>
    <w:rsid w:val="00AF1E7B"/>
    <w:rsid w:val="00AF2CBD"/>
    <w:rsid w:val="00AF7520"/>
    <w:rsid w:val="00B010B9"/>
    <w:rsid w:val="00B02874"/>
    <w:rsid w:val="00B02E07"/>
    <w:rsid w:val="00B03756"/>
    <w:rsid w:val="00B04AA5"/>
    <w:rsid w:val="00B050A3"/>
    <w:rsid w:val="00B066C8"/>
    <w:rsid w:val="00B075FD"/>
    <w:rsid w:val="00B07C4F"/>
    <w:rsid w:val="00B07D48"/>
    <w:rsid w:val="00B10A4C"/>
    <w:rsid w:val="00B132F8"/>
    <w:rsid w:val="00B13526"/>
    <w:rsid w:val="00B136F2"/>
    <w:rsid w:val="00B13D35"/>
    <w:rsid w:val="00B13DF7"/>
    <w:rsid w:val="00B2059F"/>
    <w:rsid w:val="00B21FC8"/>
    <w:rsid w:val="00B22496"/>
    <w:rsid w:val="00B227D8"/>
    <w:rsid w:val="00B23724"/>
    <w:rsid w:val="00B23854"/>
    <w:rsid w:val="00B25187"/>
    <w:rsid w:val="00B30B97"/>
    <w:rsid w:val="00B313F4"/>
    <w:rsid w:val="00B335C3"/>
    <w:rsid w:val="00B33B77"/>
    <w:rsid w:val="00B343D3"/>
    <w:rsid w:val="00B34AC5"/>
    <w:rsid w:val="00B34FC5"/>
    <w:rsid w:val="00B40660"/>
    <w:rsid w:val="00B4087D"/>
    <w:rsid w:val="00B409C7"/>
    <w:rsid w:val="00B433E0"/>
    <w:rsid w:val="00B46925"/>
    <w:rsid w:val="00B46B00"/>
    <w:rsid w:val="00B50CFD"/>
    <w:rsid w:val="00B51407"/>
    <w:rsid w:val="00B5363A"/>
    <w:rsid w:val="00B54A74"/>
    <w:rsid w:val="00B55541"/>
    <w:rsid w:val="00B6088B"/>
    <w:rsid w:val="00B619DF"/>
    <w:rsid w:val="00B641C6"/>
    <w:rsid w:val="00B64B04"/>
    <w:rsid w:val="00B65263"/>
    <w:rsid w:val="00B65834"/>
    <w:rsid w:val="00B6700B"/>
    <w:rsid w:val="00B671FB"/>
    <w:rsid w:val="00B67231"/>
    <w:rsid w:val="00B70813"/>
    <w:rsid w:val="00B70BAD"/>
    <w:rsid w:val="00B72409"/>
    <w:rsid w:val="00B73078"/>
    <w:rsid w:val="00B73110"/>
    <w:rsid w:val="00B73BE6"/>
    <w:rsid w:val="00B82DB6"/>
    <w:rsid w:val="00B83001"/>
    <w:rsid w:val="00B95E6E"/>
    <w:rsid w:val="00BA0FC4"/>
    <w:rsid w:val="00BA3347"/>
    <w:rsid w:val="00BA4809"/>
    <w:rsid w:val="00BA7517"/>
    <w:rsid w:val="00BB04C4"/>
    <w:rsid w:val="00BB0BFF"/>
    <w:rsid w:val="00BB10F4"/>
    <w:rsid w:val="00BB493B"/>
    <w:rsid w:val="00BB7F21"/>
    <w:rsid w:val="00BC2C23"/>
    <w:rsid w:val="00BC4A3F"/>
    <w:rsid w:val="00BD2ECF"/>
    <w:rsid w:val="00BD4800"/>
    <w:rsid w:val="00BD5B96"/>
    <w:rsid w:val="00BE0AEE"/>
    <w:rsid w:val="00BE1803"/>
    <w:rsid w:val="00BE218F"/>
    <w:rsid w:val="00BE281F"/>
    <w:rsid w:val="00BE3428"/>
    <w:rsid w:val="00BE7574"/>
    <w:rsid w:val="00BF1829"/>
    <w:rsid w:val="00BF18DF"/>
    <w:rsid w:val="00BF2762"/>
    <w:rsid w:val="00BF2846"/>
    <w:rsid w:val="00BF32BF"/>
    <w:rsid w:val="00BF404B"/>
    <w:rsid w:val="00BF4CE4"/>
    <w:rsid w:val="00BF5098"/>
    <w:rsid w:val="00BF63EB"/>
    <w:rsid w:val="00BF6D6D"/>
    <w:rsid w:val="00C00263"/>
    <w:rsid w:val="00C035E8"/>
    <w:rsid w:val="00C04C91"/>
    <w:rsid w:val="00C04F83"/>
    <w:rsid w:val="00C07657"/>
    <w:rsid w:val="00C07FAE"/>
    <w:rsid w:val="00C118C5"/>
    <w:rsid w:val="00C12D3A"/>
    <w:rsid w:val="00C135A7"/>
    <w:rsid w:val="00C15238"/>
    <w:rsid w:val="00C159F2"/>
    <w:rsid w:val="00C173ED"/>
    <w:rsid w:val="00C2035A"/>
    <w:rsid w:val="00C21583"/>
    <w:rsid w:val="00C215BB"/>
    <w:rsid w:val="00C22816"/>
    <w:rsid w:val="00C23DF1"/>
    <w:rsid w:val="00C23F8F"/>
    <w:rsid w:val="00C24E4B"/>
    <w:rsid w:val="00C27E50"/>
    <w:rsid w:val="00C305B5"/>
    <w:rsid w:val="00C31022"/>
    <w:rsid w:val="00C31954"/>
    <w:rsid w:val="00C3387D"/>
    <w:rsid w:val="00C3392E"/>
    <w:rsid w:val="00C36AE3"/>
    <w:rsid w:val="00C41246"/>
    <w:rsid w:val="00C43AA9"/>
    <w:rsid w:val="00C43ED5"/>
    <w:rsid w:val="00C45B00"/>
    <w:rsid w:val="00C46A0C"/>
    <w:rsid w:val="00C4769C"/>
    <w:rsid w:val="00C47A0B"/>
    <w:rsid w:val="00C47E7E"/>
    <w:rsid w:val="00C5031D"/>
    <w:rsid w:val="00C5118B"/>
    <w:rsid w:val="00C5204E"/>
    <w:rsid w:val="00C5365C"/>
    <w:rsid w:val="00C53663"/>
    <w:rsid w:val="00C54EA6"/>
    <w:rsid w:val="00C5765A"/>
    <w:rsid w:val="00C57ADD"/>
    <w:rsid w:val="00C57AF0"/>
    <w:rsid w:val="00C64801"/>
    <w:rsid w:val="00C650AF"/>
    <w:rsid w:val="00C6704D"/>
    <w:rsid w:val="00C75950"/>
    <w:rsid w:val="00C7680C"/>
    <w:rsid w:val="00C76C45"/>
    <w:rsid w:val="00C77ACA"/>
    <w:rsid w:val="00C8150E"/>
    <w:rsid w:val="00C81598"/>
    <w:rsid w:val="00C82F8C"/>
    <w:rsid w:val="00C8525C"/>
    <w:rsid w:val="00C85CA4"/>
    <w:rsid w:val="00C85EEE"/>
    <w:rsid w:val="00C86548"/>
    <w:rsid w:val="00C87381"/>
    <w:rsid w:val="00C90D75"/>
    <w:rsid w:val="00C94B63"/>
    <w:rsid w:val="00C95A9A"/>
    <w:rsid w:val="00C96F48"/>
    <w:rsid w:val="00CA0093"/>
    <w:rsid w:val="00CA30EA"/>
    <w:rsid w:val="00CA4FF4"/>
    <w:rsid w:val="00CA5032"/>
    <w:rsid w:val="00CA7992"/>
    <w:rsid w:val="00CB0061"/>
    <w:rsid w:val="00CB051C"/>
    <w:rsid w:val="00CB1232"/>
    <w:rsid w:val="00CB2C50"/>
    <w:rsid w:val="00CB308F"/>
    <w:rsid w:val="00CB46C2"/>
    <w:rsid w:val="00CC1D21"/>
    <w:rsid w:val="00CC46E1"/>
    <w:rsid w:val="00CC65BD"/>
    <w:rsid w:val="00CD1D42"/>
    <w:rsid w:val="00CD1E8C"/>
    <w:rsid w:val="00CD2117"/>
    <w:rsid w:val="00CD226D"/>
    <w:rsid w:val="00CD5F32"/>
    <w:rsid w:val="00CD7081"/>
    <w:rsid w:val="00CD7B18"/>
    <w:rsid w:val="00CE139B"/>
    <w:rsid w:val="00CE28A5"/>
    <w:rsid w:val="00CE3365"/>
    <w:rsid w:val="00CE5DA0"/>
    <w:rsid w:val="00CE7B4B"/>
    <w:rsid w:val="00CF1427"/>
    <w:rsid w:val="00CF2EE9"/>
    <w:rsid w:val="00CF5325"/>
    <w:rsid w:val="00CF5D76"/>
    <w:rsid w:val="00CF67A1"/>
    <w:rsid w:val="00CF68C6"/>
    <w:rsid w:val="00D010EF"/>
    <w:rsid w:val="00D02A51"/>
    <w:rsid w:val="00D03DE6"/>
    <w:rsid w:val="00D03FB9"/>
    <w:rsid w:val="00D04323"/>
    <w:rsid w:val="00D04407"/>
    <w:rsid w:val="00D05566"/>
    <w:rsid w:val="00D06792"/>
    <w:rsid w:val="00D07984"/>
    <w:rsid w:val="00D12ADA"/>
    <w:rsid w:val="00D1490A"/>
    <w:rsid w:val="00D15AC6"/>
    <w:rsid w:val="00D207F3"/>
    <w:rsid w:val="00D24FE5"/>
    <w:rsid w:val="00D30552"/>
    <w:rsid w:val="00D353C3"/>
    <w:rsid w:val="00D37A72"/>
    <w:rsid w:val="00D432ED"/>
    <w:rsid w:val="00D43D7A"/>
    <w:rsid w:val="00D43EDE"/>
    <w:rsid w:val="00D448D4"/>
    <w:rsid w:val="00D50515"/>
    <w:rsid w:val="00D509C5"/>
    <w:rsid w:val="00D50EA9"/>
    <w:rsid w:val="00D50FD7"/>
    <w:rsid w:val="00D5138D"/>
    <w:rsid w:val="00D526E0"/>
    <w:rsid w:val="00D53CC7"/>
    <w:rsid w:val="00D54211"/>
    <w:rsid w:val="00D566DA"/>
    <w:rsid w:val="00D57575"/>
    <w:rsid w:val="00D57ED4"/>
    <w:rsid w:val="00D631ED"/>
    <w:rsid w:val="00D637E7"/>
    <w:rsid w:val="00D63845"/>
    <w:rsid w:val="00D63CA7"/>
    <w:rsid w:val="00D66867"/>
    <w:rsid w:val="00D71AFB"/>
    <w:rsid w:val="00D71BDB"/>
    <w:rsid w:val="00D75DC8"/>
    <w:rsid w:val="00D773F8"/>
    <w:rsid w:val="00D828DF"/>
    <w:rsid w:val="00D840A2"/>
    <w:rsid w:val="00D85BB6"/>
    <w:rsid w:val="00D85E63"/>
    <w:rsid w:val="00D860CE"/>
    <w:rsid w:val="00D8613E"/>
    <w:rsid w:val="00D8646A"/>
    <w:rsid w:val="00D8757C"/>
    <w:rsid w:val="00D916BD"/>
    <w:rsid w:val="00D92C94"/>
    <w:rsid w:val="00D932F1"/>
    <w:rsid w:val="00D93790"/>
    <w:rsid w:val="00D95DC2"/>
    <w:rsid w:val="00D96BAC"/>
    <w:rsid w:val="00DA447C"/>
    <w:rsid w:val="00DA663C"/>
    <w:rsid w:val="00DA731C"/>
    <w:rsid w:val="00DA7F96"/>
    <w:rsid w:val="00DB0292"/>
    <w:rsid w:val="00DB7DAB"/>
    <w:rsid w:val="00DC0ED8"/>
    <w:rsid w:val="00DC1C18"/>
    <w:rsid w:val="00DC3D6C"/>
    <w:rsid w:val="00DC4878"/>
    <w:rsid w:val="00DC582E"/>
    <w:rsid w:val="00DC5E70"/>
    <w:rsid w:val="00DC7253"/>
    <w:rsid w:val="00DC7672"/>
    <w:rsid w:val="00DD101B"/>
    <w:rsid w:val="00DD224F"/>
    <w:rsid w:val="00DD2F78"/>
    <w:rsid w:val="00DD3EBF"/>
    <w:rsid w:val="00DD527D"/>
    <w:rsid w:val="00DD5E94"/>
    <w:rsid w:val="00DD6766"/>
    <w:rsid w:val="00DD6CF9"/>
    <w:rsid w:val="00DD7498"/>
    <w:rsid w:val="00DD7F8F"/>
    <w:rsid w:val="00DE01B4"/>
    <w:rsid w:val="00DE087A"/>
    <w:rsid w:val="00DE1010"/>
    <w:rsid w:val="00DE1312"/>
    <w:rsid w:val="00DE3D05"/>
    <w:rsid w:val="00DE4274"/>
    <w:rsid w:val="00DE4411"/>
    <w:rsid w:val="00DE5378"/>
    <w:rsid w:val="00DE59ED"/>
    <w:rsid w:val="00DE6011"/>
    <w:rsid w:val="00DE6EDB"/>
    <w:rsid w:val="00DF0D1F"/>
    <w:rsid w:val="00DF1E32"/>
    <w:rsid w:val="00DF1ED3"/>
    <w:rsid w:val="00DF1FF9"/>
    <w:rsid w:val="00DF2515"/>
    <w:rsid w:val="00DF3883"/>
    <w:rsid w:val="00DF4E15"/>
    <w:rsid w:val="00DF4EED"/>
    <w:rsid w:val="00DF4F53"/>
    <w:rsid w:val="00DF60EE"/>
    <w:rsid w:val="00E0334F"/>
    <w:rsid w:val="00E0368E"/>
    <w:rsid w:val="00E041CB"/>
    <w:rsid w:val="00E05EEA"/>
    <w:rsid w:val="00E066FD"/>
    <w:rsid w:val="00E07586"/>
    <w:rsid w:val="00E102EE"/>
    <w:rsid w:val="00E116C0"/>
    <w:rsid w:val="00E14BC3"/>
    <w:rsid w:val="00E15CA5"/>
    <w:rsid w:val="00E163F7"/>
    <w:rsid w:val="00E208F0"/>
    <w:rsid w:val="00E20952"/>
    <w:rsid w:val="00E21FA9"/>
    <w:rsid w:val="00E2247C"/>
    <w:rsid w:val="00E2542C"/>
    <w:rsid w:val="00E269C1"/>
    <w:rsid w:val="00E26EC4"/>
    <w:rsid w:val="00E31D99"/>
    <w:rsid w:val="00E32E54"/>
    <w:rsid w:val="00E3348E"/>
    <w:rsid w:val="00E34CA4"/>
    <w:rsid w:val="00E3658A"/>
    <w:rsid w:val="00E409D4"/>
    <w:rsid w:val="00E4294A"/>
    <w:rsid w:val="00E4314D"/>
    <w:rsid w:val="00E43B70"/>
    <w:rsid w:val="00E46EAD"/>
    <w:rsid w:val="00E47FE1"/>
    <w:rsid w:val="00E50061"/>
    <w:rsid w:val="00E52010"/>
    <w:rsid w:val="00E520D8"/>
    <w:rsid w:val="00E52374"/>
    <w:rsid w:val="00E56D10"/>
    <w:rsid w:val="00E573ED"/>
    <w:rsid w:val="00E57B95"/>
    <w:rsid w:val="00E60A55"/>
    <w:rsid w:val="00E60AFE"/>
    <w:rsid w:val="00E61119"/>
    <w:rsid w:val="00E62162"/>
    <w:rsid w:val="00E652E8"/>
    <w:rsid w:val="00E67357"/>
    <w:rsid w:val="00E70B63"/>
    <w:rsid w:val="00E71E67"/>
    <w:rsid w:val="00E72E9A"/>
    <w:rsid w:val="00E767A2"/>
    <w:rsid w:val="00E76917"/>
    <w:rsid w:val="00E81BFB"/>
    <w:rsid w:val="00E83B39"/>
    <w:rsid w:val="00E83B6F"/>
    <w:rsid w:val="00E863B7"/>
    <w:rsid w:val="00E90FC0"/>
    <w:rsid w:val="00E934CD"/>
    <w:rsid w:val="00E93902"/>
    <w:rsid w:val="00E977C3"/>
    <w:rsid w:val="00EA0934"/>
    <w:rsid w:val="00EA0D24"/>
    <w:rsid w:val="00EA1BE0"/>
    <w:rsid w:val="00EA2758"/>
    <w:rsid w:val="00EA3F85"/>
    <w:rsid w:val="00EA494B"/>
    <w:rsid w:val="00EA6100"/>
    <w:rsid w:val="00EA66F3"/>
    <w:rsid w:val="00EB37EF"/>
    <w:rsid w:val="00EB50FF"/>
    <w:rsid w:val="00EB660E"/>
    <w:rsid w:val="00EC288C"/>
    <w:rsid w:val="00EC4806"/>
    <w:rsid w:val="00EC7271"/>
    <w:rsid w:val="00ED04C0"/>
    <w:rsid w:val="00ED111A"/>
    <w:rsid w:val="00ED1B56"/>
    <w:rsid w:val="00ED7675"/>
    <w:rsid w:val="00ED7B2F"/>
    <w:rsid w:val="00EE2AF7"/>
    <w:rsid w:val="00EE31C5"/>
    <w:rsid w:val="00EE3402"/>
    <w:rsid w:val="00EE49B5"/>
    <w:rsid w:val="00EE55D7"/>
    <w:rsid w:val="00EF034C"/>
    <w:rsid w:val="00EF0DE2"/>
    <w:rsid w:val="00EF30CE"/>
    <w:rsid w:val="00EF5AEE"/>
    <w:rsid w:val="00F02FA5"/>
    <w:rsid w:val="00F032C9"/>
    <w:rsid w:val="00F035DD"/>
    <w:rsid w:val="00F04749"/>
    <w:rsid w:val="00F1128B"/>
    <w:rsid w:val="00F11878"/>
    <w:rsid w:val="00F120AD"/>
    <w:rsid w:val="00F126BE"/>
    <w:rsid w:val="00F12CA2"/>
    <w:rsid w:val="00F13857"/>
    <w:rsid w:val="00F15824"/>
    <w:rsid w:val="00F15F3C"/>
    <w:rsid w:val="00F1665C"/>
    <w:rsid w:val="00F207B4"/>
    <w:rsid w:val="00F2085C"/>
    <w:rsid w:val="00F20CF6"/>
    <w:rsid w:val="00F22504"/>
    <w:rsid w:val="00F22EF8"/>
    <w:rsid w:val="00F258D6"/>
    <w:rsid w:val="00F25B57"/>
    <w:rsid w:val="00F33A52"/>
    <w:rsid w:val="00F3564E"/>
    <w:rsid w:val="00F36743"/>
    <w:rsid w:val="00F36AA6"/>
    <w:rsid w:val="00F433F0"/>
    <w:rsid w:val="00F435F2"/>
    <w:rsid w:val="00F45274"/>
    <w:rsid w:val="00F45E82"/>
    <w:rsid w:val="00F46FC1"/>
    <w:rsid w:val="00F500A1"/>
    <w:rsid w:val="00F52857"/>
    <w:rsid w:val="00F55A9B"/>
    <w:rsid w:val="00F55C3F"/>
    <w:rsid w:val="00F5624D"/>
    <w:rsid w:val="00F56CAA"/>
    <w:rsid w:val="00F6042C"/>
    <w:rsid w:val="00F619DC"/>
    <w:rsid w:val="00F64013"/>
    <w:rsid w:val="00F70030"/>
    <w:rsid w:val="00F706AF"/>
    <w:rsid w:val="00F72A39"/>
    <w:rsid w:val="00F73025"/>
    <w:rsid w:val="00F753EE"/>
    <w:rsid w:val="00F76814"/>
    <w:rsid w:val="00F80669"/>
    <w:rsid w:val="00F80DE3"/>
    <w:rsid w:val="00F81054"/>
    <w:rsid w:val="00F817BB"/>
    <w:rsid w:val="00F828BC"/>
    <w:rsid w:val="00F8299B"/>
    <w:rsid w:val="00F838DE"/>
    <w:rsid w:val="00F83D89"/>
    <w:rsid w:val="00F84392"/>
    <w:rsid w:val="00F84C23"/>
    <w:rsid w:val="00F85870"/>
    <w:rsid w:val="00F85FF1"/>
    <w:rsid w:val="00F86023"/>
    <w:rsid w:val="00F87618"/>
    <w:rsid w:val="00F876EE"/>
    <w:rsid w:val="00F877C6"/>
    <w:rsid w:val="00F90DF3"/>
    <w:rsid w:val="00F916C2"/>
    <w:rsid w:val="00F94136"/>
    <w:rsid w:val="00F95E5A"/>
    <w:rsid w:val="00F962BE"/>
    <w:rsid w:val="00FA442B"/>
    <w:rsid w:val="00FA4669"/>
    <w:rsid w:val="00FA4CD7"/>
    <w:rsid w:val="00FA7AD6"/>
    <w:rsid w:val="00FA7DC7"/>
    <w:rsid w:val="00FB0E0C"/>
    <w:rsid w:val="00FB3C78"/>
    <w:rsid w:val="00FB5232"/>
    <w:rsid w:val="00FC05EC"/>
    <w:rsid w:val="00FC0E87"/>
    <w:rsid w:val="00FC37DF"/>
    <w:rsid w:val="00FC3F5B"/>
    <w:rsid w:val="00FC66DA"/>
    <w:rsid w:val="00FC6945"/>
    <w:rsid w:val="00FD159F"/>
    <w:rsid w:val="00FD4A59"/>
    <w:rsid w:val="00FD7DEA"/>
    <w:rsid w:val="00FD7E4F"/>
    <w:rsid w:val="00FE0078"/>
    <w:rsid w:val="00FE1475"/>
    <w:rsid w:val="00FE275B"/>
    <w:rsid w:val="00FE276E"/>
    <w:rsid w:val="00FE3772"/>
    <w:rsid w:val="00FE516D"/>
    <w:rsid w:val="00FE53C0"/>
    <w:rsid w:val="00FE6226"/>
    <w:rsid w:val="00FE659B"/>
    <w:rsid w:val="00FE6F6B"/>
    <w:rsid w:val="00FE7436"/>
    <w:rsid w:val="00FF0B89"/>
    <w:rsid w:val="00FF0C97"/>
    <w:rsid w:val="00FF2261"/>
    <w:rsid w:val="00FF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C"/>
    <w:rPr>
      <w:sz w:val="24"/>
      <w:szCs w:val="24"/>
    </w:rPr>
  </w:style>
  <w:style w:type="paragraph" w:styleId="Heading1">
    <w:name w:val="heading 1"/>
    <w:basedOn w:val="Normal"/>
    <w:next w:val="Normal"/>
    <w:link w:val="Heading1Char"/>
    <w:qFormat/>
    <w:rsid w:val="00923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257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228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1D0210"/>
    <w:pPr>
      <w:keepNext/>
      <w:jc w:val="center"/>
      <w:outlineLvl w:val="3"/>
    </w:pPr>
    <w:rPr>
      <w:b/>
      <w:bCs/>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757C"/>
    <w:pPr>
      <w:tabs>
        <w:tab w:val="center" w:pos="4320"/>
        <w:tab w:val="right" w:pos="8640"/>
      </w:tabs>
    </w:pPr>
  </w:style>
  <w:style w:type="character" w:styleId="PageNumber">
    <w:name w:val="page number"/>
    <w:basedOn w:val="DefaultParagraphFont"/>
    <w:rsid w:val="00D8757C"/>
  </w:style>
  <w:style w:type="paragraph" w:styleId="BalloonText">
    <w:name w:val="Balloon Text"/>
    <w:basedOn w:val="Normal"/>
    <w:semiHidden/>
    <w:rsid w:val="002A3944"/>
    <w:rPr>
      <w:rFonts w:ascii="Tahoma" w:hAnsi="Tahoma" w:cs="Tahoma"/>
      <w:sz w:val="16"/>
      <w:szCs w:val="16"/>
    </w:rPr>
  </w:style>
  <w:style w:type="paragraph" w:styleId="Header">
    <w:name w:val="header"/>
    <w:basedOn w:val="Normal"/>
    <w:rsid w:val="001D0210"/>
    <w:pPr>
      <w:tabs>
        <w:tab w:val="center" w:pos="4320"/>
        <w:tab w:val="right" w:pos="8640"/>
      </w:tabs>
    </w:pPr>
    <w:rPr>
      <w:sz w:val="20"/>
      <w:szCs w:val="20"/>
      <w:lang w:val="en-GB"/>
    </w:rPr>
  </w:style>
  <w:style w:type="paragraph" w:styleId="BodyText">
    <w:name w:val="Body Text"/>
    <w:basedOn w:val="Normal"/>
    <w:rsid w:val="00195CE7"/>
    <w:pPr>
      <w:spacing w:after="120"/>
    </w:pPr>
  </w:style>
  <w:style w:type="paragraph" w:styleId="FootnoteText">
    <w:name w:val="footnote text"/>
    <w:aliases w:val="Footnote Text Char1,Footnote Text Char Char,fn Char,ft"/>
    <w:basedOn w:val="Normal"/>
    <w:link w:val="FootnoteTextChar"/>
    <w:uiPriority w:val="99"/>
    <w:rsid w:val="00643DAB"/>
    <w:rPr>
      <w:sz w:val="20"/>
      <w:szCs w:val="20"/>
    </w:rPr>
  </w:style>
  <w:style w:type="character" w:styleId="FootnoteReference">
    <w:name w:val="footnote reference"/>
    <w:aliases w:val="ftref"/>
    <w:uiPriority w:val="99"/>
    <w:rsid w:val="00643DAB"/>
    <w:rPr>
      <w:vertAlign w:val="superscript"/>
    </w:rPr>
  </w:style>
  <w:style w:type="character" w:customStyle="1" w:styleId="FootnoteTextChar">
    <w:name w:val="Footnote Text Char"/>
    <w:aliases w:val="Footnote Text Char1 Char,Footnote Text Char Char Char,fn Char Char,ft Char"/>
    <w:link w:val="FootnoteText"/>
    <w:uiPriority w:val="99"/>
    <w:locked/>
    <w:rsid w:val="00885498"/>
    <w:rPr>
      <w:lang w:val="en-US" w:eastAsia="en-US" w:bidi="ar-SA"/>
    </w:rPr>
  </w:style>
  <w:style w:type="paragraph" w:styleId="ListParagraph">
    <w:name w:val="List Paragraph"/>
    <w:basedOn w:val="Normal"/>
    <w:link w:val="ListParagraphChar"/>
    <w:uiPriority w:val="34"/>
    <w:qFormat/>
    <w:rsid w:val="00885498"/>
    <w:pPr>
      <w:spacing w:line="280" w:lineRule="exact"/>
      <w:ind w:left="720"/>
      <w:contextualSpacing/>
      <w:jc w:val="both"/>
    </w:pPr>
    <w:rPr>
      <w:rFonts w:ascii="Arial" w:hAnsi="Arial"/>
      <w:sz w:val="22"/>
      <w:szCs w:val="22"/>
      <w:lang w:val="en-ZA"/>
    </w:rPr>
  </w:style>
  <w:style w:type="character" w:customStyle="1" w:styleId="ListParagraphChar">
    <w:name w:val="List Paragraph Char"/>
    <w:link w:val="ListParagraph"/>
    <w:uiPriority w:val="34"/>
    <w:locked/>
    <w:rsid w:val="00885498"/>
    <w:rPr>
      <w:rFonts w:ascii="Arial" w:hAnsi="Arial"/>
      <w:sz w:val="22"/>
      <w:szCs w:val="22"/>
      <w:lang w:val="en-ZA" w:eastAsia="en-US" w:bidi="ar-SA"/>
    </w:rPr>
  </w:style>
  <w:style w:type="paragraph" w:customStyle="1" w:styleId="Indent14pt">
    <w:name w:val="Indent 14pt"/>
    <w:basedOn w:val="ListParagraph"/>
    <w:link w:val="Indent14ptChar"/>
    <w:uiPriority w:val="99"/>
    <w:rsid w:val="00E76917"/>
    <w:pPr>
      <w:numPr>
        <w:numId w:val="2"/>
      </w:numPr>
      <w:ind w:left="714" w:hanging="357"/>
    </w:pPr>
    <w:rPr>
      <w:rFonts w:cs="Arial"/>
    </w:rPr>
  </w:style>
  <w:style w:type="character" w:customStyle="1" w:styleId="Indent14ptChar">
    <w:name w:val="Indent 14pt Char"/>
    <w:link w:val="Indent14pt"/>
    <w:uiPriority w:val="99"/>
    <w:locked/>
    <w:rsid w:val="00E76917"/>
    <w:rPr>
      <w:rFonts w:ascii="Arial" w:hAnsi="Arial" w:cs="Arial"/>
      <w:sz w:val="22"/>
      <w:szCs w:val="22"/>
      <w:lang w:val="en-ZA"/>
    </w:rPr>
  </w:style>
  <w:style w:type="character" w:styleId="Emphasis">
    <w:name w:val="Emphasis"/>
    <w:uiPriority w:val="20"/>
    <w:qFormat/>
    <w:rsid w:val="002257DE"/>
    <w:rPr>
      <w:rFonts w:cs="Times New Roman"/>
      <w:b/>
    </w:rPr>
  </w:style>
  <w:style w:type="paragraph" w:styleId="Caption">
    <w:name w:val="caption"/>
    <w:basedOn w:val="Normal"/>
    <w:next w:val="Normal"/>
    <w:qFormat/>
    <w:rsid w:val="0012053E"/>
    <w:pPr>
      <w:spacing w:after="200"/>
      <w:jc w:val="both"/>
    </w:pPr>
    <w:rPr>
      <w:rFonts w:ascii="Arial" w:hAnsi="Arial"/>
      <w:b/>
      <w:bCs/>
      <w:color w:val="4F81BD"/>
      <w:sz w:val="18"/>
      <w:szCs w:val="18"/>
    </w:rPr>
  </w:style>
  <w:style w:type="character" w:styleId="CommentReference">
    <w:name w:val="annotation reference"/>
    <w:rsid w:val="009B08C2"/>
    <w:rPr>
      <w:sz w:val="16"/>
      <w:szCs w:val="16"/>
    </w:rPr>
  </w:style>
  <w:style w:type="paragraph" w:styleId="CommentText">
    <w:name w:val="annotation text"/>
    <w:basedOn w:val="Normal"/>
    <w:link w:val="CommentTextChar"/>
    <w:rsid w:val="009B08C2"/>
    <w:rPr>
      <w:sz w:val="20"/>
      <w:szCs w:val="20"/>
    </w:rPr>
  </w:style>
  <w:style w:type="character" w:customStyle="1" w:styleId="CommentTextChar">
    <w:name w:val="Comment Text Char"/>
    <w:link w:val="CommentText"/>
    <w:rsid w:val="009B08C2"/>
    <w:rPr>
      <w:lang w:val="en-US" w:eastAsia="en-US"/>
    </w:rPr>
  </w:style>
  <w:style w:type="paragraph" w:styleId="CommentSubject">
    <w:name w:val="annotation subject"/>
    <w:basedOn w:val="CommentText"/>
    <w:next w:val="CommentText"/>
    <w:link w:val="CommentSubjectChar"/>
    <w:rsid w:val="009B08C2"/>
    <w:rPr>
      <w:b/>
      <w:bCs/>
    </w:rPr>
  </w:style>
  <w:style w:type="character" w:customStyle="1" w:styleId="CommentSubjectChar">
    <w:name w:val="Comment Subject Char"/>
    <w:link w:val="CommentSubject"/>
    <w:rsid w:val="009B08C2"/>
    <w:rPr>
      <w:b/>
      <w:bCs/>
      <w:lang w:val="en-US" w:eastAsia="en-US"/>
    </w:rPr>
  </w:style>
  <w:style w:type="paragraph" w:styleId="Revision">
    <w:name w:val="Revision"/>
    <w:hidden/>
    <w:uiPriority w:val="99"/>
    <w:semiHidden/>
    <w:rsid w:val="009B08C2"/>
    <w:rPr>
      <w:sz w:val="24"/>
      <w:szCs w:val="24"/>
    </w:rPr>
  </w:style>
  <w:style w:type="paragraph" w:customStyle="1" w:styleId="Default">
    <w:name w:val="Default"/>
    <w:rsid w:val="00B65263"/>
    <w:pPr>
      <w:autoSpaceDE w:val="0"/>
      <w:autoSpaceDN w:val="0"/>
      <w:adjustRightInd w:val="0"/>
    </w:pPr>
    <w:rPr>
      <w:rFonts w:ascii="Arial" w:hAnsi="Arial" w:cs="Arial"/>
      <w:color w:val="000000"/>
      <w:sz w:val="24"/>
      <w:szCs w:val="24"/>
      <w:lang w:val="en-ZA" w:eastAsia="en-ZA"/>
    </w:rPr>
  </w:style>
  <w:style w:type="paragraph" w:styleId="NormalWeb">
    <w:name w:val="Normal (Web)"/>
    <w:basedOn w:val="Normal"/>
    <w:uiPriority w:val="99"/>
    <w:unhideWhenUsed/>
    <w:rsid w:val="00F1128B"/>
    <w:pPr>
      <w:spacing w:before="120" w:after="216"/>
    </w:pPr>
    <w:rPr>
      <w:lang w:val="en-ZA" w:eastAsia="en-ZA"/>
    </w:rPr>
  </w:style>
  <w:style w:type="paragraph" w:styleId="NoSpacing">
    <w:name w:val="No Spacing"/>
    <w:uiPriority w:val="1"/>
    <w:qFormat/>
    <w:rsid w:val="00815D59"/>
    <w:pPr>
      <w:jc w:val="both"/>
    </w:pPr>
    <w:rPr>
      <w:rFonts w:ascii="Arial" w:hAnsi="Arial"/>
      <w:sz w:val="22"/>
      <w:szCs w:val="24"/>
    </w:rPr>
  </w:style>
  <w:style w:type="paragraph" w:styleId="TOC4">
    <w:name w:val="toc 4"/>
    <w:basedOn w:val="Normal"/>
    <w:next w:val="Normal"/>
    <w:autoRedefine/>
    <w:uiPriority w:val="39"/>
    <w:rsid w:val="008416A3"/>
    <w:pPr>
      <w:tabs>
        <w:tab w:val="right" w:leader="dot" w:pos="9016"/>
      </w:tabs>
      <w:spacing w:before="120" w:after="100" w:line="280" w:lineRule="exact"/>
      <w:jc w:val="both"/>
    </w:pPr>
    <w:rPr>
      <w:rFonts w:ascii="Arial" w:hAnsi="Arial"/>
      <w:sz w:val="22"/>
    </w:rPr>
  </w:style>
  <w:style w:type="character" w:customStyle="1" w:styleId="Heading1Char">
    <w:name w:val="Heading 1 Char"/>
    <w:basedOn w:val="DefaultParagraphFont"/>
    <w:link w:val="Heading1"/>
    <w:rsid w:val="009237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53228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4"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7C"/>
    <w:rPr>
      <w:sz w:val="24"/>
      <w:szCs w:val="24"/>
    </w:rPr>
  </w:style>
  <w:style w:type="paragraph" w:styleId="Heading1">
    <w:name w:val="heading 1"/>
    <w:basedOn w:val="Normal"/>
    <w:next w:val="Normal"/>
    <w:link w:val="Heading1Char"/>
    <w:qFormat/>
    <w:rsid w:val="00923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257D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3228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1D0210"/>
    <w:pPr>
      <w:keepNext/>
      <w:jc w:val="center"/>
      <w:outlineLvl w:val="3"/>
    </w:pPr>
    <w:rPr>
      <w:b/>
      <w:bCs/>
      <w:i/>
      <w:i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8757C"/>
    <w:pPr>
      <w:tabs>
        <w:tab w:val="center" w:pos="4320"/>
        <w:tab w:val="right" w:pos="8640"/>
      </w:tabs>
    </w:pPr>
  </w:style>
  <w:style w:type="character" w:styleId="PageNumber">
    <w:name w:val="page number"/>
    <w:basedOn w:val="DefaultParagraphFont"/>
    <w:rsid w:val="00D8757C"/>
  </w:style>
  <w:style w:type="paragraph" w:styleId="BalloonText">
    <w:name w:val="Balloon Text"/>
    <w:basedOn w:val="Normal"/>
    <w:semiHidden/>
    <w:rsid w:val="002A3944"/>
    <w:rPr>
      <w:rFonts w:ascii="Tahoma" w:hAnsi="Tahoma" w:cs="Tahoma"/>
      <w:sz w:val="16"/>
      <w:szCs w:val="16"/>
    </w:rPr>
  </w:style>
  <w:style w:type="paragraph" w:styleId="Header">
    <w:name w:val="header"/>
    <w:basedOn w:val="Normal"/>
    <w:rsid w:val="001D0210"/>
    <w:pPr>
      <w:tabs>
        <w:tab w:val="center" w:pos="4320"/>
        <w:tab w:val="right" w:pos="8640"/>
      </w:tabs>
    </w:pPr>
    <w:rPr>
      <w:sz w:val="20"/>
      <w:szCs w:val="20"/>
      <w:lang w:val="en-GB"/>
    </w:rPr>
  </w:style>
  <w:style w:type="paragraph" w:styleId="BodyText">
    <w:name w:val="Body Text"/>
    <w:basedOn w:val="Normal"/>
    <w:rsid w:val="00195CE7"/>
    <w:pPr>
      <w:spacing w:after="120"/>
    </w:pPr>
  </w:style>
  <w:style w:type="paragraph" w:styleId="FootnoteText">
    <w:name w:val="footnote text"/>
    <w:aliases w:val="Footnote Text Char1,Footnote Text Char Char,fn Char,ft"/>
    <w:basedOn w:val="Normal"/>
    <w:link w:val="FootnoteTextChar"/>
    <w:uiPriority w:val="99"/>
    <w:rsid w:val="00643DAB"/>
    <w:rPr>
      <w:sz w:val="20"/>
      <w:szCs w:val="20"/>
    </w:rPr>
  </w:style>
  <w:style w:type="character" w:styleId="FootnoteReference">
    <w:name w:val="footnote reference"/>
    <w:aliases w:val="ftref"/>
    <w:uiPriority w:val="99"/>
    <w:rsid w:val="00643DAB"/>
    <w:rPr>
      <w:vertAlign w:val="superscript"/>
    </w:rPr>
  </w:style>
  <w:style w:type="character" w:customStyle="1" w:styleId="FootnoteTextChar">
    <w:name w:val="Footnote Text Char"/>
    <w:aliases w:val="Footnote Text Char1 Char,Footnote Text Char Char Char,fn Char Char,ft Char"/>
    <w:link w:val="FootnoteText"/>
    <w:uiPriority w:val="99"/>
    <w:locked/>
    <w:rsid w:val="00885498"/>
    <w:rPr>
      <w:lang w:val="en-US" w:eastAsia="en-US" w:bidi="ar-SA"/>
    </w:rPr>
  </w:style>
  <w:style w:type="paragraph" w:styleId="ListParagraph">
    <w:name w:val="List Paragraph"/>
    <w:basedOn w:val="Normal"/>
    <w:link w:val="ListParagraphChar"/>
    <w:uiPriority w:val="34"/>
    <w:qFormat/>
    <w:rsid w:val="00885498"/>
    <w:pPr>
      <w:spacing w:line="280" w:lineRule="exact"/>
      <w:ind w:left="720"/>
      <w:contextualSpacing/>
      <w:jc w:val="both"/>
    </w:pPr>
    <w:rPr>
      <w:rFonts w:ascii="Arial" w:hAnsi="Arial"/>
      <w:sz w:val="22"/>
      <w:szCs w:val="22"/>
      <w:lang w:val="en-ZA"/>
    </w:rPr>
  </w:style>
  <w:style w:type="character" w:customStyle="1" w:styleId="ListParagraphChar">
    <w:name w:val="List Paragraph Char"/>
    <w:link w:val="ListParagraph"/>
    <w:uiPriority w:val="34"/>
    <w:locked/>
    <w:rsid w:val="00885498"/>
    <w:rPr>
      <w:rFonts w:ascii="Arial" w:hAnsi="Arial"/>
      <w:sz w:val="22"/>
      <w:szCs w:val="22"/>
      <w:lang w:val="en-ZA" w:eastAsia="en-US" w:bidi="ar-SA"/>
    </w:rPr>
  </w:style>
  <w:style w:type="paragraph" w:customStyle="1" w:styleId="Indent14pt">
    <w:name w:val="Indent 14pt"/>
    <w:basedOn w:val="ListParagraph"/>
    <w:link w:val="Indent14ptChar"/>
    <w:uiPriority w:val="99"/>
    <w:rsid w:val="00E76917"/>
    <w:pPr>
      <w:numPr>
        <w:numId w:val="2"/>
      </w:numPr>
      <w:ind w:left="714" w:hanging="357"/>
    </w:pPr>
    <w:rPr>
      <w:rFonts w:cs="Arial"/>
    </w:rPr>
  </w:style>
  <w:style w:type="character" w:customStyle="1" w:styleId="Indent14ptChar">
    <w:name w:val="Indent 14pt Char"/>
    <w:link w:val="Indent14pt"/>
    <w:uiPriority w:val="99"/>
    <w:locked/>
    <w:rsid w:val="00E76917"/>
    <w:rPr>
      <w:rFonts w:ascii="Arial" w:hAnsi="Arial" w:cs="Arial"/>
      <w:sz w:val="22"/>
      <w:szCs w:val="22"/>
      <w:lang w:val="en-ZA"/>
    </w:rPr>
  </w:style>
  <w:style w:type="character" w:styleId="Emphasis">
    <w:name w:val="Emphasis"/>
    <w:uiPriority w:val="20"/>
    <w:qFormat/>
    <w:rsid w:val="002257DE"/>
    <w:rPr>
      <w:rFonts w:cs="Times New Roman"/>
      <w:b/>
    </w:rPr>
  </w:style>
  <w:style w:type="paragraph" w:styleId="Caption">
    <w:name w:val="caption"/>
    <w:basedOn w:val="Normal"/>
    <w:next w:val="Normal"/>
    <w:qFormat/>
    <w:rsid w:val="0012053E"/>
    <w:pPr>
      <w:spacing w:after="200"/>
      <w:jc w:val="both"/>
    </w:pPr>
    <w:rPr>
      <w:rFonts w:ascii="Arial" w:hAnsi="Arial"/>
      <w:b/>
      <w:bCs/>
      <w:color w:val="4F81BD"/>
      <w:sz w:val="18"/>
      <w:szCs w:val="18"/>
    </w:rPr>
  </w:style>
  <w:style w:type="character" w:styleId="CommentReference">
    <w:name w:val="annotation reference"/>
    <w:rsid w:val="009B08C2"/>
    <w:rPr>
      <w:sz w:val="16"/>
      <w:szCs w:val="16"/>
    </w:rPr>
  </w:style>
  <w:style w:type="paragraph" w:styleId="CommentText">
    <w:name w:val="annotation text"/>
    <w:basedOn w:val="Normal"/>
    <w:link w:val="CommentTextChar"/>
    <w:rsid w:val="009B08C2"/>
    <w:rPr>
      <w:sz w:val="20"/>
      <w:szCs w:val="20"/>
    </w:rPr>
  </w:style>
  <w:style w:type="character" w:customStyle="1" w:styleId="CommentTextChar">
    <w:name w:val="Comment Text Char"/>
    <w:link w:val="CommentText"/>
    <w:rsid w:val="009B08C2"/>
    <w:rPr>
      <w:lang w:val="en-US" w:eastAsia="en-US"/>
    </w:rPr>
  </w:style>
  <w:style w:type="paragraph" w:styleId="CommentSubject">
    <w:name w:val="annotation subject"/>
    <w:basedOn w:val="CommentText"/>
    <w:next w:val="CommentText"/>
    <w:link w:val="CommentSubjectChar"/>
    <w:rsid w:val="009B08C2"/>
    <w:rPr>
      <w:b/>
      <w:bCs/>
    </w:rPr>
  </w:style>
  <w:style w:type="character" w:customStyle="1" w:styleId="CommentSubjectChar">
    <w:name w:val="Comment Subject Char"/>
    <w:link w:val="CommentSubject"/>
    <w:rsid w:val="009B08C2"/>
    <w:rPr>
      <w:b/>
      <w:bCs/>
      <w:lang w:val="en-US" w:eastAsia="en-US"/>
    </w:rPr>
  </w:style>
  <w:style w:type="paragraph" w:styleId="Revision">
    <w:name w:val="Revision"/>
    <w:hidden/>
    <w:uiPriority w:val="99"/>
    <w:semiHidden/>
    <w:rsid w:val="009B08C2"/>
    <w:rPr>
      <w:sz w:val="24"/>
      <w:szCs w:val="24"/>
    </w:rPr>
  </w:style>
  <w:style w:type="paragraph" w:customStyle="1" w:styleId="Default">
    <w:name w:val="Default"/>
    <w:rsid w:val="00B65263"/>
    <w:pPr>
      <w:autoSpaceDE w:val="0"/>
      <w:autoSpaceDN w:val="0"/>
      <w:adjustRightInd w:val="0"/>
    </w:pPr>
    <w:rPr>
      <w:rFonts w:ascii="Arial" w:hAnsi="Arial" w:cs="Arial"/>
      <w:color w:val="000000"/>
      <w:sz w:val="24"/>
      <w:szCs w:val="24"/>
      <w:lang w:val="en-ZA" w:eastAsia="en-ZA"/>
    </w:rPr>
  </w:style>
  <w:style w:type="paragraph" w:styleId="NormalWeb">
    <w:name w:val="Normal (Web)"/>
    <w:basedOn w:val="Normal"/>
    <w:uiPriority w:val="99"/>
    <w:unhideWhenUsed/>
    <w:rsid w:val="00F1128B"/>
    <w:pPr>
      <w:spacing w:before="120" w:after="216"/>
    </w:pPr>
    <w:rPr>
      <w:lang w:val="en-ZA" w:eastAsia="en-ZA"/>
    </w:rPr>
  </w:style>
  <w:style w:type="paragraph" w:styleId="NoSpacing">
    <w:name w:val="No Spacing"/>
    <w:uiPriority w:val="1"/>
    <w:qFormat/>
    <w:rsid w:val="00815D59"/>
    <w:pPr>
      <w:jc w:val="both"/>
    </w:pPr>
    <w:rPr>
      <w:rFonts w:ascii="Arial" w:hAnsi="Arial"/>
      <w:sz w:val="22"/>
      <w:szCs w:val="24"/>
    </w:rPr>
  </w:style>
  <w:style w:type="paragraph" w:styleId="TOC4">
    <w:name w:val="toc 4"/>
    <w:basedOn w:val="Normal"/>
    <w:next w:val="Normal"/>
    <w:autoRedefine/>
    <w:uiPriority w:val="39"/>
    <w:rsid w:val="008416A3"/>
    <w:pPr>
      <w:tabs>
        <w:tab w:val="right" w:leader="dot" w:pos="9016"/>
      </w:tabs>
      <w:spacing w:before="120" w:after="100" w:line="280" w:lineRule="exact"/>
      <w:jc w:val="both"/>
    </w:pPr>
    <w:rPr>
      <w:rFonts w:ascii="Arial" w:hAnsi="Arial"/>
      <w:sz w:val="22"/>
    </w:rPr>
  </w:style>
  <w:style w:type="character" w:customStyle="1" w:styleId="Heading1Char">
    <w:name w:val="Heading 1 Char"/>
    <w:basedOn w:val="DefaultParagraphFont"/>
    <w:link w:val="Heading1"/>
    <w:rsid w:val="009237BA"/>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semiHidden/>
    <w:rsid w:val="0053228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07314">
      <w:bodyDiv w:val="1"/>
      <w:marLeft w:val="0"/>
      <w:marRight w:val="0"/>
      <w:marTop w:val="0"/>
      <w:marBottom w:val="0"/>
      <w:divBdr>
        <w:top w:val="none" w:sz="0" w:space="0" w:color="auto"/>
        <w:left w:val="none" w:sz="0" w:space="0" w:color="auto"/>
        <w:bottom w:val="none" w:sz="0" w:space="0" w:color="auto"/>
        <w:right w:val="none" w:sz="0" w:space="0" w:color="auto"/>
      </w:divBdr>
      <w:divsChild>
        <w:div w:id="4984476">
          <w:marLeft w:val="0"/>
          <w:marRight w:val="0"/>
          <w:marTop w:val="0"/>
          <w:marBottom w:val="0"/>
          <w:divBdr>
            <w:top w:val="none" w:sz="0" w:space="0" w:color="auto"/>
            <w:left w:val="none" w:sz="0" w:space="0" w:color="auto"/>
            <w:bottom w:val="none" w:sz="0" w:space="0" w:color="auto"/>
            <w:right w:val="none" w:sz="0" w:space="0" w:color="auto"/>
          </w:divBdr>
        </w:div>
        <w:div w:id="295722990">
          <w:marLeft w:val="0"/>
          <w:marRight w:val="0"/>
          <w:marTop w:val="0"/>
          <w:marBottom w:val="0"/>
          <w:divBdr>
            <w:top w:val="none" w:sz="0" w:space="0" w:color="auto"/>
            <w:left w:val="none" w:sz="0" w:space="0" w:color="auto"/>
            <w:bottom w:val="none" w:sz="0" w:space="0" w:color="auto"/>
            <w:right w:val="none" w:sz="0" w:space="0" w:color="auto"/>
          </w:divBdr>
        </w:div>
        <w:div w:id="392394003">
          <w:marLeft w:val="0"/>
          <w:marRight w:val="0"/>
          <w:marTop w:val="0"/>
          <w:marBottom w:val="0"/>
          <w:divBdr>
            <w:top w:val="none" w:sz="0" w:space="0" w:color="auto"/>
            <w:left w:val="none" w:sz="0" w:space="0" w:color="auto"/>
            <w:bottom w:val="none" w:sz="0" w:space="0" w:color="auto"/>
            <w:right w:val="none" w:sz="0" w:space="0" w:color="auto"/>
          </w:divBdr>
        </w:div>
        <w:div w:id="440146005">
          <w:marLeft w:val="0"/>
          <w:marRight w:val="0"/>
          <w:marTop w:val="0"/>
          <w:marBottom w:val="0"/>
          <w:divBdr>
            <w:top w:val="none" w:sz="0" w:space="0" w:color="auto"/>
            <w:left w:val="none" w:sz="0" w:space="0" w:color="auto"/>
            <w:bottom w:val="none" w:sz="0" w:space="0" w:color="auto"/>
            <w:right w:val="none" w:sz="0" w:space="0" w:color="auto"/>
          </w:divBdr>
        </w:div>
        <w:div w:id="971977598">
          <w:marLeft w:val="0"/>
          <w:marRight w:val="0"/>
          <w:marTop w:val="0"/>
          <w:marBottom w:val="0"/>
          <w:divBdr>
            <w:top w:val="none" w:sz="0" w:space="0" w:color="auto"/>
            <w:left w:val="none" w:sz="0" w:space="0" w:color="auto"/>
            <w:bottom w:val="none" w:sz="0" w:space="0" w:color="auto"/>
            <w:right w:val="none" w:sz="0" w:space="0" w:color="auto"/>
          </w:divBdr>
        </w:div>
        <w:div w:id="1066949180">
          <w:marLeft w:val="0"/>
          <w:marRight w:val="0"/>
          <w:marTop w:val="0"/>
          <w:marBottom w:val="0"/>
          <w:divBdr>
            <w:top w:val="none" w:sz="0" w:space="0" w:color="auto"/>
            <w:left w:val="none" w:sz="0" w:space="0" w:color="auto"/>
            <w:bottom w:val="none" w:sz="0" w:space="0" w:color="auto"/>
            <w:right w:val="none" w:sz="0" w:space="0" w:color="auto"/>
          </w:divBdr>
        </w:div>
        <w:div w:id="1205678104">
          <w:marLeft w:val="0"/>
          <w:marRight w:val="0"/>
          <w:marTop w:val="0"/>
          <w:marBottom w:val="0"/>
          <w:divBdr>
            <w:top w:val="none" w:sz="0" w:space="0" w:color="auto"/>
            <w:left w:val="none" w:sz="0" w:space="0" w:color="auto"/>
            <w:bottom w:val="none" w:sz="0" w:space="0" w:color="auto"/>
            <w:right w:val="none" w:sz="0" w:space="0" w:color="auto"/>
          </w:divBdr>
        </w:div>
        <w:div w:id="1290822224">
          <w:marLeft w:val="0"/>
          <w:marRight w:val="0"/>
          <w:marTop w:val="0"/>
          <w:marBottom w:val="0"/>
          <w:divBdr>
            <w:top w:val="none" w:sz="0" w:space="0" w:color="auto"/>
            <w:left w:val="none" w:sz="0" w:space="0" w:color="auto"/>
            <w:bottom w:val="none" w:sz="0" w:space="0" w:color="auto"/>
            <w:right w:val="none" w:sz="0" w:space="0" w:color="auto"/>
          </w:divBdr>
        </w:div>
        <w:div w:id="1427725612">
          <w:marLeft w:val="0"/>
          <w:marRight w:val="0"/>
          <w:marTop w:val="0"/>
          <w:marBottom w:val="0"/>
          <w:divBdr>
            <w:top w:val="none" w:sz="0" w:space="0" w:color="auto"/>
            <w:left w:val="none" w:sz="0" w:space="0" w:color="auto"/>
            <w:bottom w:val="none" w:sz="0" w:space="0" w:color="auto"/>
            <w:right w:val="none" w:sz="0" w:space="0" w:color="auto"/>
          </w:divBdr>
        </w:div>
        <w:div w:id="1431272572">
          <w:marLeft w:val="0"/>
          <w:marRight w:val="0"/>
          <w:marTop w:val="0"/>
          <w:marBottom w:val="0"/>
          <w:divBdr>
            <w:top w:val="none" w:sz="0" w:space="0" w:color="auto"/>
            <w:left w:val="none" w:sz="0" w:space="0" w:color="auto"/>
            <w:bottom w:val="none" w:sz="0" w:space="0" w:color="auto"/>
            <w:right w:val="none" w:sz="0" w:space="0" w:color="auto"/>
          </w:divBdr>
        </w:div>
        <w:div w:id="1648973742">
          <w:marLeft w:val="0"/>
          <w:marRight w:val="0"/>
          <w:marTop w:val="0"/>
          <w:marBottom w:val="0"/>
          <w:divBdr>
            <w:top w:val="none" w:sz="0" w:space="0" w:color="auto"/>
            <w:left w:val="none" w:sz="0" w:space="0" w:color="auto"/>
            <w:bottom w:val="none" w:sz="0" w:space="0" w:color="auto"/>
            <w:right w:val="none" w:sz="0" w:space="0" w:color="auto"/>
          </w:divBdr>
        </w:div>
        <w:div w:id="1661931597">
          <w:marLeft w:val="0"/>
          <w:marRight w:val="0"/>
          <w:marTop w:val="0"/>
          <w:marBottom w:val="0"/>
          <w:divBdr>
            <w:top w:val="none" w:sz="0" w:space="0" w:color="auto"/>
            <w:left w:val="none" w:sz="0" w:space="0" w:color="auto"/>
            <w:bottom w:val="none" w:sz="0" w:space="0" w:color="auto"/>
            <w:right w:val="none" w:sz="0" w:space="0" w:color="auto"/>
          </w:divBdr>
        </w:div>
        <w:div w:id="1676612968">
          <w:marLeft w:val="0"/>
          <w:marRight w:val="0"/>
          <w:marTop w:val="0"/>
          <w:marBottom w:val="0"/>
          <w:divBdr>
            <w:top w:val="none" w:sz="0" w:space="0" w:color="auto"/>
            <w:left w:val="none" w:sz="0" w:space="0" w:color="auto"/>
            <w:bottom w:val="none" w:sz="0" w:space="0" w:color="auto"/>
            <w:right w:val="none" w:sz="0" w:space="0" w:color="auto"/>
          </w:divBdr>
        </w:div>
        <w:div w:id="1807776923">
          <w:marLeft w:val="0"/>
          <w:marRight w:val="0"/>
          <w:marTop w:val="0"/>
          <w:marBottom w:val="0"/>
          <w:divBdr>
            <w:top w:val="none" w:sz="0" w:space="0" w:color="auto"/>
            <w:left w:val="none" w:sz="0" w:space="0" w:color="auto"/>
            <w:bottom w:val="none" w:sz="0" w:space="0" w:color="auto"/>
            <w:right w:val="none" w:sz="0" w:space="0" w:color="auto"/>
          </w:divBdr>
        </w:div>
        <w:div w:id="1876625218">
          <w:marLeft w:val="0"/>
          <w:marRight w:val="0"/>
          <w:marTop w:val="0"/>
          <w:marBottom w:val="0"/>
          <w:divBdr>
            <w:top w:val="none" w:sz="0" w:space="0" w:color="auto"/>
            <w:left w:val="none" w:sz="0" w:space="0" w:color="auto"/>
            <w:bottom w:val="none" w:sz="0" w:space="0" w:color="auto"/>
            <w:right w:val="none" w:sz="0" w:space="0" w:color="auto"/>
          </w:divBdr>
        </w:div>
        <w:div w:id="1975284068">
          <w:marLeft w:val="0"/>
          <w:marRight w:val="0"/>
          <w:marTop w:val="0"/>
          <w:marBottom w:val="0"/>
          <w:divBdr>
            <w:top w:val="none" w:sz="0" w:space="0" w:color="auto"/>
            <w:left w:val="none" w:sz="0" w:space="0" w:color="auto"/>
            <w:bottom w:val="none" w:sz="0" w:space="0" w:color="auto"/>
            <w:right w:val="none" w:sz="0" w:space="0" w:color="auto"/>
          </w:divBdr>
        </w:div>
        <w:div w:id="2040008709">
          <w:marLeft w:val="0"/>
          <w:marRight w:val="0"/>
          <w:marTop w:val="0"/>
          <w:marBottom w:val="0"/>
          <w:divBdr>
            <w:top w:val="none" w:sz="0" w:space="0" w:color="auto"/>
            <w:left w:val="none" w:sz="0" w:space="0" w:color="auto"/>
            <w:bottom w:val="none" w:sz="0" w:space="0" w:color="auto"/>
            <w:right w:val="none" w:sz="0" w:space="0" w:color="auto"/>
          </w:divBdr>
        </w:div>
        <w:div w:id="2110077542">
          <w:marLeft w:val="0"/>
          <w:marRight w:val="0"/>
          <w:marTop w:val="0"/>
          <w:marBottom w:val="0"/>
          <w:divBdr>
            <w:top w:val="none" w:sz="0" w:space="0" w:color="auto"/>
            <w:left w:val="none" w:sz="0" w:space="0" w:color="auto"/>
            <w:bottom w:val="none" w:sz="0" w:space="0" w:color="auto"/>
            <w:right w:val="none" w:sz="0" w:space="0" w:color="auto"/>
          </w:divBdr>
        </w:div>
      </w:divsChild>
    </w:div>
    <w:div w:id="210196136">
      <w:bodyDiv w:val="1"/>
      <w:marLeft w:val="0"/>
      <w:marRight w:val="0"/>
      <w:marTop w:val="0"/>
      <w:marBottom w:val="0"/>
      <w:divBdr>
        <w:top w:val="none" w:sz="0" w:space="0" w:color="auto"/>
        <w:left w:val="none" w:sz="0" w:space="0" w:color="auto"/>
        <w:bottom w:val="none" w:sz="0" w:space="0" w:color="auto"/>
        <w:right w:val="none" w:sz="0" w:space="0" w:color="auto"/>
      </w:divBdr>
    </w:div>
    <w:div w:id="497158972">
      <w:bodyDiv w:val="1"/>
      <w:marLeft w:val="0"/>
      <w:marRight w:val="0"/>
      <w:marTop w:val="0"/>
      <w:marBottom w:val="0"/>
      <w:divBdr>
        <w:top w:val="none" w:sz="0" w:space="0" w:color="auto"/>
        <w:left w:val="none" w:sz="0" w:space="0" w:color="auto"/>
        <w:bottom w:val="none" w:sz="0" w:space="0" w:color="auto"/>
        <w:right w:val="none" w:sz="0" w:space="0" w:color="auto"/>
      </w:divBdr>
      <w:divsChild>
        <w:div w:id="1342050499">
          <w:marLeft w:val="547"/>
          <w:marRight w:val="0"/>
          <w:marTop w:val="140"/>
          <w:marBottom w:val="0"/>
          <w:divBdr>
            <w:top w:val="none" w:sz="0" w:space="0" w:color="auto"/>
            <w:left w:val="none" w:sz="0" w:space="0" w:color="auto"/>
            <w:bottom w:val="none" w:sz="0" w:space="0" w:color="auto"/>
            <w:right w:val="none" w:sz="0" w:space="0" w:color="auto"/>
          </w:divBdr>
        </w:div>
      </w:divsChild>
    </w:div>
    <w:div w:id="514809871">
      <w:bodyDiv w:val="1"/>
      <w:marLeft w:val="0"/>
      <w:marRight w:val="0"/>
      <w:marTop w:val="0"/>
      <w:marBottom w:val="0"/>
      <w:divBdr>
        <w:top w:val="none" w:sz="0" w:space="0" w:color="auto"/>
        <w:left w:val="none" w:sz="0" w:space="0" w:color="auto"/>
        <w:bottom w:val="none" w:sz="0" w:space="0" w:color="auto"/>
        <w:right w:val="none" w:sz="0" w:space="0" w:color="auto"/>
      </w:divBdr>
    </w:div>
    <w:div w:id="658194426">
      <w:bodyDiv w:val="1"/>
      <w:marLeft w:val="0"/>
      <w:marRight w:val="0"/>
      <w:marTop w:val="0"/>
      <w:marBottom w:val="0"/>
      <w:divBdr>
        <w:top w:val="none" w:sz="0" w:space="0" w:color="auto"/>
        <w:left w:val="none" w:sz="0" w:space="0" w:color="auto"/>
        <w:bottom w:val="none" w:sz="0" w:space="0" w:color="auto"/>
        <w:right w:val="none" w:sz="0" w:space="0" w:color="auto"/>
      </w:divBdr>
    </w:div>
    <w:div w:id="849562427">
      <w:bodyDiv w:val="1"/>
      <w:marLeft w:val="0"/>
      <w:marRight w:val="0"/>
      <w:marTop w:val="0"/>
      <w:marBottom w:val="0"/>
      <w:divBdr>
        <w:top w:val="none" w:sz="0" w:space="0" w:color="auto"/>
        <w:left w:val="none" w:sz="0" w:space="0" w:color="auto"/>
        <w:bottom w:val="none" w:sz="0" w:space="0" w:color="auto"/>
        <w:right w:val="none" w:sz="0" w:space="0" w:color="auto"/>
      </w:divBdr>
    </w:div>
    <w:div w:id="865096602">
      <w:bodyDiv w:val="1"/>
      <w:marLeft w:val="0"/>
      <w:marRight w:val="0"/>
      <w:marTop w:val="0"/>
      <w:marBottom w:val="0"/>
      <w:divBdr>
        <w:top w:val="none" w:sz="0" w:space="0" w:color="auto"/>
        <w:left w:val="none" w:sz="0" w:space="0" w:color="auto"/>
        <w:bottom w:val="none" w:sz="0" w:space="0" w:color="auto"/>
        <w:right w:val="none" w:sz="0" w:space="0" w:color="auto"/>
      </w:divBdr>
      <w:divsChild>
        <w:div w:id="104738108">
          <w:marLeft w:val="0"/>
          <w:marRight w:val="0"/>
          <w:marTop w:val="0"/>
          <w:marBottom w:val="0"/>
          <w:divBdr>
            <w:top w:val="none" w:sz="0" w:space="0" w:color="auto"/>
            <w:left w:val="none" w:sz="0" w:space="0" w:color="auto"/>
            <w:bottom w:val="none" w:sz="0" w:space="0" w:color="auto"/>
            <w:right w:val="none" w:sz="0" w:space="0" w:color="auto"/>
          </w:divBdr>
        </w:div>
        <w:div w:id="202250101">
          <w:marLeft w:val="0"/>
          <w:marRight w:val="0"/>
          <w:marTop w:val="0"/>
          <w:marBottom w:val="0"/>
          <w:divBdr>
            <w:top w:val="none" w:sz="0" w:space="0" w:color="auto"/>
            <w:left w:val="none" w:sz="0" w:space="0" w:color="auto"/>
            <w:bottom w:val="none" w:sz="0" w:space="0" w:color="auto"/>
            <w:right w:val="none" w:sz="0" w:space="0" w:color="auto"/>
          </w:divBdr>
        </w:div>
        <w:div w:id="444270717">
          <w:marLeft w:val="0"/>
          <w:marRight w:val="0"/>
          <w:marTop w:val="0"/>
          <w:marBottom w:val="0"/>
          <w:divBdr>
            <w:top w:val="none" w:sz="0" w:space="0" w:color="auto"/>
            <w:left w:val="none" w:sz="0" w:space="0" w:color="auto"/>
            <w:bottom w:val="none" w:sz="0" w:space="0" w:color="auto"/>
            <w:right w:val="none" w:sz="0" w:space="0" w:color="auto"/>
          </w:divBdr>
        </w:div>
        <w:div w:id="478158555">
          <w:marLeft w:val="0"/>
          <w:marRight w:val="0"/>
          <w:marTop w:val="0"/>
          <w:marBottom w:val="0"/>
          <w:divBdr>
            <w:top w:val="none" w:sz="0" w:space="0" w:color="auto"/>
            <w:left w:val="none" w:sz="0" w:space="0" w:color="auto"/>
            <w:bottom w:val="none" w:sz="0" w:space="0" w:color="auto"/>
            <w:right w:val="none" w:sz="0" w:space="0" w:color="auto"/>
          </w:divBdr>
        </w:div>
        <w:div w:id="524638527">
          <w:marLeft w:val="0"/>
          <w:marRight w:val="0"/>
          <w:marTop w:val="0"/>
          <w:marBottom w:val="0"/>
          <w:divBdr>
            <w:top w:val="none" w:sz="0" w:space="0" w:color="auto"/>
            <w:left w:val="none" w:sz="0" w:space="0" w:color="auto"/>
            <w:bottom w:val="none" w:sz="0" w:space="0" w:color="auto"/>
            <w:right w:val="none" w:sz="0" w:space="0" w:color="auto"/>
          </w:divBdr>
        </w:div>
        <w:div w:id="680594598">
          <w:marLeft w:val="0"/>
          <w:marRight w:val="0"/>
          <w:marTop w:val="0"/>
          <w:marBottom w:val="0"/>
          <w:divBdr>
            <w:top w:val="none" w:sz="0" w:space="0" w:color="auto"/>
            <w:left w:val="none" w:sz="0" w:space="0" w:color="auto"/>
            <w:bottom w:val="none" w:sz="0" w:space="0" w:color="auto"/>
            <w:right w:val="none" w:sz="0" w:space="0" w:color="auto"/>
          </w:divBdr>
        </w:div>
        <w:div w:id="685861855">
          <w:marLeft w:val="0"/>
          <w:marRight w:val="0"/>
          <w:marTop w:val="0"/>
          <w:marBottom w:val="0"/>
          <w:divBdr>
            <w:top w:val="none" w:sz="0" w:space="0" w:color="auto"/>
            <w:left w:val="none" w:sz="0" w:space="0" w:color="auto"/>
            <w:bottom w:val="none" w:sz="0" w:space="0" w:color="auto"/>
            <w:right w:val="none" w:sz="0" w:space="0" w:color="auto"/>
          </w:divBdr>
        </w:div>
        <w:div w:id="748625327">
          <w:marLeft w:val="0"/>
          <w:marRight w:val="0"/>
          <w:marTop w:val="0"/>
          <w:marBottom w:val="0"/>
          <w:divBdr>
            <w:top w:val="none" w:sz="0" w:space="0" w:color="auto"/>
            <w:left w:val="none" w:sz="0" w:space="0" w:color="auto"/>
            <w:bottom w:val="none" w:sz="0" w:space="0" w:color="auto"/>
            <w:right w:val="none" w:sz="0" w:space="0" w:color="auto"/>
          </w:divBdr>
        </w:div>
        <w:div w:id="1034768891">
          <w:marLeft w:val="0"/>
          <w:marRight w:val="0"/>
          <w:marTop w:val="0"/>
          <w:marBottom w:val="0"/>
          <w:divBdr>
            <w:top w:val="none" w:sz="0" w:space="0" w:color="auto"/>
            <w:left w:val="none" w:sz="0" w:space="0" w:color="auto"/>
            <w:bottom w:val="none" w:sz="0" w:space="0" w:color="auto"/>
            <w:right w:val="none" w:sz="0" w:space="0" w:color="auto"/>
          </w:divBdr>
        </w:div>
        <w:div w:id="1232690482">
          <w:marLeft w:val="0"/>
          <w:marRight w:val="0"/>
          <w:marTop w:val="0"/>
          <w:marBottom w:val="0"/>
          <w:divBdr>
            <w:top w:val="none" w:sz="0" w:space="0" w:color="auto"/>
            <w:left w:val="none" w:sz="0" w:space="0" w:color="auto"/>
            <w:bottom w:val="none" w:sz="0" w:space="0" w:color="auto"/>
            <w:right w:val="none" w:sz="0" w:space="0" w:color="auto"/>
          </w:divBdr>
        </w:div>
        <w:div w:id="1308166191">
          <w:marLeft w:val="0"/>
          <w:marRight w:val="0"/>
          <w:marTop w:val="0"/>
          <w:marBottom w:val="0"/>
          <w:divBdr>
            <w:top w:val="none" w:sz="0" w:space="0" w:color="auto"/>
            <w:left w:val="none" w:sz="0" w:space="0" w:color="auto"/>
            <w:bottom w:val="none" w:sz="0" w:space="0" w:color="auto"/>
            <w:right w:val="none" w:sz="0" w:space="0" w:color="auto"/>
          </w:divBdr>
        </w:div>
        <w:div w:id="1354185216">
          <w:marLeft w:val="0"/>
          <w:marRight w:val="0"/>
          <w:marTop w:val="0"/>
          <w:marBottom w:val="0"/>
          <w:divBdr>
            <w:top w:val="none" w:sz="0" w:space="0" w:color="auto"/>
            <w:left w:val="none" w:sz="0" w:space="0" w:color="auto"/>
            <w:bottom w:val="none" w:sz="0" w:space="0" w:color="auto"/>
            <w:right w:val="none" w:sz="0" w:space="0" w:color="auto"/>
          </w:divBdr>
        </w:div>
        <w:div w:id="1469205720">
          <w:marLeft w:val="0"/>
          <w:marRight w:val="0"/>
          <w:marTop w:val="0"/>
          <w:marBottom w:val="0"/>
          <w:divBdr>
            <w:top w:val="none" w:sz="0" w:space="0" w:color="auto"/>
            <w:left w:val="none" w:sz="0" w:space="0" w:color="auto"/>
            <w:bottom w:val="none" w:sz="0" w:space="0" w:color="auto"/>
            <w:right w:val="none" w:sz="0" w:space="0" w:color="auto"/>
          </w:divBdr>
        </w:div>
        <w:div w:id="1504513982">
          <w:marLeft w:val="0"/>
          <w:marRight w:val="0"/>
          <w:marTop w:val="0"/>
          <w:marBottom w:val="0"/>
          <w:divBdr>
            <w:top w:val="none" w:sz="0" w:space="0" w:color="auto"/>
            <w:left w:val="none" w:sz="0" w:space="0" w:color="auto"/>
            <w:bottom w:val="none" w:sz="0" w:space="0" w:color="auto"/>
            <w:right w:val="none" w:sz="0" w:space="0" w:color="auto"/>
          </w:divBdr>
        </w:div>
        <w:div w:id="1511212352">
          <w:marLeft w:val="0"/>
          <w:marRight w:val="0"/>
          <w:marTop w:val="0"/>
          <w:marBottom w:val="0"/>
          <w:divBdr>
            <w:top w:val="none" w:sz="0" w:space="0" w:color="auto"/>
            <w:left w:val="none" w:sz="0" w:space="0" w:color="auto"/>
            <w:bottom w:val="none" w:sz="0" w:space="0" w:color="auto"/>
            <w:right w:val="none" w:sz="0" w:space="0" w:color="auto"/>
          </w:divBdr>
        </w:div>
        <w:div w:id="1683822080">
          <w:marLeft w:val="0"/>
          <w:marRight w:val="0"/>
          <w:marTop w:val="0"/>
          <w:marBottom w:val="0"/>
          <w:divBdr>
            <w:top w:val="none" w:sz="0" w:space="0" w:color="auto"/>
            <w:left w:val="none" w:sz="0" w:space="0" w:color="auto"/>
            <w:bottom w:val="none" w:sz="0" w:space="0" w:color="auto"/>
            <w:right w:val="none" w:sz="0" w:space="0" w:color="auto"/>
          </w:divBdr>
        </w:div>
        <w:div w:id="1735085174">
          <w:marLeft w:val="0"/>
          <w:marRight w:val="0"/>
          <w:marTop w:val="0"/>
          <w:marBottom w:val="0"/>
          <w:divBdr>
            <w:top w:val="none" w:sz="0" w:space="0" w:color="auto"/>
            <w:left w:val="none" w:sz="0" w:space="0" w:color="auto"/>
            <w:bottom w:val="none" w:sz="0" w:space="0" w:color="auto"/>
            <w:right w:val="none" w:sz="0" w:space="0" w:color="auto"/>
          </w:divBdr>
        </w:div>
        <w:div w:id="1754399716">
          <w:marLeft w:val="0"/>
          <w:marRight w:val="0"/>
          <w:marTop w:val="0"/>
          <w:marBottom w:val="0"/>
          <w:divBdr>
            <w:top w:val="none" w:sz="0" w:space="0" w:color="auto"/>
            <w:left w:val="none" w:sz="0" w:space="0" w:color="auto"/>
            <w:bottom w:val="none" w:sz="0" w:space="0" w:color="auto"/>
            <w:right w:val="none" w:sz="0" w:space="0" w:color="auto"/>
          </w:divBdr>
        </w:div>
        <w:div w:id="1789201892">
          <w:marLeft w:val="0"/>
          <w:marRight w:val="0"/>
          <w:marTop w:val="0"/>
          <w:marBottom w:val="0"/>
          <w:divBdr>
            <w:top w:val="none" w:sz="0" w:space="0" w:color="auto"/>
            <w:left w:val="none" w:sz="0" w:space="0" w:color="auto"/>
            <w:bottom w:val="none" w:sz="0" w:space="0" w:color="auto"/>
            <w:right w:val="none" w:sz="0" w:space="0" w:color="auto"/>
          </w:divBdr>
        </w:div>
        <w:div w:id="1921136021">
          <w:marLeft w:val="0"/>
          <w:marRight w:val="0"/>
          <w:marTop w:val="0"/>
          <w:marBottom w:val="0"/>
          <w:divBdr>
            <w:top w:val="none" w:sz="0" w:space="0" w:color="auto"/>
            <w:left w:val="none" w:sz="0" w:space="0" w:color="auto"/>
            <w:bottom w:val="none" w:sz="0" w:space="0" w:color="auto"/>
            <w:right w:val="none" w:sz="0" w:space="0" w:color="auto"/>
          </w:divBdr>
        </w:div>
        <w:div w:id="1932355677">
          <w:marLeft w:val="0"/>
          <w:marRight w:val="0"/>
          <w:marTop w:val="0"/>
          <w:marBottom w:val="0"/>
          <w:divBdr>
            <w:top w:val="none" w:sz="0" w:space="0" w:color="auto"/>
            <w:left w:val="none" w:sz="0" w:space="0" w:color="auto"/>
            <w:bottom w:val="none" w:sz="0" w:space="0" w:color="auto"/>
            <w:right w:val="none" w:sz="0" w:space="0" w:color="auto"/>
          </w:divBdr>
        </w:div>
        <w:div w:id="1954946130">
          <w:marLeft w:val="0"/>
          <w:marRight w:val="0"/>
          <w:marTop w:val="0"/>
          <w:marBottom w:val="0"/>
          <w:divBdr>
            <w:top w:val="none" w:sz="0" w:space="0" w:color="auto"/>
            <w:left w:val="none" w:sz="0" w:space="0" w:color="auto"/>
            <w:bottom w:val="none" w:sz="0" w:space="0" w:color="auto"/>
            <w:right w:val="none" w:sz="0" w:space="0" w:color="auto"/>
          </w:divBdr>
        </w:div>
        <w:div w:id="2124692366">
          <w:marLeft w:val="0"/>
          <w:marRight w:val="0"/>
          <w:marTop w:val="0"/>
          <w:marBottom w:val="0"/>
          <w:divBdr>
            <w:top w:val="none" w:sz="0" w:space="0" w:color="auto"/>
            <w:left w:val="none" w:sz="0" w:space="0" w:color="auto"/>
            <w:bottom w:val="none" w:sz="0" w:space="0" w:color="auto"/>
            <w:right w:val="none" w:sz="0" w:space="0" w:color="auto"/>
          </w:divBdr>
        </w:div>
      </w:divsChild>
    </w:div>
    <w:div w:id="1118917223">
      <w:bodyDiv w:val="1"/>
      <w:marLeft w:val="0"/>
      <w:marRight w:val="0"/>
      <w:marTop w:val="0"/>
      <w:marBottom w:val="0"/>
      <w:divBdr>
        <w:top w:val="none" w:sz="0" w:space="0" w:color="auto"/>
        <w:left w:val="none" w:sz="0" w:space="0" w:color="auto"/>
        <w:bottom w:val="none" w:sz="0" w:space="0" w:color="auto"/>
        <w:right w:val="none" w:sz="0" w:space="0" w:color="auto"/>
      </w:divBdr>
    </w:div>
    <w:div w:id="1241401776">
      <w:bodyDiv w:val="1"/>
      <w:marLeft w:val="0"/>
      <w:marRight w:val="0"/>
      <w:marTop w:val="0"/>
      <w:marBottom w:val="0"/>
      <w:divBdr>
        <w:top w:val="none" w:sz="0" w:space="0" w:color="auto"/>
        <w:left w:val="none" w:sz="0" w:space="0" w:color="auto"/>
        <w:bottom w:val="none" w:sz="0" w:space="0" w:color="auto"/>
        <w:right w:val="none" w:sz="0" w:space="0" w:color="auto"/>
      </w:divBdr>
    </w:div>
    <w:div w:id="1434283146">
      <w:bodyDiv w:val="1"/>
      <w:marLeft w:val="0"/>
      <w:marRight w:val="0"/>
      <w:marTop w:val="0"/>
      <w:marBottom w:val="0"/>
      <w:divBdr>
        <w:top w:val="none" w:sz="0" w:space="0" w:color="auto"/>
        <w:left w:val="none" w:sz="0" w:space="0" w:color="auto"/>
        <w:bottom w:val="none" w:sz="0" w:space="0" w:color="auto"/>
        <w:right w:val="none" w:sz="0" w:space="0" w:color="auto"/>
      </w:divBdr>
    </w:div>
    <w:div w:id="1453329646">
      <w:bodyDiv w:val="1"/>
      <w:marLeft w:val="0"/>
      <w:marRight w:val="0"/>
      <w:marTop w:val="0"/>
      <w:marBottom w:val="0"/>
      <w:divBdr>
        <w:top w:val="none" w:sz="0" w:space="0" w:color="auto"/>
        <w:left w:val="none" w:sz="0" w:space="0" w:color="auto"/>
        <w:bottom w:val="none" w:sz="0" w:space="0" w:color="auto"/>
        <w:right w:val="none" w:sz="0" w:space="0" w:color="auto"/>
      </w:divBdr>
    </w:div>
    <w:div w:id="1609508585">
      <w:bodyDiv w:val="1"/>
      <w:marLeft w:val="0"/>
      <w:marRight w:val="0"/>
      <w:marTop w:val="0"/>
      <w:marBottom w:val="0"/>
      <w:divBdr>
        <w:top w:val="none" w:sz="0" w:space="0" w:color="auto"/>
        <w:left w:val="none" w:sz="0" w:space="0" w:color="auto"/>
        <w:bottom w:val="none" w:sz="0" w:space="0" w:color="auto"/>
        <w:right w:val="none" w:sz="0" w:space="0" w:color="auto"/>
      </w:divBdr>
      <w:divsChild>
        <w:div w:id="210650673">
          <w:marLeft w:val="446"/>
          <w:marRight w:val="0"/>
          <w:marTop w:val="0"/>
          <w:marBottom w:val="0"/>
          <w:divBdr>
            <w:top w:val="none" w:sz="0" w:space="0" w:color="auto"/>
            <w:left w:val="none" w:sz="0" w:space="0" w:color="auto"/>
            <w:bottom w:val="none" w:sz="0" w:space="0" w:color="auto"/>
            <w:right w:val="none" w:sz="0" w:space="0" w:color="auto"/>
          </w:divBdr>
        </w:div>
        <w:div w:id="1667125018">
          <w:marLeft w:val="446"/>
          <w:marRight w:val="0"/>
          <w:marTop w:val="0"/>
          <w:marBottom w:val="0"/>
          <w:divBdr>
            <w:top w:val="none" w:sz="0" w:space="0" w:color="auto"/>
            <w:left w:val="none" w:sz="0" w:space="0" w:color="auto"/>
            <w:bottom w:val="none" w:sz="0" w:space="0" w:color="auto"/>
            <w:right w:val="none" w:sz="0" w:space="0" w:color="auto"/>
          </w:divBdr>
        </w:div>
        <w:div w:id="21458036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3BBD6-B1F9-4C03-99DE-531E4212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12272</Words>
  <Characters>69952</Characters>
  <Application>Microsoft Office Word</Application>
  <DocSecurity>4</DocSecurity>
  <Lines>582</Lines>
  <Paragraphs>164</Paragraphs>
  <ScaleCrop>false</ScaleCrop>
  <HeadingPairs>
    <vt:vector size="2" baseType="variant">
      <vt:variant>
        <vt:lpstr>Title</vt:lpstr>
      </vt:variant>
      <vt:variant>
        <vt:i4>1</vt:i4>
      </vt:variant>
    </vt:vector>
  </HeadingPairs>
  <TitlesOfParts>
    <vt:vector size="1" baseType="lpstr">
      <vt:lpstr>1</vt:lpstr>
    </vt:vector>
  </TitlesOfParts>
  <Company>Parliament of South Africa</Company>
  <LinksUpToDate>false</LinksUpToDate>
  <CharactersWithSpaces>82060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sdawood</dc:creator>
  <cp:lastModifiedBy>Asanda</cp:lastModifiedBy>
  <cp:revision>2</cp:revision>
  <cp:lastPrinted>2015-04-22T14:00:00Z</cp:lastPrinted>
  <dcterms:created xsi:type="dcterms:W3CDTF">2016-04-15T09:35:00Z</dcterms:created>
  <dcterms:modified xsi:type="dcterms:W3CDTF">2016-04-15T09:35:00Z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ingToolsShownOnce">
    <vt:lpwstr/>
  </property>
  <property fmtid="{D5CDD505-2E9C-101B-9397-08002B2CF9AE}" pid="3" name="_ReviewCycleID">
    <vt:i4>-653550880</vt:i4>
  </property>
</Properties>
</file>