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3A" w:rsidRPr="00A325A0" w:rsidRDefault="000C5A3A" w:rsidP="00A325A0">
      <w:pPr>
        <w:spacing w:after="0" w:line="360" w:lineRule="auto"/>
        <w:jc w:val="both"/>
        <w:rPr>
          <w:rFonts w:ascii="Times New Roman" w:eastAsia="Times New Roman" w:hAnsi="Times New Roman" w:cs="Times New Roman"/>
          <w:b/>
          <w:sz w:val="24"/>
          <w:szCs w:val="24"/>
        </w:rPr>
      </w:pPr>
      <w:bookmarkStart w:id="0" w:name="_GoBack"/>
      <w:bookmarkEnd w:id="0"/>
    </w:p>
    <w:p w:rsidR="000C5A3A" w:rsidRPr="00A325A0" w:rsidRDefault="000C5A3A" w:rsidP="00A325A0">
      <w:pPr>
        <w:spacing w:after="0" w:line="360" w:lineRule="auto"/>
        <w:jc w:val="both"/>
        <w:rPr>
          <w:rFonts w:ascii="Times New Roman" w:eastAsia="Times New Roman" w:hAnsi="Times New Roman" w:cs="Times New Roman"/>
          <w:b/>
          <w:sz w:val="24"/>
          <w:szCs w:val="24"/>
        </w:rPr>
      </w:pPr>
    </w:p>
    <w:p w:rsidR="000C5A3A" w:rsidRPr="00A325A0" w:rsidRDefault="000C5A3A" w:rsidP="00A325A0">
      <w:pPr>
        <w:spacing w:after="0" w:line="360" w:lineRule="auto"/>
        <w:jc w:val="both"/>
        <w:rPr>
          <w:rFonts w:ascii="Times New Roman" w:eastAsia="Times New Roman" w:hAnsi="Times New Roman" w:cs="Times New Roman"/>
          <w:sz w:val="24"/>
          <w:szCs w:val="24"/>
          <w:lang w:val="en-GB"/>
        </w:rPr>
      </w:pPr>
    </w:p>
    <w:p w:rsidR="001A7C59" w:rsidRPr="00A325A0" w:rsidRDefault="000B04BA" w:rsidP="00A325A0">
      <w:pPr>
        <w:spacing w:after="0"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3. </w:t>
      </w:r>
      <w:r w:rsidR="001A7C59" w:rsidRPr="00A325A0">
        <w:rPr>
          <w:rFonts w:ascii="Times New Roman" w:eastAsia="Times New Roman" w:hAnsi="Times New Roman" w:cs="Times New Roman"/>
          <w:b/>
          <w:sz w:val="24"/>
          <w:szCs w:val="24"/>
          <w:lang w:val="en-GB"/>
        </w:rPr>
        <w:t xml:space="preserve">REPORT OF THE PORTFOLIO COMMITTEE ON COOPERATIVE GOVERNANCE AND TRADITIONAL AFFAIRS ON THE ANNUAL PERFORMANCE PLAN AND BUDGET VOTE 4 OF THE DEPARTMENT OF COOPERATIVE GOVERNANCE AND TRADITIONAL AFFAIRS DATED </w:t>
      </w:r>
      <w:r w:rsidR="00EA5847">
        <w:rPr>
          <w:rFonts w:ascii="Times New Roman" w:eastAsia="Times New Roman" w:hAnsi="Times New Roman" w:cs="Times New Roman"/>
          <w:b/>
          <w:sz w:val="24"/>
          <w:szCs w:val="24"/>
          <w:lang w:val="en-GB"/>
        </w:rPr>
        <w:t>13 APRIL</w:t>
      </w:r>
      <w:r w:rsidR="00943548" w:rsidRPr="00A325A0">
        <w:rPr>
          <w:rFonts w:ascii="Times New Roman" w:eastAsia="Times New Roman" w:hAnsi="Times New Roman" w:cs="Times New Roman"/>
          <w:b/>
          <w:sz w:val="24"/>
          <w:szCs w:val="24"/>
          <w:lang w:val="en-GB"/>
        </w:rPr>
        <w:t xml:space="preserve"> 2016</w:t>
      </w:r>
    </w:p>
    <w:p w:rsidR="001A7C59" w:rsidRPr="00A325A0" w:rsidRDefault="001A7C59" w:rsidP="00A325A0">
      <w:pPr>
        <w:spacing w:after="0" w:line="360" w:lineRule="auto"/>
        <w:jc w:val="both"/>
        <w:rPr>
          <w:rFonts w:ascii="Times New Roman" w:eastAsia="Times New Roman" w:hAnsi="Times New Roman" w:cs="Times New Roman"/>
          <w:b/>
          <w:sz w:val="24"/>
          <w:szCs w:val="24"/>
          <w:lang w:val="en-GB"/>
        </w:rPr>
      </w:pPr>
    </w:p>
    <w:p w:rsidR="001A7C59" w:rsidRPr="00A325A0" w:rsidRDefault="001A7C59" w:rsidP="00A325A0">
      <w:pPr>
        <w:spacing w:after="0" w:line="360" w:lineRule="auto"/>
        <w:jc w:val="both"/>
        <w:rPr>
          <w:rFonts w:ascii="Times New Roman" w:eastAsia="Times New Roman" w:hAnsi="Times New Roman" w:cs="Times New Roman"/>
          <w:sz w:val="24"/>
          <w:szCs w:val="24"/>
          <w:lang w:val="en-GB"/>
        </w:rPr>
      </w:pPr>
      <w:r w:rsidRPr="00A325A0">
        <w:rPr>
          <w:rFonts w:ascii="Times New Roman" w:eastAsia="Times New Roman" w:hAnsi="Times New Roman" w:cs="Times New Roman"/>
          <w:sz w:val="24"/>
          <w:szCs w:val="24"/>
          <w:lang w:val="en-GB"/>
        </w:rPr>
        <w:t>The Portfolio Committee on Cooperative Governance and Traditional Affairs (the Committee</w:t>
      </w:r>
      <w:r w:rsidR="00134E06" w:rsidRPr="00A325A0">
        <w:rPr>
          <w:rFonts w:ascii="Times New Roman" w:eastAsia="Times New Roman" w:hAnsi="Times New Roman" w:cs="Times New Roman"/>
          <w:sz w:val="24"/>
          <w:szCs w:val="24"/>
          <w:lang w:val="en-GB"/>
        </w:rPr>
        <w:t>)</w:t>
      </w:r>
      <w:r w:rsidRPr="00A325A0">
        <w:rPr>
          <w:rFonts w:ascii="Times New Roman" w:eastAsia="Times New Roman" w:hAnsi="Times New Roman" w:cs="Times New Roman"/>
          <w:sz w:val="24"/>
          <w:szCs w:val="24"/>
          <w:lang w:val="en-GB"/>
        </w:rPr>
        <w:t>, having met with the Department of Cooperative Governance and Traditional Affairs</w:t>
      </w:r>
      <w:r w:rsidR="00134E06" w:rsidRPr="00A325A0">
        <w:rPr>
          <w:rFonts w:ascii="Times New Roman" w:eastAsia="Times New Roman" w:hAnsi="Times New Roman" w:cs="Times New Roman"/>
          <w:sz w:val="24"/>
          <w:szCs w:val="24"/>
          <w:lang w:val="en-GB"/>
        </w:rPr>
        <w:t xml:space="preserve"> and entities reporting to it,</w:t>
      </w:r>
      <w:r w:rsidRPr="00A325A0">
        <w:rPr>
          <w:rFonts w:ascii="Times New Roman" w:eastAsia="Times New Roman" w:hAnsi="Times New Roman" w:cs="Times New Roman"/>
          <w:sz w:val="24"/>
          <w:szCs w:val="24"/>
          <w:lang w:val="en-GB"/>
        </w:rPr>
        <w:t xml:space="preserve"> on their five</w:t>
      </w:r>
      <w:r w:rsidR="00AC47DC" w:rsidRPr="00A325A0">
        <w:rPr>
          <w:rFonts w:ascii="Times New Roman" w:eastAsia="Times New Roman" w:hAnsi="Times New Roman" w:cs="Times New Roman"/>
          <w:sz w:val="24"/>
          <w:szCs w:val="24"/>
          <w:lang w:val="en-GB"/>
        </w:rPr>
        <w:t>-</w:t>
      </w:r>
      <w:r w:rsidRPr="00A325A0">
        <w:rPr>
          <w:rFonts w:ascii="Times New Roman" w:eastAsia="Times New Roman" w:hAnsi="Times New Roman" w:cs="Times New Roman"/>
          <w:sz w:val="24"/>
          <w:szCs w:val="24"/>
          <w:lang w:val="en-GB"/>
        </w:rPr>
        <w:t>year Strategic Plan, Annual Performance Plans (APP) and Budget for 201</w:t>
      </w:r>
      <w:r w:rsidR="00134E06" w:rsidRPr="00A325A0">
        <w:rPr>
          <w:rFonts w:ascii="Times New Roman" w:eastAsia="Times New Roman" w:hAnsi="Times New Roman" w:cs="Times New Roman"/>
          <w:sz w:val="24"/>
          <w:szCs w:val="24"/>
          <w:lang w:val="en-GB"/>
        </w:rPr>
        <w:t>6</w:t>
      </w:r>
      <w:r w:rsidRPr="00A325A0">
        <w:rPr>
          <w:rFonts w:ascii="Times New Roman" w:eastAsia="Times New Roman" w:hAnsi="Times New Roman" w:cs="Times New Roman"/>
          <w:sz w:val="24"/>
          <w:szCs w:val="24"/>
          <w:lang w:val="en-GB"/>
        </w:rPr>
        <w:t>/1</w:t>
      </w:r>
      <w:r w:rsidR="00134E06" w:rsidRPr="00A325A0">
        <w:rPr>
          <w:rFonts w:ascii="Times New Roman" w:eastAsia="Times New Roman" w:hAnsi="Times New Roman" w:cs="Times New Roman"/>
          <w:sz w:val="24"/>
          <w:szCs w:val="24"/>
          <w:lang w:val="en-GB"/>
        </w:rPr>
        <w:t>7</w:t>
      </w:r>
      <w:r w:rsidRPr="00A325A0">
        <w:rPr>
          <w:rFonts w:ascii="Times New Roman" w:eastAsia="Times New Roman" w:hAnsi="Times New Roman" w:cs="Times New Roman"/>
          <w:sz w:val="24"/>
          <w:szCs w:val="24"/>
          <w:lang w:val="en-GB"/>
        </w:rPr>
        <w:t xml:space="preserve"> financial year, reports as follows:</w:t>
      </w:r>
    </w:p>
    <w:p w:rsidR="001A7C59" w:rsidRPr="00A325A0" w:rsidRDefault="001A7C59" w:rsidP="00A325A0">
      <w:pPr>
        <w:spacing w:after="0" w:line="360" w:lineRule="auto"/>
        <w:jc w:val="both"/>
        <w:rPr>
          <w:rFonts w:ascii="Times New Roman" w:eastAsia="Times New Roman" w:hAnsi="Times New Roman" w:cs="Times New Roman"/>
          <w:b/>
          <w:sz w:val="24"/>
          <w:szCs w:val="24"/>
          <w:lang w:val="en-GB"/>
        </w:rPr>
      </w:pPr>
    </w:p>
    <w:p w:rsidR="001A7C59" w:rsidRPr="00A325A0" w:rsidRDefault="001A7C59" w:rsidP="00A325A0">
      <w:pPr>
        <w:pStyle w:val="Normalbold"/>
        <w:numPr>
          <w:ilvl w:val="0"/>
          <w:numId w:val="4"/>
        </w:numPr>
        <w:spacing w:line="360" w:lineRule="auto"/>
        <w:ind w:left="426"/>
        <w:jc w:val="both"/>
        <w:rPr>
          <w:rFonts w:ascii="Times New Roman" w:hAnsi="Times New Roman"/>
          <w:sz w:val="24"/>
          <w:szCs w:val="24"/>
        </w:rPr>
      </w:pPr>
      <w:r w:rsidRPr="00A325A0">
        <w:rPr>
          <w:rFonts w:ascii="Times New Roman" w:hAnsi="Times New Roman"/>
          <w:sz w:val="24"/>
          <w:szCs w:val="24"/>
        </w:rPr>
        <w:t>INTRODUCTION</w:t>
      </w:r>
    </w:p>
    <w:p w:rsidR="001A7C59" w:rsidRPr="00A325A0" w:rsidRDefault="001A7C59" w:rsidP="00A325A0">
      <w:pPr>
        <w:pStyle w:val="Normalbold"/>
        <w:spacing w:line="360" w:lineRule="auto"/>
        <w:ind w:left="66"/>
        <w:jc w:val="both"/>
        <w:rPr>
          <w:rFonts w:ascii="Times New Roman" w:hAnsi="Times New Roman"/>
          <w:sz w:val="24"/>
          <w:szCs w:val="24"/>
        </w:rPr>
      </w:pPr>
    </w:p>
    <w:p w:rsidR="001A7C59" w:rsidRPr="00A325A0" w:rsidRDefault="001A7C59" w:rsidP="00A325A0">
      <w:pPr>
        <w:pStyle w:val="Normalbold"/>
        <w:spacing w:line="360" w:lineRule="auto"/>
        <w:ind w:left="66"/>
        <w:jc w:val="both"/>
        <w:rPr>
          <w:rFonts w:ascii="Times New Roman" w:hAnsi="Times New Roman"/>
          <w:b w:val="0"/>
          <w:sz w:val="24"/>
          <w:szCs w:val="24"/>
        </w:rPr>
      </w:pPr>
      <w:r w:rsidRPr="00A325A0">
        <w:rPr>
          <w:rFonts w:ascii="Times New Roman" w:hAnsi="Times New Roman"/>
          <w:b w:val="0"/>
          <w:sz w:val="24"/>
          <w:szCs w:val="24"/>
        </w:rPr>
        <w:t>In terms of section 55(2) of the Constitution of the Republic of South Africa, Act 108 of 1996, National Assembly must provide for mechanisms</w:t>
      </w:r>
      <w:r w:rsidR="00AC47DC" w:rsidRPr="00A325A0">
        <w:rPr>
          <w:rFonts w:ascii="Times New Roman" w:hAnsi="Times New Roman"/>
          <w:b w:val="0"/>
          <w:sz w:val="24"/>
          <w:szCs w:val="24"/>
        </w:rPr>
        <w:t>:</w:t>
      </w:r>
      <w:r w:rsidRPr="00A325A0">
        <w:rPr>
          <w:rFonts w:ascii="Times New Roman" w:hAnsi="Times New Roman"/>
          <w:b w:val="0"/>
          <w:sz w:val="24"/>
          <w:szCs w:val="24"/>
        </w:rPr>
        <w:t xml:space="preserve"> (a) to ensure that all executive organs of state in the national sphere of government are accountable to it; and (b) to maintain oversight of (</w:t>
      </w:r>
      <w:proofErr w:type="spellStart"/>
      <w:r w:rsidRPr="00A325A0">
        <w:rPr>
          <w:rFonts w:ascii="Times New Roman" w:hAnsi="Times New Roman"/>
          <w:b w:val="0"/>
          <w:sz w:val="24"/>
          <w:szCs w:val="24"/>
        </w:rPr>
        <w:t>i</w:t>
      </w:r>
      <w:proofErr w:type="spellEnd"/>
      <w:r w:rsidRPr="00A325A0">
        <w:rPr>
          <w:rFonts w:ascii="Times New Roman" w:hAnsi="Times New Roman"/>
          <w:b w:val="0"/>
          <w:sz w:val="24"/>
          <w:szCs w:val="24"/>
        </w:rPr>
        <w:t xml:space="preserve">) </w:t>
      </w:r>
      <w:r w:rsidR="00AC47DC" w:rsidRPr="00A325A0">
        <w:rPr>
          <w:rFonts w:ascii="Times New Roman" w:hAnsi="Times New Roman"/>
          <w:b w:val="0"/>
          <w:sz w:val="24"/>
          <w:szCs w:val="24"/>
        </w:rPr>
        <w:t xml:space="preserve">the </w:t>
      </w:r>
      <w:r w:rsidRPr="00A325A0">
        <w:rPr>
          <w:rFonts w:ascii="Times New Roman" w:hAnsi="Times New Roman"/>
          <w:b w:val="0"/>
          <w:sz w:val="24"/>
          <w:szCs w:val="24"/>
        </w:rPr>
        <w:t>national executive authority</w:t>
      </w:r>
      <w:r w:rsidR="00AC47DC" w:rsidRPr="00A325A0">
        <w:rPr>
          <w:rFonts w:ascii="Times New Roman" w:hAnsi="Times New Roman"/>
          <w:b w:val="0"/>
          <w:sz w:val="24"/>
          <w:szCs w:val="24"/>
        </w:rPr>
        <w:t>,</w:t>
      </w:r>
      <w:r w:rsidRPr="00A325A0">
        <w:rPr>
          <w:rFonts w:ascii="Times New Roman" w:hAnsi="Times New Roman"/>
          <w:b w:val="0"/>
          <w:sz w:val="24"/>
          <w:szCs w:val="24"/>
        </w:rPr>
        <w:t xml:space="preserve"> including the implementation of legislation; and (ii) any organ of state. In terms of the Public Finance Management Act, 1999, the Accounting Officers must provide Parliament or the relevant Legislature with their respective institution’s medium-term strategic plan and where applicable with its annual performance plan.</w:t>
      </w:r>
    </w:p>
    <w:p w:rsidR="001A7C59" w:rsidRPr="00A325A0" w:rsidRDefault="001A7C59" w:rsidP="00A325A0">
      <w:pPr>
        <w:pStyle w:val="Normalbold"/>
        <w:spacing w:line="360" w:lineRule="auto"/>
        <w:ind w:left="66"/>
        <w:jc w:val="both"/>
        <w:rPr>
          <w:rFonts w:ascii="Times New Roman" w:hAnsi="Times New Roman"/>
          <w:b w:val="0"/>
          <w:sz w:val="24"/>
          <w:szCs w:val="24"/>
        </w:rPr>
      </w:pPr>
    </w:p>
    <w:p w:rsidR="001A7C59" w:rsidRPr="00A325A0" w:rsidRDefault="001A7C59" w:rsidP="00A325A0">
      <w:pPr>
        <w:pStyle w:val="Normalbold"/>
        <w:spacing w:line="360" w:lineRule="auto"/>
        <w:ind w:left="66"/>
        <w:jc w:val="both"/>
        <w:rPr>
          <w:rFonts w:ascii="Times New Roman" w:hAnsi="Times New Roman"/>
          <w:b w:val="0"/>
          <w:sz w:val="24"/>
          <w:szCs w:val="24"/>
        </w:rPr>
      </w:pPr>
      <w:proofErr w:type="gramStart"/>
      <w:r w:rsidRPr="00A325A0">
        <w:rPr>
          <w:rFonts w:ascii="Times New Roman" w:hAnsi="Times New Roman"/>
          <w:b w:val="0"/>
          <w:sz w:val="24"/>
          <w:szCs w:val="24"/>
        </w:rPr>
        <w:t xml:space="preserve">The Money Bills Amendment Procedure and Related Matters Act, vests powers in Parliament to reject or recommend budgets of </w:t>
      </w:r>
      <w:r w:rsidR="008E072B" w:rsidRPr="00A325A0">
        <w:rPr>
          <w:rFonts w:ascii="Times New Roman" w:hAnsi="Times New Roman"/>
          <w:b w:val="0"/>
          <w:sz w:val="24"/>
          <w:szCs w:val="24"/>
        </w:rPr>
        <w:t xml:space="preserve">national government </w:t>
      </w:r>
      <w:r w:rsidRPr="00A325A0">
        <w:rPr>
          <w:rFonts w:ascii="Times New Roman" w:hAnsi="Times New Roman"/>
          <w:b w:val="0"/>
          <w:sz w:val="24"/>
          <w:szCs w:val="24"/>
        </w:rPr>
        <w:t>departments.</w:t>
      </w:r>
      <w:proofErr w:type="gramEnd"/>
      <w:r w:rsidRPr="00A325A0">
        <w:rPr>
          <w:rFonts w:ascii="Times New Roman" w:hAnsi="Times New Roman"/>
          <w:b w:val="0"/>
          <w:sz w:val="24"/>
          <w:szCs w:val="24"/>
        </w:rPr>
        <w:t xml:space="preserve"> The Act further makes provision for the implementation of recommendations emanating from the Committee oversight.</w:t>
      </w:r>
    </w:p>
    <w:p w:rsidR="001A7C59" w:rsidRPr="00A325A0" w:rsidRDefault="001A7C59" w:rsidP="00A325A0">
      <w:pPr>
        <w:pStyle w:val="Normalbold"/>
        <w:spacing w:line="360" w:lineRule="auto"/>
        <w:ind w:left="66"/>
        <w:jc w:val="both"/>
        <w:rPr>
          <w:rFonts w:ascii="Times New Roman" w:hAnsi="Times New Roman"/>
          <w:b w:val="0"/>
          <w:sz w:val="24"/>
          <w:szCs w:val="24"/>
        </w:rPr>
      </w:pPr>
    </w:p>
    <w:p w:rsidR="001A7C59" w:rsidRPr="00A325A0" w:rsidRDefault="001A7C59" w:rsidP="00A325A0">
      <w:pPr>
        <w:pStyle w:val="Normalbold"/>
        <w:spacing w:line="360" w:lineRule="auto"/>
        <w:ind w:left="66"/>
        <w:jc w:val="both"/>
        <w:rPr>
          <w:rFonts w:ascii="Times New Roman" w:hAnsi="Times New Roman"/>
          <w:b w:val="0"/>
          <w:sz w:val="24"/>
          <w:szCs w:val="24"/>
        </w:rPr>
      </w:pPr>
      <w:r w:rsidRPr="00A325A0">
        <w:rPr>
          <w:rFonts w:ascii="Times New Roman" w:hAnsi="Times New Roman"/>
          <w:b w:val="0"/>
          <w:sz w:val="24"/>
          <w:szCs w:val="24"/>
        </w:rPr>
        <w:t>The Committee exercises its mandate of oversight in line with the above-mentioned legislative framework over the Department of Cooperative Governance and Traditional Affairs (</w:t>
      </w:r>
      <w:proofErr w:type="spellStart"/>
      <w:r w:rsidRPr="00A325A0">
        <w:rPr>
          <w:rFonts w:ascii="Times New Roman" w:hAnsi="Times New Roman"/>
          <w:b w:val="0"/>
          <w:sz w:val="24"/>
          <w:szCs w:val="24"/>
        </w:rPr>
        <w:t>CoGTA</w:t>
      </w:r>
      <w:proofErr w:type="spellEnd"/>
      <w:r w:rsidRPr="00A325A0">
        <w:rPr>
          <w:rFonts w:ascii="Times New Roman" w:hAnsi="Times New Roman"/>
          <w:b w:val="0"/>
          <w:sz w:val="24"/>
          <w:szCs w:val="24"/>
        </w:rPr>
        <w:t>) and its entities, namely</w:t>
      </w:r>
      <w:r w:rsidR="008E072B" w:rsidRPr="00A325A0">
        <w:rPr>
          <w:rFonts w:ascii="Times New Roman" w:hAnsi="Times New Roman"/>
          <w:b w:val="0"/>
          <w:sz w:val="24"/>
          <w:szCs w:val="24"/>
        </w:rPr>
        <w:t>:</w:t>
      </w:r>
      <w:r w:rsidRPr="00A325A0">
        <w:rPr>
          <w:rFonts w:ascii="Times New Roman" w:hAnsi="Times New Roman"/>
          <w:b w:val="0"/>
          <w:sz w:val="24"/>
          <w:szCs w:val="24"/>
        </w:rPr>
        <w:t xml:space="preserve"> the Municipal Demarcation Board (MDB)</w:t>
      </w:r>
      <w:r w:rsidR="008E072B" w:rsidRPr="00A325A0">
        <w:rPr>
          <w:rFonts w:ascii="Times New Roman" w:hAnsi="Times New Roman"/>
          <w:b w:val="0"/>
          <w:sz w:val="24"/>
          <w:szCs w:val="24"/>
        </w:rPr>
        <w:t>;</w:t>
      </w:r>
      <w:r w:rsidRPr="00A325A0">
        <w:rPr>
          <w:rFonts w:ascii="Times New Roman" w:hAnsi="Times New Roman"/>
          <w:b w:val="0"/>
          <w:sz w:val="24"/>
          <w:szCs w:val="24"/>
        </w:rPr>
        <w:t xml:space="preserve"> the Commission for the Promotion and the Commission for the Protection of the Rights </w:t>
      </w:r>
      <w:r w:rsidRPr="00A325A0">
        <w:rPr>
          <w:rFonts w:ascii="Times New Roman" w:hAnsi="Times New Roman"/>
          <w:b w:val="0"/>
          <w:sz w:val="24"/>
          <w:szCs w:val="24"/>
        </w:rPr>
        <w:lastRenderedPageBreak/>
        <w:t>of Cultural</w:t>
      </w:r>
      <w:r w:rsidR="008E072B" w:rsidRPr="00A325A0">
        <w:rPr>
          <w:rFonts w:ascii="Times New Roman" w:hAnsi="Times New Roman"/>
          <w:b w:val="0"/>
          <w:sz w:val="24"/>
          <w:szCs w:val="24"/>
        </w:rPr>
        <w:t>;</w:t>
      </w:r>
      <w:r w:rsidRPr="00A325A0">
        <w:rPr>
          <w:rFonts w:ascii="Times New Roman" w:hAnsi="Times New Roman"/>
          <w:b w:val="0"/>
          <w:sz w:val="24"/>
          <w:szCs w:val="24"/>
        </w:rPr>
        <w:t xml:space="preserve"> Religious and Linguistic Communities (CRL Rights Commission)</w:t>
      </w:r>
      <w:r w:rsidR="008E072B" w:rsidRPr="00A325A0">
        <w:rPr>
          <w:rFonts w:ascii="Times New Roman" w:hAnsi="Times New Roman"/>
          <w:b w:val="0"/>
          <w:sz w:val="24"/>
          <w:szCs w:val="24"/>
        </w:rPr>
        <w:t>;</w:t>
      </w:r>
      <w:r w:rsidRPr="00A325A0">
        <w:rPr>
          <w:rFonts w:ascii="Times New Roman" w:hAnsi="Times New Roman"/>
          <w:b w:val="0"/>
          <w:sz w:val="24"/>
          <w:szCs w:val="24"/>
        </w:rPr>
        <w:t xml:space="preserve"> the South African Local Government Association (SALGA)</w:t>
      </w:r>
      <w:r w:rsidR="008E072B" w:rsidRPr="00A325A0">
        <w:rPr>
          <w:rFonts w:ascii="Times New Roman" w:hAnsi="Times New Roman"/>
          <w:b w:val="0"/>
          <w:sz w:val="24"/>
          <w:szCs w:val="24"/>
        </w:rPr>
        <w:t>;</w:t>
      </w:r>
      <w:r w:rsidRPr="00A325A0">
        <w:rPr>
          <w:rFonts w:ascii="Times New Roman" w:hAnsi="Times New Roman"/>
          <w:b w:val="0"/>
          <w:sz w:val="24"/>
          <w:szCs w:val="24"/>
        </w:rPr>
        <w:t xml:space="preserve"> and the National House of Traditional Leaders (NHTL). The Committee met with the Department (</w:t>
      </w:r>
      <w:r w:rsidR="008E072B" w:rsidRPr="00A325A0">
        <w:rPr>
          <w:rFonts w:ascii="Times New Roman" w:hAnsi="Times New Roman"/>
          <w:b w:val="0"/>
          <w:sz w:val="24"/>
          <w:szCs w:val="24"/>
        </w:rPr>
        <w:t xml:space="preserve">i.e., </w:t>
      </w:r>
      <w:proofErr w:type="spellStart"/>
      <w:r w:rsidRPr="00A325A0">
        <w:rPr>
          <w:rFonts w:ascii="Times New Roman" w:hAnsi="Times New Roman"/>
          <w:b w:val="0"/>
          <w:sz w:val="24"/>
          <w:szCs w:val="24"/>
        </w:rPr>
        <w:t>CoGTA</w:t>
      </w:r>
      <w:proofErr w:type="spellEnd"/>
      <w:r w:rsidRPr="00A325A0">
        <w:rPr>
          <w:rFonts w:ascii="Times New Roman" w:hAnsi="Times New Roman"/>
          <w:b w:val="0"/>
          <w:sz w:val="24"/>
          <w:szCs w:val="24"/>
        </w:rPr>
        <w:t xml:space="preserve">) on </w:t>
      </w:r>
      <w:r w:rsidR="00943548" w:rsidRPr="00A325A0">
        <w:rPr>
          <w:rFonts w:ascii="Times New Roman" w:hAnsi="Times New Roman"/>
          <w:b w:val="0"/>
          <w:sz w:val="24"/>
          <w:szCs w:val="24"/>
        </w:rPr>
        <w:t>1</w:t>
      </w:r>
      <w:r w:rsidR="00C319E2" w:rsidRPr="00A325A0">
        <w:rPr>
          <w:rFonts w:ascii="Times New Roman" w:hAnsi="Times New Roman"/>
          <w:b w:val="0"/>
          <w:sz w:val="24"/>
          <w:szCs w:val="24"/>
          <w:vertAlign w:val="superscript"/>
        </w:rPr>
        <w:t>st</w:t>
      </w:r>
      <w:r w:rsidRPr="00A325A0">
        <w:rPr>
          <w:rFonts w:ascii="Times New Roman" w:hAnsi="Times New Roman"/>
          <w:b w:val="0"/>
          <w:sz w:val="24"/>
          <w:szCs w:val="24"/>
        </w:rPr>
        <w:t xml:space="preserve"> </w:t>
      </w:r>
      <w:r w:rsidR="00943548" w:rsidRPr="00A325A0">
        <w:rPr>
          <w:rFonts w:ascii="Times New Roman" w:hAnsi="Times New Roman"/>
          <w:b w:val="0"/>
          <w:sz w:val="24"/>
          <w:szCs w:val="24"/>
        </w:rPr>
        <w:t>March</w:t>
      </w:r>
      <w:r w:rsidRPr="00A325A0">
        <w:rPr>
          <w:rFonts w:ascii="Times New Roman" w:hAnsi="Times New Roman"/>
          <w:b w:val="0"/>
          <w:sz w:val="24"/>
          <w:szCs w:val="24"/>
        </w:rPr>
        <w:t xml:space="preserve"> 201</w:t>
      </w:r>
      <w:r w:rsidR="00943548" w:rsidRPr="00A325A0">
        <w:rPr>
          <w:rFonts w:ascii="Times New Roman" w:hAnsi="Times New Roman"/>
          <w:b w:val="0"/>
          <w:sz w:val="24"/>
          <w:szCs w:val="24"/>
        </w:rPr>
        <w:t>6</w:t>
      </w:r>
      <w:r w:rsidRPr="00A325A0">
        <w:rPr>
          <w:rFonts w:ascii="Times New Roman" w:hAnsi="Times New Roman"/>
          <w:b w:val="0"/>
          <w:sz w:val="24"/>
          <w:szCs w:val="24"/>
        </w:rPr>
        <w:t xml:space="preserve"> to receive a briefing on the Strategic and Annual Performance Plans and </w:t>
      </w:r>
      <w:r w:rsidR="00C319E2" w:rsidRPr="00A325A0">
        <w:rPr>
          <w:rFonts w:ascii="Times New Roman" w:hAnsi="Times New Roman"/>
          <w:b w:val="0"/>
          <w:sz w:val="24"/>
          <w:szCs w:val="24"/>
        </w:rPr>
        <w:t xml:space="preserve">the </w:t>
      </w:r>
      <w:r w:rsidRPr="00A325A0">
        <w:rPr>
          <w:rFonts w:ascii="Times New Roman" w:hAnsi="Times New Roman"/>
          <w:b w:val="0"/>
          <w:sz w:val="24"/>
          <w:szCs w:val="24"/>
        </w:rPr>
        <w:t xml:space="preserve">Budget. The Committee met with SALGA on </w:t>
      </w:r>
      <w:r w:rsidR="00943548" w:rsidRPr="00A325A0">
        <w:rPr>
          <w:rFonts w:ascii="Times New Roman" w:hAnsi="Times New Roman"/>
          <w:b w:val="0"/>
          <w:sz w:val="24"/>
          <w:szCs w:val="24"/>
        </w:rPr>
        <w:t>8</w:t>
      </w:r>
      <w:r w:rsidR="00943548" w:rsidRPr="00A325A0">
        <w:rPr>
          <w:rFonts w:ascii="Times New Roman" w:hAnsi="Times New Roman"/>
          <w:b w:val="0"/>
          <w:sz w:val="24"/>
          <w:szCs w:val="24"/>
          <w:vertAlign w:val="superscript"/>
        </w:rPr>
        <w:t>th</w:t>
      </w:r>
      <w:r w:rsidR="00943548" w:rsidRPr="00A325A0">
        <w:rPr>
          <w:rFonts w:ascii="Times New Roman" w:hAnsi="Times New Roman"/>
          <w:b w:val="0"/>
          <w:sz w:val="24"/>
          <w:szCs w:val="24"/>
        </w:rPr>
        <w:t xml:space="preserve"> </w:t>
      </w:r>
      <w:r w:rsidRPr="00A325A0">
        <w:rPr>
          <w:rFonts w:ascii="Times New Roman" w:hAnsi="Times New Roman"/>
          <w:b w:val="0"/>
          <w:sz w:val="24"/>
          <w:szCs w:val="24"/>
        </w:rPr>
        <w:t>March 201</w:t>
      </w:r>
      <w:r w:rsidR="00943548" w:rsidRPr="00A325A0">
        <w:rPr>
          <w:rFonts w:ascii="Times New Roman" w:hAnsi="Times New Roman"/>
          <w:b w:val="0"/>
          <w:sz w:val="24"/>
          <w:szCs w:val="24"/>
        </w:rPr>
        <w:t>6</w:t>
      </w:r>
      <w:r w:rsidRPr="00A325A0">
        <w:rPr>
          <w:rFonts w:ascii="Times New Roman" w:hAnsi="Times New Roman"/>
          <w:b w:val="0"/>
          <w:sz w:val="24"/>
          <w:szCs w:val="24"/>
        </w:rPr>
        <w:t xml:space="preserve"> to receive a briefing on their Strategic Plan, Annual Performance Plan and the Budget. The Committee also met with the CRL Rights Commission</w:t>
      </w:r>
      <w:r w:rsidR="00137DE7" w:rsidRPr="00A325A0">
        <w:rPr>
          <w:rFonts w:ascii="Times New Roman" w:hAnsi="Times New Roman"/>
          <w:b w:val="0"/>
          <w:sz w:val="24"/>
          <w:szCs w:val="24"/>
        </w:rPr>
        <w:t xml:space="preserve"> and MBD</w:t>
      </w:r>
      <w:r w:rsidRPr="00A325A0">
        <w:rPr>
          <w:rFonts w:ascii="Times New Roman" w:hAnsi="Times New Roman"/>
          <w:b w:val="0"/>
          <w:sz w:val="24"/>
          <w:szCs w:val="24"/>
        </w:rPr>
        <w:t xml:space="preserve"> on </w:t>
      </w:r>
      <w:r w:rsidR="002A3B38" w:rsidRPr="00A325A0">
        <w:rPr>
          <w:rFonts w:ascii="Times New Roman" w:hAnsi="Times New Roman"/>
          <w:b w:val="0"/>
          <w:sz w:val="24"/>
          <w:szCs w:val="24"/>
        </w:rPr>
        <w:t>15</w:t>
      </w:r>
      <w:r w:rsidR="00C319E2" w:rsidRPr="00A325A0">
        <w:rPr>
          <w:rFonts w:ascii="Times New Roman" w:hAnsi="Times New Roman"/>
          <w:b w:val="0"/>
          <w:sz w:val="24"/>
          <w:szCs w:val="24"/>
          <w:vertAlign w:val="superscript"/>
        </w:rPr>
        <w:t>th</w:t>
      </w:r>
      <w:r w:rsidRPr="00A325A0">
        <w:rPr>
          <w:rFonts w:ascii="Times New Roman" w:hAnsi="Times New Roman"/>
          <w:b w:val="0"/>
          <w:sz w:val="24"/>
          <w:szCs w:val="24"/>
        </w:rPr>
        <w:t xml:space="preserve"> March 2015 to receive a briefing on their Five</w:t>
      </w:r>
      <w:r w:rsidR="00C319E2" w:rsidRPr="00A325A0">
        <w:rPr>
          <w:rFonts w:ascii="Times New Roman" w:hAnsi="Times New Roman"/>
          <w:b w:val="0"/>
          <w:sz w:val="24"/>
          <w:szCs w:val="24"/>
        </w:rPr>
        <w:t>-</w:t>
      </w:r>
      <w:r w:rsidRPr="00A325A0">
        <w:rPr>
          <w:rFonts w:ascii="Times New Roman" w:hAnsi="Times New Roman"/>
          <w:b w:val="0"/>
          <w:sz w:val="24"/>
          <w:szCs w:val="24"/>
        </w:rPr>
        <w:t xml:space="preserve">year Strategic Plan, APP and </w:t>
      </w:r>
      <w:r w:rsidR="00C319E2" w:rsidRPr="00A325A0">
        <w:rPr>
          <w:rFonts w:ascii="Times New Roman" w:hAnsi="Times New Roman"/>
          <w:b w:val="0"/>
          <w:sz w:val="24"/>
          <w:szCs w:val="24"/>
        </w:rPr>
        <w:t xml:space="preserve">the </w:t>
      </w:r>
      <w:r w:rsidR="008046D4" w:rsidRPr="00A325A0">
        <w:rPr>
          <w:rFonts w:ascii="Times New Roman" w:hAnsi="Times New Roman"/>
          <w:b w:val="0"/>
          <w:sz w:val="24"/>
          <w:szCs w:val="24"/>
        </w:rPr>
        <w:t>B</w:t>
      </w:r>
      <w:r w:rsidRPr="00A325A0">
        <w:rPr>
          <w:rFonts w:ascii="Times New Roman" w:hAnsi="Times New Roman"/>
          <w:b w:val="0"/>
          <w:sz w:val="24"/>
          <w:szCs w:val="24"/>
        </w:rPr>
        <w:t xml:space="preserve">udget. </w:t>
      </w:r>
    </w:p>
    <w:p w:rsidR="00017FBE" w:rsidRPr="00A325A0" w:rsidRDefault="00017FBE" w:rsidP="00A325A0">
      <w:pPr>
        <w:pStyle w:val="Normalbold"/>
        <w:spacing w:line="360" w:lineRule="auto"/>
        <w:ind w:left="66"/>
        <w:jc w:val="both"/>
        <w:rPr>
          <w:rFonts w:ascii="Times New Roman" w:hAnsi="Times New Roman"/>
          <w:b w:val="0"/>
          <w:sz w:val="24"/>
          <w:szCs w:val="24"/>
        </w:rPr>
      </w:pPr>
    </w:p>
    <w:p w:rsidR="00017FBE" w:rsidRPr="00A325A0" w:rsidRDefault="00017FBE" w:rsidP="00A325A0">
      <w:pPr>
        <w:pStyle w:val="Normalbold"/>
        <w:numPr>
          <w:ilvl w:val="0"/>
          <w:numId w:val="4"/>
        </w:numPr>
        <w:spacing w:line="360" w:lineRule="auto"/>
        <w:jc w:val="both"/>
        <w:rPr>
          <w:rFonts w:ascii="Times New Roman" w:hAnsi="Times New Roman"/>
          <w:sz w:val="24"/>
          <w:szCs w:val="24"/>
        </w:rPr>
      </w:pPr>
      <w:r w:rsidRPr="00A325A0">
        <w:rPr>
          <w:rFonts w:ascii="Times New Roman" w:hAnsi="Times New Roman"/>
          <w:sz w:val="24"/>
          <w:szCs w:val="24"/>
        </w:rPr>
        <w:t>OVERVIEW OF POLICY PRIORITIES FOR 2016/17</w:t>
      </w:r>
    </w:p>
    <w:p w:rsidR="00643668" w:rsidRPr="00A325A0" w:rsidRDefault="00643668" w:rsidP="00A325A0">
      <w:pPr>
        <w:pStyle w:val="Normalbold"/>
        <w:spacing w:line="360" w:lineRule="auto"/>
        <w:jc w:val="both"/>
        <w:rPr>
          <w:rFonts w:ascii="Times New Roman" w:hAnsi="Times New Roman"/>
          <w:b w:val="0"/>
          <w:sz w:val="24"/>
          <w:szCs w:val="24"/>
        </w:rPr>
      </w:pPr>
    </w:p>
    <w:p w:rsidR="000623C3" w:rsidRPr="00A325A0" w:rsidRDefault="00643668" w:rsidP="00A325A0">
      <w:pPr>
        <w:pStyle w:val="Normalbold"/>
        <w:spacing w:line="360" w:lineRule="auto"/>
        <w:jc w:val="both"/>
        <w:rPr>
          <w:rFonts w:ascii="Times New Roman" w:hAnsi="Times New Roman"/>
          <w:b w:val="0"/>
          <w:sz w:val="24"/>
          <w:szCs w:val="24"/>
        </w:rPr>
      </w:pPr>
      <w:r w:rsidRPr="00A325A0">
        <w:rPr>
          <w:rFonts w:ascii="Times New Roman" w:hAnsi="Times New Roman"/>
          <w:b w:val="0"/>
          <w:sz w:val="24"/>
          <w:szCs w:val="24"/>
        </w:rPr>
        <w:t>The</w:t>
      </w:r>
      <w:r w:rsidR="00816834" w:rsidRPr="00A325A0">
        <w:rPr>
          <w:rFonts w:ascii="Times New Roman" w:hAnsi="Times New Roman"/>
          <w:b w:val="0"/>
          <w:sz w:val="24"/>
          <w:szCs w:val="24"/>
        </w:rPr>
        <w:t xml:space="preserve"> key policy priority for the</w:t>
      </w:r>
      <w:r w:rsidRPr="00A325A0">
        <w:rPr>
          <w:rFonts w:ascii="Times New Roman" w:hAnsi="Times New Roman"/>
          <w:b w:val="0"/>
          <w:sz w:val="24"/>
          <w:szCs w:val="24"/>
        </w:rPr>
        <w:t xml:space="preserve"> Department of </w:t>
      </w:r>
      <w:proofErr w:type="spellStart"/>
      <w:r w:rsidRPr="00A325A0">
        <w:rPr>
          <w:rFonts w:ascii="Times New Roman" w:hAnsi="Times New Roman"/>
          <w:b w:val="0"/>
          <w:sz w:val="24"/>
          <w:szCs w:val="24"/>
        </w:rPr>
        <w:t>Co</w:t>
      </w:r>
      <w:r w:rsidR="008046D4" w:rsidRPr="00A325A0">
        <w:rPr>
          <w:rFonts w:ascii="Times New Roman" w:hAnsi="Times New Roman"/>
          <w:b w:val="0"/>
          <w:sz w:val="24"/>
          <w:szCs w:val="24"/>
        </w:rPr>
        <w:t>GTA</w:t>
      </w:r>
      <w:proofErr w:type="spellEnd"/>
      <w:r w:rsidR="00932FE1" w:rsidRPr="00A325A0">
        <w:rPr>
          <w:rFonts w:ascii="Times New Roman" w:hAnsi="Times New Roman"/>
          <w:b w:val="0"/>
          <w:sz w:val="24"/>
          <w:szCs w:val="24"/>
        </w:rPr>
        <w:t xml:space="preserve"> during</w:t>
      </w:r>
      <w:r w:rsidR="00816834" w:rsidRPr="00A325A0">
        <w:rPr>
          <w:rFonts w:ascii="Times New Roman" w:hAnsi="Times New Roman"/>
          <w:b w:val="0"/>
          <w:sz w:val="24"/>
          <w:szCs w:val="24"/>
        </w:rPr>
        <w:t xml:space="preserve"> the 2016/17 financial year will be the </w:t>
      </w:r>
      <w:r w:rsidRPr="00A325A0">
        <w:rPr>
          <w:rFonts w:ascii="Times New Roman" w:hAnsi="Times New Roman"/>
          <w:b w:val="0"/>
          <w:sz w:val="24"/>
          <w:szCs w:val="24"/>
        </w:rPr>
        <w:t>continue</w:t>
      </w:r>
      <w:r w:rsidR="00816834" w:rsidRPr="00A325A0">
        <w:rPr>
          <w:rFonts w:ascii="Times New Roman" w:hAnsi="Times New Roman"/>
          <w:b w:val="0"/>
          <w:sz w:val="24"/>
          <w:szCs w:val="24"/>
        </w:rPr>
        <w:t>d</w:t>
      </w:r>
      <w:r w:rsidRPr="00A325A0">
        <w:rPr>
          <w:rFonts w:ascii="Times New Roman" w:hAnsi="Times New Roman"/>
          <w:b w:val="0"/>
          <w:sz w:val="24"/>
          <w:szCs w:val="24"/>
        </w:rPr>
        <w:t xml:space="preserve"> implementation</w:t>
      </w:r>
      <w:r w:rsidR="000623C3" w:rsidRPr="00A325A0">
        <w:rPr>
          <w:rFonts w:ascii="Times New Roman" w:hAnsi="Times New Roman"/>
          <w:b w:val="0"/>
          <w:sz w:val="24"/>
          <w:szCs w:val="24"/>
        </w:rPr>
        <w:t xml:space="preserve"> of the Back to Basics programme. The Back to Basics approach was launched by the President </w:t>
      </w:r>
      <w:r w:rsidR="004A665C" w:rsidRPr="00A325A0">
        <w:rPr>
          <w:rFonts w:ascii="Times New Roman" w:hAnsi="Times New Roman"/>
          <w:b w:val="0"/>
          <w:sz w:val="24"/>
          <w:szCs w:val="24"/>
        </w:rPr>
        <w:t xml:space="preserve">of the Republic, Mr Jacob Zuma </w:t>
      </w:r>
      <w:r w:rsidR="000623C3" w:rsidRPr="00A325A0">
        <w:rPr>
          <w:rFonts w:ascii="Times New Roman" w:hAnsi="Times New Roman"/>
          <w:b w:val="0"/>
          <w:sz w:val="24"/>
          <w:szCs w:val="24"/>
        </w:rPr>
        <w:t xml:space="preserve">in September 2014 with the aim of strengthening and transforming </w:t>
      </w:r>
      <w:r w:rsidR="004A665C" w:rsidRPr="00A325A0">
        <w:rPr>
          <w:rFonts w:ascii="Times New Roman" w:hAnsi="Times New Roman"/>
          <w:b w:val="0"/>
          <w:sz w:val="24"/>
          <w:szCs w:val="24"/>
        </w:rPr>
        <w:t xml:space="preserve">the </w:t>
      </w:r>
      <w:r w:rsidR="000623C3" w:rsidRPr="00A325A0">
        <w:rPr>
          <w:rFonts w:ascii="Times New Roman" w:hAnsi="Times New Roman"/>
          <w:b w:val="0"/>
          <w:sz w:val="24"/>
          <w:szCs w:val="24"/>
        </w:rPr>
        <w:t>local government sector. The programme is underpinned by five pillars, namely: prioritise residents; support the delivery of municipal services to the right quality and standard; promote good governance, transparen</w:t>
      </w:r>
      <w:r w:rsidR="00E95B29" w:rsidRPr="00A325A0">
        <w:rPr>
          <w:rFonts w:ascii="Times New Roman" w:hAnsi="Times New Roman"/>
          <w:b w:val="0"/>
          <w:sz w:val="24"/>
          <w:szCs w:val="24"/>
        </w:rPr>
        <w:t>cy</w:t>
      </w:r>
      <w:r w:rsidR="000623C3" w:rsidRPr="00A325A0">
        <w:rPr>
          <w:rFonts w:ascii="Times New Roman" w:hAnsi="Times New Roman"/>
          <w:b w:val="0"/>
          <w:sz w:val="24"/>
          <w:szCs w:val="24"/>
        </w:rPr>
        <w:t xml:space="preserve"> and accountability; ensure sound financial management and accounting; and build institutional resilience and administrative capacity.</w:t>
      </w:r>
    </w:p>
    <w:p w:rsidR="00643668" w:rsidRPr="00A325A0" w:rsidRDefault="000623C3" w:rsidP="00A325A0">
      <w:pPr>
        <w:pStyle w:val="Normalbold"/>
        <w:spacing w:line="360" w:lineRule="auto"/>
        <w:jc w:val="both"/>
        <w:rPr>
          <w:rFonts w:ascii="Times New Roman" w:hAnsi="Times New Roman"/>
          <w:b w:val="0"/>
          <w:sz w:val="24"/>
          <w:szCs w:val="24"/>
        </w:rPr>
      </w:pPr>
      <w:r w:rsidRPr="00A325A0">
        <w:rPr>
          <w:rFonts w:ascii="Times New Roman" w:hAnsi="Times New Roman"/>
          <w:b w:val="0"/>
          <w:sz w:val="24"/>
          <w:szCs w:val="24"/>
        </w:rPr>
        <w:t xml:space="preserve"> </w:t>
      </w:r>
    </w:p>
    <w:p w:rsidR="004129A8" w:rsidRPr="00A325A0" w:rsidRDefault="004129A8" w:rsidP="00A325A0">
      <w:pPr>
        <w:pStyle w:val="Normalbold"/>
        <w:spacing w:line="360" w:lineRule="auto"/>
        <w:jc w:val="both"/>
        <w:rPr>
          <w:rFonts w:ascii="Times New Roman" w:hAnsi="Times New Roman"/>
          <w:b w:val="0"/>
          <w:sz w:val="24"/>
          <w:szCs w:val="24"/>
        </w:rPr>
      </w:pPr>
      <w:r w:rsidRPr="00A325A0">
        <w:rPr>
          <w:rFonts w:ascii="Times New Roman" w:hAnsi="Times New Roman"/>
          <w:b w:val="0"/>
          <w:sz w:val="24"/>
          <w:szCs w:val="24"/>
        </w:rPr>
        <w:t xml:space="preserve">Key lessons have been learned from the initial phase of the </w:t>
      </w:r>
      <w:r w:rsidR="004A665C" w:rsidRPr="00A325A0">
        <w:rPr>
          <w:rFonts w:ascii="Times New Roman" w:hAnsi="Times New Roman"/>
          <w:b w:val="0"/>
          <w:sz w:val="24"/>
          <w:szCs w:val="24"/>
        </w:rPr>
        <w:t>B</w:t>
      </w:r>
      <w:r w:rsidRPr="00A325A0">
        <w:rPr>
          <w:rFonts w:ascii="Times New Roman" w:hAnsi="Times New Roman"/>
          <w:b w:val="0"/>
          <w:sz w:val="24"/>
          <w:szCs w:val="24"/>
        </w:rPr>
        <w:t xml:space="preserve">ack to </w:t>
      </w:r>
      <w:r w:rsidR="004A665C" w:rsidRPr="00A325A0">
        <w:rPr>
          <w:rFonts w:ascii="Times New Roman" w:hAnsi="Times New Roman"/>
          <w:b w:val="0"/>
          <w:sz w:val="24"/>
          <w:szCs w:val="24"/>
        </w:rPr>
        <w:t>B</w:t>
      </w:r>
      <w:r w:rsidRPr="00A325A0">
        <w:rPr>
          <w:rFonts w:ascii="Times New Roman" w:hAnsi="Times New Roman"/>
          <w:b w:val="0"/>
          <w:sz w:val="24"/>
          <w:szCs w:val="24"/>
        </w:rPr>
        <w:t>asics approach</w:t>
      </w:r>
      <w:r w:rsidR="00816834" w:rsidRPr="00A325A0">
        <w:rPr>
          <w:rFonts w:ascii="Times New Roman" w:hAnsi="Times New Roman"/>
          <w:b w:val="0"/>
          <w:sz w:val="24"/>
          <w:szCs w:val="24"/>
        </w:rPr>
        <w:t xml:space="preserve"> implementation</w:t>
      </w:r>
      <w:r w:rsidRPr="00A325A0">
        <w:rPr>
          <w:rFonts w:ascii="Times New Roman" w:hAnsi="Times New Roman"/>
          <w:b w:val="0"/>
          <w:sz w:val="24"/>
          <w:szCs w:val="24"/>
        </w:rPr>
        <w:t>. It is th</w:t>
      </w:r>
      <w:r w:rsidR="004A665C" w:rsidRPr="00A325A0">
        <w:rPr>
          <w:rFonts w:ascii="Times New Roman" w:hAnsi="Times New Roman"/>
          <w:b w:val="0"/>
          <w:sz w:val="24"/>
          <w:szCs w:val="24"/>
        </w:rPr>
        <w:t>e</w:t>
      </w:r>
      <w:r w:rsidRPr="00A325A0">
        <w:rPr>
          <w:rFonts w:ascii="Times New Roman" w:hAnsi="Times New Roman"/>
          <w:b w:val="0"/>
          <w:sz w:val="24"/>
          <w:szCs w:val="24"/>
        </w:rPr>
        <w:t>s</w:t>
      </w:r>
      <w:r w:rsidR="004A665C" w:rsidRPr="00A325A0">
        <w:rPr>
          <w:rFonts w:ascii="Times New Roman" w:hAnsi="Times New Roman"/>
          <w:b w:val="0"/>
          <w:sz w:val="24"/>
          <w:szCs w:val="24"/>
        </w:rPr>
        <w:t>e</w:t>
      </w:r>
      <w:r w:rsidRPr="00A325A0">
        <w:rPr>
          <w:rFonts w:ascii="Times New Roman" w:hAnsi="Times New Roman"/>
          <w:b w:val="0"/>
          <w:sz w:val="24"/>
          <w:szCs w:val="24"/>
        </w:rPr>
        <w:t xml:space="preserve"> </w:t>
      </w:r>
      <w:r w:rsidR="006D55A9" w:rsidRPr="00A325A0">
        <w:rPr>
          <w:rFonts w:ascii="Times New Roman" w:hAnsi="Times New Roman"/>
          <w:b w:val="0"/>
          <w:sz w:val="24"/>
          <w:szCs w:val="24"/>
        </w:rPr>
        <w:t>lessons that will guide the second</w:t>
      </w:r>
      <w:r w:rsidRPr="00A325A0">
        <w:rPr>
          <w:rFonts w:ascii="Times New Roman" w:hAnsi="Times New Roman"/>
          <w:b w:val="0"/>
          <w:sz w:val="24"/>
          <w:szCs w:val="24"/>
        </w:rPr>
        <w:t xml:space="preserve"> phase of the</w:t>
      </w:r>
      <w:r w:rsidR="006D55A9" w:rsidRPr="00A325A0">
        <w:rPr>
          <w:rFonts w:ascii="Times New Roman" w:hAnsi="Times New Roman"/>
          <w:b w:val="0"/>
          <w:sz w:val="24"/>
          <w:szCs w:val="24"/>
        </w:rPr>
        <w:t xml:space="preserve"> implementation of the Back to Basics</w:t>
      </w:r>
      <w:r w:rsidRPr="00A325A0">
        <w:rPr>
          <w:rFonts w:ascii="Times New Roman" w:hAnsi="Times New Roman"/>
          <w:b w:val="0"/>
          <w:sz w:val="24"/>
          <w:szCs w:val="24"/>
        </w:rPr>
        <w:t xml:space="preserve"> programme. During the 2016/17 financial year</w:t>
      </w:r>
      <w:r w:rsidR="004A665C" w:rsidRPr="00A325A0">
        <w:rPr>
          <w:rFonts w:ascii="Times New Roman" w:hAnsi="Times New Roman"/>
          <w:b w:val="0"/>
          <w:sz w:val="24"/>
          <w:szCs w:val="24"/>
        </w:rPr>
        <w:t>,</w:t>
      </w:r>
      <w:r w:rsidRPr="00A325A0">
        <w:rPr>
          <w:rFonts w:ascii="Times New Roman" w:hAnsi="Times New Roman"/>
          <w:b w:val="0"/>
          <w:sz w:val="24"/>
          <w:szCs w:val="24"/>
        </w:rPr>
        <w:t xml:space="preserve"> the </w:t>
      </w:r>
      <w:r w:rsidR="004A665C" w:rsidRPr="00A325A0">
        <w:rPr>
          <w:rFonts w:ascii="Times New Roman" w:hAnsi="Times New Roman"/>
          <w:b w:val="0"/>
          <w:sz w:val="24"/>
          <w:szCs w:val="24"/>
        </w:rPr>
        <w:t>D</w:t>
      </w:r>
      <w:r w:rsidRPr="00A325A0">
        <w:rPr>
          <w:rFonts w:ascii="Times New Roman" w:hAnsi="Times New Roman"/>
          <w:b w:val="0"/>
          <w:sz w:val="24"/>
          <w:szCs w:val="24"/>
        </w:rPr>
        <w:t>epartment</w:t>
      </w:r>
      <w:r w:rsidR="004A665C" w:rsidRPr="00A325A0">
        <w:rPr>
          <w:rFonts w:ascii="Times New Roman" w:hAnsi="Times New Roman"/>
          <w:b w:val="0"/>
          <w:sz w:val="24"/>
          <w:szCs w:val="24"/>
        </w:rPr>
        <w:t>’s</w:t>
      </w:r>
      <w:r w:rsidRPr="00A325A0">
        <w:rPr>
          <w:rFonts w:ascii="Times New Roman" w:hAnsi="Times New Roman"/>
          <w:b w:val="0"/>
          <w:sz w:val="24"/>
          <w:szCs w:val="24"/>
        </w:rPr>
        <w:t xml:space="preserve"> Back to Basics priorities will be guided by the following 10</w:t>
      </w:r>
      <w:r w:rsidR="004A665C" w:rsidRPr="00A325A0">
        <w:rPr>
          <w:rFonts w:ascii="Times New Roman" w:hAnsi="Times New Roman"/>
          <w:b w:val="0"/>
          <w:sz w:val="24"/>
          <w:szCs w:val="24"/>
        </w:rPr>
        <w:t>-</w:t>
      </w:r>
      <w:r w:rsidRPr="00A325A0">
        <w:rPr>
          <w:rFonts w:ascii="Times New Roman" w:hAnsi="Times New Roman"/>
          <w:b w:val="0"/>
          <w:sz w:val="24"/>
          <w:szCs w:val="24"/>
        </w:rPr>
        <w:t>Point Plan:</w:t>
      </w:r>
    </w:p>
    <w:p w:rsidR="004129A8" w:rsidRPr="00A325A0" w:rsidRDefault="004129A8" w:rsidP="00A325A0">
      <w:pPr>
        <w:pStyle w:val="Normalbold"/>
        <w:spacing w:line="360" w:lineRule="auto"/>
        <w:jc w:val="both"/>
        <w:rPr>
          <w:rFonts w:ascii="Times New Roman" w:hAnsi="Times New Roman"/>
          <w:b w:val="0"/>
          <w:sz w:val="24"/>
          <w:szCs w:val="24"/>
        </w:rPr>
      </w:pPr>
    </w:p>
    <w:p w:rsidR="004129A8" w:rsidRPr="00A325A0" w:rsidRDefault="004129A8" w:rsidP="00A325A0">
      <w:pPr>
        <w:pStyle w:val="Normalbold"/>
        <w:numPr>
          <w:ilvl w:val="0"/>
          <w:numId w:val="26"/>
        </w:numPr>
        <w:spacing w:line="360" w:lineRule="auto"/>
        <w:jc w:val="both"/>
        <w:rPr>
          <w:rFonts w:ascii="Times New Roman" w:hAnsi="Times New Roman"/>
          <w:b w:val="0"/>
          <w:sz w:val="24"/>
          <w:szCs w:val="24"/>
        </w:rPr>
      </w:pPr>
      <w:r w:rsidRPr="00A325A0">
        <w:rPr>
          <w:rFonts w:ascii="Times New Roman" w:hAnsi="Times New Roman"/>
          <w:b w:val="0"/>
          <w:sz w:val="24"/>
          <w:szCs w:val="24"/>
        </w:rPr>
        <w:t>Positive community experiences;</w:t>
      </w:r>
    </w:p>
    <w:p w:rsidR="004129A8" w:rsidRPr="00A325A0" w:rsidRDefault="004129A8" w:rsidP="00A325A0">
      <w:pPr>
        <w:pStyle w:val="Normalbold"/>
        <w:numPr>
          <w:ilvl w:val="0"/>
          <w:numId w:val="26"/>
        </w:numPr>
        <w:spacing w:line="360" w:lineRule="auto"/>
        <w:jc w:val="both"/>
        <w:rPr>
          <w:rFonts w:ascii="Times New Roman" w:hAnsi="Times New Roman"/>
          <w:b w:val="0"/>
          <w:sz w:val="24"/>
          <w:szCs w:val="24"/>
        </w:rPr>
      </w:pPr>
      <w:r w:rsidRPr="00A325A0">
        <w:rPr>
          <w:rFonts w:ascii="Times New Roman" w:hAnsi="Times New Roman"/>
          <w:b w:val="0"/>
          <w:sz w:val="24"/>
          <w:szCs w:val="24"/>
        </w:rPr>
        <w:t>Prioritise municipalities receiving disclaimers over</w:t>
      </w:r>
      <w:r w:rsidR="00E95B29" w:rsidRPr="00A325A0">
        <w:rPr>
          <w:rFonts w:ascii="Times New Roman" w:hAnsi="Times New Roman"/>
          <w:b w:val="0"/>
          <w:sz w:val="24"/>
          <w:szCs w:val="24"/>
        </w:rPr>
        <w:t xml:space="preserve"> the last</w:t>
      </w:r>
      <w:r w:rsidRPr="00A325A0">
        <w:rPr>
          <w:rFonts w:ascii="Times New Roman" w:hAnsi="Times New Roman"/>
          <w:b w:val="0"/>
          <w:sz w:val="24"/>
          <w:szCs w:val="24"/>
        </w:rPr>
        <w:t xml:space="preserve"> five years;</w:t>
      </w:r>
    </w:p>
    <w:p w:rsidR="004129A8" w:rsidRPr="00A325A0" w:rsidRDefault="004129A8" w:rsidP="00A325A0">
      <w:pPr>
        <w:pStyle w:val="Normalbold"/>
        <w:numPr>
          <w:ilvl w:val="0"/>
          <w:numId w:val="26"/>
        </w:numPr>
        <w:spacing w:line="360" w:lineRule="auto"/>
        <w:jc w:val="both"/>
        <w:rPr>
          <w:rFonts w:ascii="Times New Roman" w:hAnsi="Times New Roman"/>
          <w:b w:val="0"/>
          <w:sz w:val="24"/>
          <w:szCs w:val="24"/>
        </w:rPr>
      </w:pPr>
      <w:r w:rsidRPr="00A325A0">
        <w:rPr>
          <w:rFonts w:ascii="Times New Roman" w:hAnsi="Times New Roman"/>
          <w:b w:val="0"/>
          <w:sz w:val="24"/>
          <w:szCs w:val="24"/>
        </w:rPr>
        <w:t>Support revenue enhancement programmes;</w:t>
      </w:r>
    </w:p>
    <w:p w:rsidR="004129A8" w:rsidRPr="00A325A0" w:rsidRDefault="004129A8" w:rsidP="00A325A0">
      <w:pPr>
        <w:pStyle w:val="Normalbold"/>
        <w:numPr>
          <w:ilvl w:val="0"/>
          <w:numId w:val="26"/>
        </w:numPr>
        <w:spacing w:line="360" w:lineRule="auto"/>
        <w:jc w:val="both"/>
        <w:rPr>
          <w:rFonts w:ascii="Times New Roman" w:hAnsi="Times New Roman"/>
          <w:b w:val="0"/>
          <w:sz w:val="24"/>
          <w:szCs w:val="24"/>
        </w:rPr>
      </w:pPr>
      <w:r w:rsidRPr="00A325A0">
        <w:rPr>
          <w:rFonts w:ascii="Times New Roman" w:hAnsi="Times New Roman"/>
          <w:b w:val="0"/>
          <w:sz w:val="24"/>
          <w:szCs w:val="24"/>
        </w:rPr>
        <w:t>Appointment of senior managers with appropriate and requisite skills in municipalities</w:t>
      </w:r>
      <w:r w:rsidR="003373F1" w:rsidRPr="00A325A0">
        <w:rPr>
          <w:rFonts w:ascii="Times New Roman" w:hAnsi="Times New Roman"/>
          <w:b w:val="0"/>
          <w:sz w:val="24"/>
          <w:szCs w:val="24"/>
        </w:rPr>
        <w:t>;</w:t>
      </w:r>
    </w:p>
    <w:p w:rsidR="004129A8" w:rsidRPr="00A325A0" w:rsidRDefault="004129A8" w:rsidP="00A325A0">
      <w:pPr>
        <w:pStyle w:val="Normalbold"/>
        <w:numPr>
          <w:ilvl w:val="0"/>
          <w:numId w:val="26"/>
        </w:numPr>
        <w:spacing w:line="360" w:lineRule="auto"/>
        <w:jc w:val="both"/>
        <w:rPr>
          <w:rFonts w:ascii="Times New Roman" w:hAnsi="Times New Roman"/>
          <w:b w:val="0"/>
          <w:sz w:val="24"/>
          <w:szCs w:val="24"/>
        </w:rPr>
      </w:pPr>
      <w:r w:rsidRPr="00A325A0">
        <w:rPr>
          <w:rFonts w:ascii="Times New Roman" w:hAnsi="Times New Roman"/>
          <w:b w:val="0"/>
          <w:sz w:val="24"/>
          <w:szCs w:val="24"/>
        </w:rPr>
        <w:t>Quality service and maintenance of infrastructure;</w:t>
      </w:r>
    </w:p>
    <w:p w:rsidR="004129A8" w:rsidRPr="00A325A0" w:rsidRDefault="004129A8" w:rsidP="00A325A0">
      <w:pPr>
        <w:pStyle w:val="Normalbold"/>
        <w:numPr>
          <w:ilvl w:val="0"/>
          <w:numId w:val="26"/>
        </w:numPr>
        <w:spacing w:line="360" w:lineRule="auto"/>
        <w:jc w:val="both"/>
        <w:rPr>
          <w:rFonts w:ascii="Times New Roman" w:hAnsi="Times New Roman"/>
          <w:b w:val="0"/>
          <w:sz w:val="24"/>
          <w:szCs w:val="24"/>
        </w:rPr>
      </w:pPr>
      <w:r w:rsidRPr="00A325A0">
        <w:rPr>
          <w:rFonts w:ascii="Times New Roman" w:hAnsi="Times New Roman"/>
          <w:b w:val="0"/>
          <w:sz w:val="24"/>
          <w:szCs w:val="24"/>
        </w:rPr>
        <w:t>Implementation of</w:t>
      </w:r>
      <w:r w:rsidR="00E95B29" w:rsidRPr="00A325A0">
        <w:rPr>
          <w:rFonts w:ascii="Times New Roman" w:hAnsi="Times New Roman"/>
          <w:b w:val="0"/>
          <w:sz w:val="24"/>
          <w:szCs w:val="24"/>
        </w:rPr>
        <w:t xml:space="preserve"> recommendations from</w:t>
      </w:r>
      <w:r w:rsidRPr="00A325A0">
        <w:rPr>
          <w:rFonts w:ascii="Times New Roman" w:hAnsi="Times New Roman"/>
          <w:b w:val="0"/>
          <w:sz w:val="24"/>
          <w:szCs w:val="24"/>
        </w:rPr>
        <w:t xml:space="preserve"> forensic reports;</w:t>
      </w:r>
    </w:p>
    <w:p w:rsidR="004129A8" w:rsidRPr="00A325A0" w:rsidRDefault="004129A8" w:rsidP="00A325A0">
      <w:pPr>
        <w:pStyle w:val="Normalbold"/>
        <w:numPr>
          <w:ilvl w:val="0"/>
          <w:numId w:val="26"/>
        </w:numPr>
        <w:spacing w:line="360" w:lineRule="auto"/>
        <w:jc w:val="both"/>
        <w:rPr>
          <w:rFonts w:ascii="Times New Roman" w:hAnsi="Times New Roman"/>
          <w:b w:val="0"/>
          <w:sz w:val="24"/>
          <w:szCs w:val="24"/>
        </w:rPr>
      </w:pPr>
      <w:r w:rsidRPr="00A325A0">
        <w:rPr>
          <w:rFonts w:ascii="Times New Roman" w:hAnsi="Times New Roman"/>
          <w:b w:val="0"/>
          <w:sz w:val="24"/>
          <w:szCs w:val="24"/>
        </w:rPr>
        <w:t>Metropolitan Back to Basics programme;</w:t>
      </w:r>
    </w:p>
    <w:p w:rsidR="004129A8" w:rsidRPr="00A325A0" w:rsidRDefault="004129A8" w:rsidP="00A325A0">
      <w:pPr>
        <w:pStyle w:val="Normalbold"/>
        <w:numPr>
          <w:ilvl w:val="0"/>
          <w:numId w:val="26"/>
        </w:numPr>
        <w:spacing w:line="360" w:lineRule="auto"/>
        <w:jc w:val="both"/>
        <w:rPr>
          <w:rFonts w:ascii="Times New Roman" w:hAnsi="Times New Roman"/>
          <w:b w:val="0"/>
          <w:sz w:val="24"/>
          <w:szCs w:val="24"/>
        </w:rPr>
      </w:pPr>
      <w:r w:rsidRPr="00A325A0">
        <w:rPr>
          <w:rFonts w:ascii="Times New Roman" w:hAnsi="Times New Roman"/>
          <w:b w:val="0"/>
          <w:sz w:val="24"/>
          <w:szCs w:val="24"/>
        </w:rPr>
        <w:lastRenderedPageBreak/>
        <w:t>Strengthening roles of district municipalities;</w:t>
      </w:r>
    </w:p>
    <w:p w:rsidR="004129A8" w:rsidRPr="00A325A0" w:rsidRDefault="004129A8" w:rsidP="00A325A0">
      <w:pPr>
        <w:pStyle w:val="Normalbold"/>
        <w:numPr>
          <w:ilvl w:val="0"/>
          <w:numId w:val="26"/>
        </w:numPr>
        <w:spacing w:line="360" w:lineRule="auto"/>
        <w:jc w:val="both"/>
        <w:rPr>
          <w:rFonts w:ascii="Times New Roman" w:hAnsi="Times New Roman"/>
          <w:b w:val="0"/>
          <w:sz w:val="24"/>
          <w:szCs w:val="24"/>
        </w:rPr>
      </w:pPr>
      <w:r w:rsidRPr="00A325A0">
        <w:rPr>
          <w:rFonts w:ascii="Times New Roman" w:hAnsi="Times New Roman"/>
          <w:b w:val="0"/>
          <w:sz w:val="24"/>
          <w:szCs w:val="24"/>
        </w:rPr>
        <w:t xml:space="preserve">Spatial regional </w:t>
      </w:r>
      <w:r w:rsidR="009D3A1E" w:rsidRPr="00A325A0">
        <w:rPr>
          <w:rFonts w:ascii="Times New Roman" w:hAnsi="Times New Roman"/>
          <w:b w:val="0"/>
          <w:sz w:val="24"/>
          <w:szCs w:val="24"/>
        </w:rPr>
        <w:t>integration</w:t>
      </w:r>
      <w:r w:rsidRPr="00A325A0">
        <w:rPr>
          <w:rFonts w:ascii="Times New Roman" w:hAnsi="Times New Roman"/>
          <w:b w:val="0"/>
          <w:sz w:val="24"/>
          <w:szCs w:val="24"/>
        </w:rPr>
        <w:t xml:space="preserve"> zones/spatial contracts; and</w:t>
      </w:r>
    </w:p>
    <w:p w:rsidR="004129A8" w:rsidRPr="00A325A0" w:rsidRDefault="009D3A1E" w:rsidP="00A325A0">
      <w:pPr>
        <w:pStyle w:val="Normalbold"/>
        <w:numPr>
          <w:ilvl w:val="0"/>
          <w:numId w:val="26"/>
        </w:numPr>
        <w:spacing w:line="360" w:lineRule="auto"/>
        <w:jc w:val="both"/>
        <w:rPr>
          <w:rFonts w:ascii="Times New Roman" w:hAnsi="Times New Roman"/>
          <w:b w:val="0"/>
          <w:sz w:val="24"/>
          <w:szCs w:val="24"/>
        </w:rPr>
      </w:pPr>
      <w:r w:rsidRPr="00A325A0">
        <w:rPr>
          <w:rFonts w:ascii="Times New Roman" w:hAnsi="Times New Roman"/>
          <w:b w:val="0"/>
          <w:sz w:val="24"/>
          <w:szCs w:val="24"/>
        </w:rPr>
        <w:t>Strengthen capacity and role of provincial COGTA departments.</w:t>
      </w:r>
    </w:p>
    <w:p w:rsidR="00643668" w:rsidRPr="00A325A0" w:rsidRDefault="00643668" w:rsidP="00A325A0">
      <w:pPr>
        <w:pStyle w:val="Normalbold"/>
        <w:spacing w:line="360" w:lineRule="auto"/>
        <w:jc w:val="both"/>
        <w:rPr>
          <w:rFonts w:ascii="Times New Roman" w:hAnsi="Times New Roman"/>
          <w:sz w:val="24"/>
          <w:szCs w:val="24"/>
        </w:rPr>
      </w:pPr>
    </w:p>
    <w:p w:rsidR="00D61C88" w:rsidRPr="00A325A0" w:rsidRDefault="00B12132" w:rsidP="00A325A0">
      <w:pPr>
        <w:pStyle w:val="Normalbold"/>
        <w:spacing w:line="360" w:lineRule="auto"/>
        <w:jc w:val="both"/>
        <w:rPr>
          <w:rFonts w:ascii="Times New Roman" w:hAnsi="Times New Roman"/>
          <w:b w:val="0"/>
          <w:sz w:val="24"/>
          <w:szCs w:val="24"/>
        </w:rPr>
      </w:pPr>
      <w:r w:rsidRPr="00A325A0">
        <w:rPr>
          <w:rFonts w:ascii="Times New Roman" w:hAnsi="Times New Roman"/>
          <w:b w:val="0"/>
          <w:sz w:val="24"/>
          <w:szCs w:val="24"/>
        </w:rPr>
        <w:t xml:space="preserve">The </w:t>
      </w:r>
      <w:proofErr w:type="gramStart"/>
      <w:r w:rsidRPr="00A325A0">
        <w:rPr>
          <w:rFonts w:ascii="Times New Roman" w:hAnsi="Times New Roman"/>
          <w:b w:val="0"/>
          <w:sz w:val="24"/>
          <w:szCs w:val="24"/>
        </w:rPr>
        <w:t>number of municipalities have</w:t>
      </w:r>
      <w:proofErr w:type="gramEnd"/>
      <w:r w:rsidRPr="00A325A0">
        <w:rPr>
          <w:rFonts w:ascii="Times New Roman" w:hAnsi="Times New Roman"/>
          <w:b w:val="0"/>
          <w:sz w:val="24"/>
          <w:szCs w:val="24"/>
        </w:rPr>
        <w:t xml:space="preserve"> been reduced from 278 to 257 following the municipal demarcation process. The category of municipalities that ha</w:t>
      </w:r>
      <w:r w:rsidR="00E95B29" w:rsidRPr="00A325A0">
        <w:rPr>
          <w:rFonts w:ascii="Times New Roman" w:hAnsi="Times New Roman"/>
          <w:b w:val="0"/>
          <w:sz w:val="24"/>
          <w:szCs w:val="24"/>
        </w:rPr>
        <w:t>s</w:t>
      </w:r>
      <w:r w:rsidRPr="00A325A0">
        <w:rPr>
          <w:rFonts w:ascii="Times New Roman" w:hAnsi="Times New Roman"/>
          <w:b w:val="0"/>
          <w:sz w:val="24"/>
          <w:szCs w:val="24"/>
        </w:rPr>
        <w:t xml:space="preserve"> been affected </w:t>
      </w:r>
      <w:proofErr w:type="gramStart"/>
      <w:r w:rsidR="00E95B29" w:rsidRPr="00A325A0">
        <w:rPr>
          <w:rFonts w:ascii="Times New Roman" w:hAnsi="Times New Roman"/>
          <w:b w:val="0"/>
          <w:sz w:val="24"/>
          <w:szCs w:val="24"/>
        </w:rPr>
        <w:t xml:space="preserve">are </w:t>
      </w:r>
      <w:r w:rsidRPr="00A325A0">
        <w:rPr>
          <w:rFonts w:ascii="Times New Roman" w:hAnsi="Times New Roman"/>
          <w:b w:val="0"/>
          <w:sz w:val="24"/>
          <w:szCs w:val="24"/>
        </w:rPr>
        <w:t xml:space="preserve"> local</w:t>
      </w:r>
      <w:proofErr w:type="gramEnd"/>
      <w:r w:rsidRPr="00A325A0">
        <w:rPr>
          <w:rFonts w:ascii="Times New Roman" w:hAnsi="Times New Roman"/>
          <w:b w:val="0"/>
          <w:sz w:val="24"/>
          <w:szCs w:val="24"/>
        </w:rPr>
        <w:t xml:space="preserve"> municipalities which ha</w:t>
      </w:r>
      <w:r w:rsidR="00E95B29" w:rsidRPr="00A325A0">
        <w:rPr>
          <w:rFonts w:ascii="Times New Roman" w:hAnsi="Times New Roman"/>
          <w:b w:val="0"/>
          <w:sz w:val="24"/>
          <w:szCs w:val="24"/>
        </w:rPr>
        <w:t>ve</w:t>
      </w:r>
      <w:r w:rsidRPr="00A325A0">
        <w:rPr>
          <w:rFonts w:ascii="Times New Roman" w:hAnsi="Times New Roman"/>
          <w:b w:val="0"/>
          <w:sz w:val="24"/>
          <w:szCs w:val="24"/>
        </w:rPr>
        <w:t xml:space="preserve"> been reduced from 226 to 205. Support to municipalities undergoing transition will be a key priority for the department.   </w:t>
      </w:r>
      <w:r w:rsidR="00D61C88" w:rsidRPr="00A325A0">
        <w:rPr>
          <w:rFonts w:ascii="Times New Roman" w:hAnsi="Times New Roman"/>
          <w:b w:val="0"/>
          <w:sz w:val="24"/>
          <w:szCs w:val="24"/>
        </w:rPr>
        <w:t>The other key priority for the sector in 2016 is the holding of the</w:t>
      </w:r>
      <w:r w:rsidR="00BF00E1" w:rsidRPr="00A325A0">
        <w:rPr>
          <w:rFonts w:ascii="Times New Roman" w:hAnsi="Times New Roman"/>
          <w:b w:val="0"/>
          <w:sz w:val="24"/>
          <w:szCs w:val="24"/>
        </w:rPr>
        <w:t xml:space="preserve"> local government </w:t>
      </w:r>
      <w:r w:rsidR="00D61C88" w:rsidRPr="00A325A0">
        <w:rPr>
          <w:rFonts w:ascii="Times New Roman" w:hAnsi="Times New Roman"/>
          <w:b w:val="0"/>
          <w:sz w:val="24"/>
          <w:szCs w:val="24"/>
        </w:rPr>
        <w:t>elections.</w:t>
      </w:r>
    </w:p>
    <w:p w:rsidR="00643668" w:rsidRPr="00A325A0" w:rsidRDefault="00643668" w:rsidP="00A325A0">
      <w:pPr>
        <w:pStyle w:val="Normalbold"/>
        <w:spacing w:line="360" w:lineRule="auto"/>
        <w:ind w:left="360"/>
        <w:jc w:val="both"/>
        <w:rPr>
          <w:rFonts w:ascii="Times New Roman" w:hAnsi="Times New Roman"/>
          <w:b w:val="0"/>
          <w:sz w:val="24"/>
          <w:szCs w:val="24"/>
        </w:rPr>
      </w:pPr>
    </w:p>
    <w:p w:rsidR="00643668" w:rsidRPr="00A325A0" w:rsidRDefault="00643668" w:rsidP="00A325A0">
      <w:pPr>
        <w:pStyle w:val="Normalbold"/>
        <w:spacing w:line="360" w:lineRule="auto"/>
        <w:ind w:left="360"/>
        <w:jc w:val="both"/>
        <w:rPr>
          <w:rFonts w:ascii="Times New Roman" w:hAnsi="Times New Roman"/>
          <w:sz w:val="24"/>
          <w:szCs w:val="24"/>
        </w:rPr>
      </w:pPr>
    </w:p>
    <w:p w:rsidR="00C43CF1" w:rsidRPr="00A325A0" w:rsidRDefault="004919B3" w:rsidP="00A325A0">
      <w:pPr>
        <w:pStyle w:val="Normalbold"/>
        <w:numPr>
          <w:ilvl w:val="0"/>
          <w:numId w:val="4"/>
        </w:numPr>
        <w:spacing w:line="360" w:lineRule="auto"/>
        <w:jc w:val="both"/>
        <w:rPr>
          <w:rFonts w:ascii="Times New Roman" w:hAnsi="Times New Roman"/>
          <w:sz w:val="24"/>
          <w:szCs w:val="24"/>
        </w:rPr>
      </w:pPr>
      <w:r w:rsidRPr="00A325A0">
        <w:rPr>
          <w:rFonts w:ascii="Times New Roman" w:hAnsi="Times New Roman"/>
          <w:sz w:val="24"/>
          <w:szCs w:val="24"/>
        </w:rPr>
        <w:t xml:space="preserve">KEY ELEMENTS FOR THE DEPARTMENT FROM </w:t>
      </w:r>
      <w:r w:rsidR="003373F1" w:rsidRPr="00A325A0">
        <w:rPr>
          <w:rFonts w:ascii="Times New Roman" w:hAnsi="Times New Roman"/>
          <w:sz w:val="24"/>
          <w:szCs w:val="24"/>
        </w:rPr>
        <w:t xml:space="preserve">THE </w:t>
      </w:r>
      <w:r w:rsidRPr="00A325A0">
        <w:rPr>
          <w:rFonts w:ascii="Times New Roman" w:hAnsi="Times New Roman"/>
          <w:sz w:val="24"/>
          <w:szCs w:val="24"/>
        </w:rPr>
        <w:t>STATE OF THE NATION ADDRESS 2016</w:t>
      </w:r>
    </w:p>
    <w:p w:rsidR="00C43CF1" w:rsidRPr="00A325A0" w:rsidRDefault="00C43CF1" w:rsidP="00A325A0">
      <w:pPr>
        <w:pStyle w:val="Normalbold"/>
        <w:spacing w:line="360" w:lineRule="auto"/>
        <w:jc w:val="both"/>
        <w:rPr>
          <w:rFonts w:ascii="Times New Roman" w:hAnsi="Times New Roman"/>
          <w:sz w:val="24"/>
          <w:szCs w:val="24"/>
        </w:rPr>
      </w:pPr>
    </w:p>
    <w:p w:rsidR="00C43CF1" w:rsidRPr="00A325A0" w:rsidRDefault="00C43CF1" w:rsidP="00A325A0">
      <w:pPr>
        <w:pStyle w:val="Normalbold"/>
        <w:spacing w:line="360" w:lineRule="auto"/>
        <w:jc w:val="both"/>
        <w:rPr>
          <w:rFonts w:ascii="Times New Roman" w:hAnsi="Times New Roman"/>
          <w:b w:val="0"/>
          <w:sz w:val="24"/>
          <w:szCs w:val="24"/>
        </w:rPr>
      </w:pPr>
      <w:r w:rsidRPr="00A325A0">
        <w:rPr>
          <w:rFonts w:ascii="Times New Roman" w:hAnsi="Times New Roman"/>
          <w:b w:val="0"/>
          <w:sz w:val="24"/>
          <w:szCs w:val="24"/>
        </w:rPr>
        <w:t xml:space="preserve">The 2016 State of the Nation Address </w:t>
      </w:r>
      <w:r w:rsidR="00923C69" w:rsidRPr="00A325A0">
        <w:rPr>
          <w:rFonts w:ascii="Times New Roman" w:hAnsi="Times New Roman"/>
          <w:b w:val="0"/>
          <w:sz w:val="24"/>
          <w:szCs w:val="24"/>
        </w:rPr>
        <w:t xml:space="preserve">(SONA) </w:t>
      </w:r>
      <w:r w:rsidRPr="00A325A0">
        <w:rPr>
          <w:rFonts w:ascii="Times New Roman" w:hAnsi="Times New Roman"/>
          <w:b w:val="0"/>
          <w:sz w:val="24"/>
          <w:szCs w:val="24"/>
        </w:rPr>
        <w:t xml:space="preserve">focused strongly on the current economic situation facing the country. Of critical importance </w:t>
      </w:r>
      <w:proofErr w:type="gramStart"/>
      <w:r w:rsidRPr="00A325A0">
        <w:rPr>
          <w:rFonts w:ascii="Times New Roman" w:hAnsi="Times New Roman"/>
          <w:b w:val="0"/>
          <w:sz w:val="24"/>
          <w:szCs w:val="24"/>
        </w:rPr>
        <w:t>was the cost containment measures</w:t>
      </w:r>
      <w:proofErr w:type="gramEnd"/>
      <w:r w:rsidRPr="00A325A0">
        <w:rPr>
          <w:rFonts w:ascii="Times New Roman" w:hAnsi="Times New Roman"/>
          <w:b w:val="0"/>
          <w:sz w:val="24"/>
          <w:szCs w:val="24"/>
        </w:rPr>
        <w:t xml:space="preserve">, </w:t>
      </w:r>
      <w:r w:rsidR="004C63EE" w:rsidRPr="00A325A0">
        <w:rPr>
          <w:rFonts w:ascii="Times New Roman" w:hAnsi="Times New Roman"/>
          <w:b w:val="0"/>
          <w:sz w:val="24"/>
          <w:szCs w:val="24"/>
        </w:rPr>
        <w:t>especially the invitation by the President to all Premiers of the nine provinces as well as Mayors to join in eliminating wasteful expenditure. The implementation of the Back to Basics programme was emphasized. It was emphasized that the second phase of the implementation of the programme</w:t>
      </w:r>
      <w:r w:rsidR="00923C69" w:rsidRPr="00A325A0">
        <w:rPr>
          <w:rFonts w:ascii="Times New Roman" w:hAnsi="Times New Roman"/>
          <w:b w:val="0"/>
          <w:sz w:val="24"/>
          <w:szCs w:val="24"/>
        </w:rPr>
        <w:t xml:space="preserve"> would entail</w:t>
      </w:r>
      <w:r w:rsidR="004C63EE" w:rsidRPr="00A325A0">
        <w:rPr>
          <w:rFonts w:ascii="Times New Roman" w:hAnsi="Times New Roman"/>
          <w:b w:val="0"/>
          <w:sz w:val="24"/>
          <w:szCs w:val="24"/>
        </w:rPr>
        <w:t xml:space="preserve"> national government </w:t>
      </w:r>
      <w:r w:rsidR="00923C69" w:rsidRPr="00A325A0">
        <w:rPr>
          <w:rFonts w:ascii="Times New Roman" w:hAnsi="Times New Roman"/>
          <w:b w:val="0"/>
          <w:sz w:val="24"/>
          <w:szCs w:val="24"/>
        </w:rPr>
        <w:t>becoming</w:t>
      </w:r>
      <w:r w:rsidR="004C63EE" w:rsidRPr="00A325A0">
        <w:rPr>
          <w:rFonts w:ascii="Times New Roman" w:hAnsi="Times New Roman"/>
          <w:b w:val="0"/>
          <w:sz w:val="24"/>
          <w:szCs w:val="24"/>
        </w:rPr>
        <w:t xml:space="preserve"> engage</w:t>
      </w:r>
      <w:r w:rsidR="00923C69" w:rsidRPr="00A325A0">
        <w:rPr>
          <w:rFonts w:ascii="Times New Roman" w:hAnsi="Times New Roman"/>
          <w:b w:val="0"/>
          <w:sz w:val="24"/>
          <w:szCs w:val="24"/>
        </w:rPr>
        <w:t>d</w:t>
      </w:r>
      <w:r w:rsidR="004C63EE" w:rsidRPr="00A325A0">
        <w:rPr>
          <w:rFonts w:ascii="Times New Roman" w:hAnsi="Times New Roman"/>
          <w:b w:val="0"/>
          <w:sz w:val="24"/>
          <w:szCs w:val="24"/>
        </w:rPr>
        <w:t xml:space="preserve"> in more active monitoring and accountability measures. </w:t>
      </w:r>
    </w:p>
    <w:p w:rsidR="004C63EE" w:rsidRPr="00A325A0" w:rsidRDefault="004C63EE" w:rsidP="00A325A0">
      <w:pPr>
        <w:pStyle w:val="Normalbold"/>
        <w:spacing w:line="360" w:lineRule="auto"/>
        <w:jc w:val="both"/>
        <w:rPr>
          <w:rFonts w:ascii="Times New Roman" w:hAnsi="Times New Roman"/>
          <w:b w:val="0"/>
          <w:sz w:val="24"/>
          <w:szCs w:val="24"/>
        </w:rPr>
      </w:pPr>
    </w:p>
    <w:p w:rsidR="004C63EE" w:rsidRPr="00A325A0" w:rsidRDefault="004C63EE" w:rsidP="00A325A0">
      <w:pPr>
        <w:pStyle w:val="Normalbold"/>
        <w:spacing w:line="360" w:lineRule="auto"/>
        <w:jc w:val="both"/>
        <w:rPr>
          <w:rFonts w:ascii="Times New Roman" w:hAnsi="Times New Roman"/>
          <w:b w:val="0"/>
          <w:sz w:val="24"/>
          <w:szCs w:val="24"/>
        </w:rPr>
      </w:pPr>
      <w:r w:rsidRPr="00A325A0">
        <w:rPr>
          <w:rFonts w:ascii="Times New Roman" w:hAnsi="Times New Roman"/>
          <w:b w:val="0"/>
          <w:sz w:val="24"/>
          <w:szCs w:val="24"/>
        </w:rPr>
        <w:t xml:space="preserve">The measures as outlined in the </w:t>
      </w:r>
      <w:r w:rsidR="00923C69" w:rsidRPr="00A325A0">
        <w:rPr>
          <w:rFonts w:ascii="Times New Roman" w:hAnsi="Times New Roman"/>
          <w:b w:val="0"/>
          <w:sz w:val="24"/>
          <w:szCs w:val="24"/>
        </w:rPr>
        <w:t>SONA</w:t>
      </w:r>
      <w:r w:rsidRPr="00A325A0">
        <w:rPr>
          <w:rFonts w:ascii="Times New Roman" w:hAnsi="Times New Roman"/>
          <w:b w:val="0"/>
          <w:sz w:val="24"/>
          <w:szCs w:val="24"/>
        </w:rPr>
        <w:t xml:space="preserve"> include unannounced municipal visits, spot checks of supply chain management processes, the implementation of recommendations of forensic reports, site visits </w:t>
      </w:r>
      <w:r w:rsidR="00615E91" w:rsidRPr="00A325A0">
        <w:rPr>
          <w:rFonts w:ascii="Times New Roman" w:hAnsi="Times New Roman"/>
          <w:b w:val="0"/>
          <w:sz w:val="24"/>
          <w:szCs w:val="24"/>
        </w:rPr>
        <w:t>to Municipal</w:t>
      </w:r>
      <w:r w:rsidRPr="00A325A0">
        <w:rPr>
          <w:rFonts w:ascii="Times New Roman" w:hAnsi="Times New Roman"/>
          <w:b w:val="0"/>
          <w:sz w:val="24"/>
          <w:szCs w:val="24"/>
        </w:rPr>
        <w:t xml:space="preserve"> Infrastructure Grant</w:t>
      </w:r>
      <w:r w:rsidR="00923C69" w:rsidRPr="00A325A0">
        <w:rPr>
          <w:rFonts w:ascii="Times New Roman" w:hAnsi="Times New Roman"/>
          <w:b w:val="0"/>
          <w:sz w:val="24"/>
          <w:szCs w:val="24"/>
        </w:rPr>
        <w:t>-</w:t>
      </w:r>
      <w:r w:rsidRPr="00A325A0">
        <w:rPr>
          <w:rFonts w:ascii="Times New Roman" w:hAnsi="Times New Roman"/>
          <w:b w:val="0"/>
          <w:sz w:val="24"/>
          <w:szCs w:val="24"/>
        </w:rPr>
        <w:t>funded projects and increased interventions to assist struggling municipalities.</w:t>
      </w:r>
    </w:p>
    <w:p w:rsidR="00C43CF1" w:rsidRPr="00A325A0" w:rsidRDefault="00C43CF1" w:rsidP="00A325A0">
      <w:pPr>
        <w:pStyle w:val="Normalbold"/>
        <w:spacing w:line="360" w:lineRule="auto"/>
        <w:ind w:left="360"/>
        <w:jc w:val="both"/>
        <w:rPr>
          <w:rFonts w:ascii="Times New Roman" w:hAnsi="Times New Roman"/>
          <w:sz w:val="24"/>
          <w:szCs w:val="24"/>
        </w:rPr>
      </w:pPr>
    </w:p>
    <w:p w:rsidR="004919B3" w:rsidRPr="00A325A0" w:rsidRDefault="004919B3" w:rsidP="00A325A0">
      <w:pPr>
        <w:pStyle w:val="Normalbold"/>
        <w:numPr>
          <w:ilvl w:val="0"/>
          <w:numId w:val="4"/>
        </w:numPr>
        <w:spacing w:line="360" w:lineRule="auto"/>
        <w:jc w:val="both"/>
        <w:rPr>
          <w:rFonts w:ascii="Times New Roman" w:hAnsi="Times New Roman"/>
          <w:sz w:val="24"/>
          <w:szCs w:val="24"/>
        </w:rPr>
      </w:pPr>
      <w:r w:rsidRPr="00A325A0">
        <w:rPr>
          <w:rFonts w:ascii="Times New Roman" w:hAnsi="Times New Roman"/>
          <w:sz w:val="24"/>
          <w:szCs w:val="24"/>
        </w:rPr>
        <w:t xml:space="preserve">ALIGNMENT OF </w:t>
      </w:r>
      <w:r w:rsidR="00923C69" w:rsidRPr="00A325A0">
        <w:rPr>
          <w:rFonts w:ascii="Times New Roman" w:hAnsi="Times New Roman"/>
          <w:sz w:val="24"/>
          <w:szCs w:val="24"/>
        </w:rPr>
        <w:t xml:space="preserve">THE </w:t>
      </w:r>
      <w:r w:rsidRPr="00A325A0">
        <w:rPr>
          <w:rFonts w:ascii="Times New Roman" w:hAnsi="Times New Roman"/>
          <w:sz w:val="24"/>
          <w:szCs w:val="24"/>
        </w:rPr>
        <w:t>DEPARTMENT</w:t>
      </w:r>
      <w:r w:rsidR="00923C69" w:rsidRPr="00A325A0">
        <w:rPr>
          <w:rFonts w:ascii="Times New Roman" w:hAnsi="Times New Roman"/>
          <w:sz w:val="24"/>
          <w:szCs w:val="24"/>
        </w:rPr>
        <w:t>AL</w:t>
      </w:r>
      <w:r w:rsidRPr="00A325A0">
        <w:rPr>
          <w:rFonts w:ascii="Times New Roman" w:hAnsi="Times New Roman"/>
          <w:sz w:val="24"/>
          <w:szCs w:val="24"/>
        </w:rPr>
        <w:t xml:space="preserve"> STRATEGY TO NATIONAL PRIORITIES</w:t>
      </w:r>
    </w:p>
    <w:p w:rsidR="00C63DFB" w:rsidRPr="00A325A0" w:rsidRDefault="00C63DFB" w:rsidP="00A325A0">
      <w:pPr>
        <w:pStyle w:val="Normalbold"/>
        <w:spacing w:line="360" w:lineRule="auto"/>
        <w:jc w:val="both"/>
        <w:rPr>
          <w:rFonts w:ascii="Times New Roman" w:hAnsi="Times New Roman"/>
          <w:sz w:val="24"/>
          <w:szCs w:val="24"/>
        </w:rPr>
      </w:pPr>
    </w:p>
    <w:p w:rsidR="00C63DFB" w:rsidRPr="00A325A0" w:rsidRDefault="00C63DFB" w:rsidP="00A325A0">
      <w:pPr>
        <w:pStyle w:val="Normalbold"/>
        <w:spacing w:line="360" w:lineRule="auto"/>
        <w:jc w:val="both"/>
        <w:rPr>
          <w:rFonts w:ascii="Times New Roman" w:hAnsi="Times New Roman"/>
          <w:b w:val="0"/>
          <w:sz w:val="24"/>
          <w:szCs w:val="24"/>
        </w:rPr>
      </w:pPr>
      <w:r w:rsidRPr="00A325A0">
        <w:rPr>
          <w:rFonts w:ascii="Times New Roman" w:hAnsi="Times New Roman"/>
          <w:b w:val="0"/>
          <w:sz w:val="24"/>
          <w:szCs w:val="24"/>
        </w:rPr>
        <w:t>In the 201</w:t>
      </w:r>
      <w:r w:rsidR="00E70572" w:rsidRPr="00A325A0">
        <w:rPr>
          <w:rFonts w:ascii="Times New Roman" w:hAnsi="Times New Roman"/>
          <w:b w:val="0"/>
          <w:sz w:val="24"/>
          <w:szCs w:val="24"/>
        </w:rPr>
        <w:t>6</w:t>
      </w:r>
      <w:r w:rsidRPr="00A325A0">
        <w:rPr>
          <w:rFonts w:ascii="Times New Roman" w:hAnsi="Times New Roman"/>
          <w:b w:val="0"/>
          <w:sz w:val="24"/>
          <w:szCs w:val="24"/>
        </w:rPr>
        <w:t>/1</w:t>
      </w:r>
      <w:r w:rsidR="00E70572" w:rsidRPr="00A325A0">
        <w:rPr>
          <w:rFonts w:ascii="Times New Roman" w:hAnsi="Times New Roman"/>
          <w:b w:val="0"/>
          <w:sz w:val="24"/>
          <w:szCs w:val="24"/>
        </w:rPr>
        <w:t>7</w:t>
      </w:r>
      <w:r w:rsidRPr="00A325A0">
        <w:rPr>
          <w:rFonts w:ascii="Times New Roman" w:hAnsi="Times New Roman"/>
          <w:b w:val="0"/>
          <w:sz w:val="24"/>
          <w:szCs w:val="24"/>
        </w:rPr>
        <w:t xml:space="preserve"> Annual Performance Plan, the </w:t>
      </w:r>
      <w:r w:rsidR="00923C69" w:rsidRPr="00A325A0">
        <w:rPr>
          <w:rFonts w:ascii="Times New Roman" w:hAnsi="Times New Roman"/>
          <w:b w:val="0"/>
          <w:sz w:val="24"/>
          <w:szCs w:val="24"/>
        </w:rPr>
        <w:t>D</w:t>
      </w:r>
      <w:r w:rsidRPr="00A325A0">
        <w:rPr>
          <w:rFonts w:ascii="Times New Roman" w:hAnsi="Times New Roman"/>
          <w:b w:val="0"/>
          <w:sz w:val="24"/>
          <w:szCs w:val="24"/>
        </w:rPr>
        <w:t xml:space="preserve">epartment indicated that the Back to Basics approach requires the </w:t>
      </w:r>
      <w:r w:rsidR="00923C69" w:rsidRPr="00A325A0">
        <w:rPr>
          <w:rFonts w:ascii="Times New Roman" w:hAnsi="Times New Roman"/>
          <w:b w:val="0"/>
          <w:sz w:val="24"/>
          <w:szCs w:val="24"/>
        </w:rPr>
        <w:t>D</w:t>
      </w:r>
      <w:r w:rsidRPr="00A325A0">
        <w:rPr>
          <w:rFonts w:ascii="Times New Roman" w:hAnsi="Times New Roman"/>
          <w:b w:val="0"/>
          <w:sz w:val="24"/>
          <w:szCs w:val="24"/>
        </w:rPr>
        <w:t>epartment to relo</w:t>
      </w:r>
      <w:r w:rsidR="00923C69" w:rsidRPr="00A325A0">
        <w:rPr>
          <w:rFonts w:ascii="Times New Roman" w:hAnsi="Times New Roman"/>
          <w:b w:val="0"/>
          <w:sz w:val="24"/>
          <w:szCs w:val="24"/>
        </w:rPr>
        <w:t>o</w:t>
      </w:r>
      <w:r w:rsidRPr="00A325A0">
        <w:rPr>
          <w:rFonts w:ascii="Times New Roman" w:hAnsi="Times New Roman"/>
          <w:b w:val="0"/>
          <w:sz w:val="24"/>
          <w:szCs w:val="24"/>
        </w:rPr>
        <w:t xml:space="preserve">k at its role and structure and </w:t>
      </w:r>
      <w:r w:rsidR="00923C69" w:rsidRPr="00A325A0">
        <w:rPr>
          <w:rFonts w:ascii="Times New Roman" w:hAnsi="Times New Roman"/>
          <w:b w:val="0"/>
          <w:sz w:val="24"/>
          <w:szCs w:val="24"/>
        </w:rPr>
        <w:t>re</w:t>
      </w:r>
      <w:r w:rsidRPr="00A325A0">
        <w:rPr>
          <w:rFonts w:ascii="Times New Roman" w:hAnsi="Times New Roman"/>
          <w:b w:val="0"/>
          <w:sz w:val="24"/>
          <w:szCs w:val="24"/>
        </w:rPr>
        <w:t xml:space="preserve">configure itself to be able to deliver the second phase of the programme. </w:t>
      </w:r>
      <w:r w:rsidR="007E7E44" w:rsidRPr="00A325A0">
        <w:rPr>
          <w:rFonts w:ascii="Times New Roman" w:hAnsi="Times New Roman"/>
          <w:b w:val="0"/>
          <w:sz w:val="24"/>
          <w:szCs w:val="24"/>
        </w:rPr>
        <w:t xml:space="preserve">The </w:t>
      </w:r>
      <w:r w:rsidR="007E7E44" w:rsidRPr="00A325A0">
        <w:rPr>
          <w:rFonts w:ascii="Times New Roman" w:hAnsi="Times New Roman"/>
          <w:b w:val="0"/>
          <w:sz w:val="24"/>
          <w:szCs w:val="24"/>
        </w:rPr>
        <w:lastRenderedPageBreak/>
        <w:t>Department has internally established the following organisational structure in response to the Back to Basics Programme:</w:t>
      </w:r>
    </w:p>
    <w:p w:rsidR="007E7E44" w:rsidRPr="00A325A0" w:rsidRDefault="007E7E44" w:rsidP="00A325A0">
      <w:pPr>
        <w:pStyle w:val="Normalbold"/>
        <w:spacing w:line="360" w:lineRule="auto"/>
        <w:jc w:val="both"/>
        <w:rPr>
          <w:rFonts w:ascii="Times New Roman" w:hAnsi="Times New Roman"/>
          <w:b w:val="0"/>
          <w:sz w:val="24"/>
          <w:szCs w:val="24"/>
        </w:rPr>
      </w:pPr>
    </w:p>
    <w:p w:rsidR="00923C69" w:rsidRPr="00A325A0" w:rsidRDefault="007E7E44" w:rsidP="00A325A0">
      <w:pPr>
        <w:pStyle w:val="Normalbold"/>
        <w:numPr>
          <w:ilvl w:val="0"/>
          <w:numId w:val="27"/>
        </w:numPr>
        <w:spacing w:line="360" w:lineRule="auto"/>
        <w:jc w:val="both"/>
        <w:rPr>
          <w:rFonts w:ascii="Times New Roman" w:hAnsi="Times New Roman"/>
          <w:b w:val="0"/>
          <w:sz w:val="24"/>
          <w:szCs w:val="24"/>
        </w:rPr>
      </w:pPr>
      <w:r w:rsidRPr="00A325A0">
        <w:rPr>
          <w:rFonts w:ascii="Times New Roman" w:hAnsi="Times New Roman"/>
          <w:sz w:val="24"/>
          <w:szCs w:val="24"/>
        </w:rPr>
        <w:t>Programme 1: Administration</w:t>
      </w:r>
    </w:p>
    <w:p w:rsidR="007E7E44" w:rsidRPr="00A325A0" w:rsidRDefault="007E7E44" w:rsidP="00A325A0">
      <w:pPr>
        <w:pStyle w:val="Normalbold"/>
        <w:spacing w:line="360" w:lineRule="auto"/>
        <w:ind w:left="360"/>
        <w:jc w:val="both"/>
        <w:rPr>
          <w:rFonts w:ascii="Times New Roman" w:hAnsi="Times New Roman"/>
          <w:b w:val="0"/>
          <w:sz w:val="24"/>
          <w:szCs w:val="24"/>
        </w:rPr>
      </w:pPr>
      <w:r w:rsidRPr="00A325A0">
        <w:rPr>
          <w:rFonts w:ascii="Times New Roman" w:hAnsi="Times New Roman"/>
          <w:b w:val="0"/>
          <w:sz w:val="24"/>
          <w:szCs w:val="24"/>
        </w:rPr>
        <w:t>This programme provides strategic leadership management and support services to the Department and includes the Office of the Director</w:t>
      </w:r>
      <w:r w:rsidR="00923C69" w:rsidRPr="00A325A0">
        <w:rPr>
          <w:rFonts w:ascii="Times New Roman" w:hAnsi="Times New Roman"/>
          <w:b w:val="0"/>
          <w:sz w:val="24"/>
          <w:szCs w:val="24"/>
        </w:rPr>
        <w:t>-</w:t>
      </w:r>
      <w:r w:rsidRPr="00A325A0">
        <w:rPr>
          <w:rFonts w:ascii="Times New Roman" w:hAnsi="Times New Roman"/>
          <w:b w:val="0"/>
          <w:sz w:val="24"/>
          <w:szCs w:val="24"/>
        </w:rPr>
        <w:t>General, Financial and Corporate Management Services.</w:t>
      </w:r>
    </w:p>
    <w:p w:rsidR="00923C69" w:rsidRPr="00A325A0" w:rsidRDefault="00923C69" w:rsidP="00A325A0">
      <w:pPr>
        <w:pStyle w:val="Normalbold"/>
        <w:spacing w:line="360" w:lineRule="auto"/>
        <w:ind w:left="360"/>
        <w:jc w:val="both"/>
        <w:rPr>
          <w:rFonts w:ascii="Times New Roman" w:hAnsi="Times New Roman"/>
          <w:b w:val="0"/>
          <w:sz w:val="24"/>
          <w:szCs w:val="24"/>
        </w:rPr>
      </w:pPr>
    </w:p>
    <w:p w:rsidR="00923C69" w:rsidRPr="00A325A0" w:rsidRDefault="007E7E44" w:rsidP="00A325A0">
      <w:pPr>
        <w:pStyle w:val="Normalbold"/>
        <w:numPr>
          <w:ilvl w:val="0"/>
          <w:numId w:val="27"/>
        </w:numPr>
        <w:spacing w:line="360" w:lineRule="auto"/>
        <w:jc w:val="both"/>
        <w:rPr>
          <w:rFonts w:ascii="Times New Roman" w:hAnsi="Times New Roman"/>
          <w:b w:val="0"/>
          <w:sz w:val="24"/>
          <w:szCs w:val="24"/>
        </w:rPr>
      </w:pPr>
      <w:r w:rsidRPr="00A325A0">
        <w:rPr>
          <w:rFonts w:ascii="Times New Roman" w:hAnsi="Times New Roman"/>
          <w:sz w:val="24"/>
          <w:szCs w:val="24"/>
        </w:rPr>
        <w:t>Programme 2: Regional and Urban Development and Legislative Support</w:t>
      </w:r>
      <w:r w:rsidRPr="00A325A0">
        <w:rPr>
          <w:rFonts w:ascii="Times New Roman" w:hAnsi="Times New Roman"/>
          <w:b w:val="0"/>
          <w:sz w:val="24"/>
          <w:szCs w:val="24"/>
        </w:rPr>
        <w:t xml:space="preserve"> </w:t>
      </w:r>
    </w:p>
    <w:p w:rsidR="007E7E44" w:rsidRPr="00A325A0" w:rsidRDefault="007E7E44" w:rsidP="00A325A0">
      <w:pPr>
        <w:pStyle w:val="Normalbold"/>
        <w:spacing w:line="360" w:lineRule="auto"/>
        <w:ind w:left="360"/>
        <w:jc w:val="both"/>
        <w:rPr>
          <w:rFonts w:ascii="Times New Roman" w:hAnsi="Times New Roman"/>
          <w:b w:val="0"/>
          <w:sz w:val="24"/>
          <w:szCs w:val="24"/>
        </w:rPr>
      </w:pPr>
      <w:r w:rsidRPr="00A325A0">
        <w:rPr>
          <w:rFonts w:ascii="Times New Roman" w:hAnsi="Times New Roman"/>
          <w:b w:val="0"/>
          <w:sz w:val="24"/>
          <w:szCs w:val="24"/>
        </w:rPr>
        <w:t>This programme provide</w:t>
      </w:r>
      <w:r w:rsidR="00923C69" w:rsidRPr="00A325A0">
        <w:rPr>
          <w:rFonts w:ascii="Times New Roman" w:hAnsi="Times New Roman"/>
          <w:b w:val="0"/>
          <w:sz w:val="24"/>
          <w:szCs w:val="24"/>
        </w:rPr>
        <w:t>s</w:t>
      </w:r>
      <w:r w:rsidRPr="00A325A0">
        <w:rPr>
          <w:rFonts w:ascii="Times New Roman" w:hAnsi="Times New Roman"/>
          <w:b w:val="0"/>
          <w:sz w:val="24"/>
          <w:szCs w:val="24"/>
        </w:rPr>
        <w:t xml:space="preserve"> policy analysis and development in order to transform local government and improve cooperative governance.</w:t>
      </w:r>
    </w:p>
    <w:p w:rsidR="00923C69" w:rsidRPr="00A325A0" w:rsidRDefault="00923C69" w:rsidP="00A325A0">
      <w:pPr>
        <w:pStyle w:val="Normalbold"/>
        <w:spacing w:line="360" w:lineRule="auto"/>
        <w:jc w:val="both"/>
        <w:rPr>
          <w:rFonts w:ascii="Times New Roman" w:hAnsi="Times New Roman"/>
          <w:b w:val="0"/>
          <w:sz w:val="24"/>
          <w:szCs w:val="24"/>
        </w:rPr>
      </w:pPr>
    </w:p>
    <w:p w:rsidR="003406CC" w:rsidRPr="00A325A0" w:rsidRDefault="007E7E44" w:rsidP="00A325A0">
      <w:pPr>
        <w:pStyle w:val="Normalbold"/>
        <w:numPr>
          <w:ilvl w:val="0"/>
          <w:numId w:val="27"/>
        </w:numPr>
        <w:spacing w:line="360" w:lineRule="auto"/>
        <w:jc w:val="both"/>
        <w:rPr>
          <w:rFonts w:ascii="Times New Roman" w:hAnsi="Times New Roman"/>
          <w:b w:val="0"/>
          <w:sz w:val="24"/>
          <w:szCs w:val="24"/>
        </w:rPr>
      </w:pPr>
      <w:r w:rsidRPr="00A325A0">
        <w:rPr>
          <w:rFonts w:ascii="Times New Roman" w:hAnsi="Times New Roman"/>
          <w:sz w:val="24"/>
          <w:szCs w:val="24"/>
        </w:rPr>
        <w:t>Programme 3: Institutional Development</w:t>
      </w:r>
    </w:p>
    <w:p w:rsidR="007E7E44" w:rsidRPr="00A325A0" w:rsidRDefault="007E7E44" w:rsidP="00A325A0">
      <w:pPr>
        <w:pStyle w:val="Normalbold"/>
        <w:spacing w:line="360" w:lineRule="auto"/>
        <w:ind w:left="360"/>
        <w:jc w:val="both"/>
        <w:rPr>
          <w:rFonts w:ascii="Times New Roman" w:hAnsi="Times New Roman"/>
          <w:b w:val="0"/>
          <w:sz w:val="24"/>
          <w:szCs w:val="24"/>
        </w:rPr>
      </w:pPr>
      <w:r w:rsidRPr="00A325A0">
        <w:rPr>
          <w:rFonts w:ascii="Times New Roman" w:hAnsi="Times New Roman"/>
          <w:b w:val="0"/>
          <w:sz w:val="24"/>
          <w:szCs w:val="24"/>
        </w:rPr>
        <w:t>The purpose of the programme is to build institutional resilience in the local government system by supporting system development, governance, capacity building and revenue management and provide for the functions of the Department of Traditional Affairs.</w:t>
      </w:r>
    </w:p>
    <w:p w:rsidR="00923C69" w:rsidRPr="00A325A0" w:rsidRDefault="00923C69" w:rsidP="00A325A0">
      <w:pPr>
        <w:pStyle w:val="Normalbold"/>
        <w:spacing w:line="360" w:lineRule="auto"/>
        <w:jc w:val="both"/>
        <w:rPr>
          <w:rFonts w:ascii="Times New Roman" w:hAnsi="Times New Roman"/>
          <w:b w:val="0"/>
          <w:sz w:val="24"/>
          <w:szCs w:val="24"/>
        </w:rPr>
      </w:pPr>
    </w:p>
    <w:p w:rsidR="003406CC" w:rsidRPr="00A325A0" w:rsidRDefault="00816834" w:rsidP="00A325A0">
      <w:pPr>
        <w:pStyle w:val="Normalbold"/>
        <w:numPr>
          <w:ilvl w:val="0"/>
          <w:numId w:val="27"/>
        </w:numPr>
        <w:spacing w:line="360" w:lineRule="auto"/>
        <w:jc w:val="both"/>
        <w:rPr>
          <w:rFonts w:ascii="Times New Roman" w:hAnsi="Times New Roman"/>
          <w:sz w:val="24"/>
          <w:szCs w:val="24"/>
        </w:rPr>
      </w:pPr>
      <w:r w:rsidRPr="00A325A0">
        <w:rPr>
          <w:rFonts w:ascii="Times New Roman" w:hAnsi="Times New Roman"/>
          <w:sz w:val="24"/>
          <w:szCs w:val="24"/>
        </w:rPr>
        <w:t>Programme</w:t>
      </w:r>
      <w:r w:rsidR="007E7E44" w:rsidRPr="00A325A0">
        <w:rPr>
          <w:rFonts w:ascii="Times New Roman" w:hAnsi="Times New Roman"/>
          <w:sz w:val="24"/>
          <w:szCs w:val="24"/>
        </w:rPr>
        <w:t xml:space="preserve"> 4: National Disaster Management Centre</w:t>
      </w:r>
    </w:p>
    <w:p w:rsidR="007E7E44" w:rsidRPr="00A325A0" w:rsidRDefault="003406CC" w:rsidP="00A325A0">
      <w:pPr>
        <w:pStyle w:val="Normalbold"/>
        <w:spacing w:line="360" w:lineRule="auto"/>
        <w:ind w:left="360"/>
        <w:jc w:val="both"/>
        <w:rPr>
          <w:rFonts w:ascii="Times New Roman" w:hAnsi="Times New Roman"/>
          <w:b w:val="0"/>
          <w:sz w:val="24"/>
          <w:szCs w:val="24"/>
        </w:rPr>
      </w:pPr>
      <w:r w:rsidRPr="00A325A0">
        <w:rPr>
          <w:rFonts w:ascii="Times New Roman" w:hAnsi="Times New Roman"/>
          <w:b w:val="0"/>
          <w:sz w:val="24"/>
          <w:szCs w:val="24"/>
        </w:rPr>
        <w:t>T</w:t>
      </w:r>
      <w:r w:rsidR="004049C8" w:rsidRPr="00A325A0">
        <w:rPr>
          <w:rFonts w:ascii="Times New Roman" w:hAnsi="Times New Roman"/>
          <w:b w:val="0"/>
          <w:sz w:val="24"/>
          <w:szCs w:val="24"/>
        </w:rPr>
        <w:t>he purpose of this programme is to promote an integrated and coordinated system of disaster prevention, mitigation and risk management.</w:t>
      </w:r>
    </w:p>
    <w:p w:rsidR="00923C69" w:rsidRPr="00A325A0" w:rsidRDefault="00923C69" w:rsidP="00A325A0">
      <w:pPr>
        <w:pStyle w:val="Normalbold"/>
        <w:spacing w:line="360" w:lineRule="auto"/>
        <w:jc w:val="both"/>
        <w:rPr>
          <w:rFonts w:ascii="Times New Roman" w:hAnsi="Times New Roman"/>
          <w:b w:val="0"/>
          <w:sz w:val="24"/>
          <w:szCs w:val="24"/>
        </w:rPr>
      </w:pPr>
    </w:p>
    <w:p w:rsidR="003406CC" w:rsidRPr="00A325A0" w:rsidRDefault="004049C8" w:rsidP="00A325A0">
      <w:pPr>
        <w:pStyle w:val="Normalbold"/>
        <w:numPr>
          <w:ilvl w:val="0"/>
          <w:numId w:val="27"/>
        </w:numPr>
        <w:spacing w:line="360" w:lineRule="auto"/>
        <w:jc w:val="both"/>
        <w:rPr>
          <w:rFonts w:ascii="Times New Roman" w:hAnsi="Times New Roman"/>
          <w:sz w:val="24"/>
          <w:szCs w:val="24"/>
        </w:rPr>
      </w:pPr>
      <w:r w:rsidRPr="00A325A0">
        <w:rPr>
          <w:rFonts w:ascii="Times New Roman" w:hAnsi="Times New Roman"/>
          <w:sz w:val="24"/>
          <w:szCs w:val="24"/>
        </w:rPr>
        <w:t>Programme 5: Local Government Support and Interventions Management</w:t>
      </w:r>
    </w:p>
    <w:p w:rsidR="004049C8" w:rsidRPr="00A325A0" w:rsidRDefault="004049C8" w:rsidP="00A325A0">
      <w:pPr>
        <w:pStyle w:val="Normalbold"/>
        <w:spacing w:line="360" w:lineRule="auto"/>
        <w:ind w:left="360"/>
        <w:jc w:val="both"/>
        <w:rPr>
          <w:rFonts w:ascii="Times New Roman" w:hAnsi="Times New Roman"/>
          <w:b w:val="0"/>
          <w:sz w:val="24"/>
          <w:szCs w:val="24"/>
        </w:rPr>
      </w:pPr>
      <w:r w:rsidRPr="00A325A0">
        <w:rPr>
          <w:rFonts w:ascii="Times New Roman" w:hAnsi="Times New Roman"/>
          <w:b w:val="0"/>
          <w:sz w:val="24"/>
          <w:szCs w:val="24"/>
        </w:rPr>
        <w:t>This programme conduct</w:t>
      </w:r>
      <w:r w:rsidR="00DF37BB" w:rsidRPr="00A325A0">
        <w:rPr>
          <w:rFonts w:ascii="Times New Roman" w:hAnsi="Times New Roman"/>
          <w:b w:val="0"/>
          <w:sz w:val="24"/>
          <w:szCs w:val="24"/>
        </w:rPr>
        <w:t>s</w:t>
      </w:r>
      <w:r w:rsidRPr="00A325A0">
        <w:rPr>
          <w:rFonts w:ascii="Times New Roman" w:hAnsi="Times New Roman"/>
          <w:b w:val="0"/>
          <w:sz w:val="24"/>
          <w:szCs w:val="24"/>
        </w:rPr>
        <w:t xml:space="preserve"> hands-on performance monitoring, support and interventions in municipalities and provincial departments of cooperative governance that will drive Back to Basics activities</w:t>
      </w:r>
      <w:r w:rsidR="00DF37BB" w:rsidRPr="00A325A0">
        <w:rPr>
          <w:rFonts w:ascii="Times New Roman" w:hAnsi="Times New Roman"/>
          <w:b w:val="0"/>
          <w:sz w:val="24"/>
          <w:szCs w:val="24"/>
        </w:rPr>
        <w:t>.</w:t>
      </w:r>
    </w:p>
    <w:p w:rsidR="00923C69" w:rsidRPr="00A325A0" w:rsidRDefault="00923C69" w:rsidP="00A325A0">
      <w:pPr>
        <w:pStyle w:val="Normalbold"/>
        <w:spacing w:line="360" w:lineRule="auto"/>
        <w:jc w:val="both"/>
        <w:rPr>
          <w:rFonts w:ascii="Times New Roman" w:hAnsi="Times New Roman"/>
          <w:b w:val="0"/>
          <w:sz w:val="24"/>
          <w:szCs w:val="24"/>
        </w:rPr>
      </w:pPr>
    </w:p>
    <w:p w:rsidR="00DF37BB" w:rsidRPr="00A325A0" w:rsidRDefault="004049C8" w:rsidP="00A325A0">
      <w:pPr>
        <w:pStyle w:val="Normalbold"/>
        <w:numPr>
          <w:ilvl w:val="0"/>
          <w:numId w:val="27"/>
        </w:numPr>
        <w:spacing w:line="360" w:lineRule="auto"/>
        <w:jc w:val="both"/>
        <w:rPr>
          <w:rFonts w:ascii="Times New Roman" w:hAnsi="Times New Roman"/>
          <w:b w:val="0"/>
          <w:sz w:val="24"/>
          <w:szCs w:val="24"/>
        </w:rPr>
      </w:pPr>
      <w:r w:rsidRPr="00A325A0">
        <w:rPr>
          <w:rFonts w:ascii="Times New Roman" w:hAnsi="Times New Roman"/>
          <w:sz w:val="24"/>
          <w:szCs w:val="24"/>
        </w:rPr>
        <w:t>Programme 6: Community Work Programme</w:t>
      </w:r>
    </w:p>
    <w:p w:rsidR="004049C8" w:rsidRPr="00A325A0" w:rsidRDefault="004049C8" w:rsidP="00A325A0">
      <w:pPr>
        <w:pStyle w:val="Normalbold"/>
        <w:spacing w:line="360" w:lineRule="auto"/>
        <w:ind w:left="360"/>
        <w:jc w:val="both"/>
        <w:rPr>
          <w:rFonts w:ascii="Times New Roman" w:hAnsi="Times New Roman"/>
          <w:b w:val="0"/>
          <w:sz w:val="24"/>
          <w:szCs w:val="24"/>
        </w:rPr>
      </w:pPr>
      <w:r w:rsidRPr="00A325A0">
        <w:rPr>
          <w:rFonts w:ascii="Times New Roman" w:hAnsi="Times New Roman"/>
          <w:b w:val="0"/>
          <w:sz w:val="24"/>
          <w:szCs w:val="24"/>
        </w:rPr>
        <w:t>The purpose of this programme is to create income security and work experience for participants, targeting areas that promote social and economic inclusion by targeting areas of high unemployment.</w:t>
      </w:r>
    </w:p>
    <w:p w:rsidR="00C74010" w:rsidRPr="00A325A0" w:rsidRDefault="00C74010" w:rsidP="00A325A0">
      <w:pPr>
        <w:pStyle w:val="Normalbold"/>
        <w:spacing w:line="360" w:lineRule="auto"/>
        <w:jc w:val="both"/>
        <w:rPr>
          <w:rFonts w:ascii="Times New Roman" w:hAnsi="Times New Roman"/>
          <w:b w:val="0"/>
          <w:sz w:val="24"/>
          <w:szCs w:val="24"/>
        </w:rPr>
      </w:pPr>
    </w:p>
    <w:p w:rsidR="00C74010" w:rsidRPr="00A325A0" w:rsidRDefault="00C74010" w:rsidP="00A325A0">
      <w:pPr>
        <w:pStyle w:val="Normalbold"/>
        <w:spacing w:line="360" w:lineRule="auto"/>
        <w:jc w:val="both"/>
        <w:rPr>
          <w:rFonts w:ascii="Times New Roman" w:hAnsi="Times New Roman"/>
          <w:b w:val="0"/>
          <w:sz w:val="24"/>
          <w:szCs w:val="24"/>
        </w:rPr>
      </w:pPr>
      <w:r w:rsidRPr="00A325A0">
        <w:rPr>
          <w:rFonts w:ascii="Times New Roman" w:hAnsi="Times New Roman"/>
          <w:b w:val="0"/>
          <w:sz w:val="24"/>
          <w:szCs w:val="24"/>
        </w:rPr>
        <w:lastRenderedPageBreak/>
        <w:t xml:space="preserve">The new organisational structure as outlined above has been realigned to support the strategic outcome-orientated goals of the Department in implementing the Back to Basics approach. To implement the Back to Basics approach, the </w:t>
      </w:r>
      <w:r w:rsidR="00DF37BB" w:rsidRPr="00A325A0">
        <w:rPr>
          <w:rFonts w:ascii="Times New Roman" w:hAnsi="Times New Roman"/>
          <w:b w:val="0"/>
          <w:sz w:val="24"/>
          <w:szCs w:val="24"/>
        </w:rPr>
        <w:t>D</w:t>
      </w:r>
      <w:r w:rsidRPr="00A325A0">
        <w:rPr>
          <w:rFonts w:ascii="Times New Roman" w:hAnsi="Times New Roman"/>
          <w:b w:val="0"/>
          <w:sz w:val="24"/>
          <w:szCs w:val="24"/>
        </w:rPr>
        <w:t xml:space="preserve">epartment has identified in </w:t>
      </w:r>
      <w:proofErr w:type="gramStart"/>
      <w:r w:rsidR="00DF37BB" w:rsidRPr="00A325A0">
        <w:rPr>
          <w:rFonts w:ascii="Times New Roman" w:hAnsi="Times New Roman"/>
          <w:b w:val="0"/>
          <w:sz w:val="24"/>
          <w:szCs w:val="24"/>
        </w:rPr>
        <w:t>its</w:t>
      </w:r>
      <w:proofErr w:type="gramEnd"/>
      <w:r w:rsidRPr="00A325A0">
        <w:rPr>
          <w:rFonts w:ascii="Times New Roman" w:hAnsi="Times New Roman"/>
          <w:b w:val="0"/>
          <w:sz w:val="24"/>
          <w:szCs w:val="24"/>
        </w:rPr>
        <w:t xml:space="preserve"> 2016/17 Annual Performance Plan nine strategic outcome-orientated goals.</w:t>
      </w:r>
      <w:r w:rsidR="00E37F13" w:rsidRPr="00A325A0">
        <w:rPr>
          <w:rFonts w:ascii="Times New Roman" w:hAnsi="Times New Roman"/>
          <w:b w:val="0"/>
          <w:sz w:val="24"/>
          <w:szCs w:val="24"/>
        </w:rPr>
        <w:t xml:space="preserve"> The nine strategic outcome orientated goals of the </w:t>
      </w:r>
      <w:r w:rsidR="00DF37BB" w:rsidRPr="00A325A0">
        <w:rPr>
          <w:rFonts w:ascii="Times New Roman" w:hAnsi="Times New Roman"/>
          <w:b w:val="0"/>
          <w:sz w:val="24"/>
          <w:szCs w:val="24"/>
        </w:rPr>
        <w:t>D</w:t>
      </w:r>
      <w:r w:rsidR="00E37F13" w:rsidRPr="00A325A0">
        <w:rPr>
          <w:rFonts w:ascii="Times New Roman" w:hAnsi="Times New Roman"/>
          <w:b w:val="0"/>
          <w:sz w:val="24"/>
          <w:szCs w:val="24"/>
        </w:rPr>
        <w:t>epartment are linked to the achievement of national priorities of government as outlined in the five</w:t>
      </w:r>
      <w:r w:rsidR="00DF37BB" w:rsidRPr="00A325A0">
        <w:rPr>
          <w:rFonts w:ascii="Times New Roman" w:hAnsi="Times New Roman"/>
          <w:b w:val="0"/>
          <w:sz w:val="24"/>
          <w:szCs w:val="24"/>
        </w:rPr>
        <w:t>-</w:t>
      </w:r>
      <w:r w:rsidR="00E37F13" w:rsidRPr="00A325A0">
        <w:rPr>
          <w:rFonts w:ascii="Times New Roman" w:hAnsi="Times New Roman"/>
          <w:b w:val="0"/>
          <w:sz w:val="24"/>
          <w:szCs w:val="24"/>
        </w:rPr>
        <w:t>year strategy of government, the 2014-2019 Medium Term Strategic Framework (MTSF). The strategic outcome</w:t>
      </w:r>
      <w:r w:rsidR="00DF37BB" w:rsidRPr="00A325A0">
        <w:rPr>
          <w:rFonts w:ascii="Times New Roman" w:hAnsi="Times New Roman"/>
          <w:b w:val="0"/>
          <w:sz w:val="24"/>
          <w:szCs w:val="24"/>
        </w:rPr>
        <w:t>-</w:t>
      </w:r>
      <w:r w:rsidR="00E37F13" w:rsidRPr="00A325A0">
        <w:rPr>
          <w:rFonts w:ascii="Times New Roman" w:hAnsi="Times New Roman"/>
          <w:b w:val="0"/>
          <w:sz w:val="24"/>
          <w:szCs w:val="24"/>
        </w:rPr>
        <w:t xml:space="preserve">orientated goals of the </w:t>
      </w:r>
      <w:r w:rsidR="00DF37BB" w:rsidRPr="00A325A0">
        <w:rPr>
          <w:rFonts w:ascii="Times New Roman" w:hAnsi="Times New Roman"/>
          <w:b w:val="0"/>
          <w:sz w:val="24"/>
          <w:szCs w:val="24"/>
        </w:rPr>
        <w:t>D</w:t>
      </w:r>
      <w:r w:rsidR="00E37F13" w:rsidRPr="00A325A0">
        <w:rPr>
          <w:rFonts w:ascii="Times New Roman" w:hAnsi="Times New Roman"/>
          <w:b w:val="0"/>
          <w:sz w:val="24"/>
          <w:szCs w:val="24"/>
        </w:rPr>
        <w:t xml:space="preserve">epartment are further linked to the Back to Basics five pillars. </w:t>
      </w:r>
    </w:p>
    <w:p w:rsidR="007E7E44" w:rsidRPr="00A325A0" w:rsidRDefault="007E7E44" w:rsidP="00A325A0">
      <w:pPr>
        <w:pStyle w:val="Normalbold"/>
        <w:spacing w:line="360" w:lineRule="auto"/>
        <w:jc w:val="both"/>
        <w:rPr>
          <w:rFonts w:ascii="Times New Roman" w:hAnsi="Times New Roman"/>
          <w:b w:val="0"/>
          <w:sz w:val="24"/>
          <w:szCs w:val="24"/>
        </w:rPr>
      </w:pPr>
    </w:p>
    <w:p w:rsidR="004919B3" w:rsidRPr="00A325A0" w:rsidRDefault="00BF00E1" w:rsidP="00A325A0">
      <w:pPr>
        <w:pStyle w:val="Normalbold"/>
        <w:numPr>
          <w:ilvl w:val="0"/>
          <w:numId w:val="4"/>
        </w:numPr>
        <w:spacing w:line="360" w:lineRule="auto"/>
        <w:jc w:val="both"/>
        <w:rPr>
          <w:rFonts w:ascii="Times New Roman" w:hAnsi="Times New Roman"/>
          <w:b w:val="0"/>
          <w:sz w:val="24"/>
          <w:szCs w:val="24"/>
        </w:rPr>
      </w:pPr>
      <w:r w:rsidRPr="00A325A0">
        <w:rPr>
          <w:rFonts w:ascii="Times New Roman" w:hAnsi="Times New Roman"/>
          <w:sz w:val="24"/>
          <w:szCs w:val="24"/>
        </w:rPr>
        <w:t>VOTE 4 BUDGET ANALYSIS</w:t>
      </w: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D90FBB" w:rsidP="00A325A0">
      <w:pPr>
        <w:pStyle w:val="Normalbold"/>
        <w:spacing w:line="360" w:lineRule="auto"/>
        <w:jc w:val="both"/>
        <w:rPr>
          <w:rFonts w:ascii="Times New Roman" w:hAnsi="Times New Roman"/>
          <w:b w:val="0"/>
          <w:sz w:val="24"/>
          <w:szCs w:val="24"/>
        </w:rPr>
      </w:pPr>
      <w:r w:rsidRPr="00A325A0">
        <w:rPr>
          <w:rFonts w:ascii="Times New Roman" w:hAnsi="Times New Roman"/>
          <w:b w:val="0"/>
          <w:sz w:val="24"/>
          <w:szCs w:val="24"/>
        </w:rPr>
        <w:t xml:space="preserve">The </w:t>
      </w:r>
      <w:r w:rsidR="002A7635" w:rsidRPr="00A325A0">
        <w:rPr>
          <w:rFonts w:ascii="Times New Roman" w:hAnsi="Times New Roman"/>
          <w:b w:val="0"/>
          <w:sz w:val="24"/>
          <w:szCs w:val="24"/>
        </w:rPr>
        <w:t xml:space="preserve">Vote 4 </w:t>
      </w:r>
      <w:r w:rsidRPr="00A325A0">
        <w:rPr>
          <w:rFonts w:ascii="Times New Roman" w:hAnsi="Times New Roman"/>
          <w:b w:val="0"/>
          <w:sz w:val="24"/>
          <w:szCs w:val="24"/>
        </w:rPr>
        <w:t xml:space="preserve">(Budget) </w:t>
      </w:r>
      <w:r w:rsidR="002A7635" w:rsidRPr="00A325A0">
        <w:rPr>
          <w:rFonts w:ascii="Times New Roman" w:hAnsi="Times New Roman"/>
          <w:b w:val="0"/>
          <w:sz w:val="24"/>
          <w:szCs w:val="24"/>
        </w:rPr>
        <w:t>seeks to improve cooperative governance across the three spheres of government in partnership with institutions of traditional leadership, and in the process ensure that provinces and municipalities carry out service delivery and development functions effectively. As illustrated in Table 1, the total estimated vote expenditure for 2016/17 amounts to R72.9 billion – nominally up from the adjusted appropriation of R70.8 billion in 2015/16 by 3 percent or R2.1 billion but, taking into account inflation, has decreased by 3.3 percent or R2.3 billion.</w:t>
      </w: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Caption"/>
        <w:keepNext/>
        <w:spacing w:line="360" w:lineRule="auto"/>
        <w:rPr>
          <w:rFonts w:ascii="Times New Roman" w:hAnsi="Times New Roman"/>
          <w:sz w:val="24"/>
          <w:szCs w:val="24"/>
        </w:rPr>
      </w:pPr>
      <w:r w:rsidRPr="00A325A0">
        <w:rPr>
          <w:rFonts w:ascii="Times New Roman" w:hAnsi="Times New Roman"/>
          <w:sz w:val="24"/>
          <w:szCs w:val="24"/>
        </w:rPr>
        <w:t xml:space="preserve">Table </w:t>
      </w:r>
      <w:r w:rsidRPr="00A325A0">
        <w:rPr>
          <w:rFonts w:ascii="Times New Roman" w:hAnsi="Times New Roman"/>
          <w:sz w:val="24"/>
          <w:szCs w:val="24"/>
        </w:rPr>
        <w:fldChar w:fldCharType="begin"/>
      </w:r>
      <w:r w:rsidRPr="00A325A0">
        <w:rPr>
          <w:rFonts w:ascii="Times New Roman" w:hAnsi="Times New Roman"/>
          <w:sz w:val="24"/>
          <w:szCs w:val="24"/>
        </w:rPr>
        <w:instrText xml:space="preserve"> SEQ Table \* ARABIC </w:instrText>
      </w:r>
      <w:r w:rsidRPr="00A325A0">
        <w:rPr>
          <w:rFonts w:ascii="Times New Roman" w:hAnsi="Times New Roman"/>
          <w:sz w:val="24"/>
          <w:szCs w:val="24"/>
        </w:rPr>
        <w:fldChar w:fldCharType="separate"/>
      </w:r>
      <w:r w:rsidR="000C1A45" w:rsidRPr="00A325A0">
        <w:rPr>
          <w:rFonts w:ascii="Times New Roman" w:hAnsi="Times New Roman"/>
          <w:noProof/>
          <w:sz w:val="24"/>
          <w:szCs w:val="24"/>
        </w:rPr>
        <w:t>1</w:t>
      </w:r>
      <w:r w:rsidRPr="00A325A0">
        <w:rPr>
          <w:rFonts w:ascii="Times New Roman" w:hAnsi="Times New Roman"/>
          <w:sz w:val="24"/>
          <w:szCs w:val="24"/>
        </w:rPr>
        <w:fldChar w:fldCharType="end"/>
      </w:r>
      <w:r w:rsidRPr="00A325A0">
        <w:rPr>
          <w:rFonts w:ascii="Times New Roman" w:hAnsi="Times New Roman"/>
          <w:sz w:val="24"/>
          <w:szCs w:val="24"/>
        </w:rPr>
        <w:t>: Vote 4 in 2015/16 and 2016/17</w:t>
      </w:r>
    </w:p>
    <w:tbl>
      <w:tblPr>
        <w:tblStyle w:val="TableGrid"/>
        <w:tblW w:w="5000" w:type="pct"/>
        <w:tblLook w:val="04A0" w:firstRow="1" w:lastRow="0" w:firstColumn="1" w:lastColumn="0" w:noHBand="0" w:noVBand="1"/>
      </w:tblPr>
      <w:tblGrid>
        <w:gridCol w:w="1627"/>
        <w:gridCol w:w="1089"/>
        <w:gridCol w:w="1089"/>
        <w:gridCol w:w="1071"/>
        <w:gridCol w:w="1050"/>
        <w:gridCol w:w="1658"/>
        <w:gridCol w:w="1658"/>
      </w:tblGrid>
      <w:tr w:rsidR="002A7635" w:rsidRPr="00A325A0" w:rsidTr="00643668">
        <w:trPr>
          <w:trHeight w:val="780"/>
        </w:trPr>
        <w:tc>
          <w:tcPr>
            <w:tcW w:w="1293" w:type="pct"/>
            <w:noWrap/>
            <w:hideMark/>
          </w:tcPr>
          <w:p w:rsidR="002A7635" w:rsidRPr="00A325A0" w:rsidRDefault="002A7635" w:rsidP="00A325A0">
            <w:pPr>
              <w:spacing w:line="360" w:lineRule="auto"/>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Programme</w:t>
            </w:r>
          </w:p>
        </w:tc>
        <w:tc>
          <w:tcPr>
            <w:tcW w:w="980" w:type="pct"/>
            <w:gridSpan w:val="2"/>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Budget</w:t>
            </w:r>
          </w:p>
        </w:tc>
        <w:tc>
          <w:tcPr>
            <w:tcW w:w="624"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Nominal Rand change</w:t>
            </w:r>
          </w:p>
        </w:tc>
        <w:tc>
          <w:tcPr>
            <w:tcW w:w="581"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Real Rand change</w:t>
            </w:r>
          </w:p>
        </w:tc>
        <w:tc>
          <w:tcPr>
            <w:tcW w:w="782"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Nominal % change</w:t>
            </w:r>
          </w:p>
        </w:tc>
        <w:tc>
          <w:tcPr>
            <w:tcW w:w="739"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Real % change</w:t>
            </w:r>
          </w:p>
        </w:tc>
      </w:tr>
      <w:tr w:rsidR="002A7635" w:rsidRPr="00A325A0" w:rsidTr="00643668">
        <w:trPr>
          <w:trHeight w:val="255"/>
        </w:trPr>
        <w:tc>
          <w:tcPr>
            <w:tcW w:w="1293" w:type="pct"/>
            <w:noWrap/>
            <w:hideMark/>
          </w:tcPr>
          <w:p w:rsidR="002A7635" w:rsidRPr="00A325A0" w:rsidRDefault="002A7635" w:rsidP="00A325A0">
            <w:pPr>
              <w:spacing w:line="360" w:lineRule="auto"/>
              <w:jc w:val="center"/>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R million</w:t>
            </w:r>
          </w:p>
        </w:tc>
        <w:tc>
          <w:tcPr>
            <w:tcW w:w="490" w:type="pct"/>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2015/16</w:t>
            </w:r>
          </w:p>
        </w:tc>
        <w:tc>
          <w:tcPr>
            <w:tcW w:w="490" w:type="pct"/>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2016/17</w:t>
            </w:r>
          </w:p>
        </w:tc>
        <w:tc>
          <w:tcPr>
            <w:tcW w:w="1205" w:type="pct"/>
            <w:gridSpan w:val="2"/>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2015/16-2016/17</w:t>
            </w:r>
          </w:p>
        </w:tc>
        <w:tc>
          <w:tcPr>
            <w:tcW w:w="1521" w:type="pct"/>
            <w:gridSpan w:val="2"/>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2015/16-2016/17</w:t>
            </w:r>
          </w:p>
        </w:tc>
      </w:tr>
      <w:tr w:rsidR="002A7635" w:rsidRPr="00A325A0" w:rsidTr="00643668">
        <w:trPr>
          <w:trHeight w:val="255"/>
        </w:trPr>
        <w:tc>
          <w:tcPr>
            <w:tcW w:w="1293"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Programme 1: Administration</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228.6</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266.5</w:t>
            </w:r>
          </w:p>
        </w:tc>
        <w:tc>
          <w:tcPr>
            <w:tcW w:w="624"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37.9</w:t>
            </w:r>
          </w:p>
        </w:tc>
        <w:tc>
          <w:tcPr>
            <w:tcW w:w="58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21.4</w:t>
            </w:r>
          </w:p>
        </w:tc>
        <w:tc>
          <w:tcPr>
            <w:tcW w:w="78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16.58 per cent</w:t>
            </w:r>
          </w:p>
        </w:tc>
        <w:tc>
          <w:tcPr>
            <w:tcW w:w="739"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9.36 per cent</w:t>
            </w:r>
          </w:p>
        </w:tc>
      </w:tr>
      <w:tr w:rsidR="002A7635" w:rsidRPr="00A325A0" w:rsidTr="00643668">
        <w:trPr>
          <w:trHeight w:val="675"/>
        </w:trPr>
        <w:tc>
          <w:tcPr>
            <w:tcW w:w="1293"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Programme 2: Regional and Urban Development and </w:t>
            </w:r>
            <w:r w:rsidRPr="00A325A0">
              <w:rPr>
                <w:rFonts w:ascii="Times New Roman" w:eastAsia="Times New Roman" w:hAnsi="Times New Roman" w:cs="Times New Roman"/>
                <w:sz w:val="24"/>
                <w:szCs w:val="24"/>
                <w:lang w:eastAsia="en-ZA"/>
              </w:rPr>
              <w:lastRenderedPageBreak/>
              <w:t>Legislative Support</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lastRenderedPageBreak/>
              <w:t xml:space="preserve">  76.2</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332.2</w:t>
            </w:r>
          </w:p>
        </w:tc>
        <w:tc>
          <w:tcPr>
            <w:tcW w:w="624"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256.0</w:t>
            </w:r>
          </w:p>
        </w:tc>
        <w:tc>
          <w:tcPr>
            <w:tcW w:w="58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235.4</w:t>
            </w:r>
          </w:p>
        </w:tc>
        <w:tc>
          <w:tcPr>
            <w:tcW w:w="78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335.96 per cent</w:t>
            </w:r>
          </w:p>
        </w:tc>
        <w:tc>
          <w:tcPr>
            <w:tcW w:w="739"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308.97 per cent</w:t>
            </w:r>
          </w:p>
        </w:tc>
      </w:tr>
      <w:tr w:rsidR="002A7635" w:rsidRPr="00A325A0" w:rsidTr="00643668">
        <w:trPr>
          <w:trHeight w:val="450"/>
        </w:trPr>
        <w:tc>
          <w:tcPr>
            <w:tcW w:w="1293"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lastRenderedPageBreak/>
              <w:t>Programme 3: Institutional Development</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67 407.6</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68 122.2</w:t>
            </w:r>
          </w:p>
        </w:tc>
        <w:tc>
          <w:tcPr>
            <w:tcW w:w="624"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714.6</w:t>
            </w:r>
          </w:p>
        </w:tc>
        <w:tc>
          <w:tcPr>
            <w:tcW w:w="58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- 3 503.1</w:t>
            </w:r>
          </w:p>
        </w:tc>
        <w:tc>
          <w:tcPr>
            <w:tcW w:w="78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1.06 per cent</w:t>
            </w:r>
          </w:p>
        </w:tc>
        <w:tc>
          <w:tcPr>
            <w:tcW w:w="739"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-5.20 per cent</w:t>
            </w:r>
          </w:p>
        </w:tc>
      </w:tr>
      <w:tr w:rsidR="002A7635" w:rsidRPr="00A325A0" w:rsidTr="00643668">
        <w:trPr>
          <w:trHeight w:val="450"/>
        </w:trPr>
        <w:tc>
          <w:tcPr>
            <w:tcW w:w="1293"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Programme 4: National Disaster Management Centre</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606.8</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598.9</w:t>
            </w:r>
          </w:p>
        </w:tc>
        <w:tc>
          <w:tcPr>
            <w:tcW w:w="624"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7.9</w:t>
            </w:r>
          </w:p>
        </w:tc>
        <w:tc>
          <w:tcPr>
            <w:tcW w:w="58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45.0</w:t>
            </w:r>
          </w:p>
        </w:tc>
        <w:tc>
          <w:tcPr>
            <w:tcW w:w="78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-1.30 per cent</w:t>
            </w:r>
          </w:p>
        </w:tc>
        <w:tc>
          <w:tcPr>
            <w:tcW w:w="739"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-7.41 per cent</w:t>
            </w:r>
          </w:p>
        </w:tc>
      </w:tr>
      <w:tr w:rsidR="002A7635" w:rsidRPr="00A325A0" w:rsidTr="00643668">
        <w:trPr>
          <w:trHeight w:val="675"/>
        </w:trPr>
        <w:tc>
          <w:tcPr>
            <w:tcW w:w="1293"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Programme 5: Local Government Support and Intervention Management</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120.4</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483.2</w:t>
            </w:r>
          </w:p>
        </w:tc>
        <w:tc>
          <w:tcPr>
            <w:tcW w:w="624"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362.8</w:t>
            </w:r>
          </w:p>
        </w:tc>
        <w:tc>
          <w:tcPr>
            <w:tcW w:w="58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332.9</w:t>
            </w:r>
          </w:p>
        </w:tc>
        <w:tc>
          <w:tcPr>
            <w:tcW w:w="78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301.33 per cent</w:t>
            </w:r>
          </w:p>
        </w:tc>
        <w:tc>
          <w:tcPr>
            <w:tcW w:w="739"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276.48 per cent</w:t>
            </w:r>
          </w:p>
        </w:tc>
      </w:tr>
      <w:tr w:rsidR="002A7635" w:rsidRPr="00A325A0" w:rsidTr="00643668">
        <w:trPr>
          <w:trHeight w:val="450"/>
        </w:trPr>
        <w:tc>
          <w:tcPr>
            <w:tcW w:w="1293"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Programme 6: Community Work Programme</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2 375.9</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3 191.2</w:t>
            </w:r>
          </w:p>
        </w:tc>
        <w:tc>
          <w:tcPr>
            <w:tcW w:w="624"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815.3</w:t>
            </w:r>
          </w:p>
        </w:tc>
        <w:tc>
          <w:tcPr>
            <w:tcW w:w="58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617.7</w:t>
            </w:r>
          </w:p>
        </w:tc>
        <w:tc>
          <w:tcPr>
            <w:tcW w:w="78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34.32 per cent</w:t>
            </w:r>
          </w:p>
        </w:tc>
        <w:tc>
          <w:tcPr>
            <w:tcW w:w="739"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26.00 per cent</w:t>
            </w:r>
          </w:p>
        </w:tc>
      </w:tr>
      <w:tr w:rsidR="002A7635" w:rsidRPr="00A325A0" w:rsidTr="00643668">
        <w:trPr>
          <w:trHeight w:val="255"/>
        </w:trPr>
        <w:tc>
          <w:tcPr>
            <w:tcW w:w="1293"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p>
        </w:tc>
        <w:tc>
          <w:tcPr>
            <w:tcW w:w="490"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490"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624"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58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782"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739"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r>
      <w:tr w:rsidR="002A7635" w:rsidRPr="00A325A0" w:rsidTr="00643668">
        <w:trPr>
          <w:trHeight w:val="270"/>
        </w:trPr>
        <w:tc>
          <w:tcPr>
            <w:tcW w:w="1293" w:type="pct"/>
            <w:noWrap/>
            <w:hideMark/>
          </w:tcPr>
          <w:p w:rsidR="002A7635" w:rsidRPr="00A325A0" w:rsidRDefault="002A7635" w:rsidP="00A325A0">
            <w:pPr>
              <w:spacing w:line="360" w:lineRule="auto"/>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TOTAL</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70 815.5</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72 994.2</w:t>
            </w:r>
          </w:p>
        </w:tc>
        <w:tc>
          <w:tcPr>
            <w:tcW w:w="624"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2 178.7</w:t>
            </w:r>
          </w:p>
        </w:tc>
        <w:tc>
          <w:tcPr>
            <w:tcW w:w="581"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- 2 340.6</w:t>
            </w:r>
          </w:p>
        </w:tc>
        <w:tc>
          <w:tcPr>
            <w:tcW w:w="782"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3.08 per cent</w:t>
            </w:r>
          </w:p>
        </w:tc>
        <w:tc>
          <w:tcPr>
            <w:tcW w:w="739"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-3.31 per cent</w:t>
            </w:r>
          </w:p>
        </w:tc>
      </w:tr>
    </w:tbl>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r w:rsidRPr="00A325A0">
        <w:rPr>
          <w:rFonts w:ascii="Times New Roman" w:hAnsi="Times New Roman"/>
          <w:b w:val="0"/>
          <w:sz w:val="24"/>
          <w:szCs w:val="24"/>
        </w:rPr>
        <w:t xml:space="preserve">As the Graph below illustrates, the most reductions in real rand terms (R3.5 billion) are incurred under Programme 3, the Institutional Development Programme, which constitutes the Department’s two largest spending items, namely the </w:t>
      </w:r>
      <w:r w:rsidRPr="00A325A0">
        <w:rPr>
          <w:rFonts w:ascii="Times New Roman" w:hAnsi="Times New Roman"/>
          <w:b w:val="0"/>
          <w:i/>
          <w:sz w:val="24"/>
          <w:szCs w:val="24"/>
        </w:rPr>
        <w:t>Local Government Equitable Share</w:t>
      </w:r>
      <w:r w:rsidRPr="00A325A0">
        <w:rPr>
          <w:rFonts w:ascii="Times New Roman" w:hAnsi="Times New Roman"/>
          <w:b w:val="0"/>
          <w:sz w:val="24"/>
          <w:szCs w:val="24"/>
        </w:rPr>
        <w:t xml:space="preserve"> and the </w:t>
      </w:r>
      <w:r w:rsidRPr="00A325A0">
        <w:rPr>
          <w:rFonts w:ascii="Times New Roman" w:hAnsi="Times New Roman"/>
          <w:b w:val="0"/>
          <w:i/>
          <w:sz w:val="24"/>
          <w:szCs w:val="24"/>
        </w:rPr>
        <w:t>Municipal Infrastructure Grant</w:t>
      </w:r>
      <w:r w:rsidRPr="00A325A0">
        <w:rPr>
          <w:rFonts w:ascii="Times New Roman" w:hAnsi="Times New Roman"/>
          <w:b w:val="0"/>
          <w:sz w:val="24"/>
          <w:szCs w:val="24"/>
        </w:rPr>
        <w:t>. The programme is discussed in more detail under subsection 4.3 below.</w:t>
      </w:r>
    </w:p>
    <w:p w:rsidR="002A7635" w:rsidRPr="00A325A0" w:rsidRDefault="002A7635" w:rsidP="00A325A0">
      <w:pPr>
        <w:pStyle w:val="Normalbold"/>
        <w:spacing w:line="360" w:lineRule="auto"/>
        <w:ind w:firstLine="720"/>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r w:rsidRPr="00A325A0">
        <w:rPr>
          <w:rFonts w:ascii="Times New Roman" w:hAnsi="Times New Roman"/>
          <w:noProof/>
          <w:sz w:val="24"/>
          <w:szCs w:val="24"/>
          <w:lang w:val="en-ZA" w:eastAsia="en-ZA"/>
        </w:rPr>
        <w:drawing>
          <wp:anchor distT="0" distB="0" distL="114300" distR="114300" simplePos="0" relativeHeight="251662336" behindDoc="1" locked="0" layoutInCell="1" allowOverlap="1" wp14:anchorId="73DD08BD" wp14:editId="01A5389E">
            <wp:simplePos x="0" y="0"/>
            <wp:positionH relativeFrom="column">
              <wp:posOffset>95534</wp:posOffset>
            </wp:positionH>
            <wp:positionV relativeFrom="paragraph">
              <wp:posOffset>34631</wp:posOffset>
            </wp:positionV>
            <wp:extent cx="5186045" cy="2053590"/>
            <wp:effectExtent l="0" t="0" r="14605" b="381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3D0701" w:rsidRDefault="002A7635" w:rsidP="00A325A0">
      <w:pPr>
        <w:pStyle w:val="Heading2"/>
        <w:numPr>
          <w:ilvl w:val="1"/>
          <w:numId w:val="10"/>
        </w:numPr>
        <w:spacing w:line="360" w:lineRule="auto"/>
        <w:rPr>
          <w:rFonts w:ascii="Times New Roman" w:hAnsi="Times New Roman" w:cs="Times New Roman"/>
          <w:color w:val="auto"/>
          <w:sz w:val="24"/>
          <w:szCs w:val="24"/>
        </w:rPr>
      </w:pPr>
      <w:bookmarkStart w:id="1" w:name="_Toc444520261"/>
      <w:r w:rsidRPr="003D0701">
        <w:rPr>
          <w:rFonts w:ascii="Times New Roman" w:hAnsi="Times New Roman" w:cs="Times New Roman"/>
          <w:color w:val="auto"/>
          <w:sz w:val="24"/>
          <w:szCs w:val="24"/>
        </w:rPr>
        <w:t>Programme 1: Administration</w:t>
      </w:r>
      <w:bookmarkEnd w:id="1"/>
    </w:p>
    <w:p w:rsidR="002A7635" w:rsidRPr="00A325A0" w:rsidRDefault="002A7635" w:rsidP="00A325A0">
      <w:pPr>
        <w:spacing w:line="360" w:lineRule="auto"/>
        <w:rPr>
          <w:rFonts w:ascii="Times New Roman" w:hAnsi="Times New Roman" w:cs="Times New Roman"/>
          <w:sz w:val="24"/>
          <w:szCs w:val="24"/>
        </w:rPr>
      </w:pPr>
    </w:p>
    <w:p w:rsidR="002A7635" w:rsidRPr="00A325A0" w:rsidRDefault="002A7635" w:rsidP="00A325A0">
      <w:pPr>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This Programme is meant to provide strategic leadership, management and support services to the Department. The Programme receive</w:t>
      </w:r>
      <w:r w:rsidR="00D90FBB" w:rsidRPr="00A325A0">
        <w:rPr>
          <w:rFonts w:ascii="Times New Roman" w:hAnsi="Times New Roman" w:cs="Times New Roman"/>
          <w:sz w:val="24"/>
          <w:szCs w:val="24"/>
        </w:rPr>
        <w:t>d</w:t>
      </w:r>
      <w:r w:rsidRPr="00A325A0">
        <w:rPr>
          <w:rFonts w:ascii="Times New Roman" w:hAnsi="Times New Roman" w:cs="Times New Roman"/>
          <w:sz w:val="24"/>
          <w:szCs w:val="24"/>
        </w:rPr>
        <w:t xml:space="preserve"> a total estimated allocation of R266.5 million, compared to the adjusted appropriation of R228.7 million received in the previous financial year. This equals to a nominal increase</w:t>
      </w:r>
      <w:r w:rsidR="00D90FBB" w:rsidRPr="00A325A0">
        <w:rPr>
          <w:rFonts w:ascii="Times New Roman" w:hAnsi="Times New Roman" w:cs="Times New Roman"/>
          <w:sz w:val="24"/>
          <w:szCs w:val="24"/>
        </w:rPr>
        <w:t xml:space="preserve"> of</w:t>
      </w:r>
      <w:r w:rsidRPr="00A325A0">
        <w:rPr>
          <w:rFonts w:ascii="Times New Roman" w:hAnsi="Times New Roman" w:cs="Times New Roman"/>
          <w:sz w:val="24"/>
          <w:szCs w:val="24"/>
        </w:rPr>
        <w:t xml:space="preserve"> R37.8 million or 16.5 percent, but in real terms it amounts to R21.3 million or 9.3 percent, which is still relatively substantial</w:t>
      </w:r>
      <w:r w:rsidR="00D90FBB" w:rsidRPr="00A325A0">
        <w:rPr>
          <w:rFonts w:ascii="Times New Roman" w:hAnsi="Times New Roman" w:cs="Times New Roman"/>
          <w:sz w:val="24"/>
          <w:szCs w:val="24"/>
        </w:rPr>
        <w:t>,</w:t>
      </w:r>
      <w:r w:rsidRPr="00A325A0">
        <w:rPr>
          <w:rFonts w:ascii="Times New Roman" w:hAnsi="Times New Roman" w:cs="Times New Roman"/>
          <w:sz w:val="24"/>
          <w:szCs w:val="24"/>
        </w:rPr>
        <w:t xml:space="preserve"> taking into account the fact </w:t>
      </w:r>
      <w:r w:rsidR="00D90FBB" w:rsidRPr="00A325A0">
        <w:rPr>
          <w:rFonts w:ascii="Times New Roman" w:hAnsi="Times New Roman" w:cs="Times New Roman"/>
          <w:sz w:val="24"/>
          <w:szCs w:val="24"/>
        </w:rPr>
        <w:t xml:space="preserve">that </w:t>
      </w:r>
      <w:r w:rsidRPr="00A325A0">
        <w:rPr>
          <w:rFonts w:ascii="Times New Roman" w:hAnsi="Times New Roman" w:cs="Times New Roman"/>
          <w:sz w:val="24"/>
          <w:szCs w:val="24"/>
        </w:rPr>
        <w:t xml:space="preserve">three sub-programmes have been removed from the Programme. These were the Chief Operating Officer, the Communication and Liaison, and the Legislative Review and Drafting sub-programmes, which were allocated R15.5 million, R11.7 million and R11.5 million respectively, in 2015/16. Legislative </w:t>
      </w:r>
      <w:r w:rsidR="00D90FBB" w:rsidRPr="00A325A0">
        <w:rPr>
          <w:rFonts w:ascii="Times New Roman" w:hAnsi="Times New Roman" w:cs="Times New Roman"/>
          <w:sz w:val="24"/>
          <w:szCs w:val="24"/>
        </w:rPr>
        <w:t>R</w:t>
      </w:r>
      <w:r w:rsidRPr="00A325A0">
        <w:rPr>
          <w:rFonts w:ascii="Times New Roman" w:hAnsi="Times New Roman" w:cs="Times New Roman"/>
          <w:sz w:val="24"/>
          <w:szCs w:val="24"/>
        </w:rPr>
        <w:t xml:space="preserve">eview and </w:t>
      </w:r>
      <w:r w:rsidR="00D90FBB" w:rsidRPr="00A325A0">
        <w:rPr>
          <w:rFonts w:ascii="Times New Roman" w:hAnsi="Times New Roman" w:cs="Times New Roman"/>
          <w:sz w:val="24"/>
          <w:szCs w:val="24"/>
        </w:rPr>
        <w:t>D</w:t>
      </w:r>
      <w:r w:rsidRPr="00A325A0">
        <w:rPr>
          <w:rFonts w:ascii="Times New Roman" w:hAnsi="Times New Roman" w:cs="Times New Roman"/>
          <w:sz w:val="24"/>
          <w:szCs w:val="24"/>
        </w:rPr>
        <w:t>rafting is now accommodated under Programme 2, which is discussed in the next section.</w:t>
      </w:r>
    </w:p>
    <w:p w:rsidR="002A7635" w:rsidRPr="00A325A0" w:rsidRDefault="002A7635" w:rsidP="00A325A0">
      <w:pPr>
        <w:spacing w:line="360" w:lineRule="auto"/>
        <w:jc w:val="both"/>
        <w:rPr>
          <w:rFonts w:ascii="Times New Roman" w:hAnsi="Times New Roman" w:cs="Times New Roman"/>
          <w:sz w:val="24"/>
          <w:szCs w:val="24"/>
        </w:rPr>
      </w:pPr>
    </w:p>
    <w:p w:rsidR="002A7635" w:rsidRPr="00A325A0" w:rsidRDefault="002A7635" w:rsidP="00A325A0">
      <w:pPr>
        <w:pStyle w:val="Caption"/>
        <w:keepNext/>
        <w:spacing w:line="360" w:lineRule="auto"/>
        <w:rPr>
          <w:rFonts w:ascii="Times New Roman" w:hAnsi="Times New Roman"/>
          <w:sz w:val="24"/>
          <w:szCs w:val="24"/>
        </w:rPr>
      </w:pPr>
      <w:r w:rsidRPr="00A325A0">
        <w:rPr>
          <w:rFonts w:ascii="Times New Roman" w:hAnsi="Times New Roman"/>
          <w:sz w:val="24"/>
          <w:szCs w:val="24"/>
        </w:rPr>
        <w:t xml:space="preserve">Table </w:t>
      </w:r>
      <w:r w:rsidRPr="00A325A0">
        <w:rPr>
          <w:rFonts w:ascii="Times New Roman" w:hAnsi="Times New Roman"/>
          <w:sz w:val="24"/>
          <w:szCs w:val="24"/>
        </w:rPr>
        <w:fldChar w:fldCharType="begin"/>
      </w:r>
      <w:r w:rsidRPr="00A325A0">
        <w:rPr>
          <w:rFonts w:ascii="Times New Roman" w:hAnsi="Times New Roman"/>
          <w:sz w:val="24"/>
          <w:szCs w:val="24"/>
        </w:rPr>
        <w:instrText xml:space="preserve"> SEQ Table \* ARABIC </w:instrText>
      </w:r>
      <w:r w:rsidRPr="00A325A0">
        <w:rPr>
          <w:rFonts w:ascii="Times New Roman" w:hAnsi="Times New Roman"/>
          <w:sz w:val="24"/>
          <w:szCs w:val="24"/>
        </w:rPr>
        <w:fldChar w:fldCharType="separate"/>
      </w:r>
      <w:r w:rsidR="000C1A45" w:rsidRPr="00A325A0">
        <w:rPr>
          <w:rFonts w:ascii="Times New Roman" w:hAnsi="Times New Roman"/>
          <w:noProof/>
          <w:sz w:val="24"/>
          <w:szCs w:val="24"/>
        </w:rPr>
        <w:t>2</w:t>
      </w:r>
      <w:r w:rsidRPr="00A325A0">
        <w:rPr>
          <w:rFonts w:ascii="Times New Roman" w:hAnsi="Times New Roman"/>
          <w:sz w:val="24"/>
          <w:szCs w:val="24"/>
        </w:rPr>
        <w:fldChar w:fldCharType="end"/>
      </w:r>
      <w:r w:rsidRPr="00A325A0">
        <w:rPr>
          <w:rFonts w:ascii="Times New Roman" w:hAnsi="Times New Roman"/>
          <w:sz w:val="24"/>
          <w:szCs w:val="24"/>
        </w:rPr>
        <w:t>: Administration</w:t>
      </w:r>
    </w:p>
    <w:tbl>
      <w:tblPr>
        <w:tblStyle w:val="TableGrid"/>
        <w:tblW w:w="5000" w:type="pct"/>
        <w:tblLook w:val="04A0" w:firstRow="1" w:lastRow="0" w:firstColumn="1" w:lastColumn="0" w:noHBand="0" w:noVBand="1"/>
      </w:tblPr>
      <w:tblGrid>
        <w:gridCol w:w="1877"/>
        <w:gridCol w:w="1003"/>
        <w:gridCol w:w="1003"/>
        <w:gridCol w:w="1097"/>
        <w:gridCol w:w="936"/>
        <w:gridCol w:w="1663"/>
        <w:gridCol w:w="1663"/>
      </w:tblGrid>
      <w:tr w:rsidR="002A7635" w:rsidRPr="00A325A0" w:rsidTr="00643668">
        <w:trPr>
          <w:trHeight w:val="780"/>
        </w:trPr>
        <w:tc>
          <w:tcPr>
            <w:tcW w:w="1324" w:type="pct"/>
            <w:noWrap/>
            <w:hideMark/>
          </w:tcPr>
          <w:p w:rsidR="002A7635" w:rsidRPr="00A325A0" w:rsidRDefault="002A7635" w:rsidP="00A325A0">
            <w:pPr>
              <w:spacing w:line="360" w:lineRule="auto"/>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Programme</w:t>
            </w:r>
          </w:p>
        </w:tc>
        <w:tc>
          <w:tcPr>
            <w:tcW w:w="882" w:type="pct"/>
            <w:gridSpan w:val="2"/>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Budget</w:t>
            </w:r>
          </w:p>
        </w:tc>
        <w:tc>
          <w:tcPr>
            <w:tcW w:w="682"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Nominal Rand change</w:t>
            </w:r>
          </w:p>
        </w:tc>
        <w:tc>
          <w:tcPr>
            <w:tcW w:w="598"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Real Rand change</w:t>
            </w:r>
          </w:p>
        </w:tc>
        <w:tc>
          <w:tcPr>
            <w:tcW w:w="787"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Nominal % change</w:t>
            </w:r>
          </w:p>
        </w:tc>
        <w:tc>
          <w:tcPr>
            <w:tcW w:w="727"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Real % change</w:t>
            </w:r>
          </w:p>
        </w:tc>
      </w:tr>
      <w:tr w:rsidR="002A7635" w:rsidRPr="00A325A0" w:rsidTr="00643668">
        <w:trPr>
          <w:trHeight w:val="255"/>
        </w:trPr>
        <w:tc>
          <w:tcPr>
            <w:tcW w:w="1324" w:type="pct"/>
            <w:noWrap/>
            <w:hideMark/>
          </w:tcPr>
          <w:p w:rsidR="002A7635" w:rsidRPr="00A325A0" w:rsidRDefault="002A7635" w:rsidP="00A325A0">
            <w:pPr>
              <w:spacing w:line="360" w:lineRule="auto"/>
              <w:jc w:val="center"/>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R million</w:t>
            </w:r>
          </w:p>
        </w:tc>
        <w:tc>
          <w:tcPr>
            <w:tcW w:w="441" w:type="pct"/>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2015/16</w:t>
            </w:r>
          </w:p>
        </w:tc>
        <w:tc>
          <w:tcPr>
            <w:tcW w:w="441" w:type="pct"/>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2016/17</w:t>
            </w:r>
          </w:p>
        </w:tc>
        <w:tc>
          <w:tcPr>
            <w:tcW w:w="1280" w:type="pct"/>
            <w:gridSpan w:val="2"/>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2015/16-2016/17</w:t>
            </w:r>
          </w:p>
        </w:tc>
        <w:tc>
          <w:tcPr>
            <w:tcW w:w="1514" w:type="pct"/>
            <w:gridSpan w:val="2"/>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2015/16-2016/17</w:t>
            </w:r>
          </w:p>
        </w:tc>
      </w:tr>
      <w:tr w:rsidR="002A7635" w:rsidRPr="00A325A0" w:rsidTr="00643668">
        <w:trPr>
          <w:trHeight w:val="255"/>
        </w:trPr>
        <w:tc>
          <w:tcPr>
            <w:tcW w:w="132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1: Ministry</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27.8</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26.7</w:t>
            </w:r>
          </w:p>
        </w:tc>
        <w:tc>
          <w:tcPr>
            <w:tcW w:w="68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1.1</w:t>
            </w:r>
          </w:p>
        </w:tc>
        <w:tc>
          <w:tcPr>
            <w:tcW w:w="59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2.8</w:t>
            </w:r>
          </w:p>
        </w:tc>
        <w:tc>
          <w:tcPr>
            <w:tcW w:w="787"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-3.96 per cent</w:t>
            </w:r>
          </w:p>
        </w:tc>
        <w:tc>
          <w:tcPr>
            <w:tcW w:w="727"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-9.90 per cent</w:t>
            </w:r>
          </w:p>
        </w:tc>
      </w:tr>
      <w:tr w:rsidR="002A7635" w:rsidRPr="00A325A0" w:rsidTr="00643668">
        <w:trPr>
          <w:trHeight w:val="450"/>
        </w:trPr>
        <w:tc>
          <w:tcPr>
            <w:tcW w:w="132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2: Management</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20.1</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14.2</w:t>
            </w:r>
          </w:p>
        </w:tc>
        <w:tc>
          <w:tcPr>
            <w:tcW w:w="68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5.9</w:t>
            </w:r>
          </w:p>
        </w:tc>
        <w:tc>
          <w:tcPr>
            <w:tcW w:w="59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6.8</w:t>
            </w:r>
          </w:p>
        </w:tc>
        <w:tc>
          <w:tcPr>
            <w:tcW w:w="787"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-29.35 per cent</w:t>
            </w:r>
          </w:p>
        </w:tc>
        <w:tc>
          <w:tcPr>
            <w:tcW w:w="727"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-33.73 per cent</w:t>
            </w:r>
          </w:p>
        </w:tc>
      </w:tr>
      <w:tr w:rsidR="002A7635" w:rsidRPr="00A325A0" w:rsidTr="00643668">
        <w:trPr>
          <w:trHeight w:val="450"/>
        </w:trPr>
        <w:tc>
          <w:tcPr>
            <w:tcW w:w="132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3: Corporate Services</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103.3</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142.0</w:t>
            </w:r>
          </w:p>
        </w:tc>
        <w:tc>
          <w:tcPr>
            <w:tcW w:w="68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38.7</w:t>
            </w:r>
          </w:p>
        </w:tc>
        <w:tc>
          <w:tcPr>
            <w:tcW w:w="59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29.9</w:t>
            </w:r>
          </w:p>
        </w:tc>
        <w:tc>
          <w:tcPr>
            <w:tcW w:w="787"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37.46 per cent</w:t>
            </w:r>
          </w:p>
        </w:tc>
        <w:tc>
          <w:tcPr>
            <w:tcW w:w="727"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28.95 per cent</w:t>
            </w:r>
          </w:p>
        </w:tc>
      </w:tr>
      <w:tr w:rsidR="002A7635" w:rsidRPr="00A325A0" w:rsidTr="00643668">
        <w:trPr>
          <w:trHeight w:val="450"/>
        </w:trPr>
        <w:tc>
          <w:tcPr>
            <w:tcW w:w="132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4: Financial Services</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30.0</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34.6</w:t>
            </w:r>
          </w:p>
        </w:tc>
        <w:tc>
          <w:tcPr>
            <w:tcW w:w="68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4.6</w:t>
            </w:r>
          </w:p>
        </w:tc>
        <w:tc>
          <w:tcPr>
            <w:tcW w:w="59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2.5</w:t>
            </w:r>
          </w:p>
        </w:tc>
        <w:tc>
          <w:tcPr>
            <w:tcW w:w="787"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15.33 per cent</w:t>
            </w:r>
          </w:p>
        </w:tc>
        <w:tc>
          <w:tcPr>
            <w:tcW w:w="727"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8.19 per cent</w:t>
            </w:r>
          </w:p>
        </w:tc>
      </w:tr>
      <w:tr w:rsidR="002A7635" w:rsidRPr="00A325A0" w:rsidTr="00643668">
        <w:trPr>
          <w:trHeight w:val="450"/>
        </w:trPr>
        <w:tc>
          <w:tcPr>
            <w:tcW w:w="132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lastRenderedPageBreak/>
              <w:t>Sub-programme 5: Internal Audit and Risk Management</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11.9</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11.5</w:t>
            </w:r>
          </w:p>
        </w:tc>
        <w:tc>
          <w:tcPr>
            <w:tcW w:w="68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0.4</w:t>
            </w:r>
          </w:p>
        </w:tc>
        <w:tc>
          <w:tcPr>
            <w:tcW w:w="59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1.1</w:t>
            </w:r>
          </w:p>
        </w:tc>
        <w:tc>
          <w:tcPr>
            <w:tcW w:w="787"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-3.36 per cent</w:t>
            </w:r>
          </w:p>
        </w:tc>
        <w:tc>
          <w:tcPr>
            <w:tcW w:w="727"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-9.34 per cent</w:t>
            </w:r>
          </w:p>
        </w:tc>
      </w:tr>
      <w:tr w:rsidR="002A7635" w:rsidRPr="00A325A0" w:rsidTr="00643668">
        <w:trPr>
          <w:trHeight w:val="450"/>
        </w:trPr>
        <w:tc>
          <w:tcPr>
            <w:tcW w:w="132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6: Office Accommodation</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35.6</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37.5</w:t>
            </w:r>
          </w:p>
        </w:tc>
        <w:tc>
          <w:tcPr>
            <w:tcW w:w="68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1.9</w:t>
            </w:r>
          </w:p>
        </w:tc>
        <w:tc>
          <w:tcPr>
            <w:tcW w:w="59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0.4</w:t>
            </w:r>
          </w:p>
        </w:tc>
        <w:tc>
          <w:tcPr>
            <w:tcW w:w="787"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5.34 per cent</w:t>
            </w:r>
          </w:p>
        </w:tc>
        <w:tc>
          <w:tcPr>
            <w:tcW w:w="727"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-1.18 per cent</w:t>
            </w:r>
          </w:p>
        </w:tc>
      </w:tr>
      <w:tr w:rsidR="002A7635" w:rsidRPr="00A325A0" w:rsidTr="00643668">
        <w:trPr>
          <w:trHeight w:val="255"/>
        </w:trPr>
        <w:tc>
          <w:tcPr>
            <w:tcW w:w="1324"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p>
        </w:tc>
        <w:tc>
          <w:tcPr>
            <w:tcW w:w="44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44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682"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598"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787"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727"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r>
      <w:tr w:rsidR="002A7635" w:rsidRPr="00A325A0" w:rsidTr="00643668">
        <w:trPr>
          <w:trHeight w:val="270"/>
        </w:trPr>
        <w:tc>
          <w:tcPr>
            <w:tcW w:w="1324" w:type="pct"/>
            <w:noWrap/>
            <w:hideMark/>
          </w:tcPr>
          <w:p w:rsidR="002A7635" w:rsidRPr="00A325A0" w:rsidRDefault="002A7635" w:rsidP="00A325A0">
            <w:pPr>
              <w:spacing w:line="360" w:lineRule="auto"/>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TOTAL</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228.7</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266.5</w:t>
            </w:r>
          </w:p>
        </w:tc>
        <w:tc>
          <w:tcPr>
            <w:tcW w:w="682"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37.8</w:t>
            </w:r>
          </w:p>
        </w:tc>
        <w:tc>
          <w:tcPr>
            <w:tcW w:w="598"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21.3</w:t>
            </w:r>
          </w:p>
        </w:tc>
        <w:tc>
          <w:tcPr>
            <w:tcW w:w="787"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16.53 per cent</w:t>
            </w:r>
          </w:p>
        </w:tc>
        <w:tc>
          <w:tcPr>
            <w:tcW w:w="727"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9.31 per cent</w:t>
            </w:r>
          </w:p>
        </w:tc>
      </w:tr>
    </w:tbl>
    <w:p w:rsidR="002A7635" w:rsidRPr="00A325A0" w:rsidRDefault="002A7635" w:rsidP="00A325A0">
      <w:pPr>
        <w:tabs>
          <w:tab w:val="left" w:pos="1171"/>
        </w:tabs>
        <w:spacing w:line="360" w:lineRule="auto"/>
        <w:rPr>
          <w:rFonts w:ascii="Times New Roman" w:hAnsi="Times New Roman" w:cs="Times New Roman"/>
          <w:sz w:val="24"/>
          <w:szCs w:val="24"/>
        </w:rPr>
      </w:pPr>
    </w:p>
    <w:p w:rsidR="00D90FBB" w:rsidRPr="00A325A0" w:rsidRDefault="002A7635" w:rsidP="00A325A0">
      <w:pPr>
        <w:tabs>
          <w:tab w:val="left" w:pos="1171"/>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As illustrated in the Graph below</w:t>
      </w:r>
      <w:r w:rsidR="00D90FBB" w:rsidRPr="00A325A0">
        <w:rPr>
          <w:rFonts w:ascii="Times New Roman" w:hAnsi="Times New Roman" w:cs="Times New Roman"/>
          <w:sz w:val="24"/>
          <w:szCs w:val="24"/>
        </w:rPr>
        <w:t>,</w:t>
      </w:r>
      <w:r w:rsidRPr="00A325A0">
        <w:rPr>
          <w:rFonts w:ascii="Times New Roman" w:hAnsi="Times New Roman" w:cs="Times New Roman"/>
          <w:sz w:val="24"/>
          <w:szCs w:val="24"/>
        </w:rPr>
        <w:t xml:space="preserve"> the highest increase in real rand terms (R29.9 million) is under Corporate Services (sub-programme 3), whose allocation is up from R103 million in 2015/16 to R142 million in 2016/17. This is significant given that during the tabling of the 2015/16 budget, the allocation to the sub-programme decreased by 1.6 percent or R1.4 million in real terms.</w:t>
      </w:r>
    </w:p>
    <w:p w:rsidR="002A7635" w:rsidRPr="00A325A0" w:rsidRDefault="002A7635" w:rsidP="00A325A0">
      <w:pPr>
        <w:tabs>
          <w:tab w:val="left" w:pos="1171"/>
        </w:tabs>
        <w:spacing w:line="360" w:lineRule="auto"/>
        <w:jc w:val="both"/>
        <w:rPr>
          <w:rFonts w:ascii="Times New Roman" w:hAnsi="Times New Roman" w:cs="Times New Roman"/>
          <w:sz w:val="24"/>
          <w:szCs w:val="24"/>
        </w:rPr>
      </w:pPr>
      <w:r w:rsidRPr="00A325A0">
        <w:rPr>
          <w:rFonts w:ascii="Times New Roman" w:hAnsi="Times New Roman" w:cs="Times New Roman"/>
          <w:noProof/>
          <w:sz w:val="24"/>
          <w:szCs w:val="24"/>
          <w:lang w:eastAsia="en-ZA"/>
        </w:rPr>
        <w:drawing>
          <wp:anchor distT="0" distB="0" distL="114300" distR="114300" simplePos="0" relativeHeight="251663360" behindDoc="0" locked="0" layoutInCell="1" allowOverlap="1" wp14:anchorId="3A79C5EA" wp14:editId="6CAA648B">
            <wp:simplePos x="0" y="0"/>
            <wp:positionH relativeFrom="column">
              <wp:posOffset>457200</wp:posOffset>
            </wp:positionH>
            <wp:positionV relativeFrom="paragraph">
              <wp:posOffset>217170</wp:posOffset>
            </wp:positionV>
            <wp:extent cx="5220335" cy="2058035"/>
            <wp:effectExtent l="0" t="0" r="18415" b="1841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D90FBB" w:rsidRPr="00A325A0" w:rsidRDefault="00D90FBB" w:rsidP="00A325A0">
      <w:pPr>
        <w:pStyle w:val="Heading2"/>
        <w:spacing w:line="360" w:lineRule="auto"/>
        <w:ind w:left="792"/>
        <w:rPr>
          <w:rFonts w:ascii="Times New Roman" w:hAnsi="Times New Roman" w:cs="Times New Roman"/>
          <w:sz w:val="24"/>
          <w:szCs w:val="24"/>
        </w:rPr>
      </w:pPr>
      <w:bookmarkStart w:id="2" w:name="_Toc444520262"/>
    </w:p>
    <w:p w:rsidR="00D90FBB" w:rsidRPr="00A325A0" w:rsidRDefault="00D90FBB" w:rsidP="00A325A0">
      <w:pPr>
        <w:spacing w:line="360" w:lineRule="auto"/>
        <w:rPr>
          <w:rFonts w:ascii="Times New Roman" w:hAnsi="Times New Roman" w:cs="Times New Roman"/>
          <w:sz w:val="24"/>
          <w:szCs w:val="24"/>
        </w:rPr>
      </w:pPr>
    </w:p>
    <w:p w:rsidR="002A7635" w:rsidRPr="003D0701" w:rsidRDefault="002A7635" w:rsidP="00A325A0">
      <w:pPr>
        <w:pStyle w:val="Heading2"/>
        <w:numPr>
          <w:ilvl w:val="1"/>
          <w:numId w:val="10"/>
        </w:numPr>
        <w:spacing w:line="360" w:lineRule="auto"/>
        <w:rPr>
          <w:rFonts w:ascii="Times New Roman" w:hAnsi="Times New Roman" w:cs="Times New Roman"/>
          <w:color w:val="auto"/>
          <w:sz w:val="24"/>
          <w:szCs w:val="24"/>
        </w:rPr>
      </w:pPr>
      <w:r w:rsidRPr="003D0701">
        <w:rPr>
          <w:rFonts w:ascii="Times New Roman" w:hAnsi="Times New Roman" w:cs="Times New Roman"/>
          <w:color w:val="auto"/>
          <w:sz w:val="24"/>
          <w:szCs w:val="24"/>
        </w:rPr>
        <w:t>Programme 2: Regional and Urban Development and Legislative Support</w:t>
      </w:r>
      <w:bookmarkEnd w:id="2"/>
    </w:p>
    <w:p w:rsidR="002A7635" w:rsidRPr="00A325A0" w:rsidRDefault="002A7635" w:rsidP="00A325A0">
      <w:pPr>
        <w:spacing w:line="360" w:lineRule="auto"/>
        <w:rPr>
          <w:rFonts w:ascii="Times New Roman" w:hAnsi="Times New Roman" w:cs="Times New Roman"/>
          <w:sz w:val="24"/>
          <w:szCs w:val="24"/>
        </w:rPr>
      </w:pPr>
    </w:p>
    <w:p w:rsidR="003D0701" w:rsidRDefault="002A7635" w:rsidP="00A325A0">
      <w:pPr>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 xml:space="preserve">This is a reconfigured </w:t>
      </w:r>
      <w:r w:rsidR="00D90FBB" w:rsidRPr="00A325A0">
        <w:rPr>
          <w:rFonts w:ascii="Times New Roman" w:hAnsi="Times New Roman" w:cs="Times New Roman"/>
          <w:sz w:val="24"/>
          <w:szCs w:val="24"/>
        </w:rPr>
        <w:t>p</w:t>
      </w:r>
      <w:r w:rsidRPr="00A325A0">
        <w:rPr>
          <w:rFonts w:ascii="Times New Roman" w:hAnsi="Times New Roman" w:cs="Times New Roman"/>
          <w:sz w:val="24"/>
          <w:szCs w:val="24"/>
        </w:rPr>
        <w:t xml:space="preserve">rogramme in place of what was previously </w:t>
      </w:r>
      <w:r w:rsidR="00D90FBB" w:rsidRPr="00A325A0">
        <w:rPr>
          <w:rFonts w:ascii="Times New Roman" w:hAnsi="Times New Roman" w:cs="Times New Roman"/>
          <w:sz w:val="24"/>
          <w:szCs w:val="24"/>
        </w:rPr>
        <w:t xml:space="preserve">known as </w:t>
      </w:r>
      <w:r w:rsidRPr="00A325A0">
        <w:rPr>
          <w:rFonts w:ascii="Times New Roman" w:hAnsi="Times New Roman" w:cs="Times New Roman"/>
          <w:sz w:val="24"/>
          <w:szCs w:val="24"/>
        </w:rPr>
        <w:t xml:space="preserve">the Policy, Research and Knowledge Management Programme, which was allocated R22 million in 2015/16. It incorporates sub-programmes from Programme 5 – previously the Provincial and Municipal Governance Support, and now Local Government Support and Intervention Management. Its stated purpose is to ‘provide policy analysis and development in order </w:t>
      </w:r>
      <w:r w:rsidR="00F05FE7" w:rsidRPr="00A325A0">
        <w:rPr>
          <w:rFonts w:ascii="Times New Roman" w:hAnsi="Times New Roman" w:cs="Times New Roman"/>
          <w:sz w:val="24"/>
          <w:szCs w:val="24"/>
        </w:rPr>
        <w:t xml:space="preserve">to </w:t>
      </w:r>
      <w:r w:rsidRPr="00A325A0">
        <w:rPr>
          <w:rFonts w:ascii="Times New Roman" w:hAnsi="Times New Roman" w:cs="Times New Roman"/>
          <w:sz w:val="24"/>
          <w:szCs w:val="24"/>
        </w:rPr>
        <w:t xml:space="preserve">transform local government and </w:t>
      </w:r>
      <w:r w:rsidR="00B307AF" w:rsidRPr="00A325A0">
        <w:rPr>
          <w:rFonts w:ascii="Times New Roman" w:hAnsi="Times New Roman" w:cs="Times New Roman"/>
          <w:sz w:val="24"/>
          <w:szCs w:val="24"/>
        </w:rPr>
        <w:t>improve cooperative governance.</w:t>
      </w:r>
      <w:r w:rsidRPr="00A325A0">
        <w:rPr>
          <w:rFonts w:ascii="Times New Roman" w:hAnsi="Times New Roman" w:cs="Times New Roman"/>
          <w:sz w:val="24"/>
          <w:szCs w:val="24"/>
        </w:rPr>
        <w:t xml:space="preserve"> As Table 3 </w:t>
      </w:r>
      <w:proofErr w:type="gramStart"/>
      <w:r w:rsidRPr="00A325A0">
        <w:rPr>
          <w:rFonts w:ascii="Times New Roman" w:hAnsi="Times New Roman" w:cs="Times New Roman"/>
          <w:sz w:val="24"/>
          <w:szCs w:val="24"/>
        </w:rPr>
        <w:t>illustrates,</w:t>
      </w:r>
      <w:proofErr w:type="gramEnd"/>
      <w:r w:rsidRPr="00A325A0">
        <w:rPr>
          <w:rFonts w:ascii="Times New Roman" w:hAnsi="Times New Roman" w:cs="Times New Roman"/>
          <w:sz w:val="24"/>
          <w:szCs w:val="24"/>
        </w:rPr>
        <w:t xml:space="preserve"> the </w:t>
      </w:r>
      <w:r w:rsidRPr="00A325A0">
        <w:rPr>
          <w:rFonts w:ascii="Times New Roman" w:hAnsi="Times New Roman" w:cs="Times New Roman"/>
          <w:sz w:val="24"/>
          <w:szCs w:val="24"/>
        </w:rPr>
        <w:lastRenderedPageBreak/>
        <w:t>budget for this Programme in 2016/17 increase</w:t>
      </w:r>
      <w:r w:rsidR="00F05FE7" w:rsidRPr="00A325A0">
        <w:rPr>
          <w:rFonts w:ascii="Times New Roman" w:hAnsi="Times New Roman" w:cs="Times New Roman"/>
          <w:sz w:val="24"/>
          <w:szCs w:val="24"/>
        </w:rPr>
        <w:t>d</w:t>
      </w:r>
      <w:r w:rsidRPr="00A325A0">
        <w:rPr>
          <w:rFonts w:ascii="Times New Roman" w:hAnsi="Times New Roman" w:cs="Times New Roman"/>
          <w:sz w:val="24"/>
          <w:szCs w:val="24"/>
        </w:rPr>
        <w:t xml:space="preserve"> by 309 percent or R235 million in real terms.</w:t>
      </w:r>
      <w:r w:rsidR="003D0701">
        <w:rPr>
          <w:rFonts w:ascii="Times New Roman" w:hAnsi="Times New Roman" w:cs="Times New Roman"/>
          <w:sz w:val="24"/>
          <w:szCs w:val="24"/>
        </w:rPr>
        <w:t xml:space="preserve"> </w:t>
      </w:r>
    </w:p>
    <w:p w:rsidR="002A7635" w:rsidRPr="00A325A0" w:rsidRDefault="002A7635" w:rsidP="00A325A0">
      <w:pPr>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 xml:space="preserve"> </w:t>
      </w:r>
    </w:p>
    <w:p w:rsidR="002A7635" w:rsidRPr="00A325A0" w:rsidRDefault="002A7635" w:rsidP="00A325A0">
      <w:pPr>
        <w:pStyle w:val="Caption"/>
        <w:keepNext/>
        <w:spacing w:line="360" w:lineRule="auto"/>
        <w:rPr>
          <w:rFonts w:ascii="Times New Roman" w:hAnsi="Times New Roman"/>
          <w:sz w:val="24"/>
          <w:szCs w:val="24"/>
        </w:rPr>
      </w:pPr>
      <w:r w:rsidRPr="00A325A0">
        <w:rPr>
          <w:rFonts w:ascii="Times New Roman" w:hAnsi="Times New Roman"/>
          <w:sz w:val="24"/>
          <w:szCs w:val="24"/>
        </w:rPr>
        <w:t xml:space="preserve">Table </w:t>
      </w:r>
      <w:r w:rsidRPr="00A325A0">
        <w:rPr>
          <w:rFonts w:ascii="Times New Roman" w:hAnsi="Times New Roman"/>
          <w:sz w:val="24"/>
          <w:szCs w:val="24"/>
        </w:rPr>
        <w:fldChar w:fldCharType="begin"/>
      </w:r>
      <w:r w:rsidRPr="00A325A0">
        <w:rPr>
          <w:rFonts w:ascii="Times New Roman" w:hAnsi="Times New Roman"/>
          <w:sz w:val="24"/>
          <w:szCs w:val="24"/>
        </w:rPr>
        <w:instrText xml:space="preserve"> SEQ Table \* ARABIC </w:instrText>
      </w:r>
      <w:r w:rsidRPr="00A325A0">
        <w:rPr>
          <w:rFonts w:ascii="Times New Roman" w:hAnsi="Times New Roman"/>
          <w:sz w:val="24"/>
          <w:szCs w:val="24"/>
        </w:rPr>
        <w:fldChar w:fldCharType="separate"/>
      </w:r>
      <w:r w:rsidR="000C1A45" w:rsidRPr="00A325A0">
        <w:rPr>
          <w:rFonts w:ascii="Times New Roman" w:hAnsi="Times New Roman"/>
          <w:noProof/>
          <w:sz w:val="24"/>
          <w:szCs w:val="24"/>
        </w:rPr>
        <w:t>3</w:t>
      </w:r>
      <w:r w:rsidRPr="00A325A0">
        <w:rPr>
          <w:rFonts w:ascii="Times New Roman" w:hAnsi="Times New Roman"/>
          <w:sz w:val="24"/>
          <w:szCs w:val="24"/>
        </w:rPr>
        <w:fldChar w:fldCharType="end"/>
      </w:r>
      <w:r w:rsidRPr="00A325A0">
        <w:rPr>
          <w:rFonts w:ascii="Times New Roman" w:hAnsi="Times New Roman"/>
          <w:sz w:val="24"/>
          <w:szCs w:val="24"/>
        </w:rPr>
        <w:t>: Regional and Urban Development and Legislative Support</w:t>
      </w:r>
    </w:p>
    <w:tbl>
      <w:tblPr>
        <w:tblStyle w:val="TableGrid"/>
        <w:tblW w:w="5000" w:type="pct"/>
        <w:tblLook w:val="04A0" w:firstRow="1" w:lastRow="0" w:firstColumn="1" w:lastColumn="0" w:noHBand="0" w:noVBand="1"/>
      </w:tblPr>
      <w:tblGrid>
        <w:gridCol w:w="1917"/>
        <w:gridCol w:w="971"/>
        <w:gridCol w:w="971"/>
        <w:gridCol w:w="1062"/>
        <w:gridCol w:w="907"/>
        <w:gridCol w:w="1707"/>
        <w:gridCol w:w="1707"/>
      </w:tblGrid>
      <w:tr w:rsidR="002A7635" w:rsidRPr="00A325A0" w:rsidTr="00643668">
        <w:trPr>
          <w:trHeight w:val="780"/>
        </w:trPr>
        <w:tc>
          <w:tcPr>
            <w:tcW w:w="1445" w:type="pct"/>
            <w:noWrap/>
            <w:hideMark/>
          </w:tcPr>
          <w:p w:rsidR="002A7635" w:rsidRPr="00A325A0" w:rsidRDefault="002A7635" w:rsidP="00A325A0">
            <w:pPr>
              <w:spacing w:line="360" w:lineRule="auto"/>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Programme</w:t>
            </w:r>
          </w:p>
        </w:tc>
        <w:tc>
          <w:tcPr>
            <w:tcW w:w="882" w:type="pct"/>
            <w:gridSpan w:val="2"/>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Budget</w:t>
            </w:r>
          </w:p>
        </w:tc>
        <w:tc>
          <w:tcPr>
            <w:tcW w:w="592"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Nominal Rand change</w:t>
            </w:r>
          </w:p>
        </w:tc>
        <w:tc>
          <w:tcPr>
            <w:tcW w:w="528"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Real Rand change</w:t>
            </w:r>
          </w:p>
        </w:tc>
        <w:tc>
          <w:tcPr>
            <w:tcW w:w="792"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Nominal % change</w:t>
            </w:r>
          </w:p>
        </w:tc>
        <w:tc>
          <w:tcPr>
            <w:tcW w:w="761"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Real % change</w:t>
            </w:r>
          </w:p>
        </w:tc>
      </w:tr>
      <w:tr w:rsidR="002A7635" w:rsidRPr="00A325A0" w:rsidTr="00643668">
        <w:trPr>
          <w:trHeight w:val="255"/>
        </w:trPr>
        <w:tc>
          <w:tcPr>
            <w:tcW w:w="1445" w:type="pct"/>
            <w:noWrap/>
            <w:hideMark/>
          </w:tcPr>
          <w:p w:rsidR="002A7635" w:rsidRPr="00A325A0" w:rsidRDefault="002A7635" w:rsidP="00A325A0">
            <w:pPr>
              <w:spacing w:line="360" w:lineRule="auto"/>
              <w:jc w:val="center"/>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R million</w:t>
            </w:r>
          </w:p>
        </w:tc>
        <w:tc>
          <w:tcPr>
            <w:tcW w:w="441" w:type="pct"/>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2015/16</w:t>
            </w:r>
          </w:p>
        </w:tc>
        <w:tc>
          <w:tcPr>
            <w:tcW w:w="441" w:type="pct"/>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2016/17</w:t>
            </w:r>
          </w:p>
        </w:tc>
        <w:tc>
          <w:tcPr>
            <w:tcW w:w="1120" w:type="pct"/>
            <w:gridSpan w:val="2"/>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2015/16-2016/17</w:t>
            </w:r>
          </w:p>
        </w:tc>
        <w:tc>
          <w:tcPr>
            <w:tcW w:w="1553" w:type="pct"/>
            <w:gridSpan w:val="2"/>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2015/16-2016/17</w:t>
            </w:r>
          </w:p>
        </w:tc>
      </w:tr>
      <w:tr w:rsidR="002A7635" w:rsidRPr="00A325A0" w:rsidTr="00643668">
        <w:trPr>
          <w:trHeight w:val="900"/>
        </w:trPr>
        <w:tc>
          <w:tcPr>
            <w:tcW w:w="1445"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1: Management: Regional and Urban Development and Legislative Support</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6.1</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3.1</w:t>
            </w:r>
          </w:p>
        </w:tc>
        <w:tc>
          <w:tcPr>
            <w:tcW w:w="59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3.0</w:t>
            </w:r>
          </w:p>
        </w:tc>
        <w:tc>
          <w:tcPr>
            <w:tcW w:w="52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3.2</w:t>
            </w:r>
          </w:p>
        </w:tc>
        <w:tc>
          <w:tcPr>
            <w:tcW w:w="79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-49.18 per cent</w:t>
            </w:r>
          </w:p>
        </w:tc>
        <w:tc>
          <w:tcPr>
            <w:tcW w:w="76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-52.33 per cent</w:t>
            </w:r>
          </w:p>
        </w:tc>
      </w:tr>
      <w:tr w:rsidR="002A7635" w:rsidRPr="00A325A0" w:rsidTr="00643668">
        <w:trPr>
          <w:trHeight w:val="900"/>
        </w:trPr>
        <w:tc>
          <w:tcPr>
            <w:tcW w:w="1445"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2: Local Government Legislative Support and Institutional Establishment</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5.6</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3.4</w:t>
            </w:r>
          </w:p>
        </w:tc>
        <w:tc>
          <w:tcPr>
            <w:tcW w:w="59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2.2</w:t>
            </w:r>
          </w:p>
        </w:tc>
        <w:tc>
          <w:tcPr>
            <w:tcW w:w="52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2.4</w:t>
            </w:r>
          </w:p>
        </w:tc>
        <w:tc>
          <w:tcPr>
            <w:tcW w:w="79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-39.29 per cent</w:t>
            </w:r>
          </w:p>
        </w:tc>
        <w:tc>
          <w:tcPr>
            <w:tcW w:w="76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-43.04 per cent</w:t>
            </w:r>
          </w:p>
        </w:tc>
      </w:tr>
      <w:tr w:rsidR="002A7635" w:rsidRPr="00A325A0" w:rsidTr="00643668">
        <w:trPr>
          <w:trHeight w:val="450"/>
        </w:trPr>
        <w:tc>
          <w:tcPr>
            <w:tcW w:w="1445"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3: Urban Development Planning</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8.8</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7.3</w:t>
            </w:r>
          </w:p>
        </w:tc>
        <w:tc>
          <w:tcPr>
            <w:tcW w:w="59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1.5</w:t>
            </w:r>
          </w:p>
        </w:tc>
        <w:tc>
          <w:tcPr>
            <w:tcW w:w="52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2.0</w:t>
            </w:r>
          </w:p>
        </w:tc>
        <w:tc>
          <w:tcPr>
            <w:tcW w:w="79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-17.05 per cent</w:t>
            </w:r>
          </w:p>
        </w:tc>
        <w:tc>
          <w:tcPr>
            <w:tcW w:w="76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-22.18 per cent</w:t>
            </w:r>
          </w:p>
        </w:tc>
      </w:tr>
      <w:tr w:rsidR="002A7635" w:rsidRPr="00A325A0" w:rsidTr="00643668">
        <w:trPr>
          <w:trHeight w:val="675"/>
        </w:trPr>
        <w:tc>
          <w:tcPr>
            <w:tcW w:w="1445"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Sub-programme 4: Spatial Planning: Districts and </w:t>
            </w:r>
            <w:r w:rsidRPr="00A325A0">
              <w:rPr>
                <w:rFonts w:ascii="Times New Roman" w:eastAsia="Times New Roman" w:hAnsi="Times New Roman" w:cs="Times New Roman"/>
                <w:sz w:val="24"/>
                <w:szCs w:val="24"/>
                <w:lang w:eastAsia="en-ZA"/>
              </w:rPr>
              <w:lastRenderedPageBreak/>
              <w:t>Regions</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lastRenderedPageBreak/>
              <w:t xml:space="preserve">  8.8</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11.9</w:t>
            </w:r>
          </w:p>
        </w:tc>
        <w:tc>
          <w:tcPr>
            <w:tcW w:w="59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3.1</w:t>
            </w:r>
          </w:p>
        </w:tc>
        <w:tc>
          <w:tcPr>
            <w:tcW w:w="52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2.4</w:t>
            </w:r>
          </w:p>
        </w:tc>
        <w:tc>
          <w:tcPr>
            <w:tcW w:w="79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35.23 per cent</w:t>
            </w:r>
          </w:p>
        </w:tc>
        <w:tc>
          <w:tcPr>
            <w:tcW w:w="76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26.85 per cent</w:t>
            </w:r>
          </w:p>
        </w:tc>
      </w:tr>
      <w:tr w:rsidR="002A7635" w:rsidRPr="00A325A0" w:rsidTr="00643668">
        <w:trPr>
          <w:trHeight w:val="675"/>
        </w:trPr>
        <w:tc>
          <w:tcPr>
            <w:tcW w:w="1445"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lastRenderedPageBreak/>
              <w:t>Sub-programme 5: Intergovernmental Policy and Practice</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7.8</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9.0</w:t>
            </w:r>
          </w:p>
        </w:tc>
        <w:tc>
          <w:tcPr>
            <w:tcW w:w="59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1.2</w:t>
            </w:r>
          </w:p>
        </w:tc>
        <w:tc>
          <w:tcPr>
            <w:tcW w:w="52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0.6</w:t>
            </w:r>
          </w:p>
        </w:tc>
        <w:tc>
          <w:tcPr>
            <w:tcW w:w="79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15.38 per cent</w:t>
            </w:r>
          </w:p>
        </w:tc>
        <w:tc>
          <w:tcPr>
            <w:tcW w:w="76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8.24 per cent</w:t>
            </w:r>
          </w:p>
        </w:tc>
      </w:tr>
      <w:tr w:rsidR="002A7635" w:rsidRPr="00A325A0" w:rsidTr="00643668">
        <w:trPr>
          <w:trHeight w:val="450"/>
        </w:trPr>
        <w:tc>
          <w:tcPr>
            <w:tcW w:w="1445"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6: Municipal Demarcation Transition Grant</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39.0</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297.4</w:t>
            </w:r>
          </w:p>
        </w:tc>
        <w:tc>
          <w:tcPr>
            <w:tcW w:w="59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258.4</w:t>
            </w:r>
          </w:p>
        </w:tc>
        <w:tc>
          <w:tcPr>
            <w:tcW w:w="52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240.0</w:t>
            </w:r>
          </w:p>
        </w:tc>
        <w:tc>
          <w:tcPr>
            <w:tcW w:w="79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662.56 per cent</w:t>
            </w:r>
          </w:p>
        </w:tc>
        <w:tc>
          <w:tcPr>
            <w:tcW w:w="76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615.35 per cent</w:t>
            </w:r>
          </w:p>
        </w:tc>
      </w:tr>
      <w:tr w:rsidR="002A7635" w:rsidRPr="00A325A0" w:rsidTr="00643668">
        <w:trPr>
          <w:trHeight w:val="255"/>
        </w:trPr>
        <w:tc>
          <w:tcPr>
            <w:tcW w:w="1445"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p>
        </w:tc>
        <w:tc>
          <w:tcPr>
            <w:tcW w:w="44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44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592"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528"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792"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76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r>
      <w:tr w:rsidR="002A7635" w:rsidRPr="00A325A0" w:rsidTr="00643668">
        <w:trPr>
          <w:trHeight w:val="270"/>
        </w:trPr>
        <w:tc>
          <w:tcPr>
            <w:tcW w:w="1445" w:type="pct"/>
            <w:noWrap/>
            <w:hideMark/>
          </w:tcPr>
          <w:p w:rsidR="002A7635" w:rsidRPr="00A325A0" w:rsidRDefault="002A7635" w:rsidP="00A325A0">
            <w:pPr>
              <w:spacing w:line="360" w:lineRule="auto"/>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TOTAL</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76.1</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332.1</w:t>
            </w:r>
          </w:p>
        </w:tc>
        <w:tc>
          <w:tcPr>
            <w:tcW w:w="592"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256.0</w:t>
            </w:r>
          </w:p>
        </w:tc>
        <w:tc>
          <w:tcPr>
            <w:tcW w:w="528"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235.4</w:t>
            </w:r>
          </w:p>
        </w:tc>
        <w:tc>
          <w:tcPr>
            <w:tcW w:w="792"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336.40 per cent</w:t>
            </w:r>
          </w:p>
        </w:tc>
        <w:tc>
          <w:tcPr>
            <w:tcW w:w="761"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309.38 per cent</w:t>
            </w:r>
          </w:p>
        </w:tc>
      </w:tr>
    </w:tbl>
    <w:p w:rsidR="002A7635" w:rsidRPr="00A325A0" w:rsidRDefault="002A7635" w:rsidP="00A325A0">
      <w:pPr>
        <w:tabs>
          <w:tab w:val="left" w:pos="1408"/>
        </w:tabs>
        <w:spacing w:line="360" w:lineRule="auto"/>
        <w:rPr>
          <w:rFonts w:ascii="Times New Roman" w:hAnsi="Times New Roman" w:cs="Times New Roman"/>
          <w:sz w:val="24"/>
          <w:szCs w:val="24"/>
        </w:rPr>
      </w:pPr>
    </w:p>
    <w:p w:rsidR="002A7635" w:rsidRPr="00A325A0" w:rsidRDefault="002A7635" w:rsidP="00A325A0">
      <w:pPr>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 xml:space="preserve">Accounting for this exponential increase, as the Graph below illustrates, is sub-programme 6: the </w:t>
      </w:r>
      <w:r w:rsidRPr="00A325A0">
        <w:rPr>
          <w:rFonts w:ascii="Times New Roman" w:hAnsi="Times New Roman" w:cs="Times New Roman"/>
          <w:i/>
          <w:sz w:val="24"/>
          <w:szCs w:val="24"/>
        </w:rPr>
        <w:t xml:space="preserve">municipal demarcation transition grant </w:t>
      </w:r>
      <w:r w:rsidRPr="00A325A0">
        <w:rPr>
          <w:rFonts w:ascii="Times New Roman" w:hAnsi="Times New Roman" w:cs="Times New Roman"/>
          <w:sz w:val="24"/>
          <w:szCs w:val="24"/>
        </w:rPr>
        <w:t>(previously a sub-programme under Programme 5), which increase</w:t>
      </w:r>
      <w:r w:rsidR="001E72C1" w:rsidRPr="00A325A0">
        <w:rPr>
          <w:rFonts w:ascii="Times New Roman" w:hAnsi="Times New Roman" w:cs="Times New Roman"/>
          <w:sz w:val="24"/>
          <w:szCs w:val="24"/>
        </w:rPr>
        <w:t>d</w:t>
      </w:r>
      <w:r w:rsidRPr="00A325A0">
        <w:rPr>
          <w:rFonts w:ascii="Times New Roman" w:hAnsi="Times New Roman" w:cs="Times New Roman"/>
          <w:sz w:val="24"/>
          <w:szCs w:val="24"/>
        </w:rPr>
        <w:t xml:space="preserve"> by R240 million or 615 percent in real terms, to support the implementation of the Municipal Demarcation Board’s (MDB) major boundary changes coming into effect during the upcoming local government elections.</w:t>
      </w:r>
    </w:p>
    <w:p w:rsidR="002A7635" w:rsidRPr="00A325A0" w:rsidRDefault="002A7635" w:rsidP="00A325A0">
      <w:pPr>
        <w:spacing w:line="360" w:lineRule="auto"/>
        <w:jc w:val="both"/>
        <w:rPr>
          <w:rFonts w:ascii="Times New Roman" w:hAnsi="Times New Roman" w:cs="Times New Roman"/>
          <w:sz w:val="24"/>
          <w:szCs w:val="24"/>
        </w:rPr>
      </w:pPr>
    </w:p>
    <w:p w:rsidR="002A7635" w:rsidRPr="00A325A0" w:rsidRDefault="002A7635" w:rsidP="00A325A0">
      <w:pPr>
        <w:tabs>
          <w:tab w:val="left" w:pos="1547"/>
        </w:tabs>
        <w:spacing w:line="360" w:lineRule="auto"/>
        <w:rPr>
          <w:rFonts w:ascii="Times New Roman" w:hAnsi="Times New Roman" w:cs="Times New Roman"/>
          <w:sz w:val="24"/>
          <w:szCs w:val="24"/>
        </w:rPr>
      </w:pPr>
      <w:r w:rsidRPr="00A325A0">
        <w:rPr>
          <w:rFonts w:ascii="Times New Roman" w:hAnsi="Times New Roman" w:cs="Times New Roman"/>
          <w:noProof/>
          <w:sz w:val="24"/>
          <w:szCs w:val="24"/>
          <w:lang w:eastAsia="en-ZA"/>
        </w:rPr>
        <w:drawing>
          <wp:anchor distT="0" distB="0" distL="114300" distR="114300" simplePos="0" relativeHeight="251664384" behindDoc="1" locked="0" layoutInCell="1" allowOverlap="1" wp14:anchorId="5FE01930" wp14:editId="33332779">
            <wp:simplePos x="0" y="0"/>
            <wp:positionH relativeFrom="column">
              <wp:posOffset>232012</wp:posOffset>
            </wp:positionH>
            <wp:positionV relativeFrom="paragraph">
              <wp:posOffset>52714</wp:posOffset>
            </wp:positionV>
            <wp:extent cx="5254388" cy="2393183"/>
            <wp:effectExtent l="0" t="0" r="3810" b="762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2A7635" w:rsidRPr="00A325A0" w:rsidRDefault="002A7635" w:rsidP="00A325A0">
      <w:pPr>
        <w:spacing w:line="360" w:lineRule="auto"/>
        <w:rPr>
          <w:rFonts w:ascii="Times New Roman" w:hAnsi="Times New Roman" w:cs="Times New Roman"/>
          <w:sz w:val="24"/>
          <w:szCs w:val="24"/>
        </w:rPr>
      </w:pPr>
    </w:p>
    <w:p w:rsidR="002A7635" w:rsidRPr="00A325A0" w:rsidRDefault="002A7635" w:rsidP="00A325A0">
      <w:pPr>
        <w:spacing w:line="360" w:lineRule="auto"/>
        <w:rPr>
          <w:rFonts w:ascii="Times New Roman" w:hAnsi="Times New Roman" w:cs="Times New Roman"/>
          <w:sz w:val="24"/>
          <w:szCs w:val="24"/>
        </w:rPr>
      </w:pPr>
    </w:p>
    <w:p w:rsidR="002A7635" w:rsidRPr="00A325A0" w:rsidRDefault="002A7635" w:rsidP="00A325A0">
      <w:pPr>
        <w:spacing w:line="360" w:lineRule="auto"/>
        <w:rPr>
          <w:rFonts w:ascii="Times New Roman" w:hAnsi="Times New Roman" w:cs="Times New Roman"/>
          <w:sz w:val="24"/>
          <w:szCs w:val="24"/>
        </w:rPr>
      </w:pPr>
    </w:p>
    <w:p w:rsidR="002A7635" w:rsidRPr="00A325A0" w:rsidRDefault="002A7635" w:rsidP="00A325A0">
      <w:pPr>
        <w:tabs>
          <w:tab w:val="left" w:pos="967"/>
        </w:tabs>
        <w:spacing w:line="360" w:lineRule="auto"/>
        <w:rPr>
          <w:rFonts w:ascii="Times New Roman" w:hAnsi="Times New Roman" w:cs="Times New Roman"/>
          <w:sz w:val="24"/>
          <w:szCs w:val="24"/>
        </w:rPr>
      </w:pPr>
    </w:p>
    <w:p w:rsidR="002A7635" w:rsidRDefault="002A7635" w:rsidP="00A325A0">
      <w:pPr>
        <w:tabs>
          <w:tab w:val="left" w:pos="967"/>
        </w:tabs>
        <w:spacing w:line="360" w:lineRule="auto"/>
        <w:rPr>
          <w:rFonts w:ascii="Times New Roman" w:hAnsi="Times New Roman" w:cs="Times New Roman"/>
          <w:sz w:val="24"/>
          <w:szCs w:val="24"/>
        </w:rPr>
      </w:pPr>
    </w:p>
    <w:p w:rsidR="003D0701" w:rsidRDefault="003D0701" w:rsidP="00A325A0">
      <w:pPr>
        <w:tabs>
          <w:tab w:val="left" w:pos="967"/>
        </w:tabs>
        <w:spacing w:line="360" w:lineRule="auto"/>
        <w:rPr>
          <w:rFonts w:ascii="Times New Roman" w:hAnsi="Times New Roman" w:cs="Times New Roman"/>
          <w:sz w:val="24"/>
          <w:szCs w:val="24"/>
        </w:rPr>
      </w:pPr>
    </w:p>
    <w:p w:rsidR="003D0701" w:rsidRDefault="003D0701" w:rsidP="00A325A0">
      <w:pPr>
        <w:tabs>
          <w:tab w:val="left" w:pos="967"/>
        </w:tabs>
        <w:spacing w:line="360" w:lineRule="auto"/>
        <w:rPr>
          <w:rFonts w:ascii="Times New Roman" w:hAnsi="Times New Roman" w:cs="Times New Roman"/>
          <w:sz w:val="24"/>
          <w:szCs w:val="24"/>
        </w:rPr>
      </w:pPr>
    </w:p>
    <w:p w:rsidR="002A7635" w:rsidRPr="003D0701" w:rsidRDefault="002A7635" w:rsidP="003D0701">
      <w:pPr>
        <w:pStyle w:val="Heading2"/>
        <w:numPr>
          <w:ilvl w:val="1"/>
          <w:numId w:val="10"/>
        </w:numPr>
        <w:spacing w:line="360" w:lineRule="auto"/>
        <w:rPr>
          <w:rFonts w:ascii="Times New Roman" w:hAnsi="Times New Roman" w:cs="Times New Roman"/>
          <w:color w:val="auto"/>
          <w:sz w:val="24"/>
          <w:szCs w:val="24"/>
        </w:rPr>
      </w:pPr>
      <w:bookmarkStart w:id="3" w:name="_Toc444520263"/>
      <w:r w:rsidRPr="003D0701">
        <w:rPr>
          <w:rFonts w:ascii="Times New Roman" w:hAnsi="Times New Roman" w:cs="Times New Roman"/>
          <w:color w:val="auto"/>
          <w:sz w:val="24"/>
          <w:szCs w:val="24"/>
        </w:rPr>
        <w:lastRenderedPageBreak/>
        <w:t>Programme 3: Institutional Development</w:t>
      </w:r>
      <w:bookmarkEnd w:id="3"/>
    </w:p>
    <w:p w:rsidR="002A7635" w:rsidRPr="00A325A0" w:rsidRDefault="002A7635" w:rsidP="00A325A0">
      <w:pPr>
        <w:tabs>
          <w:tab w:val="left" w:pos="956"/>
        </w:tabs>
        <w:spacing w:line="360" w:lineRule="auto"/>
        <w:rPr>
          <w:rFonts w:ascii="Times New Roman" w:hAnsi="Times New Roman" w:cs="Times New Roman"/>
          <w:sz w:val="24"/>
          <w:szCs w:val="24"/>
        </w:rPr>
      </w:pPr>
    </w:p>
    <w:p w:rsidR="002A7635" w:rsidRPr="00A325A0" w:rsidRDefault="002A7635" w:rsidP="00A325A0">
      <w:pPr>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Previously the Governance and Intergovernmental Relations Programme, the Institutional Development Programme is aimed at building ‘institutional resi</w:t>
      </w:r>
      <w:r w:rsidR="006D55A9" w:rsidRPr="00A325A0">
        <w:rPr>
          <w:rFonts w:ascii="Times New Roman" w:hAnsi="Times New Roman" w:cs="Times New Roman"/>
          <w:sz w:val="24"/>
          <w:szCs w:val="24"/>
        </w:rPr>
        <w:t>lience</w:t>
      </w:r>
      <w:r w:rsidRPr="00A325A0">
        <w:rPr>
          <w:rFonts w:ascii="Times New Roman" w:hAnsi="Times New Roman" w:cs="Times New Roman"/>
          <w:sz w:val="24"/>
          <w:szCs w:val="24"/>
        </w:rPr>
        <w:t xml:space="preserve"> in the local government system by supporting system development, governance, capacity b</w:t>
      </w:r>
      <w:r w:rsidR="00B307AF" w:rsidRPr="00A325A0">
        <w:rPr>
          <w:rFonts w:ascii="Times New Roman" w:hAnsi="Times New Roman" w:cs="Times New Roman"/>
          <w:sz w:val="24"/>
          <w:szCs w:val="24"/>
        </w:rPr>
        <w:t>uilding and revenue management.</w:t>
      </w:r>
      <w:r w:rsidRPr="00A325A0">
        <w:rPr>
          <w:rFonts w:ascii="Times New Roman" w:hAnsi="Times New Roman" w:cs="Times New Roman"/>
          <w:sz w:val="24"/>
          <w:szCs w:val="24"/>
        </w:rPr>
        <w:t xml:space="preserve"> It also provides for the functions of the Department of Traditional Affairs, which were previously catered for under Programme 7. The Programme now also incorporates the </w:t>
      </w:r>
      <w:r w:rsidRPr="00A325A0">
        <w:rPr>
          <w:rFonts w:ascii="Times New Roman" w:hAnsi="Times New Roman" w:cs="Times New Roman"/>
          <w:i/>
          <w:sz w:val="24"/>
          <w:szCs w:val="24"/>
        </w:rPr>
        <w:t>Municipal Infrastructure Grant</w:t>
      </w:r>
      <w:r w:rsidRPr="00A325A0">
        <w:rPr>
          <w:rFonts w:ascii="Times New Roman" w:hAnsi="Times New Roman" w:cs="Times New Roman"/>
          <w:sz w:val="24"/>
          <w:szCs w:val="24"/>
        </w:rPr>
        <w:t xml:space="preserve"> (previously a sub-programme under Programme 6) and the </w:t>
      </w:r>
      <w:r w:rsidRPr="00A325A0">
        <w:rPr>
          <w:rFonts w:ascii="Times New Roman" w:hAnsi="Times New Roman" w:cs="Times New Roman"/>
          <w:i/>
          <w:sz w:val="24"/>
          <w:szCs w:val="24"/>
        </w:rPr>
        <w:t>Municipal Systems Improvement Grant</w:t>
      </w:r>
      <w:r w:rsidRPr="00A325A0">
        <w:rPr>
          <w:rFonts w:ascii="Times New Roman" w:hAnsi="Times New Roman" w:cs="Times New Roman"/>
          <w:sz w:val="24"/>
          <w:szCs w:val="24"/>
        </w:rPr>
        <w:t xml:space="preserve"> (previously a sub-programme under Programme 3).</w:t>
      </w:r>
    </w:p>
    <w:p w:rsidR="002A7635" w:rsidRDefault="002A7635" w:rsidP="00A325A0">
      <w:pPr>
        <w:tabs>
          <w:tab w:val="left" w:pos="1139"/>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With an estimated allocation of R61.8 billion in 2016/17</w:t>
      </w:r>
      <w:r w:rsidR="001E72C1" w:rsidRPr="00A325A0">
        <w:rPr>
          <w:rFonts w:ascii="Times New Roman" w:hAnsi="Times New Roman" w:cs="Times New Roman"/>
          <w:sz w:val="24"/>
          <w:szCs w:val="24"/>
        </w:rPr>
        <w:t>,</w:t>
      </w:r>
      <w:r w:rsidRPr="00A325A0">
        <w:rPr>
          <w:rFonts w:ascii="Times New Roman" w:hAnsi="Times New Roman" w:cs="Times New Roman"/>
          <w:sz w:val="24"/>
          <w:szCs w:val="24"/>
        </w:rPr>
        <w:t xml:space="preserve"> the Programme constitutes 93 percent of the total budget allocation to the Department, as it transfers the largest expenditure items in the Department, namely</w:t>
      </w:r>
      <w:r w:rsidR="001E72C1" w:rsidRPr="00A325A0">
        <w:rPr>
          <w:rFonts w:ascii="Times New Roman" w:hAnsi="Times New Roman" w:cs="Times New Roman"/>
          <w:sz w:val="24"/>
          <w:szCs w:val="24"/>
        </w:rPr>
        <w:t>,</w:t>
      </w:r>
      <w:r w:rsidRPr="00A325A0">
        <w:rPr>
          <w:rFonts w:ascii="Times New Roman" w:hAnsi="Times New Roman" w:cs="Times New Roman"/>
          <w:sz w:val="24"/>
          <w:szCs w:val="24"/>
        </w:rPr>
        <w:t xml:space="preserve"> the </w:t>
      </w:r>
      <w:r w:rsidRPr="00A325A0">
        <w:rPr>
          <w:rFonts w:ascii="Times New Roman" w:hAnsi="Times New Roman" w:cs="Times New Roman"/>
          <w:i/>
          <w:sz w:val="24"/>
          <w:szCs w:val="24"/>
        </w:rPr>
        <w:t>Municipal Infrastructure Grant</w:t>
      </w:r>
      <w:r w:rsidRPr="00A325A0">
        <w:rPr>
          <w:rFonts w:ascii="Times New Roman" w:hAnsi="Times New Roman" w:cs="Times New Roman"/>
          <w:sz w:val="24"/>
          <w:szCs w:val="24"/>
        </w:rPr>
        <w:t xml:space="preserve"> (sub-programme 8) and the </w:t>
      </w:r>
      <w:r w:rsidRPr="00A325A0">
        <w:rPr>
          <w:rFonts w:ascii="Times New Roman" w:hAnsi="Times New Roman" w:cs="Times New Roman"/>
          <w:i/>
          <w:sz w:val="24"/>
          <w:szCs w:val="24"/>
        </w:rPr>
        <w:t>Local Government Equitable Share</w:t>
      </w:r>
      <w:r w:rsidRPr="00A325A0">
        <w:rPr>
          <w:rFonts w:ascii="Times New Roman" w:hAnsi="Times New Roman" w:cs="Times New Roman"/>
          <w:sz w:val="24"/>
          <w:szCs w:val="24"/>
        </w:rPr>
        <w:t xml:space="preserve"> (sub-programme 7)</w:t>
      </w:r>
      <w:r w:rsidR="001E72C1" w:rsidRPr="00A325A0">
        <w:rPr>
          <w:rFonts w:ascii="Times New Roman" w:hAnsi="Times New Roman" w:cs="Times New Roman"/>
          <w:sz w:val="24"/>
          <w:szCs w:val="24"/>
        </w:rPr>
        <w:t>,</w:t>
      </w:r>
      <w:r w:rsidRPr="00A325A0">
        <w:rPr>
          <w:rFonts w:ascii="Times New Roman" w:hAnsi="Times New Roman" w:cs="Times New Roman"/>
          <w:sz w:val="24"/>
          <w:szCs w:val="24"/>
        </w:rPr>
        <w:t xml:space="preserve"> in addition to transfers to the </w:t>
      </w:r>
      <w:r w:rsidRPr="00A325A0">
        <w:rPr>
          <w:rFonts w:ascii="Times New Roman" w:hAnsi="Times New Roman" w:cs="Times New Roman"/>
          <w:i/>
          <w:sz w:val="24"/>
          <w:szCs w:val="24"/>
        </w:rPr>
        <w:t>Municipal Infrastructure Support Agent</w:t>
      </w:r>
      <w:r w:rsidRPr="00A325A0">
        <w:rPr>
          <w:rFonts w:ascii="Times New Roman" w:hAnsi="Times New Roman" w:cs="Times New Roman"/>
          <w:sz w:val="24"/>
          <w:szCs w:val="24"/>
        </w:rPr>
        <w:t xml:space="preserve"> (sub-programme 11) and the </w:t>
      </w:r>
      <w:r w:rsidRPr="00A325A0">
        <w:rPr>
          <w:rFonts w:ascii="Times New Roman" w:hAnsi="Times New Roman" w:cs="Times New Roman"/>
          <w:i/>
          <w:sz w:val="24"/>
          <w:szCs w:val="24"/>
        </w:rPr>
        <w:t>Department of Traditional Affairs</w:t>
      </w:r>
      <w:r w:rsidRPr="00A325A0">
        <w:rPr>
          <w:rFonts w:ascii="Times New Roman" w:hAnsi="Times New Roman" w:cs="Times New Roman"/>
          <w:sz w:val="24"/>
          <w:szCs w:val="24"/>
        </w:rPr>
        <w:t xml:space="preserve"> (sub-programme 10). The overall estimated budget allocation to the Programme decrease</w:t>
      </w:r>
      <w:r w:rsidR="001E72C1" w:rsidRPr="00A325A0">
        <w:rPr>
          <w:rFonts w:ascii="Times New Roman" w:hAnsi="Times New Roman" w:cs="Times New Roman"/>
          <w:sz w:val="24"/>
          <w:szCs w:val="24"/>
        </w:rPr>
        <w:t>d</w:t>
      </w:r>
      <w:r w:rsidRPr="00A325A0">
        <w:rPr>
          <w:rFonts w:ascii="Times New Roman" w:hAnsi="Times New Roman" w:cs="Times New Roman"/>
          <w:sz w:val="24"/>
          <w:szCs w:val="24"/>
        </w:rPr>
        <w:t>, in real terms, by 5.2 percent or R3.5 billion in 2016/17 as illustrated in Table 4 below.</w:t>
      </w:r>
    </w:p>
    <w:p w:rsidR="003D0701" w:rsidRPr="00A325A0" w:rsidRDefault="003D0701" w:rsidP="00A325A0">
      <w:pPr>
        <w:tabs>
          <w:tab w:val="left" w:pos="1139"/>
        </w:tabs>
        <w:spacing w:line="360" w:lineRule="auto"/>
        <w:jc w:val="both"/>
        <w:rPr>
          <w:rFonts w:ascii="Times New Roman" w:hAnsi="Times New Roman" w:cs="Times New Roman"/>
          <w:sz w:val="24"/>
          <w:szCs w:val="24"/>
        </w:rPr>
      </w:pPr>
    </w:p>
    <w:p w:rsidR="002A7635" w:rsidRPr="00A325A0" w:rsidRDefault="002A7635" w:rsidP="00A325A0">
      <w:pPr>
        <w:pStyle w:val="Caption"/>
        <w:keepNext/>
        <w:spacing w:line="360" w:lineRule="auto"/>
        <w:rPr>
          <w:rFonts w:ascii="Times New Roman" w:hAnsi="Times New Roman"/>
          <w:sz w:val="24"/>
          <w:szCs w:val="24"/>
        </w:rPr>
      </w:pPr>
      <w:r w:rsidRPr="00A325A0">
        <w:rPr>
          <w:rFonts w:ascii="Times New Roman" w:hAnsi="Times New Roman"/>
          <w:sz w:val="24"/>
          <w:szCs w:val="24"/>
        </w:rPr>
        <w:t xml:space="preserve">Table </w:t>
      </w:r>
      <w:r w:rsidRPr="00A325A0">
        <w:rPr>
          <w:rFonts w:ascii="Times New Roman" w:hAnsi="Times New Roman"/>
          <w:sz w:val="24"/>
          <w:szCs w:val="24"/>
        </w:rPr>
        <w:fldChar w:fldCharType="begin"/>
      </w:r>
      <w:r w:rsidRPr="00A325A0">
        <w:rPr>
          <w:rFonts w:ascii="Times New Roman" w:hAnsi="Times New Roman"/>
          <w:sz w:val="24"/>
          <w:szCs w:val="24"/>
        </w:rPr>
        <w:instrText xml:space="preserve"> SEQ Table \* ARABIC </w:instrText>
      </w:r>
      <w:r w:rsidRPr="00A325A0">
        <w:rPr>
          <w:rFonts w:ascii="Times New Roman" w:hAnsi="Times New Roman"/>
          <w:sz w:val="24"/>
          <w:szCs w:val="24"/>
        </w:rPr>
        <w:fldChar w:fldCharType="separate"/>
      </w:r>
      <w:r w:rsidR="000C1A45" w:rsidRPr="00A325A0">
        <w:rPr>
          <w:rFonts w:ascii="Times New Roman" w:hAnsi="Times New Roman"/>
          <w:noProof/>
          <w:sz w:val="24"/>
          <w:szCs w:val="24"/>
        </w:rPr>
        <w:t>4</w:t>
      </w:r>
      <w:r w:rsidRPr="00A325A0">
        <w:rPr>
          <w:rFonts w:ascii="Times New Roman" w:hAnsi="Times New Roman"/>
          <w:sz w:val="24"/>
          <w:szCs w:val="24"/>
        </w:rPr>
        <w:fldChar w:fldCharType="end"/>
      </w:r>
      <w:r w:rsidRPr="00A325A0">
        <w:rPr>
          <w:rFonts w:ascii="Times New Roman" w:hAnsi="Times New Roman"/>
          <w:sz w:val="24"/>
          <w:szCs w:val="24"/>
        </w:rPr>
        <w:t>: Institutional Development</w:t>
      </w:r>
    </w:p>
    <w:tbl>
      <w:tblPr>
        <w:tblStyle w:val="TableGrid"/>
        <w:tblW w:w="5000" w:type="pct"/>
        <w:tblLook w:val="04A0" w:firstRow="1" w:lastRow="0" w:firstColumn="1" w:lastColumn="0" w:noHBand="0" w:noVBand="1"/>
      </w:tblPr>
      <w:tblGrid>
        <w:gridCol w:w="1519"/>
        <w:gridCol w:w="1104"/>
        <w:gridCol w:w="1104"/>
        <w:gridCol w:w="1085"/>
        <w:gridCol w:w="1064"/>
        <w:gridCol w:w="1683"/>
        <w:gridCol w:w="1683"/>
      </w:tblGrid>
      <w:tr w:rsidR="002A7635" w:rsidRPr="00A325A0" w:rsidTr="00643668">
        <w:trPr>
          <w:trHeight w:val="780"/>
        </w:trPr>
        <w:tc>
          <w:tcPr>
            <w:tcW w:w="1234" w:type="pct"/>
            <w:noWrap/>
            <w:hideMark/>
          </w:tcPr>
          <w:p w:rsidR="002A7635" w:rsidRPr="00A325A0" w:rsidRDefault="002A7635" w:rsidP="00A325A0">
            <w:pPr>
              <w:spacing w:line="360" w:lineRule="auto"/>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Programme</w:t>
            </w:r>
          </w:p>
        </w:tc>
        <w:tc>
          <w:tcPr>
            <w:tcW w:w="980" w:type="pct"/>
            <w:gridSpan w:val="2"/>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Budget</w:t>
            </w:r>
          </w:p>
        </w:tc>
        <w:tc>
          <w:tcPr>
            <w:tcW w:w="653"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Nominal Rand change</w:t>
            </w:r>
          </w:p>
        </w:tc>
        <w:tc>
          <w:tcPr>
            <w:tcW w:w="602"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Real Rand change</w:t>
            </w:r>
          </w:p>
        </w:tc>
        <w:tc>
          <w:tcPr>
            <w:tcW w:w="791"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Nominal % change</w:t>
            </w:r>
          </w:p>
        </w:tc>
        <w:tc>
          <w:tcPr>
            <w:tcW w:w="740"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Real % change</w:t>
            </w:r>
          </w:p>
        </w:tc>
      </w:tr>
      <w:tr w:rsidR="002A7635" w:rsidRPr="00A325A0" w:rsidTr="00643668">
        <w:trPr>
          <w:trHeight w:val="255"/>
        </w:trPr>
        <w:tc>
          <w:tcPr>
            <w:tcW w:w="1234" w:type="pct"/>
            <w:noWrap/>
            <w:hideMark/>
          </w:tcPr>
          <w:p w:rsidR="002A7635" w:rsidRPr="00A325A0" w:rsidRDefault="002A7635" w:rsidP="00A325A0">
            <w:pPr>
              <w:spacing w:line="360" w:lineRule="auto"/>
              <w:jc w:val="center"/>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R million</w:t>
            </w:r>
          </w:p>
        </w:tc>
        <w:tc>
          <w:tcPr>
            <w:tcW w:w="490" w:type="pct"/>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2015/16</w:t>
            </w:r>
          </w:p>
        </w:tc>
        <w:tc>
          <w:tcPr>
            <w:tcW w:w="490" w:type="pct"/>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2016/17</w:t>
            </w:r>
          </w:p>
        </w:tc>
        <w:tc>
          <w:tcPr>
            <w:tcW w:w="1255" w:type="pct"/>
            <w:gridSpan w:val="2"/>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2015/16-2016/17</w:t>
            </w:r>
          </w:p>
        </w:tc>
        <w:tc>
          <w:tcPr>
            <w:tcW w:w="1531" w:type="pct"/>
            <w:gridSpan w:val="2"/>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2015/16-2016/17</w:t>
            </w:r>
          </w:p>
        </w:tc>
      </w:tr>
      <w:tr w:rsidR="002A7635" w:rsidRPr="00A325A0" w:rsidTr="00643668">
        <w:trPr>
          <w:trHeight w:val="675"/>
        </w:trPr>
        <w:tc>
          <w:tcPr>
            <w:tcW w:w="123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1: Management: Institutional Development</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20.8</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3.2</w:t>
            </w:r>
          </w:p>
        </w:tc>
        <w:tc>
          <w:tcPr>
            <w:tcW w:w="653"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17.6</w:t>
            </w:r>
          </w:p>
        </w:tc>
        <w:tc>
          <w:tcPr>
            <w:tcW w:w="60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17.8</w:t>
            </w:r>
          </w:p>
        </w:tc>
        <w:tc>
          <w:tcPr>
            <w:tcW w:w="79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-84.62 per cent</w:t>
            </w:r>
          </w:p>
        </w:tc>
        <w:tc>
          <w:tcPr>
            <w:tcW w:w="74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-85.57 per cent</w:t>
            </w:r>
          </w:p>
        </w:tc>
      </w:tr>
      <w:tr w:rsidR="002A7635" w:rsidRPr="00A325A0" w:rsidTr="00643668">
        <w:trPr>
          <w:trHeight w:val="675"/>
        </w:trPr>
        <w:tc>
          <w:tcPr>
            <w:tcW w:w="123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Sub-programme </w:t>
            </w:r>
            <w:r w:rsidRPr="00A325A0">
              <w:rPr>
                <w:rFonts w:ascii="Times New Roman" w:eastAsia="Times New Roman" w:hAnsi="Times New Roman" w:cs="Times New Roman"/>
                <w:sz w:val="24"/>
                <w:szCs w:val="24"/>
                <w:lang w:eastAsia="en-ZA"/>
              </w:rPr>
              <w:lastRenderedPageBreak/>
              <w:t>2: Human Resource Management Systems</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lastRenderedPageBreak/>
              <w:t xml:space="preserve">  9.6</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7.4</w:t>
            </w:r>
          </w:p>
        </w:tc>
        <w:tc>
          <w:tcPr>
            <w:tcW w:w="653"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2.2</w:t>
            </w:r>
          </w:p>
        </w:tc>
        <w:tc>
          <w:tcPr>
            <w:tcW w:w="60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2.7</w:t>
            </w:r>
          </w:p>
        </w:tc>
        <w:tc>
          <w:tcPr>
            <w:tcW w:w="79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-22.92 per cent</w:t>
            </w:r>
          </w:p>
        </w:tc>
        <w:tc>
          <w:tcPr>
            <w:tcW w:w="74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-27.69 per cent</w:t>
            </w:r>
          </w:p>
        </w:tc>
      </w:tr>
      <w:tr w:rsidR="002A7635" w:rsidRPr="00A325A0" w:rsidTr="00643668">
        <w:trPr>
          <w:trHeight w:val="450"/>
        </w:trPr>
        <w:tc>
          <w:tcPr>
            <w:tcW w:w="123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lastRenderedPageBreak/>
              <w:t>Sub-programme 3: Municipal Finance</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13.1</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34.5</w:t>
            </w:r>
          </w:p>
        </w:tc>
        <w:tc>
          <w:tcPr>
            <w:tcW w:w="653"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21.4</w:t>
            </w:r>
          </w:p>
        </w:tc>
        <w:tc>
          <w:tcPr>
            <w:tcW w:w="60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19.3</w:t>
            </w:r>
          </w:p>
        </w:tc>
        <w:tc>
          <w:tcPr>
            <w:tcW w:w="79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163.36 per cent</w:t>
            </w:r>
          </w:p>
        </w:tc>
        <w:tc>
          <w:tcPr>
            <w:tcW w:w="74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147.05 per cent</w:t>
            </w:r>
          </w:p>
        </w:tc>
      </w:tr>
      <w:tr w:rsidR="002A7635" w:rsidRPr="00A325A0" w:rsidTr="00643668">
        <w:trPr>
          <w:trHeight w:val="450"/>
        </w:trPr>
        <w:tc>
          <w:tcPr>
            <w:tcW w:w="123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4: Citizen Engagement</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7.0</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8.4</w:t>
            </w:r>
          </w:p>
        </w:tc>
        <w:tc>
          <w:tcPr>
            <w:tcW w:w="653"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1.4</w:t>
            </w:r>
          </w:p>
        </w:tc>
        <w:tc>
          <w:tcPr>
            <w:tcW w:w="60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0.9</w:t>
            </w:r>
          </w:p>
        </w:tc>
        <w:tc>
          <w:tcPr>
            <w:tcW w:w="79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20.00 per cent</w:t>
            </w:r>
          </w:p>
        </w:tc>
        <w:tc>
          <w:tcPr>
            <w:tcW w:w="74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12.57 per cent</w:t>
            </w:r>
          </w:p>
        </w:tc>
      </w:tr>
      <w:tr w:rsidR="002A7635" w:rsidRPr="00A325A0" w:rsidTr="00643668">
        <w:trPr>
          <w:trHeight w:val="675"/>
        </w:trPr>
        <w:tc>
          <w:tcPr>
            <w:tcW w:w="123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5: Anti-Corruption and Good Governance</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5.5</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7.0</w:t>
            </w:r>
          </w:p>
        </w:tc>
        <w:tc>
          <w:tcPr>
            <w:tcW w:w="653"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1.5</w:t>
            </w:r>
          </w:p>
        </w:tc>
        <w:tc>
          <w:tcPr>
            <w:tcW w:w="60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1.1</w:t>
            </w:r>
          </w:p>
        </w:tc>
        <w:tc>
          <w:tcPr>
            <w:tcW w:w="79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27.27 per cent</w:t>
            </w:r>
          </w:p>
        </w:tc>
        <w:tc>
          <w:tcPr>
            <w:tcW w:w="74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19.39 per cent</w:t>
            </w:r>
          </w:p>
        </w:tc>
      </w:tr>
      <w:tr w:rsidR="002A7635" w:rsidRPr="00A325A0" w:rsidTr="00643668">
        <w:trPr>
          <w:trHeight w:val="450"/>
        </w:trPr>
        <w:tc>
          <w:tcPr>
            <w:tcW w:w="123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6: Municipal Property Rates</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9.5</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14.9</w:t>
            </w:r>
          </w:p>
        </w:tc>
        <w:tc>
          <w:tcPr>
            <w:tcW w:w="653"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5.4</w:t>
            </w:r>
          </w:p>
        </w:tc>
        <w:tc>
          <w:tcPr>
            <w:tcW w:w="60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4.5</w:t>
            </w:r>
          </w:p>
        </w:tc>
        <w:tc>
          <w:tcPr>
            <w:tcW w:w="79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56.84 per cent</w:t>
            </w:r>
          </w:p>
        </w:tc>
        <w:tc>
          <w:tcPr>
            <w:tcW w:w="74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47.13 per cent</w:t>
            </w:r>
          </w:p>
        </w:tc>
      </w:tr>
      <w:tr w:rsidR="002A7635" w:rsidRPr="00A325A0" w:rsidTr="00643668">
        <w:trPr>
          <w:trHeight w:val="450"/>
        </w:trPr>
        <w:tc>
          <w:tcPr>
            <w:tcW w:w="123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7: Local Government Equitable Share</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51 706.5</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52 568.7</w:t>
            </w:r>
          </w:p>
        </w:tc>
        <w:tc>
          <w:tcPr>
            <w:tcW w:w="653"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862.2</w:t>
            </w:r>
          </w:p>
        </w:tc>
        <w:tc>
          <w:tcPr>
            <w:tcW w:w="60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- 2 392.5</w:t>
            </w:r>
          </w:p>
        </w:tc>
        <w:tc>
          <w:tcPr>
            <w:tcW w:w="79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1.67 per cent</w:t>
            </w:r>
          </w:p>
        </w:tc>
        <w:tc>
          <w:tcPr>
            <w:tcW w:w="74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-4.63 per cent</w:t>
            </w:r>
          </w:p>
        </w:tc>
      </w:tr>
      <w:tr w:rsidR="002A7635" w:rsidRPr="00A325A0" w:rsidTr="00643668">
        <w:trPr>
          <w:trHeight w:val="450"/>
        </w:trPr>
        <w:tc>
          <w:tcPr>
            <w:tcW w:w="123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8: Municipal Infrastructur</w:t>
            </w:r>
            <w:r w:rsidRPr="00A325A0">
              <w:rPr>
                <w:rFonts w:ascii="Times New Roman" w:eastAsia="Times New Roman" w:hAnsi="Times New Roman" w:cs="Times New Roman"/>
                <w:sz w:val="24"/>
                <w:szCs w:val="24"/>
                <w:lang w:eastAsia="en-ZA"/>
              </w:rPr>
              <w:lastRenderedPageBreak/>
              <w:t>e Grant</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lastRenderedPageBreak/>
              <w:t xml:space="preserve"> 14 955.8</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14 914.0</w:t>
            </w:r>
          </w:p>
        </w:tc>
        <w:tc>
          <w:tcPr>
            <w:tcW w:w="653"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41.8</w:t>
            </w:r>
          </w:p>
        </w:tc>
        <w:tc>
          <w:tcPr>
            <w:tcW w:w="60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965.2</w:t>
            </w:r>
          </w:p>
        </w:tc>
        <w:tc>
          <w:tcPr>
            <w:tcW w:w="79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-0.28 per cent</w:t>
            </w:r>
          </w:p>
        </w:tc>
        <w:tc>
          <w:tcPr>
            <w:tcW w:w="74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-6.45 per cent</w:t>
            </w:r>
          </w:p>
        </w:tc>
      </w:tr>
      <w:tr w:rsidR="002A7635" w:rsidRPr="00A325A0" w:rsidTr="00643668">
        <w:trPr>
          <w:trHeight w:val="450"/>
        </w:trPr>
        <w:tc>
          <w:tcPr>
            <w:tcW w:w="123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lastRenderedPageBreak/>
              <w:t>Sub-programme 9: Municipal Systems Improvement Grant</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251.4</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84.3</w:t>
            </w:r>
          </w:p>
        </w:tc>
        <w:tc>
          <w:tcPr>
            <w:tcW w:w="653"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167.1</w:t>
            </w:r>
          </w:p>
        </w:tc>
        <w:tc>
          <w:tcPr>
            <w:tcW w:w="60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172.3</w:t>
            </w:r>
          </w:p>
        </w:tc>
        <w:tc>
          <w:tcPr>
            <w:tcW w:w="79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-66.47 per cent</w:t>
            </w:r>
          </w:p>
        </w:tc>
        <w:tc>
          <w:tcPr>
            <w:tcW w:w="74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-68.54 per cent</w:t>
            </w:r>
          </w:p>
        </w:tc>
      </w:tr>
      <w:tr w:rsidR="002A7635" w:rsidRPr="00A325A0" w:rsidTr="00643668">
        <w:trPr>
          <w:trHeight w:val="675"/>
        </w:trPr>
        <w:tc>
          <w:tcPr>
            <w:tcW w:w="123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10: Department of Traditional Affairs</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125.9</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129.8</w:t>
            </w:r>
          </w:p>
        </w:tc>
        <w:tc>
          <w:tcPr>
            <w:tcW w:w="653"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3.9</w:t>
            </w:r>
          </w:p>
        </w:tc>
        <w:tc>
          <w:tcPr>
            <w:tcW w:w="60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4.1</w:t>
            </w:r>
          </w:p>
        </w:tc>
        <w:tc>
          <w:tcPr>
            <w:tcW w:w="79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3.10 per cent</w:t>
            </w:r>
          </w:p>
        </w:tc>
        <w:tc>
          <w:tcPr>
            <w:tcW w:w="74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-3.29 per cent</w:t>
            </w:r>
          </w:p>
        </w:tc>
      </w:tr>
      <w:tr w:rsidR="002A7635" w:rsidRPr="00A325A0" w:rsidTr="00643668">
        <w:trPr>
          <w:trHeight w:val="450"/>
        </w:trPr>
        <w:tc>
          <w:tcPr>
            <w:tcW w:w="1234"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11: Municipal Infrastructure Support Agent</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304.0</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349.9</w:t>
            </w:r>
          </w:p>
        </w:tc>
        <w:tc>
          <w:tcPr>
            <w:tcW w:w="653"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45.9</w:t>
            </w:r>
          </w:p>
        </w:tc>
        <w:tc>
          <w:tcPr>
            <w:tcW w:w="60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24.2</w:t>
            </w:r>
          </w:p>
        </w:tc>
        <w:tc>
          <w:tcPr>
            <w:tcW w:w="79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15.10 per cent</w:t>
            </w:r>
          </w:p>
        </w:tc>
        <w:tc>
          <w:tcPr>
            <w:tcW w:w="740"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7.97 per cent</w:t>
            </w:r>
          </w:p>
        </w:tc>
      </w:tr>
      <w:tr w:rsidR="002A7635" w:rsidRPr="00A325A0" w:rsidTr="00643668">
        <w:trPr>
          <w:trHeight w:val="255"/>
        </w:trPr>
        <w:tc>
          <w:tcPr>
            <w:tcW w:w="1234"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p>
        </w:tc>
        <w:tc>
          <w:tcPr>
            <w:tcW w:w="490"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490"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653"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602"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79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740"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r>
      <w:tr w:rsidR="002A7635" w:rsidRPr="00A325A0" w:rsidTr="00643668">
        <w:trPr>
          <w:trHeight w:val="270"/>
        </w:trPr>
        <w:tc>
          <w:tcPr>
            <w:tcW w:w="1234" w:type="pct"/>
            <w:noWrap/>
            <w:hideMark/>
          </w:tcPr>
          <w:p w:rsidR="002A7635" w:rsidRPr="00A325A0" w:rsidRDefault="002A7635" w:rsidP="00A325A0">
            <w:pPr>
              <w:spacing w:line="360" w:lineRule="auto"/>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TOTAL</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67 409.1</w:t>
            </w:r>
          </w:p>
        </w:tc>
        <w:tc>
          <w:tcPr>
            <w:tcW w:w="490"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68 122.1</w:t>
            </w:r>
          </w:p>
        </w:tc>
        <w:tc>
          <w:tcPr>
            <w:tcW w:w="653"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713.0</w:t>
            </w:r>
          </w:p>
        </w:tc>
        <w:tc>
          <w:tcPr>
            <w:tcW w:w="602"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- 3 504.7</w:t>
            </w:r>
          </w:p>
        </w:tc>
        <w:tc>
          <w:tcPr>
            <w:tcW w:w="791"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1.06 per cent</w:t>
            </w:r>
          </w:p>
        </w:tc>
        <w:tc>
          <w:tcPr>
            <w:tcW w:w="740"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-5.20 per cent</w:t>
            </w:r>
          </w:p>
        </w:tc>
      </w:tr>
    </w:tbl>
    <w:p w:rsidR="002A7635" w:rsidRDefault="002A7635" w:rsidP="00A325A0">
      <w:pPr>
        <w:tabs>
          <w:tab w:val="left" w:pos="548"/>
          <w:tab w:val="left" w:pos="956"/>
        </w:tabs>
        <w:spacing w:line="360" w:lineRule="auto"/>
        <w:rPr>
          <w:rFonts w:ascii="Times New Roman" w:hAnsi="Times New Roman" w:cs="Times New Roman"/>
          <w:sz w:val="24"/>
          <w:szCs w:val="24"/>
        </w:rPr>
      </w:pPr>
      <w:r w:rsidRPr="00A325A0">
        <w:rPr>
          <w:rFonts w:ascii="Times New Roman" w:hAnsi="Times New Roman" w:cs="Times New Roman"/>
          <w:sz w:val="24"/>
          <w:szCs w:val="24"/>
        </w:rPr>
        <w:tab/>
      </w:r>
    </w:p>
    <w:p w:rsidR="003D0701" w:rsidRDefault="003D0701" w:rsidP="00A325A0">
      <w:pPr>
        <w:tabs>
          <w:tab w:val="left" w:pos="548"/>
          <w:tab w:val="left" w:pos="956"/>
        </w:tabs>
        <w:spacing w:line="360" w:lineRule="auto"/>
        <w:rPr>
          <w:rFonts w:ascii="Times New Roman" w:hAnsi="Times New Roman" w:cs="Times New Roman"/>
          <w:sz w:val="24"/>
          <w:szCs w:val="24"/>
        </w:rPr>
      </w:pPr>
    </w:p>
    <w:p w:rsidR="003D0701" w:rsidRDefault="003D0701" w:rsidP="00A325A0">
      <w:pPr>
        <w:tabs>
          <w:tab w:val="left" w:pos="548"/>
          <w:tab w:val="left" w:pos="956"/>
        </w:tabs>
        <w:spacing w:line="360" w:lineRule="auto"/>
        <w:rPr>
          <w:rFonts w:ascii="Times New Roman" w:hAnsi="Times New Roman" w:cs="Times New Roman"/>
          <w:sz w:val="24"/>
          <w:szCs w:val="24"/>
        </w:rPr>
      </w:pPr>
    </w:p>
    <w:p w:rsidR="003D0701" w:rsidRDefault="003D0701" w:rsidP="00A325A0">
      <w:pPr>
        <w:tabs>
          <w:tab w:val="left" w:pos="548"/>
          <w:tab w:val="left" w:pos="956"/>
        </w:tabs>
        <w:spacing w:line="360" w:lineRule="auto"/>
        <w:rPr>
          <w:rFonts w:ascii="Times New Roman" w:hAnsi="Times New Roman" w:cs="Times New Roman"/>
          <w:sz w:val="24"/>
          <w:szCs w:val="24"/>
        </w:rPr>
      </w:pPr>
    </w:p>
    <w:p w:rsidR="003D0701" w:rsidRPr="00A325A0" w:rsidRDefault="003D0701" w:rsidP="00A325A0">
      <w:pPr>
        <w:tabs>
          <w:tab w:val="left" w:pos="548"/>
          <w:tab w:val="left" w:pos="956"/>
        </w:tabs>
        <w:spacing w:line="360" w:lineRule="auto"/>
        <w:rPr>
          <w:rFonts w:ascii="Times New Roman" w:hAnsi="Times New Roman" w:cs="Times New Roman"/>
          <w:sz w:val="24"/>
          <w:szCs w:val="24"/>
        </w:rPr>
      </w:pPr>
    </w:p>
    <w:p w:rsidR="002A7635" w:rsidRPr="00A325A0" w:rsidRDefault="002A7635" w:rsidP="00A325A0">
      <w:pPr>
        <w:tabs>
          <w:tab w:val="left" w:pos="548"/>
          <w:tab w:val="left" w:pos="956"/>
        </w:tabs>
        <w:spacing w:line="360" w:lineRule="auto"/>
        <w:rPr>
          <w:rFonts w:ascii="Times New Roman" w:hAnsi="Times New Roman" w:cs="Times New Roman"/>
          <w:sz w:val="24"/>
          <w:szCs w:val="24"/>
        </w:rPr>
      </w:pPr>
      <w:r w:rsidRPr="00A325A0">
        <w:rPr>
          <w:rFonts w:ascii="Times New Roman" w:hAnsi="Times New Roman" w:cs="Times New Roman"/>
          <w:sz w:val="24"/>
          <w:szCs w:val="24"/>
        </w:rPr>
        <w:t xml:space="preserve">As the Graph below illustrates, the reduction mostly relates to the sub-programmes 7 and 8: the </w:t>
      </w:r>
      <w:r w:rsidRPr="00A325A0">
        <w:rPr>
          <w:rFonts w:ascii="Times New Roman" w:hAnsi="Times New Roman" w:cs="Times New Roman"/>
          <w:i/>
          <w:sz w:val="24"/>
          <w:szCs w:val="24"/>
        </w:rPr>
        <w:t>Local Government Equitable Share</w:t>
      </w:r>
      <w:r w:rsidRPr="00A325A0">
        <w:rPr>
          <w:rFonts w:ascii="Times New Roman" w:hAnsi="Times New Roman" w:cs="Times New Roman"/>
          <w:sz w:val="24"/>
          <w:szCs w:val="24"/>
        </w:rPr>
        <w:t xml:space="preserve"> and the </w:t>
      </w:r>
      <w:r w:rsidRPr="00A325A0">
        <w:rPr>
          <w:rFonts w:ascii="Times New Roman" w:hAnsi="Times New Roman" w:cs="Times New Roman"/>
          <w:i/>
          <w:sz w:val="24"/>
          <w:szCs w:val="24"/>
        </w:rPr>
        <w:t>Municipal Infrastructure Grant</w:t>
      </w:r>
      <w:r w:rsidRPr="00A325A0">
        <w:rPr>
          <w:rFonts w:ascii="Times New Roman" w:hAnsi="Times New Roman" w:cs="Times New Roman"/>
          <w:sz w:val="24"/>
          <w:szCs w:val="24"/>
        </w:rPr>
        <w:t xml:space="preserve">. </w:t>
      </w:r>
    </w:p>
    <w:p w:rsidR="002A7635" w:rsidRPr="00A325A0" w:rsidRDefault="002A7635" w:rsidP="00A325A0">
      <w:pPr>
        <w:tabs>
          <w:tab w:val="left" w:pos="956"/>
        </w:tabs>
        <w:spacing w:line="360" w:lineRule="auto"/>
        <w:jc w:val="center"/>
        <w:rPr>
          <w:rFonts w:ascii="Times New Roman" w:hAnsi="Times New Roman" w:cs="Times New Roman"/>
          <w:sz w:val="24"/>
          <w:szCs w:val="24"/>
        </w:rPr>
      </w:pPr>
      <w:r w:rsidRPr="00A325A0">
        <w:rPr>
          <w:rFonts w:ascii="Times New Roman" w:hAnsi="Times New Roman" w:cs="Times New Roman"/>
          <w:noProof/>
          <w:sz w:val="24"/>
          <w:szCs w:val="24"/>
          <w:lang w:eastAsia="en-ZA"/>
        </w:rPr>
        <w:lastRenderedPageBreak/>
        <w:drawing>
          <wp:anchor distT="0" distB="0" distL="114300" distR="114300" simplePos="0" relativeHeight="251665408" behindDoc="1" locked="0" layoutInCell="1" allowOverlap="1" wp14:anchorId="4C7E090D" wp14:editId="1A2E0520">
            <wp:simplePos x="0" y="0"/>
            <wp:positionH relativeFrom="column">
              <wp:posOffset>-1</wp:posOffset>
            </wp:positionH>
            <wp:positionV relativeFrom="paragraph">
              <wp:posOffset>104633</wp:posOffset>
            </wp:positionV>
            <wp:extent cx="5792527" cy="3097530"/>
            <wp:effectExtent l="0" t="0" r="17780" b="762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2A7635" w:rsidRPr="00A325A0" w:rsidRDefault="002A7635" w:rsidP="00A325A0">
      <w:pPr>
        <w:tabs>
          <w:tab w:val="left" w:pos="956"/>
          <w:tab w:val="left" w:pos="3697"/>
          <w:tab w:val="left" w:pos="5104"/>
        </w:tabs>
        <w:spacing w:line="360" w:lineRule="auto"/>
        <w:rPr>
          <w:rFonts w:ascii="Times New Roman" w:hAnsi="Times New Roman" w:cs="Times New Roman"/>
          <w:sz w:val="24"/>
          <w:szCs w:val="24"/>
        </w:rPr>
      </w:pPr>
      <w:r w:rsidRPr="00A325A0">
        <w:rPr>
          <w:rFonts w:ascii="Times New Roman" w:hAnsi="Times New Roman" w:cs="Times New Roman"/>
          <w:sz w:val="24"/>
          <w:szCs w:val="24"/>
        </w:rPr>
        <w:tab/>
      </w:r>
      <w:r w:rsidRPr="00A325A0">
        <w:rPr>
          <w:rFonts w:ascii="Times New Roman" w:hAnsi="Times New Roman" w:cs="Times New Roman"/>
          <w:sz w:val="24"/>
          <w:szCs w:val="24"/>
        </w:rPr>
        <w:tab/>
      </w:r>
      <w:r w:rsidRPr="00A325A0">
        <w:rPr>
          <w:rFonts w:ascii="Times New Roman" w:hAnsi="Times New Roman" w:cs="Times New Roman"/>
          <w:sz w:val="24"/>
          <w:szCs w:val="24"/>
        </w:rPr>
        <w:tab/>
      </w:r>
    </w:p>
    <w:p w:rsidR="002A7635" w:rsidRPr="00A325A0" w:rsidRDefault="002A7635" w:rsidP="00A325A0">
      <w:pPr>
        <w:tabs>
          <w:tab w:val="left" w:pos="956"/>
        </w:tabs>
        <w:spacing w:line="360" w:lineRule="auto"/>
        <w:jc w:val="center"/>
        <w:rPr>
          <w:rFonts w:ascii="Times New Roman" w:hAnsi="Times New Roman" w:cs="Times New Roman"/>
          <w:sz w:val="24"/>
          <w:szCs w:val="24"/>
        </w:rPr>
      </w:pPr>
    </w:p>
    <w:p w:rsidR="002A7635" w:rsidRPr="00A325A0" w:rsidRDefault="002A7635" w:rsidP="00A325A0">
      <w:pPr>
        <w:tabs>
          <w:tab w:val="left" w:pos="956"/>
        </w:tabs>
        <w:spacing w:line="360" w:lineRule="auto"/>
        <w:jc w:val="center"/>
        <w:rPr>
          <w:rFonts w:ascii="Times New Roman" w:hAnsi="Times New Roman" w:cs="Times New Roman"/>
          <w:sz w:val="24"/>
          <w:szCs w:val="24"/>
        </w:rPr>
      </w:pPr>
    </w:p>
    <w:p w:rsidR="002A7635" w:rsidRPr="00A325A0" w:rsidRDefault="002A7635" w:rsidP="00A325A0">
      <w:pPr>
        <w:tabs>
          <w:tab w:val="left" w:pos="956"/>
        </w:tabs>
        <w:spacing w:line="360" w:lineRule="auto"/>
        <w:jc w:val="right"/>
        <w:rPr>
          <w:rFonts w:ascii="Times New Roman" w:hAnsi="Times New Roman" w:cs="Times New Roman"/>
          <w:sz w:val="24"/>
          <w:szCs w:val="24"/>
        </w:rPr>
      </w:pPr>
    </w:p>
    <w:p w:rsidR="002A7635" w:rsidRPr="00A325A0" w:rsidRDefault="002A7635" w:rsidP="00A325A0">
      <w:pPr>
        <w:tabs>
          <w:tab w:val="left" w:pos="956"/>
        </w:tabs>
        <w:spacing w:line="360" w:lineRule="auto"/>
        <w:jc w:val="center"/>
        <w:rPr>
          <w:rFonts w:ascii="Times New Roman" w:hAnsi="Times New Roman" w:cs="Times New Roman"/>
          <w:sz w:val="24"/>
          <w:szCs w:val="24"/>
        </w:rPr>
      </w:pPr>
    </w:p>
    <w:p w:rsidR="002A7635" w:rsidRPr="00A325A0" w:rsidRDefault="002A7635" w:rsidP="00A325A0">
      <w:pPr>
        <w:tabs>
          <w:tab w:val="left" w:pos="956"/>
        </w:tabs>
        <w:spacing w:line="360" w:lineRule="auto"/>
        <w:jc w:val="center"/>
        <w:rPr>
          <w:rFonts w:ascii="Times New Roman" w:hAnsi="Times New Roman" w:cs="Times New Roman"/>
          <w:sz w:val="24"/>
          <w:szCs w:val="24"/>
        </w:rPr>
      </w:pPr>
    </w:p>
    <w:p w:rsidR="002A7635" w:rsidRPr="00A325A0" w:rsidRDefault="002A7635" w:rsidP="00A325A0">
      <w:pPr>
        <w:tabs>
          <w:tab w:val="left" w:pos="956"/>
        </w:tabs>
        <w:spacing w:line="360" w:lineRule="auto"/>
        <w:jc w:val="center"/>
        <w:rPr>
          <w:rFonts w:ascii="Times New Roman" w:hAnsi="Times New Roman" w:cs="Times New Roman"/>
          <w:sz w:val="24"/>
          <w:szCs w:val="24"/>
        </w:rPr>
      </w:pPr>
    </w:p>
    <w:p w:rsidR="002A7635" w:rsidRPr="00A325A0" w:rsidRDefault="002A7635" w:rsidP="00A325A0">
      <w:pPr>
        <w:tabs>
          <w:tab w:val="left" w:pos="956"/>
        </w:tabs>
        <w:spacing w:line="360" w:lineRule="auto"/>
        <w:jc w:val="center"/>
        <w:rPr>
          <w:rFonts w:ascii="Times New Roman" w:hAnsi="Times New Roman" w:cs="Times New Roman"/>
          <w:sz w:val="24"/>
          <w:szCs w:val="24"/>
        </w:rPr>
      </w:pPr>
    </w:p>
    <w:p w:rsidR="002A7635" w:rsidRPr="00A325A0" w:rsidRDefault="002A7635" w:rsidP="00A325A0">
      <w:pPr>
        <w:tabs>
          <w:tab w:val="left" w:pos="956"/>
        </w:tabs>
        <w:spacing w:line="360" w:lineRule="auto"/>
        <w:jc w:val="center"/>
        <w:rPr>
          <w:rFonts w:ascii="Times New Roman" w:hAnsi="Times New Roman" w:cs="Times New Roman"/>
          <w:sz w:val="24"/>
          <w:szCs w:val="24"/>
        </w:rPr>
      </w:pPr>
    </w:p>
    <w:p w:rsidR="002A7635" w:rsidRPr="00A325A0" w:rsidRDefault="002A7635" w:rsidP="00A325A0">
      <w:pPr>
        <w:tabs>
          <w:tab w:val="left" w:pos="956"/>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 xml:space="preserve">As noted in the introduction, a significant share of reprioritised funds for the MTEF has been sourced from provincial and local government allocations and this accounts for the real decrease of R2.3 billion or 4.6 percent in the equitable share allocation for 2016/17. However, the equitable </w:t>
      </w:r>
      <w:r w:rsidR="001E72C1" w:rsidRPr="00A325A0">
        <w:rPr>
          <w:rFonts w:ascii="Times New Roman" w:hAnsi="Times New Roman" w:cs="Times New Roman"/>
          <w:sz w:val="24"/>
          <w:szCs w:val="24"/>
        </w:rPr>
        <w:t xml:space="preserve">share </w:t>
      </w:r>
      <w:r w:rsidRPr="00A325A0">
        <w:rPr>
          <w:rFonts w:ascii="Times New Roman" w:hAnsi="Times New Roman" w:cs="Times New Roman"/>
          <w:sz w:val="24"/>
          <w:szCs w:val="24"/>
        </w:rPr>
        <w:t xml:space="preserve">was also underspent by R2.9 billion in 2014/15 as </w:t>
      </w:r>
      <w:r w:rsidR="001E72C1" w:rsidRPr="00A325A0">
        <w:rPr>
          <w:rFonts w:ascii="Times New Roman" w:hAnsi="Times New Roman" w:cs="Times New Roman"/>
          <w:sz w:val="24"/>
          <w:szCs w:val="24"/>
        </w:rPr>
        <w:t xml:space="preserve">the </w:t>
      </w:r>
      <w:r w:rsidRPr="00A325A0">
        <w:rPr>
          <w:rFonts w:ascii="Times New Roman" w:hAnsi="Times New Roman" w:cs="Times New Roman"/>
          <w:sz w:val="24"/>
          <w:szCs w:val="24"/>
        </w:rPr>
        <w:t>National Treasury withheld it from 60 municipalities that failed to pay Water Boards and Eskom for services provided.</w:t>
      </w:r>
    </w:p>
    <w:p w:rsidR="002A7635" w:rsidRPr="00A325A0" w:rsidRDefault="002A7635" w:rsidP="00A325A0">
      <w:pPr>
        <w:tabs>
          <w:tab w:val="left" w:pos="1139"/>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 xml:space="preserve">As part of the reprioritisation process, direct transfers to local government infrastructure have also been reduced by 3.5 percent over the MTEF period. In this regard, the </w:t>
      </w:r>
      <w:r w:rsidRPr="00A325A0">
        <w:rPr>
          <w:rFonts w:ascii="Times New Roman" w:hAnsi="Times New Roman" w:cs="Times New Roman"/>
          <w:i/>
          <w:sz w:val="24"/>
          <w:szCs w:val="24"/>
        </w:rPr>
        <w:t xml:space="preserve">Municipal Infrastructure Grant, </w:t>
      </w:r>
      <w:r w:rsidRPr="00A325A0">
        <w:rPr>
          <w:rFonts w:ascii="Times New Roman" w:hAnsi="Times New Roman" w:cs="Times New Roman"/>
          <w:sz w:val="24"/>
          <w:szCs w:val="24"/>
        </w:rPr>
        <w:t xml:space="preserve">which is allocated a total of R34.4 billion over the 2016 </w:t>
      </w:r>
      <w:proofErr w:type="gramStart"/>
      <w:r w:rsidRPr="00A325A0">
        <w:rPr>
          <w:rFonts w:ascii="Times New Roman" w:hAnsi="Times New Roman" w:cs="Times New Roman"/>
          <w:sz w:val="24"/>
          <w:szCs w:val="24"/>
        </w:rPr>
        <w:t>MTEF</w:t>
      </w:r>
      <w:proofErr w:type="gramEnd"/>
      <w:r w:rsidRPr="00A325A0">
        <w:rPr>
          <w:rFonts w:ascii="Times New Roman" w:hAnsi="Times New Roman" w:cs="Times New Roman"/>
          <w:sz w:val="24"/>
          <w:szCs w:val="24"/>
        </w:rPr>
        <w:t xml:space="preserve"> is proposed for reduction by 3.1 percent over this period. In the </w:t>
      </w:r>
      <w:r w:rsidRPr="00A325A0">
        <w:rPr>
          <w:rFonts w:ascii="Times New Roman" w:hAnsi="Times New Roman" w:cs="Times New Roman"/>
          <w:i/>
          <w:sz w:val="24"/>
          <w:szCs w:val="24"/>
        </w:rPr>
        <w:t>Budget Review</w:t>
      </w:r>
      <w:r w:rsidRPr="00A325A0">
        <w:rPr>
          <w:rFonts w:ascii="Times New Roman" w:hAnsi="Times New Roman" w:cs="Times New Roman"/>
          <w:sz w:val="24"/>
          <w:szCs w:val="24"/>
        </w:rPr>
        <w:t xml:space="preserve">, </w:t>
      </w:r>
      <w:r w:rsidR="001E72C1" w:rsidRPr="00A325A0">
        <w:rPr>
          <w:rFonts w:ascii="Times New Roman" w:hAnsi="Times New Roman" w:cs="Times New Roman"/>
          <w:sz w:val="24"/>
          <w:szCs w:val="24"/>
        </w:rPr>
        <w:t xml:space="preserve">the </w:t>
      </w:r>
      <w:r w:rsidRPr="00A325A0">
        <w:rPr>
          <w:rFonts w:ascii="Times New Roman" w:hAnsi="Times New Roman" w:cs="Times New Roman"/>
          <w:sz w:val="24"/>
          <w:szCs w:val="24"/>
        </w:rPr>
        <w:t>Treasury notes that baseline reduction to the MIG amount</w:t>
      </w:r>
      <w:r w:rsidR="00CA1604" w:rsidRPr="00A325A0">
        <w:rPr>
          <w:rFonts w:ascii="Times New Roman" w:hAnsi="Times New Roman" w:cs="Times New Roman"/>
          <w:sz w:val="24"/>
          <w:szCs w:val="24"/>
        </w:rPr>
        <w:t>s</w:t>
      </w:r>
      <w:r w:rsidRPr="00A325A0">
        <w:rPr>
          <w:rFonts w:ascii="Times New Roman" w:hAnsi="Times New Roman" w:cs="Times New Roman"/>
          <w:sz w:val="24"/>
          <w:szCs w:val="24"/>
        </w:rPr>
        <w:t xml:space="preserve"> to R620.2 million in 2016/17, R430 million in 2017/18 and R480 million in 2018/19. However, as Table 4 above illustrates, the real reduction in 2016/17 amounts to R965 million or 0.2 percent. The absorption of </w:t>
      </w:r>
      <w:proofErr w:type="spellStart"/>
      <w:r w:rsidRPr="00A325A0">
        <w:rPr>
          <w:rFonts w:ascii="Times New Roman" w:hAnsi="Times New Roman" w:cs="Times New Roman"/>
          <w:sz w:val="24"/>
          <w:szCs w:val="24"/>
        </w:rPr>
        <w:t>Naledi</w:t>
      </w:r>
      <w:proofErr w:type="spellEnd"/>
      <w:r w:rsidRPr="00A325A0">
        <w:rPr>
          <w:rFonts w:ascii="Times New Roman" w:hAnsi="Times New Roman" w:cs="Times New Roman"/>
          <w:sz w:val="24"/>
          <w:szCs w:val="24"/>
        </w:rPr>
        <w:t xml:space="preserve"> Local Municipality into </w:t>
      </w:r>
      <w:proofErr w:type="spellStart"/>
      <w:r w:rsidRPr="00A325A0">
        <w:rPr>
          <w:rFonts w:ascii="Times New Roman" w:hAnsi="Times New Roman" w:cs="Times New Roman"/>
          <w:sz w:val="24"/>
          <w:szCs w:val="24"/>
        </w:rPr>
        <w:t>Mangaung</w:t>
      </w:r>
      <w:proofErr w:type="spellEnd"/>
      <w:r w:rsidRPr="00A325A0">
        <w:rPr>
          <w:rFonts w:ascii="Times New Roman" w:hAnsi="Times New Roman" w:cs="Times New Roman"/>
          <w:sz w:val="24"/>
          <w:szCs w:val="24"/>
        </w:rPr>
        <w:t xml:space="preserve"> Metropolitan Municipality has also resulted in a small shift of funds from the </w:t>
      </w:r>
      <w:r w:rsidRPr="00A325A0">
        <w:rPr>
          <w:rFonts w:ascii="Times New Roman" w:hAnsi="Times New Roman" w:cs="Times New Roman"/>
          <w:i/>
          <w:sz w:val="24"/>
          <w:szCs w:val="24"/>
        </w:rPr>
        <w:t>Municipal Infrastructure Grant</w:t>
      </w:r>
      <w:r w:rsidRPr="00A325A0">
        <w:rPr>
          <w:rFonts w:ascii="Times New Roman" w:hAnsi="Times New Roman" w:cs="Times New Roman"/>
          <w:sz w:val="24"/>
          <w:szCs w:val="24"/>
        </w:rPr>
        <w:t xml:space="preserve"> to the </w:t>
      </w:r>
      <w:r w:rsidRPr="00A325A0">
        <w:rPr>
          <w:rFonts w:ascii="Times New Roman" w:hAnsi="Times New Roman" w:cs="Times New Roman"/>
          <w:i/>
          <w:sz w:val="24"/>
          <w:szCs w:val="24"/>
        </w:rPr>
        <w:t>Urban Settlements Development Grant</w:t>
      </w:r>
      <w:r w:rsidRPr="00A325A0">
        <w:rPr>
          <w:rFonts w:ascii="Times New Roman" w:hAnsi="Times New Roman" w:cs="Times New Roman"/>
          <w:sz w:val="24"/>
          <w:szCs w:val="24"/>
        </w:rPr>
        <w:t>.</w:t>
      </w:r>
    </w:p>
    <w:p w:rsidR="002A7635" w:rsidRPr="00A325A0" w:rsidRDefault="002A7635" w:rsidP="00A325A0">
      <w:pPr>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Further contributing to the overall</w:t>
      </w:r>
      <w:r w:rsidR="006D55A9" w:rsidRPr="00A325A0">
        <w:rPr>
          <w:rFonts w:ascii="Times New Roman" w:hAnsi="Times New Roman" w:cs="Times New Roman"/>
          <w:sz w:val="24"/>
          <w:szCs w:val="24"/>
        </w:rPr>
        <w:t xml:space="preserve"> decline in the estimated budget</w:t>
      </w:r>
      <w:r w:rsidRPr="00A325A0">
        <w:rPr>
          <w:rFonts w:ascii="Times New Roman" w:hAnsi="Times New Roman" w:cs="Times New Roman"/>
          <w:sz w:val="24"/>
          <w:szCs w:val="24"/>
        </w:rPr>
        <w:t xml:space="preserve"> allocation for the Institutional Development Programme is the reduction of R485 million from the </w:t>
      </w:r>
      <w:r w:rsidRPr="00A325A0">
        <w:rPr>
          <w:rFonts w:ascii="Times New Roman" w:hAnsi="Times New Roman" w:cs="Times New Roman"/>
          <w:i/>
          <w:sz w:val="24"/>
          <w:szCs w:val="24"/>
        </w:rPr>
        <w:t>Municipal Systems Improvement Grant</w:t>
      </w:r>
      <w:r w:rsidRPr="00A325A0">
        <w:rPr>
          <w:rFonts w:ascii="Times New Roman" w:hAnsi="Times New Roman" w:cs="Times New Roman"/>
          <w:sz w:val="24"/>
          <w:szCs w:val="24"/>
        </w:rPr>
        <w:t xml:space="preserve"> (sub-programme 9) over the MTEF period. In 2016/17</w:t>
      </w:r>
      <w:r w:rsidR="00CA1604" w:rsidRPr="00A325A0">
        <w:rPr>
          <w:rFonts w:ascii="Times New Roman" w:hAnsi="Times New Roman" w:cs="Times New Roman"/>
          <w:sz w:val="24"/>
          <w:szCs w:val="24"/>
        </w:rPr>
        <w:t>,</w:t>
      </w:r>
      <w:r w:rsidRPr="00A325A0">
        <w:rPr>
          <w:rFonts w:ascii="Times New Roman" w:hAnsi="Times New Roman" w:cs="Times New Roman"/>
          <w:sz w:val="24"/>
          <w:szCs w:val="24"/>
        </w:rPr>
        <w:t xml:space="preserve"> this reduction amounts to R172.3 million in real terms, or 68.5 percent. The rest of grant will </w:t>
      </w:r>
      <w:r w:rsidRPr="00A325A0">
        <w:rPr>
          <w:rFonts w:ascii="Times New Roman" w:hAnsi="Times New Roman" w:cs="Times New Roman"/>
          <w:sz w:val="24"/>
          <w:szCs w:val="24"/>
        </w:rPr>
        <w:lastRenderedPageBreak/>
        <w:t>become an indirect grant (an allocation spent by the Department of Cooperative Governance on behalf of municipalities) to support the objectives of the ‘Back to Basics’ strategy.</w:t>
      </w:r>
    </w:p>
    <w:p w:rsidR="002A7635" w:rsidRPr="003D0701" w:rsidRDefault="002A7635" w:rsidP="00A325A0">
      <w:pPr>
        <w:pStyle w:val="Heading2"/>
        <w:numPr>
          <w:ilvl w:val="1"/>
          <w:numId w:val="10"/>
        </w:numPr>
        <w:spacing w:line="360" w:lineRule="auto"/>
        <w:rPr>
          <w:rFonts w:ascii="Times New Roman" w:hAnsi="Times New Roman" w:cs="Times New Roman"/>
          <w:color w:val="auto"/>
          <w:sz w:val="24"/>
          <w:szCs w:val="24"/>
        </w:rPr>
      </w:pPr>
      <w:bookmarkStart w:id="4" w:name="_Toc444520264"/>
      <w:r w:rsidRPr="003D0701">
        <w:rPr>
          <w:rFonts w:ascii="Times New Roman" w:hAnsi="Times New Roman" w:cs="Times New Roman"/>
          <w:color w:val="auto"/>
          <w:sz w:val="24"/>
          <w:szCs w:val="24"/>
        </w:rPr>
        <w:t>Programme 4: National Disaster Management Centre</w:t>
      </w:r>
      <w:bookmarkEnd w:id="4"/>
    </w:p>
    <w:p w:rsidR="002A7635" w:rsidRPr="00A325A0" w:rsidRDefault="002A7635" w:rsidP="00A325A0">
      <w:pPr>
        <w:tabs>
          <w:tab w:val="left" w:pos="935"/>
        </w:tabs>
        <w:spacing w:line="360" w:lineRule="auto"/>
        <w:rPr>
          <w:rFonts w:ascii="Times New Roman" w:hAnsi="Times New Roman" w:cs="Times New Roman"/>
          <w:sz w:val="24"/>
          <w:szCs w:val="24"/>
        </w:rPr>
      </w:pPr>
    </w:p>
    <w:p w:rsidR="002A7635" w:rsidRPr="00A325A0" w:rsidRDefault="002A7635" w:rsidP="00A325A0">
      <w:pPr>
        <w:tabs>
          <w:tab w:val="left" w:pos="935"/>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The National Disaster Management Centre (NDMC) is meant to promote an integrated system of disaster prevention, mitigation and risk management. As Table 5 illustrates, the allocation to the Programme decline</w:t>
      </w:r>
      <w:r w:rsidR="00CA1604" w:rsidRPr="00A325A0">
        <w:rPr>
          <w:rFonts w:ascii="Times New Roman" w:hAnsi="Times New Roman" w:cs="Times New Roman"/>
          <w:sz w:val="24"/>
          <w:szCs w:val="24"/>
        </w:rPr>
        <w:t>d</w:t>
      </w:r>
      <w:r w:rsidRPr="00A325A0">
        <w:rPr>
          <w:rFonts w:ascii="Times New Roman" w:hAnsi="Times New Roman" w:cs="Times New Roman"/>
          <w:sz w:val="24"/>
          <w:szCs w:val="24"/>
        </w:rPr>
        <w:t xml:space="preserve"> by 7.4 percent or R44.9 million in real terms, in line with the reprioritisation process began in the previous financial year.</w:t>
      </w:r>
    </w:p>
    <w:p w:rsidR="002A7635" w:rsidRPr="00A325A0" w:rsidRDefault="002A7635" w:rsidP="00A325A0">
      <w:pPr>
        <w:pStyle w:val="Caption"/>
        <w:keepNext/>
        <w:spacing w:line="360" w:lineRule="auto"/>
        <w:rPr>
          <w:rFonts w:ascii="Times New Roman" w:hAnsi="Times New Roman"/>
          <w:sz w:val="24"/>
          <w:szCs w:val="24"/>
        </w:rPr>
      </w:pPr>
      <w:r w:rsidRPr="00A325A0">
        <w:rPr>
          <w:rFonts w:ascii="Times New Roman" w:hAnsi="Times New Roman"/>
          <w:sz w:val="24"/>
          <w:szCs w:val="24"/>
        </w:rPr>
        <w:t xml:space="preserve">Table </w:t>
      </w:r>
      <w:r w:rsidRPr="00A325A0">
        <w:rPr>
          <w:rFonts w:ascii="Times New Roman" w:hAnsi="Times New Roman"/>
          <w:sz w:val="24"/>
          <w:szCs w:val="24"/>
        </w:rPr>
        <w:fldChar w:fldCharType="begin"/>
      </w:r>
      <w:r w:rsidRPr="00A325A0">
        <w:rPr>
          <w:rFonts w:ascii="Times New Roman" w:hAnsi="Times New Roman"/>
          <w:sz w:val="24"/>
          <w:szCs w:val="24"/>
        </w:rPr>
        <w:instrText xml:space="preserve"> SEQ Table \* ARABIC </w:instrText>
      </w:r>
      <w:r w:rsidRPr="00A325A0">
        <w:rPr>
          <w:rFonts w:ascii="Times New Roman" w:hAnsi="Times New Roman"/>
          <w:sz w:val="24"/>
          <w:szCs w:val="24"/>
        </w:rPr>
        <w:fldChar w:fldCharType="separate"/>
      </w:r>
      <w:r w:rsidR="000C1A45" w:rsidRPr="00A325A0">
        <w:rPr>
          <w:rFonts w:ascii="Times New Roman" w:hAnsi="Times New Roman"/>
          <w:noProof/>
          <w:sz w:val="24"/>
          <w:szCs w:val="24"/>
        </w:rPr>
        <w:t>5</w:t>
      </w:r>
      <w:r w:rsidRPr="00A325A0">
        <w:rPr>
          <w:rFonts w:ascii="Times New Roman" w:hAnsi="Times New Roman"/>
          <w:sz w:val="24"/>
          <w:szCs w:val="24"/>
        </w:rPr>
        <w:fldChar w:fldCharType="end"/>
      </w:r>
      <w:r w:rsidRPr="00A325A0">
        <w:rPr>
          <w:rFonts w:ascii="Times New Roman" w:hAnsi="Times New Roman"/>
          <w:sz w:val="24"/>
          <w:szCs w:val="24"/>
        </w:rPr>
        <w:t>: National Disaster Management Centre</w:t>
      </w:r>
    </w:p>
    <w:tbl>
      <w:tblPr>
        <w:tblStyle w:val="TableGrid"/>
        <w:tblW w:w="5000" w:type="pct"/>
        <w:tblLook w:val="04A0" w:firstRow="1" w:lastRow="0" w:firstColumn="1" w:lastColumn="0" w:noHBand="0" w:noVBand="1"/>
      </w:tblPr>
      <w:tblGrid>
        <w:gridCol w:w="1797"/>
        <w:gridCol w:w="1003"/>
        <w:gridCol w:w="1003"/>
        <w:gridCol w:w="1097"/>
        <w:gridCol w:w="936"/>
        <w:gridCol w:w="1703"/>
        <w:gridCol w:w="1703"/>
      </w:tblGrid>
      <w:tr w:rsidR="002A7635" w:rsidRPr="00A325A0" w:rsidTr="00643668">
        <w:trPr>
          <w:trHeight w:val="780"/>
        </w:trPr>
        <w:tc>
          <w:tcPr>
            <w:tcW w:w="1476" w:type="pct"/>
            <w:noWrap/>
            <w:hideMark/>
          </w:tcPr>
          <w:p w:rsidR="002A7635" w:rsidRPr="00A325A0" w:rsidRDefault="002A7635" w:rsidP="00A325A0">
            <w:pPr>
              <w:spacing w:line="360" w:lineRule="auto"/>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Programme</w:t>
            </w:r>
          </w:p>
        </w:tc>
        <w:tc>
          <w:tcPr>
            <w:tcW w:w="882" w:type="pct"/>
            <w:gridSpan w:val="2"/>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Budget</w:t>
            </w:r>
          </w:p>
        </w:tc>
        <w:tc>
          <w:tcPr>
            <w:tcW w:w="598"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Nominal Rand change</w:t>
            </w:r>
          </w:p>
        </w:tc>
        <w:tc>
          <w:tcPr>
            <w:tcW w:w="532"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Real Rand change</w:t>
            </w:r>
          </w:p>
        </w:tc>
        <w:tc>
          <w:tcPr>
            <w:tcW w:w="774"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Nominal % change</w:t>
            </w:r>
          </w:p>
        </w:tc>
        <w:tc>
          <w:tcPr>
            <w:tcW w:w="738"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Real % change</w:t>
            </w:r>
          </w:p>
        </w:tc>
      </w:tr>
      <w:tr w:rsidR="002A7635" w:rsidRPr="00A325A0" w:rsidTr="00643668">
        <w:trPr>
          <w:trHeight w:val="255"/>
        </w:trPr>
        <w:tc>
          <w:tcPr>
            <w:tcW w:w="1476" w:type="pct"/>
            <w:noWrap/>
            <w:hideMark/>
          </w:tcPr>
          <w:p w:rsidR="002A7635" w:rsidRPr="00A325A0" w:rsidRDefault="002A7635" w:rsidP="00A325A0">
            <w:pPr>
              <w:spacing w:line="360" w:lineRule="auto"/>
              <w:jc w:val="center"/>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R million</w:t>
            </w:r>
          </w:p>
        </w:tc>
        <w:tc>
          <w:tcPr>
            <w:tcW w:w="441" w:type="pct"/>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2015/16</w:t>
            </w:r>
          </w:p>
        </w:tc>
        <w:tc>
          <w:tcPr>
            <w:tcW w:w="441" w:type="pct"/>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2016/17</w:t>
            </w:r>
          </w:p>
        </w:tc>
        <w:tc>
          <w:tcPr>
            <w:tcW w:w="1130" w:type="pct"/>
            <w:gridSpan w:val="2"/>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2015/16-2016/17</w:t>
            </w:r>
          </w:p>
        </w:tc>
        <w:tc>
          <w:tcPr>
            <w:tcW w:w="1512" w:type="pct"/>
            <w:gridSpan w:val="2"/>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2015/16-2016/17</w:t>
            </w:r>
          </w:p>
        </w:tc>
      </w:tr>
      <w:tr w:rsidR="002A7635" w:rsidRPr="00A325A0" w:rsidTr="00643668">
        <w:trPr>
          <w:trHeight w:val="675"/>
        </w:trPr>
        <w:tc>
          <w:tcPr>
            <w:tcW w:w="1476"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1: Management: National Disaster Management Centre</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6.0</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3.4</w:t>
            </w:r>
          </w:p>
        </w:tc>
        <w:tc>
          <w:tcPr>
            <w:tcW w:w="59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2.6</w:t>
            </w:r>
          </w:p>
        </w:tc>
        <w:tc>
          <w:tcPr>
            <w:tcW w:w="53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2.8</w:t>
            </w:r>
          </w:p>
        </w:tc>
        <w:tc>
          <w:tcPr>
            <w:tcW w:w="774"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-43.33 per cent</w:t>
            </w:r>
          </w:p>
        </w:tc>
        <w:tc>
          <w:tcPr>
            <w:tcW w:w="73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-46.84 per cent</w:t>
            </w:r>
          </w:p>
        </w:tc>
      </w:tr>
      <w:tr w:rsidR="002A7635" w:rsidRPr="00A325A0" w:rsidTr="00643668">
        <w:trPr>
          <w:trHeight w:val="675"/>
        </w:trPr>
        <w:tc>
          <w:tcPr>
            <w:tcW w:w="1476"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2: Disaster Risk Reduction, Capacity Building and Intervention</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12.7</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33.3</w:t>
            </w:r>
          </w:p>
        </w:tc>
        <w:tc>
          <w:tcPr>
            <w:tcW w:w="59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20.6</w:t>
            </w:r>
          </w:p>
        </w:tc>
        <w:tc>
          <w:tcPr>
            <w:tcW w:w="53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18.5</w:t>
            </w:r>
          </w:p>
        </w:tc>
        <w:tc>
          <w:tcPr>
            <w:tcW w:w="774"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162.20 per cent</w:t>
            </w:r>
          </w:p>
        </w:tc>
        <w:tc>
          <w:tcPr>
            <w:tcW w:w="73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145.97 per cent</w:t>
            </w:r>
          </w:p>
        </w:tc>
      </w:tr>
      <w:tr w:rsidR="002A7635" w:rsidRPr="00A325A0" w:rsidTr="00643668">
        <w:trPr>
          <w:trHeight w:val="450"/>
        </w:trPr>
        <w:tc>
          <w:tcPr>
            <w:tcW w:w="1476"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3: Legislation and Policy Management</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6.1</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5.8</w:t>
            </w:r>
          </w:p>
        </w:tc>
        <w:tc>
          <w:tcPr>
            <w:tcW w:w="59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0.3</w:t>
            </w:r>
          </w:p>
        </w:tc>
        <w:tc>
          <w:tcPr>
            <w:tcW w:w="53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0.7</w:t>
            </w:r>
          </w:p>
        </w:tc>
        <w:tc>
          <w:tcPr>
            <w:tcW w:w="774"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-4.92 per cent</w:t>
            </w:r>
          </w:p>
        </w:tc>
        <w:tc>
          <w:tcPr>
            <w:tcW w:w="73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-10.80 per cent</w:t>
            </w:r>
          </w:p>
        </w:tc>
      </w:tr>
      <w:tr w:rsidR="002A7635" w:rsidRPr="00A325A0" w:rsidTr="00643668">
        <w:trPr>
          <w:trHeight w:val="1125"/>
        </w:trPr>
        <w:tc>
          <w:tcPr>
            <w:tcW w:w="1476"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Sub-programme 4: Integrated Provincial </w:t>
            </w:r>
            <w:r w:rsidRPr="00A325A0">
              <w:rPr>
                <w:rFonts w:ascii="Times New Roman" w:eastAsia="Times New Roman" w:hAnsi="Times New Roman" w:cs="Times New Roman"/>
                <w:sz w:val="24"/>
                <w:szCs w:val="24"/>
                <w:lang w:eastAsia="en-ZA"/>
              </w:rPr>
              <w:lastRenderedPageBreak/>
              <w:t>Disaster Management Support, Monitoring and Evaluation Systems</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lastRenderedPageBreak/>
              <w:t xml:space="preserve">  2.0</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4.1</w:t>
            </w:r>
          </w:p>
        </w:tc>
        <w:tc>
          <w:tcPr>
            <w:tcW w:w="59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2.1</w:t>
            </w:r>
          </w:p>
        </w:tc>
        <w:tc>
          <w:tcPr>
            <w:tcW w:w="53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1.8</w:t>
            </w:r>
          </w:p>
        </w:tc>
        <w:tc>
          <w:tcPr>
            <w:tcW w:w="774"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105.00 per cent</w:t>
            </w:r>
          </w:p>
        </w:tc>
        <w:tc>
          <w:tcPr>
            <w:tcW w:w="73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92.31 per cent</w:t>
            </w:r>
          </w:p>
        </w:tc>
      </w:tr>
      <w:tr w:rsidR="002A7635" w:rsidRPr="00A325A0" w:rsidTr="00643668">
        <w:trPr>
          <w:trHeight w:val="450"/>
        </w:trPr>
        <w:tc>
          <w:tcPr>
            <w:tcW w:w="1476"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lastRenderedPageBreak/>
              <w:t>Sub-programme 5: Fire Services</w:t>
            </w:r>
          </w:p>
        </w:tc>
        <w:tc>
          <w:tcPr>
            <w:tcW w:w="44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3.1</w:t>
            </w:r>
          </w:p>
        </w:tc>
        <w:tc>
          <w:tcPr>
            <w:tcW w:w="598" w:type="pct"/>
            <w:noWrap/>
            <w:hideMark/>
          </w:tcPr>
          <w:p w:rsidR="002A7635" w:rsidRPr="00A325A0" w:rsidRDefault="002A7635" w:rsidP="00A325A0">
            <w:pPr>
              <w:tabs>
                <w:tab w:val="left" w:pos="516"/>
              </w:tabs>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ab/>
              <w:t>-</w:t>
            </w:r>
          </w:p>
        </w:tc>
        <w:tc>
          <w:tcPr>
            <w:tcW w:w="532"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w:t>
            </w:r>
          </w:p>
        </w:tc>
        <w:tc>
          <w:tcPr>
            <w:tcW w:w="774"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w:t>
            </w:r>
          </w:p>
        </w:tc>
        <w:tc>
          <w:tcPr>
            <w:tcW w:w="738"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w:t>
            </w:r>
          </w:p>
        </w:tc>
      </w:tr>
      <w:tr w:rsidR="002A7635" w:rsidRPr="00A325A0" w:rsidTr="00643668">
        <w:trPr>
          <w:trHeight w:val="900"/>
        </w:trPr>
        <w:tc>
          <w:tcPr>
            <w:tcW w:w="1476"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6: Information Technology, Intelligence and Information Management Systems</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26.7</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27.7</w:t>
            </w:r>
          </w:p>
        </w:tc>
        <w:tc>
          <w:tcPr>
            <w:tcW w:w="59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1.0</w:t>
            </w:r>
          </w:p>
        </w:tc>
        <w:tc>
          <w:tcPr>
            <w:tcW w:w="53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0.7</w:t>
            </w:r>
          </w:p>
        </w:tc>
        <w:tc>
          <w:tcPr>
            <w:tcW w:w="774"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3.75 per cent</w:t>
            </w:r>
          </w:p>
        </w:tc>
        <w:tc>
          <w:tcPr>
            <w:tcW w:w="73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-2.68 per cent</w:t>
            </w:r>
          </w:p>
        </w:tc>
      </w:tr>
      <w:tr w:rsidR="002A7635" w:rsidRPr="00A325A0" w:rsidTr="00643668">
        <w:trPr>
          <w:trHeight w:val="450"/>
        </w:trPr>
        <w:tc>
          <w:tcPr>
            <w:tcW w:w="1476"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7: Disaster Relief Grant</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364.3</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381.5</w:t>
            </w:r>
          </w:p>
        </w:tc>
        <w:tc>
          <w:tcPr>
            <w:tcW w:w="59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17.2</w:t>
            </w:r>
          </w:p>
        </w:tc>
        <w:tc>
          <w:tcPr>
            <w:tcW w:w="53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6.4</w:t>
            </w:r>
          </w:p>
        </w:tc>
        <w:tc>
          <w:tcPr>
            <w:tcW w:w="774"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4.72 per cent</w:t>
            </w:r>
          </w:p>
        </w:tc>
        <w:tc>
          <w:tcPr>
            <w:tcW w:w="73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-1.76 per cent</w:t>
            </w:r>
          </w:p>
        </w:tc>
      </w:tr>
      <w:tr w:rsidR="002A7635" w:rsidRPr="00A325A0" w:rsidTr="00643668">
        <w:trPr>
          <w:trHeight w:val="450"/>
        </w:trPr>
        <w:tc>
          <w:tcPr>
            <w:tcW w:w="1476"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8: Municipal Disaster Recovery Grant</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188.9</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140.0</w:t>
            </w:r>
          </w:p>
        </w:tc>
        <w:tc>
          <w:tcPr>
            <w:tcW w:w="59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48.9</w:t>
            </w:r>
          </w:p>
        </w:tc>
        <w:tc>
          <w:tcPr>
            <w:tcW w:w="53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57.6</w:t>
            </w:r>
          </w:p>
        </w:tc>
        <w:tc>
          <w:tcPr>
            <w:tcW w:w="774"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-25.89 per cent</w:t>
            </w:r>
          </w:p>
        </w:tc>
        <w:tc>
          <w:tcPr>
            <w:tcW w:w="73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-30.48 per cent</w:t>
            </w:r>
          </w:p>
        </w:tc>
      </w:tr>
      <w:tr w:rsidR="002A7635" w:rsidRPr="00A325A0" w:rsidTr="00643668">
        <w:trPr>
          <w:trHeight w:val="255"/>
        </w:trPr>
        <w:tc>
          <w:tcPr>
            <w:tcW w:w="147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p>
        </w:tc>
        <w:tc>
          <w:tcPr>
            <w:tcW w:w="44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44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598"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532"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774"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738"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r>
      <w:tr w:rsidR="002A7635" w:rsidRPr="00A325A0" w:rsidTr="00643668">
        <w:trPr>
          <w:trHeight w:val="270"/>
        </w:trPr>
        <w:tc>
          <w:tcPr>
            <w:tcW w:w="1476" w:type="pct"/>
            <w:noWrap/>
            <w:hideMark/>
          </w:tcPr>
          <w:p w:rsidR="002A7635" w:rsidRPr="00A325A0" w:rsidRDefault="002A7635" w:rsidP="00A325A0">
            <w:pPr>
              <w:spacing w:line="360" w:lineRule="auto"/>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TOTAL</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606.7</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598.9</w:t>
            </w:r>
          </w:p>
        </w:tc>
        <w:tc>
          <w:tcPr>
            <w:tcW w:w="598"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7.8</w:t>
            </w:r>
          </w:p>
        </w:tc>
        <w:tc>
          <w:tcPr>
            <w:tcW w:w="532"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44.9</w:t>
            </w:r>
          </w:p>
        </w:tc>
        <w:tc>
          <w:tcPr>
            <w:tcW w:w="774"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-1.29 per cent</w:t>
            </w:r>
          </w:p>
        </w:tc>
        <w:tc>
          <w:tcPr>
            <w:tcW w:w="738"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-7.40 per cent</w:t>
            </w:r>
          </w:p>
        </w:tc>
      </w:tr>
    </w:tbl>
    <w:p w:rsidR="002A7635" w:rsidRPr="00A325A0" w:rsidRDefault="002A7635" w:rsidP="00A325A0">
      <w:pPr>
        <w:tabs>
          <w:tab w:val="left" w:pos="935"/>
        </w:tabs>
        <w:spacing w:line="360" w:lineRule="auto"/>
        <w:rPr>
          <w:rFonts w:ascii="Times New Roman" w:hAnsi="Times New Roman" w:cs="Times New Roman"/>
          <w:sz w:val="24"/>
          <w:szCs w:val="24"/>
        </w:rPr>
      </w:pPr>
    </w:p>
    <w:p w:rsidR="002A7635" w:rsidRPr="00A325A0" w:rsidRDefault="002A7635" w:rsidP="00A325A0">
      <w:pPr>
        <w:tabs>
          <w:tab w:val="left" w:pos="935"/>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Accounting for the lion’s share of the decline in the estimated budget for the Programme are, as the Graph below illustrates, sub-programmes 7 (</w:t>
      </w:r>
      <w:r w:rsidRPr="00A325A0">
        <w:rPr>
          <w:rFonts w:ascii="Times New Roman" w:hAnsi="Times New Roman" w:cs="Times New Roman"/>
          <w:i/>
          <w:sz w:val="24"/>
          <w:szCs w:val="24"/>
        </w:rPr>
        <w:t>Disaster Relief Grant</w:t>
      </w:r>
      <w:r w:rsidRPr="00A325A0">
        <w:rPr>
          <w:rFonts w:ascii="Times New Roman" w:hAnsi="Times New Roman" w:cs="Times New Roman"/>
          <w:sz w:val="24"/>
          <w:szCs w:val="24"/>
        </w:rPr>
        <w:t>) and 8 (</w:t>
      </w:r>
      <w:r w:rsidRPr="00A325A0">
        <w:rPr>
          <w:rFonts w:ascii="Times New Roman" w:hAnsi="Times New Roman" w:cs="Times New Roman"/>
          <w:i/>
          <w:sz w:val="24"/>
          <w:szCs w:val="24"/>
        </w:rPr>
        <w:t>Municipal Disaster Recovery Grant</w:t>
      </w:r>
      <w:r w:rsidRPr="00A325A0">
        <w:rPr>
          <w:rFonts w:ascii="Times New Roman" w:hAnsi="Times New Roman" w:cs="Times New Roman"/>
          <w:sz w:val="24"/>
          <w:szCs w:val="24"/>
        </w:rPr>
        <w:t>), which decrease by 1.7 percent or R6.4 million and 30.4 percent or R57.6 million</w:t>
      </w:r>
      <w:r w:rsidR="00CA1604" w:rsidRPr="00A325A0">
        <w:rPr>
          <w:rFonts w:ascii="Times New Roman" w:hAnsi="Times New Roman" w:cs="Times New Roman"/>
          <w:sz w:val="24"/>
          <w:szCs w:val="24"/>
        </w:rPr>
        <w:t>,</w:t>
      </w:r>
      <w:r w:rsidRPr="00A325A0">
        <w:rPr>
          <w:rFonts w:ascii="Times New Roman" w:hAnsi="Times New Roman" w:cs="Times New Roman"/>
          <w:sz w:val="24"/>
          <w:szCs w:val="24"/>
        </w:rPr>
        <w:t xml:space="preserve"> respectively. </w:t>
      </w:r>
    </w:p>
    <w:p w:rsidR="00CA1604" w:rsidRPr="00A325A0" w:rsidRDefault="00CA1604" w:rsidP="00A325A0">
      <w:pPr>
        <w:tabs>
          <w:tab w:val="left" w:pos="935"/>
        </w:tabs>
        <w:spacing w:line="360" w:lineRule="auto"/>
        <w:rPr>
          <w:rFonts w:ascii="Times New Roman" w:hAnsi="Times New Roman" w:cs="Times New Roman"/>
          <w:sz w:val="24"/>
          <w:szCs w:val="24"/>
        </w:rPr>
      </w:pPr>
    </w:p>
    <w:p w:rsidR="002A7635" w:rsidRPr="00A325A0" w:rsidRDefault="002A7635" w:rsidP="00A325A0">
      <w:pPr>
        <w:tabs>
          <w:tab w:val="left" w:pos="935"/>
        </w:tabs>
        <w:spacing w:line="360" w:lineRule="auto"/>
        <w:rPr>
          <w:rFonts w:ascii="Times New Roman" w:hAnsi="Times New Roman" w:cs="Times New Roman"/>
          <w:sz w:val="24"/>
          <w:szCs w:val="24"/>
        </w:rPr>
      </w:pPr>
      <w:r w:rsidRPr="00A325A0">
        <w:rPr>
          <w:rFonts w:ascii="Times New Roman" w:hAnsi="Times New Roman" w:cs="Times New Roman"/>
          <w:noProof/>
          <w:sz w:val="24"/>
          <w:szCs w:val="24"/>
          <w:lang w:eastAsia="en-ZA"/>
        </w:rPr>
        <w:drawing>
          <wp:anchor distT="0" distB="0" distL="114300" distR="114300" simplePos="0" relativeHeight="251666432" behindDoc="1" locked="0" layoutInCell="1" allowOverlap="1" wp14:anchorId="72876873" wp14:editId="4FBEFD16">
            <wp:simplePos x="0" y="0"/>
            <wp:positionH relativeFrom="column">
              <wp:posOffset>-54592</wp:posOffset>
            </wp:positionH>
            <wp:positionV relativeFrom="paragraph">
              <wp:posOffset>189306</wp:posOffset>
            </wp:positionV>
            <wp:extent cx="5788357" cy="2263528"/>
            <wp:effectExtent l="0" t="0" r="3175" b="381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2A7635" w:rsidRPr="00A325A0" w:rsidRDefault="002A7635" w:rsidP="00A325A0">
      <w:pPr>
        <w:tabs>
          <w:tab w:val="left" w:pos="935"/>
        </w:tabs>
        <w:spacing w:line="360" w:lineRule="auto"/>
        <w:rPr>
          <w:rFonts w:ascii="Times New Roman" w:hAnsi="Times New Roman" w:cs="Times New Roman"/>
          <w:sz w:val="24"/>
          <w:szCs w:val="24"/>
        </w:rPr>
      </w:pPr>
    </w:p>
    <w:p w:rsidR="002A7635" w:rsidRPr="00A325A0" w:rsidRDefault="002A7635" w:rsidP="00A325A0">
      <w:pPr>
        <w:tabs>
          <w:tab w:val="left" w:pos="935"/>
        </w:tabs>
        <w:spacing w:line="360" w:lineRule="auto"/>
        <w:rPr>
          <w:rFonts w:ascii="Times New Roman" w:hAnsi="Times New Roman" w:cs="Times New Roman"/>
          <w:sz w:val="24"/>
          <w:szCs w:val="24"/>
        </w:rPr>
      </w:pPr>
    </w:p>
    <w:p w:rsidR="002A7635" w:rsidRPr="00A325A0" w:rsidRDefault="002A7635" w:rsidP="00A325A0">
      <w:pPr>
        <w:tabs>
          <w:tab w:val="left" w:pos="935"/>
        </w:tabs>
        <w:spacing w:line="360" w:lineRule="auto"/>
        <w:rPr>
          <w:rFonts w:ascii="Times New Roman" w:hAnsi="Times New Roman" w:cs="Times New Roman"/>
          <w:sz w:val="24"/>
          <w:szCs w:val="24"/>
        </w:rPr>
      </w:pPr>
    </w:p>
    <w:p w:rsidR="002A7635" w:rsidRPr="00A325A0" w:rsidRDefault="002A7635" w:rsidP="00A325A0">
      <w:pPr>
        <w:tabs>
          <w:tab w:val="left" w:pos="935"/>
        </w:tabs>
        <w:spacing w:line="360" w:lineRule="auto"/>
        <w:rPr>
          <w:rFonts w:ascii="Times New Roman" w:hAnsi="Times New Roman" w:cs="Times New Roman"/>
          <w:sz w:val="24"/>
          <w:szCs w:val="24"/>
        </w:rPr>
      </w:pPr>
    </w:p>
    <w:p w:rsidR="002A7635" w:rsidRPr="00A325A0" w:rsidRDefault="002A7635" w:rsidP="00A325A0">
      <w:pPr>
        <w:tabs>
          <w:tab w:val="left" w:pos="935"/>
        </w:tabs>
        <w:spacing w:line="360" w:lineRule="auto"/>
        <w:rPr>
          <w:rFonts w:ascii="Times New Roman" w:hAnsi="Times New Roman" w:cs="Times New Roman"/>
          <w:sz w:val="24"/>
          <w:szCs w:val="24"/>
        </w:rPr>
      </w:pPr>
    </w:p>
    <w:p w:rsidR="002A7635" w:rsidRPr="00A325A0" w:rsidRDefault="002A7635" w:rsidP="00A325A0">
      <w:pPr>
        <w:tabs>
          <w:tab w:val="left" w:pos="935"/>
        </w:tabs>
        <w:spacing w:line="360" w:lineRule="auto"/>
        <w:rPr>
          <w:rFonts w:ascii="Times New Roman" w:hAnsi="Times New Roman" w:cs="Times New Roman"/>
          <w:sz w:val="24"/>
          <w:szCs w:val="24"/>
        </w:rPr>
      </w:pPr>
    </w:p>
    <w:p w:rsidR="002A7635" w:rsidRPr="00A325A0" w:rsidRDefault="002A7635" w:rsidP="00A325A0">
      <w:pPr>
        <w:tabs>
          <w:tab w:val="left" w:pos="935"/>
        </w:tabs>
        <w:spacing w:line="360" w:lineRule="auto"/>
        <w:rPr>
          <w:rFonts w:ascii="Times New Roman" w:hAnsi="Times New Roman" w:cs="Times New Roman"/>
          <w:sz w:val="24"/>
          <w:szCs w:val="24"/>
        </w:rPr>
      </w:pPr>
    </w:p>
    <w:p w:rsidR="002A7635" w:rsidRPr="00A325A0" w:rsidRDefault="00CA1604" w:rsidP="00A325A0">
      <w:pPr>
        <w:tabs>
          <w:tab w:val="left" w:pos="935"/>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 xml:space="preserve">The </w:t>
      </w:r>
      <w:r w:rsidR="002A7635" w:rsidRPr="00A325A0">
        <w:rPr>
          <w:rFonts w:ascii="Times New Roman" w:hAnsi="Times New Roman" w:cs="Times New Roman"/>
          <w:sz w:val="24"/>
          <w:szCs w:val="24"/>
        </w:rPr>
        <w:t>Budget 2016 proposes changes to the provincial and municipal disaster relief grants to enable provision for operational costs incurred by provinces and municipalities to distribute water. Previously, these grants ‘provided only for the rehabilitation of infra</w:t>
      </w:r>
      <w:r w:rsidR="00B307AF" w:rsidRPr="00A325A0">
        <w:rPr>
          <w:rFonts w:ascii="Times New Roman" w:hAnsi="Times New Roman" w:cs="Times New Roman"/>
          <w:sz w:val="24"/>
          <w:szCs w:val="24"/>
        </w:rPr>
        <w:t>structure damaged by disasters.</w:t>
      </w:r>
      <w:r w:rsidR="002A7635" w:rsidRPr="00A325A0">
        <w:rPr>
          <w:rFonts w:ascii="Times New Roman" w:hAnsi="Times New Roman" w:cs="Times New Roman"/>
          <w:sz w:val="24"/>
          <w:szCs w:val="24"/>
        </w:rPr>
        <w:t xml:space="preserve"> The </w:t>
      </w:r>
      <w:r w:rsidRPr="00A325A0">
        <w:rPr>
          <w:rFonts w:ascii="Times New Roman" w:hAnsi="Times New Roman" w:cs="Times New Roman"/>
          <w:i/>
          <w:sz w:val="24"/>
          <w:szCs w:val="24"/>
        </w:rPr>
        <w:t>M</w:t>
      </w:r>
      <w:r w:rsidR="002A7635" w:rsidRPr="00A325A0">
        <w:rPr>
          <w:rFonts w:ascii="Times New Roman" w:hAnsi="Times New Roman" w:cs="Times New Roman"/>
          <w:i/>
          <w:sz w:val="24"/>
          <w:szCs w:val="24"/>
        </w:rPr>
        <w:t xml:space="preserve">unicipal </w:t>
      </w:r>
      <w:r w:rsidRPr="00A325A0">
        <w:rPr>
          <w:rFonts w:ascii="Times New Roman" w:hAnsi="Times New Roman" w:cs="Times New Roman"/>
          <w:i/>
          <w:sz w:val="24"/>
          <w:szCs w:val="24"/>
        </w:rPr>
        <w:t>D</w:t>
      </w:r>
      <w:r w:rsidR="002A7635" w:rsidRPr="00A325A0">
        <w:rPr>
          <w:rFonts w:ascii="Times New Roman" w:hAnsi="Times New Roman" w:cs="Times New Roman"/>
          <w:i/>
          <w:sz w:val="24"/>
          <w:szCs w:val="24"/>
        </w:rPr>
        <w:t xml:space="preserve">isaster </w:t>
      </w:r>
      <w:r w:rsidRPr="00A325A0">
        <w:rPr>
          <w:rFonts w:ascii="Times New Roman" w:hAnsi="Times New Roman" w:cs="Times New Roman"/>
          <w:i/>
          <w:sz w:val="24"/>
          <w:szCs w:val="24"/>
        </w:rPr>
        <w:t>R</w:t>
      </w:r>
      <w:r w:rsidR="002A7635" w:rsidRPr="00A325A0">
        <w:rPr>
          <w:rFonts w:ascii="Times New Roman" w:hAnsi="Times New Roman" w:cs="Times New Roman"/>
          <w:i/>
          <w:sz w:val="24"/>
          <w:szCs w:val="24"/>
        </w:rPr>
        <w:t xml:space="preserve">ecovery </w:t>
      </w:r>
      <w:r w:rsidRPr="00A325A0">
        <w:rPr>
          <w:rFonts w:ascii="Times New Roman" w:hAnsi="Times New Roman" w:cs="Times New Roman"/>
          <w:i/>
          <w:sz w:val="24"/>
          <w:szCs w:val="24"/>
        </w:rPr>
        <w:t>G</w:t>
      </w:r>
      <w:r w:rsidR="002A7635" w:rsidRPr="00A325A0">
        <w:rPr>
          <w:rFonts w:ascii="Times New Roman" w:hAnsi="Times New Roman" w:cs="Times New Roman"/>
          <w:i/>
          <w:sz w:val="24"/>
          <w:szCs w:val="24"/>
        </w:rPr>
        <w:t>rant</w:t>
      </w:r>
      <w:r w:rsidR="002A7635" w:rsidRPr="00A325A0">
        <w:rPr>
          <w:rFonts w:ascii="Times New Roman" w:hAnsi="Times New Roman" w:cs="Times New Roman"/>
          <w:sz w:val="24"/>
          <w:szCs w:val="24"/>
        </w:rPr>
        <w:t xml:space="preserve"> is allocated R140 million in 2016/17 to assist with repairing infrastructure damaged by natural disasters. A new sub-programme (</w:t>
      </w:r>
      <w:r w:rsidR="002A7635" w:rsidRPr="00A325A0">
        <w:rPr>
          <w:rFonts w:ascii="Times New Roman" w:hAnsi="Times New Roman" w:cs="Times New Roman"/>
          <w:i/>
          <w:sz w:val="24"/>
          <w:szCs w:val="24"/>
        </w:rPr>
        <w:t>Fire Services</w:t>
      </w:r>
      <w:r w:rsidR="002A7635" w:rsidRPr="00A325A0">
        <w:rPr>
          <w:rFonts w:ascii="Times New Roman" w:hAnsi="Times New Roman" w:cs="Times New Roman"/>
          <w:sz w:val="24"/>
          <w:szCs w:val="24"/>
        </w:rPr>
        <w:t>) is also introduced, with an estimated allocation of R3.1 million.</w:t>
      </w:r>
    </w:p>
    <w:p w:rsidR="003D0701" w:rsidRPr="00A325A0" w:rsidRDefault="003D0701" w:rsidP="00A325A0">
      <w:pPr>
        <w:tabs>
          <w:tab w:val="left" w:pos="935"/>
        </w:tabs>
        <w:spacing w:line="360" w:lineRule="auto"/>
        <w:rPr>
          <w:rFonts w:ascii="Times New Roman" w:hAnsi="Times New Roman" w:cs="Times New Roman"/>
          <w:sz w:val="24"/>
          <w:szCs w:val="24"/>
        </w:rPr>
      </w:pPr>
    </w:p>
    <w:p w:rsidR="002A7635" w:rsidRPr="003D0701" w:rsidRDefault="002A7635" w:rsidP="00A325A0">
      <w:pPr>
        <w:pStyle w:val="Heading2"/>
        <w:numPr>
          <w:ilvl w:val="1"/>
          <w:numId w:val="10"/>
        </w:numPr>
        <w:spacing w:line="360" w:lineRule="auto"/>
        <w:rPr>
          <w:rFonts w:ascii="Times New Roman" w:hAnsi="Times New Roman" w:cs="Times New Roman"/>
          <w:color w:val="auto"/>
          <w:sz w:val="24"/>
          <w:szCs w:val="24"/>
        </w:rPr>
      </w:pPr>
      <w:bookmarkStart w:id="5" w:name="_Toc444520265"/>
      <w:r w:rsidRPr="003D0701">
        <w:rPr>
          <w:rFonts w:ascii="Times New Roman" w:hAnsi="Times New Roman" w:cs="Times New Roman"/>
          <w:color w:val="auto"/>
          <w:sz w:val="24"/>
          <w:szCs w:val="24"/>
        </w:rPr>
        <w:t>Programme 5: Local Government and Intervention Support Management</w:t>
      </w:r>
      <w:bookmarkEnd w:id="5"/>
    </w:p>
    <w:p w:rsidR="002A7635" w:rsidRPr="00A325A0" w:rsidRDefault="002A7635" w:rsidP="00A325A0">
      <w:pPr>
        <w:spacing w:line="360" w:lineRule="auto"/>
        <w:rPr>
          <w:rFonts w:ascii="Times New Roman" w:hAnsi="Times New Roman" w:cs="Times New Roman"/>
          <w:sz w:val="24"/>
          <w:szCs w:val="24"/>
        </w:rPr>
      </w:pPr>
    </w:p>
    <w:p w:rsidR="002A7635" w:rsidRPr="00A325A0" w:rsidRDefault="002A7635" w:rsidP="00A325A0">
      <w:pPr>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Previously the Local Government Support and Municipal Governance Support, this Programme conducts ‘performance monitoring, support and interventions in municipalities and provincial departments of cooperative governance that will dri</w:t>
      </w:r>
      <w:r w:rsidR="00B307AF" w:rsidRPr="00A325A0">
        <w:rPr>
          <w:rFonts w:ascii="Times New Roman" w:hAnsi="Times New Roman" w:cs="Times New Roman"/>
          <w:sz w:val="24"/>
          <w:szCs w:val="24"/>
        </w:rPr>
        <w:t>ve ‘Back-to-Basics’ activities.</w:t>
      </w:r>
      <w:r w:rsidRPr="00A325A0">
        <w:rPr>
          <w:rFonts w:ascii="Times New Roman" w:hAnsi="Times New Roman" w:cs="Times New Roman"/>
          <w:sz w:val="24"/>
          <w:szCs w:val="24"/>
        </w:rPr>
        <w:t xml:space="preserve"> Estimated allocation to this programme has increased exponentially in 2016/17 from R118.8 million in 2015/16 to R483.2 million in 2016/17, as illustrated in Table 6 below. This translates an increase of 281 percent or R334.5 million in real terms.</w:t>
      </w:r>
    </w:p>
    <w:p w:rsidR="002A7635" w:rsidRPr="00A325A0" w:rsidRDefault="002A7635" w:rsidP="00A325A0">
      <w:pPr>
        <w:spacing w:line="360" w:lineRule="auto"/>
        <w:jc w:val="both"/>
        <w:rPr>
          <w:rFonts w:ascii="Times New Roman" w:hAnsi="Times New Roman" w:cs="Times New Roman"/>
          <w:sz w:val="24"/>
          <w:szCs w:val="24"/>
        </w:rPr>
      </w:pPr>
    </w:p>
    <w:p w:rsidR="002A7635" w:rsidRPr="00A325A0" w:rsidRDefault="002A7635" w:rsidP="00A325A0">
      <w:pPr>
        <w:pStyle w:val="Caption"/>
        <w:keepNext/>
        <w:spacing w:line="360" w:lineRule="auto"/>
        <w:rPr>
          <w:rFonts w:ascii="Times New Roman" w:hAnsi="Times New Roman"/>
          <w:sz w:val="24"/>
          <w:szCs w:val="24"/>
        </w:rPr>
      </w:pPr>
      <w:r w:rsidRPr="00A325A0">
        <w:rPr>
          <w:rFonts w:ascii="Times New Roman" w:hAnsi="Times New Roman"/>
          <w:sz w:val="24"/>
          <w:szCs w:val="24"/>
        </w:rPr>
        <w:t xml:space="preserve">Table </w:t>
      </w:r>
      <w:r w:rsidRPr="00A325A0">
        <w:rPr>
          <w:rFonts w:ascii="Times New Roman" w:hAnsi="Times New Roman"/>
          <w:sz w:val="24"/>
          <w:szCs w:val="24"/>
        </w:rPr>
        <w:fldChar w:fldCharType="begin"/>
      </w:r>
      <w:r w:rsidRPr="00A325A0">
        <w:rPr>
          <w:rFonts w:ascii="Times New Roman" w:hAnsi="Times New Roman"/>
          <w:sz w:val="24"/>
          <w:szCs w:val="24"/>
        </w:rPr>
        <w:instrText xml:space="preserve"> SEQ Table \* ARABIC </w:instrText>
      </w:r>
      <w:r w:rsidRPr="00A325A0">
        <w:rPr>
          <w:rFonts w:ascii="Times New Roman" w:hAnsi="Times New Roman"/>
          <w:sz w:val="24"/>
          <w:szCs w:val="24"/>
        </w:rPr>
        <w:fldChar w:fldCharType="separate"/>
      </w:r>
      <w:r w:rsidR="000C1A45" w:rsidRPr="00A325A0">
        <w:rPr>
          <w:rFonts w:ascii="Times New Roman" w:hAnsi="Times New Roman"/>
          <w:noProof/>
          <w:sz w:val="24"/>
          <w:szCs w:val="24"/>
        </w:rPr>
        <w:t>6</w:t>
      </w:r>
      <w:r w:rsidRPr="00A325A0">
        <w:rPr>
          <w:rFonts w:ascii="Times New Roman" w:hAnsi="Times New Roman"/>
          <w:sz w:val="24"/>
          <w:szCs w:val="24"/>
        </w:rPr>
        <w:fldChar w:fldCharType="end"/>
      </w:r>
      <w:r w:rsidRPr="00A325A0">
        <w:rPr>
          <w:rFonts w:ascii="Times New Roman" w:hAnsi="Times New Roman"/>
          <w:sz w:val="24"/>
          <w:szCs w:val="24"/>
        </w:rPr>
        <w:t>: Local Government and Intervention Support Management</w:t>
      </w:r>
    </w:p>
    <w:tbl>
      <w:tblPr>
        <w:tblStyle w:val="TableGrid"/>
        <w:tblW w:w="5000" w:type="pct"/>
        <w:tblLook w:val="04A0" w:firstRow="1" w:lastRow="0" w:firstColumn="1" w:lastColumn="0" w:noHBand="0" w:noVBand="1"/>
      </w:tblPr>
      <w:tblGrid>
        <w:gridCol w:w="1557"/>
        <w:gridCol w:w="1003"/>
        <w:gridCol w:w="1003"/>
        <w:gridCol w:w="1097"/>
        <w:gridCol w:w="936"/>
        <w:gridCol w:w="1823"/>
        <w:gridCol w:w="1823"/>
      </w:tblGrid>
      <w:tr w:rsidR="002A7635" w:rsidRPr="00A325A0" w:rsidTr="00643668">
        <w:trPr>
          <w:trHeight w:val="780"/>
        </w:trPr>
        <w:tc>
          <w:tcPr>
            <w:tcW w:w="1337" w:type="pct"/>
            <w:noWrap/>
            <w:hideMark/>
          </w:tcPr>
          <w:p w:rsidR="002A7635" w:rsidRPr="00A325A0" w:rsidRDefault="002A7635" w:rsidP="00A325A0">
            <w:pPr>
              <w:spacing w:line="360" w:lineRule="auto"/>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Programme</w:t>
            </w:r>
          </w:p>
        </w:tc>
        <w:tc>
          <w:tcPr>
            <w:tcW w:w="882" w:type="pct"/>
            <w:gridSpan w:val="2"/>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Budget</w:t>
            </w:r>
          </w:p>
        </w:tc>
        <w:tc>
          <w:tcPr>
            <w:tcW w:w="626"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Nominal Rand change</w:t>
            </w:r>
          </w:p>
        </w:tc>
        <w:tc>
          <w:tcPr>
            <w:tcW w:w="552"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Real Rand change</w:t>
            </w:r>
          </w:p>
        </w:tc>
        <w:tc>
          <w:tcPr>
            <w:tcW w:w="818"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Nominal % change</w:t>
            </w:r>
          </w:p>
        </w:tc>
        <w:tc>
          <w:tcPr>
            <w:tcW w:w="786"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Real % change</w:t>
            </w:r>
          </w:p>
        </w:tc>
      </w:tr>
      <w:tr w:rsidR="002A7635" w:rsidRPr="00A325A0" w:rsidTr="00643668">
        <w:trPr>
          <w:trHeight w:val="255"/>
        </w:trPr>
        <w:tc>
          <w:tcPr>
            <w:tcW w:w="1337" w:type="pct"/>
            <w:noWrap/>
            <w:hideMark/>
          </w:tcPr>
          <w:p w:rsidR="002A7635" w:rsidRPr="00A325A0" w:rsidRDefault="002A7635" w:rsidP="00A325A0">
            <w:pPr>
              <w:spacing w:line="360" w:lineRule="auto"/>
              <w:jc w:val="center"/>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R million</w:t>
            </w:r>
          </w:p>
        </w:tc>
        <w:tc>
          <w:tcPr>
            <w:tcW w:w="441" w:type="pct"/>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2015/16</w:t>
            </w:r>
          </w:p>
        </w:tc>
        <w:tc>
          <w:tcPr>
            <w:tcW w:w="441" w:type="pct"/>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2016/17</w:t>
            </w:r>
          </w:p>
        </w:tc>
        <w:tc>
          <w:tcPr>
            <w:tcW w:w="1178" w:type="pct"/>
            <w:gridSpan w:val="2"/>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2015/16-2016/17</w:t>
            </w:r>
          </w:p>
        </w:tc>
        <w:tc>
          <w:tcPr>
            <w:tcW w:w="1604" w:type="pct"/>
            <w:gridSpan w:val="2"/>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2015/16-2016/17</w:t>
            </w:r>
          </w:p>
        </w:tc>
      </w:tr>
      <w:tr w:rsidR="002A7635" w:rsidRPr="00A325A0" w:rsidTr="00643668">
        <w:trPr>
          <w:trHeight w:val="900"/>
        </w:trPr>
        <w:tc>
          <w:tcPr>
            <w:tcW w:w="1337"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Sub-programme </w:t>
            </w:r>
            <w:r w:rsidRPr="00A325A0">
              <w:rPr>
                <w:rFonts w:ascii="Times New Roman" w:eastAsia="Times New Roman" w:hAnsi="Times New Roman" w:cs="Times New Roman"/>
                <w:sz w:val="24"/>
                <w:szCs w:val="24"/>
                <w:lang w:eastAsia="en-ZA"/>
              </w:rPr>
              <w:lastRenderedPageBreak/>
              <w:t>1: Management: Local Government Support and Intervention</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lastRenderedPageBreak/>
              <w:t xml:space="preserve">  13.8</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3.1</w:t>
            </w:r>
          </w:p>
        </w:tc>
        <w:tc>
          <w:tcPr>
            <w:tcW w:w="62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10.7</w:t>
            </w:r>
          </w:p>
        </w:tc>
        <w:tc>
          <w:tcPr>
            <w:tcW w:w="55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10.9</w:t>
            </w:r>
          </w:p>
        </w:tc>
        <w:tc>
          <w:tcPr>
            <w:tcW w:w="81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-77.54 per cent</w:t>
            </w:r>
          </w:p>
        </w:tc>
        <w:tc>
          <w:tcPr>
            <w:tcW w:w="78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-78.93 per cent</w:t>
            </w:r>
          </w:p>
        </w:tc>
      </w:tr>
      <w:tr w:rsidR="002A7635" w:rsidRPr="00A325A0" w:rsidTr="00643668">
        <w:trPr>
          <w:trHeight w:val="450"/>
        </w:trPr>
        <w:tc>
          <w:tcPr>
            <w:tcW w:w="1337"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lastRenderedPageBreak/>
              <w:t>Sub-programme 2: Municipal Performance Monitoring</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5.0</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322.1</w:t>
            </w:r>
          </w:p>
        </w:tc>
        <w:tc>
          <w:tcPr>
            <w:tcW w:w="62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317.1</w:t>
            </w:r>
          </w:p>
        </w:tc>
        <w:tc>
          <w:tcPr>
            <w:tcW w:w="55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297.2</w:t>
            </w:r>
          </w:p>
        </w:tc>
        <w:tc>
          <w:tcPr>
            <w:tcW w:w="81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6342.00 per cent</w:t>
            </w:r>
          </w:p>
        </w:tc>
        <w:tc>
          <w:tcPr>
            <w:tcW w:w="78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5943.15 per cent</w:t>
            </w:r>
          </w:p>
        </w:tc>
      </w:tr>
      <w:tr w:rsidR="002A7635" w:rsidRPr="00A325A0" w:rsidTr="00643668">
        <w:trPr>
          <w:trHeight w:val="675"/>
        </w:trPr>
        <w:tc>
          <w:tcPr>
            <w:tcW w:w="1337"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3: Local Government Improvement Programme</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14.6</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29.2</w:t>
            </w:r>
          </w:p>
        </w:tc>
        <w:tc>
          <w:tcPr>
            <w:tcW w:w="62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14.6</w:t>
            </w:r>
          </w:p>
        </w:tc>
        <w:tc>
          <w:tcPr>
            <w:tcW w:w="55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12.8</w:t>
            </w:r>
          </w:p>
        </w:tc>
        <w:tc>
          <w:tcPr>
            <w:tcW w:w="81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100.00 per cent</w:t>
            </w:r>
          </w:p>
        </w:tc>
        <w:tc>
          <w:tcPr>
            <w:tcW w:w="78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87.62 per cent</w:t>
            </w:r>
          </w:p>
        </w:tc>
      </w:tr>
      <w:tr w:rsidR="002A7635" w:rsidRPr="00A325A0" w:rsidTr="00643668">
        <w:trPr>
          <w:trHeight w:val="450"/>
        </w:trPr>
        <w:tc>
          <w:tcPr>
            <w:tcW w:w="1337"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4: Litigation and Interventions</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8.5</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13.8</w:t>
            </w:r>
          </w:p>
        </w:tc>
        <w:tc>
          <w:tcPr>
            <w:tcW w:w="62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5.3</w:t>
            </w:r>
          </w:p>
        </w:tc>
        <w:tc>
          <w:tcPr>
            <w:tcW w:w="55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4.4</w:t>
            </w:r>
          </w:p>
        </w:tc>
        <w:tc>
          <w:tcPr>
            <w:tcW w:w="81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62.35 per cent</w:t>
            </w:r>
          </w:p>
        </w:tc>
        <w:tc>
          <w:tcPr>
            <w:tcW w:w="78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52.30 per cent</w:t>
            </w:r>
          </w:p>
        </w:tc>
      </w:tr>
      <w:tr w:rsidR="002A7635" w:rsidRPr="00A325A0" w:rsidTr="00643668">
        <w:trPr>
          <w:trHeight w:val="675"/>
        </w:trPr>
        <w:tc>
          <w:tcPr>
            <w:tcW w:w="1337"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5: Municipal Infrastructure Grant Management</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15.6</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20.7</w:t>
            </w:r>
          </w:p>
        </w:tc>
        <w:tc>
          <w:tcPr>
            <w:tcW w:w="62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5.1</w:t>
            </w:r>
          </w:p>
        </w:tc>
        <w:tc>
          <w:tcPr>
            <w:tcW w:w="55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3.8</w:t>
            </w:r>
          </w:p>
        </w:tc>
        <w:tc>
          <w:tcPr>
            <w:tcW w:w="81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32.69 per cent</w:t>
            </w:r>
          </w:p>
        </w:tc>
        <w:tc>
          <w:tcPr>
            <w:tcW w:w="78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24.48 per cent</w:t>
            </w:r>
          </w:p>
        </w:tc>
      </w:tr>
      <w:tr w:rsidR="002A7635" w:rsidRPr="00A325A0" w:rsidTr="00643668">
        <w:trPr>
          <w:trHeight w:val="675"/>
        </w:trPr>
        <w:tc>
          <w:tcPr>
            <w:tcW w:w="1337"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Sub-programme 6: South African Local Government </w:t>
            </w:r>
            <w:r w:rsidRPr="00A325A0">
              <w:rPr>
                <w:rFonts w:ascii="Times New Roman" w:eastAsia="Times New Roman" w:hAnsi="Times New Roman" w:cs="Times New Roman"/>
                <w:sz w:val="24"/>
                <w:szCs w:val="24"/>
                <w:lang w:eastAsia="en-ZA"/>
              </w:rPr>
              <w:lastRenderedPageBreak/>
              <w:t>Association</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lastRenderedPageBreak/>
              <w:t xml:space="preserve">  9.2</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29.5</w:t>
            </w:r>
          </w:p>
        </w:tc>
        <w:tc>
          <w:tcPr>
            <w:tcW w:w="62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20.3</w:t>
            </w:r>
          </w:p>
        </w:tc>
        <w:tc>
          <w:tcPr>
            <w:tcW w:w="55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18.5</w:t>
            </w:r>
          </w:p>
        </w:tc>
        <w:tc>
          <w:tcPr>
            <w:tcW w:w="81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220.65 per cent</w:t>
            </w:r>
          </w:p>
        </w:tc>
        <w:tc>
          <w:tcPr>
            <w:tcW w:w="78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200.80 per cent</w:t>
            </w:r>
          </w:p>
        </w:tc>
      </w:tr>
      <w:tr w:rsidR="002A7635" w:rsidRPr="00A325A0" w:rsidTr="00643668">
        <w:trPr>
          <w:trHeight w:val="450"/>
        </w:trPr>
        <w:tc>
          <w:tcPr>
            <w:tcW w:w="1337"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lastRenderedPageBreak/>
              <w:t>Sub-programme 7: Municipal Demarcation Board</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45.8</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58.2</w:t>
            </w:r>
          </w:p>
        </w:tc>
        <w:tc>
          <w:tcPr>
            <w:tcW w:w="62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12.4</w:t>
            </w:r>
          </w:p>
        </w:tc>
        <w:tc>
          <w:tcPr>
            <w:tcW w:w="55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8.8</w:t>
            </w:r>
          </w:p>
        </w:tc>
        <w:tc>
          <w:tcPr>
            <w:tcW w:w="81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27.07 per cent</w:t>
            </w:r>
          </w:p>
        </w:tc>
        <w:tc>
          <w:tcPr>
            <w:tcW w:w="78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19.21 per cent</w:t>
            </w:r>
          </w:p>
        </w:tc>
      </w:tr>
      <w:tr w:rsidR="002A7635" w:rsidRPr="00A325A0" w:rsidTr="00643668">
        <w:trPr>
          <w:trHeight w:val="450"/>
        </w:trPr>
        <w:tc>
          <w:tcPr>
            <w:tcW w:w="1337"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8: South African Cities Network</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6.3</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6.6</w:t>
            </w:r>
          </w:p>
        </w:tc>
        <w:tc>
          <w:tcPr>
            <w:tcW w:w="62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0.3</w:t>
            </w:r>
          </w:p>
        </w:tc>
        <w:tc>
          <w:tcPr>
            <w:tcW w:w="55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0.1</w:t>
            </w:r>
          </w:p>
        </w:tc>
        <w:tc>
          <w:tcPr>
            <w:tcW w:w="818"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4.76 per cent</w:t>
            </w:r>
          </w:p>
        </w:tc>
        <w:tc>
          <w:tcPr>
            <w:tcW w:w="786"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-1.72 per cent</w:t>
            </w:r>
          </w:p>
        </w:tc>
      </w:tr>
      <w:tr w:rsidR="002A7635" w:rsidRPr="00A325A0" w:rsidTr="00643668">
        <w:trPr>
          <w:trHeight w:val="675"/>
        </w:trPr>
        <w:tc>
          <w:tcPr>
            <w:tcW w:w="1337"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9: United Cities and Local Government of Africa</w:t>
            </w:r>
          </w:p>
        </w:tc>
        <w:tc>
          <w:tcPr>
            <w:tcW w:w="44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w:t>
            </w:r>
          </w:p>
        </w:tc>
        <w:tc>
          <w:tcPr>
            <w:tcW w:w="44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w:t>
            </w:r>
          </w:p>
        </w:tc>
        <w:tc>
          <w:tcPr>
            <w:tcW w:w="626"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w:t>
            </w:r>
          </w:p>
        </w:tc>
        <w:tc>
          <w:tcPr>
            <w:tcW w:w="552"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w:t>
            </w:r>
          </w:p>
        </w:tc>
        <w:tc>
          <w:tcPr>
            <w:tcW w:w="818"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w:t>
            </w:r>
          </w:p>
        </w:tc>
        <w:tc>
          <w:tcPr>
            <w:tcW w:w="786"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w:t>
            </w:r>
          </w:p>
        </w:tc>
      </w:tr>
      <w:tr w:rsidR="002A7635" w:rsidRPr="00A325A0" w:rsidTr="00643668">
        <w:trPr>
          <w:trHeight w:val="255"/>
        </w:trPr>
        <w:tc>
          <w:tcPr>
            <w:tcW w:w="1337"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44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44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626"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552"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818"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786"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r>
      <w:tr w:rsidR="002A7635" w:rsidRPr="00A325A0" w:rsidTr="00643668">
        <w:trPr>
          <w:trHeight w:val="270"/>
        </w:trPr>
        <w:tc>
          <w:tcPr>
            <w:tcW w:w="1337" w:type="pct"/>
            <w:noWrap/>
            <w:hideMark/>
          </w:tcPr>
          <w:p w:rsidR="002A7635" w:rsidRPr="00A325A0" w:rsidRDefault="002A7635" w:rsidP="00A325A0">
            <w:pPr>
              <w:spacing w:line="360" w:lineRule="auto"/>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TOTAL</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118.8</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483.2</w:t>
            </w:r>
          </w:p>
        </w:tc>
        <w:tc>
          <w:tcPr>
            <w:tcW w:w="626"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364.4</w:t>
            </w:r>
          </w:p>
        </w:tc>
        <w:tc>
          <w:tcPr>
            <w:tcW w:w="552"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334.5</w:t>
            </w:r>
          </w:p>
        </w:tc>
        <w:tc>
          <w:tcPr>
            <w:tcW w:w="818"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306.73 per cent</w:t>
            </w:r>
          </w:p>
        </w:tc>
        <w:tc>
          <w:tcPr>
            <w:tcW w:w="786"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281.55 per cent</w:t>
            </w:r>
          </w:p>
        </w:tc>
      </w:tr>
    </w:tbl>
    <w:p w:rsidR="002A7635" w:rsidRPr="00A325A0" w:rsidRDefault="002A7635" w:rsidP="00A325A0">
      <w:pPr>
        <w:spacing w:line="360" w:lineRule="auto"/>
        <w:rPr>
          <w:rFonts w:ascii="Times New Roman" w:hAnsi="Times New Roman" w:cs="Times New Roman"/>
          <w:sz w:val="24"/>
          <w:szCs w:val="24"/>
        </w:rPr>
      </w:pPr>
    </w:p>
    <w:p w:rsidR="002A7635" w:rsidRPr="00A325A0" w:rsidRDefault="002A7635" w:rsidP="00A325A0">
      <w:pPr>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Accounting for the large increase in the estimated Programme allocation, as the Graph below illustrates, is sub-programme 2 (</w:t>
      </w:r>
      <w:r w:rsidRPr="00A325A0">
        <w:rPr>
          <w:rFonts w:ascii="Times New Roman" w:hAnsi="Times New Roman" w:cs="Times New Roman"/>
          <w:i/>
          <w:sz w:val="24"/>
          <w:szCs w:val="24"/>
        </w:rPr>
        <w:t>Municipal Performance Monitoring</w:t>
      </w:r>
      <w:r w:rsidRPr="00A325A0">
        <w:rPr>
          <w:rFonts w:ascii="Times New Roman" w:hAnsi="Times New Roman" w:cs="Times New Roman"/>
          <w:sz w:val="24"/>
          <w:szCs w:val="24"/>
        </w:rPr>
        <w:t xml:space="preserve">) whose allocations grows by 5943 percent or R297.2 million in real terms. What accounts for this increase is not immediately clear, and Parliament may need to be </w:t>
      </w:r>
      <w:r w:rsidR="00CA1604" w:rsidRPr="00A325A0">
        <w:rPr>
          <w:rFonts w:ascii="Times New Roman" w:hAnsi="Times New Roman" w:cs="Times New Roman"/>
          <w:sz w:val="24"/>
          <w:szCs w:val="24"/>
        </w:rPr>
        <w:t xml:space="preserve">informed </w:t>
      </w:r>
      <w:r w:rsidRPr="00A325A0">
        <w:rPr>
          <w:rFonts w:ascii="Times New Roman" w:hAnsi="Times New Roman" w:cs="Times New Roman"/>
          <w:sz w:val="24"/>
          <w:szCs w:val="24"/>
        </w:rPr>
        <w:t>on this matter. The Municipal Demarcation Board (sub-programme 7) also receive</w:t>
      </w:r>
      <w:r w:rsidR="00CA1604" w:rsidRPr="00A325A0">
        <w:rPr>
          <w:rFonts w:ascii="Times New Roman" w:hAnsi="Times New Roman" w:cs="Times New Roman"/>
          <w:sz w:val="24"/>
          <w:szCs w:val="24"/>
        </w:rPr>
        <w:t>d</w:t>
      </w:r>
      <w:r w:rsidRPr="00A325A0">
        <w:rPr>
          <w:rFonts w:ascii="Times New Roman" w:hAnsi="Times New Roman" w:cs="Times New Roman"/>
          <w:sz w:val="24"/>
          <w:szCs w:val="24"/>
        </w:rPr>
        <w:t xml:space="preserve"> a 19.2 percent increase in real terms as a result of a Cabinet approved allocation of R10 million </w:t>
      </w:r>
      <w:proofErr w:type="gramStart"/>
      <w:r w:rsidRPr="00A325A0">
        <w:rPr>
          <w:rFonts w:ascii="Times New Roman" w:hAnsi="Times New Roman" w:cs="Times New Roman"/>
          <w:sz w:val="24"/>
          <w:szCs w:val="24"/>
        </w:rPr>
        <w:t>reimbursement</w:t>
      </w:r>
      <w:proofErr w:type="gramEnd"/>
      <w:r w:rsidRPr="00A325A0">
        <w:rPr>
          <w:rFonts w:ascii="Times New Roman" w:hAnsi="Times New Roman" w:cs="Times New Roman"/>
          <w:sz w:val="24"/>
          <w:szCs w:val="24"/>
        </w:rPr>
        <w:t xml:space="preserve"> for the extended demarcation process.</w:t>
      </w:r>
    </w:p>
    <w:p w:rsidR="002A7635" w:rsidRPr="00A325A0" w:rsidRDefault="002A7635" w:rsidP="00A325A0">
      <w:pPr>
        <w:spacing w:line="360" w:lineRule="auto"/>
        <w:rPr>
          <w:rFonts w:ascii="Times New Roman" w:hAnsi="Times New Roman" w:cs="Times New Roman"/>
          <w:sz w:val="24"/>
          <w:szCs w:val="24"/>
        </w:rPr>
      </w:pPr>
    </w:p>
    <w:p w:rsidR="002A7635" w:rsidRPr="00A325A0" w:rsidRDefault="002A7635" w:rsidP="00A325A0">
      <w:pPr>
        <w:spacing w:line="360" w:lineRule="auto"/>
        <w:rPr>
          <w:rFonts w:ascii="Times New Roman" w:hAnsi="Times New Roman" w:cs="Times New Roman"/>
          <w:sz w:val="24"/>
          <w:szCs w:val="24"/>
        </w:rPr>
      </w:pPr>
      <w:r w:rsidRPr="00A325A0">
        <w:rPr>
          <w:rFonts w:ascii="Times New Roman" w:hAnsi="Times New Roman" w:cs="Times New Roman"/>
          <w:noProof/>
          <w:sz w:val="24"/>
          <w:szCs w:val="24"/>
          <w:lang w:eastAsia="en-ZA"/>
        </w:rPr>
        <w:drawing>
          <wp:anchor distT="0" distB="0" distL="114300" distR="114300" simplePos="0" relativeHeight="251667456" behindDoc="1" locked="0" layoutInCell="1" allowOverlap="1" wp14:anchorId="6D0011D3" wp14:editId="36B8CDE1">
            <wp:simplePos x="0" y="0"/>
            <wp:positionH relativeFrom="column">
              <wp:posOffset>184245</wp:posOffset>
            </wp:positionH>
            <wp:positionV relativeFrom="paragraph">
              <wp:posOffset>107097</wp:posOffset>
            </wp:positionV>
            <wp:extent cx="5902657" cy="2570603"/>
            <wp:effectExtent l="0" t="0" r="3175" b="127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2A7635" w:rsidRPr="00A325A0" w:rsidRDefault="002A7635" w:rsidP="00A325A0">
      <w:pPr>
        <w:spacing w:line="360" w:lineRule="auto"/>
        <w:rPr>
          <w:rFonts w:ascii="Times New Roman" w:hAnsi="Times New Roman" w:cs="Times New Roman"/>
          <w:sz w:val="24"/>
          <w:szCs w:val="24"/>
        </w:rPr>
      </w:pPr>
    </w:p>
    <w:p w:rsidR="002A7635" w:rsidRPr="00A325A0" w:rsidRDefault="002A7635" w:rsidP="00A325A0">
      <w:pPr>
        <w:spacing w:line="360" w:lineRule="auto"/>
        <w:rPr>
          <w:rFonts w:ascii="Times New Roman" w:hAnsi="Times New Roman" w:cs="Times New Roman"/>
          <w:sz w:val="24"/>
          <w:szCs w:val="24"/>
        </w:rPr>
      </w:pPr>
    </w:p>
    <w:p w:rsidR="002A7635" w:rsidRPr="00A325A0" w:rsidRDefault="002A7635" w:rsidP="00A325A0">
      <w:pPr>
        <w:spacing w:line="360" w:lineRule="auto"/>
        <w:rPr>
          <w:rFonts w:ascii="Times New Roman" w:hAnsi="Times New Roman" w:cs="Times New Roman"/>
          <w:sz w:val="24"/>
          <w:szCs w:val="24"/>
        </w:rPr>
      </w:pPr>
    </w:p>
    <w:p w:rsidR="002A7635" w:rsidRPr="00A325A0" w:rsidRDefault="002A7635" w:rsidP="00A325A0">
      <w:pPr>
        <w:spacing w:line="360" w:lineRule="auto"/>
        <w:rPr>
          <w:rFonts w:ascii="Times New Roman" w:hAnsi="Times New Roman" w:cs="Times New Roman"/>
          <w:sz w:val="24"/>
          <w:szCs w:val="24"/>
        </w:rPr>
      </w:pPr>
    </w:p>
    <w:p w:rsidR="002A7635" w:rsidRPr="00A325A0" w:rsidRDefault="002A7635" w:rsidP="00A325A0">
      <w:pPr>
        <w:spacing w:line="360" w:lineRule="auto"/>
        <w:rPr>
          <w:rFonts w:ascii="Times New Roman" w:hAnsi="Times New Roman" w:cs="Times New Roman"/>
          <w:sz w:val="24"/>
          <w:szCs w:val="24"/>
        </w:rPr>
      </w:pPr>
    </w:p>
    <w:p w:rsidR="002A7635" w:rsidRPr="00A325A0" w:rsidRDefault="002A7635" w:rsidP="00A325A0">
      <w:pPr>
        <w:spacing w:line="360" w:lineRule="auto"/>
        <w:rPr>
          <w:rFonts w:ascii="Times New Roman" w:hAnsi="Times New Roman" w:cs="Times New Roman"/>
          <w:sz w:val="24"/>
          <w:szCs w:val="24"/>
        </w:rPr>
      </w:pPr>
    </w:p>
    <w:p w:rsidR="002A7635" w:rsidRPr="00A325A0" w:rsidRDefault="002A7635" w:rsidP="00A325A0">
      <w:pPr>
        <w:spacing w:line="360" w:lineRule="auto"/>
        <w:rPr>
          <w:rFonts w:ascii="Times New Roman" w:hAnsi="Times New Roman" w:cs="Times New Roman"/>
          <w:sz w:val="24"/>
          <w:szCs w:val="24"/>
        </w:rPr>
      </w:pPr>
    </w:p>
    <w:p w:rsidR="002A7635" w:rsidRPr="00A325A0" w:rsidRDefault="002A7635" w:rsidP="00A325A0">
      <w:pPr>
        <w:spacing w:line="360" w:lineRule="auto"/>
        <w:rPr>
          <w:rFonts w:ascii="Times New Roman" w:hAnsi="Times New Roman" w:cs="Times New Roman"/>
          <w:sz w:val="24"/>
          <w:szCs w:val="24"/>
        </w:rPr>
      </w:pPr>
    </w:p>
    <w:p w:rsidR="00CA1604" w:rsidRPr="00A325A0" w:rsidRDefault="00CA1604" w:rsidP="00A325A0">
      <w:pPr>
        <w:spacing w:line="360" w:lineRule="auto"/>
        <w:jc w:val="both"/>
        <w:rPr>
          <w:rFonts w:ascii="Times New Roman" w:hAnsi="Times New Roman" w:cs="Times New Roman"/>
          <w:sz w:val="24"/>
          <w:szCs w:val="24"/>
        </w:rPr>
      </w:pPr>
    </w:p>
    <w:p w:rsidR="002A7635" w:rsidRDefault="002A7635" w:rsidP="00A325A0">
      <w:pPr>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In 2016/17</w:t>
      </w:r>
      <w:r w:rsidR="00CA1604" w:rsidRPr="00A325A0">
        <w:rPr>
          <w:rFonts w:ascii="Times New Roman" w:hAnsi="Times New Roman" w:cs="Times New Roman"/>
          <w:sz w:val="24"/>
          <w:szCs w:val="24"/>
        </w:rPr>
        <w:t>,</w:t>
      </w:r>
      <w:r w:rsidRPr="00A325A0">
        <w:rPr>
          <w:rFonts w:ascii="Times New Roman" w:hAnsi="Times New Roman" w:cs="Times New Roman"/>
          <w:sz w:val="24"/>
          <w:szCs w:val="24"/>
        </w:rPr>
        <w:t xml:space="preserve"> there </w:t>
      </w:r>
      <w:r w:rsidR="00C71E77" w:rsidRPr="00A325A0">
        <w:rPr>
          <w:rFonts w:ascii="Times New Roman" w:hAnsi="Times New Roman" w:cs="Times New Roman"/>
          <w:sz w:val="24"/>
          <w:szCs w:val="24"/>
        </w:rPr>
        <w:t>wa</w:t>
      </w:r>
      <w:r w:rsidRPr="00A325A0">
        <w:rPr>
          <w:rFonts w:ascii="Times New Roman" w:hAnsi="Times New Roman" w:cs="Times New Roman"/>
          <w:sz w:val="24"/>
          <w:szCs w:val="24"/>
        </w:rPr>
        <w:t xml:space="preserve">s no allocation to </w:t>
      </w:r>
      <w:r w:rsidR="00C71E77" w:rsidRPr="00A325A0">
        <w:rPr>
          <w:rFonts w:ascii="Times New Roman" w:hAnsi="Times New Roman" w:cs="Times New Roman"/>
          <w:sz w:val="24"/>
          <w:szCs w:val="24"/>
        </w:rPr>
        <w:t xml:space="preserve">the </w:t>
      </w:r>
      <w:r w:rsidRPr="00A325A0">
        <w:rPr>
          <w:rFonts w:ascii="Times New Roman" w:hAnsi="Times New Roman" w:cs="Times New Roman"/>
          <w:sz w:val="24"/>
          <w:szCs w:val="24"/>
        </w:rPr>
        <w:t>sub-programme 8 (</w:t>
      </w:r>
      <w:r w:rsidRPr="00A325A0">
        <w:rPr>
          <w:rFonts w:ascii="Times New Roman" w:hAnsi="Times New Roman" w:cs="Times New Roman"/>
          <w:i/>
          <w:sz w:val="24"/>
          <w:szCs w:val="24"/>
        </w:rPr>
        <w:t>United Cities and Local Government of Africa</w:t>
      </w:r>
      <w:r w:rsidRPr="00A325A0">
        <w:rPr>
          <w:rFonts w:ascii="Times New Roman" w:hAnsi="Times New Roman" w:cs="Times New Roman"/>
          <w:sz w:val="24"/>
          <w:szCs w:val="24"/>
        </w:rPr>
        <w:t>), which received 5.8 million in 2015/16. Parliament</w:t>
      </w:r>
      <w:r w:rsidR="00C71E77" w:rsidRPr="00A325A0">
        <w:rPr>
          <w:rFonts w:ascii="Times New Roman" w:hAnsi="Times New Roman" w:cs="Times New Roman"/>
          <w:sz w:val="24"/>
          <w:szCs w:val="24"/>
        </w:rPr>
        <w:t xml:space="preserve"> may require an explanation on this non-allocation</w:t>
      </w:r>
      <w:r w:rsidRPr="00A325A0">
        <w:rPr>
          <w:rFonts w:ascii="Times New Roman" w:hAnsi="Times New Roman" w:cs="Times New Roman"/>
          <w:sz w:val="24"/>
          <w:szCs w:val="24"/>
        </w:rPr>
        <w:t xml:space="preserve">. Furthermore, 2015/16 was envisaged as the last financial year that SALGA was to be funded from the national </w:t>
      </w:r>
      <w:proofErr w:type="spellStart"/>
      <w:r w:rsidRPr="00A325A0">
        <w:rPr>
          <w:rFonts w:ascii="Times New Roman" w:hAnsi="Times New Roman" w:cs="Times New Roman"/>
          <w:sz w:val="24"/>
          <w:szCs w:val="24"/>
        </w:rPr>
        <w:t>fiscus</w:t>
      </w:r>
      <w:proofErr w:type="spellEnd"/>
      <w:r w:rsidRPr="00A325A0">
        <w:rPr>
          <w:rFonts w:ascii="Times New Roman" w:hAnsi="Times New Roman" w:cs="Times New Roman"/>
          <w:sz w:val="24"/>
          <w:szCs w:val="24"/>
        </w:rPr>
        <w:t>. From 2016/17 onwards, the entity was expected to implement a self-sustaining funding model. However, the entity has now been allocated over R90 million during the MTEF: R29.5 million in 2016/17; R31.3 million in 2017/18; and R33.1 million in 2018/19. This may also need further explanation</w:t>
      </w:r>
      <w:r w:rsidR="00C71E77" w:rsidRPr="00A325A0">
        <w:rPr>
          <w:rFonts w:ascii="Times New Roman" w:hAnsi="Times New Roman" w:cs="Times New Roman"/>
          <w:sz w:val="24"/>
          <w:szCs w:val="24"/>
        </w:rPr>
        <w:t>, considering this contradiction.</w:t>
      </w:r>
    </w:p>
    <w:p w:rsidR="003D0701" w:rsidRPr="00A325A0" w:rsidRDefault="003D0701" w:rsidP="00A325A0">
      <w:pPr>
        <w:spacing w:line="360" w:lineRule="auto"/>
        <w:jc w:val="both"/>
        <w:rPr>
          <w:rFonts w:ascii="Times New Roman" w:hAnsi="Times New Roman" w:cs="Times New Roman"/>
          <w:sz w:val="24"/>
          <w:szCs w:val="24"/>
        </w:rPr>
      </w:pPr>
    </w:p>
    <w:p w:rsidR="002A7635" w:rsidRPr="003D0701" w:rsidRDefault="002A7635" w:rsidP="00A325A0">
      <w:pPr>
        <w:pStyle w:val="Heading2"/>
        <w:numPr>
          <w:ilvl w:val="1"/>
          <w:numId w:val="10"/>
        </w:numPr>
        <w:spacing w:line="360" w:lineRule="auto"/>
        <w:rPr>
          <w:rFonts w:ascii="Times New Roman" w:hAnsi="Times New Roman" w:cs="Times New Roman"/>
          <w:color w:val="auto"/>
          <w:sz w:val="24"/>
          <w:szCs w:val="24"/>
        </w:rPr>
      </w:pPr>
      <w:bookmarkStart w:id="6" w:name="_Toc444520266"/>
      <w:r w:rsidRPr="003D0701">
        <w:rPr>
          <w:rFonts w:ascii="Times New Roman" w:hAnsi="Times New Roman" w:cs="Times New Roman"/>
          <w:color w:val="auto"/>
          <w:sz w:val="24"/>
          <w:szCs w:val="24"/>
        </w:rPr>
        <w:t>Programme 6: Community Work Programme</w:t>
      </w:r>
      <w:bookmarkEnd w:id="6"/>
    </w:p>
    <w:p w:rsidR="00BF00E1" w:rsidRPr="00A325A0" w:rsidRDefault="00BF00E1" w:rsidP="00A325A0">
      <w:pPr>
        <w:spacing w:line="360" w:lineRule="auto"/>
        <w:rPr>
          <w:rFonts w:ascii="Times New Roman" w:hAnsi="Times New Roman" w:cs="Times New Roman"/>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r w:rsidRPr="00A325A0">
        <w:rPr>
          <w:rFonts w:ascii="Times New Roman" w:hAnsi="Times New Roman"/>
          <w:b w:val="0"/>
          <w:sz w:val="24"/>
          <w:szCs w:val="24"/>
        </w:rPr>
        <w:t>The CWP gives expression to the NDP’s goal of broadening work opportunities through community</w:t>
      </w:r>
      <w:r w:rsidR="00AB4219" w:rsidRPr="00A325A0">
        <w:rPr>
          <w:rFonts w:ascii="Times New Roman" w:hAnsi="Times New Roman"/>
          <w:b w:val="0"/>
          <w:sz w:val="24"/>
          <w:szCs w:val="24"/>
        </w:rPr>
        <w:t>-</w:t>
      </w:r>
      <w:r w:rsidRPr="00A325A0">
        <w:rPr>
          <w:rFonts w:ascii="Times New Roman" w:hAnsi="Times New Roman"/>
          <w:b w:val="0"/>
          <w:sz w:val="24"/>
          <w:szCs w:val="24"/>
        </w:rPr>
        <w:t>based employment schemes. In this regard, it seek</w:t>
      </w:r>
      <w:r w:rsidR="00AB4219" w:rsidRPr="00A325A0">
        <w:rPr>
          <w:rFonts w:ascii="Times New Roman" w:hAnsi="Times New Roman"/>
          <w:b w:val="0"/>
          <w:sz w:val="24"/>
          <w:szCs w:val="24"/>
        </w:rPr>
        <w:t>s</w:t>
      </w:r>
      <w:r w:rsidRPr="00A325A0">
        <w:rPr>
          <w:rFonts w:ascii="Times New Roman" w:hAnsi="Times New Roman"/>
          <w:b w:val="0"/>
          <w:sz w:val="24"/>
          <w:szCs w:val="24"/>
        </w:rPr>
        <w:t xml:space="preserve"> to create ‘income security and work experience for participants and promote social and economic inclusion by target</w:t>
      </w:r>
      <w:r w:rsidR="00B307AF" w:rsidRPr="00A325A0">
        <w:rPr>
          <w:rFonts w:ascii="Times New Roman" w:hAnsi="Times New Roman"/>
          <w:b w:val="0"/>
          <w:sz w:val="24"/>
          <w:szCs w:val="24"/>
        </w:rPr>
        <w:t>ing areas of high unemployment.</w:t>
      </w:r>
      <w:r w:rsidRPr="00A325A0">
        <w:rPr>
          <w:rFonts w:ascii="Times New Roman" w:hAnsi="Times New Roman"/>
          <w:b w:val="0"/>
          <w:sz w:val="24"/>
          <w:szCs w:val="24"/>
        </w:rPr>
        <w:t xml:space="preserve"> This was previously a sub-programme under Programme 6. There are only three sub-programmes, two of which are introduced for the first time in 2016/17, namely</w:t>
      </w:r>
      <w:r w:rsidR="00AB4219" w:rsidRPr="00A325A0">
        <w:rPr>
          <w:rFonts w:ascii="Times New Roman" w:hAnsi="Times New Roman"/>
          <w:b w:val="0"/>
          <w:sz w:val="24"/>
          <w:szCs w:val="24"/>
        </w:rPr>
        <w:t>,</w:t>
      </w:r>
      <w:r w:rsidRPr="00A325A0">
        <w:rPr>
          <w:rFonts w:ascii="Times New Roman" w:hAnsi="Times New Roman"/>
          <w:b w:val="0"/>
          <w:sz w:val="24"/>
          <w:szCs w:val="24"/>
        </w:rPr>
        <w:t xml:space="preserve"> </w:t>
      </w:r>
      <w:r w:rsidR="00AB4219" w:rsidRPr="00A325A0">
        <w:rPr>
          <w:rFonts w:ascii="Times New Roman" w:hAnsi="Times New Roman"/>
          <w:b w:val="0"/>
          <w:sz w:val="24"/>
          <w:szCs w:val="24"/>
        </w:rPr>
        <w:t xml:space="preserve">the </w:t>
      </w:r>
      <w:r w:rsidRPr="00A325A0">
        <w:rPr>
          <w:rFonts w:ascii="Times New Roman" w:hAnsi="Times New Roman"/>
          <w:b w:val="0"/>
          <w:sz w:val="24"/>
          <w:szCs w:val="24"/>
        </w:rPr>
        <w:t>sub-programmes 2 (</w:t>
      </w:r>
      <w:r w:rsidRPr="00A325A0">
        <w:rPr>
          <w:rFonts w:ascii="Times New Roman" w:hAnsi="Times New Roman"/>
          <w:b w:val="0"/>
          <w:i/>
          <w:sz w:val="24"/>
          <w:szCs w:val="24"/>
        </w:rPr>
        <w:t>Programme Coordination</w:t>
      </w:r>
      <w:r w:rsidRPr="00A325A0">
        <w:rPr>
          <w:rFonts w:ascii="Times New Roman" w:hAnsi="Times New Roman"/>
          <w:b w:val="0"/>
          <w:sz w:val="24"/>
          <w:szCs w:val="24"/>
        </w:rPr>
        <w:t>) and 3 (</w:t>
      </w:r>
      <w:r w:rsidRPr="00A325A0">
        <w:rPr>
          <w:rFonts w:ascii="Times New Roman" w:hAnsi="Times New Roman"/>
          <w:b w:val="0"/>
          <w:i/>
          <w:sz w:val="24"/>
          <w:szCs w:val="24"/>
        </w:rPr>
        <w:t>Partnerships, Norms, Standards and Innovation</w:t>
      </w:r>
      <w:r w:rsidRPr="00A325A0">
        <w:rPr>
          <w:rFonts w:ascii="Times New Roman" w:hAnsi="Times New Roman"/>
          <w:b w:val="0"/>
          <w:sz w:val="24"/>
          <w:szCs w:val="24"/>
        </w:rPr>
        <w:t xml:space="preserve">). While the Programme was envisaged to be subject to R586 million in </w:t>
      </w:r>
      <w:proofErr w:type="gramStart"/>
      <w:r w:rsidRPr="00A325A0">
        <w:rPr>
          <w:rFonts w:ascii="Times New Roman" w:hAnsi="Times New Roman"/>
          <w:b w:val="0"/>
          <w:sz w:val="24"/>
          <w:szCs w:val="24"/>
        </w:rPr>
        <w:t>Cabinet</w:t>
      </w:r>
      <w:proofErr w:type="gramEnd"/>
      <w:r w:rsidRPr="00A325A0">
        <w:rPr>
          <w:rFonts w:ascii="Times New Roman" w:hAnsi="Times New Roman"/>
          <w:b w:val="0"/>
          <w:sz w:val="24"/>
          <w:szCs w:val="24"/>
        </w:rPr>
        <w:t xml:space="preserve"> approved reductions over the medium term, it shows an actual increase of 26 percent or R617.7 million in 2016/17, as illustrated in Table 7 below.</w:t>
      </w: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Caption"/>
        <w:keepNext/>
        <w:spacing w:line="360" w:lineRule="auto"/>
        <w:rPr>
          <w:rFonts w:ascii="Times New Roman" w:hAnsi="Times New Roman"/>
          <w:sz w:val="24"/>
          <w:szCs w:val="24"/>
        </w:rPr>
      </w:pPr>
      <w:r w:rsidRPr="00A325A0">
        <w:rPr>
          <w:rFonts w:ascii="Times New Roman" w:hAnsi="Times New Roman"/>
          <w:sz w:val="24"/>
          <w:szCs w:val="24"/>
        </w:rPr>
        <w:t xml:space="preserve">Table </w:t>
      </w:r>
      <w:r w:rsidRPr="00A325A0">
        <w:rPr>
          <w:rFonts w:ascii="Times New Roman" w:hAnsi="Times New Roman"/>
          <w:sz w:val="24"/>
          <w:szCs w:val="24"/>
        </w:rPr>
        <w:fldChar w:fldCharType="begin"/>
      </w:r>
      <w:r w:rsidRPr="00A325A0">
        <w:rPr>
          <w:rFonts w:ascii="Times New Roman" w:hAnsi="Times New Roman"/>
          <w:sz w:val="24"/>
          <w:szCs w:val="24"/>
        </w:rPr>
        <w:instrText xml:space="preserve"> SEQ Table \* ARABIC </w:instrText>
      </w:r>
      <w:r w:rsidRPr="00A325A0">
        <w:rPr>
          <w:rFonts w:ascii="Times New Roman" w:hAnsi="Times New Roman"/>
          <w:sz w:val="24"/>
          <w:szCs w:val="24"/>
        </w:rPr>
        <w:fldChar w:fldCharType="separate"/>
      </w:r>
      <w:r w:rsidR="000C1A45" w:rsidRPr="00A325A0">
        <w:rPr>
          <w:rFonts w:ascii="Times New Roman" w:hAnsi="Times New Roman"/>
          <w:noProof/>
          <w:sz w:val="24"/>
          <w:szCs w:val="24"/>
        </w:rPr>
        <w:t>7</w:t>
      </w:r>
      <w:r w:rsidRPr="00A325A0">
        <w:rPr>
          <w:rFonts w:ascii="Times New Roman" w:hAnsi="Times New Roman"/>
          <w:sz w:val="24"/>
          <w:szCs w:val="24"/>
        </w:rPr>
        <w:fldChar w:fldCharType="end"/>
      </w:r>
      <w:r w:rsidRPr="00A325A0">
        <w:rPr>
          <w:rFonts w:ascii="Times New Roman" w:hAnsi="Times New Roman"/>
          <w:sz w:val="24"/>
          <w:szCs w:val="24"/>
        </w:rPr>
        <w:t>: Community Work Programme</w:t>
      </w:r>
    </w:p>
    <w:tbl>
      <w:tblPr>
        <w:tblStyle w:val="TableGrid"/>
        <w:tblW w:w="5000" w:type="pct"/>
        <w:tblLook w:val="04A0" w:firstRow="1" w:lastRow="0" w:firstColumn="1" w:lastColumn="0" w:noHBand="0" w:noVBand="1"/>
      </w:tblPr>
      <w:tblGrid>
        <w:gridCol w:w="1905"/>
        <w:gridCol w:w="1003"/>
        <w:gridCol w:w="1003"/>
        <w:gridCol w:w="1097"/>
        <w:gridCol w:w="936"/>
        <w:gridCol w:w="1649"/>
        <w:gridCol w:w="1649"/>
      </w:tblGrid>
      <w:tr w:rsidR="002A7635" w:rsidRPr="00A325A0" w:rsidTr="00643668">
        <w:trPr>
          <w:trHeight w:val="780"/>
        </w:trPr>
        <w:tc>
          <w:tcPr>
            <w:tcW w:w="1375" w:type="pct"/>
            <w:noWrap/>
            <w:hideMark/>
          </w:tcPr>
          <w:p w:rsidR="002A7635" w:rsidRPr="00A325A0" w:rsidRDefault="002A7635" w:rsidP="00A325A0">
            <w:pPr>
              <w:spacing w:line="360" w:lineRule="auto"/>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Programme</w:t>
            </w:r>
          </w:p>
        </w:tc>
        <w:tc>
          <w:tcPr>
            <w:tcW w:w="882" w:type="pct"/>
            <w:gridSpan w:val="2"/>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Budget</w:t>
            </w:r>
          </w:p>
        </w:tc>
        <w:tc>
          <w:tcPr>
            <w:tcW w:w="662"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Nominal Rand change</w:t>
            </w:r>
          </w:p>
        </w:tc>
        <w:tc>
          <w:tcPr>
            <w:tcW w:w="582"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Real Rand change</w:t>
            </w:r>
          </w:p>
        </w:tc>
        <w:tc>
          <w:tcPr>
            <w:tcW w:w="777"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Nominal % change</w:t>
            </w:r>
          </w:p>
        </w:tc>
        <w:tc>
          <w:tcPr>
            <w:tcW w:w="722" w:type="pct"/>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Real % change</w:t>
            </w:r>
          </w:p>
        </w:tc>
      </w:tr>
      <w:tr w:rsidR="002A7635" w:rsidRPr="00A325A0" w:rsidTr="00643668">
        <w:trPr>
          <w:trHeight w:val="255"/>
        </w:trPr>
        <w:tc>
          <w:tcPr>
            <w:tcW w:w="1375" w:type="pct"/>
            <w:noWrap/>
            <w:hideMark/>
          </w:tcPr>
          <w:p w:rsidR="002A7635" w:rsidRPr="00A325A0" w:rsidRDefault="002A7635" w:rsidP="00A325A0">
            <w:pPr>
              <w:spacing w:line="360" w:lineRule="auto"/>
              <w:jc w:val="center"/>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R million</w:t>
            </w:r>
          </w:p>
        </w:tc>
        <w:tc>
          <w:tcPr>
            <w:tcW w:w="441" w:type="pct"/>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2015/16</w:t>
            </w:r>
          </w:p>
        </w:tc>
        <w:tc>
          <w:tcPr>
            <w:tcW w:w="441" w:type="pct"/>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2016/17</w:t>
            </w:r>
          </w:p>
        </w:tc>
        <w:tc>
          <w:tcPr>
            <w:tcW w:w="1244" w:type="pct"/>
            <w:gridSpan w:val="2"/>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2015/16-2016/17</w:t>
            </w:r>
          </w:p>
        </w:tc>
        <w:tc>
          <w:tcPr>
            <w:tcW w:w="1499" w:type="pct"/>
            <w:gridSpan w:val="2"/>
            <w:noWrap/>
            <w:hideMark/>
          </w:tcPr>
          <w:p w:rsidR="002A7635" w:rsidRPr="00A325A0" w:rsidRDefault="002A7635" w:rsidP="00A325A0">
            <w:pPr>
              <w:spacing w:line="360" w:lineRule="auto"/>
              <w:jc w:val="center"/>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2015/16-2016/17</w:t>
            </w:r>
          </w:p>
        </w:tc>
      </w:tr>
      <w:tr w:rsidR="002A7635" w:rsidRPr="00A325A0" w:rsidTr="00643668">
        <w:trPr>
          <w:trHeight w:val="675"/>
        </w:trPr>
        <w:tc>
          <w:tcPr>
            <w:tcW w:w="1375"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1: Management: Community Work Programme</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2 375.9</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3 140.8</w:t>
            </w:r>
          </w:p>
        </w:tc>
        <w:tc>
          <w:tcPr>
            <w:tcW w:w="66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764.9</w:t>
            </w:r>
          </w:p>
        </w:tc>
        <w:tc>
          <w:tcPr>
            <w:tcW w:w="58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570.4</w:t>
            </w:r>
          </w:p>
        </w:tc>
        <w:tc>
          <w:tcPr>
            <w:tcW w:w="777"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32.19 per cent</w:t>
            </w:r>
          </w:p>
        </w:tc>
        <w:tc>
          <w:tcPr>
            <w:tcW w:w="72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24.01 per cent</w:t>
            </w:r>
          </w:p>
        </w:tc>
      </w:tr>
      <w:tr w:rsidR="002A7635" w:rsidRPr="00A325A0" w:rsidTr="00643668">
        <w:trPr>
          <w:trHeight w:val="450"/>
        </w:trPr>
        <w:tc>
          <w:tcPr>
            <w:tcW w:w="1375"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2: Programme Coordination</w:t>
            </w:r>
          </w:p>
        </w:tc>
        <w:tc>
          <w:tcPr>
            <w:tcW w:w="44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38.5</w:t>
            </w:r>
          </w:p>
        </w:tc>
        <w:tc>
          <w:tcPr>
            <w:tcW w:w="66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w:t>
            </w:r>
          </w:p>
        </w:tc>
        <w:tc>
          <w:tcPr>
            <w:tcW w:w="58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w:t>
            </w:r>
          </w:p>
        </w:tc>
        <w:tc>
          <w:tcPr>
            <w:tcW w:w="777"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w:t>
            </w:r>
          </w:p>
        </w:tc>
        <w:tc>
          <w:tcPr>
            <w:tcW w:w="722"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w:t>
            </w:r>
          </w:p>
        </w:tc>
      </w:tr>
      <w:tr w:rsidR="002A7635" w:rsidRPr="00A325A0" w:rsidTr="00643668">
        <w:trPr>
          <w:trHeight w:val="675"/>
        </w:trPr>
        <w:tc>
          <w:tcPr>
            <w:tcW w:w="1375" w:type="pct"/>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Sub-programme 3: Partnerships, Norms, Standards, and Innovations</w:t>
            </w:r>
          </w:p>
        </w:tc>
        <w:tc>
          <w:tcPr>
            <w:tcW w:w="44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11.9</w:t>
            </w:r>
          </w:p>
        </w:tc>
        <w:tc>
          <w:tcPr>
            <w:tcW w:w="66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w:t>
            </w:r>
          </w:p>
        </w:tc>
        <w:tc>
          <w:tcPr>
            <w:tcW w:w="582" w:type="pct"/>
            <w:noWrap/>
            <w:hideMark/>
          </w:tcPr>
          <w:p w:rsidR="002A7635" w:rsidRPr="00A325A0" w:rsidRDefault="002A7635" w:rsidP="00A325A0">
            <w:pPr>
              <w:spacing w:line="360" w:lineRule="auto"/>
              <w:jc w:val="right"/>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 xml:space="preserve">  -</w:t>
            </w:r>
          </w:p>
        </w:tc>
        <w:tc>
          <w:tcPr>
            <w:tcW w:w="777"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w:t>
            </w:r>
          </w:p>
        </w:tc>
        <w:tc>
          <w:tcPr>
            <w:tcW w:w="722"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r w:rsidRPr="00A325A0">
              <w:rPr>
                <w:rFonts w:ascii="Times New Roman" w:eastAsia="Times New Roman" w:hAnsi="Times New Roman" w:cs="Times New Roman"/>
                <w:sz w:val="24"/>
                <w:szCs w:val="24"/>
                <w:lang w:eastAsia="en-ZA"/>
              </w:rPr>
              <w:t>-</w:t>
            </w:r>
          </w:p>
        </w:tc>
      </w:tr>
      <w:tr w:rsidR="002A7635" w:rsidRPr="00A325A0" w:rsidTr="00643668">
        <w:trPr>
          <w:trHeight w:val="255"/>
        </w:trPr>
        <w:tc>
          <w:tcPr>
            <w:tcW w:w="1375" w:type="pct"/>
            <w:noWrap/>
            <w:hideMark/>
          </w:tcPr>
          <w:p w:rsidR="002A7635" w:rsidRPr="00A325A0" w:rsidRDefault="002A7635" w:rsidP="00A325A0">
            <w:pPr>
              <w:spacing w:line="360" w:lineRule="auto"/>
              <w:jc w:val="center"/>
              <w:rPr>
                <w:rFonts w:ascii="Times New Roman" w:eastAsia="Times New Roman" w:hAnsi="Times New Roman" w:cs="Times New Roman"/>
                <w:sz w:val="24"/>
                <w:szCs w:val="24"/>
                <w:lang w:eastAsia="en-ZA"/>
              </w:rPr>
            </w:pPr>
          </w:p>
        </w:tc>
        <w:tc>
          <w:tcPr>
            <w:tcW w:w="44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441"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662"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582"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777"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c>
          <w:tcPr>
            <w:tcW w:w="722" w:type="pct"/>
            <w:noWrap/>
            <w:hideMark/>
          </w:tcPr>
          <w:p w:rsidR="002A7635" w:rsidRPr="00A325A0" w:rsidRDefault="002A7635" w:rsidP="00A325A0">
            <w:pPr>
              <w:spacing w:line="360" w:lineRule="auto"/>
              <w:rPr>
                <w:rFonts w:ascii="Times New Roman" w:eastAsia="Times New Roman" w:hAnsi="Times New Roman" w:cs="Times New Roman"/>
                <w:sz w:val="24"/>
                <w:szCs w:val="24"/>
                <w:lang w:eastAsia="en-ZA"/>
              </w:rPr>
            </w:pPr>
          </w:p>
        </w:tc>
      </w:tr>
      <w:tr w:rsidR="002A7635" w:rsidRPr="00A325A0" w:rsidTr="00643668">
        <w:trPr>
          <w:trHeight w:val="270"/>
        </w:trPr>
        <w:tc>
          <w:tcPr>
            <w:tcW w:w="1375" w:type="pct"/>
            <w:noWrap/>
            <w:hideMark/>
          </w:tcPr>
          <w:p w:rsidR="002A7635" w:rsidRPr="00A325A0" w:rsidRDefault="002A7635" w:rsidP="00A325A0">
            <w:pPr>
              <w:spacing w:line="360" w:lineRule="auto"/>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TOTAL</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2 375.9</w:t>
            </w:r>
          </w:p>
        </w:tc>
        <w:tc>
          <w:tcPr>
            <w:tcW w:w="441"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3 191.2</w:t>
            </w:r>
          </w:p>
        </w:tc>
        <w:tc>
          <w:tcPr>
            <w:tcW w:w="662"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815.3</w:t>
            </w:r>
          </w:p>
        </w:tc>
        <w:tc>
          <w:tcPr>
            <w:tcW w:w="582"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 xml:space="preserve">  617.7</w:t>
            </w:r>
          </w:p>
        </w:tc>
        <w:tc>
          <w:tcPr>
            <w:tcW w:w="777"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34.32 per cent</w:t>
            </w:r>
          </w:p>
        </w:tc>
        <w:tc>
          <w:tcPr>
            <w:tcW w:w="722" w:type="pct"/>
            <w:noWrap/>
            <w:hideMark/>
          </w:tcPr>
          <w:p w:rsidR="002A7635" w:rsidRPr="00A325A0" w:rsidRDefault="002A7635" w:rsidP="00A325A0">
            <w:pPr>
              <w:spacing w:line="360" w:lineRule="auto"/>
              <w:jc w:val="right"/>
              <w:rPr>
                <w:rFonts w:ascii="Times New Roman" w:eastAsia="Times New Roman" w:hAnsi="Times New Roman" w:cs="Times New Roman"/>
                <w:b/>
                <w:bCs/>
                <w:sz w:val="24"/>
                <w:szCs w:val="24"/>
                <w:lang w:eastAsia="en-ZA"/>
              </w:rPr>
            </w:pPr>
            <w:r w:rsidRPr="00A325A0">
              <w:rPr>
                <w:rFonts w:ascii="Times New Roman" w:eastAsia="Times New Roman" w:hAnsi="Times New Roman" w:cs="Times New Roman"/>
                <w:b/>
                <w:bCs/>
                <w:sz w:val="24"/>
                <w:szCs w:val="24"/>
                <w:lang w:eastAsia="en-ZA"/>
              </w:rPr>
              <w:t>26.00 per cent</w:t>
            </w:r>
          </w:p>
        </w:tc>
      </w:tr>
    </w:tbl>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r w:rsidRPr="00A325A0">
        <w:rPr>
          <w:rFonts w:ascii="Times New Roman" w:hAnsi="Times New Roman"/>
          <w:b w:val="0"/>
          <w:sz w:val="24"/>
          <w:szCs w:val="24"/>
        </w:rPr>
        <w:t>The 26 percent increase mainly relates to sub-programme 1, as shown in graph below.</w:t>
      </w: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r w:rsidRPr="00A325A0">
        <w:rPr>
          <w:rFonts w:ascii="Times New Roman" w:hAnsi="Times New Roman"/>
          <w:noProof/>
          <w:sz w:val="24"/>
          <w:szCs w:val="24"/>
          <w:lang w:val="en-ZA" w:eastAsia="en-ZA"/>
        </w:rPr>
        <w:drawing>
          <wp:anchor distT="0" distB="0" distL="114300" distR="114300" simplePos="0" relativeHeight="251668480" behindDoc="1" locked="0" layoutInCell="1" allowOverlap="1" wp14:anchorId="6ABEFEE3" wp14:editId="3C45359D">
            <wp:simplePos x="0" y="0"/>
            <wp:positionH relativeFrom="column">
              <wp:posOffset>-474</wp:posOffset>
            </wp:positionH>
            <wp:positionV relativeFrom="paragraph">
              <wp:posOffset>39939</wp:posOffset>
            </wp:positionV>
            <wp:extent cx="5964072" cy="2086108"/>
            <wp:effectExtent l="0" t="0" r="17780" b="9525"/>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spacing w:line="360" w:lineRule="auto"/>
        <w:jc w:val="both"/>
        <w:rPr>
          <w:rFonts w:ascii="Times New Roman" w:hAnsi="Times New Roman"/>
          <w:b w:val="0"/>
          <w:sz w:val="24"/>
          <w:szCs w:val="24"/>
        </w:rPr>
      </w:pPr>
    </w:p>
    <w:p w:rsidR="002A7635" w:rsidRPr="00A325A0" w:rsidRDefault="002A7635" w:rsidP="00A325A0">
      <w:pPr>
        <w:pStyle w:val="Normalbold"/>
        <w:tabs>
          <w:tab w:val="right" w:pos="9026"/>
        </w:tabs>
        <w:spacing w:line="360" w:lineRule="auto"/>
        <w:jc w:val="both"/>
        <w:rPr>
          <w:rFonts w:ascii="Times New Roman" w:hAnsi="Times New Roman"/>
          <w:b w:val="0"/>
          <w:sz w:val="24"/>
          <w:szCs w:val="24"/>
        </w:rPr>
      </w:pPr>
      <w:r w:rsidRPr="00A325A0">
        <w:rPr>
          <w:rFonts w:ascii="Times New Roman" w:hAnsi="Times New Roman"/>
          <w:b w:val="0"/>
          <w:sz w:val="24"/>
          <w:szCs w:val="24"/>
        </w:rPr>
        <w:tab/>
      </w:r>
    </w:p>
    <w:p w:rsidR="002A7635" w:rsidRPr="00A325A0" w:rsidRDefault="002A7635" w:rsidP="00A325A0">
      <w:pPr>
        <w:pStyle w:val="ListParagraph"/>
        <w:tabs>
          <w:tab w:val="left" w:pos="1096"/>
        </w:tabs>
        <w:spacing w:line="360" w:lineRule="auto"/>
        <w:rPr>
          <w:rFonts w:ascii="Times New Roman" w:hAnsi="Times New Roman" w:cs="Times New Roman"/>
          <w:sz w:val="24"/>
          <w:szCs w:val="24"/>
        </w:rPr>
      </w:pPr>
    </w:p>
    <w:p w:rsidR="007652C6" w:rsidRPr="00A325A0" w:rsidRDefault="007652C6" w:rsidP="00A325A0">
      <w:pPr>
        <w:tabs>
          <w:tab w:val="left" w:pos="1096"/>
        </w:tabs>
        <w:spacing w:line="360" w:lineRule="auto"/>
        <w:rPr>
          <w:rFonts w:ascii="Times New Roman" w:hAnsi="Times New Roman" w:cs="Times New Roman"/>
          <w:sz w:val="24"/>
          <w:szCs w:val="24"/>
        </w:rPr>
      </w:pPr>
    </w:p>
    <w:p w:rsidR="00545EF4" w:rsidRPr="00A325A0" w:rsidRDefault="00545EF4" w:rsidP="00A325A0">
      <w:pPr>
        <w:tabs>
          <w:tab w:val="left" w:pos="1096"/>
        </w:tabs>
        <w:spacing w:line="360" w:lineRule="auto"/>
        <w:rPr>
          <w:rFonts w:ascii="Times New Roman" w:hAnsi="Times New Roman" w:cs="Times New Roman"/>
          <w:sz w:val="24"/>
          <w:szCs w:val="24"/>
        </w:rPr>
      </w:pPr>
    </w:p>
    <w:p w:rsidR="007652C6" w:rsidRPr="00A325A0" w:rsidRDefault="00545EF4" w:rsidP="00A325A0">
      <w:pPr>
        <w:pStyle w:val="ListParagraph"/>
        <w:numPr>
          <w:ilvl w:val="0"/>
          <w:numId w:val="4"/>
        </w:numPr>
        <w:tabs>
          <w:tab w:val="left" w:pos="1096"/>
        </w:tabs>
        <w:spacing w:line="360" w:lineRule="auto"/>
        <w:rPr>
          <w:rFonts w:ascii="Times New Roman" w:hAnsi="Times New Roman" w:cs="Times New Roman"/>
          <w:b/>
          <w:sz w:val="24"/>
          <w:szCs w:val="24"/>
        </w:rPr>
      </w:pPr>
      <w:r w:rsidRPr="00A325A0">
        <w:rPr>
          <w:rFonts w:ascii="Times New Roman" w:hAnsi="Times New Roman" w:cs="Times New Roman"/>
          <w:b/>
          <w:sz w:val="24"/>
          <w:szCs w:val="24"/>
        </w:rPr>
        <w:t>IMPLEMENTATION OF 2015/16 RECOMMENDATIONS</w:t>
      </w:r>
    </w:p>
    <w:p w:rsidR="007652C6" w:rsidRPr="00A325A0" w:rsidRDefault="007652C6" w:rsidP="00A325A0">
      <w:pPr>
        <w:tabs>
          <w:tab w:val="left" w:pos="1096"/>
        </w:tabs>
        <w:spacing w:line="360" w:lineRule="auto"/>
        <w:rPr>
          <w:rFonts w:ascii="Times New Roman" w:hAnsi="Times New Roman" w:cs="Times New Roman"/>
          <w:sz w:val="24"/>
          <w:szCs w:val="24"/>
        </w:rPr>
      </w:pPr>
    </w:p>
    <w:p w:rsidR="00545EF4" w:rsidRPr="00A325A0" w:rsidRDefault="00545EF4" w:rsidP="00A325A0">
      <w:pPr>
        <w:tabs>
          <w:tab w:val="left" w:pos="1096"/>
        </w:tabs>
        <w:spacing w:line="360" w:lineRule="auto"/>
        <w:rPr>
          <w:rFonts w:ascii="Times New Roman" w:hAnsi="Times New Roman" w:cs="Times New Roman"/>
          <w:sz w:val="24"/>
          <w:szCs w:val="24"/>
        </w:rPr>
      </w:pPr>
      <w:r w:rsidRPr="00A325A0">
        <w:rPr>
          <w:rFonts w:ascii="Times New Roman" w:hAnsi="Times New Roman" w:cs="Times New Roman"/>
          <w:sz w:val="24"/>
          <w:szCs w:val="24"/>
        </w:rPr>
        <w:t xml:space="preserve">The following is progress report regarding the implementation of 2015/16 recommendations by the Department of </w:t>
      </w:r>
      <w:proofErr w:type="spellStart"/>
      <w:r w:rsidRPr="00A325A0">
        <w:rPr>
          <w:rFonts w:ascii="Times New Roman" w:hAnsi="Times New Roman" w:cs="Times New Roman"/>
          <w:sz w:val="24"/>
          <w:szCs w:val="24"/>
        </w:rPr>
        <w:t>CoGTA</w:t>
      </w:r>
      <w:proofErr w:type="spellEnd"/>
      <w:r w:rsidRPr="00A325A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508"/>
        <w:gridCol w:w="4508"/>
      </w:tblGrid>
      <w:tr w:rsidR="00545EF4" w:rsidRPr="00A325A0" w:rsidTr="00545EF4">
        <w:tc>
          <w:tcPr>
            <w:tcW w:w="4508" w:type="dxa"/>
          </w:tcPr>
          <w:p w:rsidR="00545EF4" w:rsidRPr="00A325A0" w:rsidRDefault="00545EF4" w:rsidP="00A325A0">
            <w:pPr>
              <w:tabs>
                <w:tab w:val="left" w:pos="1096"/>
              </w:tabs>
              <w:spacing w:line="360" w:lineRule="auto"/>
              <w:rPr>
                <w:rFonts w:ascii="Times New Roman" w:hAnsi="Times New Roman" w:cs="Times New Roman"/>
                <w:b/>
                <w:sz w:val="24"/>
                <w:szCs w:val="24"/>
              </w:rPr>
            </w:pPr>
            <w:r w:rsidRPr="00A325A0">
              <w:rPr>
                <w:rFonts w:ascii="Times New Roman" w:hAnsi="Times New Roman" w:cs="Times New Roman"/>
                <w:b/>
                <w:sz w:val="24"/>
                <w:szCs w:val="24"/>
              </w:rPr>
              <w:t>2015/16 Recommendations</w:t>
            </w:r>
          </w:p>
        </w:tc>
        <w:tc>
          <w:tcPr>
            <w:tcW w:w="4508" w:type="dxa"/>
          </w:tcPr>
          <w:p w:rsidR="00545EF4" w:rsidRPr="00A325A0" w:rsidRDefault="00545EF4" w:rsidP="00A325A0">
            <w:pPr>
              <w:tabs>
                <w:tab w:val="left" w:pos="1096"/>
              </w:tabs>
              <w:spacing w:line="360" w:lineRule="auto"/>
              <w:rPr>
                <w:rFonts w:ascii="Times New Roman" w:hAnsi="Times New Roman" w:cs="Times New Roman"/>
                <w:b/>
                <w:sz w:val="24"/>
                <w:szCs w:val="24"/>
              </w:rPr>
            </w:pPr>
            <w:r w:rsidRPr="00A325A0">
              <w:rPr>
                <w:rFonts w:ascii="Times New Roman" w:hAnsi="Times New Roman" w:cs="Times New Roman"/>
                <w:b/>
                <w:sz w:val="24"/>
                <w:szCs w:val="24"/>
              </w:rPr>
              <w:t>Progress</w:t>
            </w:r>
          </w:p>
        </w:tc>
      </w:tr>
      <w:tr w:rsidR="00545EF4" w:rsidRPr="00A325A0" w:rsidTr="00545EF4">
        <w:tc>
          <w:tcPr>
            <w:tcW w:w="4508" w:type="dxa"/>
          </w:tcPr>
          <w:p w:rsidR="00545EF4" w:rsidRPr="00A325A0" w:rsidRDefault="00545EF4" w:rsidP="00A325A0">
            <w:pPr>
              <w:tabs>
                <w:tab w:val="left" w:pos="1096"/>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Department should report to the Committee on a regular basis on the monitoring of the implementation of Back to Basics programme by municipalities. It should especially put emphasis on ensuring better municipal financial management including expenditure management and supply chain management.</w:t>
            </w:r>
          </w:p>
        </w:tc>
        <w:tc>
          <w:tcPr>
            <w:tcW w:w="4508" w:type="dxa"/>
          </w:tcPr>
          <w:p w:rsidR="00545EF4" w:rsidRPr="00A325A0" w:rsidRDefault="00545EF4" w:rsidP="00A325A0">
            <w:pPr>
              <w:tabs>
                <w:tab w:val="left" w:pos="1096"/>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Regular reports were provided to the Committee on the implementation of the programme including briefing the Committee on the second phase of Back to Basics programme.</w:t>
            </w:r>
          </w:p>
        </w:tc>
      </w:tr>
      <w:tr w:rsidR="00545EF4" w:rsidRPr="00A325A0" w:rsidTr="00545EF4">
        <w:tc>
          <w:tcPr>
            <w:tcW w:w="4508" w:type="dxa"/>
          </w:tcPr>
          <w:p w:rsidR="00545EF4" w:rsidRPr="00A325A0" w:rsidRDefault="00545EF4" w:rsidP="00A325A0">
            <w:pPr>
              <w:tabs>
                <w:tab w:val="left" w:pos="1096"/>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The department should coordinate capacity building initiatives in Local government through the newly established Local Government Skills Development Institute with SALGA, Local Government SETA and various tertiary institutions.</w:t>
            </w:r>
          </w:p>
        </w:tc>
        <w:tc>
          <w:tcPr>
            <w:tcW w:w="4508" w:type="dxa"/>
          </w:tcPr>
          <w:p w:rsidR="00545EF4" w:rsidRPr="00A325A0" w:rsidRDefault="00A85A16" w:rsidP="00A325A0">
            <w:pPr>
              <w:tabs>
                <w:tab w:val="left" w:pos="1096"/>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The Department, Local Government SETA and SALGA are coordinating capacity building in the sector.</w:t>
            </w:r>
          </w:p>
        </w:tc>
      </w:tr>
      <w:tr w:rsidR="00545EF4" w:rsidRPr="00A325A0" w:rsidTr="00545EF4">
        <w:tc>
          <w:tcPr>
            <w:tcW w:w="4508" w:type="dxa"/>
          </w:tcPr>
          <w:p w:rsidR="00545EF4" w:rsidRPr="00A325A0" w:rsidRDefault="00A85A16" w:rsidP="00A325A0">
            <w:pPr>
              <w:tabs>
                <w:tab w:val="left" w:pos="1096"/>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 xml:space="preserve">There should be closer cooperation between the Department and Departments of Human Settlements, Small Business, Water and Sanitation, Environmental Affairs, Economic Development and Mineral Resources on the revitalization of mining towns </w:t>
            </w:r>
          </w:p>
        </w:tc>
        <w:tc>
          <w:tcPr>
            <w:tcW w:w="4508" w:type="dxa"/>
          </w:tcPr>
          <w:p w:rsidR="00545EF4" w:rsidRPr="00A325A0" w:rsidRDefault="00A85A16" w:rsidP="00A325A0">
            <w:pPr>
              <w:tabs>
                <w:tab w:val="left" w:pos="1096"/>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 xml:space="preserve">An Inter- Ministerial Task Team on service delivery has been established to coordinate the </w:t>
            </w:r>
            <w:r w:rsidR="00EC21DA" w:rsidRPr="00A325A0">
              <w:rPr>
                <w:rFonts w:ascii="Times New Roman" w:hAnsi="Times New Roman" w:cs="Times New Roman"/>
                <w:sz w:val="24"/>
                <w:szCs w:val="24"/>
              </w:rPr>
              <w:t>revitalization of mining towns.</w:t>
            </w:r>
          </w:p>
        </w:tc>
      </w:tr>
      <w:tr w:rsidR="00545EF4" w:rsidRPr="00A325A0" w:rsidTr="00545EF4">
        <w:tc>
          <w:tcPr>
            <w:tcW w:w="4508" w:type="dxa"/>
          </w:tcPr>
          <w:p w:rsidR="00545EF4" w:rsidRPr="00A325A0" w:rsidRDefault="00A85A16" w:rsidP="00A325A0">
            <w:pPr>
              <w:tabs>
                <w:tab w:val="left" w:pos="1096"/>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lastRenderedPageBreak/>
              <w:t>There should be joint initiatives between</w:t>
            </w:r>
            <w:r w:rsidR="00EC21DA" w:rsidRPr="00A325A0">
              <w:rPr>
                <w:rFonts w:ascii="Times New Roman" w:hAnsi="Times New Roman" w:cs="Times New Roman"/>
                <w:sz w:val="24"/>
                <w:szCs w:val="24"/>
              </w:rPr>
              <w:t xml:space="preserve"> various sector departments on the delivery of basic services</w:t>
            </w:r>
          </w:p>
        </w:tc>
        <w:tc>
          <w:tcPr>
            <w:tcW w:w="4508" w:type="dxa"/>
          </w:tcPr>
          <w:p w:rsidR="00545EF4" w:rsidRPr="00A325A0" w:rsidRDefault="00EC21DA" w:rsidP="00A325A0">
            <w:pPr>
              <w:tabs>
                <w:tab w:val="left" w:pos="1096"/>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An Inter- Ministerial Task Team on service delivery has been established to coordinate the delivery of basic services.</w:t>
            </w:r>
          </w:p>
        </w:tc>
      </w:tr>
      <w:tr w:rsidR="00545EF4" w:rsidRPr="00A325A0" w:rsidTr="00545EF4">
        <w:tc>
          <w:tcPr>
            <w:tcW w:w="4508" w:type="dxa"/>
          </w:tcPr>
          <w:p w:rsidR="00545EF4" w:rsidRPr="00A325A0" w:rsidRDefault="00EC21DA" w:rsidP="00A325A0">
            <w:pPr>
              <w:tabs>
                <w:tab w:val="left" w:pos="1096"/>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The department should assist struggling municipalities to address challenges of outstanding consumer debt as well as debt owed to municipalities by government departments.</w:t>
            </w:r>
          </w:p>
        </w:tc>
        <w:tc>
          <w:tcPr>
            <w:tcW w:w="4508" w:type="dxa"/>
          </w:tcPr>
          <w:p w:rsidR="00545EF4" w:rsidRPr="00A325A0" w:rsidRDefault="002F0C08" w:rsidP="00A325A0">
            <w:pPr>
              <w:tabs>
                <w:tab w:val="left" w:pos="1096"/>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Department has reviewed credit control policies and by-laws of 41 municipalities to assist them to address gaps which hampers the collection of outstanding debt.</w:t>
            </w:r>
          </w:p>
          <w:p w:rsidR="002F0C08" w:rsidRPr="00A325A0" w:rsidRDefault="002F0C08" w:rsidP="00A325A0">
            <w:pPr>
              <w:tabs>
                <w:tab w:val="left" w:pos="1096"/>
              </w:tabs>
              <w:spacing w:line="360" w:lineRule="auto"/>
              <w:jc w:val="both"/>
              <w:rPr>
                <w:rFonts w:ascii="Times New Roman" w:hAnsi="Times New Roman" w:cs="Times New Roman"/>
                <w:sz w:val="24"/>
                <w:szCs w:val="24"/>
              </w:rPr>
            </w:pPr>
            <w:r w:rsidRPr="00A325A0">
              <w:rPr>
                <w:rFonts w:ascii="Times New Roman" w:hAnsi="Times New Roman" w:cs="Times New Roman"/>
                <w:sz w:val="24"/>
                <w:szCs w:val="24"/>
              </w:rPr>
              <w:t>A task Team has been established with Public Works to assist municipalities to verify old government debt.</w:t>
            </w:r>
          </w:p>
        </w:tc>
      </w:tr>
    </w:tbl>
    <w:p w:rsidR="007652C6" w:rsidRPr="00A325A0" w:rsidRDefault="007652C6" w:rsidP="00A325A0">
      <w:pPr>
        <w:tabs>
          <w:tab w:val="left" w:pos="1096"/>
        </w:tabs>
        <w:spacing w:line="360" w:lineRule="auto"/>
        <w:rPr>
          <w:rFonts w:ascii="Times New Roman" w:hAnsi="Times New Roman" w:cs="Times New Roman"/>
          <w:sz w:val="24"/>
          <w:szCs w:val="24"/>
        </w:rPr>
      </w:pPr>
    </w:p>
    <w:p w:rsidR="004919B3" w:rsidRPr="003D0701" w:rsidRDefault="004919B3" w:rsidP="00A325A0">
      <w:pPr>
        <w:pStyle w:val="Normalbold"/>
        <w:numPr>
          <w:ilvl w:val="0"/>
          <w:numId w:val="4"/>
        </w:numPr>
        <w:spacing w:line="360" w:lineRule="auto"/>
        <w:jc w:val="both"/>
        <w:rPr>
          <w:rFonts w:ascii="Times New Roman" w:hAnsi="Times New Roman"/>
          <w:sz w:val="24"/>
          <w:szCs w:val="24"/>
        </w:rPr>
      </w:pPr>
      <w:r w:rsidRPr="003D0701">
        <w:rPr>
          <w:rFonts w:ascii="Times New Roman" w:hAnsi="Times New Roman"/>
          <w:sz w:val="24"/>
          <w:szCs w:val="24"/>
        </w:rPr>
        <w:t>OBSERVATIONS</w:t>
      </w:r>
    </w:p>
    <w:p w:rsidR="004C63EE" w:rsidRPr="00A325A0" w:rsidRDefault="004C63EE" w:rsidP="00A325A0">
      <w:pPr>
        <w:pStyle w:val="Normalbold"/>
        <w:spacing w:line="360" w:lineRule="auto"/>
        <w:jc w:val="both"/>
        <w:rPr>
          <w:rFonts w:ascii="Times New Roman" w:hAnsi="Times New Roman"/>
          <w:sz w:val="24"/>
          <w:szCs w:val="24"/>
        </w:rPr>
      </w:pPr>
    </w:p>
    <w:p w:rsidR="00FA3818" w:rsidRPr="00A325A0" w:rsidRDefault="00FA3818" w:rsidP="00A325A0">
      <w:pPr>
        <w:pStyle w:val="Normalbold"/>
        <w:numPr>
          <w:ilvl w:val="0"/>
          <w:numId w:val="27"/>
        </w:numPr>
        <w:spacing w:line="360" w:lineRule="auto"/>
        <w:jc w:val="both"/>
        <w:rPr>
          <w:rFonts w:ascii="Times New Roman" w:hAnsi="Times New Roman"/>
          <w:b w:val="0"/>
          <w:color w:val="auto"/>
          <w:sz w:val="24"/>
          <w:szCs w:val="24"/>
        </w:rPr>
      </w:pPr>
      <w:r w:rsidRPr="00A325A0">
        <w:rPr>
          <w:rFonts w:ascii="Times New Roman" w:hAnsi="Times New Roman"/>
          <w:b w:val="0"/>
          <w:sz w:val="24"/>
          <w:szCs w:val="24"/>
        </w:rPr>
        <w:t xml:space="preserve">The presentations by the Department and its entities was appreciated and interrogated by members of the Committee. The Minister indicated to the Committee that the Electoral Court decision on the </w:t>
      </w:r>
      <w:proofErr w:type="spellStart"/>
      <w:r w:rsidRPr="00A325A0">
        <w:rPr>
          <w:rFonts w:ascii="Times New Roman" w:hAnsi="Times New Roman"/>
          <w:b w:val="0"/>
          <w:sz w:val="24"/>
          <w:szCs w:val="24"/>
        </w:rPr>
        <w:t>Tlokwe</w:t>
      </w:r>
      <w:proofErr w:type="spellEnd"/>
      <w:r w:rsidRPr="00A325A0">
        <w:rPr>
          <w:rFonts w:ascii="Times New Roman" w:hAnsi="Times New Roman"/>
          <w:b w:val="0"/>
          <w:sz w:val="24"/>
          <w:szCs w:val="24"/>
        </w:rPr>
        <w:t xml:space="preserve"> by-election was of national importance because it would have far-reaching implications for the conduct of elections in South Africa. </w:t>
      </w:r>
      <w:r w:rsidRPr="00A325A0">
        <w:rPr>
          <w:rFonts w:ascii="Times New Roman" w:hAnsi="Times New Roman"/>
          <w:b w:val="0"/>
          <w:color w:val="auto"/>
          <w:sz w:val="24"/>
          <w:szCs w:val="24"/>
        </w:rPr>
        <w:t xml:space="preserve">He indicated that the interpretation of the Constitutional Court ruling by the IEC was that the requirement for addresses was only applicable from 30 November 2015 forwards. The Minister further indicated that the IEC had taken legal advice and had decided to approach the Constitutional Court for clarity on aspects of its order of 30 November 2015 regarding the meaning of “sufficient particularity”. The IEC has also cited the Minister of </w:t>
      </w:r>
      <w:proofErr w:type="spellStart"/>
      <w:r w:rsidRPr="00A325A0">
        <w:rPr>
          <w:rFonts w:ascii="Times New Roman" w:hAnsi="Times New Roman"/>
          <w:b w:val="0"/>
          <w:color w:val="auto"/>
          <w:sz w:val="24"/>
          <w:szCs w:val="24"/>
        </w:rPr>
        <w:t>CoGTA</w:t>
      </w:r>
      <w:proofErr w:type="spellEnd"/>
      <w:r w:rsidRPr="00A325A0">
        <w:rPr>
          <w:rFonts w:ascii="Times New Roman" w:hAnsi="Times New Roman"/>
          <w:b w:val="0"/>
          <w:color w:val="auto"/>
          <w:sz w:val="24"/>
          <w:szCs w:val="24"/>
        </w:rPr>
        <w:t xml:space="preserve"> as a respondent to their appeal, in so far as the Minister has the responsibility to ensure that appropriate preparations are made for the elections. On 15 March 2016 the IEC served and filed court papers with the Constitutional Court. This development now obviates the need for the Minister of </w:t>
      </w:r>
      <w:proofErr w:type="spellStart"/>
      <w:r w:rsidRPr="00A325A0">
        <w:rPr>
          <w:rFonts w:ascii="Times New Roman" w:hAnsi="Times New Roman"/>
          <w:b w:val="0"/>
          <w:color w:val="auto"/>
          <w:sz w:val="24"/>
          <w:szCs w:val="24"/>
        </w:rPr>
        <w:t>CoGTA</w:t>
      </w:r>
      <w:proofErr w:type="spellEnd"/>
      <w:r w:rsidRPr="00A325A0">
        <w:rPr>
          <w:rFonts w:ascii="Times New Roman" w:hAnsi="Times New Roman"/>
          <w:b w:val="0"/>
          <w:color w:val="auto"/>
          <w:sz w:val="24"/>
          <w:szCs w:val="24"/>
        </w:rPr>
        <w:t xml:space="preserve"> to bring an application to join the proceedings as a friend of the court, or as an interested party. </w:t>
      </w:r>
      <w:proofErr w:type="spellStart"/>
      <w:r w:rsidRPr="00A325A0">
        <w:rPr>
          <w:rFonts w:ascii="Times New Roman" w:hAnsi="Times New Roman"/>
          <w:b w:val="0"/>
          <w:color w:val="auto"/>
          <w:sz w:val="24"/>
          <w:szCs w:val="24"/>
        </w:rPr>
        <w:t>CoGTA</w:t>
      </w:r>
      <w:proofErr w:type="spellEnd"/>
      <w:r w:rsidRPr="00A325A0">
        <w:rPr>
          <w:rFonts w:ascii="Times New Roman" w:hAnsi="Times New Roman"/>
          <w:b w:val="0"/>
          <w:color w:val="auto"/>
          <w:sz w:val="24"/>
          <w:szCs w:val="24"/>
        </w:rPr>
        <w:t xml:space="preserve"> has instructed its legal team to prepare the necessary papers to participate in </w:t>
      </w:r>
      <w:proofErr w:type="gramStart"/>
      <w:r w:rsidRPr="00A325A0">
        <w:rPr>
          <w:rFonts w:ascii="Times New Roman" w:hAnsi="Times New Roman"/>
          <w:b w:val="0"/>
          <w:color w:val="auto"/>
          <w:sz w:val="24"/>
          <w:szCs w:val="24"/>
        </w:rPr>
        <w:t>this proceedings</w:t>
      </w:r>
      <w:proofErr w:type="gramEnd"/>
      <w:r w:rsidRPr="00A325A0">
        <w:rPr>
          <w:rFonts w:ascii="Times New Roman" w:hAnsi="Times New Roman"/>
          <w:b w:val="0"/>
          <w:color w:val="auto"/>
          <w:sz w:val="24"/>
          <w:szCs w:val="24"/>
        </w:rPr>
        <w:t xml:space="preserve"> before the Constitutional Court.</w:t>
      </w:r>
    </w:p>
    <w:p w:rsidR="00B82F9A" w:rsidRPr="00A325A0" w:rsidRDefault="00396B5D" w:rsidP="00A325A0">
      <w:pPr>
        <w:pStyle w:val="Normalbold"/>
        <w:numPr>
          <w:ilvl w:val="0"/>
          <w:numId w:val="27"/>
        </w:numPr>
        <w:spacing w:line="360" w:lineRule="auto"/>
        <w:jc w:val="both"/>
        <w:rPr>
          <w:rFonts w:ascii="Times New Roman" w:hAnsi="Times New Roman"/>
          <w:b w:val="0"/>
          <w:sz w:val="24"/>
          <w:szCs w:val="24"/>
        </w:rPr>
      </w:pPr>
      <w:r w:rsidRPr="00A325A0">
        <w:rPr>
          <w:rFonts w:ascii="Times New Roman" w:hAnsi="Times New Roman"/>
          <w:b w:val="0"/>
          <w:sz w:val="24"/>
          <w:szCs w:val="24"/>
        </w:rPr>
        <w:t>The Committee welcome</w:t>
      </w:r>
      <w:r w:rsidR="005074BA" w:rsidRPr="00A325A0">
        <w:rPr>
          <w:rFonts w:ascii="Times New Roman" w:hAnsi="Times New Roman"/>
          <w:b w:val="0"/>
          <w:sz w:val="24"/>
          <w:szCs w:val="24"/>
        </w:rPr>
        <w:t>d</w:t>
      </w:r>
      <w:r w:rsidR="00B82F9A" w:rsidRPr="00A325A0">
        <w:rPr>
          <w:rFonts w:ascii="Times New Roman" w:hAnsi="Times New Roman"/>
          <w:b w:val="0"/>
          <w:sz w:val="24"/>
          <w:szCs w:val="24"/>
        </w:rPr>
        <w:t xml:space="preserve"> the more active monitoring and accountability measures as announced by the President</w:t>
      </w:r>
      <w:r w:rsidR="006E76B3" w:rsidRPr="00A325A0">
        <w:rPr>
          <w:rFonts w:ascii="Times New Roman" w:hAnsi="Times New Roman"/>
          <w:b w:val="0"/>
          <w:sz w:val="24"/>
          <w:szCs w:val="24"/>
        </w:rPr>
        <w:t xml:space="preserve"> in the 2016 SONA</w:t>
      </w:r>
      <w:r w:rsidR="00B82F9A" w:rsidRPr="00A325A0">
        <w:rPr>
          <w:rFonts w:ascii="Times New Roman" w:hAnsi="Times New Roman"/>
          <w:b w:val="0"/>
          <w:sz w:val="24"/>
          <w:szCs w:val="24"/>
        </w:rPr>
        <w:t xml:space="preserve"> of unannounced municipal visits, spot checks of supply chain management processes, </w:t>
      </w:r>
      <w:r w:rsidR="00615E91" w:rsidRPr="00A325A0">
        <w:rPr>
          <w:rFonts w:ascii="Times New Roman" w:hAnsi="Times New Roman"/>
          <w:b w:val="0"/>
          <w:sz w:val="24"/>
          <w:szCs w:val="24"/>
        </w:rPr>
        <w:t xml:space="preserve">and the </w:t>
      </w:r>
      <w:r w:rsidR="00B82F9A" w:rsidRPr="00A325A0">
        <w:rPr>
          <w:rFonts w:ascii="Times New Roman" w:hAnsi="Times New Roman"/>
          <w:b w:val="0"/>
          <w:sz w:val="24"/>
          <w:szCs w:val="24"/>
        </w:rPr>
        <w:t xml:space="preserve">implementation of </w:t>
      </w:r>
      <w:r w:rsidR="00B82F9A" w:rsidRPr="00A325A0">
        <w:rPr>
          <w:rFonts w:ascii="Times New Roman" w:hAnsi="Times New Roman"/>
          <w:b w:val="0"/>
          <w:sz w:val="24"/>
          <w:szCs w:val="24"/>
        </w:rPr>
        <w:lastRenderedPageBreak/>
        <w:t xml:space="preserve">recommendations of forensic reports, site visits </w:t>
      </w:r>
      <w:r w:rsidR="00615E91" w:rsidRPr="00A325A0">
        <w:rPr>
          <w:rFonts w:ascii="Times New Roman" w:hAnsi="Times New Roman"/>
          <w:b w:val="0"/>
          <w:sz w:val="24"/>
          <w:szCs w:val="24"/>
        </w:rPr>
        <w:t>to municipal</w:t>
      </w:r>
      <w:r w:rsidR="00B82F9A" w:rsidRPr="00A325A0">
        <w:rPr>
          <w:rFonts w:ascii="Times New Roman" w:hAnsi="Times New Roman"/>
          <w:b w:val="0"/>
          <w:sz w:val="24"/>
          <w:szCs w:val="24"/>
        </w:rPr>
        <w:t xml:space="preserve"> Infrastructure Grant</w:t>
      </w:r>
      <w:r w:rsidR="005074BA" w:rsidRPr="00A325A0">
        <w:rPr>
          <w:rFonts w:ascii="Times New Roman" w:hAnsi="Times New Roman"/>
          <w:b w:val="0"/>
          <w:sz w:val="24"/>
          <w:szCs w:val="24"/>
        </w:rPr>
        <w:t>-</w:t>
      </w:r>
      <w:r w:rsidR="00B82F9A" w:rsidRPr="00A325A0">
        <w:rPr>
          <w:rFonts w:ascii="Times New Roman" w:hAnsi="Times New Roman"/>
          <w:b w:val="0"/>
          <w:sz w:val="24"/>
          <w:szCs w:val="24"/>
        </w:rPr>
        <w:t xml:space="preserve">funded </w:t>
      </w:r>
      <w:r w:rsidR="005074BA" w:rsidRPr="00A325A0">
        <w:rPr>
          <w:rFonts w:ascii="Times New Roman" w:hAnsi="Times New Roman"/>
          <w:b w:val="0"/>
          <w:sz w:val="24"/>
          <w:szCs w:val="24"/>
        </w:rPr>
        <w:t>p</w:t>
      </w:r>
      <w:r w:rsidR="00B82F9A" w:rsidRPr="00A325A0">
        <w:rPr>
          <w:rFonts w:ascii="Times New Roman" w:hAnsi="Times New Roman"/>
          <w:b w:val="0"/>
          <w:sz w:val="24"/>
          <w:szCs w:val="24"/>
        </w:rPr>
        <w:t>rojects, and increased interventions to assist struggling municipalities.</w:t>
      </w:r>
      <w:r w:rsidR="00DA5B40" w:rsidRPr="00A325A0">
        <w:rPr>
          <w:rFonts w:ascii="Times New Roman" w:hAnsi="Times New Roman"/>
          <w:b w:val="0"/>
          <w:sz w:val="24"/>
          <w:szCs w:val="24"/>
        </w:rPr>
        <w:t xml:space="preserve"> </w:t>
      </w:r>
    </w:p>
    <w:p w:rsidR="001E071E" w:rsidRPr="00A325A0" w:rsidRDefault="001E071E" w:rsidP="00A325A0">
      <w:pPr>
        <w:pStyle w:val="Normalbold"/>
        <w:numPr>
          <w:ilvl w:val="0"/>
          <w:numId w:val="27"/>
        </w:numPr>
        <w:spacing w:line="360" w:lineRule="auto"/>
        <w:jc w:val="both"/>
        <w:rPr>
          <w:rFonts w:ascii="Times New Roman" w:hAnsi="Times New Roman"/>
          <w:b w:val="0"/>
          <w:sz w:val="24"/>
          <w:szCs w:val="24"/>
        </w:rPr>
      </w:pPr>
      <w:r w:rsidRPr="00A325A0">
        <w:rPr>
          <w:rFonts w:ascii="Times New Roman" w:hAnsi="Times New Roman"/>
          <w:b w:val="0"/>
          <w:sz w:val="24"/>
          <w:szCs w:val="24"/>
        </w:rPr>
        <w:t>The Committee noted with concern the underspending of the equitable share grant in 201</w:t>
      </w:r>
      <w:r w:rsidR="00D64634" w:rsidRPr="00A325A0">
        <w:rPr>
          <w:rFonts w:ascii="Times New Roman" w:hAnsi="Times New Roman"/>
          <w:b w:val="0"/>
          <w:sz w:val="24"/>
          <w:szCs w:val="24"/>
        </w:rPr>
        <w:t>5</w:t>
      </w:r>
      <w:r w:rsidRPr="00A325A0">
        <w:rPr>
          <w:rFonts w:ascii="Times New Roman" w:hAnsi="Times New Roman"/>
          <w:b w:val="0"/>
          <w:sz w:val="24"/>
          <w:szCs w:val="24"/>
        </w:rPr>
        <w:t>/1</w:t>
      </w:r>
      <w:r w:rsidR="00D64634" w:rsidRPr="00A325A0">
        <w:rPr>
          <w:rFonts w:ascii="Times New Roman" w:hAnsi="Times New Roman"/>
          <w:b w:val="0"/>
          <w:sz w:val="24"/>
          <w:szCs w:val="24"/>
        </w:rPr>
        <w:t>6</w:t>
      </w:r>
      <w:r w:rsidRPr="00A325A0">
        <w:rPr>
          <w:rFonts w:ascii="Times New Roman" w:hAnsi="Times New Roman"/>
          <w:b w:val="0"/>
          <w:sz w:val="24"/>
          <w:szCs w:val="24"/>
        </w:rPr>
        <w:t xml:space="preserve"> due to the withholding of the grant from 60 municipalities that failed to pay water boards and Eskom for services provided.</w:t>
      </w:r>
    </w:p>
    <w:p w:rsidR="00DF3851" w:rsidRPr="00A325A0" w:rsidRDefault="00DF3851" w:rsidP="00A325A0">
      <w:pPr>
        <w:pStyle w:val="Normalbold"/>
        <w:numPr>
          <w:ilvl w:val="0"/>
          <w:numId w:val="27"/>
        </w:numPr>
        <w:spacing w:line="360" w:lineRule="auto"/>
        <w:jc w:val="both"/>
        <w:rPr>
          <w:rFonts w:ascii="Times New Roman" w:hAnsi="Times New Roman"/>
          <w:b w:val="0"/>
          <w:sz w:val="24"/>
          <w:szCs w:val="24"/>
        </w:rPr>
      </w:pPr>
      <w:r w:rsidRPr="00A325A0">
        <w:rPr>
          <w:rFonts w:ascii="Times New Roman" w:hAnsi="Times New Roman"/>
          <w:b w:val="0"/>
          <w:sz w:val="24"/>
          <w:szCs w:val="24"/>
        </w:rPr>
        <w:t>The Committee welcome</w:t>
      </w:r>
      <w:r w:rsidR="005074BA" w:rsidRPr="00A325A0">
        <w:rPr>
          <w:rFonts w:ascii="Times New Roman" w:hAnsi="Times New Roman"/>
          <w:b w:val="0"/>
          <w:sz w:val="24"/>
          <w:szCs w:val="24"/>
        </w:rPr>
        <w:t>d</w:t>
      </w:r>
      <w:r w:rsidRPr="00A325A0">
        <w:rPr>
          <w:rFonts w:ascii="Times New Roman" w:hAnsi="Times New Roman"/>
          <w:b w:val="0"/>
          <w:sz w:val="24"/>
          <w:szCs w:val="24"/>
        </w:rPr>
        <w:t xml:space="preserve"> the role of the CRL Rights Commission to</w:t>
      </w:r>
      <w:r w:rsidR="00F06447" w:rsidRPr="00A325A0">
        <w:rPr>
          <w:rFonts w:ascii="Times New Roman" w:hAnsi="Times New Roman"/>
          <w:b w:val="0"/>
          <w:sz w:val="24"/>
          <w:szCs w:val="24"/>
        </w:rPr>
        <w:t xml:space="preserve"> help</w:t>
      </w:r>
      <w:r w:rsidRPr="00A325A0">
        <w:rPr>
          <w:rFonts w:ascii="Times New Roman" w:hAnsi="Times New Roman"/>
          <w:b w:val="0"/>
          <w:sz w:val="24"/>
          <w:szCs w:val="24"/>
        </w:rPr>
        <w:t xml:space="preserve"> regulate the Religious sector in order to curb the </w:t>
      </w:r>
      <w:r w:rsidR="00F06447" w:rsidRPr="00A325A0">
        <w:rPr>
          <w:rFonts w:ascii="Times New Roman" w:hAnsi="Times New Roman"/>
          <w:b w:val="0"/>
          <w:sz w:val="24"/>
          <w:szCs w:val="24"/>
        </w:rPr>
        <w:t>negative practices by some of the churches</w:t>
      </w:r>
      <w:r w:rsidRPr="00A325A0">
        <w:rPr>
          <w:rFonts w:ascii="Times New Roman" w:hAnsi="Times New Roman"/>
          <w:b w:val="0"/>
          <w:sz w:val="24"/>
          <w:szCs w:val="24"/>
        </w:rPr>
        <w:t>.</w:t>
      </w:r>
    </w:p>
    <w:p w:rsidR="00BB36DF" w:rsidRPr="00A325A0" w:rsidRDefault="00BB36DF" w:rsidP="00A325A0">
      <w:pPr>
        <w:pStyle w:val="Normalbold"/>
        <w:numPr>
          <w:ilvl w:val="0"/>
          <w:numId w:val="27"/>
        </w:numPr>
        <w:spacing w:line="360" w:lineRule="auto"/>
        <w:jc w:val="both"/>
        <w:rPr>
          <w:rFonts w:ascii="Times New Roman" w:hAnsi="Times New Roman"/>
          <w:b w:val="0"/>
          <w:sz w:val="24"/>
          <w:szCs w:val="24"/>
        </w:rPr>
      </w:pPr>
      <w:r w:rsidRPr="00A325A0">
        <w:rPr>
          <w:rFonts w:ascii="Times New Roman" w:hAnsi="Times New Roman"/>
          <w:b w:val="0"/>
          <w:sz w:val="24"/>
          <w:szCs w:val="24"/>
        </w:rPr>
        <w:t xml:space="preserve">The Committee </w:t>
      </w:r>
      <w:r w:rsidR="005074BA" w:rsidRPr="00A325A0">
        <w:rPr>
          <w:rFonts w:ascii="Times New Roman" w:hAnsi="Times New Roman"/>
          <w:b w:val="0"/>
          <w:sz w:val="24"/>
          <w:szCs w:val="24"/>
        </w:rPr>
        <w:t xml:space="preserve">appreciated </w:t>
      </w:r>
      <w:r w:rsidRPr="00A325A0">
        <w:rPr>
          <w:rFonts w:ascii="Times New Roman" w:hAnsi="Times New Roman"/>
          <w:b w:val="0"/>
          <w:sz w:val="24"/>
          <w:szCs w:val="24"/>
        </w:rPr>
        <w:t>the provision of funding to SALGA</w:t>
      </w:r>
      <w:r w:rsidR="00DA5B40" w:rsidRPr="00A325A0">
        <w:rPr>
          <w:rFonts w:ascii="Times New Roman" w:hAnsi="Times New Roman"/>
          <w:b w:val="0"/>
          <w:sz w:val="24"/>
          <w:szCs w:val="24"/>
        </w:rPr>
        <w:t xml:space="preserve"> as this </w:t>
      </w:r>
      <w:r w:rsidR="005074BA" w:rsidRPr="00A325A0">
        <w:rPr>
          <w:rFonts w:ascii="Times New Roman" w:hAnsi="Times New Roman"/>
          <w:b w:val="0"/>
          <w:sz w:val="24"/>
          <w:szCs w:val="24"/>
        </w:rPr>
        <w:t xml:space="preserve">would </w:t>
      </w:r>
      <w:r w:rsidR="00DA5B40" w:rsidRPr="00A325A0">
        <w:rPr>
          <w:rFonts w:ascii="Times New Roman" w:hAnsi="Times New Roman"/>
          <w:b w:val="0"/>
          <w:sz w:val="24"/>
          <w:szCs w:val="24"/>
        </w:rPr>
        <w:t xml:space="preserve">enable it to fund operational activities such as participation in the intergovernmental and oversight structures, capacity building programmes for </w:t>
      </w:r>
      <w:r w:rsidR="005074BA" w:rsidRPr="00A325A0">
        <w:rPr>
          <w:rFonts w:ascii="Times New Roman" w:hAnsi="Times New Roman"/>
          <w:b w:val="0"/>
          <w:sz w:val="24"/>
          <w:szCs w:val="24"/>
        </w:rPr>
        <w:t>c</w:t>
      </w:r>
      <w:r w:rsidR="00DA5B40" w:rsidRPr="00A325A0">
        <w:rPr>
          <w:rFonts w:ascii="Times New Roman" w:hAnsi="Times New Roman"/>
          <w:b w:val="0"/>
          <w:sz w:val="24"/>
          <w:szCs w:val="24"/>
        </w:rPr>
        <w:t>ouncillors</w:t>
      </w:r>
      <w:r w:rsidR="005074BA" w:rsidRPr="00A325A0">
        <w:rPr>
          <w:rFonts w:ascii="Times New Roman" w:hAnsi="Times New Roman"/>
          <w:b w:val="0"/>
          <w:sz w:val="24"/>
          <w:szCs w:val="24"/>
        </w:rPr>
        <w:t>,</w:t>
      </w:r>
      <w:r w:rsidR="00DA5B40" w:rsidRPr="00A325A0">
        <w:rPr>
          <w:rFonts w:ascii="Times New Roman" w:hAnsi="Times New Roman"/>
          <w:b w:val="0"/>
          <w:sz w:val="24"/>
          <w:szCs w:val="24"/>
        </w:rPr>
        <w:t xml:space="preserve"> especially after the upcoming local government elections and also for the provision of support and advice to municipalities undergoing transition (restructuring of municipalities due to the boundary re-determination)</w:t>
      </w:r>
      <w:r w:rsidRPr="00A325A0">
        <w:rPr>
          <w:rFonts w:ascii="Times New Roman" w:hAnsi="Times New Roman"/>
          <w:b w:val="0"/>
          <w:sz w:val="24"/>
          <w:szCs w:val="24"/>
        </w:rPr>
        <w:t xml:space="preserve">. </w:t>
      </w:r>
    </w:p>
    <w:p w:rsidR="00D6167F" w:rsidRPr="00A325A0" w:rsidRDefault="00D6167F" w:rsidP="00A325A0">
      <w:pPr>
        <w:pStyle w:val="Normalbold"/>
        <w:numPr>
          <w:ilvl w:val="0"/>
          <w:numId w:val="27"/>
        </w:numPr>
        <w:spacing w:line="360" w:lineRule="auto"/>
        <w:jc w:val="both"/>
        <w:rPr>
          <w:rFonts w:ascii="Times New Roman" w:hAnsi="Times New Roman"/>
          <w:b w:val="0"/>
          <w:sz w:val="24"/>
          <w:szCs w:val="24"/>
        </w:rPr>
      </w:pPr>
      <w:r w:rsidRPr="00A325A0">
        <w:rPr>
          <w:rFonts w:ascii="Times New Roman" w:hAnsi="Times New Roman"/>
          <w:b w:val="0"/>
          <w:sz w:val="24"/>
          <w:szCs w:val="24"/>
        </w:rPr>
        <w:t xml:space="preserve">The Committee </w:t>
      </w:r>
      <w:r w:rsidR="005074BA" w:rsidRPr="00A325A0">
        <w:rPr>
          <w:rFonts w:ascii="Times New Roman" w:hAnsi="Times New Roman"/>
          <w:b w:val="0"/>
          <w:sz w:val="24"/>
          <w:szCs w:val="24"/>
        </w:rPr>
        <w:t xml:space="preserve">commended </w:t>
      </w:r>
      <w:r w:rsidRPr="00A325A0">
        <w:rPr>
          <w:rFonts w:ascii="Times New Roman" w:hAnsi="Times New Roman"/>
          <w:b w:val="0"/>
          <w:sz w:val="24"/>
          <w:szCs w:val="24"/>
        </w:rPr>
        <w:t>the reduction in the number of Local Municipalities</w:t>
      </w:r>
      <w:r w:rsidR="00DB2F9D" w:rsidRPr="00A325A0">
        <w:rPr>
          <w:rFonts w:ascii="Times New Roman" w:hAnsi="Times New Roman"/>
          <w:b w:val="0"/>
          <w:sz w:val="24"/>
          <w:szCs w:val="24"/>
        </w:rPr>
        <w:t xml:space="preserve"> following the municipal demarcation process from 278 to 257. The Committee further </w:t>
      </w:r>
      <w:r w:rsidR="005074BA" w:rsidRPr="00A325A0">
        <w:rPr>
          <w:rFonts w:ascii="Times New Roman" w:hAnsi="Times New Roman"/>
          <w:b w:val="0"/>
          <w:sz w:val="24"/>
          <w:szCs w:val="24"/>
        </w:rPr>
        <w:t xml:space="preserve">welcomed </w:t>
      </w:r>
      <w:r w:rsidR="00DB2F9D" w:rsidRPr="00A325A0">
        <w:rPr>
          <w:rFonts w:ascii="Times New Roman" w:hAnsi="Times New Roman"/>
          <w:b w:val="0"/>
          <w:sz w:val="24"/>
          <w:szCs w:val="24"/>
        </w:rPr>
        <w:t xml:space="preserve">the </w:t>
      </w:r>
      <w:r w:rsidR="00C101F9" w:rsidRPr="00A325A0">
        <w:rPr>
          <w:rFonts w:ascii="Times New Roman" w:hAnsi="Times New Roman"/>
          <w:b w:val="0"/>
          <w:sz w:val="24"/>
          <w:szCs w:val="24"/>
        </w:rPr>
        <w:t>increase in the number of wards from 4277 to 4392</w:t>
      </w:r>
      <w:r w:rsidR="00DB2F9D" w:rsidRPr="00A325A0">
        <w:rPr>
          <w:rFonts w:ascii="Times New Roman" w:hAnsi="Times New Roman"/>
          <w:b w:val="0"/>
          <w:sz w:val="24"/>
          <w:szCs w:val="24"/>
        </w:rPr>
        <w:t xml:space="preserve"> and the increased number of voting stations. This will increase improvement in terms of access to voting stations as compared to the number of voting stations in the 2011 Municipal </w:t>
      </w:r>
      <w:r w:rsidR="001E43FE" w:rsidRPr="00A325A0">
        <w:rPr>
          <w:rFonts w:ascii="Times New Roman" w:hAnsi="Times New Roman"/>
          <w:b w:val="0"/>
          <w:sz w:val="24"/>
          <w:szCs w:val="24"/>
        </w:rPr>
        <w:t>E</w:t>
      </w:r>
      <w:r w:rsidR="00DB2F9D" w:rsidRPr="00A325A0">
        <w:rPr>
          <w:rFonts w:ascii="Times New Roman" w:hAnsi="Times New Roman"/>
          <w:b w:val="0"/>
          <w:sz w:val="24"/>
          <w:szCs w:val="24"/>
        </w:rPr>
        <w:t>lections.</w:t>
      </w:r>
      <w:r w:rsidR="00430A46" w:rsidRPr="00A325A0">
        <w:rPr>
          <w:rFonts w:ascii="Times New Roman" w:hAnsi="Times New Roman"/>
          <w:b w:val="0"/>
          <w:sz w:val="24"/>
          <w:szCs w:val="24"/>
        </w:rPr>
        <w:t xml:space="preserve"> The role played by the Municipal Demarcation Board during the ward delimitation and boundary redetermination </w:t>
      </w:r>
      <w:r w:rsidR="001E43FE" w:rsidRPr="00A325A0">
        <w:rPr>
          <w:rFonts w:ascii="Times New Roman" w:hAnsi="Times New Roman"/>
          <w:b w:val="0"/>
          <w:sz w:val="24"/>
          <w:szCs w:val="24"/>
        </w:rPr>
        <w:t>wa</w:t>
      </w:r>
      <w:r w:rsidR="00430A46" w:rsidRPr="00A325A0">
        <w:rPr>
          <w:rFonts w:ascii="Times New Roman" w:hAnsi="Times New Roman"/>
          <w:b w:val="0"/>
          <w:sz w:val="24"/>
          <w:szCs w:val="24"/>
        </w:rPr>
        <w:t xml:space="preserve">s </w:t>
      </w:r>
      <w:r w:rsidR="001E43FE" w:rsidRPr="00A325A0">
        <w:rPr>
          <w:rFonts w:ascii="Times New Roman" w:hAnsi="Times New Roman"/>
          <w:b w:val="0"/>
          <w:sz w:val="24"/>
          <w:szCs w:val="24"/>
        </w:rPr>
        <w:t xml:space="preserve">also </w:t>
      </w:r>
      <w:r w:rsidR="00430A46" w:rsidRPr="00A325A0">
        <w:rPr>
          <w:rFonts w:ascii="Times New Roman" w:hAnsi="Times New Roman"/>
          <w:b w:val="0"/>
          <w:sz w:val="24"/>
          <w:szCs w:val="24"/>
        </w:rPr>
        <w:t>appreciated.</w:t>
      </w:r>
    </w:p>
    <w:p w:rsidR="00D6167F" w:rsidRPr="00A325A0" w:rsidRDefault="00836DE6" w:rsidP="00A325A0">
      <w:pPr>
        <w:pStyle w:val="Normalbold"/>
        <w:numPr>
          <w:ilvl w:val="0"/>
          <w:numId w:val="27"/>
        </w:numPr>
        <w:spacing w:line="360" w:lineRule="auto"/>
        <w:jc w:val="both"/>
        <w:rPr>
          <w:rFonts w:ascii="Times New Roman" w:hAnsi="Times New Roman"/>
          <w:b w:val="0"/>
          <w:sz w:val="24"/>
          <w:szCs w:val="24"/>
        </w:rPr>
      </w:pPr>
      <w:r w:rsidRPr="00A325A0">
        <w:rPr>
          <w:rFonts w:ascii="Times New Roman" w:hAnsi="Times New Roman"/>
          <w:b w:val="0"/>
          <w:sz w:val="24"/>
          <w:szCs w:val="24"/>
        </w:rPr>
        <w:t>The Committee welcome</w:t>
      </w:r>
      <w:r w:rsidR="001E43FE" w:rsidRPr="00A325A0">
        <w:rPr>
          <w:rFonts w:ascii="Times New Roman" w:hAnsi="Times New Roman"/>
          <w:b w:val="0"/>
          <w:sz w:val="24"/>
          <w:szCs w:val="24"/>
        </w:rPr>
        <w:t>d</w:t>
      </w:r>
      <w:r w:rsidRPr="00A325A0">
        <w:rPr>
          <w:rFonts w:ascii="Times New Roman" w:hAnsi="Times New Roman"/>
          <w:b w:val="0"/>
          <w:sz w:val="24"/>
          <w:szCs w:val="24"/>
        </w:rPr>
        <w:t xml:space="preserve"> the ten</w:t>
      </w:r>
      <w:r w:rsidR="001E43FE" w:rsidRPr="00A325A0">
        <w:rPr>
          <w:rFonts w:ascii="Times New Roman" w:hAnsi="Times New Roman"/>
          <w:b w:val="0"/>
          <w:sz w:val="24"/>
          <w:szCs w:val="24"/>
        </w:rPr>
        <w:t>-</w:t>
      </w:r>
      <w:r w:rsidRPr="00A325A0">
        <w:rPr>
          <w:rFonts w:ascii="Times New Roman" w:hAnsi="Times New Roman"/>
          <w:b w:val="0"/>
          <w:sz w:val="24"/>
          <w:szCs w:val="24"/>
        </w:rPr>
        <w:t>point plan as the basis for the implementation of the next phase of the Back to Basics programme.</w:t>
      </w:r>
    </w:p>
    <w:p w:rsidR="00D6167F" w:rsidRPr="00A325A0" w:rsidRDefault="00836DE6" w:rsidP="00A325A0">
      <w:pPr>
        <w:pStyle w:val="Normalbold"/>
        <w:numPr>
          <w:ilvl w:val="0"/>
          <w:numId w:val="27"/>
        </w:numPr>
        <w:spacing w:line="360" w:lineRule="auto"/>
        <w:jc w:val="both"/>
        <w:rPr>
          <w:rFonts w:ascii="Times New Roman" w:hAnsi="Times New Roman"/>
          <w:b w:val="0"/>
          <w:sz w:val="24"/>
          <w:szCs w:val="24"/>
        </w:rPr>
      </w:pPr>
      <w:r w:rsidRPr="00A325A0">
        <w:rPr>
          <w:rFonts w:ascii="Times New Roman" w:hAnsi="Times New Roman"/>
          <w:b w:val="0"/>
          <w:sz w:val="24"/>
          <w:szCs w:val="24"/>
        </w:rPr>
        <w:t xml:space="preserve">The Institutionalization of the Back to Basics programme within the Department </w:t>
      </w:r>
      <w:r w:rsidR="001E43FE" w:rsidRPr="00A325A0">
        <w:rPr>
          <w:rFonts w:ascii="Times New Roman" w:hAnsi="Times New Roman"/>
          <w:b w:val="0"/>
          <w:sz w:val="24"/>
          <w:szCs w:val="24"/>
        </w:rPr>
        <w:t xml:space="preserve">was much appreciated </w:t>
      </w:r>
      <w:r w:rsidRPr="00A325A0">
        <w:rPr>
          <w:rFonts w:ascii="Times New Roman" w:hAnsi="Times New Roman"/>
          <w:b w:val="0"/>
          <w:sz w:val="24"/>
          <w:szCs w:val="24"/>
        </w:rPr>
        <w:t>by the Committee.</w:t>
      </w:r>
    </w:p>
    <w:p w:rsidR="00F06447" w:rsidRPr="00A325A0" w:rsidRDefault="00F06447" w:rsidP="00A325A0">
      <w:pPr>
        <w:pStyle w:val="ListParagraph"/>
        <w:numPr>
          <w:ilvl w:val="0"/>
          <w:numId w:val="27"/>
        </w:numPr>
        <w:spacing w:after="0" w:line="360" w:lineRule="auto"/>
        <w:jc w:val="both"/>
        <w:rPr>
          <w:rFonts w:ascii="Times New Roman" w:eastAsia="Times New Roman" w:hAnsi="Times New Roman" w:cs="Times New Roman"/>
          <w:sz w:val="24"/>
          <w:szCs w:val="24"/>
          <w:lang w:val="en-GB"/>
        </w:rPr>
      </w:pPr>
      <w:r w:rsidRPr="00A325A0">
        <w:rPr>
          <w:rFonts w:ascii="Times New Roman" w:eastAsia="Times New Roman" w:hAnsi="Times New Roman" w:cs="Times New Roman"/>
          <w:sz w:val="24"/>
          <w:szCs w:val="24"/>
          <w:lang w:val="en-GB"/>
        </w:rPr>
        <w:t xml:space="preserve">The Committee notes with concern delays in the finalization of the Intergovernmental Interventions, Monitoring, Support and Interventions Bill (IMSI) as this is critical to provide regulatory and procedural certainty to the Constitutional obligations of national and provincial government to supervise, support and if necessary, to intervene in another sphere. </w:t>
      </w:r>
    </w:p>
    <w:p w:rsidR="00F06447" w:rsidRPr="00A325A0" w:rsidRDefault="007E5F68" w:rsidP="00A325A0">
      <w:pPr>
        <w:pStyle w:val="Normalbold"/>
        <w:numPr>
          <w:ilvl w:val="0"/>
          <w:numId w:val="27"/>
        </w:numPr>
        <w:spacing w:line="360" w:lineRule="auto"/>
        <w:jc w:val="both"/>
        <w:rPr>
          <w:rFonts w:ascii="Times New Roman" w:hAnsi="Times New Roman"/>
          <w:b w:val="0"/>
          <w:sz w:val="24"/>
          <w:szCs w:val="24"/>
        </w:rPr>
      </w:pPr>
      <w:r w:rsidRPr="00A325A0">
        <w:rPr>
          <w:rFonts w:ascii="Times New Roman" w:hAnsi="Times New Roman"/>
          <w:b w:val="0"/>
          <w:sz w:val="24"/>
          <w:szCs w:val="24"/>
        </w:rPr>
        <w:t xml:space="preserve">The Committee welcome the statutory recognition of the Khoi-San communities, leaders and structures in the Traditional and Khoi-San Leadership Bill. </w:t>
      </w:r>
    </w:p>
    <w:p w:rsidR="004C63EE" w:rsidRPr="00A325A0" w:rsidRDefault="004C63EE" w:rsidP="00A325A0">
      <w:pPr>
        <w:pStyle w:val="Normalbold"/>
        <w:spacing w:line="360" w:lineRule="auto"/>
        <w:ind w:left="360"/>
        <w:jc w:val="both"/>
        <w:rPr>
          <w:rFonts w:ascii="Times New Roman" w:hAnsi="Times New Roman"/>
          <w:b w:val="0"/>
          <w:sz w:val="24"/>
          <w:szCs w:val="24"/>
        </w:rPr>
      </w:pPr>
    </w:p>
    <w:p w:rsidR="004919B3" w:rsidRPr="00A325A0" w:rsidRDefault="004919B3" w:rsidP="00A325A0">
      <w:pPr>
        <w:pStyle w:val="Normalbold"/>
        <w:numPr>
          <w:ilvl w:val="0"/>
          <w:numId w:val="4"/>
        </w:numPr>
        <w:spacing w:line="360" w:lineRule="auto"/>
        <w:jc w:val="both"/>
        <w:rPr>
          <w:rFonts w:ascii="Times New Roman" w:hAnsi="Times New Roman"/>
          <w:b w:val="0"/>
          <w:sz w:val="24"/>
          <w:szCs w:val="24"/>
        </w:rPr>
      </w:pPr>
      <w:r w:rsidRPr="00A325A0">
        <w:rPr>
          <w:rFonts w:ascii="Times New Roman" w:hAnsi="Times New Roman"/>
          <w:sz w:val="24"/>
          <w:szCs w:val="24"/>
        </w:rPr>
        <w:t>RECOMMENDATIONS</w:t>
      </w:r>
    </w:p>
    <w:p w:rsidR="001A7C59" w:rsidRPr="00A325A0" w:rsidRDefault="001A7C59" w:rsidP="00A325A0">
      <w:pPr>
        <w:spacing w:after="0" w:line="360" w:lineRule="auto"/>
        <w:jc w:val="both"/>
        <w:rPr>
          <w:rFonts w:ascii="Times New Roman" w:eastAsia="Times New Roman" w:hAnsi="Times New Roman" w:cs="Times New Roman"/>
          <w:sz w:val="24"/>
          <w:szCs w:val="24"/>
          <w:lang w:val="en-GB"/>
        </w:rPr>
      </w:pPr>
    </w:p>
    <w:p w:rsidR="00017FBE" w:rsidRPr="00A325A0" w:rsidRDefault="00A54930" w:rsidP="00A325A0">
      <w:pPr>
        <w:pStyle w:val="ListParagraph"/>
        <w:numPr>
          <w:ilvl w:val="0"/>
          <w:numId w:val="28"/>
        </w:numPr>
        <w:spacing w:after="0" w:line="360" w:lineRule="auto"/>
        <w:jc w:val="both"/>
        <w:rPr>
          <w:rFonts w:ascii="Times New Roman" w:eastAsia="Times New Roman" w:hAnsi="Times New Roman" w:cs="Times New Roman"/>
          <w:sz w:val="24"/>
          <w:szCs w:val="24"/>
          <w:lang w:val="en-GB"/>
        </w:rPr>
      </w:pPr>
      <w:r w:rsidRPr="00A325A0">
        <w:rPr>
          <w:rFonts w:ascii="Times New Roman" w:eastAsia="Times New Roman" w:hAnsi="Times New Roman" w:cs="Times New Roman"/>
          <w:sz w:val="24"/>
          <w:szCs w:val="24"/>
          <w:lang w:val="en-GB"/>
        </w:rPr>
        <w:t xml:space="preserve">That the Department reports to the Committee on a quarterly basis on </w:t>
      </w:r>
      <w:r w:rsidR="001E43FE" w:rsidRPr="00A325A0">
        <w:rPr>
          <w:rFonts w:ascii="Times New Roman" w:eastAsia="Times New Roman" w:hAnsi="Times New Roman" w:cs="Times New Roman"/>
          <w:sz w:val="24"/>
          <w:szCs w:val="24"/>
          <w:lang w:val="en-GB"/>
        </w:rPr>
        <w:t xml:space="preserve">progress </w:t>
      </w:r>
      <w:r w:rsidRPr="00A325A0">
        <w:rPr>
          <w:rFonts w:ascii="Times New Roman" w:eastAsia="Times New Roman" w:hAnsi="Times New Roman" w:cs="Times New Roman"/>
          <w:sz w:val="24"/>
          <w:szCs w:val="24"/>
          <w:lang w:val="en-GB"/>
        </w:rPr>
        <w:t>made with the restructuring of municipalities which have been affected by the boundary re-determination.</w:t>
      </w:r>
    </w:p>
    <w:p w:rsidR="00A54930" w:rsidRPr="00A325A0" w:rsidRDefault="00A54930" w:rsidP="00A325A0">
      <w:pPr>
        <w:pStyle w:val="ListParagraph"/>
        <w:numPr>
          <w:ilvl w:val="0"/>
          <w:numId w:val="28"/>
        </w:numPr>
        <w:spacing w:after="0" w:line="360" w:lineRule="auto"/>
        <w:jc w:val="both"/>
        <w:rPr>
          <w:rFonts w:ascii="Times New Roman" w:eastAsia="Times New Roman" w:hAnsi="Times New Roman" w:cs="Times New Roman"/>
          <w:sz w:val="24"/>
          <w:szCs w:val="24"/>
          <w:lang w:val="en-GB"/>
        </w:rPr>
      </w:pPr>
      <w:r w:rsidRPr="00A325A0">
        <w:rPr>
          <w:rFonts w:ascii="Times New Roman" w:eastAsia="Times New Roman" w:hAnsi="Times New Roman" w:cs="Times New Roman"/>
          <w:sz w:val="24"/>
          <w:szCs w:val="24"/>
          <w:lang w:val="en-GB"/>
        </w:rPr>
        <w:t xml:space="preserve">That the Development Bank of Southern Africa (DBSA) briefs the Committee on the 2016 budget announcement that R7.9 billion has been transferred to </w:t>
      </w:r>
      <w:r w:rsidR="008B66D3" w:rsidRPr="00A325A0">
        <w:rPr>
          <w:rFonts w:ascii="Times New Roman" w:eastAsia="Times New Roman" w:hAnsi="Times New Roman" w:cs="Times New Roman"/>
          <w:sz w:val="24"/>
          <w:szCs w:val="24"/>
          <w:lang w:val="en-GB"/>
        </w:rPr>
        <w:t xml:space="preserve">the </w:t>
      </w:r>
      <w:r w:rsidR="001E43FE" w:rsidRPr="00A325A0">
        <w:rPr>
          <w:rFonts w:ascii="Times New Roman" w:eastAsia="Times New Roman" w:hAnsi="Times New Roman" w:cs="Times New Roman"/>
          <w:sz w:val="24"/>
          <w:szCs w:val="24"/>
          <w:lang w:val="en-GB"/>
        </w:rPr>
        <w:t>B</w:t>
      </w:r>
      <w:r w:rsidR="008B66D3" w:rsidRPr="00A325A0">
        <w:rPr>
          <w:rFonts w:ascii="Times New Roman" w:eastAsia="Times New Roman" w:hAnsi="Times New Roman" w:cs="Times New Roman"/>
          <w:sz w:val="24"/>
          <w:szCs w:val="24"/>
          <w:lang w:val="en-GB"/>
        </w:rPr>
        <w:t>ank to enable it to expand lending and implementation support to municipalities.</w:t>
      </w:r>
    </w:p>
    <w:p w:rsidR="008B66D3" w:rsidRPr="00A325A0" w:rsidRDefault="008B66D3" w:rsidP="00A325A0">
      <w:pPr>
        <w:pStyle w:val="ListParagraph"/>
        <w:numPr>
          <w:ilvl w:val="0"/>
          <w:numId w:val="28"/>
        </w:numPr>
        <w:spacing w:after="0" w:line="360" w:lineRule="auto"/>
        <w:jc w:val="both"/>
        <w:rPr>
          <w:rFonts w:ascii="Times New Roman" w:eastAsia="Times New Roman" w:hAnsi="Times New Roman" w:cs="Times New Roman"/>
          <w:sz w:val="24"/>
          <w:szCs w:val="24"/>
          <w:lang w:val="en-GB"/>
        </w:rPr>
      </w:pPr>
      <w:r w:rsidRPr="00A325A0">
        <w:rPr>
          <w:rFonts w:ascii="Times New Roman" w:eastAsia="Times New Roman" w:hAnsi="Times New Roman" w:cs="Times New Roman"/>
          <w:sz w:val="24"/>
          <w:szCs w:val="24"/>
          <w:lang w:val="en-GB"/>
        </w:rPr>
        <w:t>That the Department ensures that the recommendations of all forensic reports commissioned by Municipalities are implemented and a report be presented to the Committee on a quarterly basis.</w:t>
      </w:r>
    </w:p>
    <w:p w:rsidR="00081066" w:rsidRPr="00A325A0" w:rsidRDefault="00081066" w:rsidP="00A325A0">
      <w:pPr>
        <w:pStyle w:val="ListParagraph"/>
        <w:numPr>
          <w:ilvl w:val="0"/>
          <w:numId w:val="28"/>
        </w:numPr>
        <w:spacing w:after="0" w:line="360" w:lineRule="auto"/>
        <w:jc w:val="both"/>
        <w:rPr>
          <w:rFonts w:ascii="Times New Roman" w:eastAsia="Times New Roman" w:hAnsi="Times New Roman" w:cs="Times New Roman"/>
          <w:sz w:val="24"/>
          <w:szCs w:val="24"/>
          <w:lang w:val="en-GB"/>
        </w:rPr>
      </w:pPr>
      <w:r w:rsidRPr="00A325A0">
        <w:rPr>
          <w:rFonts w:ascii="Times New Roman" w:eastAsia="Times New Roman" w:hAnsi="Times New Roman" w:cs="Times New Roman"/>
          <w:sz w:val="24"/>
          <w:szCs w:val="24"/>
          <w:lang w:val="en-GB"/>
        </w:rPr>
        <w:t>The Department should ensure that Senior Managers who will be appointed in local government following the upcoming elections have appropriate and requisite skills and where appointment is made in contravention of the regulations, the Minister or the MEC in the affected province must take appropriate action to correct such appointment.</w:t>
      </w:r>
    </w:p>
    <w:p w:rsidR="00DC779A" w:rsidRPr="00A325A0" w:rsidRDefault="00DC779A" w:rsidP="00A325A0">
      <w:pPr>
        <w:pStyle w:val="ListParagraph"/>
        <w:numPr>
          <w:ilvl w:val="0"/>
          <w:numId w:val="28"/>
        </w:numPr>
        <w:spacing w:after="0" w:line="360" w:lineRule="auto"/>
        <w:jc w:val="both"/>
        <w:rPr>
          <w:rFonts w:ascii="Times New Roman" w:eastAsia="Times New Roman" w:hAnsi="Times New Roman" w:cs="Times New Roman"/>
          <w:sz w:val="24"/>
          <w:szCs w:val="24"/>
          <w:lang w:val="en-GB"/>
        </w:rPr>
      </w:pPr>
      <w:proofErr w:type="spellStart"/>
      <w:r w:rsidRPr="00A325A0">
        <w:rPr>
          <w:rFonts w:ascii="Times New Roman" w:eastAsia="Times New Roman" w:hAnsi="Times New Roman" w:cs="Times New Roman"/>
          <w:sz w:val="24"/>
          <w:szCs w:val="24"/>
          <w:lang w:val="en-GB"/>
        </w:rPr>
        <w:t>CoGTA</w:t>
      </w:r>
      <w:proofErr w:type="spellEnd"/>
      <w:r w:rsidRPr="00A325A0">
        <w:rPr>
          <w:rFonts w:ascii="Times New Roman" w:eastAsia="Times New Roman" w:hAnsi="Times New Roman" w:cs="Times New Roman"/>
          <w:sz w:val="24"/>
          <w:szCs w:val="24"/>
          <w:lang w:val="en-GB"/>
        </w:rPr>
        <w:t xml:space="preserve"> and National Treasury should monitor adherence to the agreements between municipalities, water boards</w:t>
      </w:r>
      <w:r w:rsidR="006F4EF9" w:rsidRPr="00A325A0">
        <w:rPr>
          <w:rFonts w:ascii="Times New Roman" w:eastAsia="Times New Roman" w:hAnsi="Times New Roman" w:cs="Times New Roman"/>
          <w:sz w:val="24"/>
          <w:szCs w:val="24"/>
          <w:lang w:val="en-GB"/>
        </w:rPr>
        <w:t>,</w:t>
      </w:r>
      <w:r w:rsidRPr="00A325A0">
        <w:rPr>
          <w:rFonts w:ascii="Times New Roman" w:eastAsia="Times New Roman" w:hAnsi="Times New Roman" w:cs="Times New Roman"/>
          <w:sz w:val="24"/>
          <w:szCs w:val="24"/>
          <w:lang w:val="en-GB"/>
        </w:rPr>
        <w:t xml:space="preserve"> and </w:t>
      </w:r>
      <w:r w:rsidR="006F4EF9" w:rsidRPr="00A325A0">
        <w:rPr>
          <w:rFonts w:ascii="Times New Roman" w:eastAsia="Times New Roman" w:hAnsi="Times New Roman" w:cs="Times New Roman"/>
          <w:sz w:val="24"/>
          <w:szCs w:val="24"/>
          <w:lang w:val="en-GB"/>
        </w:rPr>
        <w:t>Eskom to</w:t>
      </w:r>
      <w:r w:rsidRPr="00A325A0">
        <w:rPr>
          <w:rFonts w:ascii="Times New Roman" w:eastAsia="Times New Roman" w:hAnsi="Times New Roman" w:cs="Times New Roman"/>
          <w:sz w:val="24"/>
          <w:szCs w:val="24"/>
          <w:lang w:val="en-GB"/>
        </w:rPr>
        <w:t xml:space="preserve"> ensure that proactive interventions can be made if a municipality fails to pay for services rendered.</w:t>
      </w:r>
      <w:r w:rsidR="006F4EF9" w:rsidRPr="00A325A0">
        <w:rPr>
          <w:rFonts w:ascii="Times New Roman" w:eastAsia="Times New Roman" w:hAnsi="Times New Roman" w:cs="Times New Roman"/>
          <w:sz w:val="24"/>
          <w:szCs w:val="24"/>
          <w:lang w:val="en-GB"/>
        </w:rPr>
        <w:t xml:space="preserve"> </w:t>
      </w:r>
      <w:proofErr w:type="spellStart"/>
      <w:r w:rsidR="006F4EF9" w:rsidRPr="00A325A0">
        <w:rPr>
          <w:rFonts w:ascii="Times New Roman" w:eastAsia="Times New Roman" w:hAnsi="Times New Roman" w:cs="Times New Roman"/>
          <w:sz w:val="24"/>
          <w:szCs w:val="24"/>
          <w:lang w:val="en-GB"/>
        </w:rPr>
        <w:t>GoGTA</w:t>
      </w:r>
      <w:proofErr w:type="spellEnd"/>
      <w:r w:rsidR="006F4EF9" w:rsidRPr="00A325A0">
        <w:rPr>
          <w:rFonts w:ascii="Times New Roman" w:eastAsia="Times New Roman" w:hAnsi="Times New Roman" w:cs="Times New Roman"/>
          <w:sz w:val="24"/>
          <w:szCs w:val="24"/>
          <w:lang w:val="en-GB"/>
        </w:rPr>
        <w:t xml:space="preserve"> must report to the Committee on a quarterly basis on progress made regarding payment of government debt to municipalities.</w:t>
      </w:r>
    </w:p>
    <w:p w:rsidR="00EC21DA" w:rsidRPr="00A325A0" w:rsidRDefault="00EC21DA" w:rsidP="00A325A0">
      <w:pPr>
        <w:pStyle w:val="ListParagraph"/>
        <w:numPr>
          <w:ilvl w:val="0"/>
          <w:numId w:val="28"/>
        </w:numPr>
        <w:spacing w:after="0" w:line="360" w:lineRule="auto"/>
        <w:jc w:val="both"/>
        <w:rPr>
          <w:rFonts w:ascii="Times New Roman" w:eastAsia="Times New Roman" w:hAnsi="Times New Roman" w:cs="Times New Roman"/>
          <w:sz w:val="24"/>
          <w:szCs w:val="24"/>
          <w:lang w:val="en-GB"/>
        </w:rPr>
      </w:pPr>
      <w:r w:rsidRPr="00A325A0">
        <w:rPr>
          <w:rFonts w:ascii="Times New Roman" w:eastAsia="Times New Roman" w:hAnsi="Times New Roman" w:cs="Times New Roman"/>
          <w:sz w:val="24"/>
          <w:szCs w:val="24"/>
          <w:lang w:val="en-GB"/>
        </w:rPr>
        <w:t>CRL should assist to ensure that there is greater transparency amongst the churches.</w:t>
      </w:r>
    </w:p>
    <w:p w:rsidR="00017FBE" w:rsidRDefault="00017FBE" w:rsidP="00A325A0">
      <w:pPr>
        <w:spacing w:after="0" w:line="360" w:lineRule="auto"/>
        <w:jc w:val="both"/>
        <w:rPr>
          <w:rFonts w:ascii="Times New Roman" w:eastAsia="Times New Roman" w:hAnsi="Times New Roman" w:cs="Times New Roman"/>
          <w:sz w:val="24"/>
          <w:szCs w:val="24"/>
          <w:lang w:val="en-GB"/>
        </w:rPr>
      </w:pPr>
    </w:p>
    <w:p w:rsidR="00DD7463" w:rsidRDefault="00DD7463" w:rsidP="00DD7463">
      <w:pPr>
        <w:pStyle w:val="Normalbold"/>
        <w:spacing w:line="360" w:lineRule="auto"/>
        <w:jc w:val="both"/>
        <w:rPr>
          <w:rFonts w:ascii="Times New Roman" w:hAnsi="Times New Roman"/>
          <w:b w:val="0"/>
          <w:sz w:val="24"/>
          <w:szCs w:val="24"/>
        </w:rPr>
      </w:pPr>
      <w:r w:rsidRPr="00DD7463">
        <w:rPr>
          <w:rFonts w:ascii="Times New Roman" w:hAnsi="Times New Roman"/>
          <w:b w:val="0"/>
          <w:sz w:val="24"/>
          <w:szCs w:val="24"/>
        </w:rPr>
        <w:t>In consideration of the report the</w:t>
      </w:r>
      <w:r>
        <w:rPr>
          <w:rFonts w:ascii="Times New Roman" w:hAnsi="Times New Roman"/>
          <w:sz w:val="24"/>
          <w:szCs w:val="24"/>
        </w:rPr>
        <w:t xml:space="preserve"> </w:t>
      </w:r>
      <w:r>
        <w:rPr>
          <w:rFonts w:ascii="Times New Roman" w:hAnsi="Times New Roman"/>
          <w:b w:val="0"/>
          <w:sz w:val="24"/>
          <w:szCs w:val="24"/>
        </w:rPr>
        <w:t>Democratic Alliance (DA) abstained from voting and the Economic Freedom Fighters (EFF) did not agree to the report.</w:t>
      </w:r>
    </w:p>
    <w:p w:rsidR="00DD7463" w:rsidRPr="00A325A0" w:rsidRDefault="00DD7463" w:rsidP="00A325A0">
      <w:pPr>
        <w:spacing w:after="0" w:line="360" w:lineRule="auto"/>
        <w:jc w:val="both"/>
        <w:rPr>
          <w:rFonts w:ascii="Times New Roman" w:eastAsia="Times New Roman" w:hAnsi="Times New Roman" w:cs="Times New Roman"/>
          <w:sz w:val="24"/>
          <w:szCs w:val="24"/>
          <w:lang w:val="en-GB"/>
        </w:rPr>
      </w:pPr>
    </w:p>
    <w:p w:rsidR="00017FBE" w:rsidRPr="00A325A0" w:rsidRDefault="00017FBE" w:rsidP="00A325A0">
      <w:pPr>
        <w:pStyle w:val="Normalbold"/>
        <w:spacing w:line="360" w:lineRule="auto"/>
        <w:jc w:val="both"/>
        <w:rPr>
          <w:rFonts w:ascii="Times New Roman" w:hAnsi="Times New Roman"/>
          <w:b w:val="0"/>
          <w:sz w:val="24"/>
          <w:szCs w:val="24"/>
        </w:rPr>
      </w:pPr>
      <w:r w:rsidRPr="00A325A0">
        <w:rPr>
          <w:rFonts w:ascii="Times New Roman" w:hAnsi="Times New Roman"/>
          <w:b w:val="0"/>
          <w:sz w:val="24"/>
          <w:szCs w:val="24"/>
        </w:rPr>
        <w:t xml:space="preserve">The Committee is </w:t>
      </w:r>
      <w:r w:rsidR="008334A3" w:rsidRPr="00A325A0">
        <w:rPr>
          <w:rFonts w:ascii="Times New Roman" w:hAnsi="Times New Roman"/>
          <w:b w:val="0"/>
          <w:sz w:val="24"/>
          <w:szCs w:val="24"/>
        </w:rPr>
        <w:t>encouraged</w:t>
      </w:r>
      <w:r w:rsidRPr="00A325A0">
        <w:rPr>
          <w:rFonts w:ascii="Times New Roman" w:hAnsi="Times New Roman"/>
          <w:b w:val="0"/>
          <w:sz w:val="24"/>
          <w:szCs w:val="24"/>
        </w:rPr>
        <w:t xml:space="preserve"> </w:t>
      </w:r>
      <w:r w:rsidR="00615E91" w:rsidRPr="00A325A0">
        <w:rPr>
          <w:rFonts w:ascii="Times New Roman" w:hAnsi="Times New Roman"/>
          <w:b w:val="0"/>
          <w:sz w:val="24"/>
          <w:szCs w:val="24"/>
        </w:rPr>
        <w:t>by the</w:t>
      </w:r>
      <w:r w:rsidRPr="00A325A0">
        <w:rPr>
          <w:rFonts w:ascii="Times New Roman" w:hAnsi="Times New Roman"/>
          <w:b w:val="0"/>
          <w:sz w:val="24"/>
          <w:szCs w:val="24"/>
        </w:rPr>
        <w:t xml:space="preserve"> Annual Performance Plans for 201</w:t>
      </w:r>
      <w:r w:rsidR="00081066" w:rsidRPr="00A325A0">
        <w:rPr>
          <w:rFonts w:ascii="Times New Roman" w:hAnsi="Times New Roman"/>
          <w:b w:val="0"/>
          <w:sz w:val="24"/>
          <w:szCs w:val="24"/>
        </w:rPr>
        <w:t>6</w:t>
      </w:r>
      <w:r w:rsidRPr="00A325A0">
        <w:rPr>
          <w:rFonts w:ascii="Times New Roman" w:hAnsi="Times New Roman"/>
          <w:b w:val="0"/>
          <w:sz w:val="24"/>
          <w:szCs w:val="24"/>
        </w:rPr>
        <w:t>-201</w:t>
      </w:r>
      <w:r w:rsidR="00081066" w:rsidRPr="00A325A0">
        <w:rPr>
          <w:rFonts w:ascii="Times New Roman" w:hAnsi="Times New Roman"/>
          <w:b w:val="0"/>
          <w:sz w:val="24"/>
          <w:szCs w:val="24"/>
        </w:rPr>
        <w:t>7</w:t>
      </w:r>
      <w:r w:rsidRPr="00A325A0">
        <w:rPr>
          <w:rFonts w:ascii="Times New Roman" w:hAnsi="Times New Roman"/>
          <w:b w:val="0"/>
          <w:sz w:val="24"/>
          <w:szCs w:val="24"/>
        </w:rPr>
        <w:t xml:space="preserve"> of the Department of Cooperative Governance and Traditional Affairs, SALGA, CRL Rights Commission</w:t>
      </w:r>
      <w:r w:rsidR="00BF00E1" w:rsidRPr="00A325A0">
        <w:rPr>
          <w:rFonts w:ascii="Times New Roman" w:hAnsi="Times New Roman"/>
          <w:b w:val="0"/>
          <w:sz w:val="24"/>
          <w:szCs w:val="24"/>
        </w:rPr>
        <w:t>, MISA</w:t>
      </w:r>
      <w:r w:rsidRPr="00A325A0">
        <w:rPr>
          <w:rFonts w:ascii="Times New Roman" w:hAnsi="Times New Roman"/>
          <w:b w:val="0"/>
          <w:sz w:val="24"/>
          <w:szCs w:val="24"/>
        </w:rPr>
        <w:t xml:space="preserve"> and MDB</w:t>
      </w:r>
      <w:r w:rsidR="001E43FE" w:rsidRPr="00A325A0">
        <w:rPr>
          <w:rFonts w:ascii="Times New Roman" w:hAnsi="Times New Roman"/>
          <w:b w:val="0"/>
          <w:sz w:val="24"/>
          <w:szCs w:val="24"/>
        </w:rPr>
        <w:t>,</w:t>
      </w:r>
      <w:r w:rsidRPr="00A325A0">
        <w:rPr>
          <w:rFonts w:ascii="Times New Roman" w:hAnsi="Times New Roman"/>
          <w:b w:val="0"/>
          <w:sz w:val="24"/>
          <w:szCs w:val="24"/>
        </w:rPr>
        <w:t xml:space="preserve"> and accordingly supports </w:t>
      </w:r>
      <w:r w:rsidR="00615E91" w:rsidRPr="00A325A0">
        <w:rPr>
          <w:rFonts w:ascii="Times New Roman" w:hAnsi="Times New Roman"/>
          <w:b w:val="0"/>
          <w:sz w:val="24"/>
          <w:szCs w:val="24"/>
        </w:rPr>
        <w:t>their implementation</w:t>
      </w:r>
      <w:r w:rsidRPr="00A325A0">
        <w:rPr>
          <w:rFonts w:ascii="Times New Roman" w:hAnsi="Times New Roman"/>
          <w:b w:val="0"/>
          <w:sz w:val="24"/>
          <w:szCs w:val="24"/>
        </w:rPr>
        <w:t xml:space="preserve">. </w:t>
      </w:r>
    </w:p>
    <w:p w:rsidR="00017FBE" w:rsidRPr="00A325A0" w:rsidRDefault="00017FBE" w:rsidP="00A325A0">
      <w:pPr>
        <w:pStyle w:val="Normalbold"/>
        <w:spacing w:line="360" w:lineRule="auto"/>
        <w:jc w:val="both"/>
        <w:rPr>
          <w:rFonts w:ascii="Times New Roman" w:hAnsi="Times New Roman"/>
          <w:b w:val="0"/>
          <w:sz w:val="24"/>
          <w:szCs w:val="24"/>
        </w:rPr>
      </w:pPr>
    </w:p>
    <w:p w:rsidR="00DD7463" w:rsidRPr="00A325A0" w:rsidRDefault="00DD7463" w:rsidP="00DD7463">
      <w:pPr>
        <w:pStyle w:val="Normalbold"/>
        <w:spacing w:line="360" w:lineRule="auto"/>
        <w:jc w:val="both"/>
        <w:rPr>
          <w:rFonts w:ascii="Times New Roman" w:hAnsi="Times New Roman"/>
          <w:b w:val="0"/>
          <w:sz w:val="24"/>
          <w:szCs w:val="24"/>
        </w:rPr>
      </w:pPr>
      <w:r w:rsidRPr="00A325A0">
        <w:rPr>
          <w:rFonts w:ascii="Times New Roman" w:hAnsi="Times New Roman"/>
          <w:b w:val="0"/>
          <w:sz w:val="24"/>
          <w:szCs w:val="24"/>
        </w:rPr>
        <w:t>The Committee recommends that the 2016-2017 budget allocation to the Department of Cooperative Governance and Traditional Affairs and its entities be approved.</w:t>
      </w:r>
      <w:r>
        <w:rPr>
          <w:rFonts w:ascii="Times New Roman" w:hAnsi="Times New Roman"/>
          <w:b w:val="0"/>
          <w:sz w:val="24"/>
          <w:szCs w:val="24"/>
        </w:rPr>
        <w:t xml:space="preserve"> </w:t>
      </w:r>
    </w:p>
    <w:p w:rsidR="00DD7463" w:rsidRPr="00A325A0" w:rsidRDefault="00DD7463" w:rsidP="00A325A0">
      <w:pPr>
        <w:pStyle w:val="Normalbold"/>
        <w:spacing w:line="360" w:lineRule="auto"/>
        <w:jc w:val="both"/>
        <w:rPr>
          <w:rFonts w:ascii="Times New Roman" w:hAnsi="Times New Roman"/>
          <w:b w:val="0"/>
          <w:sz w:val="24"/>
          <w:szCs w:val="24"/>
        </w:rPr>
      </w:pPr>
    </w:p>
    <w:p w:rsidR="00017FBE" w:rsidRPr="00A325A0" w:rsidRDefault="00017FBE" w:rsidP="00A325A0">
      <w:pPr>
        <w:pStyle w:val="Normalbold"/>
        <w:spacing w:line="360" w:lineRule="auto"/>
        <w:jc w:val="both"/>
        <w:rPr>
          <w:rFonts w:ascii="Times New Roman" w:hAnsi="Times New Roman"/>
          <w:b w:val="0"/>
          <w:sz w:val="24"/>
          <w:szCs w:val="24"/>
        </w:rPr>
      </w:pPr>
      <w:r w:rsidRPr="00A325A0">
        <w:rPr>
          <w:rFonts w:ascii="Times New Roman" w:hAnsi="Times New Roman"/>
          <w:b w:val="0"/>
          <w:sz w:val="24"/>
          <w:szCs w:val="24"/>
        </w:rPr>
        <w:t>Report to be considered.</w:t>
      </w:r>
    </w:p>
    <w:p w:rsidR="00017FBE" w:rsidRPr="00A325A0" w:rsidRDefault="00017FBE" w:rsidP="00A325A0">
      <w:pPr>
        <w:spacing w:after="0" w:line="360" w:lineRule="auto"/>
        <w:jc w:val="both"/>
        <w:rPr>
          <w:rFonts w:ascii="Times New Roman" w:eastAsia="Times New Roman" w:hAnsi="Times New Roman" w:cs="Times New Roman"/>
          <w:sz w:val="24"/>
          <w:szCs w:val="24"/>
          <w:lang w:val="en-GB"/>
        </w:rPr>
      </w:pPr>
    </w:p>
    <w:sectPr w:rsidR="00017FBE" w:rsidRPr="00A325A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7BE" w:rsidRDefault="00BC77BE" w:rsidP="000C5A3A">
      <w:pPr>
        <w:spacing w:after="0" w:line="240" w:lineRule="auto"/>
      </w:pPr>
      <w:r>
        <w:separator/>
      </w:r>
    </w:p>
  </w:endnote>
  <w:endnote w:type="continuationSeparator" w:id="0">
    <w:p w:rsidR="00BC77BE" w:rsidRDefault="00BC77BE" w:rsidP="000C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806394"/>
      <w:docPartObj>
        <w:docPartGallery w:val="Page Numbers (Bottom of Page)"/>
        <w:docPartUnique/>
      </w:docPartObj>
    </w:sdtPr>
    <w:sdtEndPr>
      <w:rPr>
        <w:noProof/>
      </w:rPr>
    </w:sdtEndPr>
    <w:sdtContent>
      <w:p w:rsidR="00FA4B9B" w:rsidRDefault="00FA4B9B">
        <w:pPr>
          <w:pStyle w:val="Footer"/>
          <w:jc w:val="center"/>
        </w:pPr>
        <w:r>
          <w:fldChar w:fldCharType="begin"/>
        </w:r>
        <w:r>
          <w:instrText xml:space="preserve"> PAGE   \* MERGEFORMAT </w:instrText>
        </w:r>
        <w:r>
          <w:fldChar w:fldCharType="separate"/>
        </w:r>
        <w:r w:rsidR="00591696">
          <w:rPr>
            <w:noProof/>
          </w:rPr>
          <w:t>1</w:t>
        </w:r>
        <w:r>
          <w:rPr>
            <w:noProof/>
          </w:rPr>
          <w:fldChar w:fldCharType="end"/>
        </w:r>
      </w:p>
    </w:sdtContent>
  </w:sdt>
  <w:p w:rsidR="00FA4B9B" w:rsidRDefault="00FA4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7BE" w:rsidRDefault="00BC77BE" w:rsidP="000C5A3A">
      <w:pPr>
        <w:spacing w:after="0" w:line="240" w:lineRule="auto"/>
      </w:pPr>
      <w:r>
        <w:separator/>
      </w:r>
    </w:p>
  </w:footnote>
  <w:footnote w:type="continuationSeparator" w:id="0">
    <w:p w:rsidR="00BC77BE" w:rsidRDefault="00BC77BE" w:rsidP="000C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438"/>
    <w:multiLevelType w:val="multilevel"/>
    <w:tmpl w:val="BEEAB3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9866B2"/>
    <w:multiLevelType w:val="hybridMultilevel"/>
    <w:tmpl w:val="5E2E8B6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7DD386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2C05CA"/>
    <w:multiLevelType w:val="hybridMultilevel"/>
    <w:tmpl w:val="89B42F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47F5AEC"/>
    <w:multiLevelType w:val="hybridMultilevel"/>
    <w:tmpl w:val="05E2FC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A670D8"/>
    <w:multiLevelType w:val="hybridMultilevel"/>
    <w:tmpl w:val="3FFAD5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39D3CB7"/>
    <w:multiLevelType w:val="multilevel"/>
    <w:tmpl w:val="04D812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1A323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021792F"/>
    <w:multiLevelType w:val="hybridMultilevel"/>
    <w:tmpl w:val="5082DB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61554C9"/>
    <w:multiLevelType w:val="multilevel"/>
    <w:tmpl w:val="B85E7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66721B8"/>
    <w:multiLevelType w:val="hybridMultilevel"/>
    <w:tmpl w:val="784A200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DD2570"/>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nsid w:val="53BF01C4"/>
    <w:multiLevelType w:val="hybridMultilevel"/>
    <w:tmpl w:val="64D4A6F0"/>
    <w:lvl w:ilvl="0" w:tplc="EEFAB09C">
      <w:start w:val="1"/>
      <w:numFmt w:val="decimal"/>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798236C"/>
    <w:multiLevelType w:val="hybridMultilevel"/>
    <w:tmpl w:val="1ADE0B0E"/>
    <w:lvl w:ilvl="0" w:tplc="1C090001">
      <w:start w:val="1"/>
      <w:numFmt w:val="bullet"/>
      <w:lvlText w:val=""/>
      <w:lvlJc w:val="left"/>
      <w:pPr>
        <w:ind w:left="1816" w:hanging="360"/>
      </w:pPr>
      <w:rPr>
        <w:rFonts w:ascii="Symbol" w:hAnsi="Symbol" w:hint="default"/>
      </w:rPr>
    </w:lvl>
    <w:lvl w:ilvl="1" w:tplc="1C090003" w:tentative="1">
      <w:start w:val="1"/>
      <w:numFmt w:val="bullet"/>
      <w:lvlText w:val="o"/>
      <w:lvlJc w:val="left"/>
      <w:pPr>
        <w:ind w:left="2536" w:hanging="360"/>
      </w:pPr>
      <w:rPr>
        <w:rFonts w:ascii="Courier New" w:hAnsi="Courier New" w:cs="Courier New" w:hint="default"/>
      </w:rPr>
    </w:lvl>
    <w:lvl w:ilvl="2" w:tplc="1C090005" w:tentative="1">
      <w:start w:val="1"/>
      <w:numFmt w:val="bullet"/>
      <w:lvlText w:val=""/>
      <w:lvlJc w:val="left"/>
      <w:pPr>
        <w:ind w:left="3256" w:hanging="360"/>
      </w:pPr>
      <w:rPr>
        <w:rFonts w:ascii="Wingdings" w:hAnsi="Wingdings" w:hint="default"/>
      </w:rPr>
    </w:lvl>
    <w:lvl w:ilvl="3" w:tplc="1C090001" w:tentative="1">
      <w:start w:val="1"/>
      <w:numFmt w:val="bullet"/>
      <w:lvlText w:val=""/>
      <w:lvlJc w:val="left"/>
      <w:pPr>
        <w:ind w:left="3976" w:hanging="360"/>
      </w:pPr>
      <w:rPr>
        <w:rFonts w:ascii="Symbol" w:hAnsi="Symbol" w:hint="default"/>
      </w:rPr>
    </w:lvl>
    <w:lvl w:ilvl="4" w:tplc="1C090003" w:tentative="1">
      <w:start w:val="1"/>
      <w:numFmt w:val="bullet"/>
      <w:lvlText w:val="o"/>
      <w:lvlJc w:val="left"/>
      <w:pPr>
        <w:ind w:left="4696" w:hanging="360"/>
      </w:pPr>
      <w:rPr>
        <w:rFonts w:ascii="Courier New" w:hAnsi="Courier New" w:cs="Courier New" w:hint="default"/>
      </w:rPr>
    </w:lvl>
    <w:lvl w:ilvl="5" w:tplc="1C090005" w:tentative="1">
      <w:start w:val="1"/>
      <w:numFmt w:val="bullet"/>
      <w:lvlText w:val=""/>
      <w:lvlJc w:val="left"/>
      <w:pPr>
        <w:ind w:left="5416" w:hanging="360"/>
      </w:pPr>
      <w:rPr>
        <w:rFonts w:ascii="Wingdings" w:hAnsi="Wingdings" w:hint="default"/>
      </w:rPr>
    </w:lvl>
    <w:lvl w:ilvl="6" w:tplc="1C090001" w:tentative="1">
      <w:start w:val="1"/>
      <w:numFmt w:val="bullet"/>
      <w:lvlText w:val=""/>
      <w:lvlJc w:val="left"/>
      <w:pPr>
        <w:ind w:left="6136" w:hanging="360"/>
      </w:pPr>
      <w:rPr>
        <w:rFonts w:ascii="Symbol" w:hAnsi="Symbol" w:hint="default"/>
      </w:rPr>
    </w:lvl>
    <w:lvl w:ilvl="7" w:tplc="1C090003" w:tentative="1">
      <w:start w:val="1"/>
      <w:numFmt w:val="bullet"/>
      <w:lvlText w:val="o"/>
      <w:lvlJc w:val="left"/>
      <w:pPr>
        <w:ind w:left="6856" w:hanging="360"/>
      </w:pPr>
      <w:rPr>
        <w:rFonts w:ascii="Courier New" w:hAnsi="Courier New" w:cs="Courier New" w:hint="default"/>
      </w:rPr>
    </w:lvl>
    <w:lvl w:ilvl="8" w:tplc="1C090005" w:tentative="1">
      <w:start w:val="1"/>
      <w:numFmt w:val="bullet"/>
      <w:lvlText w:val=""/>
      <w:lvlJc w:val="left"/>
      <w:pPr>
        <w:ind w:left="7576" w:hanging="360"/>
      </w:pPr>
      <w:rPr>
        <w:rFonts w:ascii="Wingdings" w:hAnsi="Wingdings" w:hint="default"/>
      </w:rPr>
    </w:lvl>
  </w:abstractNum>
  <w:abstractNum w:abstractNumId="15">
    <w:nsid w:val="5C447401"/>
    <w:multiLevelType w:val="hybridMultilevel"/>
    <w:tmpl w:val="5C9AF4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C76624A"/>
    <w:multiLevelType w:val="hybridMultilevel"/>
    <w:tmpl w:val="AB9888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DD15F49"/>
    <w:multiLevelType w:val="hybridMultilevel"/>
    <w:tmpl w:val="74F68C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0BB43DD"/>
    <w:multiLevelType w:val="hybridMultilevel"/>
    <w:tmpl w:val="93828C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1D97F37"/>
    <w:multiLevelType w:val="hybridMultilevel"/>
    <w:tmpl w:val="5EBE1C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A81F49"/>
    <w:multiLevelType w:val="hybridMultilevel"/>
    <w:tmpl w:val="CC32142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657175F0"/>
    <w:multiLevelType w:val="hybridMultilevel"/>
    <w:tmpl w:val="968E5D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6A0607A"/>
    <w:multiLevelType w:val="hybridMultilevel"/>
    <w:tmpl w:val="EF9851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365D55"/>
    <w:multiLevelType w:val="hybridMultilevel"/>
    <w:tmpl w:val="9B9C20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3A37F1C"/>
    <w:multiLevelType w:val="hybridMultilevel"/>
    <w:tmpl w:val="72663C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78064592"/>
    <w:multiLevelType w:val="hybridMultilevel"/>
    <w:tmpl w:val="48FA11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A3D5A18"/>
    <w:multiLevelType w:val="hybridMultilevel"/>
    <w:tmpl w:val="1E40F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0"/>
  </w:num>
  <w:num w:numId="7">
    <w:abstractNumId w:val="12"/>
  </w:num>
  <w:num w:numId="8">
    <w:abstractNumId w:val="20"/>
  </w:num>
  <w:num w:numId="9">
    <w:abstractNumId w:val="10"/>
  </w:num>
  <w:num w:numId="10">
    <w:abstractNumId w:val="23"/>
  </w:num>
  <w:num w:numId="11">
    <w:abstractNumId w:val="11"/>
  </w:num>
  <w:num w:numId="12">
    <w:abstractNumId w:val="7"/>
  </w:num>
  <w:num w:numId="13">
    <w:abstractNumId w:val="1"/>
  </w:num>
  <w:num w:numId="14">
    <w:abstractNumId w:val="16"/>
  </w:num>
  <w:num w:numId="15">
    <w:abstractNumId w:val="4"/>
  </w:num>
  <w:num w:numId="16">
    <w:abstractNumId w:val="19"/>
  </w:num>
  <w:num w:numId="17">
    <w:abstractNumId w:val="27"/>
  </w:num>
  <w:num w:numId="18">
    <w:abstractNumId w:val="25"/>
  </w:num>
  <w:num w:numId="19">
    <w:abstractNumId w:val="2"/>
  </w:num>
  <w:num w:numId="20">
    <w:abstractNumId w:val="17"/>
  </w:num>
  <w:num w:numId="21">
    <w:abstractNumId w:val="14"/>
  </w:num>
  <w:num w:numId="22">
    <w:abstractNumId w:val="18"/>
  </w:num>
  <w:num w:numId="23">
    <w:abstractNumId w:val="26"/>
  </w:num>
  <w:num w:numId="24">
    <w:abstractNumId w:val="21"/>
  </w:num>
  <w:num w:numId="25">
    <w:abstractNumId w:val="3"/>
  </w:num>
  <w:num w:numId="26">
    <w:abstractNumId w:val="13"/>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3A"/>
    <w:rsid w:val="00017FBE"/>
    <w:rsid w:val="000623C3"/>
    <w:rsid w:val="00081066"/>
    <w:rsid w:val="0009199E"/>
    <w:rsid w:val="000B04BA"/>
    <w:rsid w:val="000C1A45"/>
    <w:rsid w:val="000C5A3A"/>
    <w:rsid w:val="000E42C4"/>
    <w:rsid w:val="000F22A1"/>
    <w:rsid w:val="001047F4"/>
    <w:rsid w:val="0011007E"/>
    <w:rsid w:val="00112AAE"/>
    <w:rsid w:val="00134E06"/>
    <w:rsid w:val="00137DE7"/>
    <w:rsid w:val="00197082"/>
    <w:rsid w:val="001A7C59"/>
    <w:rsid w:val="001D65F1"/>
    <w:rsid w:val="001E071E"/>
    <w:rsid w:val="001E43FE"/>
    <w:rsid w:val="001E72C1"/>
    <w:rsid w:val="0021543C"/>
    <w:rsid w:val="00253D0D"/>
    <w:rsid w:val="00262827"/>
    <w:rsid w:val="002A3B38"/>
    <w:rsid w:val="002A7635"/>
    <w:rsid w:val="002C1FB9"/>
    <w:rsid w:val="002E715B"/>
    <w:rsid w:val="002F0C08"/>
    <w:rsid w:val="003373F1"/>
    <w:rsid w:val="003406CC"/>
    <w:rsid w:val="0037093E"/>
    <w:rsid w:val="00396B5D"/>
    <w:rsid w:val="003D0701"/>
    <w:rsid w:val="004049C8"/>
    <w:rsid w:val="004129A8"/>
    <w:rsid w:val="00430A46"/>
    <w:rsid w:val="00456298"/>
    <w:rsid w:val="00487823"/>
    <w:rsid w:val="004919B3"/>
    <w:rsid w:val="00495569"/>
    <w:rsid w:val="004A09AD"/>
    <w:rsid w:val="004A665C"/>
    <w:rsid w:val="004B2E42"/>
    <w:rsid w:val="004C4FDD"/>
    <w:rsid w:val="004C63EE"/>
    <w:rsid w:val="004E5748"/>
    <w:rsid w:val="004F0AB8"/>
    <w:rsid w:val="00505BFC"/>
    <w:rsid w:val="005074BA"/>
    <w:rsid w:val="00511AB0"/>
    <w:rsid w:val="005325C5"/>
    <w:rsid w:val="00545EF4"/>
    <w:rsid w:val="0056171A"/>
    <w:rsid w:val="00574D0F"/>
    <w:rsid w:val="00591696"/>
    <w:rsid w:val="005E1D6E"/>
    <w:rsid w:val="00615E91"/>
    <w:rsid w:val="00643668"/>
    <w:rsid w:val="006B1573"/>
    <w:rsid w:val="006D55A9"/>
    <w:rsid w:val="006E76B3"/>
    <w:rsid w:val="006F4EF9"/>
    <w:rsid w:val="0070625F"/>
    <w:rsid w:val="007552D3"/>
    <w:rsid w:val="007652C6"/>
    <w:rsid w:val="00767C32"/>
    <w:rsid w:val="007A4B59"/>
    <w:rsid w:val="007A6312"/>
    <w:rsid w:val="007C7CD3"/>
    <w:rsid w:val="007E22F3"/>
    <w:rsid w:val="007E5F68"/>
    <w:rsid w:val="007E60AF"/>
    <w:rsid w:val="007E7E44"/>
    <w:rsid w:val="008046D4"/>
    <w:rsid w:val="008144CD"/>
    <w:rsid w:val="00816834"/>
    <w:rsid w:val="00830A35"/>
    <w:rsid w:val="008334A3"/>
    <w:rsid w:val="00836DE6"/>
    <w:rsid w:val="00847677"/>
    <w:rsid w:val="008B5079"/>
    <w:rsid w:val="008B66D3"/>
    <w:rsid w:val="008B7595"/>
    <w:rsid w:val="008E072B"/>
    <w:rsid w:val="008F7AE0"/>
    <w:rsid w:val="00923C69"/>
    <w:rsid w:val="00932FE1"/>
    <w:rsid w:val="00943548"/>
    <w:rsid w:val="00960723"/>
    <w:rsid w:val="009D3A1E"/>
    <w:rsid w:val="00A325A0"/>
    <w:rsid w:val="00A54930"/>
    <w:rsid w:val="00A730FF"/>
    <w:rsid w:val="00A85A16"/>
    <w:rsid w:val="00AB0650"/>
    <w:rsid w:val="00AB0BD7"/>
    <w:rsid w:val="00AB4219"/>
    <w:rsid w:val="00AC47DC"/>
    <w:rsid w:val="00B01930"/>
    <w:rsid w:val="00B12132"/>
    <w:rsid w:val="00B307AF"/>
    <w:rsid w:val="00B37C45"/>
    <w:rsid w:val="00B65BC0"/>
    <w:rsid w:val="00B80949"/>
    <w:rsid w:val="00B82F9A"/>
    <w:rsid w:val="00B965D0"/>
    <w:rsid w:val="00BA007A"/>
    <w:rsid w:val="00BB36DF"/>
    <w:rsid w:val="00BC77BE"/>
    <w:rsid w:val="00BE0383"/>
    <w:rsid w:val="00BF00E1"/>
    <w:rsid w:val="00C101F9"/>
    <w:rsid w:val="00C319E2"/>
    <w:rsid w:val="00C35567"/>
    <w:rsid w:val="00C41966"/>
    <w:rsid w:val="00C43CF1"/>
    <w:rsid w:val="00C463BB"/>
    <w:rsid w:val="00C63DFB"/>
    <w:rsid w:val="00C6538C"/>
    <w:rsid w:val="00C66577"/>
    <w:rsid w:val="00C71E77"/>
    <w:rsid w:val="00C74010"/>
    <w:rsid w:val="00C96AE1"/>
    <w:rsid w:val="00CA1604"/>
    <w:rsid w:val="00CA4889"/>
    <w:rsid w:val="00CA67CB"/>
    <w:rsid w:val="00CD2FE3"/>
    <w:rsid w:val="00D477C0"/>
    <w:rsid w:val="00D6167F"/>
    <w:rsid w:val="00D61C88"/>
    <w:rsid w:val="00D64634"/>
    <w:rsid w:val="00D73FD8"/>
    <w:rsid w:val="00D8126A"/>
    <w:rsid w:val="00D90FBB"/>
    <w:rsid w:val="00DA5B40"/>
    <w:rsid w:val="00DB2F9D"/>
    <w:rsid w:val="00DC779A"/>
    <w:rsid w:val="00DD6507"/>
    <w:rsid w:val="00DD7463"/>
    <w:rsid w:val="00DF37BB"/>
    <w:rsid w:val="00DF3851"/>
    <w:rsid w:val="00E176BA"/>
    <w:rsid w:val="00E37F13"/>
    <w:rsid w:val="00E66625"/>
    <w:rsid w:val="00E70572"/>
    <w:rsid w:val="00E70651"/>
    <w:rsid w:val="00E87C88"/>
    <w:rsid w:val="00E95B29"/>
    <w:rsid w:val="00EA5847"/>
    <w:rsid w:val="00EB78B9"/>
    <w:rsid w:val="00EC21DA"/>
    <w:rsid w:val="00EF0A01"/>
    <w:rsid w:val="00F05FE7"/>
    <w:rsid w:val="00F06447"/>
    <w:rsid w:val="00F20BA4"/>
    <w:rsid w:val="00F36FCD"/>
    <w:rsid w:val="00F81710"/>
    <w:rsid w:val="00FA3818"/>
    <w:rsid w:val="00FA4B9B"/>
    <w:rsid w:val="00FF5E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7635"/>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paragraph" w:styleId="Heading2">
    <w:name w:val="heading 2"/>
    <w:basedOn w:val="Normal"/>
    <w:next w:val="Normal"/>
    <w:link w:val="Heading2Char"/>
    <w:uiPriority w:val="9"/>
    <w:unhideWhenUsed/>
    <w:qFormat/>
    <w:rsid w:val="002A7635"/>
    <w:pPr>
      <w:keepNext/>
      <w:keepLines/>
      <w:spacing w:before="40" w:after="0" w:line="280" w:lineRule="exact"/>
      <w:outlineLvl w:val="1"/>
    </w:pPr>
    <w:rPr>
      <w:rFonts w:ascii="Arial" w:eastAsiaTheme="majorEastAsia" w:hAnsi="Arial" w:cstheme="majorBidi"/>
      <w:b/>
      <w:color w:val="538135" w:themeColor="accent6" w:themeShade="BF"/>
      <w:szCs w:val="26"/>
    </w:rPr>
  </w:style>
  <w:style w:type="paragraph" w:styleId="Heading3">
    <w:name w:val="heading 3"/>
    <w:basedOn w:val="Normal"/>
    <w:next w:val="Normal"/>
    <w:link w:val="Heading3Char"/>
    <w:uiPriority w:val="9"/>
    <w:unhideWhenUsed/>
    <w:qFormat/>
    <w:rsid w:val="002A7635"/>
    <w:pPr>
      <w:keepNext/>
      <w:keepLines/>
      <w:spacing w:after="0" w:line="280" w:lineRule="exact"/>
      <w:jc w:val="both"/>
      <w:outlineLvl w:val="2"/>
    </w:pPr>
    <w:rPr>
      <w:rFonts w:ascii="Arial" w:eastAsiaTheme="majorEastAsia" w:hAnsi="Arial" w:cstheme="majorBidi"/>
      <w:b/>
      <w:i/>
      <w:color w:val="538135" w:themeColor="accent6" w:themeShade="BF"/>
      <w:szCs w:val="24"/>
    </w:rPr>
  </w:style>
  <w:style w:type="paragraph" w:styleId="Heading4">
    <w:name w:val="heading 4"/>
    <w:basedOn w:val="Normal"/>
    <w:next w:val="Normal"/>
    <w:link w:val="Heading4Char"/>
    <w:uiPriority w:val="9"/>
    <w:semiHidden/>
    <w:unhideWhenUsed/>
    <w:rsid w:val="002A7635"/>
    <w:pPr>
      <w:keepNext/>
      <w:keepLines/>
      <w:spacing w:before="40" w:after="0" w:line="280" w:lineRule="exact"/>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7635"/>
    <w:pPr>
      <w:keepNext/>
      <w:keepLines/>
      <w:spacing w:before="40" w:after="0" w:line="280" w:lineRule="exact"/>
      <w:jc w:val="both"/>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A7635"/>
    <w:pPr>
      <w:keepNext/>
      <w:keepLines/>
      <w:spacing w:before="40" w:after="0" w:line="280" w:lineRule="exact"/>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A7635"/>
    <w:pPr>
      <w:keepNext/>
      <w:keepLines/>
      <w:spacing w:before="40" w:after="0" w:line="280" w:lineRule="exact"/>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A7635"/>
    <w:pPr>
      <w:keepNext/>
      <w:keepLines/>
      <w:spacing w:before="40" w:after="0" w:line="280" w:lineRule="exact"/>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7635"/>
    <w:pPr>
      <w:keepNext/>
      <w:keepLines/>
      <w:spacing w:before="40" w:after="0" w:line="280" w:lineRule="exact"/>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C5A3A"/>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0C5A3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0C5A3A"/>
    <w:rPr>
      <w:vertAlign w:val="superscript"/>
    </w:rPr>
  </w:style>
  <w:style w:type="paragraph" w:styleId="ListParagraph">
    <w:name w:val="List Paragraph"/>
    <w:basedOn w:val="Normal"/>
    <w:uiPriority w:val="34"/>
    <w:qFormat/>
    <w:rsid w:val="008144CD"/>
    <w:pPr>
      <w:ind w:left="720"/>
      <w:contextualSpacing/>
    </w:pPr>
  </w:style>
  <w:style w:type="character" w:styleId="Hyperlink">
    <w:name w:val="Hyperlink"/>
    <w:basedOn w:val="DefaultParagraphFont"/>
    <w:uiPriority w:val="99"/>
    <w:unhideWhenUsed/>
    <w:rsid w:val="0009199E"/>
    <w:rPr>
      <w:color w:val="0000FF"/>
      <w:u w:val="single"/>
    </w:rPr>
  </w:style>
  <w:style w:type="paragraph" w:customStyle="1" w:styleId="Normalbold">
    <w:name w:val="Normal bold"/>
    <w:basedOn w:val="Normal"/>
    <w:rsid w:val="001A7C59"/>
    <w:pPr>
      <w:spacing w:after="0" w:line="280" w:lineRule="exact"/>
    </w:pPr>
    <w:rPr>
      <w:rFonts w:ascii="Arial" w:eastAsia="Times New Roman" w:hAnsi="Arial" w:cs="Times New Roman"/>
      <w:b/>
      <w:color w:val="000000"/>
      <w:spacing w:val="6"/>
      <w:sz w:val="18"/>
      <w:szCs w:val="18"/>
      <w:lang w:val="en-GB" w:eastAsia="en-GB"/>
    </w:rPr>
  </w:style>
  <w:style w:type="character" w:customStyle="1" w:styleId="Heading1Char">
    <w:name w:val="Heading 1 Char"/>
    <w:basedOn w:val="DefaultParagraphFont"/>
    <w:link w:val="Heading1"/>
    <w:uiPriority w:val="9"/>
    <w:rsid w:val="002A7635"/>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2A7635"/>
    <w:rPr>
      <w:rFonts w:ascii="Arial" w:eastAsiaTheme="majorEastAsia" w:hAnsi="Arial" w:cstheme="majorBidi"/>
      <w:b/>
      <w:color w:val="538135" w:themeColor="accent6" w:themeShade="BF"/>
      <w:szCs w:val="26"/>
    </w:rPr>
  </w:style>
  <w:style w:type="character" w:customStyle="1" w:styleId="Heading3Char">
    <w:name w:val="Heading 3 Char"/>
    <w:basedOn w:val="DefaultParagraphFont"/>
    <w:link w:val="Heading3"/>
    <w:uiPriority w:val="9"/>
    <w:rsid w:val="002A7635"/>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2A763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A763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A763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A763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A76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763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A7635"/>
    <w:pPr>
      <w:tabs>
        <w:tab w:val="center" w:pos="4513"/>
        <w:tab w:val="right" w:pos="9026"/>
      </w:tabs>
      <w:spacing w:after="0" w:line="240" w:lineRule="auto"/>
      <w:jc w:val="both"/>
    </w:pPr>
    <w:rPr>
      <w:rFonts w:ascii="Arial" w:hAnsi="Arial"/>
    </w:rPr>
  </w:style>
  <w:style w:type="character" w:customStyle="1" w:styleId="HeaderChar">
    <w:name w:val="Header Char"/>
    <w:basedOn w:val="DefaultParagraphFont"/>
    <w:link w:val="Header"/>
    <w:uiPriority w:val="99"/>
    <w:rsid w:val="002A7635"/>
    <w:rPr>
      <w:rFonts w:ascii="Arial" w:hAnsi="Arial"/>
    </w:rPr>
  </w:style>
  <w:style w:type="paragraph" w:styleId="Footer">
    <w:name w:val="footer"/>
    <w:basedOn w:val="Normal"/>
    <w:link w:val="FooterChar"/>
    <w:uiPriority w:val="99"/>
    <w:unhideWhenUsed/>
    <w:rsid w:val="002A7635"/>
    <w:pPr>
      <w:tabs>
        <w:tab w:val="center" w:pos="4513"/>
        <w:tab w:val="right" w:pos="9026"/>
      </w:tabs>
      <w:spacing w:after="0" w:line="240" w:lineRule="auto"/>
      <w:jc w:val="both"/>
    </w:pPr>
    <w:rPr>
      <w:rFonts w:ascii="Arial" w:hAnsi="Arial"/>
    </w:rPr>
  </w:style>
  <w:style w:type="character" w:customStyle="1" w:styleId="FooterChar">
    <w:name w:val="Footer Char"/>
    <w:basedOn w:val="DefaultParagraphFont"/>
    <w:link w:val="Footer"/>
    <w:uiPriority w:val="99"/>
    <w:rsid w:val="002A7635"/>
    <w:rPr>
      <w:rFonts w:ascii="Arial" w:hAnsi="Arial"/>
    </w:rPr>
  </w:style>
  <w:style w:type="paragraph" w:customStyle="1" w:styleId="ResearchTitle">
    <w:name w:val="Research Title"/>
    <w:basedOn w:val="Normal"/>
    <w:link w:val="ResearchTitleChar"/>
    <w:rsid w:val="002A7635"/>
    <w:pPr>
      <w:spacing w:after="0" w:line="280" w:lineRule="exact"/>
      <w:jc w:val="both"/>
    </w:pPr>
    <w:rPr>
      <w:rFonts w:ascii="Arial" w:hAnsi="Arial"/>
      <w:b/>
      <w:caps/>
      <w:color w:val="538135" w:themeColor="accent6" w:themeShade="BF"/>
      <w:sz w:val="24"/>
    </w:rPr>
  </w:style>
  <w:style w:type="paragraph" w:customStyle="1" w:styleId="ReseachMainHeading">
    <w:name w:val="Reseach Main Heading"/>
    <w:basedOn w:val="ResearchTitle"/>
    <w:link w:val="ReseachMainHeadingChar"/>
    <w:rsid w:val="002A7635"/>
  </w:style>
  <w:style w:type="character" w:customStyle="1" w:styleId="ResearchTitleChar">
    <w:name w:val="Research Title Char"/>
    <w:basedOn w:val="DefaultParagraphFont"/>
    <w:link w:val="ResearchTitle"/>
    <w:rsid w:val="002A763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2A7635"/>
    <w:rPr>
      <w:b w:val="0"/>
      <w:caps w:val="0"/>
    </w:rPr>
  </w:style>
  <w:style w:type="character" w:customStyle="1" w:styleId="ReseachMainHeadingChar">
    <w:name w:val="Reseach Main Heading Char"/>
    <w:basedOn w:val="ResearchTitleChar"/>
    <w:link w:val="ReseachMainHeading"/>
    <w:rsid w:val="002A7635"/>
    <w:rPr>
      <w:rFonts w:ascii="Arial" w:hAnsi="Arial"/>
      <w:b/>
      <w:caps/>
      <w:color w:val="538135" w:themeColor="accent6" w:themeShade="BF"/>
      <w:sz w:val="24"/>
    </w:rPr>
  </w:style>
  <w:style w:type="character" w:customStyle="1" w:styleId="ResearchSubheadingChar">
    <w:name w:val="Research Sub heading Char"/>
    <w:basedOn w:val="ReseachMainHeadingChar"/>
    <w:link w:val="ResearchSubheading"/>
    <w:rsid w:val="002A7635"/>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2A7635"/>
    <w:pPr>
      <w:outlineLvl w:val="9"/>
    </w:pPr>
    <w:rPr>
      <w:caps w:val="0"/>
      <w:color w:val="000000" w:themeColor="text1"/>
      <w:lang w:val="en-US"/>
    </w:rPr>
  </w:style>
  <w:style w:type="paragraph" w:styleId="TOC1">
    <w:name w:val="toc 1"/>
    <w:basedOn w:val="Normal"/>
    <w:next w:val="Normal"/>
    <w:autoRedefine/>
    <w:uiPriority w:val="39"/>
    <w:unhideWhenUsed/>
    <w:qFormat/>
    <w:rsid w:val="002A7635"/>
    <w:pPr>
      <w:spacing w:after="100" w:line="280" w:lineRule="exact"/>
      <w:jc w:val="both"/>
    </w:pPr>
    <w:rPr>
      <w:rFonts w:ascii="Arial" w:hAnsi="Arial"/>
      <w:b/>
      <w:caps/>
      <w:color w:val="000000" w:themeColor="text1"/>
      <w:sz w:val="24"/>
    </w:rPr>
  </w:style>
  <w:style w:type="paragraph" w:styleId="TOC2">
    <w:name w:val="toc 2"/>
    <w:basedOn w:val="Normal"/>
    <w:next w:val="Normal"/>
    <w:autoRedefine/>
    <w:uiPriority w:val="39"/>
    <w:unhideWhenUsed/>
    <w:rsid w:val="002A7635"/>
    <w:pPr>
      <w:spacing w:after="100" w:line="280" w:lineRule="exact"/>
      <w:ind w:left="220"/>
      <w:jc w:val="both"/>
    </w:pPr>
    <w:rPr>
      <w:rFonts w:ascii="Arial" w:hAnsi="Arial"/>
    </w:rPr>
  </w:style>
  <w:style w:type="paragraph" w:styleId="TOC3">
    <w:name w:val="toc 3"/>
    <w:basedOn w:val="Normal"/>
    <w:next w:val="Normal"/>
    <w:autoRedefine/>
    <w:uiPriority w:val="39"/>
    <w:unhideWhenUsed/>
    <w:rsid w:val="002A7635"/>
    <w:pPr>
      <w:spacing w:after="100" w:line="240" w:lineRule="exact"/>
      <w:ind w:left="442"/>
      <w:jc w:val="both"/>
    </w:pPr>
    <w:rPr>
      <w:rFonts w:ascii="Arial" w:eastAsiaTheme="minorEastAsia" w:hAnsi="Arial" w:cs="Times New Roman"/>
      <w:lang w:val="en-US"/>
    </w:rPr>
  </w:style>
  <w:style w:type="paragraph" w:styleId="Title">
    <w:name w:val="Title"/>
    <w:basedOn w:val="Normal"/>
    <w:next w:val="Normal"/>
    <w:link w:val="TitleChar"/>
    <w:uiPriority w:val="10"/>
    <w:qFormat/>
    <w:rsid w:val="002A7635"/>
    <w:pPr>
      <w:spacing w:after="0" w:line="240" w:lineRule="auto"/>
      <w:contextualSpacing/>
      <w:jc w:val="both"/>
    </w:pPr>
    <w:rPr>
      <w:rFonts w:ascii="Arial" w:eastAsiaTheme="majorEastAsia" w:hAnsi="Arial"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2A7635"/>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2A7635"/>
    <w:pPr>
      <w:numPr>
        <w:ilvl w:val="1"/>
      </w:numPr>
      <w:spacing w:after="0" w:line="280" w:lineRule="exact"/>
      <w:jc w:val="both"/>
    </w:pPr>
    <w:rPr>
      <w:rFonts w:ascii="Arial" w:eastAsiaTheme="minorEastAsia" w:hAnsi="Arial"/>
      <w:color w:val="5A5A5A" w:themeColor="text1" w:themeTint="A5"/>
      <w:spacing w:val="15"/>
    </w:rPr>
  </w:style>
  <w:style w:type="character" w:customStyle="1" w:styleId="SubtitleChar">
    <w:name w:val="Subtitle Char"/>
    <w:basedOn w:val="DefaultParagraphFont"/>
    <w:link w:val="Subtitle"/>
    <w:uiPriority w:val="11"/>
    <w:rsid w:val="002A7635"/>
    <w:rPr>
      <w:rFonts w:ascii="Arial" w:eastAsiaTheme="minorEastAsia" w:hAnsi="Arial"/>
      <w:color w:val="5A5A5A" w:themeColor="text1" w:themeTint="A5"/>
      <w:spacing w:val="15"/>
    </w:rPr>
  </w:style>
  <w:style w:type="table" w:styleId="TableGrid">
    <w:name w:val="Table Grid"/>
    <w:basedOn w:val="TableNormal"/>
    <w:uiPriority w:val="39"/>
    <w:rsid w:val="002A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A7635"/>
    <w:pPr>
      <w:numPr>
        <w:numId w:val="11"/>
      </w:numPr>
    </w:pPr>
  </w:style>
  <w:style w:type="paragraph" w:styleId="CommentText">
    <w:name w:val="annotation text"/>
    <w:basedOn w:val="Normal"/>
    <w:link w:val="CommentTextChar"/>
    <w:semiHidden/>
    <w:rsid w:val="002A7635"/>
    <w:pPr>
      <w:spacing w:after="0" w:line="280" w:lineRule="exact"/>
    </w:pPr>
    <w:rPr>
      <w:rFonts w:ascii="Arial" w:eastAsia="Times New Roman" w:hAnsi="Arial" w:cs="Times New Roman"/>
      <w:color w:val="000000"/>
      <w:sz w:val="20"/>
      <w:szCs w:val="20"/>
      <w:lang w:val="en-GB" w:eastAsia="en-GB"/>
    </w:rPr>
  </w:style>
  <w:style w:type="character" w:customStyle="1" w:styleId="CommentTextChar">
    <w:name w:val="Comment Text Char"/>
    <w:basedOn w:val="DefaultParagraphFont"/>
    <w:link w:val="CommentText"/>
    <w:semiHidden/>
    <w:rsid w:val="002A7635"/>
    <w:rPr>
      <w:rFonts w:ascii="Arial" w:eastAsia="Times New Roman" w:hAnsi="Arial" w:cs="Times New Roman"/>
      <w:color w:val="000000"/>
      <w:sz w:val="20"/>
      <w:szCs w:val="20"/>
      <w:lang w:val="en-GB" w:eastAsia="en-GB"/>
    </w:rPr>
  </w:style>
  <w:style w:type="paragraph" w:styleId="FootnoteText">
    <w:name w:val="footnote text"/>
    <w:basedOn w:val="Normal"/>
    <w:link w:val="FootnoteTextChar"/>
    <w:semiHidden/>
    <w:unhideWhenUsed/>
    <w:rsid w:val="002A7635"/>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semiHidden/>
    <w:rsid w:val="002A7635"/>
    <w:rPr>
      <w:rFonts w:ascii="Arial" w:eastAsia="Times New Roman" w:hAnsi="Arial" w:cs="Times New Roman"/>
      <w:color w:val="000000"/>
      <w:spacing w:val="6"/>
      <w:sz w:val="20"/>
      <w:szCs w:val="20"/>
      <w:lang w:val="en-GB" w:eastAsia="en-GB"/>
    </w:rPr>
  </w:style>
  <w:style w:type="character" w:styleId="FootnoteReference">
    <w:name w:val="footnote reference"/>
    <w:semiHidden/>
    <w:unhideWhenUsed/>
    <w:rsid w:val="002A7635"/>
    <w:rPr>
      <w:vertAlign w:val="superscript"/>
    </w:rPr>
  </w:style>
  <w:style w:type="paragraph" w:styleId="Caption">
    <w:name w:val="caption"/>
    <w:basedOn w:val="Normal"/>
    <w:next w:val="Normal"/>
    <w:unhideWhenUsed/>
    <w:qFormat/>
    <w:rsid w:val="002A7635"/>
    <w:pPr>
      <w:spacing w:after="0" w:line="280" w:lineRule="exact"/>
    </w:pPr>
    <w:rPr>
      <w:rFonts w:ascii="Arial" w:eastAsia="Times New Roman" w:hAnsi="Arial" w:cs="Times New Roman"/>
      <w:b/>
      <w:bCs/>
      <w:color w:val="000000"/>
      <w:spacing w:val="6"/>
      <w:sz w:val="20"/>
      <w:szCs w:val="20"/>
      <w:lang w:val="en-GB" w:eastAsia="en-GB"/>
    </w:rPr>
  </w:style>
  <w:style w:type="character" w:styleId="CommentReference">
    <w:name w:val="annotation reference"/>
    <w:basedOn w:val="DefaultParagraphFont"/>
    <w:uiPriority w:val="99"/>
    <w:semiHidden/>
    <w:unhideWhenUsed/>
    <w:rsid w:val="00C319E2"/>
    <w:rPr>
      <w:sz w:val="16"/>
      <w:szCs w:val="16"/>
    </w:rPr>
  </w:style>
  <w:style w:type="paragraph" w:styleId="CommentSubject">
    <w:name w:val="annotation subject"/>
    <w:basedOn w:val="CommentText"/>
    <w:next w:val="CommentText"/>
    <w:link w:val="CommentSubjectChar"/>
    <w:uiPriority w:val="99"/>
    <w:semiHidden/>
    <w:unhideWhenUsed/>
    <w:rsid w:val="00C319E2"/>
    <w:pPr>
      <w:spacing w:after="160" w:line="240" w:lineRule="auto"/>
    </w:pPr>
    <w:rPr>
      <w:rFonts w:asciiTheme="minorHAnsi" w:eastAsiaTheme="minorHAnsi" w:hAnsiTheme="minorHAnsi" w:cstheme="minorBidi"/>
      <w:b/>
      <w:bCs/>
      <w:color w:val="auto"/>
      <w:lang w:val="en-ZA" w:eastAsia="en-US"/>
    </w:rPr>
  </w:style>
  <w:style w:type="character" w:customStyle="1" w:styleId="CommentSubjectChar">
    <w:name w:val="Comment Subject Char"/>
    <w:basedOn w:val="CommentTextChar"/>
    <w:link w:val="CommentSubject"/>
    <w:uiPriority w:val="99"/>
    <w:semiHidden/>
    <w:rsid w:val="00C319E2"/>
    <w:rPr>
      <w:rFonts w:ascii="Arial" w:eastAsia="Times New Roman" w:hAnsi="Arial"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C3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7635"/>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paragraph" w:styleId="Heading2">
    <w:name w:val="heading 2"/>
    <w:basedOn w:val="Normal"/>
    <w:next w:val="Normal"/>
    <w:link w:val="Heading2Char"/>
    <w:uiPriority w:val="9"/>
    <w:unhideWhenUsed/>
    <w:qFormat/>
    <w:rsid w:val="002A7635"/>
    <w:pPr>
      <w:keepNext/>
      <w:keepLines/>
      <w:spacing w:before="40" w:after="0" w:line="280" w:lineRule="exact"/>
      <w:outlineLvl w:val="1"/>
    </w:pPr>
    <w:rPr>
      <w:rFonts w:ascii="Arial" w:eastAsiaTheme="majorEastAsia" w:hAnsi="Arial" w:cstheme="majorBidi"/>
      <w:b/>
      <w:color w:val="538135" w:themeColor="accent6" w:themeShade="BF"/>
      <w:szCs w:val="26"/>
    </w:rPr>
  </w:style>
  <w:style w:type="paragraph" w:styleId="Heading3">
    <w:name w:val="heading 3"/>
    <w:basedOn w:val="Normal"/>
    <w:next w:val="Normal"/>
    <w:link w:val="Heading3Char"/>
    <w:uiPriority w:val="9"/>
    <w:unhideWhenUsed/>
    <w:qFormat/>
    <w:rsid w:val="002A7635"/>
    <w:pPr>
      <w:keepNext/>
      <w:keepLines/>
      <w:spacing w:after="0" w:line="280" w:lineRule="exact"/>
      <w:jc w:val="both"/>
      <w:outlineLvl w:val="2"/>
    </w:pPr>
    <w:rPr>
      <w:rFonts w:ascii="Arial" w:eastAsiaTheme="majorEastAsia" w:hAnsi="Arial" w:cstheme="majorBidi"/>
      <w:b/>
      <w:i/>
      <w:color w:val="538135" w:themeColor="accent6" w:themeShade="BF"/>
      <w:szCs w:val="24"/>
    </w:rPr>
  </w:style>
  <w:style w:type="paragraph" w:styleId="Heading4">
    <w:name w:val="heading 4"/>
    <w:basedOn w:val="Normal"/>
    <w:next w:val="Normal"/>
    <w:link w:val="Heading4Char"/>
    <w:uiPriority w:val="9"/>
    <w:semiHidden/>
    <w:unhideWhenUsed/>
    <w:rsid w:val="002A7635"/>
    <w:pPr>
      <w:keepNext/>
      <w:keepLines/>
      <w:spacing w:before="40" w:after="0" w:line="280" w:lineRule="exact"/>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7635"/>
    <w:pPr>
      <w:keepNext/>
      <w:keepLines/>
      <w:spacing w:before="40" w:after="0" w:line="280" w:lineRule="exact"/>
      <w:jc w:val="both"/>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A7635"/>
    <w:pPr>
      <w:keepNext/>
      <w:keepLines/>
      <w:spacing w:before="40" w:after="0" w:line="280" w:lineRule="exact"/>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A7635"/>
    <w:pPr>
      <w:keepNext/>
      <w:keepLines/>
      <w:spacing w:before="40" w:after="0" w:line="280" w:lineRule="exact"/>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A7635"/>
    <w:pPr>
      <w:keepNext/>
      <w:keepLines/>
      <w:spacing w:before="40" w:after="0" w:line="280" w:lineRule="exact"/>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7635"/>
    <w:pPr>
      <w:keepNext/>
      <w:keepLines/>
      <w:spacing w:before="40" w:after="0" w:line="280" w:lineRule="exact"/>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C5A3A"/>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0C5A3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0C5A3A"/>
    <w:rPr>
      <w:vertAlign w:val="superscript"/>
    </w:rPr>
  </w:style>
  <w:style w:type="paragraph" w:styleId="ListParagraph">
    <w:name w:val="List Paragraph"/>
    <w:basedOn w:val="Normal"/>
    <w:uiPriority w:val="34"/>
    <w:qFormat/>
    <w:rsid w:val="008144CD"/>
    <w:pPr>
      <w:ind w:left="720"/>
      <w:contextualSpacing/>
    </w:pPr>
  </w:style>
  <w:style w:type="character" w:styleId="Hyperlink">
    <w:name w:val="Hyperlink"/>
    <w:basedOn w:val="DefaultParagraphFont"/>
    <w:uiPriority w:val="99"/>
    <w:unhideWhenUsed/>
    <w:rsid w:val="0009199E"/>
    <w:rPr>
      <w:color w:val="0000FF"/>
      <w:u w:val="single"/>
    </w:rPr>
  </w:style>
  <w:style w:type="paragraph" w:customStyle="1" w:styleId="Normalbold">
    <w:name w:val="Normal bold"/>
    <w:basedOn w:val="Normal"/>
    <w:rsid w:val="001A7C59"/>
    <w:pPr>
      <w:spacing w:after="0" w:line="280" w:lineRule="exact"/>
    </w:pPr>
    <w:rPr>
      <w:rFonts w:ascii="Arial" w:eastAsia="Times New Roman" w:hAnsi="Arial" w:cs="Times New Roman"/>
      <w:b/>
      <w:color w:val="000000"/>
      <w:spacing w:val="6"/>
      <w:sz w:val="18"/>
      <w:szCs w:val="18"/>
      <w:lang w:val="en-GB" w:eastAsia="en-GB"/>
    </w:rPr>
  </w:style>
  <w:style w:type="character" w:customStyle="1" w:styleId="Heading1Char">
    <w:name w:val="Heading 1 Char"/>
    <w:basedOn w:val="DefaultParagraphFont"/>
    <w:link w:val="Heading1"/>
    <w:uiPriority w:val="9"/>
    <w:rsid w:val="002A7635"/>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2A7635"/>
    <w:rPr>
      <w:rFonts w:ascii="Arial" w:eastAsiaTheme="majorEastAsia" w:hAnsi="Arial" w:cstheme="majorBidi"/>
      <w:b/>
      <w:color w:val="538135" w:themeColor="accent6" w:themeShade="BF"/>
      <w:szCs w:val="26"/>
    </w:rPr>
  </w:style>
  <w:style w:type="character" w:customStyle="1" w:styleId="Heading3Char">
    <w:name w:val="Heading 3 Char"/>
    <w:basedOn w:val="DefaultParagraphFont"/>
    <w:link w:val="Heading3"/>
    <w:uiPriority w:val="9"/>
    <w:rsid w:val="002A7635"/>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2A763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A763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A763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A763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A76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763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A7635"/>
    <w:pPr>
      <w:tabs>
        <w:tab w:val="center" w:pos="4513"/>
        <w:tab w:val="right" w:pos="9026"/>
      </w:tabs>
      <w:spacing w:after="0" w:line="240" w:lineRule="auto"/>
      <w:jc w:val="both"/>
    </w:pPr>
    <w:rPr>
      <w:rFonts w:ascii="Arial" w:hAnsi="Arial"/>
    </w:rPr>
  </w:style>
  <w:style w:type="character" w:customStyle="1" w:styleId="HeaderChar">
    <w:name w:val="Header Char"/>
    <w:basedOn w:val="DefaultParagraphFont"/>
    <w:link w:val="Header"/>
    <w:uiPriority w:val="99"/>
    <w:rsid w:val="002A7635"/>
    <w:rPr>
      <w:rFonts w:ascii="Arial" w:hAnsi="Arial"/>
    </w:rPr>
  </w:style>
  <w:style w:type="paragraph" w:styleId="Footer">
    <w:name w:val="footer"/>
    <w:basedOn w:val="Normal"/>
    <w:link w:val="FooterChar"/>
    <w:uiPriority w:val="99"/>
    <w:unhideWhenUsed/>
    <w:rsid w:val="002A7635"/>
    <w:pPr>
      <w:tabs>
        <w:tab w:val="center" w:pos="4513"/>
        <w:tab w:val="right" w:pos="9026"/>
      </w:tabs>
      <w:spacing w:after="0" w:line="240" w:lineRule="auto"/>
      <w:jc w:val="both"/>
    </w:pPr>
    <w:rPr>
      <w:rFonts w:ascii="Arial" w:hAnsi="Arial"/>
    </w:rPr>
  </w:style>
  <w:style w:type="character" w:customStyle="1" w:styleId="FooterChar">
    <w:name w:val="Footer Char"/>
    <w:basedOn w:val="DefaultParagraphFont"/>
    <w:link w:val="Footer"/>
    <w:uiPriority w:val="99"/>
    <w:rsid w:val="002A7635"/>
    <w:rPr>
      <w:rFonts w:ascii="Arial" w:hAnsi="Arial"/>
    </w:rPr>
  </w:style>
  <w:style w:type="paragraph" w:customStyle="1" w:styleId="ResearchTitle">
    <w:name w:val="Research Title"/>
    <w:basedOn w:val="Normal"/>
    <w:link w:val="ResearchTitleChar"/>
    <w:rsid w:val="002A7635"/>
    <w:pPr>
      <w:spacing w:after="0" w:line="280" w:lineRule="exact"/>
      <w:jc w:val="both"/>
    </w:pPr>
    <w:rPr>
      <w:rFonts w:ascii="Arial" w:hAnsi="Arial"/>
      <w:b/>
      <w:caps/>
      <w:color w:val="538135" w:themeColor="accent6" w:themeShade="BF"/>
      <w:sz w:val="24"/>
    </w:rPr>
  </w:style>
  <w:style w:type="paragraph" w:customStyle="1" w:styleId="ReseachMainHeading">
    <w:name w:val="Reseach Main Heading"/>
    <w:basedOn w:val="ResearchTitle"/>
    <w:link w:val="ReseachMainHeadingChar"/>
    <w:rsid w:val="002A7635"/>
  </w:style>
  <w:style w:type="character" w:customStyle="1" w:styleId="ResearchTitleChar">
    <w:name w:val="Research Title Char"/>
    <w:basedOn w:val="DefaultParagraphFont"/>
    <w:link w:val="ResearchTitle"/>
    <w:rsid w:val="002A763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2A7635"/>
    <w:rPr>
      <w:b w:val="0"/>
      <w:caps w:val="0"/>
    </w:rPr>
  </w:style>
  <w:style w:type="character" w:customStyle="1" w:styleId="ReseachMainHeadingChar">
    <w:name w:val="Reseach Main Heading Char"/>
    <w:basedOn w:val="ResearchTitleChar"/>
    <w:link w:val="ReseachMainHeading"/>
    <w:rsid w:val="002A7635"/>
    <w:rPr>
      <w:rFonts w:ascii="Arial" w:hAnsi="Arial"/>
      <w:b/>
      <w:caps/>
      <w:color w:val="538135" w:themeColor="accent6" w:themeShade="BF"/>
      <w:sz w:val="24"/>
    </w:rPr>
  </w:style>
  <w:style w:type="character" w:customStyle="1" w:styleId="ResearchSubheadingChar">
    <w:name w:val="Research Sub heading Char"/>
    <w:basedOn w:val="ReseachMainHeadingChar"/>
    <w:link w:val="ResearchSubheading"/>
    <w:rsid w:val="002A7635"/>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2A7635"/>
    <w:pPr>
      <w:outlineLvl w:val="9"/>
    </w:pPr>
    <w:rPr>
      <w:caps w:val="0"/>
      <w:color w:val="000000" w:themeColor="text1"/>
      <w:lang w:val="en-US"/>
    </w:rPr>
  </w:style>
  <w:style w:type="paragraph" w:styleId="TOC1">
    <w:name w:val="toc 1"/>
    <w:basedOn w:val="Normal"/>
    <w:next w:val="Normal"/>
    <w:autoRedefine/>
    <w:uiPriority w:val="39"/>
    <w:unhideWhenUsed/>
    <w:qFormat/>
    <w:rsid w:val="002A7635"/>
    <w:pPr>
      <w:spacing w:after="100" w:line="280" w:lineRule="exact"/>
      <w:jc w:val="both"/>
    </w:pPr>
    <w:rPr>
      <w:rFonts w:ascii="Arial" w:hAnsi="Arial"/>
      <w:b/>
      <w:caps/>
      <w:color w:val="000000" w:themeColor="text1"/>
      <w:sz w:val="24"/>
    </w:rPr>
  </w:style>
  <w:style w:type="paragraph" w:styleId="TOC2">
    <w:name w:val="toc 2"/>
    <w:basedOn w:val="Normal"/>
    <w:next w:val="Normal"/>
    <w:autoRedefine/>
    <w:uiPriority w:val="39"/>
    <w:unhideWhenUsed/>
    <w:rsid w:val="002A7635"/>
    <w:pPr>
      <w:spacing w:after="100" w:line="280" w:lineRule="exact"/>
      <w:ind w:left="220"/>
      <w:jc w:val="both"/>
    </w:pPr>
    <w:rPr>
      <w:rFonts w:ascii="Arial" w:hAnsi="Arial"/>
    </w:rPr>
  </w:style>
  <w:style w:type="paragraph" w:styleId="TOC3">
    <w:name w:val="toc 3"/>
    <w:basedOn w:val="Normal"/>
    <w:next w:val="Normal"/>
    <w:autoRedefine/>
    <w:uiPriority w:val="39"/>
    <w:unhideWhenUsed/>
    <w:rsid w:val="002A7635"/>
    <w:pPr>
      <w:spacing w:after="100" w:line="240" w:lineRule="exact"/>
      <w:ind w:left="442"/>
      <w:jc w:val="both"/>
    </w:pPr>
    <w:rPr>
      <w:rFonts w:ascii="Arial" w:eastAsiaTheme="minorEastAsia" w:hAnsi="Arial" w:cs="Times New Roman"/>
      <w:lang w:val="en-US"/>
    </w:rPr>
  </w:style>
  <w:style w:type="paragraph" w:styleId="Title">
    <w:name w:val="Title"/>
    <w:basedOn w:val="Normal"/>
    <w:next w:val="Normal"/>
    <w:link w:val="TitleChar"/>
    <w:uiPriority w:val="10"/>
    <w:qFormat/>
    <w:rsid w:val="002A7635"/>
    <w:pPr>
      <w:spacing w:after="0" w:line="240" w:lineRule="auto"/>
      <w:contextualSpacing/>
      <w:jc w:val="both"/>
    </w:pPr>
    <w:rPr>
      <w:rFonts w:ascii="Arial" w:eastAsiaTheme="majorEastAsia" w:hAnsi="Arial"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2A7635"/>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2A7635"/>
    <w:pPr>
      <w:numPr>
        <w:ilvl w:val="1"/>
      </w:numPr>
      <w:spacing w:after="0" w:line="280" w:lineRule="exact"/>
      <w:jc w:val="both"/>
    </w:pPr>
    <w:rPr>
      <w:rFonts w:ascii="Arial" w:eastAsiaTheme="minorEastAsia" w:hAnsi="Arial"/>
      <w:color w:val="5A5A5A" w:themeColor="text1" w:themeTint="A5"/>
      <w:spacing w:val="15"/>
    </w:rPr>
  </w:style>
  <w:style w:type="character" w:customStyle="1" w:styleId="SubtitleChar">
    <w:name w:val="Subtitle Char"/>
    <w:basedOn w:val="DefaultParagraphFont"/>
    <w:link w:val="Subtitle"/>
    <w:uiPriority w:val="11"/>
    <w:rsid w:val="002A7635"/>
    <w:rPr>
      <w:rFonts w:ascii="Arial" w:eastAsiaTheme="minorEastAsia" w:hAnsi="Arial"/>
      <w:color w:val="5A5A5A" w:themeColor="text1" w:themeTint="A5"/>
      <w:spacing w:val="15"/>
    </w:rPr>
  </w:style>
  <w:style w:type="table" w:styleId="TableGrid">
    <w:name w:val="Table Grid"/>
    <w:basedOn w:val="TableNormal"/>
    <w:uiPriority w:val="39"/>
    <w:rsid w:val="002A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A7635"/>
    <w:pPr>
      <w:numPr>
        <w:numId w:val="11"/>
      </w:numPr>
    </w:pPr>
  </w:style>
  <w:style w:type="paragraph" w:styleId="CommentText">
    <w:name w:val="annotation text"/>
    <w:basedOn w:val="Normal"/>
    <w:link w:val="CommentTextChar"/>
    <w:semiHidden/>
    <w:rsid w:val="002A7635"/>
    <w:pPr>
      <w:spacing w:after="0" w:line="280" w:lineRule="exact"/>
    </w:pPr>
    <w:rPr>
      <w:rFonts w:ascii="Arial" w:eastAsia="Times New Roman" w:hAnsi="Arial" w:cs="Times New Roman"/>
      <w:color w:val="000000"/>
      <w:sz w:val="20"/>
      <w:szCs w:val="20"/>
      <w:lang w:val="en-GB" w:eastAsia="en-GB"/>
    </w:rPr>
  </w:style>
  <w:style w:type="character" w:customStyle="1" w:styleId="CommentTextChar">
    <w:name w:val="Comment Text Char"/>
    <w:basedOn w:val="DefaultParagraphFont"/>
    <w:link w:val="CommentText"/>
    <w:semiHidden/>
    <w:rsid w:val="002A7635"/>
    <w:rPr>
      <w:rFonts w:ascii="Arial" w:eastAsia="Times New Roman" w:hAnsi="Arial" w:cs="Times New Roman"/>
      <w:color w:val="000000"/>
      <w:sz w:val="20"/>
      <w:szCs w:val="20"/>
      <w:lang w:val="en-GB" w:eastAsia="en-GB"/>
    </w:rPr>
  </w:style>
  <w:style w:type="paragraph" w:styleId="FootnoteText">
    <w:name w:val="footnote text"/>
    <w:basedOn w:val="Normal"/>
    <w:link w:val="FootnoteTextChar"/>
    <w:semiHidden/>
    <w:unhideWhenUsed/>
    <w:rsid w:val="002A7635"/>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semiHidden/>
    <w:rsid w:val="002A7635"/>
    <w:rPr>
      <w:rFonts w:ascii="Arial" w:eastAsia="Times New Roman" w:hAnsi="Arial" w:cs="Times New Roman"/>
      <w:color w:val="000000"/>
      <w:spacing w:val="6"/>
      <w:sz w:val="20"/>
      <w:szCs w:val="20"/>
      <w:lang w:val="en-GB" w:eastAsia="en-GB"/>
    </w:rPr>
  </w:style>
  <w:style w:type="character" w:styleId="FootnoteReference">
    <w:name w:val="footnote reference"/>
    <w:semiHidden/>
    <w:unhideWhenUsed/>
    <w:rsid w:val="002A7635"/>
    <w:rPr>
      <w:vertAlign w:val="superscript"/>
    </w:rPr>
  </w:style>
  <w:style w:type="paragraph" w:styleId="Caption">
    <w:name w:val="caption"/>
    <w:basedOn w:val="Normal"/>
    <w:next w:val="Normal"/>
    <w:unhideWhenUsed/>
    <w:qFormat/>
    <w:rsid w:val="002A7635"/>
    <w:pPr>
      <w:spacing w:after="0" w:line="280" w:lineRule="exact"/>
    </w:pPr>
    <w:rPr>
      <w:rFonts w:ascii="Arial" w:eastAsia="Times New Roman" w:hAnsi="Arial" w:cs="Times New Roman"/>
      <w:b/>
      <w:bCs/>
      <w:color w:val="000000"/>
      <w:spacing w:val="6"/>
      <w:sz w:val="20"/>
      <w:szCs w:val="20"/>
      <w:lang w:val="en-GB" w:eastAsia="en-GB"/>
    </w:rPr>
  </w:style>
  <w:style w:type="character" w:styleId="CommentReference">
    <w:name w:val="annotation reference"/>
    <w:basedOn w:val="DefaultParagraphFont"/>
    <w:uiPriority w:val="99"/>
    <w:semiHidden/>
    <w:unhideWhenUsed/>
    <w:rsid w:val="00C319E2"/>
    <w:rPr>
      <w:sz w:val="16"/>
      <w:szCs w:val="16"/>
    </w:rPr>
  </w:style>
  <w:style w:type="paragraph" w:styleId="CommentSubject">
    <w:name w:val="annotation subject"/>
    <w:basedOn w:val="CommentText"/>
    <w:next w:val="CommentText"/>
    <w:link w:val="CommentSubjectChar"/>
    <w:uiPriority w:val="99"/>
    <w:semiHidden/>
    <w:unhideWhenUsed/>
    <w:rsid w:val="00C319E2"/>
    <w:pPr>
      <w:spacing w:after="160" w:line="240" w:lineRule="auto"/>
    </w:pPr>
    <w:rPr>
      <w:rFonts w:asciiTheme="minorHAnsi" w:eastAsiaTheme="minorHAnsi" w:hAnsiTheme="minorHAnsi" w:cstheme="minorBidi"/>
      <w:b/>
      <w:bCs/>
      <w:color w:val="auto"/>
      <w:lang w:val="en-ZA" w:eastAsia="en-US"/>
    </w:rPr>
  </w:style>
  <w:style w:type="character" w:customStyle="1" w:styleId="CommentSubjectChar">
    <w:name w:val="Comment Subject Char"/>
    <w:basedOn w:val="CommentTextChar"/>
    <w:link w:val="CommentSubject"/>
    <w:uiPriority w:val="99"/>
    <w:semiHidden/>
    <w:rsid w:val="00C319E2"/>
    <w:rPr>
      <w:rFonts w:ascii="Arial" w:eastAsia="Times New Roman" w:hAnsi="Arial"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C3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2870">
      <w:bodyDiv w:val="1"/>
      <w:marLeft w:val="0"/>
      <w:marRight w:val="0"/>
      <w:marTop w:val="0"/>
      <w:marBottom w:val="0"/>
      <w:divBdr>
        <w:top w:val="none" w:sz="0" w:space="0" w:color="auto"/>
        <w:left w:val="none" w:sz="0" w:space="0" w:color="auto"/>
        <w:bottom w:val="none" w:sz="0" w:space="0" w:color="auto"/>
        <w:right w:val="none" w:sz="0" w:space="0" w:color="auto"/>
      </w:divBdr>
    </w:div>
    <w:div w:id="825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okomani.PARLIAMENT\Documents\GroupWise\1.Budget%20%20Table%20for%20Publication%2020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okomani.PARLIAMENT\Documents\GroupWise\1.Budget%20%20Table%20for%20Publication%2020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okomani.PARLIAMENT\Documents\GroupWise\1.Budget%20%20Table%20for%20Publication%202016.xls"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COGTA</a:t>
            </a:r>
            <a:r>
              <a:rPr lang="en-ZA" baseline="0"/>
              <a:t> </a:t>
            </a:r>
            <a:r>
              <a:rPr lang="en-ZA"/>
              <a:t>Budget Allocation: 2015/16 &amp; 2016/17</a:t>
            </a:r>
          </a:p>
        </c:rich>
      </c:tx>
      <c:layout>
        <c:manualLayout>
          <c:xMode val="edge"/>
          <c:yMode val="edge"/>
          <c:x val="0.29453390625340808"/>
          <c:y val="3.2581492147409137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2015/16</c:v>
                </c:pt>
              </c:strCache>
            </c:strRef>
          </c:tx>
          <c:spPr>
            <a:solidFill>
              <a:srgbClr val="9999FF"/>
            </a:solidFill>
            <a:ln w="12700">
              <a:solidFill>
                <a:srgbClr val="000000"/>
              </a:solidFill>
              <a:prstDash val="solid"/>
            </a:ln>
          </c:spPr>
          <c:invertIfNegative val="0"/>
          <c:val>
            <c:numRef>
              <c:f>'Data input'!$B$3:$B$8</c:f>
              <c:numCache>
                <c:formatCode>###\ ###\ ##0.0</c:formatCode>
                <c:ptCount val="6"/>
                <c:pt idx="0">
                  <c:v>228.6</c:v>
                </c:pt>
                <c:pt idx="1">
                  <c:v>76.2</c:v>
                </c:pt>
                <c:pt idx="2">
                  <c:v>67407.600000000006</c:v>
                </c:pt>
                <c:pt idx="3">
                  <c:v>606.79999999999995</c:v>
                </c:pt>
                <c:pt idx="4">
                  <c:v>120.4</c:v>
                </c:pt>
                <c:pt idx="5">
                  <c:v>2375.9</c:v>
                </c:pt>
              </c:numCache>
            </c:numRef>
          </c:val>
        </c:ser>
        <c:ser>
          <c:idx val="1"/>
          <c:order val="1"/>
          <c:tx>
            <c:strRef>
              <c:f>'Data input'!$C$2</c:f>
              <c:strCache>
                <c:ptCount val="1"/>
                <c:pt idx="0">
                  <c:v>2016/17</c:v>
                </c:pt>
              </c:strCache>
            </c:strRef>
          </c:tx>
          <c:spPr>
            <a:solidFill>
              <a:srgbClr val="993366"/>
            </a:solidFill>
            <a:ln w="12700">
              <a:solidFill>
                <a:srgbClr val="000000"/>
              </a:solidFill>
              <a:prstDash val="solid"/>
            </a:ln>
          </c:spPr>
          <c:invertIfNegative val="0"/>
          <c:val>
            <c:numRef>
              <c:f>'Data input'!$C$3:$C$8</c:f>
              <c:numCache>
                <c:formatCode>###\ ###\ ##0.0</c:formatCode>
                <c:ptCount val="6"/>
                <c:pt idx="0">
                  <c:v>266.5</c:v>
                </c:pt>
                <c:pt idx="1">
                  <c:v>332.2</c:v>
                </c:pt>
                <c:pt idx="2">
                  <c:v>68122.2</c:v>
                </c:pt>
                <c:pt idx="3">
                  <c:v>598.9</c:v>
                </c:pt>
                <c:pt idx="4">
                  <c:v>483.2</c:v>
                </c:pt>
                <c:pt idx="5">
                  <c:v>3191.2</c:v>
                </c:pt>
              </c:numCache>
            </c:numRef>
          </c:val>
        </c:ser>
        <c:dLbls>
          <c:showLegendKey val="0"/>
          <c:showVal val="0"/>
          <c:showCatName val="0"/>
          <c:showSerName val="0"/>
          <c:showPercent val="0"/>
          <c:showBubbleSize val="0"/>
        </c:dLbls>
        <c:gapWidth val="150"/>
        <c:axId val="144068608"/>
        <c:axId val="144070528"/>
      </c:barChart>
      <c:catAx>
        <c:axId val="14406860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44070528"/>
        <c:crosses val="autoZero"/>
        <c:auto val="1"/>
        <c:lblAlgn val="ctr"/>
        <c:lblOffset val="100"/>
        <c:tickLblSkip val="1"/>
        <c:tickMarkSkip val="1"/>
        <c:noMultiLvlLbl val="0"/>
      </c:catAx>
      <c:valAx>
        <c:axId val="144070528"/>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44068608"/>
        <c:crosses val="autoZero"/>
        <c:crossBetween val="between"/>
      </c:valAx>
      <c:spPr>
        <a:noFill/>
        <a:ln w="25400">
          <a:noFill/>
        </a:ln>
      </c:spPr>
    </c:plotArea>
    <c:legend>
      <c:legendPos val="r"/>
      <c:layout>
        <c:manualLayout>
          <c:xMode val="edge"/>
          <c:yMode val="edge"/>
          <c:x val="0.90088819518861918"/>
          <c:y val="0.45363513771304897"/>
          <c:w val="8.7278106508875686E-2"/>
          <c:h val="9.7744624027259697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Budget Allocation: Adminstration</a:t>
            </a:r>
          </a:p>
        </c:rich>
      </c:tx>
      <c:layout>
        <c:manualLayout>
          <c:xMode val="edge"/>
          <c:yMode val="edge"/>
          <c:x val="0.41420149404401374"/>
          <c:y val="3.2581453634085211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2015/16</c:v>
                </c:pt>
              </c:strCache>
            </c:strRef>
          </c:tx>
          <c:spPr>
            <a:solidFill>
              <a:srgbClr val="9999FF"/>
            </a:solidFill>
            <a:ln w="12700">
              <a:solidFill>
                <a:srgbClr val="000000"/>
              </a:solidFill>
              <a:prstDash val="solid"/>
            </a:ln>
          </c:spPr>
          <c:invertIfNegative val="0"/>
          <c:val>
            <c:numRef>
              <c:f>'Data input'!$B$3:$B$5</c:f>
              <c:numCache>
                <c:formatCode>General</c:formatCode>
                <c:ptCount val="3"/>
                <c:pt idx="0" formatCode="###\ ###\ ##0.0">
                  <c:v>2375.9</c:v>
                </c:pt>
              </c:numCache>
            </c:numRef>
          </c:val>
        </c:ser>
        <c:ser>
          <c:idx val="1"/>
          <c:order val="1"/>
          <c:tx>
            <c:strRef>
              <c:f>'Data input'!$C$2</c:f>
              <c:strCache>
                <c:ptCount val="1"/>
                <c:pt idx="0">
                  <c:v>2016/17</c:v>
                </c:pt>
              </c:strCache>
            </c:strRef>
          </c:tx>
          <c:spPr>
            <a:solidFill>
              <a:srgbClr val="993366"/>
            </a:solidFill>
            <a:ln w="12700">
              <a:solidFill>
                <a:srgbClr val="000000"/>
              </a:solidFill>
              <a:prstDash val="solid"/>
            </a:ln>
          </c:spPr>
          <c:invertIfNegative val="0"/>
          <c:val>
            <c:numRef>
              <c:f>'Data input'!$C$3:$C$5</c:f>
              <c:numCache>
                <c:formatCode>###\ ###\ ##0.0</c:formatCode>
                <c:ptCount val="3"/>
                <c:pt idx="0">
                  <c:v>3140.8</c:v>
                </c:pt>
                <c:pt idx="1">
                  <c:v>38.5</c:v>
                </c:pt>
                <c:pt idx="2">
                  <c:v>11.9</c:v>
                </c:pt>
              </c:numCache>
            </c:numRef>
          </c:val>
        </c:ser>
        <c:dLbls>
          <c:showLegendKey val="0"/>
          <c:showVal val="0"/>
          <c:showCatName val="0"/>
          <c:showSerName val="0"/>
          <c:showPercent val="0"/>
          <c:showBubbleSize val="0"/>
        </c:dLbls>
        <c:gapWidth val="150"/>
        <c:axId val="144096640"/>
        <c:axId val="144107008"/>
      </c:barChart>
      <c:catAx>
        <c:axId val="14409664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44107008"/>
        <c:crosses val="autoZero"/>
        <c:auto val="1"/>
        <c:lblAlgn val="ctr"/>
        <c:lblOffset val="100"/>
        <c:tickLblSkip val="1"/>
        <c:tickMarkSkip val="1"/>
        <c:noMultiLvlLbl val="0"/>
      </c:catAx>
      <c:valAx>
        <c:axId val="144107008"/>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44096640"/>
        <c:crosses val="autoZero"/>
        <c:crossBetween val="between"/>
      </c:valAx>
      <c:spPr>
        <a:noFill/>
        <a:ln w="25400">
          <a:noFill/>
        </a:ln>
      </c:spPr>
    </c:plotArea>
    <c:legend>
      <c:legendPos val="r"/>
      <c:layout>
        <c:manualLayout>
          <c:xMode val="edge"/>
          <c:yMode val="edge"/>
          <c:x val="0.90088819518861918"/>
          <c:y val="0.45363513771304897"/>
          <c:w val="8.7278106508875686E-2"/>
          <c:h val="9.7744624027259697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Budget Allocation:</a:t>
            </a:r>
            <a:r>
              <a:rPr lang="en-ZA" sz="1000" b="1" i="0" u="none" strike="noStrike" baseline="0">
                <a:effectLst/>
              </a:rPr>
              <a:t>Regional and Urban Development and Legislative Support</a:t>
            </a:r>
            <a:endParaRPr lang="en-ZA"/>
          </a:p>
        </c:rich>
      </c:tx>
      <c:layout>
        <c:manualLayout>
          <c:xMode val="edge"/>
          <c:yMode val="edge"/>
          <c:x val="0.13234227701232779"/>
          <c:y val="3.7889312402828626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2015/16</c:v>
                </c:pt>
              </c:strCache>
            </c:strRef>
          </c:tx>
          <c:spPr>
            <a:solidFill>
              <a:srgbClr val="9999FF"/>
            </a:solidFill>
            <a:ln w="12700">
              <a:solidFill>
                <a:srgbClr val="000000"/>
              </a:solidFill>
              <a:prstDash val="solid"/>
            </a:ln>
          </c:spPr>
          <c:invertIfNegative val="0"/>
          <c:val>
            <c:numRef>
              <c:f>'Data input'!$B$3:$B$5</c:f>
              <c:numCache>
                <c:formatCode>General</c:formatCode>
                <c:ptCount val="3"/>
                <c:pt idx="0" formatCode="###\ ###\ ##0.0">
                  <c:v>2375.9</c:v>
                </c:pt>
              </c:numCache>
            </c:numRef>
          </c:val>
        </c:ser>
        <c:ser>
          <c:idx val="1"/>
          <c:order val="1"/>
          <c:tx>
            <c:strRef>
              <c:f>'Data input'!$C$2</c:f>
              <c:strCache>
                <c:ptCount val="1"/>
                <c:pt idx="0">
                  <c:v>2016/17</c:v>
                </c:pt>
              </c:strCache>
            </c:strRef>
          </c:tx>
          <c:spPr>
            <a:solidFill>
              <a:srgbClr val="993366"/>
            </a:solidFill>
            <a:ln w="12700">
              <a:solidFill>
                <a:srgbClr val="000000"/>
              </a:solidFill>
              <a:prstDash val="solid"/>
            </a:ln>
          </c:spPr>
          <c:invertIfNegative val="0"/>
          <c:val>
            <c:numRef>
              <c:f>'Data input'!$C$3:$C$5</c:f>
              <c:numCache>
                <c:formatCode>###\ ###\ ##0.0</c:formatCode>
                <c:ptCount val="3"/>
                <c:pt idx="0">
                  <c:v>3140.8</c:v>
                </c:pt>
                <c:pt idx="1">
                  <c:v>38.5</c:v>
                </c:pt>
                <c:pt idx="2">
                  <c:v>11.9</c:v>
                </c:pt>
              </c:numCache>
            </c:numRef>
          </c:val>
        </c:ser>
        <c:dLbls>
          <c:showLegendKey val="0"/>
          <c:showVal val="0"/>
          <c:showCatName val="0"/>
          <c:showSerName val="0"/>
          <c:showPercent val="0"/>
          <c:showBubbleSize val="0"/>
        </c:dLbls>
        <c:gapWidth val="150"/>
        <c:axId val="150289792"/>
        <c:axId val="150304256"/>
      </c:barChart>
      <c:catAx>
        <c:axId val="15028979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0304256"/>
        <c:crosses val="autoZero"/>
        <c:auto val="1"/>
        <c:lblAlgn val="ctr"/>
        <c:lblOffset val="100"/>
        <c:tickLblSkip val="1"/>
        <c:tickMarkSkip val="1"/>
        <c:noMultiLvlLbl val="0"/>
      </c:catAx>
      <c:valAx>
        <c:axId val="150304256"/>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0289792"/>
        <c:crosses val="autoZero"/>
        <c:crossBetween val="between"/>
      </c:valAx>
      <c:spPr>
        <a:noFill/>
        <a:ln w="25400">
          <a:noFill/>
        </a:ln>
      </c:spPr>
    </c:plotArea>
    <c:legend>
      <c:legendPos val="r"/>
      <c:layout>
        <c:manualLayout>
          <c:xMode val="edge"/>
          <c:yMode val="edge"/>
          <c:x val="0.90088819518861918"/>
          <c:y val="0.45363513771304897"/>
          <c:w val="8.7278106508875686E-2"/>
          <c:h val="9.7744624027259697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ZA"/>
              <a:t>Budget Allocation: Institutional</a:t>
            </a:r>
            <a:r>
              <a:rPr lang="en-ZA" baseline="0"/>
              <a:t> Development</a:t>
            </a:r>
            <a:endParaRPr lang="en-ZA"/>
          </a:p>
        </c:rich>
      </c:tx>
      <c:layout>
        <c:manualLayout>
          <c:xMode val="edge"/>
          <c:yMode val="edge"/>
          <c:x val="0.29142144888104732"/>
          <c:y val="4.0781525925495478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2015/16</c:v>
                </c:pt>
              </c:strCache>
            </c:strRef>
          </c:tx>
          <c:spPr>
            <a:solidFill>
              <a:srgbClr val="9999FF"/>
            </a:solidFill>
            <a:ln w="12700">
              <a:solidFill>
                <a:srgbClr val="000000"/>
              </a:solidFill>
              <a:prstDash val="solid"/>
            </a:ln>
          </c:spPr>
          <c:invertIfNegative val="0"/>
          <c:val>
            <c:numRef>
              <c:f>'Data input'!$B$3:$B$13</c:f>
              <c:numCache>
                <c:formatCode>###\ ###\ ##0.0</c:formatCode>
                <c:ptCount val="11"/>
                <c:pt idx="0">
                  <c:v>20.8</c:v>
                </c:pt>
                <c:pt idx="1">
                  <c:v>9.6</c:v>
                </c:pt>
                <c:pt idx="2">
                  <c:v>13.1</c:v>
                </c:pt>
                <c:pt idx="3">
                  <c:v>7</c:v>
                </c:pt>
                <c:pt idx="4">
                  <c:v>5.5</c:v>
                </c:pt>
                <c:pt idx="5">
                  <c:v>9.5</c:v>
                </c:pt>
                <c:pt idx="6">
                  <c:v>51706.5</c:v>
                </c:pt>
                <c:pt idx="7">
                  <c:v>14955.8</c:v>
                </c:pt>
                <c:pt idx="8">
                  <c:v>251.4</c:v>
                </c:pt>
                <c:pt idx="9">
                  <c:v>125.9</c:v>
                </c:pt>
                <c:pt idx="10">
                  <c:v>304</c:v>
                </c:pt>
              </c:numCache>
            </c:numRef>
          </c:val>
        </c:ser>
        <c:ser>
          <c:idx val="1"/>
          <c:order val="1"/>
          <c:tx>
            <c:strRef>
              <c:f>'Data input'!$C$2</c:f>
              <c:strCache>
                <c:ptCount val="1"/>
                <c:pt idx="0">
                  <c:v>2016/17</c:v>
                </c:pt>
              </c:strCache>
            </c:strRef>
          </c:tx>
          <c:invertIfNegative val="0"/>
          <c:val>
            <c:numRef>
              <c:f>'Data input'!$C$3:$C$13</c:f>
              <c:numCache>
                <c:formatCode>###\ ###\ ##0.0</c:formatCode>
                <c:ptCount val="11"/>
                <c:pt idx="0">
                  <c:v>3.2</c:v>
                </c:pt>
                <c:pt idx="1">
                  <c:v>7.4</c:v>
                </c:pt>
                <c:pt idx="2">
                  <c:v>34.5</c:v>
                </c:pt>
                <c:pt idx="3">
                  <c:v>8.4</c:v>
                </c:pt>
                <c:pt idx="4">
                  <c:v>7</c:v>
                </c:pt>
                <c:pt idx="5">
                  <c:v>14.9</c:v>
                </c:pt>
                <c:pt idx="6">
                  <c:v>52568.7</c:v>
                </c:pt>
                <c:pt idx="7">
                  <c:v>14914</c:v>
                </c:pt>
                <c:pt idx="8">
                  <c:v>84.3</c:v>
                </c:pt>
                <c:pt idx="9">
                  <c:v>129.80000000000001</c:v>
                </c:pt>
                <c:pt idx="10">
                  <c:v>349.9</c:v>
                </c:pt>
              </c:numCache>
            </c:numRef>
          </c:val>
        </c:ser>
        <c:dLbls>
          <c:showLegendKey val="0"/>
          <c:showVal val="0"/>
          <c:showCatName val="0"/>
          <c:showSerName val="0"/>
          <c:showPercent val="0"/>
          <c:showBubbleSize val="0"/>
        </c:dLbls>
        <c:gapWidth val="150"/>
        <c:axId val="150982656"/>
        <c:axId val="150984576"/>
      </c:barChart>
      <c:catAx>
        <c:axId val="15098265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0984576"/>
        <c:crosses val="autoZero"/>
        <c:auto val="1"/>
        <c:lblAlgn val="ctr"/>
        <c:lblOffset val="100"/>
        <c:tickLblSkip val="1"/>
        <c:tickMarkSkip val="1"/>
        <c:noMultiLvlLbl val="0"/>
      </c:catAx>
      <c:valAx>
        <c:axId val="150984576"/>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0982656"/>
        <c:crosses val="autoZero"/>
        <c:crossBetween val="between"/>
      </c:valAx>
    </c:plotArea>
    <c:legend>
      <c:legendPos val="r"/>
      <c:layout>
        <c:manualLayout>
          <c:xMode val="edge"/>
          <c:yMode val="edge"/>
          <c:x val="0.90088819518861918"/>
          <c:y val="0.45363513771304897"/>
          <c:w val="7.8843125378558448E-2"/>
          <c:h val="9.4454508975851698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ZA"/>
              <a:t>Budget Allocation: National</a:t>
            </a:r>
            <a:r>
              <a:rPr lang="en-ZA" baseline="0"/>
              <a:t> Disaster Management Centre</a:t>
            </a:r>
            <a:endParaRPr lang="en-ZA"/>
          </a:p>
        </c:rich>
      </c:tx>
      <c:layout>
        <c:manualLayout>
          <c:xMode val="edge"/>
          <c:yMode val="edge"/>
          <c:x val="0.20516286284068247"/>
          <c:y val="5.1353600510842846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2015/16</c:v>
                </c:pt>
              </c:strCache>
            </c:strRef>
          </c:tx>
          <c:spPr>
            <a:solidFill>
              <a:srgbClr val="9999FF"/>
            </a:solidFill>
            <a:ln w="12700">
              <a:solidFill>
                <a:srgbClr val="000000"/>
              </a:solidFill>
              <a:prstDash val="solid"/>
            </a:ln>
          </c:spPr>
          <c:invertIfNegative val="0"/>
          <c:val>
            <c:numRef>
              <c:f>'Data input'!$B$3:$B$10</c:f>
              <c:numCache>
                <c:formatCode>###\ ###\ ##0.0</c:formatCode>
                <c:ptCount val="8"/>
                <c:pt idx="0">
                  <c:v>6</c:v>
                </c:pt>
                <c:pt idx="1">
                  <c:v>12.7</c:v>
                </c:pt>
                <c:pt idx="2">
                  <c:v>6.1</c:v>
                </c:pt>
                <c:pt idx="3">
                  <c:v>2</c:v>
                </c:pt>
                <c:pt idx="5">
                  <c:v>26.7</c:v>
                </c:pt>
                <c:pt idx="6">
                  <c:v>364.3</c:v>
                </c:pt>
                <c:pt idx="7">
                  <c:v>188.9</c:v>
                </c:pt>
              </c:numCache>
            </c:numRef>
          </c:val>
        </c:ser>
        <c:ser>
          <c:idx val="1"/>
          <c:order val="1"/>
          <c:tx>
            <c:strRef>
              <c:f>'Data input'!$C$2</c:f>
              <c:strCache>
                <c:ptCount val="1"/>
                <c:pt idx="0">
                  <c:v>2016/17</c:v>
                </c:pt>
              </c:strCache>
            </c:strRef>
          </c:tx>
          <c:invertIfNegative val="0"/>
          <c:val>
            <c:numRef>
              <c:f>'Data input'!$C$3:$C$10</c:f>
              <c:numCache>
                <c:formatCode>###\ ###\ ##0.0</c:formatCode>
                <c:ptCount val="8"/>
                <c:pt idx="0">
                  <c:v>3.4</c:v>
                </c:pt>
                <c:pt idx="1">
                  <c:v>33.299999999999997</c:v>
                </c:pt>
                <c:pt idx="2">
                  <c:v>5.8</c:v>
                </c:pt>
                <c:pt idx="3">
                  <c:v>4.0999999999999996</c:v>
                </c:pt>
                <c:pt idx="4">
                  <c:v>3.1</c:v>
                </c:pt>
                <c:pt idx="5">
                  <c:v>27.7</c:v>
                </c:pt>
                <c:pt idx="6">
                  <c:v>381.5</c:v>
                </c:pt>
                <c:pt idx="7">
                  <c:v>140</c:v>
                </c:pt>
              </c:numCache>
            </c:numRef>
          </c:val>
        </c:ser>
        <c:dLbls>
          <c:showLegendKey val="0"/>
          <c:showVal val="0"/>
          <c:showCatName val="0"/>
          <c:showSerName val="0"/>
          <c:showPercent val="0"/>
          <c:showBubbleSize val="0"/>
        </c:dLbls>
        <c:gapWidth val="150"/>
        <c:axId val="150698624"/>
        <c:axId val="150700800"/>
      </c:barChart>
      <c:catAx>
        <c:axId val="15069862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0700800"/>
        <c:crosses val="autoZero"/>
        <c:auto val="1"/>
        <c:lblAlgn val="ctr"/>
        <c:lblOffset val="100"/>
        <c:tickLblSkip val="1"/>
        <c:tickMarkSkip val="1"/>
        <c:noMultiLvlLbl val="0"/>
      </c:catAx>
      <c:valAx>
        <c:axId val="150700800"/>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0698624"/>
        <c:crosses val="autoZero"/>
        <c:crossBetween val="between"/>
      </c:valAx>
    </c:plotArea>
    <c:legend>
      <c:legendPos val="r"/>
      <c:layout>
        <c:manualLayout>
          <c:xMode val="edge"/>
          <c:yMode val="edge"/>
          <c:x val="0.90088819518861918"/>
          <c:y val="0.45363513771304897"/>
          <c:w val="7.8843125378558448E-2"/>
          <c:h val="9.4454508975851698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ZA"/>
              <a:t>Budget Allocation: Local Government</a:t>
            </a:r>
            <a:r>
              <a:rPr lang="en-ZA" baseline="0"/>
              <a:t> and Intervention Support Management</a:t>
            </a:r>
            <a:endParaRPr lang="en-ZA"/>
          </a:p>
        </c:rich>
      </c:tx>
      <c:layout>
        <c:manualLayout>
          <c:xMode val="edge"/>
          <c:yMode val="edge"/>
          <c:x val="0.1997562596942167"/>
          <c:y val="3.2581308413977821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2015/16</c:v>
                </c:pt>
              </c:strCache>
            </c:strRef>
          </c:tx>
          <c:spPr>
            <a:solidFill>
              <a:srgbClr val="9999FF"/>
            </a:solidFill>
            <a:ln w="12700">
              <a:solidFill>
                <a:srgbClr val="000000"/>
              </a:solidFill>
              <a:prstDash val="solid"/>
            </a:ln>
          </c:spPr>
          <c:invertIfNegative val="0"/>
          <c:val>
            <c:numRef>
              <c:f>'Data input'!$B$3:$B$10</c:f>
              <c:numCache>
                <c:formatCode>###\ ###\ ##0.0</c:formatCode>
                <c:ptCount val="8"/>
                <c:pt idx="0">
                  <c:v>13.8</c:v>
                </c:pt>
                <c:pt idx="1">
                  <c:v>5</c:v>
                </c:pt>
                <c:pt idx="2">
                  <c:v>14.6</c:v>
                </c:pt>
                <c:pt idx="3">
                  <c:v>8.5</c:v>
                </c:pt>
                <c:pt idx="4">
                  <c:v>15.6</c:v>
                </c:pt>
                <c:pt idx="5">
                  <c:v>9.1999999999999993</c:v>
                </c:pt>
                <c:pt idx="6">
                  <c:v>45.8</c:v>
                </c:pt>
                <c:pt idx="7">
                  <c:v>6.3</c:v>
                </c:pt>
              </c:numCache>
            </c:numRef>
          </c:val>
        </c:ser>
        <c:ser>
          <c:idx val="1"/>
          <c:order val="1"/>
          <c:tx>
            <c:strRef>
              <c:f>'Data input'!$C$2</c:f>
              <c:strCache>
                <c:ptCount val="1"/>
                <c:pt idx="0">
                  <c:v>2016/17</c:v>
                </c:pt>
              </c:strCache>
            </c:strRef>
          </c:tx>
          <c:invertIfNegative val="0"/>
          <c:val>
            <c:numRef>
              <c:f>'Data input'!$C$3:$C$10</c:f>
              <c:numCache>
                <c:formatCode>###\ ###\ ##0.0</c:formatCode>
                <c:ptCount val="8"/>
                <c:pt idx="0">
                  <c:v>3.1</c:v>
                </c:pt>
                <c:pt idx="1">
                  <c:v>322.10000000000002</c:v>
                </c:pt>
                <c:pt idx="2">
                  <c:v>29.2</c:v>
                </c:pt>
                <c:pt idx="3">
                  <c:v>13.8</c:v>
                </c:pt>
                <c:pt idx="4">
                  <c:v>20.7</c:v>
                </c:pt>
                <c:pt idx="5">
                  <c:v>29.5</c:v>
                </c:pt>
                <c:pt idx="6">
                  <c:v>58.2</c:v>
                </c:pt>
                <c:pt idx="7">
                  <c:v>6.6</c:v>
                </c:pt>
              </c:numCache>
            </c:numRef>
          </c:val>
        </c:ser>
        <c:dLbls>
          <c:showLegendKey val="0"/>
          <c:showVal val="0"/>
          <c:showCatName val="0"/>
          <c:showSerName val="0"/>
          <c:showPercent val="0"/>
          <c:showBubbleSize val="0"/>
        </c:dLbls>
        <c:gapWidth val="150"/>
        <c:axId val="150825600"/>
        <c:axId val="150856448"/>
      </c:barChart>
      <c:catAx>
        <c:axId val="15082560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0856448"/>
        <c:crosses val="autoZero"/>
        <c:auto val="1"/>
        <c:lblAlgn val="ctr"/>
        <c:lblOffset val="100"/>
        <c:tickLblSkip val="1"/>
        <c:tickMarkSkip val="1"/>
        <c:noMultiLvlLbl val="0"/>
      </c:catAx>
      <c:valAx>
        <c:axId val="150856448"/>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0825600"/>
        <c:crosses val="autoZero"/>
        <c:crossBetween val="between"/>
      </c:valAx>
    </c:plotArea>
    <c:legend>
      <c:legendPos val="r"/>
      <c:layout>
        <c:manualLayout>
          <c:xMode val="edge"/>
          <c:yMode val="edge"/>
          <c:x val="0.90088819518861918"/>
          <c:y val="0.45363513771304897"/>
          <c:w val="7.8843125378558448E-2"/>
          <c:h val="9.4454508975851698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ZA"/>
              <a:t>Budget Allocation: Community Work</a:t>
            </a:r>
            <a:r>
              <a:rPr lang="en-ZA" baseline="0"/>
              <a:t> Programme</a:t>
            </a:r>
            <a:endParaRPr lang="en-ZA"/>
          </a:p>
        </c:rich>
      </c:tx>
      <c:layout>
        <c:manualLayout>
          <c:xMode val="edge"/>
          <c:yMode val="edge"/>
          <c:x val="0.29069219573703203"/>
          <c:y val="2.6493126715324968E-2"/>
        </c:manualLayout>
      </c:layout>
      <c:overlay val="0"/>
      <c:spPr>
        <a:noFill/>
        <a:ln w="25400">
          <a:noFill/>
        </a:ln>
      </c:spPr>
    </c:title>
    <c:autoTitleDeleted val="0"/>
    <c:plotArea>
      <c:layout>
        <c:manualLayout>
          <c:layoutTarget val="inner"/>
          <c:xMode val="edge"/>
          <c:yMode val="edge"/>
          <c:x val="0.10272119679673772"/>
          <c:y val="0.14213641103081293"/>
          <c:w val="0.78402423494723883"/>
          <c:h val="0.68170592914397599"/>
        </c:manualLayout>
      </c:layout>
      <c:barChart>
        <c:barDir val="col"/>
        <c:grouping val="clustered"/>
        <c:varyColors val="0"/>
        <c:ser>
          <c:idx val="0"/>
          <c:order val="0"/>
          <c:tx>
            <c:strRef>
              <c:f>'Data input'!$B$2</c:f>
              <c:strCache>
                <c:ptCount val="1"/>
                <c:pt idx="0">
                  <c:v>2015/16</c:v>
                </c:pt>
              </c:strCache>
            </c:strRef>
          </c:tx>
          <c:spPr>
            <a:solidFill>
              <a:srgbClr val="9999FF"/>
            </a:solidFill>
            <a:ln w="12700">
              <a:solidFill>
                <a:srgbClr val="000000"/>
              </a:solidFill>
              <a:prstDash val="solid"/>
            </a:ln>
          </c:spPr>
          <c:invertIfNegative val="0"/>
          <c:val>
            <c:numRef>
              <c:f>'Data input'!$B$3:$B$5</c:f>
              <c:numCache>
                <c:formatCode>General</c:formatCode>
                <c:ptCount val="3"/>
                <c:pt idx="0" formatCode="###\ ###\ ##0.0">
                  <c:v>2375.9</c:v>
                </c:pt>
              </c:numCache>
            </c:numRef>
          </c:val>
        </c:ser>
        <c:ser>
          <c:idx val="1"/>
          <c:order val="1"/>
          <c:tx>
            <c:strRef>
              <c:f>'Data input'!$C$2</c:f>
              <c:strCache>
                <c:ptCount val="1"/>
                <c:pt idx="0">
                  <c:v>2016/17</c:v>
                </c:pt>
              </c:strCache>
            </c:strRef>
          </c:tx>
          <c:invertIfNegative val="0"/>
          <c:val>
            <c:numRef>
              <c:f>'Data input'!$C$3:$C$5</c:f>
              <c:numCache>
                <c:formatCode>###\ ###\ ##0.0</c:formatCode>
                <c:ptCount val="3"/>
                <c:pt idx="0">
                  <c:v>3140.8</c:v>
                </c:pt>
                <c:pt idx="1">
                  <c:v>38.5</c:v>
                </c:pt>
                <c:pt idx="2">
                  <c:v>11.9</c:v>
                </c:pt>
              </c:numCache>
            </c:numRef>
          </c:val>
        </c:ser>
        <c:dLbls>
          <c:showLegendKey val="0"/>
          <c:showVal val="0"/>
          <c:showCatName val="0"/>
          <c:showSerName val="0"/>
          <c:showPercent val="0"/>
          <c:showBubbleSize val="0"/>
        </c:dLbls>
        <c:gapWidth val="150"/>
        <c:axId val="150919040"/>
        <c:axId val="150925312"/>
      </c:barChart>
      <c:catAx>
        <c:axId val="15091904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0925312"/>
        <c:crosses val="autoZero"/>
        <c:auto val="1"/>
        <c:lblAlgn val="ctr"/>
        <c:lblOffset val="100"/>
        <c:tickLblSkip val="1"/>
        <c:tickMarkSkip val="1"/>
        <c:noMultiLvlLbl val="0"/>
      </c:catAx>
      <c:valAx>
        <c:axId val="150925312"/>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0919040"/>
        <c:crosses val="autoZero"/>
        <c:crossBetween val="between"/>
      </c:valAx>
    </c:plotArea>
    <c:legend>
      <c:legendPos val="r"/>
      <c:layout>
        <c:manualLayout>
          <c:xMode val="edge"/>
          <c:yMode val="edge"/>
          <c:x val="0.90088819518861918"/>
          <c:y val="0.45363513771304897"/>
          <c:w val="7.8843125378558448E-2"/>
          <c:h val="9.4454508975851698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47DBF-D981-480A-B43D-3AB02C41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5051</Words>
  <Characters>28797</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Asanda</cp:lastModifiedBy>
  <cp:revision>2</cp:revision>
  <cp:lastPrinted>2016-04-13T07:05:00Z</cp:lastPrinted>
  <dcterms:created xsi:type="dcterms:W3CDTF">2016-04-20T09:26:00Z</dcterms:created>
  <dcterms:modified xsi:type="dcterms:W3CDTF">2016-04-20T09:26:00Z</dcterms:modified>
</cp:coreProperties>
</file>