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FA" w:rsidRDefault="00BD2DFA" w:rsidP="00BD2DFA">
      <w:bookmarkStart w:id="0" w:name="_GoBack"/>
      <w:bookmarkEnd w:id="0"/>
    </w:p>
    <w:p w:rsidR="00BD2DFA" w:rsidRPr="00BD2DFA" w:rsidRDefault="00BD2DFA" w:rsidP="00BD2DFA">
      <w:pPr>
        <w:spacing w:after="0" w:line="300" w:lineRule="exact"/>
        <w:jc w:val="both"/>
        <w:rPr>
          <w:rFonts w:ascii="Arial" w:eastAsia="Calibri" w:hAnsi="Arial" w:cs="Arial"/>
        </w:rPr>
      </w:pPr>
      <w:r w:rsidRPr="00BD2DFA">
        <w:rPr>
          <w:rFonts w:ascii="Arial" w:eastAsia="Calibri" w:hAnsi="Arial" w:cs="Arial"/>
        </w:rPr>
        <w:t>15 February 2016</w:t>
      </w:r>
    </w:p>
    <w:p w:rsidR="00BD2DFA" w:rsidRPr="00BD2DFA" w:rsidRDefault="00BD2DFA" w:rsidP="00BD2DFA">
      <w:pPr>
        <w:spacing w:after="0" w:line="300" w:lineRule="exact"/>
        <w:jc w:val="both"/>
        <w:rPr>
          <w:rFonts w:ascii="Arial" w:eastAsia="Calibri" w:hAnsi="Arial" w:cs="Arial"/>
          <w:b/>
        </w:rPr>
      </w:pPr>
    </w:p>
    <w:p w:rsidR="00BD2DFA" w:rsidRPr="00BD2DFA" w:rsidRDefault="00BD2DFA" w:rsidP="00BD2DFA">
      <w:pPr>
        <w:spacing w:after="0" w:line="300" w:lineRule="exact"/>
        <w:jc w:val="both"/>
        <w:rPr>
          <w:rFonts w:ascii="Arial" w:eastAsia="Calibri" w:hAnsi="Arial" w:cs="Arial"/>
          <w:b/>
        </w:rPr>
      </w:pPr>
      <w:r w:rsidRPr="00BD2DFA">
        <w:rPr>
          <w:rFonts w:ascii="Arial" w:eastAsia="Calibri" w:hAnsi="Arial" w:cs="Arial"/>
          <w:b/>
        </w:rPr>
        <w:t>ANALYSIS OF THE DEPARTMENT OF JUSTICE AND CONSTITUTIONAL DEVELOPMENT THIRD QUARTER EXPENDITURE (OCTOBER-DECEMBER 2015)</w:t>
      </w:r>
    </w:p>
    <w:p w:rsidR="00BD2DFA" w:rsidRPr="00BD2DFA" w:rsidRDefault="00BD2DFA" w:rsidP="00BD2DFA">
      <w:pPr>
        <w:spacing w:after="0" w:line="300" w:lineRule="exact"/>
        <w:jc w:val="both"/>
        <w:rPr>
          <w:rFonts w:ascii="Arial" w:eastAsia="Calibri" w:hAnsi="Arial" w:cs="Arial"/>
          <w:b/>
        </w:rPr>
      </w:pPr>
    </w:p>
    <w:p w:rsidR="00BD2DFA" w:rsidRPr="00BD2DFA" w:rsidRDefault="00BD2DFA" w:rsidP="00BD2DFA">
      <w:pPr>
        <w:numPr>
          <w:ilvl w:val="0"/>
          <w:numId w:val="27"/>
        </w:numPr>
        <w:spacing w:after="0" w:line="300" w:lineRule="exact"/>
        <w:ind w:hanging="720"/>
        <w:contextualSpacing/>
        <w:jc w:val="both"/>
        <w:rPr>
          <w:rFonts w:ascii="Arial" w:eastAsia="Calibri" w:hAnsi="Arial" w:cs="Arial"/>
          <w:b/>
        </w:rPr>
      </w:pPr>
      <w:r w:rsidRPr="00BD2DFA">
        <w:rPr>
          <w:rFonts w:ascii="Arial" w:eastAsia="Calibri" w:hAnsi="Arial" w:cs="Arial"/>
          <w:b/>
        </w:rPr>
        <w:t>IMPACT OF THE ADJUSTED ESTIMATES OF NATIONAL EXPENDITURE (AENE) OCTOBER 2015</w:t>
      </w:r>
    </w:p>
    <w:p w:rsidR="00BD2DFA" w:rsidRPr="00BD2DFA" w:rsidRDefault="00BD2DFA" w:rsidP="00BD2DFA">
      <w:pPr>
        <w:spacing w:after="0" w:line="300" w:lineRule="exact"/>
        <w:jc w:val="both"/>
        <w:rPr>
          <w:rFonts w:ascii="Arial" w:eastAsia="Calibri" w:hAnsi="Arial" w:cs="Arial"/>
        </w:rPr>
      </w:pPr>
    </w:p>
    <w:p w:rsidR="00BD2DFA" w:rsidRPr="00BD2DFA" w:rsidRDefault="00BD2DFA" w:rsidP="00BD2DFA">
      <w:pPr>
        <w:spacing w:after="0" w:line="280" w:lineRule="exact"/>
        <w:jc w:val="both"/>
        <w:rPr>
          <w:rFonts w:ascii="Arial" w:eastAsia="Times New Roman" w:hAnsi="Arial" w:cs="Arial"/>
          <w:color w:val="000000"/>
          <w:spacing w:val="6"/>
          <w:lang w:val="en-AU" w:eastAsia="en-GB"/>
        </w:rPr>
      </w:pPr>
      <w:r w:rsidRPr="00BD2DFA">
        <w:rPr>
          <w:rFonts w:ascii="Arial" w:eastAsia="Times New Roman" w:hAnsi="Arial" w:cs="Arial"/>
          <w:color w:val="000000"/>
          <w:spacing w:val="6"/>
          <w:lang w:val="en-AU" w:eastAsia="en-GB"/>
        </w:rPr>
        <w:t>The October 2015 Medium Term Budget Policy Statement (MTBPS) notes that:</w:t>
      </w:r>
      <w:r w:rsidRPr="00BD2DFA">
        <w:rPr>
          <w:rFonts w:ascii="Arial" w:eastAsia="Times New Roman" w:hAnsi="Arial" w:cs="Arial"/>
          <w:color w:val="000000"/>
          <w:spacing w:val="6"/>
          <w:vertAlign w:val="superscript"/>
          <w:lang w:val="en-AU" w:eastAsia="en-GB"/>
        </w:rPr>
        <w:footnoteReference w:id="1"/>
      </w:r>
    </w:p>
    <w:p w:rsidR="00BD2DFA" w:rsidRPr="00BD2DFA" w:rsidRDefault="00BD2DFA" w:rsidP="00BD2DFA">
      <w:pPr>
        <w:spacing w:after="0" w:line="300" w:lineRule="exact"/>
        <w:jc w:val="both"/>
        <w:rPr>
          <w:rFonts w:ascii="Arial" w:eastAsia="Calibri" w:hAnsi="Arial" w:cs="Arial"/>
          <w:lang w:val="en-AU"/>
        </w:rPr>
      </w:pPr>
    </w:p>
    <w:tbl>
      <w:tblPr>
        <w:tblStyle w:val="TableGrid1"/>
        <w:tblW w:w="0" w:type="auto"/>
        <w:shd w:val="clear" w:color="auto" w:fill="FBE4D5" w:themeFill="accent2" w:themeFillTint="33"/>
        <w:tblLook w:val="04A0"/>
      </w:tblPr>
      <w:tblGrid>
        <w:gridCol w:w="9016"/>
      </w:tblGrid>
      <w:tr w:rsidR="00BD2DFA" w:rsidRPr="00BD2DFA" w:rsidTr="00207F83">
        <w:tc>
          <w:tcPr>
            <w:tcW w:w="9016" w:type="dxa"/>
            <w:shd w:val="clear" w:color="auto" w:fill="FBE4D5" w:themeFill="accent2" w:themeFillTint="33"/>
          </w:tcPr>
          <w:p w:rsidR="00BD2DFA" w:rsidRPr="00BD2DFA" w:rsidRDefault="00BD2DFA" w:rsidP="00BD2DFA">
            <w:pPr>
              <w:spacing w:line="300" w:lineRule="exact"/>
              <w:jc w:val="both"/>
              <w:rPr>
                <w:rFonts w:ascii="Arial" w:hAnsi="Arial" w:cs="Arial"/>
                <w:lang w:val="en-AU"/>
              </w:rPr>
            </w:pPr>
          </w:p>
          <w:p w:rsidR="00BD2DFA" w:rsidRPr="00BD2DFA" w:rsidRDefault="00BD2DFA" w:rsidP="00BD2DFA">
            <w:pPr>
              <w:numPr>
                <w:ilvl w:val="0"/>
                <w:numId w:val="26"/>
              </w:numPr>
              <w:spacing w:line="300" w:lineRule="exact"/>
              <w:jc w:val="both"/>
              <w:rPr>
                <w:rFonts w:ascii="Arial" w:hAnsi="Arial" w:cs="Arial"/>
                <w:lang w:val="en-AU"/>
              </w:rPr>
            </w:pPr>
            <w:r w:rsidRPr="00BD2DFA">
              <w:rPr>
                <w:rFonts w:ascii="Arial" w:hAnsi="Arial" w:cs="Arial"/>
                <w:lang w:val="en-AU"/>
              </w:rPr>
              <w:t xml:space="preserve">Government must work harder to improve value received for money spent by highlighting waste and inefficiency, and targeting corruption. </w:t>
            </w:r>
          </w:p>
          <w:p w:rsidR="00BD2DFA" w:rsidRPr="00BD2DFA" w:rsidRDefault="00BD2DFA" w:rsidP="00BD2DFA">
            <w:pPr>
              <w:numPr>
                <w:ilvl w:val="0"/>
                <w:numId w:val="26"/>
              </w:numPr>
              <w:spacing w:line="300" w:lineRule="exact"/>
              <w:jc w:val="both"/>
              <w:rPr>
                <w:rFonts w:ascii="Arial" w:hAnsi="Arial" w:cs="Arial"/>
                <w:lang w:val="en-AU"/>
              </w:rPr>
            </w:pPr>
            <w:r w:rsidRPr="00BD2DFA">
              <w:rPr>
                <w:rFonts w:ascii="Arial" w:hAnsi="Arial" w:cs="Arial"/>
                <w:lang w:val="en-AU"/>
              </w:rPr>
              <w:t>There is little room for new spending.</w:t>
            </w:r>
          </w:p>
          <w:p w:rsidR="00BD2DFA" w:rsidRPr="00BD2DFA" w:rsidRDefault="00BD2DFA" w:rsidP="00BD2DFA">
            <w:pPr>
              <w:numPr>
                <w:ilvl w:val="0"/>
                <w:numId w:val="26"/>
              </w:numPr>
              <w:spacing w:line="300" w:lineRule="exact"/>
              <w:jc w:val="both"/>
              <w:rPr>
                <w:rFonts w:ascii="Arial" w:hAnsi="Arial" w:cs="Arial"/>
                <w:lang w:val="en-AU"/>
              </w:rPr>
            </w:pPr>
            <w:r w:rsidRPr="00BD2DFA">
              <w:rPr>
                <w:rFonts w:ascii="Arial" w:hAnsi="Arial" w:cs="Arial"/>
                <w:lang w:val="en-AU"/>
              </w:rPr>
              <w:t xml:space="preserve">Departments may have to shift funds from other budget lines to meet compensation commitments. </w:t>
            </w:r>
            <w:r w:rsidRPr="00BD2DFA">
              <w:rPr>
                <w:rFonts w:ascii="Arial" w:hAnsi="Arial" w:cs="Arial"/>
                <w:b/>
                <w:lang w:val="en-AU"/>
              </w:rPr>
              <w:t>Many of these resources will be drawn from goods and services and capital budgets.</w:t>
            </w:r>
            <w:r w:rsidRPr="00BD2DFA">
              <w:rPr>
                <w:rFonts w:ascii="Arial" w:hAnsi="Arial" w:cs="Arial"/>
                <w:lang w:val="en-AU"/>
              </w:rPr>
              <w:t xml:space="preserve"> </w:t>
            </w:r>
          </w:p>
          <w:p w:rsidR="00BD2DFA" w:rsidRPr="00BD2DFA" w:rsidRDefault="00BD2DFA" w:rsidP="00BD2DFA">
            <w:pPr>
              <w:numPr>
                <w:ilvl w:val="0"/>
                <w:numId w:val="26"/>
              </w:numPr>
              <w:spacing w:line="280" w:lineRule="exact"/>
              <w:contextualSpacing/>
              <w:jc w:val="both"/>
              <w:rPr>
                <w:rFonts w:ascii="Arial" w:hAnsi="Arial" w:cs="Arial"/>
                <w:lang w:val="en-AU"/>
              </w:rPr>
            </w:pPr>
            <w:r w:rsidRPr="00BD2DFA">
              <w:rPr>
                <w:rFonts w:ascii="Arial" w:hAnsi="Arial" w:cs="Arial"/>
                <w:lang w:val="en-AU"/>
              </w:rPr>
              <w:t>Spending priorities support the National Development Plan’s (NDP) priorities as expressed through the Medium Term Strategic Framework (MTSF) 2014-19. Budgets must be aligned accordingly.</w:t>
            </w:r>
          </w:p>
          <w:p w:rsidR="00BD2DFA" w:rsidRPr="00BD2DFA" w:rsidRDefault="00BD2DFA" w:rsidP="00BD2DFA">
            <w:pPr>
              <w:numPr>
                <w:ilvl w:val="0"/>
                <w:numId w:val="26"/>
              </w:numPr>
              <w:spacing w:line="300" w:lineRule="exact"/>
              <w:jc w:val="both"/>
              <w:rPr>
                <w:rFonts w:ascii="Arial" w:hAnsi="Arial" w:cs="Arial"/>
                <w:lang w:val="en-AU"/>
              </w:rPr>
            </w:pPr>
            <w:r w:rsidRPr="00BD2DFA">
              <w:rPr>
                <w:rFonts w:ascii="Arial" w:hAnsi="Arial" w:cs="Arial"/>
                <w:b/>
                <w:lang w:val="en-AU"/>
              </w:rPr>
              <w:t>From 1 September 2015, government will subject all future legislation and regulations to a socio-economic impact assessment</w:t>
            </w:r>
            <w:r w:rsidRPr="00BD2DFA">
              <w:rPr>
                <w:rFonts w:ascii="Arial" w:hAnsi="Arial" w:cs="Arial"/>
                <w:lang w:val="en-AU"/>
              </w:rPr>
              <w:t>.</w:t>
            </w:r>
          </w:p>
          <w:p w:rsidR="00BD2DFA" w:rsidRPr="00BD2DFA" w:rsidRDefault="00BD2DFA" w:rsidP="00BD2DFA">
            <w:pPr>
              <w:numPr>
                <w:ilvl w:val="0"/>
                <w:numId w:val="26"/>
              </w:numPr>
              <w:spacing w:line="300" w:lineRule="exact"/>
              <w:jc w:val="both"/>
              <w:rPr>
                <w:rFonts w:ascii="Arial" w:hAnsi="Arial" w:cs="Arial"/>
                <w:lang w:val="en-AU"/>
              </w:rPr>
            </w:pPr>
            <w:r w:rsidRPr="00BD2DFA">
              <w:rPr>
                <w:rFonts w:ascii="Arial" w:hAnsi="Arial" w:cs="Arial"/>
                <w:lang w:val="en-AU"/>
              </w:rPr>
              <w:t>Cost containment measures will continue to be strengthened.</w:t>
            </w:r>
          </w:p>
          <w:p w:rsidR="00BD2DFA" w:rsidRPr="00BD2DFA" w:rsidRDefault="00BD2DFA" w:rsidP="00BD2DFA">
            <w:pPr>
              <w:spacing w:line="300" w:lineRule="exact"/>
              <w:jc w:val="both"/>
              <w:rPr>
                <w:rFonts w:ascii="Arial" w:hAnsi="Arial" w:cs="Arial"/>
                <w:lang w:val="en-AU"/>
              </w:rPr>
            </w:pPr>
          </w:p>
        </w:tc>
      </w:tr>
    </w:tbl>
    <w:p w:rsidR="00BD2DFA" w:rsidRPr="00BD2DFA" w:rsidRDefault="00BD2DFA" w:rsidP="00BD2DFA">
      <w:pPr>
        <w:spacing w:after="0" w:line="280" w:lineRule="exact"/>
        <w:jc w:val="both"/>
        <w:rPr>
          <w:rFonts w:ascii="Arial" w:eastAsia="Times New Roman" w:hAnsi="Arial" w:cs="Arial"/>
          <w:color w:val="000000"/>
          <w:spacing w:val="6"/>
          <w:lang w:val="en-GB" w:eastAsia="en-GB"/>
        </w:rPr>
      </w:pPr>
    </w:p>
    <w:p w:rsidR="00BD2DFA" w:rsidRDefault="00141F73" w:rsidP="00BD2DFA">
      <w:pPr>
        <w:spacing w:after="0" w:line="300" w:lineRule="exact"/>
        <w:jc w:val="both"/>
        <w:rPr>
          <w:rFonts w:ascii="Arial" w:eastAsia="Times New Roman" w:hAnsi="Arial" w:cs="Arial"/>
          <w:color w:val="000000"/>
          <w:spacing w:val="6"/>
          <w:lang w:val="en-GB" w:eastAsia="en-GB"/>
        </w:rPr>
      </w:pPr>
      <w:r>
        <w:rPr>
          <w:rFonts w:ascii="Arial" w:eastAsia="Times New Roman" w:hAnsi="Arial" w:cs="Arial"/>
          <w:color w:val="000000"/>
          <w:spacing w:val="6"/>
          <w:lang w:val="en-GB" w:eastAsia="en-GB"/>
        </w:rPr>
        <w:t>In terms of the Oc</w:t>
      </w:r>
      <w:r w:rsidR="00BD2DFA" w:rsidRPr="00BD2DFA">
        <w:rPr>
          <w:rFonts w:ascii="Arial" w:eastAsia="Times New Roman" w:hAnsi="Arial" w:cs="Arial"/>
          <w:color w:val="000000"/>
          <w:spacing w:val="6"/>
          <w:lang w:val="en-GB" w:eastAsia="en-GB"/>
        </w:rPr>
        <w:t>t</w:t>
      </w:r>
      <w:r>
        <w:rPr>
          <w:rFonts w:ascii="Arial" w:eastAsia="Times New Roman" w:hAnsi="Arial" w:cs="Arial"/>
          <w:color w:val="000000"/>
          <w:spacing w:val="6"/>
          <w:lang w:val="en-GB" w:eastAsia="en-GB"/>
        </w:rPr>
        <w:t>o</w:t>
      </w:r>
      <w:r w:rsidR="00BD2DFA" w:rsidRPr="00BD2DFA">
        <w:rPr>
          <w:rFonts w:ascii="Arial" w:eastAsia="Times New Roman" w:hAnsi="Arial" w:cs="Arial"/>
          <w:color w:val="000000"/>
          <w:spacing w:val="6"/>
          <w:lang w:val="en-GB" w:eastAsia="en-GB"/>
        </w:rPr>
        <w:t xml:space="preserve">ber 2015 Adjusted Estimates of National Expenditure (AENE) the Justice Departments main appropriation of R16.86 was adjusted downwards to R16.84 billion. </w:t>
      </w:r>
    </w:p>
    <w:p w:rsidR="00BD2DFA" w:rsidRDefault="00BD2DFA" w:rsidP="00BD2DFA">
      <w:pPr>
        <w:spacing w:after="0" w:line="300" w:lineRule="exact"/>
        <w:jc w:val="both"/>
        <w:rPr>
          <w:rFonts w:ascii="Arial" w:eastAsia="Times New Roman" w:hAnsi="Arial" w:cs="Arial"/>
          <w:color w:val="000000"/>
          <w:spacing w:val="6"/>
          <w:lang w:val="en-GB" w:eastAsia="en-GB"/>
        </w:rPr>
      </w:pPr>
    </w:p>
    <w:p w:rsidR="00BD2DFA" w:rsidRPr="00BD2DFA" w:rsidRDefault="00BD2DFA" w:rsidP="00BD2DFA">
      <w:pPr>
        <w:spacing w:after="0" w:line="30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t xml:space="preserve">The adjustment budget was impacted by </w:t>
      </w:r>
      <w:r w:rsidRPr="00BD2DFA">
        <w:rPr>
          <w:rFonts w:ascii="Arial" w:eastAsia="Times New Roman" w:hAnsi="Arial" w:cs="Arial"/>
          <w:i/>
          <w:color w:val="000000"/>
          <w:spacing w:val="6"/>
          <w:lang w:val="en-GB" w:eastAsia="en-GB"/>
        </w:rPr>
        <w:t>unspent funds</w:t>
      </w:r>
      <w:r w:rsidRPr="00BD2DFA">
        <w:rPr>
          <w:rFonts w:ascii="Arial" w:eastAsia="Times New Roman" w:hAnsi="Arial" w:cs="Arial"/>
          <w:color w:val="000000"/>
          <w:spacing w:val="6"/>
          <w:lang w:val="en-GB" w:eastAsia="en-GB"/>
        </w:rPr>
        <w:t xml:space="preserve"> (of R1110 million due to delays in implementation of Integrated Justice System (IJS) projects and delays in filling of magistrates posts); as well as an additional allocation from Treasury for personnel expenses; the transfer of functions (and consequently some funds) between Justice and the Department of the Office of the Chief Justice and Judicial Administration; and certain shifts/</w:t>
      </w:r>
      <w:proofErr w:type="spellStart"/>
      <w:r w:rsidRPr="00BD2DFA">
        <w:rPr>
          <w:rFonts w:ascii="Arial" w:eastAsia="Times New Roman" w:hAnsi="Arial" w:cs="Arial"/>
          <w:color w:val="000000"/>
          <w:spacing w:val="6"/>
          <w:lang w:val="en-GB" w:eastAsia="en-GB"/>
        </w:rPr>
        <w:t>virements</w:t>
      </w:r>
      <w:proofErr w:type="spellEnd"/>
      <w:r w:rsidRPr="00BD2DFA">
        <w:rPr>
          <w:rFonts w:ascii="Arial" w:eastAsia="Times New Roman" w:hAnsi="Arial" w:cs="Arial"/>
          <w:color w:val="000000"/>
          <w:spacing w:val="6"/>
          <w:vertAlign w:val="superscript"/>
          <w:lang w:val="en-GB" w:eastAsia="en-GB"/>
        </w:rPr>
        <w:footnoteReference w:id="2"/>
      </w:r>
      <w:r w:rsidRPr="00BD2DFA">
        <w:rPr>
          <w:rFonts w:ascii="Arial" w:eastAsia="Times New Roman" w:hAnsi="Arial" w:cs="Arial"/>
          <w:color w:val="000000"/>
          <w:spacing w:val="6"/>
          <w:lang w:val="en-GB" w:eastAsia="en-GB"/>
        </w:rPr>
        <w:t xml:space="preserve"> within/between programmes in the Justice Vote. </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w:eastAsia="Calibri" w:hAnsi="Arial" w:cs="Arial"/>
          <w:color w:val="000000" w:themeColor="text1"/>
        </w:rPr>
      </w:pPr>
      <w:r w:rsidRPr="00BD2DFA">
        <w:rPr>
          <w:rFonts w:ascii="Arial" w:eastAsia="Calibri" w:hAnsi="Arial" w:cs="Arial"/>
          <w:color w:val="000000" w:themeColor="text1"/>
        </w:rPr>
        <w:t xml:space="preserve">This paper will briefly analyse the spending of funds in the Third Quarter of the 2015/16 financial year. </w:t>
      </w:r>
    </w:p>
    <w:p w:rsidR="00BD2DFA" w:rsidRDefault="00BD2DFA" w:rsidP="00BD2DFA">
      <w:pPr>
        <w:spacing w:after="0" w:line="300" w:lineRule="exact"/>
        <w:jc w:val="both"/>
        <w:rPr>
          <w:rFonts w:ascii="Arial" w:eastAsia="Calibri" w:hAnsi="Arial" w:cs="Arial"/>
          <w:b/>
          <w:color w:val="000000"/>
        </w:rPr>
      </w:pPr>
    </w:p>
    <w:p w:rsidR="00BD2DFA" w:rsidRDefault="00BD2DFA" w:rsidP="00BD2DFA">
      <w:pPr>
        <w:spacing w:after="0" w:line="300" w:lineRule="exact"/>
        <w:jc w:val="both"/>
        <w:rPr>
          <w:rFonts w:ascii="Arial" w:eastAsia="Calibri" w:hAnsi="Arial" w:cs="Arial"/>
          <w:b/>
          <w:color w:val="000000"/>
        </w:rPr>
      </w:pPr>
    </w:p>
    <w:p w:rsid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Bold" w:eastAsia="Calibri" w:hAnsi="Arial Bold" w:cs="Arial"/>
          <w:b/>
          <w:color w:val="000000"/>
        </w:rPr>
      </w:pPr>
      <w:r w:rsidRPr="00BD2DFA">
        <w:rPr>
          <w:rFonts w:ascii="Arial Bold" w:eastAsia="Calibri" w:hAnsi="Arial Bold" w:cs="Arial"/>
          <w:b/>
          <w:color w:val="000000"/>
        </w:rPr>
        <w:t>2.</w:t>
      </w:r>
      <w:r w:rsidRPr="00BD2DFA">
        <w:rPr>
          <w:rFonts w:ascii="Arial Bold" w:eastAsia="Calibri" w:hAnsi="Arial Bold" w:cs="Arial"/>
          <w:b/>
          <w:color w:val="000000"/>
        </w:rPr>
        <w:tab/>
        <w:t>OVERALL EXPENDITURE TRENDS</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w:eastAsia="Calibri" w:hAnsi="Arial" w:cs="Arial"/>
          <w:color w:val="000000"/>
        </w:rPr>
      </w:pPr>
      <w:r w:rsidRPr="00BD2DFA">
        <w:rPr>
          <w:rFonts w:ascii="Arial" w:eastAsia="Calibri" w:hAnsi="Arial" w:cs="Arial"/>
          <w:color w:val="000000"/>
        </w:rPr>
        <w:t xml:space="preserve">By the end of the third quarter of 2015/16 the Justice Department spent R11.9 billion of the adjusted appropriation of R16.84 billion, including Direct Charges. This is 3.2 percentage points (or R533.8 million) </w:t>
      </w:r>
      <w:r w:rsidRPr="00141F73">
        <w:rPr>
          <w:rFonts w:ascii="Arial" w:eastAsia="Calibri" w:hAnsi="Arial" w:cs="Arial"/>
          <w:i/>
          <w:color w:val="000000"/>
        </w:rPr>
        <w:t>lower</w:t>
      </w:r>
      <w:r w:rsidRPr="00BD2DFA">
        <w:rPr>
          <w:rFonts w:ascii="Arial" w:eastAsia="Calibri" w:hAnsi="Arial" w:cs="Arial"/>
          <w:color w:val="000000"/>
        </w:rPr>
        <w:t xml:space="preserve"> than the approved projections of R12.4 billion.</w:t>
      </w:r>
    </w:p>
    <w:p w:rsidR="00BD2DFA" w:rsidRDefault="00BD2DFA" w:rsidP="00BD2DFA">
      <w:pPr>
        <w:spacing w:after="0" w:line="280" w:lineRule="exact"/>
        <w:rPr>
          <w:rFonts w:ascii="Arial" w:eastAsia="Times New Roman" w:hAnsi="Arial" w:cs="Arial"/>
          <w:color w:val="000000" w:themeColor="text1"/>
          <w:spacing w:val="6"/>
          <w:lang w:val="en-GB" w:eastAsia="en-GB"/>
        </w:rPr>
      </w:pPr>
    </w:p>
    <w:p w:rsidR="00BD2DFA" w:rsidRPr="00BD2DFA" w:rsidRDefault="00BD2DFA" w:rsidP="00BD2DFA">
      <w:pPr>
        <w:spacing w:after="0" w:line="280" w:lineRule="exact"/>
        <w:rPr>
          <w:rFonts w:ascii="Arial" w:eastAsia="Times New Roman" w:hAnsi="Arial" w:cs="Arial"/>
          <w:color w:val="000000" w:themeColor="text1"/>
          <w:spacing w:val="6"/>
          <w:lang w:val="en-GB" w:eastAsia="en-GB"/>
        </w:rPr>
      </w:pPr>
      <w:r w:rsidRPr="00BD2DFA">
        <w:rPr>
          <w:rFonts w:ascii="Arial" w:eastAsia="Times New Roman" w:hAnsi="Arial" w:cs="Arial"/>
          <w:color w:val="000000" w:themeColor="text1"/>
          <w:spacing w:val="6"/>
          <w:lang w:val="en-GB" w:eastAsia="en-GB"/>
        </w:rPr>
        <w:t>Lower than projected expenditure is mainly due to;</w:t>
      </w:r>
    </w:p>
    <w:p w:rsidR="00BD2DFA" w:rsidRPr="00BD2DFA" w:rsidRDefault="00BD2DFA" w:rsidP="00BD2DFA">
      <w:pPr>
        <w:spacing w:after="0" w:line="280" w:lineRule="exact"/>
        <w:rPr>
          <w:rFonts w:ascii="Arial" w:eastAsia="Times New Roman" w:hAnsi="Arial" w:cs="Arial"/>
          <w:color w:val="000000" w:themeColor="text1"/>
          <w:spacing w:val="6"/>
          <w:lang w:val="en-GB" w:eastAsia="en-GB"/>
        </w:rPr>
      </w:pPr>
    </w:p>
    <w:p w:rsidR="00BD2DFA" w:rsidRPr="00BD2DFA" w:rsidRDefault="00BD2DFA" w:rsidP="00BD2DFA">
      <w:pPr>
        <w:numPr>
          <w:ilvl w:val="0"/>
          <w:numId w:val="28"/>
        </w:numPr>
        <w:spacing w:after="0" w:line="280" w:lineRule="exact"/>
        <w:contextualSpacing/>
        <w:rPr>
          <w:rFonts w:ascii="Arial" w:eastAsia="Times New Roman" w:hAnsi="Arial" w:cs="Times New Roman"/>
          <w:color w:val="000000"/>
          <w:spacing w:val="6"/>
          <w:sz w:val="18"/>
          <w:szCs w:val="18"/>
          <w:lang w:val="en-GB" w:eastAsia="en-GB"/>
        </w:rPr>
      </w:pPr>
      <w:r w:rsidRPr="00BD2DFA">
        <w:rPr>
          <w:rFonts w:ascii="Arial" w:eastAsia="Times New Roman" w:hAnsi="Arial" w:cs="Arial"/>
          <w:color w:val="000000" w:themeColor="text1"/>
          <w:spacing w:val="6"/>
          <w:lang w:val="en-GB" w:eastAsia="en-GB"/>
        </w:rPr>
        <w:t>delays in the filling of vacant posts</w:t>
      </w:r>
      <w:r w:rsidRPr="00BD2DFA">
        <w:rPr>
          <w:rFonts w:ascii="Arial" w:eastAsiaTheme="minorEastAsia" w:hAnsi="Arial" w:cs="Arial"/>
          <w:color w:val="000000" w:themeColor="text1"/>
          <w:spacing w:val="6"/>
          <w:lang w:val="en-GB" w:eastAsia="en-ZA"/>
        </w:rPr>
        <w:t xml:space="preserve">, </w:t>
      </w:r>
    </w:p>
    <w:p w:rsidR="00BD2DFA" w:rsidRPr="00BD2DFA" w:rsidRDefault="00BD2DFA" w:rsidP="00BD2DFA">
      <w:pPr>
        <w:numPr>
          <w:ilvl w:val="0"/>
          <w:numId w:val="28"/>
        </w:numPr>
        <w:spacing w:after="0" w:line="280" w:lineRule="exact"/>
        <w:contextualSpacing/>
        <w:rPr>
          <w:rFonts w:ascii="Arial" w:eastAsia="Times New Roman" w:hAnsi="Arial" w:cs="Times New Roman"/>
          <w:color w:val="000000"/>
          <w:spacing w:val="6"/>
          <w:sz w:val="18"/>
          <w:szCs w:val="18"/>
          <w:lang w:val="en-GB" w:eastAsia="en-GB"/>
        </w:rPr>
      </w:pPr>
      <w:r w:rsidRPr="00BD2DFA">
        <w:rPr>
          <w:rFonts w:ascii="Arial" w:eastAsiaTheme="minorEastAsia" w:hAnsi="Arial" w:cs="Arial"/>
          <w:color w:val="000000" w:themeColor="text1"/>
          <w:spacing w:val="6"/>
          <w:lang w:val="en-GB" w:eastAsia="en-ZA"/>
        </w:rPr>
        <w:t xml:space="preserve">delays in receiving claims from the JCPS cluster departments for the Criminal Justice System modernisation programme, </w:t>
      </w:r>
    </w:p>
    <w:p w:rsidR="00BD2DFA" w:rsidRPr="00BD2DFA" w:rsidRDefault="00BD2DFA" w:rsidP="00BD2DFA">
      <w:pPr>
        <w:numPr>
          <w:ilvl w:val="0"/>
          <w:numId w:val="28"/>
        </w:numPr>
        <w:spacing w:after="0" w:line="280" w:lineRule="exact"/>
        <w:contextualSpacing/>
        <w:rPr>
          <w:rFonts w:ascii="Arial" w:eastAsia="Times New Roman" w:hAnsi="Arial" w:cs="Times New Roman"/>
          <w:color w:val="000000"/>
          <w:spacing w:val="6"/>
          <w:sz w:val="18"/>
          <w:szCs w:val="18"/>
          <w:lang w:val="en-GB" w:eastAsia="en-GB"/>
        </w:rPr>
      </w:pPr>
      <w:r w:rsidRPr="00BD2DFA">
        <w:rPr>
          <w:rFonts w:ascii="Arial" w:eastAsiaTheme="minorEastAsia" w:hAnsi="Arial" w:cs="Arial"/>
          <w:color w:val="000000" w:themeColor="text1"/>
          <w:spacing w:val="6"/>
          <w:lang w:val="en-GB" w:eastAsia="en-ZA"/>
        </w:rPr>
        <w:t xml:space="preserve">delays in the implementation of infrastructure projects by the Department of Public Works (DPW), </w:t>
      </w:r>
    </w:p>
    <w:p w:rsidR="00BD2DFA" w:rsidRPr="00BD2DFA" w:rsidRDefault="00BD2DFA" w:rsidP="00BD2DFA">
      <w:pPr>
        <w:numPr>
          <w:ilvl w:val="0"/>
          <w:numId w:val="28"/>
        </w:numPr>
        <w:spacing w:after="0" w:line="280" w:lineRule="exact"/>
        <w:contextualSpacing/>
        <w:rPr>
          <w:rFonts w:ascii="Arial" w:eastAsia="Times New Roman" w:hAnsi="Arial" w:cs="Times New Roman"/>
          <w:color w:val="000000"/>
          <w:spacing w:val="6"/>
          <w:sz w:val="18"/>
          <w:szCs w:val="18"/>
          <w:lang w:val="en-GB" w:eastAsia="en-GB"/>
        </w:rPr>
      </w:pPr>
      <w:proofErr w:type="gramStart"/>
      <w:r w:rsidRPr="00BD2DFA">
        <w:rPr>
          <w:rFonts w:ascii="Arial" w:eastAsiaTheme="minorEastAsia" w:hAnsi="Arial" w:cs="Arial"/>
          <w:color w:val="000000" w:themeColor="text1"/>
          <w:spacing w:val="6"/>
          <w:lang w:val="en-GB" w:eastAsia="en-ZA"/>
        </w:rPr>
        <w:t>delays</w:t>
      </w:r>
      <w:proofErr w:type="gramEnd"/>
      <w:r w:rsidRPr="00BD2DFA">
        <w:rPr>
          <w:rFonts w:ascii="Arial" w:eastAsiaTheme="minorEastAsia" w:hAnsi="Arial" w:cs="Arial"/>
          <w:color w:val="000000" w:themeColor="text1"/>
          <w:spacing w:val="6"/>
          <w:lang w:val="en-GB" w:eastAsia="en-ZA"/>
        </w:rPr>
        <w:t xml:space="preserve"> in the finalization of new motor vehicles leases. </w:t>
      </w:r>
    </w:p>
    <w:p w:rsidR="00BD2DFA" w:rsidRPr="00BD2DFA" w:rsidRDefault="00BD2DFA" w:rsidP="00BD2DFA">
      <w:pPr>
        <w:spacing w:after="0" w:line="280" w:lineRule="exact"/>
        <w:rPr>
          <w:rFonts w:ascii="Arial" w:eastAsia="Times New Roman" w:hAnsi="Arial" w:cs="Times New Roman"/>
          <w:color w:val="000000"/>
          <w:spacing w:val="6"/>
          <w:sz w:val="18"/>
          <w:szCs w:val="18"/>
          <w:lang w:val="en-GB" w:eastAsia="en-GB"/>
        </w:rPr>
      </w:pPr>
    </w:p>
    <w:p w:rsidR="00BD2DFA" w:rsidRPr="00BD2DFA" w:rsidRDefault="00BD2DFA" w:rsidP="00BD2DFA">
      <w:pPr>
        <w:numPr>
          <w:ilvl w:val="1"/>
          <w:numId w:val="29"/>
        </w:numPr>
        <w:spacing w:after="0" w:line="300" w:lineRule="exact"/>
        <w:ind w:hanging="1080"/>
        <w:contextualSpacing/>
        <w:jc w:val="both"/>
        <w:rPr>
          <w:rFonts w:ascii="Arial" w:eastAsia="Calibri" w:hAnsi="Arial" w:cs="Arial"/>
          <w:b/>
          <w:color w:val="000000"/>
        </w:rPr>
      </w:pPr>
      <w:r w:rsidRPr="00BD2DFA">
        <w:rPr>
          <w:rFonts w:ascii="Arial" w:eastAsia="Calibri" w:hAnsi="Arial" w:cs="Arial"/>
          <w:b/>
          <w:color w:val="000000"/>
        </w:rPr>
        <w:t>Economic classification</w:t>
      </w:r>
    </w:p>
    <w:p w:rsidR="00BD2DFA" w:rsidRPr="00BD2DFA" w:rsidRDefault="00BD2DFA" w:rsidP="00BD2DFA">
      <w:pPr>
        <w:spacing w:after="0" w:line="280" w:lineRule="exact"/>
        <w:rPr>
          <w:rFonts w:ascii="Arial" w:eastAsia="Times New Roman" w:hAnsi="Arial" w:cs="Times New Roman"/>
          <w:color w:val="000000"/>
          <w:spacing w:val="6"/>
          <w:sz w:val="18"/>
          <w:szCs w:val="18"/>
          <w:lang w:val="en-GB" w:eastAsia="en-GB"/>
        </w:rPr>
      </w:pPr>
    </w:p>
    <w:p w:rsidR="00BD2DFA" w:rsidRPr="00BD2DFA" w:rsidRDefault="00BD2DFA" w:rsidP="00BD2DFA">
      <w:pPr>
        <w:numPr>
          <w:ilvl w:val="0"/>
          <w:numId w:val="30"/>
        </w:numPr>
        <w:spacing w:after="0" w:line="280" w:lineRule="exact"/>
        <w:contextualSpacing/>
        <w:rPr>
          <w:rFonts w:ascii="Arial" w:eastAsia="Times New Roman" w:hAnsi="Arial" w:cs="Times New Roman"/>
          <w:color w:val="000000"/>
          <w:spacing w:val="6"/>
          <w:sz w:val="18"/>
          <w:szCs w:val="18"/>
          <w:lang w:val="en-GB" w:eastAsia="en-GB"/>
        </w:rPr>
      </w:pPr>
      <w:r w:rsidRPr="00BD2DFA">
        <w:rPr>
          <w:rFonts w:ascii="Arial" w:eastAsia="Calibri" w:hAnsi="Arial" w:cs="Arial"/>
          <w:b/>
          <w:i/>
          <w:color w:val="000000"/>
        </w:rPr>
        <w:t>Goods and Services</w:t>
      </w:r>
      <w:r w:rsidRPr="00BD2DFA">
        <w:rPr>
          <w:rFonts w:ascii="Arial" w:eastAsia="Calibri" w:hAnsi="Arial" w:cs="Arial"/>
          <w:color w:val="000000"/>
        </w:rPr>
        <w:t>: Delays in filling vacant posts meant that overall spending on goods and services was 2.6 percentage points below projected spending during the third quarter of 2015/16.</w:t>
      </w:r>
    </w:p>
    <w:p w:rsidR="00BD2DFA" w:rsidRPr="00BD2DFA" w:rsidRDefault="00BD2DFA" w:rsidP="00BD2DFA">
      <w:pPr>
        <w:numPr>
          <w:ilvl w:val="0"/>
          <w:numId w:val="31"/>
        </w:numPr>
        <w:spacing w:after="0" w:line="280" w:lineRule="exact"/>
        <w:contextualSpacing/>
        <w:rPr>
          <w:rFonts w:ascii="Arial" w:eastAsia="Calibri" w:hAnsi="Arial" w:cs="Arial"/>
          <w:color w:val="000000"/>
        </w:rPr>
      </w:pPr>
      <w:r w:rsidRPr="00BD2DFA">
        <w:rPr>
          <w:rFonts w:ascii="Arial" w:eastAsia="Calibri" w:hAnsi="Arial" w:cs="Arial"/>
          <w:b/>
          <w:i/>
          <w:color w:val="000000"/>
        </w:rPr>
        <w:t>Capital Assets:</w:t>
      </w:r>
    </w:p>
    <w:p w:rsidR="00BD2DFA" w:rsidRPr="00BD2DFA" w:rsidRDefault="00BD2DFA" w:rsidP="00BD2DFA">
      <w:pPr>
        <w:numPr>
          <w:ilvl w:val="0"/>
          <w:numId w:val="32"/>
        </w:numPr>
        <w:spacing w:after="0" w:line="300" w:lineRule="exact"/>
        <w:contextualSpacing/>
        <w:jc w:val="both"/>
        <w:rPr>
          <w:rFonts w:ascii="Arial" w:eastAsia="Calibri" w:hAnsi="Arial" w:cs="Arial"/>
          <w:color w:val="000000"/>
        </w:rPr>
      </w:pPr>
      <w:r w:rsidRPr="00BD2DFA">
        <w:rPr>
          <w:rFonts w:ascii="Arial" w:eastAsia="Calibri" w:hAnsi="Arial" w:cs="Arial"/>
          <w:b/>
          <w:i/>
          <w:color w:val="000000"/>
        </w:rPr>
        <w:t xml:space="preserve">Buildings and fixed structures </w:t>
      </w:r>
      <w:r w:rsidRPr="00BD2DFA">
        <w:rPr>
          <w:rFonts w:ascii="Arial" w:eastAsia="Calibri" w:hAnsi="Arial" w:cs="Arial"/>
          <w:color w:val="000000"/>
        </w:rPr>
        <w:t>(capital works/infrastructure). Expenditure was 19.5 percentage points lower than the projected expenditure for the third quarter. (This means R427.4 million (64.6 per cent) of the allocated budget was spent against a projected R556.3 million (84.1 per cent)).</w:t>
      </w:r>
      <w:r w:rsidRPr="00BD2DFA">
        <w:rPr>
          <w:rFonts w:ascii="Arial" w:eastAsia="Calibri" w:hAnsi="Arial" w:cs="Arial"/>
        </w:rPr>
        <w:t xml:space="preserve"> </w:t>
      </w:r>
    </w:p>
    <w:p w:rsidR="00BD2DFA" w:rsidRPr="00BD2DFA" w:rsidRDefault="00BD2DFA" w:rsidP="00BD2DFA">
      <w:pPr>
        <w:numPr>
          <w:ilvl w:val="0"/>
          <w:numId w:val="32"/>
        </w:numPr>
        <w:tabs>
          <w:tab w:val="left" w:pos="6946"/>
        </w:tabs>
        <w:spacing w:after="0" w:line="300" w:lineRule="exact"/>
        <w:contextualSpacing/>
        <w:jc w:val="both"/>
        <w:rPr>
          <w:rFonts w:ascii="Arial" w:eastAsia="Calibri" w:hAnsi="Arial" w:cs="Arial"/>
          <w:color w:val="000000"/>
        </w:rPr>
      </w:pPr>
      <w:r w:rsidRPr="00BD2DFA">
        <w:rPr>
          <w:rFonts w:ascii="Arial" w:eastAsia="Calibri" w:hAnsi="Arial" w:cs="Arial"/>
          <w:b/>
          <w:i/>
          <w:color w:val="000000"/>
        </w:rPr>
        <w:t>Machinery and equipment</w:t>
      </w:r>
      <w:r w:rsidRPr="00BD2DFA">
        <w:rPr>
          <w:rFonts w:ascii="Arial" w:eastAsia="Calibri" w:hAnsi="Arial" w:cs="Arial"/>
          <w:color w:val="000000"/>
        </w:rPr>
        <w:t xml:space="preserve">: lower than planned expenditure in the first and second quarter is repeated in the third quarter with expenditure </w:t>
      </w:r>
      <w:r w:rsidRPr="00BD2DFA">
        <w:rPr>
          <w:rFonts w:ascii="Arial" w:eastAsia="Calibri" w:hAnsi="Arial" w:cs="Arial"/>
          <w:i/>
          <w:color w:val="000000"/>
        </w:rPr>
        <w:t>61.4 percentage points lower</w:t>
      </w:r>
      <w:r w:rsidRPr="00BD2DFA">
        <w:rPr>
          <w:rFonts w:ascii="Arial" w:eastAsia="Calibri" w:hAnsi="Arial" w:cs="Arial"/>
          <w:color w:val="000000"/>
        </w:rPr>
        <w:t xml:space="preserve"> than projected.</w:t>
      </w:r>
    </w:p>
    <w:p w:rsidR="00BD2DFA" w:rsidRPr="00BD2DFA" w:rsidRDefault="00BD2DFA" w:rsidP="00BD2DFA">
      <w:pPr>
        <w:spacing w:after="0" w:line="280" w:lineRule="exact"/>
        <w:ind w:left="720"/>
        <w:contextualSpacing/>
        <w:rPr>
          <w:rFonts w:ascii="Arial" w:eastAsia="Times New Roman" w:hAnsi="Arial" w:cs="Times New Roman"/>
          <w:color w:val="000000"/>
          <w:spacing w:val="6"/>
          <w:sz w:val="18"/>
          <w:szCs w:val="18"/>
          <w:lang w:val="en-GB" w:eastAsia="en-GB"/>
        </w:rPr>
      </w:pPr>
    </w:p>
    <w:p w:rsidR="00BD2DFA" w:rsidRPr="00BD2DFA" w:rsidRDefault="00BD2DFA" w:rsidP="00BD2DFA">
      <w:pPr>
        <w:shd w:val="clear" w:color="auto" w:fill="D9D9D9" w:themeFill="background1" w:themeFillShade="D9"/>
        <w:spacing w:after="0" w:line="280" w:lineRule="exact"/>
        <w:rPr>
          <w:rFonts w:ascii="Arial" w:eastAsia="Times New Roman" w:hAnsi="Arial" w:cs="Times New Roman"/>
          <w:b/>
          <w:color w:val="000000"/>
          <w:spacing w:val="6"/>
          <w:lang w:val="en-GB" w:eastAsia="en-GB"/>
        </w:rPr>
      </w:pPr>
      <w:r w:rsidRPr="00BD2DFA">
        <w:rPr>
          <w:rFonts w:ascii="Arial" w:eastAsia="Times New Roman" w:hAnsi="Arial" w:cs="Times New Roman"/>
          <w:b/>
          <w:color w:val="000000"/>
          <w:spacing w:val="6"/>
          <w:lang w:val="en-GB" w:eastAsia="en-GB"/>
        </w:rPr>
        <w:t>Comment</w:t>
      </w:r>
    </w:p>
    <w:p w:rsidR="00BD2DFA" w:rsidRPr="00BD2DFA" w:rsidRDefault="00BD2DFA" w:rsidP="00BD2DFA">
      <w:pPr>
        <w:numPr>
          <w:ilvl w:val="0"/>
          <w:numId w:val="31"/>
        </w:numPr>
        <w:shd w:val="clear" w:color="auto" w:fill="D9D9D9" w:themeFill="background1" w:themeFillShade="D9"/>
        <w:spacing w:after="0" w:line="280" w:lineRule="exact"/>
        <w:ind w:hanging="774"/>
        <w:contextualSpacing/>
        <w:jc w:val="both"/>
        <w:rPr>
          <w:rFonts w:ascii="Arial" w:eastAsia="Times New Roman" w:hAnsi="Arial" w:cs="Times New Roman"/>
          <w:b/>
          <w:color w:val="000000"/>
          <w:spacing w:val="6"/>
          <w:lang w:val="en-GB" w:eastAsia="en-GB"/>
        </w:rPr>
      </w:pPr>
      <w:r w:rsidRPr="00BD2DFA">
        <w:rPr>
          <w:rFonts w:ascii="Arial" w:eastAsia="Times New Roman" w:hAnsi="Arial" w:cs="Times New Roman"/>
          <w:color w:val="000000"/>
          <w:spacing w:val="6"/>
          <w:lang w:val="en-GB" w:eastAsia="en-GB"/>
        </w:rPr>
        <w:t xml:space="preserve">Buildings and fixed structures (capital works/infrastructure). Improved expenditure in the first and second quarter is </w:t>
      </w:r>
      <w:r>
        <w:rPr>
          <w:rFonts w:ascii="Arial" w:eastAsia="Times New Roman" w:hAnsi="Arial" w:cs="Times New Roman"/>
          <w:color w:val="000000"/>
          <w:spacing w:val="6"/>
          <w:lang w:val="en-GB" w:eastAsia="en-GB"/>
        </w:rPr>
        <w:t xml:space="preserve">not </w:t>
      </w:r>
      <w:r w:rsidRPr="00BD2DFA">
        <w:rPr>
          <w:rFonts w:ascii="Arial" w:eastAsia="Times New Roman" w:hAnsi="Arial" w:cs="Times New Roman"/>
          <w:color w:val="000000"/>
          <w:spacing w:val="6"/>
          <w:lang w:val="en-GB" w:eastAsia="en-GB"/>
        </w:rPr>
        <w:t xml:space="preserve">reflected in the third quarter of 2015/16 and this lower than projected spending is a concern. The Department should report on reasons for delays in the implementation of infrastructure projects by the Department of Public Works (DPW). </w:t>
      </w:r>
    </w:p>
    <w:p w:rsidR="00BD2DFA" w:rsidRPr="00BD2DFA" w:rsidRDefault="00BD2DFA" w:rsidP="00BD2DFA">
      <w:pPr>
        <w:shd w:val="clear" w:color="auto" w:fill="D9D9D9" w:themeFill="background1" w:themeFillShade="D9"/>
        <w:spacing w:after="0" w:line="280" w:lineRule="exact"/>
        <w:jc w:val="both"/>
        <w:rPr>
          <w:rFonts w:ascii="Arial" w:eastAsia="Times New Roman" w:hAnsi="Arial" w:cs="Times New Roman"/>
          <w:b/>
          <w:color w:val="000000"/>
          <w:spacing w:val="6"/>
          <w:lang w:val="en-GB" w:eastAsia="en-GB"/>
        </w:rPr>
      </w:pPr>
    </w:p>
    <w:p w:rsidR="00BD2DFA" w:rsidRPr="00BD2DFA" w:rsidRDefault="00BD2DFA" w:rsidP="00BD2DFA">
      <w:pPr>
        <w:numPr>
          <w:ilvl w:val="0"/>
          <w:numId w:val="31"/>
        </w:numPr>
        <w:shd w:val="clear" w:color="auto" w:fill="D9D9D9" w:themeFill="background1" w:themeFillShade="D9"/>
        <w:spacing w:after="0" w:line="280" w:lineRule="exact"/>
        <w:ind w:hanging="774"/>
        <w:contextualSpacing/>
        <w:jc w:val="both"/>
        <w:rPr>
          <w:rFonts w:ascii="Arial" w:eastAsia="Times New Roman" w:hAnsi="Arial" w:cs="Times New Roman"/>
          <w:b/>
          <w:color w:val="000000"/>
          <w:spacing w:val="6"/>
          <w:lang w:val="en-GB" w:eastAsia="en-GB"/>
        </w:rPr>
      </w:pPr>
      <w:r w:rsidRPr="00BD2DFA">
        <w:rPr>
          <w:rFonts w:ascii="Arial" w:eastAsia="Times New Roman" w:hAnsi="Arial" w:cs="Times New Roman"/>
          <w:color w:val="000000"/>
          <w:spacing w:val="6"/>
          <w:lang w:val="en-GB" w:eastAsia="en-GB"/>
        </w:rPr>
        <w:t xml:space="preserve">Machinery and equipment. Why does lower than projected spending on the </w:t>
      </w:r>
      <w:proofErr w:type="gramStart"/>
      <w:r w:rsidRPr="00BD2DFA">
        <w:rPr>
          <w:rFonts w:ascii="Arial" w:eastAsia="Times New Roman" w:hAnsi="Arial" w:cs="Times New Roman"/>
          <w:color w:val="000000"/>
          <w:spacing w:val="6"/>
          <w:lang w:val="en-GB" w:eastAsia="en-GB"/>
        </w:rPr>
        <w:t>machinery</w:t>
      </w:r>
      <w:proofErr w:type="gramEnd"/>
      <w:r w:rsidRPr="00BD2DFA">
        <w:rPr>
          <w:rFonts w:ascii="Arial" w:eastAsia="Times New Roman" w:hAnsi="Arial" w:cs="Times New Roman"/>
          <w:color w:val="000000"/>
          <w:spacing w:val="6"/>
          <w:lang w:val="en-GB" w:eastAsia="en-GB"/>
        </w:rPr>
        <w:t xml:space="preserve"> and equipment budget occur in the first, second and third quarters of the 2015/16 financial year?</w:t>
      </w:r>
    </w:p>
    <w:p w:rsidR="00BD2DFA" w:rsidRPr="00BD2DFA" w:rsidRDefault="00BD2DFA" w:rsidP="00BD2DFA">
      <w:pPr>
        <w:spacing w:after="0" w:line="280" w:lineRule="exact"/>
        <w:ind w:left="720"/>
        <w:contextualSpacing/>
        <w:rPr>
          <w:rFonts w:ascii="Arial" w:eastAsia="Times New Roman" w:hAnsi="Arial" w:cs="Times New Roman"/>
          <w:b/>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2.2</w:t>
      </w:r>
      <w:r w:rsidRPr="00BD2DFA">
        <w:rPr>
          <w:rFonts w:ascii="Arial" w:eastAsia="Calibri" w:hAnsi="Arial" w:cs="Arial"/>
          <w:b/>
          <w:color w:val="000000"/>
        </w:rPr>
        <w:tab/>
        <w:t>Earmarked Funds (Criminal Justice System Revamp and Integrated Justice System)</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b/>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National Treasury earmarked </w:t>
      </w:r>
      <w:r w:rsidRPr="00BD2DFA">
        <w:rPr>
          <w:rFonts w:ascii="Arial" w:eastAsia="Times New Roman" w:hAnsi="Arial" w:cs="Times New Roman"/>
          <w:b/>
          <w:color w:val="000000"/>
          <w:spacing w:val="6"/>
          <w:lang w:val="en-GB" w:eastAsia="en-GB"/>
        </w:rPr>
        <w:t>R549.95 million</w:t>
      </w:r>
      <w:r w:rsidRPr="00BD2DFA">
        <w:rPr>
          <w:rFonts w:ascii="Arial" w:eastAsia="Times New Roman" w:hAnsi="Arial" w:cs="Times New Roman"/>
          <w:color w:val="000000"/>
          <w:spacing w:val="6"/>
          <w:lang w:val="en-GB" w:eastAsia="en-GB"/>
        </w:rPr>
        <w:t xml:space="preserve"> in 2015/16 for the Criminal Justice System (CJS) Revamp and Integrated Justice System (IJS) projects. Following the AENE this amount was shifted </w:t>
      </w:r>
      <w:r w:rsidRPr="00BD2DFA">
        <w:rPr>
          <w:rFonts w:ascii="Arial" w:eastAsia="Times New Roman" w:hAnsi="Arial" w:cs="Times New Roman"/>
          <w:i/>
          <w:color w:val="000000"/>
          <w:spacing w:val="6"/>
          <w:lang w:val="en-GB" w:eastAsia="en-GB"/>
        </w:rPr>
        <w:t>downwards</w:t>
      </w:r>
      <w:r w:rsidRPr="00BD2DFA">
        <w:rPr>
          <w:rFonts w:ascii="Arial" w:eastAsia="Times New Roman" w:hAnsi="Arial" w:cs="Times New Roman"/>
          <w:color w:val="000000"/>
          <w:spacing w:val="6"/>
          <w:lang w:val="en-GB" w:eastAsia="en-GB"/>
        </w:rPr>
        <w:t xml:space="preserve"> to </w:t>
      </w:r>
      <w:r w:rsidRPr="00BD2DFA">
        <w:rPr>
          <w:rFonts w:ascii="Arial" w:eastAsia="Times New Roman" w:hAnsi="Arial" w:cs="Times New Roman"/>
          <w:b/>
          <w:color w:val="000000"/>
          <w:spacing w:val="6"/>
          <w:lang w:val="en-GB" w:eastAsia="en-GB"/>
        </w:rPr>
        <w:t>R472.6 million</w:t>
      </w:r>
      <w:r w:rsidRPr="00BD2DFA">
        <w:rPr>
          <w:rFonts w:ascii="Arial" w:eastAsia="Times New Roman" w:hAnsi="Arial" w:cs="Times New Roman"/>
          <w:color w:val="000000"/>
          <w:spacing w:val="6"/>
          <w:lang w:val="en-GB" w:eastAsia="en-GB"/>
        </w:rPr>
        <w:t xml:space="preserve"> due largely to unspent funds of R60 million (which was a result of delays in the implementation of the </w:t>
      </w:r>
      <w:r w:rsidRPr="00BD2DFA">
        <w:rPr>
          <w:rFonts w:ascii="Arial" w:eastAsia="Times New Roman" w:hAnsi="Arial" w:cs="Times New Roman"/>
          <w:color w:val="000000"/>
          <w:spacing w:val="6"/>
          <w:lang w:val="en-GB" w:eastAsia="en-GB"/>
        </w:rPr>
        <w:lastRenderedPageBreak/>
        <w:t>integrated justice projects); and R20 million which was shifted for ICT set-up costs at the OCJ.</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Although the Justice Department does show improved expenditure of earmarked CJS/IJS funds when compared with the third quarter of 2014/15</w:t>
      </w:r>
      <w:r w:rsidRPr="00BD2DFA">
        <w:rPr>
          <w:rFonts w:ascii="Arial" w:eastAsia="Times New Roman" w:hAnsi="Arial" w:cs="Times New Roman"/>
          <w:color w:val="000000"/>
          <w:spacing w:val="6"/>
          <w:sz w:val="18"/>
          <w:szCs w:val="18"/>
          <w:lang w:val="en-GB" w:eastAsia="en-GB"/>
        </w:rPr>
        <w:t xml:space="preserve"> </w:t>
      </w:r>
      <w:r w:rsidRPr="00BD2DFA">
        <w:rPr>
          <w:rFonts w:ascii="Arial" w:eastAsia="Times New Roman" w:hAnsi="Arial" w:cs="Times New Roman"/>
          <w:color w:val="000000"/>
          <w:spacing w:val="6"/>
          <w:lang w:val="en-GB" w:eastAsia="en-GB"/>
        </w:rPr>
        <w:t xml:space="preserve">overall slow expenditure in respect of these earmarked funds continues to be a concern.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contextualSpacing/>
        <w:rPr>
          <w:rFonts w:ascii="Arial" w:eastAsia="Calibri" w:hAnsi="Arial" w:cs="Arial"/>
          <w:color w:val="000000"/>
          <w:sz w:val="16"/>
          <w:szCs w:val="16"/>
        </w:rPr>
      </w:pPr>
      <w:r w:rsidRPr="00BD2DFA">
        <w:rPr>
          <w:rFonts w:ascii="Arial" w:eastAsia="Calibri" w:hAnsi="Arial" w:cs="Arial"/>
          <w:color w:val="000000"/>
          <w:sz w:val="16"/>
          <w:szCs w:val="16"/>
        </w:rPr>
        <w:t>Table 1: 3</w:t>
      </w:r>
      <w:r w:rsidRPr="00BD2DFA">
        <w:rPr>
          <w:rFonts w:ascii="Arial" w:eastAsia="Calibri" w:hAnsi="Arial" w:cs="Arial"/>
          <w:color w:val="000000"/>
          <w:sz w:val="16"/>
          <w:szCs w:val="16"/>
          <w:vertAlign w:val="superscript"/>
        </w:rPr>
        <w:t>rd</w:t>
      </w:r>
      <w:r w:rsidRPr="00BD2DFA">
        <w:rPr>
          <w:rFonts w:ascii="Arial" w:eastAsia="Calibri" w:hAnsi="Arial" w:cs="Arial"/>
          <w:color w:val="000000"/>
          <w:sz w:val="16"/>
          <w:szCs w:val="16"/>
        </w:rPr>
        <w:t xml:space="preserve"> Quarter Expenditure of Earmarked CJS/IJS Funds</w:t>
      </w:r>
    </w:p>
    <w:tbl>
      <w:tblPr>
        <w:tblStyle w:val="TableGrid1"/>
        <w:tblW w:w="0" w:type="auto"/>
        <w:tblLook w:val="04A0"/>
      </w:tblPr>
      <w:tblGrid>
        <w:gridCol w:w="2065"/>
        <w:gridCol w:w="1620"/>
        <w:gridCol w:w="1724"/>
        <w:gridCol w:w="1803"/>
        <w:gridCol w:w="1804"/>
      </w:tblGrid>
      <w:tr w:rsidR="00BD2DFA" w:rsidRPr="00BD2DFA" w:rsidTr="00207F83">
        <w:tc>
          <w:tcPr>
            <w:tcW w:w="2065" w:type="dxa"/>
            <w:shd w:val="clear" w:color="auto" w:fill="D9D9D9" w:themeFill="background1" w:themeFillShade="D9"/>
          </w:tcPr>
          <w:p w:rsidR="00BD2DFA" w:rsidRPr="00BD2DFA" w:rsidRDefault="00BD2DFA" w:rsidP="00BD2DFA">
            <w:pPr>
              <w:spacing w:line="300" w:lineRule="exact"/>
              <w:jc w:val="center"/>
              <w:rPr>
                <w:rFonts w:ascii="Arial" w:hAnsi="Arial" w:cs="Arial"/>
                <w:b/>
                <w:color w:val="000000"/>
                <w:sz w:val="20"/>
                <w:szCs w:val="20"/>
              </w:rPr>
            </w:pPr>
          </w:p>
        </w:tc>
        <w:tc>
          <w:tcPr>
            <w:tcW w:w="1620" w:type="dxa"/>
            <w:shd w:val="clear" w:color="auto" w:fill="D9D9D9" w:themeFill="background1" w:themeFillShade="D9"/>
          </w:tcPr>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ADJUSTED BUDGET 2015/16</w:t>
            </w:r>
          </w:p>
        </w:tc>
        <w:tc>
          <w:tcPr>
            <w:tcW w:w="1724" w:type="dxa"/>
            <w:shd w:val="clear" w:color="auto" w:fill="D9D9D9" w:themeFill="background1" w:themeFillShade="D9"/>
          </w:tcPr>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3</w:t>
            </w:r>
            <w:r w:rsidRPr="00BD2DFA">
              <w:rPr>
                <w:rFonts w:ascii="Arial" w:hAnsi="Arial" w:cs="Arial"/>
                <w:b/>
                <w:color w:val="000000"/>
                <w:sz w:val="20"/>
                <w:szCs w:val="20"/>
                <w:vertAlign w:val="superscript"/>
              </w:rPr>
              <w:t>RD</w:t>
            </w:r>
            <w:r w:rsidRPr="00BD2DFA">
              <w:rPr>
                <w:rFonts w:ascii="Arial" w:hAnsi="Arial" w:cs="Arial"/>
                <w:b/>
                <w:color w:val="000000"/>
                <w:sz w:val="20"/>
                <w:szCs w:val="20"/>
              </w:rPr>
              <w:t xml:space="preserve">  QUARTER ACTUAL EXPENDITURE</w:t>
            </w:r>
          </w:p>
        </w:tc>
        <w:tc>
          <w:tcPr>
            <w:tcW w:w="1803" w:type="dxa"/>
            <w:shd w:val="clear" w:color="auto" w:fill="D9D9D9" w:themeFill="background1" w:themeFillShade="D9"/>
          </w:tcPr>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 OF ACTUAL EXPENDITURE</w:t>
            </w:r>
          </w:p>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AT END DECEMBER 2015</w:t>
            </w:r>
          </w:p>
        </w:tc>
        <w:tc>
          <w:tcPr>
            <w:tcW w:w="1804" w:type="dxa"/>
            <w:shd w:val="clear" w:color="auto" w:fill="D9D9D9" w:themeFill="background1" w:themeFillShade="D9"/>
          </w:tcPr>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 OF ACTUAL EXPENDITURE</w:t>
            </w:r>
          </w:p>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AT END DECEMBER</w:t>
            </w:r>
          </w:p>
          <w:p w:rsidR="00BD2DFA" w:rsidRPr="00BD2DFA" w:rsidRDefault="00BD2DFA" w:rsidP="00BD2DFA">
            <w:pPr>
              <w:spacing w:line="300" w:lineRule="exact"/>
              <w:jc w:val="center"/>
              <w:rPr>
                <w:rFonts w:ascii="Arial" w:hAnsi="Arial" w:cs="Arial"/>
                <w:b/>
                <w:color w:val="000000"/>
                <w:sz w:val="20"/>
                <w:szCs w:val="20"/>
              </w:rPr>
            </w:pPr>
            <w:r w:rsidRPr="00BD2DFA">
              <w:rPr>
                <w:rFonts w:ascii="Arial" w:hAnsi="Arial" w:cs="Arial"/>
                <w:b/>
                <w:color w:val="000000"/>
                <w:sz w:val="20"/>
                <w:szCs w:val="20"/>
              </w:rPr>
              <w:t>2014</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Dept Correctional Services</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R59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R3.9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6.6%</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18.2%</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Dept of Home Affairs</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R4.9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R2.18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44.5%</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47.2%</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proofErr w:type="spellStart"/>
            <w:r w:rsidRPr="00BD2DFA">
              <w:rPr>
                <w:rFonts w:ascii="Arial" w:hAnsi="Arial" w:cs="Arial"/>
                <w:color w:val="000000"/>
                <w:sz w:val="20"/>
                <w:szCs w:val="20"/>
              </w:rPr>
              <w:t>DoJ&amp;CD</w:t>
            </w:r>
            <w:proofErr w:type="spellEnd"/>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R266.9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R68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25.5%</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5%</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Dept of Social Development</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R5.2million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R2.1</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20.9%</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47.6%</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NPA</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R74.3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R29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39.1%</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77.7%</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IJS - Programme Management Office</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R51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R22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43.2%</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24.3%</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Office of the Criminal Justice System review</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R5.9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R819 000</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13.9%</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0%</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Office of the Chief Justice</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R5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0</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0</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0.1%</w:t>
            </w:r>
          </w:p>
        </w:tc>
      </w:tr>
      <w:tr w:rsidR="00BD2DFA" w:rsidRPr="00BD2DFA" w:rsidTr="00207F83">
        <w:tc>
          <w:tcPr>
            <w:tcW w:w="2065" w:type="dxa"/>
          </w:tcPr>
          <w:p w:rsidR="00BD2DFA" w:rsidRPr="00BD2DFA" w:rsidRDefault="00BD2DFA" w:rsidP="00BD2DFA">
            <w:pPr>
              <w:spacing w:line="300" w:lineRule="exact"/>
              <w:jc w:val="both"/>
              <w:rPr>
                <w:rFonts w:ascii="Arial" w:hAnsi="Arial" w:cs="Arial"/>
                <w:color w:val="000000"/>
                <w:sz w:val="20"/>
                <w:szCs w:val="20"/>
              </w:rPr>
            </w:pPr>
            <w:r w:rsidRPr="00BD2DFA">
              <w:rPr>
                <w:rFonts w:ascii="Arial" w:hAnsi="Arial" w:cs="Arial"/>
                <w:color w:val="000000"/>
                <w:sz w:val="20"/>
                <w:szCs w:val="20"/>
              </w:rPr>
              <w:t>Total</w:t>
            </w:r>
          </w:p>
        </w:tc>
        <w:tc>
          <w:tcPr>
            <w:tcW w:w="1620"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R472.6 million</w:t>
            </w:r>
          </w:p>
        </w:tc>
        <w:tc>
          <w:tcPr>
            <w:tcW w:w="172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R127 million</w:t>
            </w:r>
          </w:p>
        </w:tc>
        <w:tc>
          <w:tcPr>
            <w:tcW w:w="1803"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26.9%</w:t>
            </w:r>
          </w:p>
        </w:tc>
        <w:tc>
          <w:tcPr>
            <w:tcW w:w="1804" w:type="dxa"/>
          </w:tcPr>
          <w:p w:rsidR="00BD2DFA" w:rsidRPr="00BD2DFA" w:rsidRDefault="00BD2DFA" w:rsidP="00BD2DFA">
            <w:pPr>
              <w:spacing w:line="300" w:lineRule="exact"/>
              <w:jc w:val="center"/>
              <w:rPr>
                <w:rFonts w:ascii="Arial" w:hAnsi="Arial" w:cs="Arial"/>
                <w:color w:val="000000"/>
                <w:sz w:val="20"/>
                <w:szCs w:val="20"/>
              </w:rPr>
            </w:pPr>
            <w:r w:rsidRPr="00BD2DFA">
              <w:rPr>
                <w:rFonts w:ascii="Arial" w:hAnsi="Arial" w:cs="Arial"/>
                <w:color w:val="000000"/>
                <w:sz w:val="20"/>
                <w:szCs w:val="20"/>
              </w:rPr>
              <w:t>24.4%</w:t>
            </w:r>
          </w:p>
        </w:tc>
      </w:tr>
    </w:tbl>
    <w:p w:rsid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FA105E" w:rsidRPr="00BD2DFA" w:rsidRDefault="00FA105E"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D9D9D9" w:themeFill="background1" w:themeFillShade="D9"/>
        <w:spacing w:after="0" w:line="280" w:lineRule="exact"/>
        <w:jc w:val="both"/>
        <w:rPr>
          <w:rFonts w:ascii="Arial" w:eastAsia="Times New Roman" w:hAnsi="Arial" w:cs="Times New Roman"/>
          <w:b/>
          <w:color w:val="000000"/>
          <w:spacing w:val="6"/>
          <w:lang w:val="en-GB" w:eastAsia="en-GB"/>
        </w:rPr>
      </w:pPr>
      <w:r w:rsidRPr="00BD2DFA">
        <w:rPr>
          <w:rFonts w:ascii="Arial" w:eastAsia="Times New Roman" w:hAnsi="Arial" w:cs="Times New Roman"/>
          <w:b/>
          <w:color w:val="000000"/>
          <w:spacing w:val="6"/>
          <w:lang w:val="en-GB" w:eastAsia="en-GB"/>
        </w:rPr>
        <w:t>Comment</w:t>
      </w:r>
    </w:p>
    <w:p w:rsidR="00BD2DFA" w:rsidRPr="00BD2DFA" w:rsidRDefault="00BD2DFA" w:rsidP="00BD2DFA">
      <w:pPr>
        <w:shd w:val="clear" w:color="auto" w:fill="D9D9D9" w:themeFill="background1" w:themeFillShade="D9"/>
        <w:spacing w:after="0" w:line="280" w:lineRule="exact"/>
        <w:jc w:val="both"/>
        <w:rPr>
          <w:rFonts w:ascii="Arial" w:eastAsia="Times New Roman" w:hAnsi="Arial" w:cs="Times New Roman"/>
          <w:b/>
          <w:color w:val="000000"/>
          <w:spacing w:val="6"/>
          <w:lang w:val="en-GB" w:eastAsia="en-GB"/>
        </w:rPr>
      </w:pPr>
    </w:p>
    <w:p w:rsidR="00BD2DFA" w:rsidRPr="00BD2DFA" w:rsidRDefault="00BD2DFA" w:rsidP="00BD2DFA">
      <w:pPr>
        <w:numPr>
          <w:ilvl w:val="0"/>
          <w:numId w:val="33"/>
        </w:numPr>
        <w:shd w:val="clear" w:color="auto" w:fill="D9D9D9" w:themeFill="background1" w:themeFillShade="D9"/>
        <w:spacing w:after="0" w:line="280" w:lineRule="exact"/>
        <w:ind w:hanging="720"/>
        <w:contextualSpacing/>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Slow spending on the criminal justice sector and integrated modernisation continues to be attributed to the delays in receiving claims from the JCPS cluster departments for the Criminal Justice System modernisation programme, as well as the delays in processing claims for these projects due to prolonged procurement processes within the Department. What measures is the Department/JCPS cluster putting in place to avoid </w:t>
      </w:r>
      <w:proofErr w:type="spellStart"/>
      <w:r w:rsidRPr="00BD2DFA">
        <w:rPr>
          <w:rFonts w:ascii="Arial" w:eastAsia="Times New Roman" w:hAnsi="Arial" w:cs="Times New Roman"/>
          <w:color w:val="000000"/>
          <w:spacing w:val="6"/>
          <w:lang w:val="en-GB" w:eastAsia="en-GB"/>
        </w:rPr>
        <w:t>underspending</w:t>
      </w:r>
      <w:proofErr w:type="spellEnd"/>
      <w:r w:rsidRPr="00BD2DFA">
        <w:rPr>
          <w:rFonts w:ascii="Arial" w:eastAsia="Times New Roman" w:hAnsi="Arial" w:cs="Times New Roman"/>
          <w:color w:val="000000"/>
          <w:spacing w:val="6"/>
          <w:lang w:val="en-GB" w:eastAsia="en-GB"/>
        </w:rPr>
        <w:t>?</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outlineLvl w:val="0"/>
        <w:rPr>
          <w:rFonts w:ascii="Arial" w:eastAsia="Calibri" w:hAnsi="Arial" w:cs="Arial"/>
          <w:b/>
          <w:bCs/>
        </w:rPr>
      </w:pPr>
      <w:bookmarkStart w:id="1" w:name="_Toc387677529"/>
      <w:r w:rsidRPr="00BD2DFA">
        <w:rPr>
          <w:rFonts w:ascii="Arial" w:eastAsia="Calibri" w:hAnsi="Arial" w:cs="Arial"/>
          <w:b/>
          <w:bCs/>
        </w:rPr>
        <w:t xml:space="preserve">2.3 </w:t>
      </w:r>
      <w:r w:rsidRPr="00BD2DFA">
        <w:rPr>
          <w:rFonts w:ascii="Arial" w:eastAsia="Calibri" w:hAnsi="Arial" w:cs="Arial"/>
          <w:b/>
          <w:bCs/>
        </w:rPr>
        <w:tab/>
        <w:t>Spending on selected items</w:t>
      </w:r>
      <w:bookmarkEnd w:id="1"/>
      <w:r w:rsidRPr="00BD2DFA">
        <w:rPr>
          <w:rFonts w:ascii="Arial" w:eastAsia="Calibri" w:hAnsi="Arial" w:cs="Arial"/>
          <w:b/>
          <w:bCs/>
        </w:rPr>
        <w:t xml:space="preserve"> </w:t>
      </w:r>
    </w:p>
    <w:p w:rsidR="00BD2DFA" w:rsidRPr="00BD2DFA" w:rsidRDefault="00BD2DFA" w:rsidP="00BD2DFA">
      <w:pPr>
        <w:spacing w:after="0" w:line="300" w:lineRule="exact"/>
        <w:jc w:val="both"/>
        <w:outlineLvl w:val="0"/>
        <w:rPr>
          <w:rFonts w:ascii="Arial" w:eastAsia="Calibri" w:hAnsi="Arial" w:cs="Arial"/>
          <w:b/>
          <w:bCs/>
          <w:color w:val="000000" w:themeColor="text1"/>
        </w:rPr>
      </w:pPr>
    </w:p>
    <w:p w:rsidR="00BD2DFA" w:rsidRDefault="00BD2DFA" w:rsidP="00BD2DFA">
      <w:pPr>
        <w:spacing w:after="0" w:line="300" w:lineRule="exact"/>
        <w:jc w:val="both"/>
        <w:outlineLvl w:val="0"/>
        <w:rPr>
          <w:rFonts w:ascii="Arial" w:eastAsia="Calibri" w:hAnsi="Arial" w:cs="Arial"/>
          <w:bCs/>
          <w:color w:val="000000" w:themeColor="text1"/>
        </w:rPr>
      </w:pPr>
      <w:r w:rsidRPr="00BD2DFA">
        <w:rPr>
          <w:rFonts w:ascii="Arial" w:eastAsia="Calibri" w:hAnsi="Arial" w:cs="Arial"/>
          <w:bCs/>
          <w:color w:val="000000" w:themeColor="text1"/>
        </w:rPr>
        <w:t>In light of Treasury’s emphasis on the implementation of cost containment measures spending on goods and services must be minimised.</w:t>
      </w:r>
      <w:r w:rsidRPr="00BD2DFA">
        <w:rPr>
          <w:rFonts w:ascii="Arial" w:eastAsia="Calibri" w:hAnsi="Arial" w:cs="Arial"/>
          <w:bCs/>
          <w:color w:val="000000" w:themeColor="text1"/>
          <w:vertAlign w:val="superscript"/>
        </w:rPr>
        <w:footnoteReference w:id="3"/>
      </w:r>
      <w:r w:rsidRPr="00BD2DFA">
        <w:rPr>
          <w:rFonts w:ascii="Arial" w:eastAsia="Calibri" w:hAnsi="Arial" w:cs="Arial"/>
          <w:bCs/>
          <w:color w:val="000000" w:themeColor="text1"/>
        </w:rPr>
        <w:t xml:space="preserve"> Total spending on goods and services in the third quarter was below projected spending. </w:t>
      </w:r>
      <w:proofErr w:type="gramStart"/>
      <w:r w:rsidRPr="00BD2DFA">
        <w:rPr>
          <w:rFonts w:ascii="Arial" w:eastAsia="Calibri" w:hAnsi="Arial" w:cs="Arial"/>
          <w:bCs/>
          <w:color w:val="000000" w:themeColor="text1"/>
        </w:rPr>
        <w:t xml:space="preserve">In particular spending on advertising, </w:t>
      </w:r>
      <w:r w:rsidRPr="00BD2DFA">
        <w:rPr>
          <w:rFonts w:ascii="Arial" w:eastAsia="Calibri" w:hAnsi="Arial" w:cs="Arial"/>
          <w:bCs/>
          <w:color w:val="000000" w:themeColor="text1"/>
        </w:rPr>
        <w:lastRenderedPageBreak/>
        <w:t>entertainment, communication and computer services remains relatively minimal for the period under review.</w:t>
      </w:r>
      <w:proofErr w:type="gramEnd"/>
    </w:p>
    <w:p w:rsidR="00BD2DFA" w:rsidRPr="00BD2DFA" w:rsidRDefault="00BD2DFA" w:rsidP="00BD2DFA">
      <w:pPr>
        <w:spacing w:after="0" w:line="300" w:lineRule="exact"/>
        <w:jc w:val="both"/>
        <w:outlineLvl w:val="0"/>
        <w:rPr>
          <w:rFonts w:ascii="Arial" w:eastAsia="Calibri" w:hAnsi="Arial" w:cs="Arial"/>
          <w:b/>
          <w:bCs/>
          <w:color w:val="000000" w:themeColor="text1"/>
        </w:rPr>
      </w:pPr>
      <w:r w:rsidRPr="00BD2DFA">
        <w:rPr>
          <w:rFonts w:ascii="Arial" w:eastAsia="Calibri" w:hAnsi="Arial" w:cs="Arial"/>
          <w:b/>
          <w:bCs/>
          <w:color w:val="000000" w:themeColor="text1"/>
        </w:rPr>
        <w:t xml:space="preserve"> </w:t>
      </w:r>
    </w:p>
    <w:p w:rsidR="00BD2DFA" w:rsidRPr="00BD2DFA" w:rsidRDefault="00BD2DFA" w:rsidP="00BD2DFA">
      <w:pPr>
        <w:spacing w:after="0" w:line="300" w:lineRule="exact"/>
        <w:jc w:val="both"/>
        <w:outlineLvl w:val="0"/>
        <w:rPr>
          <w:rFonts w:ascii="Arial" w:eastAsia="Calibri" w:hAnsi="Arial" w:cs="Arial"/>
          <w:b/>
          <w:bCs/>
          <w:color w:val="000000" w:themeColor="text1"/>
        </w:rPr>
      </w:pPr>
    </w:p>
    <w:p w:rsidR="00BD2DFA" w:rsidRDefault="00BD2DFA" w:rsidP="00BD2DFA">
      <w:pPr>
        <w:spacing w:after="0" w:line="300" w:lineRule="exact"/>
        <w:jc w:val="both"/>
        <w:outlineLvl w:val="0"/>
        <w:rPr>
          <w:rFonts w:ascii="Arial" w:eastAsia="Calibri" w:hAnsi="Arial" w:cs="Arial"/>
          <w:bCs/>
        </w:rPr>
      </w:pPr>
      <w:r w:rsidRPr="00BD2DFA">
        <w:rPr>
          <w:rFonts w:ascii="Arial" w:eastAsia="Calibri" w:hAnsi="Arial" w:cs="Arial"/>
          <w:bCs/>
        </w:rPr>
        <w:t>However, spending was higher than projected on selected items, namely:</w:t>
      </w:r>
    </w:p>
    <w:p w:rsidR="00BD2DFA" w:rsidRPr="00BD2DFA" w:rsidRDefault="00BD2DFA" w:rsidP="00BD2DFA">
      <w:pPr>
        <w:spacing w:after="0" w:line="300" w:lineRule="exact"/>
        <w:jc w:val="both"/>
        <w:outlineLvl w:val="0"/>
        <w:rPr>
          <w:rFonts w:ascii="Arial" w:eastAsia="Calibri" w:hAnsi="Arial" w:cs="Arial"/>
          <w:bCs/>
        </w:rPr>
      </w:pPr>
    </w:p>
    <w:p w:rsidR="00BD2DFA" w:rsidRPr="00BD2DFA" w:rsidRDefault="00BD2DFA" w:rsidP="00BD2DFA">
      <w:pPr>
        <w:numPr>
          <w:ilvl w:val="0"/>
          <w:numId w:val="33"/>
        </w:numPr>
        <w:spacing w:after="0" w:line="300" w:lineRule="exact"/>
        <w:contextualSpacing/>
        <w:jc w:val="both"/>
        <w:outlineLvl w:val="0"/>
        <w:rPr>
          <w:rFonts w:ascii="Arial" w:eastAsia="Calibri" w:hAnsi="Arial" w:cs="Arial"/>
          <w:bCs/>
        </w:rPr>
      </w:pPr>
      <w:r w:rsidRPr="00BD2DFA">
        <w:rPr>
          <w:rFonts w:ascii="Arial" w:eastAsia="Calibri" w:hAnsi="Arial" w:cs="Arial"/>
          <w:bCs/>
        </w:rPr>
        <w:t>Agency and support/outsourced services</w:t>
      </w:r>
      <w:r w:rsidRPr="00BD2DFA">
        <w:rPr>
          <w:rFonts w:ascii="Arial" w:eastAsia="Times New Roman" w:hAnsi="Arial" w:cs="Times New Roman"/>
          <w:color w:val="000000"/>
          <w:spacing w:val="6"/>
          <w:sz w:val="18"/>
          <w:szCs w:val="18"/>
          <w:lang w:val="en-GB" w:eastAsia="en-GB"/>
        </w:rPr>
        <w:t xml:space="preserve"> </w:t>
      </w:r>
      <w:r w:rsidRPr="00BD2DFA">
        <w:rPr>
          <w:rFonts w:ascii="Arial" w:eastAsia="Calibri" w:hAnsi="Arial" w:cs="Arial"/>
          <w:bCs/>
        </w:rPr>
        <w:t>- due to psychiatric evaluation payments of witnesses, offenders and plaintiffs referred by courts which depends on the nature of the cases.</w:t>
      </w:r>
    </w:p>
    <w:p w:rsidR="00BD2DFA" w:rsidRPr="00BD2DFA" w:rsidRDefault="00BD2DFA" w:rsidP="00BD2DFA">
      <w:pPr>
        <w:numPr>
          <w:ilvl w:val="0"/>
          <w:numId w:val="33"/>
        </w:numPr>
        <w:spacing w:after="0" w:line="300" w:lineRule="exact"/>
        <w:contextualSpacing/>
        <w:jc w:val="both"/>
        <w:outlineLvl w:val="0"/>
        <w:rPr>
          <w:rFonts w:ascii="Arial" w:eastAsia="Calibri" w:hAnsi="Arial" w:cs="Arial"/>
          <w:bCs/>
        </w:rPr>
      </w:pPr>
      <w:r w:rsidRPr="00BD2DFA">
        <w:rPr>
          <w:rFonts w:ascii="Arial" w:eastAsia="Calibri" w:hAnsi="Arial" w:cs="Arial"/>
          <w:bCs/>
        </w:rPr>
        <w:t>Contractors - due to a higher than expected increase in curator fee payments and more employees using the Employees Assistant Programme (EAP) which is a service available for all employees of the Department responsible for providing counselling service to employees facing work and/or family challenges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w:t>
      </w:r>
      <w:r w:rsidRPr="00BD2DFA">
        <w:rPr>
          <w:rFonts w:ascii="Arial" w:eastAsia="Calibri" w:hAnsi="Arial" w:cs="Arial"/>
          <w:b/>
          <w:color w:val="000000"/>
        </w:rPr>
        <w:tab/>
        <w:t>PROGRAMME ANALYSIS</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w:eastAsia="Calibri" w:hAnsi="Arial" w:cs="Arial"/>
          <w:color w:val="000000"/>
        </w:rPr>
      </w:pPr>
      <w:r w:rsidRPr="00BD2DFA">
        <w:rPr>
          <w:rFonts w:ascii="Arial" w:eastAsia="Calibri" w:hAnsi="Arial" w:cs="Arial"/>
          <w:color w:val="000000"/>
        </w:rPr>
        <w:t>Spending on the Departments five programmes must be aligned with the NDP Outcomes and Departmental strategic priorities.</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3.1</w:t>
      </w:r>
      <w:r w:rsidRPr="00BD2DFA">
        <w:rPr>
          <w:rFonts w:ascii="Arial" w:eastAsia="Calibri" w:hAnsi="Arial" w:cs="Arial"/>
          <w:b/>
          <w:color w:val="000000"/>
        </w:rPr>
        <w:tab/>
        <w:t>ADMINISTRATION PROGRAMME</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At the end of the third quarter of 2015/16 total expenditure on Administration programme was R1.2 billion which is 1.5 percentage points (or R28.5 million) </w:t>
      </w:r>
      <w:r w:rsidRPr="00BD2DFA">
        <w:rPr>
          <w:rFonts w:ascii="Arial" w:eastAsia="Times New Roman" w:hAnsi="Arial" w:cs="Times New Roman"/>
          <w:i/>
          <w:color w:val="000000"/>
          <w:spacing w:val="6"/>
          <w:lang w:val="en-GB" w:eastAsia="en-GB"/>
        </w:rPr>
        <w:t>lower</w:t>
      </w:r>
      <w:r w:rsidRPr="00BD2DFA">
        <w:rPr>
          <w:rFonts w:ascii="Arial" w:eastAsia="Times New Roman" w:hAnsi="Arial" w:cs="Times New Roman"/>
          <w:color w:val="000000"/>
          <w:spacing w:val="6"/>
          <w:lang w:val="en-GB" w:eastAsia="en-GB"/>
        </w:rPr>
        <w:t xml:space="preserve"> than the approved projections.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Lower than projected spending in this programme, occurred in the Ministry, Management and Corporate Services </w:t>
      </w:r>
      <w:proofErr w:type="spellStart"/>
      <w:r w:rsidRPr="00BD2DFA">
        <w:rPr>
          <w:rFonts w:ascii="Arial" w:eastAsia="Times New Roman" w:hAnsi="Arial" w:cs="Times New Roman"/>
          <w:color w:val="000000"/>
          <w:spacing w:val="6"/>
          <w:lang w:val="en-GB" w:eastAsia="en-GB"/>
        </w:rPr>
        <w:t>subprogrammes</w:t>
      </w:r>
      <w:proofErr w:type="spellEnd"/>
      <w:r w:rsidRPr="00BD2DFA">
        <w:rPr>
          <w:rFonts w:ascii="Arial" w:eastAsia="Times New Roman" w:hAnsi="Arial" w:cs="Times New Roman"/>
          <w:color w:val="000000"/>
          <w:spacing w:val="6"/>
          <w:lang w:val="en-GB" w:eastAsia="en-GB"/>
        </w:rPr>
        <w:t xml:space="preserve"> mainly due to;</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numPr>
          <w:ilvl w:val="0"/>
          <w:numId w:val="34"/>
        </w:numPr>
        <w:shd w:val="clear" w:color="auto" w:fill="FFFFFF" w:themeFill="background1"/>
        <w:spacing w:after="0" w:line="280" w:lineRule="exact"/>
        <w:contextualSpacing/>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outstanding payments for travel and subsistence; and </w:t>
      </w:r>
    </w:p>
    <w:p w:rsidR="00BD2DFA" w:rsidRPr="00BD2DFA" w:rsidRDefault="00BD2DFA" w:rsidP="00BD2DFA">
      <w:pPr>
        <w:numPr>
          <w:ilvl w:val="0"/>
          <w:numId w:val="34"/>
        </w:numPr>
        <w:shd w:val="clear" w:color="auto" w:fill="FFFFFF" w:themeFill="background1"/>
        <w:spacing w:after="0" w:line="280" w:lineRule="exact"/>
        <w:contextualSpacing/>
        <w:jc w:val="both"/>
        <w:rPr>
          <w:rFonts w:ascii="Arial" w:eastAsia="Times New Roman" w:hAnsi="Arial" w:cs="Times New Roman"/>
          <w:color w:val="000000"/>
          <w:spacing w:val="6"/>
          <w:lang w:val="en-GB" w:eastAsia="en-GB"/>
        </w:rPr>
      </w:pPr>
      <w:proofErr w:type="gramStart"/>
      <w:r w:rsidRPr="00BD2DFA">
        <w:rPr>
          <w:rFonts w:ascii="Arial" w:eastAsia="Times New Roman" w:hAnsi="Arial" w:cs="Times New Roman"/>
          <w:color w:val="000000"/>
          <w:spacing w:val="6"/>
          <w:lang w:val="en-GB" w:eastAsia="en-GB"/>
        </w:rPr>
        <w:t>delays</w:t>
      </w:r>
      <w:proofErr w:type="gramEnd"/>
      <w:r w:rsidRPr="00BD2DFA">
        <w:rPr>
          <w:rFonts w:ascii="Arial" w:eastAsia="Times New Roman" w:hAnsi="Arial" w:cs="Times New Roman"/>
          <w:color w:val="000000"/>
          <w:spacing w:val="6"/>
          <w:lang w:val="en-GB" w:eastAsia="en-GB"/>
        </w:rPr>
        <w:t xml:space="preserve"> in the finalisation of information system management projects in courts.</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t>Significant overspending occurred under compensation of employees (R8.8 million) which can be attributed employees receiving their service bonuses during the period under review.</w:t>
      </w: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3.2</w:t>
      </w:r>
      <w:r w:rsidRPr="00BD2DFA">
        <w:rPr>
          <w:rFonts w:ascii="Arial" w:eastAsia="Calibri" w:hAnsi="Arial" w:cs="Arial"/>
          <w:b/>
          <w:color w:val="000000"/>
        </w:rPr>
        <w:tab/>
        <w:t>COURT SERVICES PROGRAMME</w:t>
      </w: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p>
    <w:p w:rsidR="00BD2DFA" w:rsidRDefault="00BD2DFA" w:rsidP="00BD2DFA">
      <w:pPr>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t xml:space="preserve">At the end of December 2015 spending on the Court Services programme was R4.4 billion of the total adjusted appropriation of R5.6 billion. This was slightly behind the approved projections by 0.7 percentage points, or R38 million. </w:t>
      </w:r>
    </w:p>
    <w:p w:rsidR="00BD2DFA" w:rsidRDefault="00BD2DFA" w:rsidP="00BD2DFA">
      <w:pPr>
        <w:spacing w:after="0" w:line="280" w:lineRule="exact"/>
        <w:jc w:val="both"/>
        <w:rPr>
          <w:rFonts w:ascii="Arial" w:eastAsia="Times New Roman" w:hAnsi="Arial" w:cs="Arial"/>
          <w:color w:val="000000"/>
          <w:spacing w:val="6"/>
          <w:lang w:val="en-GB" w:eastAsia="en-GB"/>
        </w:rPr>
      </w:pPr>
    </w:p>
    <w:p w:rsidR="00BD2DFA" w:rsidRPr="00BD2DFA" w:rsidRDefault="00BD2DFA" w:rsidP="00BD2DFA">
      <w:pPr>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t>Lower than projected spending occurred in particular in the Family Advoca</w:t>
      </w:r>
      <w:r w:rsidR="00141F73">
        <w:rPr>
          <w:rFonts w:ascii="Arial" w:eastAsia="Times New Roman" w:hAnsi="Arial" w:cs="Arial"/>
          <w:color w:val="000000"/>
          <w:spacing w:val="6"/>
          <w:lang w:val="en-GB" w:eastAsia="en-GB"/>
        </w:rPr>
        <w:t xml:space="preserve">tes, Magistrates Commission, </w:t>
      </w:r>
      <w:r w:rsidRPr="00BD2DFA">
        <w:rPr>
          <w:rFonts w:ascii="Arial" w:eastAsia="Times New Roman" w:hAnsi="Arial" w:cs="Arial"/>
          <w:color w:val="000000"/>
          <w:spacing w:val="6"/>
          <w:lang w:val="en-GB" w:eastAsia="en-GB"/>
        </w:rPr>
        <w:t xml:space="preserve">Facilities Management </w:t>
      </w:r>
      <w:r w:rsidR="00141F73">
        <w:rPr>
          <w:rFonts w:ascii="Arial" w:eastAsia="Times New Roman" w:hAnsi="Arial" w:cs="Arial"/>
          <w:color w:val="000000"/>
          <w:spacing w:val="6"/>
          <w:lang w:val="en-GB" w:eastAsia="en-GB"/>
        </w:rPr>
        <w:t xml:space="preserve">and Government Motor Transport </w:t>
      </w:r>
      <w:proofErr w:type="spellStart"/>
      <w:r w:rsidRPr="00BD2DFA">
        <w:rPr>
          <w:rFonts w:ascii="Arial" w:eastAsia="Times New Roman" w:hAnsi="Arial" w:cs="Arial"/>
          <w:color w:val="000000"/>
          <w:spacing w:val="6"/>
          <w:lang w:val="en-GB" w:eastAsia="en-GB"/>
        </w:rPr>
        <w:t>subprogrammes</w:t>
      </w:r>
      <w:proofErr w:type="spellEnd"/>
      <w:r w:rsidRPr="00BD2DFA">
        <w:rPr>
          <w:rFonts w:ascii="Arial" w:eastAsia="Times New Roman" w:hAnsi="Arial" w:cs="Arial"/>
          <w:color w:val="000000"/>
          <w:spacing w:val="6"/>
          <w:lang w:val="en-GB" w:eastAsia="en-GB"/>
        </w:rPr>
        <w:t>.</w:t>
      </w:r>
      <w:r w:rsidR="00141F73">
        <w:rPr>
          <w:rStyle w:val="FootnoteReference"/>
          <w:rFonts w:ascii="Arial" w:eastAsia="Times New Roman" w:hAnsi="Arial" w:cs="Arial"/>
          <w:color w:val="000000"/>
          <w:spacing w:val="6"/>
          <w:lang w:val="en-GB" w:eastAsia="en-GB"/>
        </w:rPr>
        <w:footnoteReference w:id="4"/>
      </w:r>
    </w:p>
    <w:p w:rsidR="00BD2DFA" w:rsidRPr="00BD2DFA" w:rsidRDefault="00BD2DFA" w:rsidP="00BD2DFA">
      <w:pPr>
        <w:spacing w:after="0" w:line="280" w:lineRule="exact"/>
        <w:jc w:val="both"/>
        <w:rPr>
          <w:rFonts w:ascii="Arial" w:eastAsia="Times New Roman" w:hAnsi="Arial" w:cs="Arial"/>
          <w:color w:val="000000"/>
          <w:spacing w:val="6"/>
          <w:lang w:val="en-GB" w:eastAsia="en-GB"/>
        </w:rPr>
      </w:pPr>
    </w:p>
    <w:p w:rsidR="00BD2DFA" w:rsidRPr="00BD2DFA" w:rsidRDefault="00BD2DFA" w:rsidP="00BD2DFA">
      <w:pPr>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lastRenderedPageBreak/>
        <w:t>It should, however, be noted that s</w:t>
      </w:r>
      <w:r>
        <w:rPr>
          <w:rFonts w:ascii="Arial" w:eastAsia="Times New Roman" w:hAnsi="Arial" w:cs="Arial"/>
          <w:color w:val="000000"/>
          <w:spacing w:val="6"/>
          <w:lang w:val="en-GB" w:eastAsia="en-GB"/>
        </w:rPr>
        <w:t>pending on the Court Services</w:t>
      </w:r>
      <w:r w:rsidRPr="00BD2DFA">
        <w:rPr>
          <w:rFonts w:ascii="Arial" w:eastAsia="Times New Roman" w:hAnsi="Arial" w:cs="Arial"/>
          <w:color w:val="000000"/>
          <w:spacing w:val="6"/>
          <w:lang w:val="en-GB" w:eastAsia="en-GB"/>
        </w:rPr>
        <w:t xml:space="preserve"> programme </w:t>
      </w:r>
      <w:r>
        <w:rPr>
          <w:rFonts w:ascii="Arial" w:eastAsia="Times New Roman" w:hAnsi="Arial" w:cs="Arial"/>
          <w:color w:val="000000"/>
          <w:spacing w:val="6"/>
          <w:lang w:val="en-GB" w:eastAsia="en-GB"/>
        </w:rPr>
        <w:t xml:space="preserve">did </w:t>
      </w:r>
      <w:r w:rsidRPr="00BD2DFA">
        <w:rPr>
          <w:rFonts w:ascii="Arial" w:eastAsia="Times New Roman" w:hAnsi="Arial" w:cs="Arial"/>
          <w:color w:val="000000"/>
          <w:spacing w:val="6"/>
          <w:lang w:val="en-GB" w:eastAsia="en-GB"/>
        </w:rPr>
        <w:t xml:space="preserve">increase significantly by 15.7 percentage points when compared to the 56.8 per cent achieved during the same period in the 2014/15 financial year. The increase was mainly triggered by improved spending on court infrastructure projects. However, this improved expenditure on buildings and other fixed structures (capital works/infrastructure) was still </w:t>
      </w:r>
      <w:r>
        <w:rPr>
          <w:rFonts w:ascii="Arial" w:eastAsia="Times New Roman" w:hAnsi="Arial" w:cs="Arial"/>
          <w:color w:val="000000"/>
          <w:spacing w:val="6"/>
          <w:lang w:val="en-GB" w:eastAsia="en-GB"/>
        </w:rPr>
        <w:t xml:space="preserve">19.5 percentage points </w:t>
      </w:r>
      <w:r w:rsidRPr="00BD2DFA">
        <w:rPr>
          <w:rFonts w:ascii="Arial" w:eastAsia="Times New Roman" w:hAnsi="Arial" w:cs="Arial"/>
          <w:color w:val="000000"/>
          <w:spacing w:val="6"/>
          <w:lang w:val="en-GB" w:eastAsia="en-GB"/>
        </w:rPr>
        <w:t>lower than projected for the third quarter.</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3.3</w:t>
      </w:r>
      <w:r w:rsidRPr="00BD2DFA">
        <w:rPr>
          <w:rFonts w:ascii="Arial" w:eastAsia="Calibri" w:hAnsi="Arial" w:cs="Arial"/>
          <w:b/>
          <w:color w:val="000000"/>
        </w:rPr>
        <w:tab/>
        <w:t>STATE LEGAL SERVICES PROGRAMME</w:t>
      </w:r>
    </w:p>
    <w:p w:rsidR="00BD2DFA" w:rsidRPr="00BD2DFA" w:rsidRDefault="00BD2DFA" w:rsidP="00BD2DFA">
      <w:pPr>
        <w:spacing w:after="0" w:line="300" w:lineRule="exact"/>
        <w:jc w:val="both"/>
        <w:rPr>
          <w:rFonts w:ascii="Calibri" w:eastAsia="Calibri" w:hAnsi="Calibri" w:cs="Arial"/>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The lower than projected spending identified in this programme in the second quarter continued in the third quarter of the financial year. </w:t>
      </w:r>
      <w:r>
        <w:rPr>
          <w:rFonts w:ascii="Arial" w:eastAsia="Times New Roman" w:hAnsi="Arial" w:cs="Times New Roman"/>
          <w:color w:val="000000"/>
          <w:spacing w:val="6"/>
          <w:lang w:val="en-GB" w:eastAsia="en-GB"/>
        </w:rPr>
        <w:t>Spending on the State Legal Services</w:t>
      </w:r>
      <w:r w:rsidRPr="00BD2DFA">
        <w:rPr>
          <w:rFonts w:ascii="Arial" w:eastAsia="Times New Roman" w:hAnsi="Arial" w:cs="Times New Roman"/>
          <w:color w:val="000000"/>
          <w:spacing w:val="6"/>
          <w:lang w:val="en-GB" w:eastAsia="en-GB"/>
        </w:rPr>
        <w:t xml:space="preserve"> programme was 6.8 percentage points behind approved projections. </w:t>
      </w:r>
      <w:proofErr w:type="gramStart"/>
      <w:r w:rsidRPr="00BD2DFA">
        <w:rPr>
          <w:rFonts w:ascii="Arial" w:eastAsia="Times New Roman" w:hAnsi="Arial" w:cs="Times New Roman"/>
          <w:color w:val="000000"/>
          <w:spacing w:val="6"/>
          <w:lang w:val="en-GB" w:eastAsia="en-GB"/>
        </w:rPr>
        <w:t>(R712 million expenditure against a projected R783 million.)</w:t>
      </w:r>
      <w:proofErr w:type="gramEnd"/>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All the </w:t>
      </w:r>
      <w:proofErr w:type="spellStart"/>
      <w:r w:rsidRPr="00BD2DFA">
        <w:rPr>
          <w:rFonts w:ascii="Arial" w:eastAsia="Times New Roman" w:hAnsi="Arial" w:cs="Times New Roman"/>
          <w:color w:val="000000"/>
          <w:spacing w:val="6"/>
          <w:lang w:val="en-GB" w:eastAsia="en-GB"/>
        </w:rPr>
        <w:t>subprogrammes</w:t>
      </w:r>
      <w:proofErr w:type="spellEnd"/>
      <w:r w:rsidRPr="00BD2DFA">
        <w:rPr>
          <w:rFonts w:ascii="Arial" w:eastAsia="Times New Roman" w:hAnsi="Arial" w:cs="Times New Roman"/>
          <w:color w:val="000000"/>
          <w:spacing w:val="6"/>
          <w:lang w:val="en-GB" w:eastAsia="en-GB"/>
        </w:rPr>
        <w:t xml:space="preserve"> under this programme, </w:t>
      </w:r>
      <w:r>
        <w:rPr>
          <w:rFonts w:ascii="Arial" w:eastAsia="Times New Roman" w:hAnsi="Arial" w:cs="Times New Roman"/>
          <w:color w:val="000000"/>
          <w:spacing w:val="6"/>
          <w:lang w:val="en-GB" w:eastAsia="en-GB"/>
        </w:rPr>
        <w:t xml:space="preserve">namely, </w:t>
      </w:r>
      <w:r w:rsidRPr="00BD2DFA">
        <w:rPr>
          <w:rFonts w:ascii="Arial" w:eastAsia="Times New Roman" w:hAnsi="Arial" w:cs="Times New Roman"/>
          <w:color w:val="000000"/>
          <w:spacing w:val="6"/>
          <w:lang w:val="en-GB" w:eastAsia="en-GB"/>
        </w:rPr>
        <w:t xml:space="preserve">State Law Advisors, Litigation and Legal services, Legislative Development and Law Reform, Master of the High Court and Constitutional Development contributed to the </w:t>
      </w:r>
      <w:proofErr w:type="spellStart"/>
      <w:r w:rsidRPr="00BD2DFA">
        <w:rPr>
          <w:rFonts w:ascii="Arial" w:eastAsia="Times New Roman" w:hAnsi="Arial" w:cs="Times New Roman"/>
          <w:color w:val="000000"/>
          <w:spacing w:val="6"/>
          <w:lang w:val="en-GB" w:eastAsia="en-GB"/>
        </w:rPr>
        <w:t>underspending</w:t>
      </w:r>
      <w:proofErr w:type="spellEnd"/>
      <w:r w:rsidRPr="00BD2DFA">
        <w:rPr>
          <w:rFonts w:ascii="Arial" w:eastAsia="Times New Roman" w:hAnsi="Arial" w:cs="Times New Roman"/>
          <w:color w:val="000000"/>
          <w:spacing w:val="6"/>
          <w:lang w:val="en-GB" w:eastAsia="en-GB"/>
        </w:rPr>
        <w:t xml:space="preserve">.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This was mainly due to;</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numPr>
          <w:ilvl w:val="0"/>
          <w:numId w:val="35"/>
        </w:numPr>
        <w:shd w:val="clear" w:color="auto" w:fill="FFFFFF" w:themeFill="background1"/>
        <w:spacing w:after="0" w:line="280" w:lineRule="exact"/>
        <w:contextualSpacing/>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the high vacancy rate across the </w:t>
      </w:r>
      <w:proofErr w:type="spellStart"/>
      <w:r w:rsidRPr="00BD2DFA">
        <w:rPr>
          <w:rFonts w:ascii="Arial" w:eastAsia="Times New Roman" w:hAnsi="Arial" w:cs="Times New Roman"/>
          <w:color w:val="000000"/>
          <w:spacing w:val="6"/>
          <w:lang w:val="en-GB" w:eastAsia="en-GB"/>
        </w:rPr>
        <w:t>subprogrammes</w:t>
      </w:r>
      <w:proofErr w:type="spellEnd"/>
      <w:r w:rsidRPr="00BD2DFA">
        <w:rPr>
          <w:rFonts w:ascii="Arial" w:eastAsia="Times New Roman" w:hAnsi="Arial" w:cs="Times New Roman"/>
          <w:color w:val="000000"/>
          <w:spacing w:val="6"/>
          <w:lang w:val="en-GB" w:eastAsia="en-GB"/>
        </w:rPr>
        <w:t xml:space="preserve">; and </w:t>
      </w:r>
    </w:p>
    <w:p w:rsidR="00BD2DFA" w:rsidRPr="00BD2DFA" w:rsidRDefault="00BD2DFA" w:rsidP="00BD2DFA">
      <w:pPr>
        <w:numPr>
          <w:ilvl w:val="0"/>
          <w:numId w:val="35"/>
        </w:numPr>
        <w:shd w:val="clear" w:color="auto" w:fill="FFFFFF" w:themeFill="background1"/>
        <w:spacing w:after="0" w:line="280" w:lineRule="exact"/>
        <w:contextualSpacing/>
        <w:jc w:val="both"/>
        <w:rPr>
          <w:rFonts w:ascii="Arial" w:eastAsia="Times New Roman" w:hAnsi="Arial" w:cs="Times New Roman"/>
          <w:color w:val="000000"/>
          <w:spacing w:val="6"/>
          <w:lang w:val="en-GB" w:eastAsia="en-GB"/>
        </w:rPr>
      </w:pPr>
      <w:proofErr w:type="gramStart"/>
      <w:r w:rsidRPr="00BD2DFA">
        <w:rPr>
          <w:rFonts w:ascii="Arial" w:eastAsia="Times New Roman" w:hAnsi="Arial" w:cs="Times New Roman"/>
          <w:color w:val="000000"/>
          <w:spacing w:val="6"/>
          <w:lang w:val="en-GB" w:eastAsia="en-GB"/>
        </w:rPr>
        <w:t>delays</w:t>
      </w:r>
      <w:proofErr w:type="gramEnd"/>
      <w:r w:rsidRPr="00BD2DFA">
        <w:rPr>
          <w:rFonts w:ascii="Arial" w:eastAsia="Times New Roman" w:hAnsi="Arial" w:cs="Times New Roman"/>
          <w:color w:val="000000"/>
          <w:spacing w:val="6"/>
          <w:lang w:val="en-GB" w:eastAsia="en-GB"/>
        </w:rPr>
        <w:t xml:space="preserve"> in the payment for notches and merit awards which is expected to be finalised before the end of the financial year.</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3.4</w:t>
      </w:r>
      <w:r w:rsidRPr="00BD2DFA">
        <w:rPr>
          <w:rFonts w:ascii="Arial" w:eastAsia="Calibri" w:hAnsi="Arial" w:cs="Arial"/>
          <w:b/>
          <w:color w:val="000000"/>
        </w:rPr>
        <w:tab/>
        <w:t xml:space="preserve">NATIONAL PROSECUTING AUTHORITY (NPA) PROGRAMME </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hd w:val="clear" w:color="auto" w:fill="FFFFFF" w:themeFill="background1"/>
        <w:spacing w:after="0" w:line="280" w:lineRule="exact"/>
        <w:jc w:val="both"/>
        <w:rPr>
          <w:rFonts w:ascii="Arial" w:eastAsia="Times New Roman" w:hAnsi="Arial" w:cs="Arial"/>
          <w:bCs/>
          <w:color w:val="000000"/>
          <w:spacing w:val="6"/>
          <w:lang w:val="en-GB" w:eastAsia="en-GB"/>
        </w:rPr>
      </w:pPr>
      <w:r w:rsidRPr="00BD2DFA">
        <w:rPr>
          <w:rFonts w:ascii="Arial" w:eastAsia="Calibri" w:hAnsi="Arial" w:cs="Arial"/>
          <w:bCs/>
        </w:rPr>
        <w:t xml:space="preserve">In comparison with expenditure in the second quarter, which was </w:t>
      </w:r>
      <w:r w:rsidRPr="00BD2DFA">
        <w:rPr>
          <w:rFonts w:ascii="Arial" w:eastAsia="Calibri" w:hAnsi="Arial" w:cs="Arial"/>
          <w:bCs/>
          <w:i/>
        </w:rPr>
        <w:t xml:space="preserve">slightly above projected expenditure, </w:t>
      </w:r>
      <w:r w:rsidRPr="00BD2DFA">
        <w:rPr>
          <w:rFonts w:ascii="Arial" w:eastAsia="Calibri" w:hAnsi="Arial" w:cs="Arial"/>
          <w:bCs/>
        </w:rPr>
        <w:t xml:space="preserve">in the third quarter </w:t>
      </w:r>
      <w:r w:rsidRPr="00BD2DFA">
        <w:rPr>
          <w:rFonts w:ascii="Arial" w:eastAsia="Times New Roman" w:hAnsi="Arial" w:cs="Times New Roman"/>
          <w:color w:val="000000"/>
          <w:spacing w:val="6"/>
          <w:lang w:val="en-GB" w:eastAsia="en-GB"/>
        </w:rPr>
        <w:t>spending in t</w:t>
      </w:r>
      <w:r w:rsidRPr="00BD2DFA">
        <w:rPr>
          <w:rFonts w:ascii="Arial" w:eastAsia="Times New Roman" w:hAnsi="Arial" w:cs="Arial"/>
          <w:bCs/>
          <w:color w:val="000000"/>
          <w:spacing w:val="6"/>
          <w:lang w:val="en-GB" w:eastAsia="en-GB"/>
        </w:rPr>
        <w:t xml:space="preserve">he National Prosecuting Authority programme was slightly behind the approved projections by 0.1 percentage points. </w:t>
      </w:r>
    </w:p>
    <w:p w:rsidR="00BD2DFA" w:rsidRPr="00BD2DFA" w:rsidRDefault="00BD2DFA" w:rsidP="00BD2DFA">
      <w:pPr>
        <w:shd w:val="clear" w:color="auto" w:fill="FFFFFF" w:themeFill="background1"/>
        <w:spacing w:after="0" w:line="280" w:lineRule="exact"/>
        <w:jc w:val="both"/>
        <w:rPr>
          <w:rFonts w:ascii="Arial" w:eastAsia="Times New Roman" w:hAnsi="Arial" w:cs="Arial"/>
          <w:bCs/>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Arial"/>
          <w:bCs/>
          <w:color w:val="000000"/>
          <w:spacing w:val="6"/>
          <w:lang w:val="en-GB" w:eastAsia="en-GB"/>
        </w:rPr>
      </w:pPr>
      <w:r>
        <w:rPr>
          <w:rFonts w:ascii="Arial" w:eastAsia="Times New Roman" w:hAnsi="Arial" w:cs="Arial"/>
          <w:bCs/>
          <w:color w:val="000000"/>
          <w:spacing w:val="6"/>
          <w:lang w:val="en-GB" w:eastAsia="en-GB"/>
        </w:rPr>
        <w:t>However, u</w:t>
      </w:r>
      <w:r w:rsidRPr="00BD2DFA">
        <w:rPr>
          <w:rFonts w:ascii="Arial" w:eastAsia="Times New Roman" w:hAnsi="Arial" w:cs="Arial"/>
          <w:bCs/>
          <w:color w:val="000000"/>
          <w:spacing w:val="6"/>
          <w:lang w:val="en-GB" w:eastAsia="en-GB"/>
        </w:rPr>
        <w:t xml:space="preserve">nlike the second quarter of the financial year where the Asset Forfeiture Unit </w:t>
      </w:r>
      <w:proofErr w:type="spellStart"/>
      <w:r w:rsidRPr="00BD2DFA">
        <w:rPr>
          <w:rFonts w:ascii="Arial" w:eastAsia="Times New Roman" w:hAnsi="Arial" w:cs="Arial"/>
          <w:bCs/>
          <w:color w:val="000000"/>
          <w:spacing w:val="6"/>
          <w:lang w:val="en-GB" w:eastAsia="en-GB"/>
        </w:rPr>
        <w:t>subprogramme</w:t>
      </w:r>
      <w:proofErr w:type="spellEnd"/>
      <w:r w:rsidRPr="00BD2DFA">
        <w:rPr>
          <w:rFonts w:ascii="Arial" w:eastAsia="Times New Roman" w:hAnsi="Arial" w:cs="Arial"/>
          <w:bCs/>
          <w:color w:val="000000"/>
          <w:spacing w:val="6"/>
          <w:lang w:val="en-GB" w:eastAsia="en-GB"/>
        </w:rPr>
        <w:t xml:space="preserve"> recorded lower than projected spending due to vacant posts in the third quarter spending in this </w:t>
      </w:r>
      <w:proofErr w:type="spellStart"/>
      <w:r w:rsidRPr="00BD2DFA">
        <w:rPr>
          <w:rFonts w:ascii="Arial" w:eastAsia="Times New Roman" w:hAnsi="Arial" w:cs="Arial"/>
          <w:bCs/>
          <w:color w:val="000000"/>
          <w:spacing w:val="6"/>
          <w:lang w:val="en-GB" w:eastAsia="en-GB"/>
        </w:rPr>
        <w:t>subprogramme</w:t>
      </w:r>
      <w:proofErr w:type="spellEnd"/>
      <w:r w:rsidRPr="00BD2DFA">
        <w:rPr>
          <w:rFonts w:ascii="Arial" w:eastAsia="Times New Roman" w:hAnsi="Arial" w:cs="Arial"/>
          <w:bCs/>
          <w:color w:val="000000"/>
          <w:spacing w:val="6"/>
          <w:lang w:val="en-GB" w:eastAsia="en-GB"/>
        </w:rPr>
        <w:t xml:space="preserve"> was on track. </w:t>
      </w:r>
    </w:p>
    <w:p w:rsidR="00BD2DFA" w:rsidRPr="00BD2DFA" w:rsidRDefault="00BD2DFA" w:rsidP="00BD2DFA">
      <w:pPr>
        <w:shd w:val="clear" w:color="auto" w:fill="FFFFFF" w:themeFill="background1"/>
        <w:spacing w:after="0" w:line="280" w:lineRule="exact"/>
        <w:jc w:val="both"/>
        <w:rPr>
          <w:rFonts w:ascii="Arial" w:eastAsia="Times New Roman" w:hAnsi="Arial" w:cs="Arial"/>
          <w:bCs/>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bCs/>
          <w:color w:val="000000"/>
          <w:spacing w:val="6"/>
          <w:lang w:val="en-GB" w:eastAsia="en-GB"/>
        </w:rPr>
        <w:t xml:space="preserve">Significantly higher than planned spending was identified in the Office of Witness Protection </w:t>
      </w:r>
      <w:proofErr w:type="spellStart"/>
      <w:r w:rsidRPr="00BD2DFA">
        <w:rPr>
          <w:rFonts w:ascii="Arial" w:eastAsia="Times New Roman" w:hAnsi="Arial" w:cs="Arial"/>
          <w:bCs/>
          <w:color w:val="000000"/>
          <w:spacing w:val="6"/>
          <w:lang w:val="en-GB" w:eastAsia="en-GB"/>
        </w:rPr>
        <w:t>subprogramme</w:t>
      </w:r>
      <w:proofErr w:type="spellEnd"/>
      <w:r w:rsidRPr="00BD2DFA">
        <w:rPr>
          <w:rFonts w:ascii="Arial" w:eastAsia="Times New Roman" w:hAnsi="Arial" w:cs="Arial"/>
          <w:bCs/>
          <w:color w:val="000000"/>
          <w:spacing w:val="6"/>
          <w:lang w:val="en-GB" w:eastAsia="en-GB"/>
        </w:rPr>
        <w:t xml:space="preserve"> which overspent by 7.6 percentage points mainly due to higher than projected </w:t>
      </w:r>
      <w:r w:rsidRPr="00BD2DFA">
        <w:rPr>
          <w:rFonts w:ascii="Arial" w:eastAsia="Times New Roman" w:hAnsi="Arial" w:cs="Arial"/>
          <w:color w:val="000000"/>
          <w:spacing w:val="6"/>
          <w:lang w:val="en-GB" w:eastAsia="en-GB"/>
        </w:rPr>
        <w:t xml:space="preserve">increases in the accommodation charges for witnesses as well as an increase in witness operational expenditure. </w:t>
      </w: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Arial"/>
          <w:color w:val="000000"/>
          <w:spacing w:val="6"/>
          <w:lang w:val="en-GB" w:eastAsia="en-GB"/>
        </w:rPr>
        <w:t xml:space="preserve">The lower than projected spending (by 8 percentage points) which occurred in the Support Services </w:t>
      </w:r>
      <w:proofErr w:type="spellStart"/>
      <w:r w:rsidRPr="00BD2DFA">
        <w:rPr>
          <w:rFonts w:ascii="Arial" w:eastAsia="Times New Roman" w:hAnsi="Arial" w:cs="Arial"/>
          <w:color w:val="000000"/>
          <w:spacing w:val="6"/>
          <w:lang w:val="en-GB" w:eastAsia="en-GB"/>
        </w:rPr>
        <w:t>subprogramme</w:t>
      </w:r>
      <w:proofErr w:type="spellEnd"/>
      <w:r w:rsidRPr="00BD2DFA">
        <w:rPr>
          <w:rFonts w:ascii="Arial" w:eastAsia="Times New Roman" w:hAnsi="Arial" w:cs="Arial"/>
          <w:color w:val="000000"/>
          <w:spacing w:val="6"/>
          <w:lang w:val="en-GB" w:eastAsia="en-GB"/>
        </w:rPr>
        <w:t xml:space="preserve"> is mainly </w:t>
      </w:r>
      <w:r w:rsidRPr="00BD2DFA">
        <w:rPr>
          <w:rFonts w:ascii="Arial" w:eastAsia="Times New Roman" w:hAnsi="Arial" w:cs="Arial"/>
          <w:bCs/>
          <w:color w:val="000000"/>
          <w:spacing w:val="6"/>
          <w:lang w:val="en-GB" w:eastAsia="en-GB"/>
        </w:rPr>
        <w:t xml:space="preserve">due to outstanding payments in respect of contractual expenditure for the fleet and security services.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3.5</w:t>
      </w:r>
      <w:r w:rsidRPr="00BD2DFA">
        <w:rPr>
          <w:rFonts w:ascii="Arial" w:eastAsia="Calibri" w:hAnsi="Arial" w:cs="Arial"/>
          <w:b/>
          <w:color w:val="000000"/>
        </w:rPr>
        <w:tab/>
        <w:t>AUXILIARY AND ASSOCIATED SERVICES PROGRAMME</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hd w:val="clear" w:color="auto" w:fill="FFFFFF" w:themeFill="background1"/>
        <w:spacing w:after="0" w:line="300" w:lineRule="exact"/>
        <w:jc w:val="both"/>
        <w:rPr>
          <w:rFonts w:ascii="Arial" w:eastAsia="Calibri" w:hAnsi="Arial" w:cs="Arial"/>
          <w:color w:val="000000"/>
        </w:rPr>
      </w:pPr>
      <w:r w:rsidRPr="00BD2DFA">
        <w:rPr>
          <w:rFonts w:ascii="Arial" w:eastAsia="Calibri" w:hAnsi="Arial" w:cs="Arial"/>
          <w:color w:val="000000"/>
        </w:rPr>
        <w:t xml:space="preserve">In the 2015 budget the Departments allocation for the modernisation of Justice IT Systems was R426.4 million. This was adjusted during the AENE to R431.4 million. At the end of the second quarter </w:t>
      </w:r>
      <w:r>
        <w:rPr>
          <w:rFonts w:ascii="Arial" w:eastAsia="Calibri" w:hAnsi="Arial" w:cs="Arial"/>
          <w:color w:val="000000"/>
        </w:rPr>
        <w:t xml:space="preserve">of </w:t>
      </w:r>
      <w:r w:rsidRPr="00BD2DFA">
        <w:rPr>
          <w:rFonts w:ascii="Arial" w:eastAsia="Calibri" w:hAnsi="Arial" w:cs="Arial"/>
          <w:color w:val="000000"/>
        </w:rPr>
        <w:t xml:space="preserve">2015/16, the Department had spent only 23.9 per cent (R82.3 million) of </w:t>
      </w:r>
      <w:r w:rsidRPr="00BD2DFA">
        <w:rPr>
          <w:rFonts w:ascii="Arial" w:eastAsia="Calibri" w:hAnsi="Arial" w:cs="Arial"/>
          <w:color w:val="000000"/>
        </w:rPr>
        <w:lastRenderedPageBreak/>
        <w:t xml:space="preserve">its departmental IT budget. However, expenditure has improved by the end of the third quarter to 74.4 per cent of the allocated budget. </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354730" w:rsidRPr="00BD2DFA" w:rsidRDefault="00354730"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pacing w:after="0" w:line="300" w:lineRule="exact"/>
        <w:jc w:val="both"/>
        <w:rPr>
          <w:rFonts w:ascii="Arial" w:eastAsia="Calibri" w:hAnsi="Arial" w:cs="Arial"/>
          <w:b/>
          <w:color w:val="000000"/>
        </w:rPr>
      </w:pPr>
      <w:r w:rsidRPr="00BD2DFA">
        <w:rPr>
          <w:rFonts w:ascii="Arial" w:eastAsia="Calibri" w:hAnsi="Arial" w:cs="Arial"/>
          <w:b/>
          <w:color w:val="000000"/>
        </w:rPr>
        <w:t>3.6</w:t>
      </w:r>
      <w:r w:rsidRPr="00BD2DFA">
        <w:rPr>
          <w:rFonts w:ascii="Arial" w:eastAsia="Calibri" w:hAnsi="Arial" w:cs="Arial"/>
          <w:b/>
          <w:color w:val="000000"/>
        </w:rPr>
        <w:tab/>
        <w:t>MAGISTRATES</w:t>
      </w:r>
    </w:p>
    <w:p w:rsidR="00BD2DFA" w:rsidRPr="00BD2DFA" w:rsidRDefault="00BD2DFA" w:rsidP="00BD2DFA">
      <w:pPr>
        <w:spacing w:after="0" w:line="300" w:lineRule="exact"/>
        <w:jc w:val="both"/>
        <w:rPr>
          <w:rFonts w:ascii="Arial" w:eastAsia="Calibri" w:hAnsi="Arial" w:cs="Arial"/>
          <w:b/>
          <w:color w:val="000000"/>
        </w:rPr>
      </w:pP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bidi="en-US"/>
        </w:rPr>
      </w:pPr>
      <w:r w:rsidRPr="00BD2DFA">
        <w:rPr>
          <w:rFonts w:ascii="Arial" w:eastAsia="Calibri" w:hAnsi="Arial" w:cs="Arial"/>
          <w:lang w:bidi="en-US"/>
        </w:rPr>
        <w:t>Spending on Direct Charges (magistrate’s salaries</w:t>
      </w:r>
      <w:r w:rsidRPr="00BD2DFA">
        <w:rPr>
          <w:rFonts w:ascii="Arial" w:eastAsia="Times New Roman" w:hAnsi="Arial" w:cs="Times New Roman"/>
          <w:color w:val="000000"/>
          <w:spacing w:val="6"/>
          <w:lang w:val="en-GB" w:eastAsia="en-GB"/>
        </w:rPr>
        <w:t xml:space="preserve"> </w:t>
      </w:r>
      <w:r w:rsidRPr="00BD2DFA">
        <w:rPr>
          <w:rFonts w:ascii="Arial" w:eastAsia="Times New Roman" w:hAnsi="Arial" w:cs="Arial"/>
          <w:color w:val="000000"/>
          <w:spacing w:val="6"/>
          <w:lang w:val="en-GB" w:eastAsia="en-GB" w:bidi="en-US"/>
        </w:rPr>
        <w:t>was 8.4 percentage points behind the approved projections by the end of December 2015 mainly due to higher number of vacant posts. This expenditure was, however, 4.7 percentage points higher than the total expenditure during the same period in the 2014/15 financial year.</w:t>
      </w: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bidi="en-US"/>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b/>
          <w:color w:val="000000"/>
          <w:spacing w:val="6"/>
          <w:lang w:val="en-GB" w:eastAsia="en-GB"/>
        </w:rPr>
      </w:pPr>
      <w:r w:rsidRPr="00BD2DFA">
        <w:rPr>
          <w:rFonts w:ascii="Arial" w:eastAsia="Times New Roman" w:hAnsi="Arial" w:cs="Times New Roman"/>
          <w:b/>
          <w:color w:val="000000"/>
          <w:spacing w:val="6"/>
          <w:lang w:val="en-GB" w:eastAsia="en-GB"/>
        </w:rPr>
        <w:t>3.7</w:t>
      </w:r>
      <w:r w:rsidRPr="00BD2DFA">
        <w:rPr>
          <w:rFonts w:ascii="Arial" w:eastAsia="Times New Roman" w:hAnsi="Arial" w:cs="Times New Roman"/>
          <w:b/>
          <w:color w:val="000000"/>
          <w:spacing w:val="6"/>
          <w:lang w:val="en-GB" w:eastAsia="en-GB"/>
        </w:rPr>
        <w:tab/>
        <w:t>VACANCIES</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 xml:space="preserve">The Department’s vacancy rate was 10.6 per cent </w:t>
      </w:r>
      <w:r w:rsidR="00141F73">
        <w:rPr>
          <w:rFonts w:ascii="Arial" w:eastAsia="Times New Roman" w:hAnsi="Arial" w:cs="Times New Roman"/>
          <w:color w:val="000000"/>
          <w:spacing w:val="6"/>
          <w:lang w:val="en-GB" w:eastAsia="en-GB"/>
        </w:rPr>
        <w:t>(2974vacant posts) by the end of t</w:t>
      </w:r>
      <w:r w:rsidRPr="00BD2DFA">
        <w:rPr>
          <w:rFonts w:ascii="Arial" w:eastAsia="Times New Roman" w:hAnsi="Arial" w:cs="Times New Roman"/>
          <w:color w:val="000000"/>
          <w:spacing w:val="6"/>
          <w:lang w:val="en-GB" w:eastAsia="en-GB"/>
        </w:rPr>
        <w:t>he third quarter of 2015/16. This is an impr</w:t>
      </w:r>
      <w:r w:rsidR="00141F73">
        <w:rPr>
          <w:rFonts w:ascii="Arial" w:eastAsia="Times New Roman" w:hAnsi="Arial" w:cs="Times New Roman"/>
          <w:color w:val="000000"/>
          <w:spacing w:val="6"/>
          <w:lang w:val="en-GB" w:eastAsia="en-GB"/>
        </w:rPr>
        <w:t>ovement from the second quarter when the vacancy rate stood at 13.1 per cent.</w:t>
      </w:r>
      <w:r w:rsidRPr="00BD2DFA">
        <w:rPr>
          <w:rFonts w:ascii="Arial" w:eastAsia="Times New Roman" w:hAnsi="Arial" w:cs="Times New Roman"/>
          <w:color w:val="000000"/>
          <w:spacing w:val="6"/>
          <w:lang w:val="en-GB" w:eastAsia="en-GB"/>
        </w:rPr>
        <w:t xml:space="preserve"> Vacancies can still be attributed to the non-filling of critical posts such as advocates, attorneys, legal related officers, magistrates and senior managers.</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r w:rsidRPr="00BD2DFA">
        <w:rPr>
          <w:rFonts w:ascii="Arial" w:eastAsia="Times New Roman" w:hAnsi="Arial" w:cs="Arial"/>
          <w:color w:val="000000"/>
          <w:spacing w:val="6"/>
          <w:lang w:val="en-GB" w:eastAsia="en-GB"/>
        </w:rPr>
        <w:t>The Court Services (1125) and National Prosecuting Authority (850) programmes are the major contributors to the vacancy rate.</w:t>
      </w:r>
    </w:p>
    <w:p w:rsidR="00BD2DFA" w:rsidRPr="00BD2DFA" w:rsidRDefault="00BD2DFA" w:rsidP="00BD2DFA">
      <w:pPr>
        <w:shd w:val="clear" w:color="auto" w:fill="FFFFFF" w:themeFill="background1"/>
        <w:spacing w:after="0" w:line="280" w:lineRule="exact"/>
        <w:jc w:val="both"/>
        <w:rPr>
          <w:rFonts w:ascii="Arial" w:eastAsia="Times New Roman" w:hAnsi="Arial" w:cs="Arial"/>
          <w:color w:val="000000"/>
          <w:spacing w:val="6"/>
          <w:lang w:val="en-GB" w:eastAsia="en-GB"/>
        </w:rPr>
      </w:pPr>
    </w:p>
    <w:p w:rsidR="00BD2DFA" w:rsidRPr="00BD2DFA" w:rsidRDefault="00BD2DFA" w:rsidP="00BD2DFA">
      <w:pPr>
        <w:spacing w:after="0" w:line="300" w:lineRule="exact"/>
        <w:jc w:val="both"/>
        <w:rPr>
          <w:rFonts w:ascii="Arial" w:eastAsia="Times New Roman" w:hAnsi="Arial" w:cs="Arial"/>
          <w:b/>
          <w:bCs/>
          <w:lang w:val="en-US"/>
        </w:rPr>
      </w:pPr>
      <w:r w:rsidRPr="00BD2DFA">
        <w:rPr>
          <w:rFonts w:ascii="Arial" w:eastAsia="Times New Roman" w:hAnsi="Arial" w:cs="Arial"/>
          <w:b/>
          <w:bCs/>
          <w:lang w:val="en-US"/>
        </w:rPr>
        <w:t>4.</w:t>
      </w:r>
      <w:r w:rsidRPr="00BD2DFA">
        <w:rPr>
          <w:rFonts w:ascii="Arial" w:eastAsia="Times New Roman" w:hAnsi="Arial" w:cs="Arial"/>
          <w:b/>
          <w:bCs/>
          <w:lang w:val="en-US"/>
        </w:rPr>
        <w:tab/>
        <w:t>PROGRESS REPORTS</w:t>
      </w:r>
    </w:p>
    <w:p w:rsidR="00BD2DFA" w:rsidRPr="00BD2DFA" w:rsidRDefault="00BD2DFA" w:rsidP="00BD2DFA">
      <w:pPr>
        <w:spacing w:after="0" w:line="300" w:lineRule="exact"/>
        <w:jc w:val="both"/>
        <w:rPr>
          <w:rFonts w:ascii="Arial" w:eastAsia="Times New Roman" w:hAnsi="Arial" w:cs="Arial"/>
          <w:bCs/>
          <w:lang w:val="en-US"/>
        </w:rPr>
      </w:pPr>
    </w:p>
    <w:p w:rsidR="00BD2DFA" w:rsidRPr="00BD2DFA" w:rsidRDefault="00BD2DFA" w:rsidP="00BD2DFA">
      <w:pPr>
        <w:spacing w:after="0" w:line="300" w:lineRule="exact"/>
        <w:jc w:val="both"/>
        <w:rPr>
          <w:rFonts w:ascii="Arial" w:eastAsia="Times New Roman" w:hAnsi="Arial" w:cs="Arial"/>
          <w:bCs/>
          <w:lang w:val="en-US"/>
        </w:rPr>
      </w:pPr>
      <w:r w:rsidRPr="00BD2DFA">
        <w:rPr>
          <w:rFonts w:ascii="Arial" w:eastAsia="Times New Roman" w:hAnsi="Arial" w:cs="Arial"/>
          <w:bCs/>
          <w:lang w:val="en-US"/>
        </w:rPr>
        <w:t xml:space="preserve">The Department should be asked to: </w:t>
      </w:r>
    </w:p>
    <w:p w:rsidR="00BD2DFA" w:rsidRPr="00BD2DFA" w:rsidRDefault="00BD2DFA" w:rsidP="00BD2DFA">
      <w:pPr>
        <w:spacing w:after="0" w:line="300" w:lineRule="exact"/>
        <w:jc w:val="both"/>
        <w:rPr>
          <w:rFonts w:ascii="Arial" w:eastAsia="Times New Roman" w:hAnsi="Arial" w:cs="Arial"/>
          <w:bCs/>
          <w:lang w:val="en-US"/>
        </w:rPr>
      </w:pPr>
    </w:p>
    <w:p w:rsidR="00BD2DFA" w:rsidRPr="00BD2DFA" w:rsidRDefault="00BD2DFA" w:rsidP="00BD2DFA">
      <w:pPr>
        <w:numPr>
          <w:ilvl w:val="0"/>
          <w:numId w:val="36"/>
        </w:numPr>
        <w:spacing w:after="0" w:line="300" w:lineRule="exact"/>
        <w:contextualSpacing/>
        <w:jc w:val="both"/>
        <w:rPr>
          <w:rFonts w:ascii="Arial" w:eastAsia="Times New Roman" w:hAnsi="Arial" w:cs="Times New Roman"/>
          <w:color w:val="000000"/>
          <w:spacing w:val="6"/>
          <w:lang w:val="en-GB" w:eastAsia="en-GB"/>
        </w:rPr>
      </w:pPr>
      <w:r w:rsidRPr="00BD2DFA">
        <w:rPr>
          <w:rFonts w:ascii="Arial" w:eastAsia="Times New Roman" w:hAnsi="Arial" w:cs="Arial"/>
          <w:bCs/>
          <w:lang w:val="en-US"/>
        </w:rPr>
        <w:t xml:space="preserve">Elaborate on expenditure of the Capital works/infrastructure budget </w:t>
      </w:r>
    </w:p>
    <w:p w:rsidR="00BD2DFA" w:rsidRPr="00BD2DFA" w:rsidRDefault="00BD2DFA" w:rsidP="00BD2DFA">
      <w:pPr>
        <w:numPr>
          <w:ilvl w:val="0"/>
          <w:numId w:val="36"/>
        </w:numPr>
        <w:spacing w:after="0" w:line="300" w:lineRule="exact"/>
        <w:contextualSpacing/>
        <w:jc w:val="both"/>
        <w:rPr>
          <w:rFonts w:ascii="Arial" w:eastAsia="Times New Roman" w:hAnsi="Arial" w:cs="Times New Roman"/>
          <w:color w:val="000000"/>
          <w:spacing w:val="6"/>
          <w:lang w:val="en-GB" w:eastAsia="en-GB"/>
        </w:rPr>
      </w:pPr>
      <w:r w:rsidRPr="00BD2DFA">
        <w:rPr>
          <w:rFonts w:ascii="Arial" w:eastAsia="MS PGothic" w:hAnsi="Arial" w:cs="Arial"/>
          <w:color w:val="000000" w:themeColor="text1"/>
          <w:spacing w:val="6"/>
          <w:kern w:val="24"/>
          <w:lang w:val="en-GB" w:eastAsia="en-GB"/>
        </w:rPr>
        <w:t>Report on steps to fill high vacancies in critical positions such as</w:t>
      </w:r>
      <w:r w:rsidRPr="00BD2DFA">
        <w:rPr>
          <w:rFonts w:ascii="Arial" w:eastAsia="MS PGothic" w:hAnsi="Arial" w:cs="+mn-cs"/>
          <w:color w:val="000000"/>
          <w:spacing w:val="6"/>
          <w:kern w:val="24"/>
          <w:lang w:eastAsia="en-GB"/>
        </w:rPr>
        <w:t xml:space="preserve"> magistrates, advocates, attorneys, legal related officers and senior managers </w:t>
      </w:r>
    </w:p>
    <w:p w:rsidR="00BD2DFA" w:rsidRPr="00BD2DFA" w:rsidRDefault="00BD2DFA" w:rsidP="00BD2DFA">
      <w:pPr>
        <w:numPr>
          <w:ilvl w:val="0"/>
          <w:numId w:val="36"/>
        </w:numPr>
        <w:spacing w:after="0" w:line="300" w:lineRule="exact"/>
        <w:contextualSpacing/>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Report on steps within the JCPS cluster to resolve slow spending of  earmarked funds for CJS/IJS projects</w:t>
      </w:r>
    </w:p>
    <w:p w:rsidR="00BD2DFA" w:rsidRPr="00BD2DFA" w:rsidRDefault="00BD2DFA" w:rsidP="00BD2DFA">
      <w:pPr>
        <w:spacing w:after="0" w:line="300" w:lineRule="exact"/>
        <w:ind w:left="720"/>
        <w:contextualSpacing/>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b/>
          <w:color w:val="000000"/>
          <w:spacing w:val="6"/>
          <w:lang w:val="en-GB" w:eastAsia="en-GB"/>
        </w:rPr>
      </w:pPr>
      <w:r w:rsidRPr="00BD2DFA">
        <w:rPr>
          <w:rFonts w:ascii="Arial" w:eastAsia="Times New Roman" w:hAnsi="Arial" w:cs="Times New Roman"/>
          <w:b/>
          <w:color w:val="000000"/>
          <w:spacing w:val="6"/>
          <w:lang w:val="en-GB" w:eastAsia="en-GB"/>
        </w:rPr>
        <w:t>Sources</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Adjusted Estimates of National Expenditure (AENE) October 2015</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proofErr w:type="spellStart"/>
      <w:r w:rsidRPr="00BD2DFA">
        <w:rPr>
          <w:rFonts w:ascii="Arial" w:eastAsia="Times New Roman" w:hAnsi="Arial" w:cs="Times New Roman"/>
          <w:color w:val="000000"/>
          <w:spacing w:val="6"/>
          <w:lang w:val="en-GB" w:eastAsia="en-GB"/>
        </w:rPr>
        <w:t>DoJ&amp;CD</w:t>
      </w:r>
      <w:proofErr w:type="spellEnd"/>
      <w:r w:rsidRPr="00BD2DFA">
        <w:rPr>
          <w:rFonts w:ascii="Arial" w:eastAsia="Times New Roman" w:hAnsi="Arial" w:cs="Times New Roman"/>
          <w:color w:val="000000"/>
          <w:spacing w:val="6"/>
          <w:lang w:val="en-GB" w:eastAsia="en-GB"/>
        </w:rPr>
        <w:t xml:space="preserve"> Annual Performance Plan 2015/16</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proofErr w:type="spellStart"/>
      <w:r w:rsidRPr="00BD2DFA">
        <w:rPr>
          <w:rFonts w:ascii="Arial" w:eastAsia="Times New Roman" w:hAnsi="Arial" w:cs="Times New Roman"/>
          <w:color w:val="000000"/>
          <w:spacing w:val="6"/>
          <w:lang w:val="en-GB" w:eastAsia="en-GB"/>
        </w:rPr>
        <w:t>DoJ&amp;CD</w:t>
      </w:r>
      <w:proofErr w:type="spellEnd"/>
      <w:r w:rsidRPr="00BD2DFA">
        <w:rPr>
          <w:rFonts w:ascii="Arial" w:eastAsia="Times New Roman" w:hAnsi="Arial" w:cs="Times New Roman"/>
          <w:color w:val="000000"/>
          <w:spacing w:val="6"/>
          <w:lang w:val="en-GB" w:eastAsia="en-GB"/>
        </w:rPr>
        <w:t xml:space="preserve"> Strategic Plan 2015-2020</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proofErr w:type="spellStart"/>
      <w:r w:rsidRPr="00BD2DFA">
        <w:rPr>
          <w:rFonts w:ascii="Arial" w:eastAsia="Times New Roman" w:hAnsi="Arial" w:cs="Times New Roman"/>
          <w:color w:val="000000"/>
          <w:spacing w:val="6"/>
          <w:lang w:val="en-GB" w:eastAsia="en-GB"/>
        </w:rPr>
        <w:t>DoJ&amp;CD</w:t>
      </w:r>
      <w:proofErr w:type="spellEnd"/>
      <w:r w:rsidRPr="00BD2DFA">
        <w:rPr>
          <w:rFonts w:ascii="Arial" w:eastAsia="Times New Roman" w:hAnsi="Arial" w:cs="Times New Roman"/>
          <w:color w:val="000000"/>
          <w:spacing w:val="6"/>
          <w:lang w:val="en-GB" w:eastAsia="en-GB"/>
        </w:rPr>
        <w:t xml:space="preserve"> First Quarter Performance Report to the Portfolio Committee of Justice and Correctional Services (September 2015)</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t>Medium Term Budget Policy Statement (October 2015)</w:t>
      </w:r>
    </w:p>
    <w:p w:rsidR="00BD2DFA" w:rsidRPr="00BD2DFA" w:rsidRDefault="00BD2DFA" w:rsidP="00BD2DFA">
      <w:pPr>
        <w:spacing w:after="0" w:line="300" w:lineRule="exact"/>
        <w:rPr>
          <w:rFonts w:ascii="Arial" w:eastAsia="Times New Roman" w:hAnsi="Arial" w:cs="Times New Roman"/>
          <w:color w:val="000000"/>
          <w:spacing w:val="6"/>
          <w:lang w:val="en-GB" w:eastAsia="en-GB"/>
        </w:rPr>
      </w:pPr>
    </w:p>
    <w:p w:rsidR="00BD2DFA" w:rsidRPr="00BD2DFA" w:rsidRDefault="00BD2DFA" w:rsidP="00BD2DFA">
      <w:pPr>
        <w:spacing w:after="0" w:line="300" w:lineRule="exact"/>
        <w:rPr>
          <w:rFonts w:ascii="Arial" w:eastAsia="Times New Roman" w:hAnsi="Arial" w:cs="Times New Roman"/>
          <w:color w:val="000000"/>
          <w:spacing w:val="6"/>
          <w:lang w:val="en-GB" w:eastAsia="en-GB"/>
        </w:rPr>
      </w:pPr>
      <w:r w:rsidRPr="00BD2DFA">
        <w:rPr>
          <w:rFonts w:ascii="Arial" w:eastAsia="Times New Roman" w:hAnsi="Arial" w:cs="Times New Roman"/>
          <w:color w:val="000000"/>
          <w:spacing w:val="6"/>
          <w:lang w:val="en-GB" w:eastAsia="en-GB"/>
        </w:rPr>
        <w:lastRenderedPageBreak/>
        <w:t>National Treasury (October-December 2015/16)</w:t>
      </w:r>
    </w:p>
    <w:p w:rsidR="00BD2DFA" w:rsidRPr="00BD2DFA" w:rsidRDefault="00BD2DFA" w:rsidP="00BD2DFA">
      <w:pPr>
        <w:shd w:val="clear" w:color="auto" w:fill="FFFFFF" w:themeFill="background1"/>
        <w:spacing w:after="0" w:line="280" w:lineRule="exact"/>
        <w:jc w:val="both"/>
        <w:rPr>
          <w:rFonts w:ascii="Arial" w:eastAsia="Times New Roman" w:hAnsi="Arial" w:cs="Times New Roman"/>
          <w:color w:val="000000"/>
          <w:spacing w:val="6"/>
          <w:lang w:val="en-GB" w:eastAsia="en-GB"/>
        </w:rPr>
      </w:pPr>
    </w:p>
    <w:p w:rsidR="00BD2DFA" w:rsidRPr="00BD2DFA" w:rsidRDefault="00BD2DFA" w:rsidP="00BD2DFA"/>
    <w:sectPr w:rsidR="00BD2DFA" w:rsidRPr="00BD2DFA" w:rsidSect="001A54D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FE" w:rsidRDefault="002814FE" w:rsidP="00084145">
      <w:pPr>
        <w:spacing w:after="0" w:line="240" w:lineRule="auto"/>
      </w:pPr>
      <w:r>
        <w:separator/>
      </w:r>
    </w:p>
  </w:endnote>
  <w:endnote w:type="continuationSeparator" w:id="0">
    <w:p w:rsidR="002814FE" w:rsidRDefault="002814FE" w:rsidP="0008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FE" w:rsidRDefault="002814FE" w:rsidP="00084145">
      <w:pPr>
        <w:spacing w:after="0" w:line="240" w:lineRule="auto"/>
      </w:pPr>
      <w:r>
        <w:separator/>
      </w:r>
    </w:p>
  </w:footnote>
  <w:footnote w:type="continuationSeparator" w:id="0">
    <w:p w:rsidR="002814FE" w:rsidRDefault="002814FE" w:rsidP="00084145">
      <w:pPr>
        <w:spacing w:after="0" w:line="240" w:lineRule="auto"/>
      </w:pPr>
      <w:r>
        <w:continuationSeparator/>
      </w:r>
    </w:p>
  </w:footnote>
  <w:footnote w:id="1">
    <w:p w:rsidR="00BD2DFA" w:rsidRPr="00540C26" w:rsidRDefault="00BD2DFA" w:rsidP="00BD2DFA">
      <w:pPr>
        <w:pStyle w:val="FootnoteText"/>
        <w:jc w:val="both"/>
        <w:rPr>
          <w:rFonts w:cs="Arial"/>
          <w:sz w:val="16"/>
          <w:szCs w:val="16"/>
          <w:lang w:val="en-ZA"/>
        </w:rPr>
      </w:pPr>
      <w:r w:rsidRPr="00540C26">
        <w:rPr>
          <w:rStyle w:val="FootnoteReference"/>
          <w:rFonts w:cs="Arial"/>
          <w:sz w:val="16"/>
          <w:szCs w:val="16"/>
        </w:rPr>
        <w:footnoteRef/>
      </w:r>
      <w:r w:rsidRPr="00540C26">
        <w:rPr>
          <w:rFonts w:cs="Arial"/>
          <w:sz w:val="16"/>
          <w:szCs w:val="16"/>
        </w:rPr>
        <w:t>MTBPS 2015 p</w:t>
      </w:r>
      <w:r w:rsidRPr="00540C26">
        <w:rPr>
          <w:rFonts w:cs="Arial"/>
          <w:sz w:val="16"/>
          <w:szCs w:val="16"/>
          <w:lang w:val="en-ZA"/>
        </w:rPr>
        <w:t>2</w:t>
      </w:r>
    </w:p>
  </w:footnote>
  <w:footnote w:id="2">
    <w:p w:rsidR="00BD2DFA" w:rsidRPr="008B27EC" w:rsidRDefault="00BD2DFA" w:rsidP="00BD2DFA">
      <w:pPr>
        <w:pStyle w:val="FootnoteText"/>
        <w:jc w:val="both"/>
        <w:rPr>
          <w:rFonts w:cs="Arial"/>
          <w:sz w:val="16"/>
          <w:szCs w:val="16"/>
          <w:lang w:val="en-ZA"/>
        </w:rPr>
      </w:pPr>
      <w:r w:rsidRPr="008B27EC">
        <w:rPr>
          <w:rStyle w:val="FootnoteReference"/>
          <w:rFonts w:cs="Arial"/>
          <w:sz w:val="16"/>
          <w:szCs w:val="16"/>
        </w:rPr>
        <w:footnoteRef/>
      </w:r>
      <w:proofErr w:type="spellStart"/>
      <w:r>
        <w:rPr>
          <w:rFonts w:cs="Arial"/>
          <w:sz w:val="16"/>
          <w:szCs w:val="16"/>
        </w:rPr>
        <w:t>Virements</w:t>
      </w:r>
      <w:proofErr w:type="spellEnd"/>
      <w:r>
        <w:rPr>
          <w:rFonts w:cs="Arial"/>
          <w:sz w:val="16"/>
          <w:szCs w:val="16"/>
        </w:rPr>
        <w:t xml:space="preserve"> involve t</w:t>
      </w:r>
      <w:r w:rsidRPr="008B27EC">
        <w:rPr>
          <w:rFonts w:cs="Arial"/>
          <w:sz w:val="16"/>
          <w:szCs w:val="16"/>
        </w:rPr>
        <w:t>he utilisation of unspent funds from amounts appropriated under one main division (programme) towards the defrayment of excess expenditure under another main division (programme) within the same vote</w:t>
      </w:r>
      <w:r>
        <w:rPr>
          <w:rFonts w:cs="Arial"/>
          <w:sz w:val="16"/>
          <w:szCs w:val="16"/>
        </w:rPr>
        <w:t>.</w:t>
      </w:r>
      <w:r w:rsidRPr="008B27EC">
        <w:rPr>
          <w:rFonts w:cs="Arial"/>
          <w:sz w:val="16"/>
          <w:szCs w:val="16"/>
        </w:rPr>
        <w:t xml:space="preserve"> </w:t>
      </w:r>
      <w:r>
        <w:rPr>
          <w:rFonts w:cs="Arial"/>
          <w:sz w:val="16"/>
          <w:szCs w:val="16"/>
        </w:rPr>
        <w:t xml:space="preserve">Shifts involve the utilisation of unspent funds towards increased expenditure </w:t>
      </w:r>
      <w:r w:rsidRPr="004F56FF">
        <w:rPr>
          <w:rFonts w:cs="Arial"/>
          <w:b/>
          <w:sz w:val="16"/>
          <w:szCs w:val="16"/>
        </w:rPr>
        <w:t>within</w:t>
      </w:r>
      <w:r>
        <w:rPr>
          <w:rFonts w:cs="Arial"/>
          <w:sz w:val="16"/>
          <w:szCs w:val="16"/>
        </w:rPr>
        <w:t xml:space="preserve"> the programme of a Vote via the shifting of funds for example between a </w:t>
      </w:r>
      <w:proofErr w:type="spellStart"/>
      <w:r>
        <w:rPr>
          <w:rFonts w:cs="Arial"/>
          <w:sz w:val="16"/>
          <w:szCs w:val="16"/>
        </w:rPr>
        <w:t>subprogramme</w:t>
      </w:r>
      <w:proofErr w:type="spellEnd"/>
      <w:r>
        <w:rPr>
          <w:rFonts w:cs="Arial"/>
          <w:sz w:val="16"/>
          <w:szCs w:val="16"/>
        </w:rPr>
        <w:t xml:space="preserve"> and economic classification.</w:t>
      </w:r>
    </w:p>
  </w:footnote>
  <w:footnote w:id="3">
    <w:p w:rsidR="00BD2DFA" w:rsidRPr="005E7A46" w:rsidRDefault="00BD2DFA" w:rsidP="00BD2DFA">
      <w:pPr>
        <w:pStyle w:val="FootnoteText"/>
        <w:rPr>
          <w:rFonts w:cs="Arial"/>
          <w:sz w:val="16"/>
          <w:szCs w:val="16"/>
        </w:rPr>
      </w:pPr>
      <w:r w:rsidRPr="005E7A46">
        <w:rPr>
          <w:rStyle w:val="FootnoteReference"/>
          <w:rFonts w:cs="Arial"/>
          <w:sz w:val="16"/>
          <w:szCs w:val="16"/>
        </w:rPr>
        <w:footnoteRef/>
      </w:r>
      <w:r w:rsidRPr="005E7A46">
        <w:rPr>
          <w:rFonts w:cs="Arial"/>
          <w:sz w:val="16"/>
          <w:szCs w:val="16"/>
        </w:rPr>
        <w:t xml:space="preserve"> National Treasury Instruction Note 01 of 2013/14 on Cost Containment Measures</w:t>
      </w:r>
    </w:p>
  </w:footnote>
  <w:footnote w:id="4">
    <w:p w:rsidR="00141F73" w:rsidRPr="00141F73" w:rsidRDefault="00141F73" w:rsidP="00141F73">
      <w:pPr>
        <w:pStyle w:val="FootnoteText"/>
        <w:jc w:val="both"/>
        <w:rPr>
          <w:sz w:val="16"/>
          <w:szCs w:val="16"/>
          <w:lang w:val="en-ZA"/>
        </w:rPr>
      </w:pPr>
      <w:r w:rsidRPr="00141F73">
        <w:rPr>
          <w:rStyle w:val="FootnoteReference"/>
          <w:sz w:val="16"/>
          <w:szCs w:val="16"/>
        </w:rPr>
        <w:footnoteRef/>
      </w:r>
      <w:r w:rsidRPr="00141F73">
        <w:rPr>
          <w:sz w:val="16"/>
          <w:szCs w:val="16"/>
        </w:rPr>
        <w:t xml:space="preserve"> </w:t>
      </w:r>
      <w:r w:rsidRPr="00141F73">
        <w:rPr>
          <w:rFonts w:cs="Arial"/>
          <w:sz w:val="16"/>
          <w:szCs w:val="16"/>
        </w:rPr>
        <w:t xml:space="preserve">There was no expenditure under the Government Motor vehicle transport </w:t>
      </w:r>
      <w:proofErr w:type="spellStart"/>
      <w:r w:rsidRPr="00141F73">
        <w:rPr>
          <w:rFonts w:cs="Arial"/>
          <w:sz w:val="16"/>
          <w:szCs w:val="16"/>
        </w:rPr>
        <w:t>subprogramme</w:t>
      </w:r>
      <w:proofErr w:type="spellEnd"/>
      <w:r w:rsidRPr="00141F73">
        <w:rPr>
          <w:rFonts w:cs="Arial"/>
          <w:sz w:val="16"/>
          <w:szCs w:val="16"/>
        </w:rPr>
        <w:t xml:space="preserve"> for the first, second and third quarter of 2015/16</w:t>
      </w:r>
      <w:r>
        <w:rPr>
          <w:rFonts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E4" w:rsidRDefault="007808E4">
    <w:pPr>
      <w:pStyle w:val="Header"/>
    </w:pPr>
    <w:r w:rsidRPr="007808E4">
      <w:rPr>
        <w:rFonts w:ascii="Arial" w:eastAsia="Times New Roman" w:hAnsi="Arial" w:cs="Times New Roman"/>
        <w:noProof/>
        <w:color w:val="000000"/>
        <w:spacing w:val="6"/>
        <w:sz w:val="18"/>
        <w:szCs w:val="18"/>
        <w:lang w:eastAsia="en-ZA"/>
      </w:rPr>
      <w:drawing>
        <wp:anchor distT="0" distB="0" distL="114300" distR="114300" simplePos="0" relativeHeight="251659264" behindDoc="0" locked="0" layoutInCell="1" allowOverlap="1">
          <wp:simplePos x="0" y="0"/>
          <wp:positionH relativeFrom="column">
            <wp:posOffset>-698997</wp:posOffset>
          </wp:positionH>
          <wp:positionV relativeFrom="paragraph">
            <wp:posOffset>-414351</wp:posOffset>
          </wp:positionV>
          <wp:extent cx="2543810" cy="824230"/>
          <wp:effectExtent l="0" t="0" r="889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sidRPr="007808E4">
      <w:rPr>
        <w:rFonts w:ascii="Arial" w:eastAsia="Times New Roman" w:hAnsi="Arial" w:cs="Times New Roman"/>
        <w:noProof/>
        <w:color w:val="000000"/>
        <w:spacing w:val="6"/>
        <w:sz w:val="18"/>
        <w:szCs w:val="18"/>
        <w:lang w:eastAsia="en-ZA"/>
      </w:rPr>
      <w:drawing>
        <wp:anchor distT="0" distB="0" distL="114300" distR="114300" simplePos="0" relativeHeight="251661312" behindDoc="1" locked="0" layoutInCell="1" allowOverlap="1">
          <wp:simplePos x="0" y="0"/>
          <wp:positionH relativeFrom="page">
            <wp:posOffset>5160397</wp:posOffset>
          </wp:positionH>
          <wp:positionV relativeFrom="page">
            <wp:posOffset>194503</wp:posOffset>
          </wp:positionV>
          <wp:extent cx="2279650" cy="611505"/>
          <wp:effectExtent l="19050" t="0" r="6350" b="0"/>
          <wp:wrapNone/>
          <wp:docPr id="4"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D01"/>
    <w:multiLevelType w:val="hybridMultilevel"/>
    <w:tmpl w:val="1A1A9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321126"/>
    <w:multiLevelType w:val="hybridMultilevel"/>
    <w:tmpl w:val="1ACEC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25190"/>
    <w:multiLevelType w:val="hybridMultilevel"/>
    <w:tmpl w:val="6FAA2B9E"/>
    <w:lvl w:ilvl="0" w:tplc="1C090003">
      <w:start w:val="1"/>
      <w:numFmt w:val="bullet"/>
      <w:lvlText w:val="o"/>
      <w:lvlJc w:val="left"/>
      <w:pPr>
        <w:ind w:left="1494" w:hanging="360"/>
      </w:pPr>
      <w:rPr>
        <w:rFonts w:ascii="Courier New" w:hAnsi="Courier New" w:cs="Courier New"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
    <w:nsid w:val="10EE34FF"/>
    <w:multiLevelType w:val="hybridMultilevel"/>
    <w:tmpl w:val="E5020394"/>
    <w:lvl w:ilvl="0" w:tplc="1C090003">
      <w:start w:val="1"/>
      <w:numFmt w:val="bullet"/>
      <w:lvlText w:val="o"/>
      <w:lvlJc w:val="left"/>
      <w:pPr>
        <w:ind w:left="720" w:hanging="360"/>
      </w:pPr>
      <w:rPr>
        <w:rFonts w:ascii="Courier New" w:hAnsi="Courier New" w:cs="Courier New" w:hint="default"/>
      </w:rPr>
    </w:lvl>
    <w:lvl w:ilvl="1" w:tplc="9D345726">
      <w:numFmt w:val="bullet"/>
      <w:lvlText w:val="-"/>
      <w:lvlJc w:val="left"/>
      <w:pPr>
        <w:ind w:left="1440" w:hanging="360"/>
      </w:pPr>
      <w:rPr>
        <w:rFonts w:ascii="Calibri" w:eastAsiaTheme="minorHAnsi"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99564C"/>
    <w:multiLevelType w:val="hybridMultilevel"/>
    <w:tmpl w:val="95349654"/>
    <w:lvl w:ilvl="0" w:tplc="61FEB0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F92CDA"/>
    <w:multiLevelType w:val="hybridMultilevel"/>
    <w:tmpl w:val="B0183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EE04F2"/>
    <w:multiLevelType w:val="hybridMultilevel"/>
    <w:tmpl w:val="A66AD30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820B62"/>
    <w:multiLevelType w:val="hybridMultilevel"/>
    <w:tmpl w:val="8B326A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BF6C77"/>
    <w:multiLevelType w:val="hybridMultilevel"/>
    <w:tmpl w:val="B6EC3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AD0C0B"/>
    <w:multiLevelType w:val="hybridMultilevel"/>
    <w:tmpl w:val="B54A69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925A8"/>
    <w:multiLevelType w:val="hybridMultilevel"/>
    <w:tmpl w:val="0400E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572733"/>
    <w:multiLevelType w:val="hybridMultilevel"/>
    <w:tmpl w:val="7F1E2BDA"/>
    <w:lvl w:ilvl="0" w:tplc="843EDB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9473F9"/>
    <w:multiLevelType w:val="hybridMultilevel"/>
    <w:tmpl w:val="C00AB112"/>
    <w:lvl w:ilvl="0" w:tplc="8D848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0D4E9D"/>
    <w:multiLevelType w:val="hybridMultilevel"/>
    <w:tmpl w:val="3AAC4C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E306C5D"/>
    <w:multiLevelType w:val="hybridMultilevel"/>
    <w:tmpl w:val="DA26854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250455A"/>
    <w:multiLevelType w:val="hybridMultilevel"/>
    <w:tmpl w:val="B75E2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DE33AB7"/>
    <w:multiLevelType w:val="hybridMultilevel"/>
    <w:tmpl w:val="7BB8B10E"/>
    <w:lvl w:ilvl="0" w:tplc="3D9C13A2">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7">
    <w:nsid w:val="4E1B371F"/>
    <w:multiLevelType w:val="multilevel"/>
    <w:tmpl w:val="CD608A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E223B98"/>
    <w:multiLevelType w:val="hybridMultilevel"/>
    <w:tmpl w:val="F6721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0DB2339"/>
    <w:multiLevelType w:val="hybridMultilevel"/>
    <w:tmpl w:val="E55EF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1D64B03"/>
    <w:multiLevelType w:val="hybridMultilevel"/>
    <w:tmpl w:val="E05E02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E75E5A"/>
    <w:multiLevelType w:val="hybridMultilevel"/>
    <w:tmpl w:val="A42CCC4C"/>
    <w:lvl w:ilvl="0" w:tplc="0C82320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B07424"/>
    <w:multiLevelType w:val="hybridMultilevel"/>
    <w:tmpl w:val="6D20D378"/>
    <w:lvl w:ilvl="0" w:tplc="245C67D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82F50"/>
    <w:multiLevelType w:val="hybridMultilevel"/>
    <w:tmpl w:val="9DC4DA8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74A6C12"/>
    <w:multiLevelType w:val="hybridMultilevel"/>
    <w:tmpl w:val="934C3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8CF4C43"/>
    <w:multiLevelType w:val="hybridMultilevel"/>
    <w:tmpl w:val="B6BC0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696C62"/>
    <w:multiLevelType w:val="hybridMultilevel"/>
    <w:tmpl w:val="7FF09520"/>
    <w:lvl w:ilvl="0" w:tplc="DCCE74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AD26E2B"/>
    <w:multiLevelType w:val="hybridMultilevel"/>
    <w:tmpl w:val="D160D9D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8">
    <w:nsid w:val="5DBA7EB4"/>
    <w:multiLevelType w:val="hybridMultilevel"/>
    <w:tmpl w:val="16D8C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E5E096B"/>
    <w:multiLevelType w:val="hybridMultilevel"/>
    <w:tmpl w:val="98B04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4C07AD"/>
    <w:multiLevelType w:val="hybridMultilevel"/>
    <w:tmpl w:val="46881BFC"/>
    <w:lvl w:ilvl="0" w:tplc="3D9C13A2">
      <w:start w:val="1"/>
      <w:numFmt w:val="lowerLetter"/>
      <w:lvlText w:val="(%1)"/>
      <w:lvlJc w:val="left"/>
      <w:pPr>
        <w:ind w:left="2205" w:hanging="360"/>
      </w:pPr>
      <w:rPr>
        <w:rFonts w:hint="default"/>
        <w:b w:val="0"/>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31">
    <w:nsid w:val="681B0E13"/>
    <w:multiLevelType w:val="hybridMultilevel"/>
    <w:tmpl w:val="E4AAEC74"/>
    <w:lvl w:ilvl="0" w:tplc="7DBE6270">
      <w:start w:val="1"/>
      <w:numFmt w:val="lowerRoman"/>
      <w:lvlText w:val="(%1)"/>
      <w:lvlJc w:val="left"/>
      <w:pPr>
        <w:ind w:left="1080" w:hanging="720"/>
      </w:pPr>
      <w:rPr>
        <w:rFonts w:cs="Arial" w:hint="default"/>
        <w:color w:val="000000" w:themeColor="text1"/>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951F7C"/>
    <w:multiLevelType w:val="hybridMultilevel"/>
    <w:tmpl w:val="3FFE63C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2465B1"/>
    <w:multiLevelType w:val="hybridMultilevel"/>
    <w:tmpl w:val="1E420FB2"/>
    <w:lvl w:ilvl="0" w:tplc="012442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7355C6"/>
    <w:multiLevelType w:val="hybridMultilevel"/>
    <w:tmpl w:val="C374D07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261B15"/>
    <w:multiLevelType w:val="hybridMultilevel"/>
    <w:tmpl w:val="EEE69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2"/>
  </w:num>
  <w:num w:numId="4">
    <w:abstractNumId w:val="29"/>
  </w:num>
  <w:num w:numId="5">
    <w:abstractNumId w:val="25"/>
  </w:num>
  <w:num w:numId="6">
    <w:abstractNumId w:val="10"/>
  </w:num>
  <w:num w:numId="7">
    <w:abstractNumId w:val="7"/>
  </w:num>
  <w:num w:numId="8">
    <w:abstractNumId w:val="5"/>
  </w:num>
  <w:num w:numId="9">
    <w:abstractNumId w:val="8"/>
  </w:num>
  <w:num w:numId="10">
    <w:abstractNumId w:val="16"/>
  </w:num>
  <w:num w:numId="11">
    <w:abstractNumId w:val="21"/>
  </w:num>
  <w:num w:numId="12">
    <w:abstractNumId w:val="28"/>
  </w:num>
  <w:num w:numId="13">
    <w:abstractNumId w:val="3"/>
  </w:num>
  <w:num w:numId="14">
    <w:abstractNumId w:val="19"/>
  </w:num>
  <w:num w:numId="15">
    <w:abstractNumId w:val="33"/>
  </w:num>
  <w:num w:numId="16">
    <w:abstractNumId w:val="24"/>
  </w:num>
  <w:num w:numId="17">
    <w:abstractNumId w:val="20"/>
  </w:num>
  <w:num w:numId="18">
    <w:abstractNumId w:val="6"/>
  </w:num>
  <w:num w:numId="19">
    <w:abstractNumId w:val="12"/>
  </w:num>
  <w:num w:numId="20">
    <w:abstractNumId w:val="11"/>
  </w:num>
  <w:num w:numId="21">
    <w:abstractNumId w:val="23"/>
  </w:num>
  <w:num w:numId="22">
    <w:abstractNumId w:val="13"/>
  </w:num>
  <w:num w:numId="23">
    <w:abstractNumId w:val="1"/>
  </w:num>
  <w:num w:numId="24">
    <w:abstractNumId w:val="34"/>
  </w:num>
  <w:num w:numId="25">
    <w:abstractNumId w:val="30"/>
  </w:num>
  <w:num w:numId="26">
    <w:abstractNumId w:val="0"/>
  </w:num>
  <w:num w:numId="27">
    <w:abstractNumId w:val="9"/>
  </w:num>
  <w:num w:numId="28">
    <w:abstractNumId w:val="31"/>
  </w:num>
  <w:num w:numId="29">
    <w:abstractNumId w:val="17"/>
  </w:num>
  <w:num w:numId="30">
    <w:abstractNumId w:val="18"/>
  </w:num>
  <w:num w:numId="31">
    <w:abstractNumId w:val="27"/>
  </w:num>
  <w:num w:numId="32">
    <w:abstractNumId w:val="2"/>
  </w:num>
  <w:num w:numId="33">
    <w:abstractNumId w:val="35"/>
  </w:num>
  <w:num w:numId="34">
    <w:abstractNumId w:val="4"/>
  </w:num>
  <w:num w:numId="35">
    <w:abstractNumId w:val="26"/>
  </w:num>
  <w:num w:numId="36">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57D3B"/>
    <w:rsid w:val="00000950"/>
    <w:rsid w:val="00022C78"/>
    <w:rsid w:val="0002756F"/>
    <w:rsid w:val="00030259"/>
    <w:rsid w:val="0003551D"/>
    <w:rsid w:val="0004792C"/>
    <w:rsid w:val="00050C49"/>
    <w:rsid w:val="00055C7A"/>
    <w:rsid w:val="00062EB2"/>
    <w:rsid w:val="000631BE"/>
    <w:rsid w:val="0006507A"/>
    <w:rsid w:val="00084145"/>
    <w:rsid w:val="0009462E"/>
    <w:rsid w:val="000B3BFB"/>
    <w:rsid w:val="000C4047"/>
    <w:rsid w:val="000D5B07"/>
    <w:rsid w:val="001010C8"/>
    <w:rsid w:val="00104A10"/>
    <w:rsid w:val="0010558D"/>
    <w:rsid w:val="0011614B"/>
    <w:rsid w:val="0011731C"/>
    <w:rsid w:val="00122925"/>
    <w:rsid w:val="00141F73"/>
    <w:rsid w:val="001422CA"/>
    <w:rsid w:val="00165D67"/>
    <w:rsid w:val="00183F9E"/>
    <w:rsid w:val="0019425E"/>
    <w:rsid w:val="001A54DD"/>
    <w:rsid w:val="001A56BF"/>
    <w:rsid w:val="001A581C"/>
    <w:rsid w:val="001B20B7"/>
    <w:rsid w:val="001B3A53"/>
    <w:rsid w:val="001D4BE5"/>
    <w:rsid w:val="001D61AD"/>
    <w:rsid w:val="001E2EEC"/>
    <w:rsid w:val="001F3FC0"/>
    <w:rsid w:val="001F7909"/>
    <w:rsid w:val="0022333C"/>
    <w:rsid w:val="0022336D"/>
    <w:rsid w:val="0023052E"/>
    <w:rsid w:val="0023408D"/>
    <w:rsid w:val="00234276"/>
    <w:rsid w:val="002814FE"/>
    <w:rsid w:val="00283C95"/>
    <w:rsid w:val="00286DB9"/>
    <w:rsid w:val="002930CC"/>
    <w:rsid w:val="002A00BE"/>
    <w:rsid w:val="002B12B3"/>
    <w:rsid w:val="002C03A0"/>
    <w:rsid w:val="002C3007"/>
    <w:rsid w:val="002E48F9"/>
    <w:rsid w:val="002F69A3"/>
    <w:rsid w:val="002F6CD7"/>
    <w:rsid w:val="003103DB"/>
    <w:rsid w:val="00330A0B"/>
    <w:rsid w:val="00344E27"/>
    <w:rsid w:val="00354730"/>
    <w:rsid w:val="00361C9D"/>
    <w:rsid w:val="00362701"/>
    <w:rsid w:val="00373DEA"/>
    <w:rsid w:val="003749C7"/>
    <w:rsid w:val="003D1C15"/>
    <w:rsid w:val="003D71B1"/>
    <w:rsid w:val="003E3B1B"/>
    <w:rsid w:val="003E63C3"/>
    <w:rsid w:val="0040678A"/>
    <w:rsid w:val="004374BE"/>
    <w:rsid w:val="004460A2"/>
    <w:rsid w:val="00451EDD"/>
    <w:rsid w:val="00457D3B"/>
    <w:rsid w:val="004658B5"/>
    <w:rsid w:val="00465D84"/>
    <w:rsid w:val="004672F1"/>
    <w:rsid w:val="004732C5"/>
    <w:rsid w:val="004C50E6"/>
    <w:rsid w:val="004D04D4"/>
    <w:rsid w:val="004D2CAB"/>
    <w:rsid w:val="004E1FD1"/>
    <w:rsid w:val="004F1A85"/>
    <w:rsid w:val="00521DD6"/>
    <w:rsid w:val="00546558"/>
    <w:rsid w:val="005563A5"/>
    <w:rsid w:val="00565974"/>
    <w:rsid w:val="005A2A7D"/>
    <w:rsid w:val="005B4DC5"/>
    <w:rsid w:val="005C0060"/>
    <w:rsid w:val="005C63BF"/>
    <w:rsid w:val="005E172C"/>
    <w:rsid w:val="00611A9B"/>
    <w:rsid w:val="006165A8"/>
    <w:rsid w:val="00632325"/>
    <w:rsid w:val="0063700B"/>
    <w:rsid w:val="0066181E"/>
    <w:rsid w:val="00662286"/>
    <w:rsid w:val="0067145F"/>
    <w:rsid w:val="00674917"/>
    <w:rsid w:val="00684190"/>
    <w:rsid w:val="006B6748"/>
    <w:rsid w:val="006D6C26"/>
    <w:rsid w:val="006F243D"/>
    <w:rsid w:val="00703C1C"/>
    <w:rsid w:val="00704A07"/>
    <w:rsid w:val="00733E70"/>
    <w:rsid w:val="00734A1A"/>
    <w:rsid w:val="00740CD1"/>
    <w:rsid w:val="0074726E"/>
    <w:rsid w:val="0077014F"/>
    <w:rsid w:val="00780312"/>
    <w:rsid w:val="007808E4"/>
    <w:rsid w:val="00780D74"/>
    <w:rsid w:val="007844F3"/>
    <w:rsid w:val="00790DBE"/>
    <w:rsid w:val="007A3892"/>
    <w:rsid w:val="007A7F75"/>
    <w:rsid w:val="007B1D1C"/>
    <w:rsid w:val="007B486D"/>
    <w:rsid w:val="007B6CA1"/>
    <w:rsid w:val="007C0245"/>
    <w:rsid w:val="007D2B54"/>
    <w:rsid w:val="00800480"/>
    <w:rsid w:val="00821A7E"/>
    <w:rsid w:val="008361E1"/>
    <w:rsid w:val="00836932"/>
    <w:rsid w:val="008470BB"/>
    <w:rsid w:val="00851213"/>
    <w:rsid w:val="008568EE"/>
    <w:rsid w:val="00862415"/>
    <w:rsid w:val="00863301"/>
    <w:rsid w:val="00864992"/>
    <w:rsid w:val="00873138"/>
    <w:rsid w:val="00881D85"/>
    <w:rsid w:val="00891606"/>
    <w:rsid w:val="0089586A"/>
    <w:rsid w:val="008A20BC"/>
    <w:rsid w:val="008A73EF"/>
    <w:rsid w:val="008B49DC"/>
    <w:rsid w:val="008C2053"/>
    <w:rsid w:val="008F0144"/>
    <w:rsid w:val="008F353F"/>
    <w:rsid w:val="008F4F9A"/>
    <w:rsid w:val="009014E4"/>
    <w:rsid w:val="009014F6"/>
    <w:rsid w:val="009048C1"/>
    <w:rsid w:val="00907444"/>
    <w:rsid w:val="00910E4B"/>
    <w:rsid w:val="009260F8"/>
    <w:rsid w:val="009366FA"/>
    <w:rsid w:val="00960673"/>
    <w:rsid w:val="009711BE"/>
    <w:rsid w:val="0097408D"/>
    <w:rsid w:val="00986649"/>
    <w:rsid w:val="009A0C66"/>
    <w:rsid w:val="009B32A0"/>
    <w:rsid w:val="009C7AF8"/>
    <w:rsid w:val="009D0D3C"/>
    <w:rsid w:val="009D22F6"/>
    <w:rsid w:val="00A02B4F"/>
    <w:rsid w:val="00A06166"/>
    <w:rsid w:val="00A265DC"/>
    <w:rsid w:val="00A30D63"/>
    <w:rsid w:val="00A46F4D"/>
    <w:rsid w:val="00A5237D"/>
    <w:rsid w:val="00A55472"/>
    <w:rsid w:val="00A6676D"/>
    <w:rsid w:val="00A74C3A"/>
    <w:rsid w:val="00A86F88"/>
    <w:rsid w:val="00A953EA"/>
    <w:rsid w:val="00AA27BE"/>
    <w:rsid w:val="00AC6CC4"/>
    <w:rsid w:val="00AD3575"/>
    <w:rsid w:val="00AE1DB2"/>
    <w:rsid w:val="00AF2978"/>
    <w:rsid w:val="00B07A4A"/>
    <w:rsid w:val="00B13330"/>
    <w:rsid w:val="00B13817"/>
    <w:rsid w:val="00B1469A"/>
    <w:rsid w:val="00B36834"/>
    <w:rsid w:val="00B43B2C"/>
    <w:rsid w:val="00B66171"/>
    <w:rsid w:val="00B71AB8"/>
    <w:rsid w:val="00B802D5"/>
    <w:rsid w:val="00BB547A"/>
    <w:rsid w:val="00BD2DFA"/>
    <w:rsid w:val="00BF01BA"/>
    <w:rsid w:val="00BF3585"/>
    <w:rsid w:val="00C10410"/>
    <w:rsid w:val="00C11622"/>
    <w:rsid w:val="00C16FE8"/>
    <w:rsid w:val="00C202C9"/>
    <w:rsid w:val="00C22349"/>
    <w:rsid w:val="00C24679"/>
    <w:rsid w:val="00C41485"/>
    <w:rsid w:val="00C569DE"/>
    <w:rsid w:val="00C734F0"/>
    <w:rsid w:val="00C76CFC"/>
    <w:rsid w:val="00C77F6F"/>
    <w:rsid w:val="00C96CE4"/>
    <w:rsid w:val="00CA362D"/>
    <w:rsid w:val="00CA7A3D"/>
    <w:rsid w:val="00CC0010"/>
    <w:rsid w:val="00CC2F73"/>
    <w:rsid w:val="00CD5806"/>
    <w:rsid w:val="00CE0AED"/>
    <w:rsid w:val="00D00972"/>
    <w:rsid w:val="00D40B8D"/>
    <w:rsid w:val="00D43A3B"/>
    <w:rsid w:val="00D51ED5"/>
    <w:rsid w:val="00D6151D"/>
    <w:rsid w:val="00D6723B"/>
    <w:rsid w:val="00D674BF"/>
    <w:rsid w:val="00D71556"/>
    <w:rsid w:val="00DA563D"/>
    <w:rsid w:val="00DB70BF"/>
    <w:rsid w:val="00DC1434"/>
    <w:rsid w:val="00DD7237"/>
    <w:rsid w:val="00DF5871"/>
    <w:rsid w:val="00E1279E"/>
    <w:rsid w:val="00E153CF"/>
    <w:rsid w:val="00E40D6F"/>
    <w:rsid w:val="00E53822"/>
    <w:rsid w:val="00E54DDE"/>
    <w:rsid w:val="00E5668A"/>
    <w:rsid w:val="00E65C39"/>
    <w:rsid w:val="00E73E70"/>
    <w:rsid w:val="00E76AF3"/>
    <w:rsid w:val="00E76B0C"/>
    <w:rsid w:val="00E84BAA"/>
    <w:rsid w:val="00E87097"/>
    <w:rsid w:val="00EA3653"/>
    <w:rsid w:val="00EB04FE"/>
    <w:rsid w:val="00EB4886"/>
    <w:rsid w:val="00EB75EA"/>
    <w:rsid w:val="00EF248C"/>
    <w:rsid w:val="00EF5D20"/>
    <w:rsid w:val="00F02E66"/>
    <w:rsid w:val="00F07429"/>
    <w:rsid w:val="00F14F87"/>
    <w:rsid w:val="00F33D63"/>
    <w:rsid w:val="00F3507B"/>
    <w:rsid w:val="00F369CC"/>
    <w:rsid w:val="00F4618B"/>
    <w:rsid w:val="00F50B19"/>
    <w:rsid w:val="00F52823"/>
    <w:rsid w:val="00F60877"/>
    <w:rsid w:val="00F71D7F"/>
    <w:rsid w:val="00F91A2D"/>
    <w:rsid w:val="00FA105E"/>
    <w:rsid w:val="00FB2E58"/>
    <w:rsid w:val="00FC058E"/>
    <w:rsid w:val="00FC3D9C"/>
    <w:rsid w:val="00FD13BE"/>
    <w:rsid w:val="00FF15D1"/>
    <w:rsid w:val="00FF59DB"/>
    <w:rsid w:val="00FF64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4145"/>
    <w:pPr>
      <w:spacing w:after="0" w:line="280" w:lineRule="exact"/>
      <w:ind w:left="720"/>
      <w:contextualSpacing/>
    </w:pPr>
    <w:rPr>
      <w:rFonts w:ascii="Arial" w:eastAsia="Times New Roman" w:hAnsi="Arial" w:cs="Times New Roman"/>
      <w:color w:val="000000"/>
      <w:spacing w:val="6"/>
      <w:sz w:val="18"/>
      <w:szCs w:val="18"/>
      <w:lang w:val="en-GB" w:eastAsia="en-GB"/>
    </w:rPr>
  </w:style>
  <w:style w:type="paragraph" w:styleId="FootnoteText">
    <w:name w:val="footnote text"/>
    <w:aliases w:val="Footnote Text Char1,Footnote Text Char Char,fn Char,ft"/>
    <w:basedOn w:val="Normal"/>
    <w:link w:val="FootnoteTextChar"/>
    <w:unhideWhenUsed/>
    <w:rsid w:val="00084145"/>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rsid w:val="00084145"/>
    <w:rPr>
      <w:rFonts w:ascii="Arial" w:eastAsia="Times New Roman" w:hAnsi="Arial" w:cs="Times New Roman"/>
      <w:color w:val="000000"/>
      <w:spacing w:val="6"/>
      <w:sz w:val="20"/>
      <w:szCs w:val="20"/>
      <w:lang w:val="en-GB" w:eastAsia="en-GB"/>
    </w:rPr>
  </w:style>
  <w:style w:type="character" w:styleId="FootnoteReference">
    <w:name w:val="footnote reference"/>
    <w:aliases w:val="ftref"/>
    <w:basedOn w:val="DefaultParagraphFont"/>
    <w:unhideWhenUsed/>
    <w:rsid w:val="00084145"/>
    <w:rPr>
      <w:vertAlign w:val="superscript"/>
    </w:rPr>
  </w:style>
  <w:style w:type="character" w:customStyle="1" w:styleId="ListParagraphChar">
    <w:name w:val="List Paragraph Char"/>
    <w:basedOn w:val="DefaultParagraphFont"/>
    <w:link w:val="ListParagraph"/>
    <w:uiPriority w:val="34"/>
    <w:locked/>
    <w:rsid w:val="00084145"/>
    <w:rPr>
      <w:rFonts w:ascii="Arial" w:eastAsia="Times New Roman" w:hAnsi="Arial" w:cs="Times New Roman"/>
      <w:color w:val="000000"/>
      <w:spacing w:val="6"/>
      <w:sz w:val="18"/>
      <w:szCs w:val="18"/>
      <w:lang w:val="en-GB" w:eastAsia="en-GB"/>
    </w:rPr>
  </w:style>
  <w:style w:type="paragraph" w:styleId="NormalWeb">
    <w:name w:val="Normal (Web)"/>
    <w:basedOn w:val="Normal"/>
    <w:uiPriority w:val="99"/>
    <w:unhideWhenUsed/>
    <w:rsid w:val="00C104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C10410"/>
  </w:style>
  <w:style w:type="character" w:styleId="Hyperlink">
    <w:name w:val="Hyperlink"/>
    <w:basedOn w:val="DefaultParagraphFont"/>
    <w:uiPriority w:val="99"/>
    <w:unhideWhenUsed/>
    <w:rsid w:val="00C10410"/>
    <w:rPr>
      <w:color w:val="0000FF"/>
      <w:u w:val="single"/>
    </w:rPr>
  </w:style>
  <w:style w:type="paragraph" w:styleId="Header">
    <w:name w:val="header"/>
    <w:basedOn w:val="Normal"/>
    <w:link w:val="HeaderChar"/>
    <w:uiPriority w:val="99"/>
    <w:unhideWhenUsed/>
    <w:rsid w:val="00780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8E4"/>
  </w:style>
  <w:style w:type="paragraph" w:styleId="Footer">
    <w:name w:val="footer"/>
    <w:basedOn w:val="Normal"/>
    <w:link w:val="FooterChar"/>
    <w:uiPriority w:val="99"/>
    <w:unhideWhenUsed/>
    <w:rsid w:val="00780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8E4"/>
  </w:style>
  <w:style w:type="table" w:styleId="TableGrid">
    <w:name w:val="Table Grid"/>
    <w:basedOn w:val="TableNormal"/>
    <w:uiPriority w:val="39"/>
    <w:rsid w:val="00C22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85"/>
    <w:rPr>
      <w:rFonts w:ascii="Segoe UI" w:hAnsi="Segoe UI" w:cs="Segoe UI"/>
      <w:sz w:val="18"/>
      <w:szCs w:val="18"/>
    </w:rPr>
  </w:style>
  <w:style w:type="paragraph" w:customStyle="1" w:styleId="Default">
    <w:name w:val="Default"/>
    <w:rsid w:val="0077014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86F88"/>
    <w:rPr>
      <w:i/>
      <w:iCs/>
    </w:rPr>
  </w:style>
  <w:style w:type="table" w:customStyle="1" w:styleId="TableGrid1">
    <w:name w:val="Table Grid1"/>
    <w:basedOn w:val="TableNormal"/>
    <w:next w:val="TableGrid"/>
    <w:uiPriority w:val="39"/>
    <w:rsid w:val="00BD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241033">
      <w:bodyDiv w:val="1"/>
      <w:marLeft w:val="0"/>
      <w:marRight w:val="0"/>
      <w:marTop w:val="0"/>
      <w:marBottom w:val="0"/>
      <w:divBdr>
        <w:top w:val="none" w:sz="0" w:space="0" w:color="auto"/>
        <w:left w:val="none" w:sz="0" w:space="0" w:color="auto"/>
        <w:bottom w:val="none" w:sz="0" w:space="0" w:color="auto"/>
        <w:right w:val="none" w:sz="0" w:space="0" w:color="auto"/>
      </w:divBdr>
    </w:div>
    <w:div w:id="735278369">
      <w:bodyDiv w:val="1"/>
      <w:marLeft w:val="0"/>
      <w:marRight w:val="0"/>
      <w:marTop w:val="0"/>
      <w:marBottom w:val="0"/>
      <w:divBdr>
        <w:top w:val="none" w:sz="0" w:space="0" w:color="auto"/>
        <w:left w:val="none" w:sz="0" w:space="0" w:color="auto"/>
        <w:bottom w:val="none" w:sz="0" w:space="0" w:color="auto"/>
        <w:right w:val="none" w:sz="0" w:space="0" w:color="auto"/>
      </w:divBdr>
      <w:divsChild>
        <w:div w:id="1802502605">
          <w:marLeft w:val="547"/>
          <w:marRight w:val="0"/>
          <w:marTop w:val="86"/>
          <w:marBottom w:val="0"/>
          <w:divBdr>
            <w:top w:val="none" w:sz="0" w:space="0" w:color="auto"/>
            <w:left w:val="none" w:sz="0" w:space="0" w:color="auto"/>
            <w:bottom w:val="none" w:sz="0" w:space="0" w:color="auto"/>
            <w:right w:val="none" w:sz="0" w:space="0" w:color="auto"/>
          </w:divBdr>
        </w:div>
        <w:div w:id="1282805306">
          <w:marLeft w:val="547"/>
          <w:marRight w:val="0"/>
          <w:marTop w:val="86"/>
          <w:marBottom w:val="0"/>
          <w:divBdr>
            <w:top w:val="none" w:sz="0" w:space="0" w:color="auto"/>
            <w:left w:val="none" w:sz="0" w:space="0" w:color="auto"/>
            <w:bottom w:val="none" w:sz="0" w:space="0" w:color="auto"/>
            <w:right w:val="none" w:sz="0" w:space="0" w:color="auto"/>
          </w:divBdr>
        </w:div>
        <w:div w:id="1983537812">
          <w:marLeft w:val="547"/>
          <w:marRight w:val="0"/>
          <w:marTop w:val="86"/>
          <w:marBottom w:val="0"/>
          <w:divBdr>
            <w:top w:val="none" w:sz="0" w:space="0" w:color="auto"/>
            <w:left w:val="none" w:sz="0" w:space="0" w:color="auto"/>
            <w:bottom w:val="none" w:sz="0" w:space="0" w:color="auto"/>
            <w:right w:val="none" w:sz="0" w:space="0" w:color="auto"/>
          </w:divBdr>
        </w:div>
        <w:div w:id="1993218042">
          <w:marLeft w:val="547"/>
          <w:marRight w:val="0"/>
          <w:marTop w:val="86"/>
          <w:marBottom w:val="0"/>
          <w:divBdr>
            <w:top w:val="none" w:sz="0" w:space="0" w:color="auto"/>
            <w:left w:val="none" w:sz="0" w:space="0" w:color="auto"/>
            <w:bottom w:val="none" w:sz="0" w:space="0" w:color="auto"/>
            <w:right w:val="none" w:sz="0" w:space="0" w:color="auto"/>
          </w:divBdr>
        </w:div>
        <w:div w:id="433983550">
          <w:marLeft w:val="547"/>
          <w:marRight w:val="0"/>
          <w:marTop w:val="86"/>
          <w:marBottom w:val="0"/>
          <w:divBdr>
            <w:top w:val="none" w:sz="0" w:space="0" w:color="auto"/>
            <w:left w:val="none" w:sz="0" w:space="0" w:color="auto"/>
            <w:bottom w:val="none" w:sz="0" w:space="0" w:color="auto"/>
            <w:right w:val="none" w:sz="0" w:space="0" w:color="auto"/>
          </w:divBdr>
        </w:div>
        <w:div w:id="1285500285">
          <w:marLeft w:val="547"/>
          <w:marRight w:val="0"/>
          <w:marTop w:val="86"/>
          <w:marBottom w:val="0"/>
          <w:divBdr>
            <w:top w:val="none" w:sz="0" w:space="0" w:color="auto"/>
            <w:left w:val="none" w:sz="0" w:space="0" w:color="auto"/>
            <w:bottom w:val="none" w:sz="0" w:space="0" w:color="auto"/>
            <w:right w:val="none" w:sz="0" w:space="0" w:color="auto"/>
          </w:divBdr>
        </w:div>
      </w:divsChild>
    </w:div>
    <w:div w:id="914821839">
      <w:bodyDiv w:val="1"/>
      <w:marLeft w:val="0"/>
      <w:marRight w:val="0"/>
      <w:marTop w:val="0"/>
      <w:marBottom w:val="0"/>
      <w:divBdr>
        <w:top w:val="none" w:sz="0" w:space="0" w:color="auto"/>
        <w:left w:val="none" w:sz="0" w:space="0" w:color="auto"/>
        <w:bottom w:val="none" w:sz="0" w:space="0" w:color="auto"/>
        <w:right w:val="none" w:sz="0" w:space="0" w:color="auto"/>
      </w:divBdr>
    </w:div>
    <w:div w:id="1002052503">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sChild>
        <w:div w:id="1569918512">
          <w:marLeft w:val="547"/>
          <w:marRight w:val="0"/>
          <w:marTop w:val="96"/>
          <w:marBottom w:val="240"/>
          <w:divBdr>
            <w:top w:val="none" w:sz="0" w:space="0" w:color="auto"/>
            <w:left w:val="none" w:sz="0" w:space="0" w:color="auto"/>
            <w:bottom w:val="none" w:sz="0" w:space="0" w:color="auto"/>
            <w:right w:val="none" w:sz="0" w:space="0" w:color="auto"/>
          </w:divBdr>
        </w:div>
        <w:div w:id="609363528">
          <w:marLeft w:val="547"/>
          <w:marRight w:val="0"/>
          <w:marTop w:val="96"/>
          <w:marBottom w:val="240"/>
          <w:divBdr>
            <w:top w:val="none" w:sz="0" w:space="0" w:color="auto"/>
            <w:left w:val="none" w:sz="0" w:space="0" w:color="auto"/>
            <w:bottom w:val="none" w:sz="0" w:space="0" w:color="auto"/>
            <w:right w:val="none" w:sz="0" w:space="0" w:color="auto"/>
          </w:divBdr>
        </w:div>
        <w:div w:id="560822636">
          <w:marLeft w:val="547"/>
          <w:marRight w:val="0"/>
          <w:marTop w:val="96"/>
          <w:marBottom w:val="240"/>
          <w:divBdr>
            <w:top w:val="none" w:sz="0" w:space="0" w:color="auto"/>
            <w:left w:val="none" w:sz="0" w:space="0" w:color="auto"/>
            <w:bottom w:val="none" w:sz="0" w:space="0" w:color="auto"/>
            <w:right w:val="none" w:sz="0" w:space="0" w:color="auto"/>
          </w:divBdr>
        </w:div>
      </w:divsChild>
    </w:div>
    <w:div w:id="1670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FC42-8BFA-4F53-8BE2-1C66A6A5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Gulian Nesbitt</dc:creator>
  <cp:lastModifiedBy>PUMZA</cp:lastModifiedBy>
  <cp:revision>2</cp:revision>
  <cp:lastPrinted>2016-01-26T07:25:00Z</cp:lastPrinted>
  <dcterms:created xsi:type="dcterms:W3CDTF">2016-02-18T09:35:00Z</dcterms:created>
  <dcterms:modified xsi:type="dcterms:W3CDTF">2016-02-18T09:35:00Z</dcterms:modified>
</cp:coreProperties>
</file>