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5809" w:type="pct"/>
        <w:tblCellMar>
          <w:left w:w="0" w:type="dxa"/>
          <w:right w:w="0" w:type="dxa"/>
        </w:tblCellMar>
        <w:tblLook w:val="01E0"/>
      </w:tblPr>
      <w:tblGrid>
        <w:gridCol w:w="5439"/>
        <w:gridCol w:w="478"/>
        <w:gridCol w:w="5282"/>
      </w:tblGrid>
      <w:tr w:rsidR="0064547D" w:rsidTr="004A269C">
        <w:tc>
          <w:tcPr>
            <w:tcW w:w="5442" w:type="dxa"/>
          </w:tcPr>
          <w:p w:rsidR="0064547D" w:rsidRPr="004A269C" w:rsidRDefault="00CB3474" w:rsidP="00631B7F">
            <w:pPr>
              <w:pStyle w:val="BA10"/>
              <w:widowControl w:val="0"/>
              <w:spacing w:after="240"/>
              <w:rPr>
                <w:b/>
                <w:sz w:val="96"/>
                <w:szCs w:val="96"/>
              </w:rPr>
            </w:pPr>
            <w:r>
              <w:t>8</w:t>
            </w:r>
            <w:r w:rsidR="00E47453">
              <w:t xml:space="preserve"> </w:t>
            </w:r>
            <w:r>
              <w:t>January 2016</w:t>
            </w:r>
            <w:r w:rsidR="00C91287" w:rsidRPr="004A269C">
              <w:rPr>
                <w:b/>
                <w:sz w:val="96"/>
                <w:szCs w:val="96"/>
              </w:rPr>
              <w:t xml:space="preserve"> </w:t>
            </w:r>
          </w:p>
        </w:tc>
        <w:tc>
          <w:tcPr>
            <w:tcW w:w="470" w:type="dxa"/>
          </w:tcPr>
          <w:p w:rsidR="0064547D" w:rsidRDefault="0064547D" w:rsidP="00D014D5">
            <w:pPr>
              <w:pStyle w:val="BA10"/>
              <w:widowControl w:val="0"/>
            </w:pPr>
          </w:p>
        </w:tc>
        <w:tc>
          <w:tcPr>
            <w:tcW w:w="5287" w:type="dxa"/>
          </w:tcPr>
          <w:p w:rsidR="0064547D" w:rsidRDefault="0064547D" w:rsidP="00D014D5">
            <w:pPr>
              <w:pStyle w:val="BA10"/>
              <w:widowControl w:val="0"/>
            </w:pPr>
          </w:p>
        </w:tc>
      </w:tr>
      <w:tr w:rsidR="0064547D" w:rsidTr="004A269C">
        <w:tc>
          <w:tcPr>
            <w:tcW w:w="5442" w:type="dxa"/>
          </w:tcPr>
          <w:p w:rsidR="00631B7F" w:rsidRPr="00631B7F" w:rsidRDefault="00631B7F" w:rsidP="00D014D5">
            <w:pPr>
              <w:pStyle w:val="BA10"/>
              <w:widowControl w:val="0"/>
              <w:rPr>
                <w:b/>
              </w:rPr>
            </w:pPr>
          </w:p>
        </w:tc>
        <w:tc>
          <w:tcPr>
            <w:tcW w:w="470" w:type="dxa"/>
          </w:tcPr>
          <w:p w:rsidR="0064547D" w:rsidRDefault="0064547D" w:rsidP="00D014D5">
            <w:pPr>
              <w:pStyle w:val="BA10"/>
              <w:widowControl w:val="0"/>
              <w:jc w:val="left"/>
            </w:pPr>
          </w:p>
        </w:tc>
        <w:tc>
          <w:tcPr>
            <w:tcW w:w="5287" w:type="dxa"/>
          </w:tcPr>
          <w:p w:rsidR="0064547D" w:rsidRDefault="0064547D" w:rsidP="00D014D5">
            <w:pPr>
              <w:pStyle w:val="BA10"/>
              <w:widowControl w:val="0"/>
            </w:pPr>
          </w:p>
        </w:tc>
      </w:tr>
      <w:tr w:rsidR="0064547D" w:rsidTr="004A269C">
        <w:trPr>
          <w:trHeight w:val="402"/>
        </w:trPr>
        <w:tc>
          <w:tcPr>
            <w:tcW w:w="5442" w:type="dxa"/>
            <w:vMerge w:val="restart"/>
          </w:tcPr>
          <w:p w:rsidR="00B46E74" w:rsidRDefault="00B46E74" w:rsidP="00D014D5">
            <w:pPr>
              <w:pStyle w:val="BA10"/>
              <w:widowControl w:val="0"/>
            </w:pPr>
            <w:r>
              <w:t>The Chairman</w:t>
            </w:r>
          </w:p>
          <w:p w:rsidR="0064547D" w:rsidRDefault="00B46E74" w:rsidP="00D014D5">
            <w:pPr>
              <w:pStyle w:val="BA10"/>
              <w:widowControl w:val="0"/>
            </w:pPr>
            <w:r>
              <w:t>Portfolio Committee on Finance</w:t>
            </w:r>
          </w:p>
          <w:p w:rsidR="0064547D" w:rsidRDefault="00AB4E79" w:rsidP="00D014D5">
            <w:pPr>
              <w:pStyle w:val="BA10"/>
              <w:widowControl w:val="0"/>
            </w:pPr>
            <w:r>
              <w:t>Mr Yunus Carrim</w:t>
            </w:r>
          </w:p>
          <w:p w:rsidR="0064547D" w:rsidRDefault="0064547D" w:rsidP="00D014D5">
            <w:pPr>
              <w:pStyle w:val="BA10"/>
              <w:widowControl w:val="0"/>
            </w:pPr>
          </w:p>
          <w:p w:rsidR="0064547D" w:rsidRDefault="0064547D" w:rsidP="00D014D5">
            <w:pPr>
              <w:pStyle w:val="BA10"/>
              <w:widowControl w:val="0"/>
            </w:pPr>
          </w:p>
          <w:p w:rsidR="00AB4E79" w:rsidRDefault="0064547D" w:rsidP="00D014D5">
            <w:pPr>
              <w:pStyle w:val="BA10"/>
              <w:widowControl w:val="0"/>
            </w:pPr>
            <w:r>
              <w:t>Attention:</w:t>
            </w:r>
            <w:r w:rsidR="00AB4E79">
              <w:t xml:space="preserve">  </w:t>
            </w:r>
          </w:p>
          <w:p w:rsidR="00AB4E79" w:rsidRDefault="00AB4E79" w:rsidP="00D014D5">
            <w:pPr>
              <w:pStyle w:val="BA10"/>
              <w:widowControl w:val="0"/>
            </w:pPr>
          </w:p>
          <w:p w:rsidR="0064547D" w:rsidRDefault="00AB4E79" w:rsidP="00D014D5">
            <w:pPr>
              <w:pStyle w:val="BA10"/>
              <w:widowControl w:val="0"/>
            </w:pPr>
            <w:r>
              <w:t>Mr Allan Wicomb</w:t>
            </w:r>
          </w:p>
        </w:tc>
        <w:tc>
          <w:tcPr>
            <w:tcW w:w="470" w:type="dxa"/>
          </w:tcPr>
          <w:p w:rsidR="0064547D" w:rsidRPr="00DA017C" w:rsidRDefault="0064547D" w:rsidP="00D014D5">
            <w:pPr>
              <w:pStyle w:val="BA10"/>
              <w:widowControl w:val="0"/>
              <w:jc w:val="left"/>
              <w:rPr>
                <w:sz w:val="16"/>
                <w:szCs w:val="16"/>
              </w:rPr>
            </w:pPr>
            <w:r w:rsidRPr="00DA017C">
              <w:rPr>
                <w:sz w:val="16"/>
                <w:szCs w:val="16"/>
              </w:rPr>
              <w:t>Doc Ref:</w:t>
            </w:r>
          </w:p>
          <w:p w:rsidR="0064547D" w:rsidRPr="00DA017C" w:rsidRDefault="0064547D" w:rsidP="00D014D5">
            <w:pPr>
              <w:pStyle w:val="BA10"/>
              <w:widowControl w:val="0"/>
              <w:jc w:val="left"/>
              <w:rPr>
                <w:sz w:val="16"/>
                <w:szCs w:val="16"/>
              </w:rPr>
            </w:pPr>
          </w:p>
        </w:tc>
        <w:bookmarkStart w:id="0" w:name="worksite_docref"/>
        <w:bookmarkEnd w:id="0"/>
        <w:tc>
          <w:tcPr>
            <w:tcW w:w="5287" w:type="dxa"/>
            <w:shd w:val="clear" w:color="auto" w:fill="auto"/>
          </w:tcPr>
          <w:p w:rsidR="0064547D" w:rsidRPr="00DA017C" w:rsidRDefault="00CF2C32" w:rsidP="004A269C">
            <w:pPr>
              <w:pStyle w:val="BA10"/>
              <w:widowControl w:val="0"/>
              <w:rPr>
                <w:sz w:val="16"/>
                <w:szCs w:val="16"/>
              </w:rPr>
            </w:pPr>
            <w:r>
              <w:rPr>
                <w:sz w:val="16"/>
                <w:szCs w:val="16"/>
              </w:rPr>
              <w:fldChar w:fldCharType="begin"/>
            </w:r>
            <w:r w:rsidR="004A269C">
              <w:rPr>
                <w:sz w:val="16"/>
                <w:szCs w:val="16"/>
              </w:rPr>
              <w:instrText xml:space="preserve"> DOCPROPERTY  WorkSite_DocRef </w:instrText>
            </w:r>
            <w:r>
              <w:rPr>
                <w:sz w:val="16"/>
                <w:szCs w:val="16"/>
              </w:rPr>
              <w:fldChar w:fldCharType="separate"/>
            </w:r>
            <w:r w:rsidR="004A269C">
              <w:rPr>
                <w:sz w:val="16"/>
                <w:szCs w:val="16"/>
              </w:rPr>
              <w:t>STUARTG/#165053_v2</w:t>
            </w:r>
            <w:r>
              <w:rPr>
                <w:sz w:val="16"/>
                <w:szCs w:val="16"/>
              </w:rPr>
              <w:fldChar w:fldCharType="end"/>
            </w:r>
          </w:p>
        </w:tc>
      </w:tr>
      <w:tr w:rsidR="0064547D" w:rsidTr="004A269C">
        <w:trPr>
          <w:trHeight w:val="400"/>
        </w:trPr>
        <w:tc>
          <w:tcPr>
            <w:tcW w:w="5442" w:type="dxa"/>
            <w:vMerge/>
          </w:tcPr>
          <w:p w:rsidR="0064547D" w:rsidRPr="00DA017C" w:rsidRDefault="0064547D" w:rsidP="00D014D5">
            <w:pPr>
              <w:pStyle w:val="BA10"/>
              <w:widowControl w:val="0"/>
              <w:rPr>
                <w:b/>
              </w:rPr>
            </w:pPr>
          </w:p>
        </w:tc>
        <w:tc>
          <w:tcPr>
            <w:tcW w:w="470" w:type="dxa"/>
          </w:tcPr>
          <w:p w:rsidR="0064547D" w:rsidRPr="00DA017C" w:rsidRDefault="0064547D" w:rsidP="00D014D5">
            <w:pPr>
              <w:pStyle w:val="BA10"/>
              <w:widowControl w:val="0"/>
              <w:jc w:val="left"/>
              <w:rPr>
                <w:sz w:val="16"/>
                <w:szCs w:val="16"/>
              </w:rPr>
            </w:pPr>
            <w:r w:rsidRPr="00DA017C">
              <w:rPr>
                <w:sz w:val="16"/>
                <w:szCs w:val="16"/>
              </w:rPr>
              <w:t>Your ref:</w:t>
            </w:r>
          </w:p>
        </w:tc>
        <w:tc>
          <w:tcPr>
            <w:tcW w:w="5287" w:type="dxa"/>
            <w:shd w:val="clear" w:color="auto" w:fill="auto"/>
          </w:tcPr>
          <w:p w:rsidR="0064547D" w:rsidRPr="00DA017C" w:rsidRDefault="0064547D" w:rsidP="00D014D5">
            <w:pPr>
              <w:pStyle w:val="BA10"/>
              <w:widowControl w:val="0"/>
              <w:rPr>
                <w:sz w:val="16"/>
                <w:szCs w:val="16"/>
              </w:rPr>
            </w:pPr>
          </w:p>
        </w:tc>
      </w:tr>
      <w:tr w:rsidR="0064547D" w:rsidTr="004A269C">
        <w:trPr>
          <w:trHeight w:val="400"/>
        </w:trPr>
        <w:tc>
          <w:tcPr>
            <w:tcW w:w="5442" w:type="dxa"/>
            <w:vMerge/>
          </w:tcPr>
          <w:p w:rsidR="0064547D" w:rsidRPr="00DA017C" w:rsidRDefault="0064547D" w:rsidP="00D014D5">
            <w:pPr>
              <w:pStyle w:val="BA10"/>
              <w:widowControl w:val="0"/>
              <w:rPr>
                <w:b/>
              </w:rPr>
            </w:pPr>
          </w:p>
        </w:tc>
        <w:tc>
          <w:tcPr>
            <w:tcW w:w="470" w:type="dxa"/>
          </w:tcPr>
          <w:p w:rsidR="0064547D" w:rsidRPr="00DA017C" w:rsidRDefault="0064547D" w:rsidP="00D014D5">
            <w:pPr>
              <w:pStyle w:val="BA10"/>
              <w:widowControl w:val="0"/>
              <w:jc w:val="left"/>
              <w:rPr>
                <w:sz w:val="16"/>
                <w:szCs w:val="16"/>
              </w:rPr>
            </w:pPr>
            <w:r w:rsidRPr="00DA017C">
              <w:rPr>
                <w:sz w:val="16"/>
                <w:szCs w:val="16"/>
              </w:rPr>
              <w:t xml:space="preserve">Direct </w:t>
            </w:r>
            <w:r w:rsidRPr="00DA017C">
              <w:rPr>
                <w:rFonts w:ascii="Wingdings" w:hAnsi="Wingdings"/>
                <w:sz w:val="16"/>
                <w:szCs w:val="16"/>
              </w:rPr>
              <w:t></w:t>
            </w:r>
            <w:r w:rsidRPr="00DA017C">
              <w:rPr>
                <w:sz w:val="16"/>
                <w:szCs w:val="16"/>
              </w:rPr>
              <w:t>:</w:t>
            </w:r>
          </w:p>
          <w:p w:rsidR="0064547D" w:rsidRPr="00DA017C" w:rsidRDefault="0064547D" w:rsidP="00D014D5">
            <w:pPr>
              <w:pStyle w:val="BA10"/>
              <w:widowControl w:val="0"/>
              <w:jc w:val="left"/>
              <w:rPr>
                <w:sz w:val="16"/>
                <w:szCs w:val="16"/>
              </w:rPr>
            </w:pPr>
          </w:p>
        </w:tc>
        <w:tc>
          <w:tcPr>
            <w:tcW w:w="5287" w:type="dxa"/>
            <w:shd w:val="clear" w:color="auto" w:fill="auto"/>
          </w:tcPr>
          <w:p w:rsidR="0064547D" w:rsidRPr="00DA017C" w:rsidRDefault="00B46E74" w:rsidP="00D014D5">
            <w:pPr>
              <w:pStyle w:val="BA10"/>
              <w:widowControl w:val="0"/>
              <w:rPr>
                <w:sz w:val="16"/>
                <w:szCs w:val="16"/>
              </w:rPr>
            </w:pPr>
            <w:r>
              <w:rPr>
                <w:sz w:val="16"/>
                <w:szCs w:val="16"/>
              </w:rPr>
              <w:t>(011) 645 6714</w:t>
            </w:r>
          </w:p>
        </w:tc>
      </w:tr>
      <w:tr w:rsidR="0064547D" w:rsidTr="004A269C">
        <w:trPr>
          <w:trHeight w:val="400"/>
        </w:trPr>
        <w:tc>
          <w:tcPr>
            <w:tcW w:w="5442" w:type="dxa"/>
            <w:vMerge/>
          </w:tcPr>
          <w:p w:rsidR="0064547D" w:rsidRPr="00DA017C" w:rsidRDefault="0064547D" w:rsidP="00D014D5">
            <w:pPr>
              <w:pStyle w:val="BA10"/>
              <w:widowControl w:val="0"/>
              <w:rPr>
                <w:b/>
              </w:rPr>
            </w:pPr>
          </w:p>
        </w:tc>
        <w:tc>
          <w:tcPr>
            <w:tcW w:w="470" w:type="dxa"/>
          </w:tcPr>
          <w:p w:rsidR="0064547D" w:rsidRPr="00DA017C" w:rsidRDefault="0064547D" w:rsidP="00D014D5">
            <w:pPr>
              <w:pStyle w:val="BA10"/>
              <w:widowControl w:val="0"/>
              <w:jc w:val="left"/>
              <w:rPr>
                <w:sz w:val="16"/>
                <w:szCs w:val="16"/>
              </w:rPr>
            </w:pPr>
            <w:r w:rsidRPr="00DA017C">
              <w:rPr>
                <w:sz w:val="16"/>
                <w:szCs w:val="16"/>
              </w:rPr>
              <w:t>E-</w:t>
            </w:r>
            <w:r w:rsidRPr="00DA017C">
              <w:rPr>
                <w:rFonts w:ascii="Wingdings" w:hAnsi="Wingdings"/>
                <w:b/>
                <w:sz w:val="16"/>
                <w:szCs w:val="16"/>
              </w:rPr>
              <w:t></w:t>
            </w:r>
            <w:r w:rsidRPr="00DA017C">
              <w:rPr>
                <w:sz w:val="16"/>
                <w:szCs w:val="16"/>
              </w:rPr>
              <w:t>:</w:t>
            </w:r>
          </w:p>
        </w:tc>
        <w:tc>
          <w:tcPr>
            <w:tcW w:w="5287" w:type="dxa"/>
            <w:shd w:val="clear" w:color="auto" w:fill="auto"/>
          </w:tcPr>
          <w:p w:rsidR="0064547D" w:rsidRPr="00DA017C" w:rsidRDefault="00CF2C32" w:rsidP="00D014D5">
            <w:pPr>
              <w:pStyle w:val="BA10"/>
              <w:widowControl w:val="0"/>
              <w:rPr>
                <w:sz w:val="16"/>
                <w:szCs w:val="16"/>
              </w:rPr>
            </w:pPr>
            <w:hyperlink r:id="rId8" w:history="1">
              <w:r w:rsidR="00AB4E79" w:rsidRPr="00AD2547">
                <w:rPr>
                  <w:rStyle w:val="Hyperlink"/>
                  <w:sz w:val="16"/>
                  <w:szCs w:val="16"/>
                </w:rPr>
                <w:t>stuartg@banking.org.za</w:t>
              </w:r>
            </w:hyperlink>
          </w:p>
        </w:tc>
      </w:tr>
      <w:tr w:rsidR="0064547D" w:rsidTr="004A269C">
        <w:tc>
          <w:tcPr>
            <w:tcW w:w="5442" w:type="dxa"/>
          </w:tcPr>
          <w:p w:rsidR="0064547D" w:rsidRDefault="00AB4E79" w:rsidP="00D014D5">
            <w:pPr>
              <w:pStyle w:val="BA10"/>
              <w:widowControl w:val="0"/>
            </w:pPr>
            <w:r>
              <w:t>Committee Secretary</w:t>
            </w:r>
          </w:p>
          <w:p w:rsidR="00AB4E79" w:rsidRDefault="00CF2C32" w:rsidP="00D014D5">
            <w:pPr>
              <w:pStyle w:val="BA10"/>
              <w:widowControl w:val="0"/>
              <w:spacing w:after="120"/>
            </w:pPr>
            <w:hyperlink r:id="rId9" w:history="1">
              <w:r w:rsidR="00AB4E79" w:rsidRPr="00AD2547">
                <w:rPr>
                  <w:rStyle w:val="Hyperlink"/>
                </w:rPr>
                <w:t>awicomb@parliament.gov.za</w:t>
              </w:r>
            </w:hyperlink>
          </w:p>
          <w:p w:rsidR="005C3D4A" w:rsidRDefault="005C3D4A" w:rsidP="00D014D5">
            <w:pPr>
              <w:pStyle w:val="BA10"/>
              <w:widowControl w:val="0"/>
              <w:spacing w:after="120"/>
            </w:pPr>
          </w:p>
          <w:p w:rsidR="00AB4E79" w:rsidRDefault="00AB4E79" w:rsidP="00D014D5">
            <w:pPr>
              <w:pStyle w:val="BA10"/>
              <w:widowControl w:val="0"/>
              <w:spacing w:after="120"/>
            </w:pPr>
            <w:r>
              <w:t xml:space="preserve">Dear </w:t>
            </w:r>
            <w:r w:rsidR="00DF723A">
              <w:t>Sir</w:t>
            </w:r>
          </w:p>
        </w:tc>
        <w:tc>
          <w:tcPr>
            <w:tcW w:w="470" w:type="dxa"/>
          </w:tcPr>
          <w:p w:rsidR="0064547D" w:rsidRDefault="0064547D" w:rsidP="00D014D5">
            <w:pPr>
              <w:pStyle w:val="BA10"/>
              <w:widowControl w:val="0"/>
            </w:pPr>
          </w:p>
        </w:tc>
        <w:tc>
          <w:tcPr>
            <w:tcW w:w="5287" w:type="dxa"/>
          </w:tcPr>
          <w:p w:rsidR="0064547D" w:rsidRDefault="0064547D" w:rsidP="00D014D5">
            <w:pPr>
              <w:pStyle w:val="BA10"/>
              <w:widowControl w:val="0"/>
            </w:pPr>
          </w:p>
        </w:tc>
      </w:tr>
    </w:tbl>
    <w:p w:rsidR="00FF290C" w:rsidRDefault="00FF290C" w:rsidP="00D014D5">
      <w:pPr>
        <w:widowControl w:val="0"/>
        <w:spacing w:after="120"/>
        <w:jc w:val="left"/>
        <w:rPr>
          <w:rFonts w:ascii="Verdana" w:hAnsi="Verdana"/>
          <w:b/>
          <w:sz w:val="22"/>
          <w:szCs w:val="22"/>
        </w:rPr>
      </w:pPr>
    </w:p>
    <w:p w:rsidR="0064547D" w:rsidRDefault="00E47453" w:rsidP="00D014D5">
      <w:pPr>
        <w:widowControl w:val="0"/>
        <w:jc w:val="left"/>
        <w:rPr>
          <w:rFonts w:ascii="Verdana" w:hAnsi="Verdana"/>
          <w:b/>
          <w:sz w:val="22"/>
          <w:szCs w:val="22"/>
        </w:rPr>
      </w:pPr>
      <w:r w:rsidRPr="00252829">
        <w:rPr>
          <w:rFonts w:ascii="Verdana" w:hAnsi="Verdana"/>
          <w:b/>
          <w:sz w:val="22"/>
          <w:szCs w:val="22"/>
        </w:rPr>
        <w:t>Financial Intelligence Centre Amendment Bill:  B33-2015</w:t>
      </w:r>
    </w:p>
    <w:p w:rsidR="00252829" w:rsidRPr="00252829" w:rsidRDefault="00252829" w:rsidP="00D014D5">
      <w:pPr>
        <w:widowControl w:val="0"/>
        <w:jc w:val="left"/>
        <w:rPr>
          <w:rFonts w:ascii="Verdana" w:hAnsi="Verdana"/>
          <w:b/>
          <w:sz w:val="22"/>
          <w:szCs w:val="22"/>
        </w:rPr>
      </w:pPr>
    </w:p>
    <w:p w:rsidR="001E0BA8" w:rsidRDefault="00AA45F6" w:rsidP="00783450">
      <w:pPr>
        <w:pStyle w:val="ListParagraph"/>
        <w:widowControl w:val="0"/>
        <w:numPr>
          <w:ilvl w:val="0"/>
          <w:numId w:val="2"/>
        </w:numPr>
        <w:tabs>
          <w:tab w:val="left" w:pos="567"/>
        </w:tabs>
        <w:contextualSpacing w:val="0"/>
        <w:rPr>
          <w:rFonts w:ascii="Verdana" w:hAnsi="Verdana"/>
          <w:sz w:val="22"/>
          <w:szCs w:val="22"/>
        </w:rPr>
      </w:pPr>
      <w:r w:rsidRPr="00252829">
        <w:rPr>
          <w:rFonts w:ascii="Verdana" w:hAnsi="Verdana"/>
          <w:sz w:val="22"/>
          <w:szCs w:val="22"/>
        </w:rPr>
        <w:t>Following on the public hearings on 11 November 2015</w:t>
      </w:r>
      <w:r w:rsidR="00FE229B">
        <w:rPr>
          <w:rFonts w:ascii="Verdana" w:hAnsi="Verdana"/>
          <w:sz w:val="22"/>
          <w:szCs w:val="22"/>
        </w:rPr>
        <w:t>,</w:t>
      </w:r>
      <w:r w:rsidRPr="00252829">
        <w:rPr>
          <w:rFonts w:ascii="Verdana" w:hAnsi="Verdana"/>
          <w:sz w:val="22"/>
          <w:szCs w:val="22"/>
        </w:rPr>
        <w:t xml:space="preserve"> the Portfolio Committee afforded us an opportunity to make further representations on the</w:t>
      </w:r>
      <w:r w:rsidR="00FF290C" w:rsidRPr="00252829">
        <w:rPr>
          <w:rFonts w:ascii="Verdana" w:hAnsi="Verdana"/>
          <w:sz w:val="22"/>
          <w:szCs w:val="22"/>
        </w:rPr>
        <w:t xml:space="preserve"> Financial Intelligence Centre Amendment Bill (</w:t>
      </w:r>
      <w:r w:rsidR="00467AC0">
        <w:rPr>
          <w:rFonts w:ascii="Verdana" w:hAnsi="Verdana"/>
          <w:sz w:val="22"/>
          <w:szCs w:val="22"/>
        </w:rPr>
        <w:t>“</w:t>
      </w:r>
      <w:r w:rsidR="00FF290C" w:rsidRPr="00467AC0">
        <w:rPr>
          <w:rFonts w:ascii="Verdana" w:hAnsi="Verdana"/>
          <w:sz w:val="22"/>
          <w:szCs w:val="22"/>
        </w:rPr>
        <w:t>the Bill</w:t>
      </w:r>
      <w:r w:rsidR="00467AC0">
        <w:rPr>
          <w:rFonts w:ascii="Verdana" w:hAnsi="Verdana"/>
          <w:sz w:val="22"/>
          <w:szCs w:val="22"/>
        </w:rPr>
        <w:t>”</w:t>
      </w:r>
      <w:r w:rsidR="00FF290C" w:rsidRPr="00252829">
        <w:rPr>
          <w:rFonts w:ascii="Verdana" w:hAnsi="Verdana"/>
          <w:sz w:val="22"/>
          <w:szCs w:val="22"/>
        </w:rPr>
        <w:t>) after consultation with National Treasury (</w:t>
      </w:r>
      <w:r w:rsidR="00467AC0">
        <w:rPr>
          <w:rFonts w:ascii="Verdana" w:hAnsi="Verdana"/>
          <w:sz w:val="22"/>
          <w:szCs w:val="22"/>
        </w:rPr>
        <w:t>“</w:t>
      </w:r>
      <w:r w:rsidR="00FF290C" w:rsidRPr="00467AC0">
        <w:rPr>
          <w:rFonts w:ascii="Verdana" w:hAnsi="Verdana"/>
          <w:sz w:val="22"/>
          <w:szCs w:val="22"/>
        </w:rPr>
        <w:t>NT</w:t>
      </w:r>
      <w:r w:rsidR="00467AC0">
        <w:rPr>
          <w:rFonts w:ascii="Verdana" w:hAnsi="Verdana"/>
          <w:sz w:val="22"/>
          <w:szCs w:val="22"/>
        </w:rPr>
        <w:t>”</w:t>
      </w:r>
      <w:r w:rsidR="00FF290C" w:rsidRPr="00252829">
        <w:rPr>
          <w:rFonts w:ascii="Verdana" w:hAnsi="Verdana"/>
          <w:sz w:val="22"/>
          <w:szCs w:val="22"/>
        </w:rPr>
        <w:t>) and the Financial Intelligence Centre (</w:t>
      </w:r>
      <w:r w:rsidR="00467AC0">
        <w:rPr>
          <w:rFonts w:ascii="Verdana" w:hAnsi="Verdana"/>
          <w:sz w:val="22"/>
          <w:szCs w:val="22"/>
        </w:rPr>
        <w:t>“</w:t>
      </w:r>
      <w:r w:rsidR="00FF290C" w:rsidRPr="00467AC0">
        <w:rPr>
          <w:rFonts w:ascii="Verdana" w:hAnsi="Verdana"/>
          <w:sz w:val="22"/>
          <w:szCs w:val="22"/>
        </w:rPr>
        <w:t>FIC</w:t>
      </w:r>
      <w:r w:rsidR="00467AC0">
        <w:rPr>
          <w:rFonts w:ascii="Verdana" w:hAnsi="Verdana"/>
          <w:sz w:val="22"/>
          <w:szCs w:val="22"/>
        </w:rPr>
        <w:t>”</w:t>
      </w:r>
      <w:r w:rsidR="00FF290C" w:rsidRPr="00252829">
        <w:rPr>
          <w:rFonts w:ascii="Verdana" w:hAnsi="Verdana"/>
          <w:sz w:val="22"/>
          <w:szCs w:val="22"/>
        </w:rPr>
        <w:t>).</w:t>
      </w:r>
      <w:r w:rsidRPr="00252829">
        <w:rPr>
          <w:rFonts w:ascii="Verdana" w:hAnsi="Verdana"/>
          <w:sz w:val="22"/>
          <w:szCs w:val="22"/>
        </w:rPr>
        <w:t xml:space="preserve"> </w:t>
      </w:r>
      <w:r w:rsidR="004A269C">
        <w:rPr>
          <w:rFonts w:ascii="Verdana" w:hAnsi="Verdana"/>
          <w:sz w:val="22"/>
          <w:szCs w:val="22"/>
        </w:rPr>
        <w:t xml:space="preserve">The Committee also requested that the submission cover critical implementation and compliance issues under the existing FIC Act (and as amended by the proposed Bill) where the industry and NT/FIC are not in consensus, and </w:t>
      </w:r>
      <w:r w:rsidR="00C76A36">
        <w:rPr>
          <w:rFonts w:ascii="Verdana" w:hAnsi="Verdana"/>
          <w:sz w:val="22"/>
          <w:szCs w:val="22"/>
        </w:rPr>
        <w:t xml:space="preserve">for </w:t>
      </w:r>
      <w:r w:rsidR="004A269C">
        <w:rPr>
          <w:rFonts w:ascii="Verdana" w:hAnsi="Verdana"/>
          <w:sz w:val="22"/>
          <w:szCs w:val="22"/>
        </w:rPr>
        <w:t xml:space="preserve">an indication of the estimated cost assessment of the impact of the Bill and new compliance requirements. </w:t>
      </w:r>
    </w:p>
    <w:p w:rsidR="00252829" w:rsidRPr="00252829" w:rsidRDefault="00252829" w:rsidP="00D014D5">
      <w:pPr>
        <w:pStyle w:val="ListParagraph"/>
        <w:widowControl w:val="0"/>
        <w:tabs>
          <w:tab w:val="left" w:pos="567"/>
        </w:tabs>
        <w:ind w:left="567" w:firstLine="0"/>
        <w:contextualSpacing w:val="0"/>
        <w:rPr>
          <w:rFonts w:ascii="Verdana" w:hAnsi="Verdana"/>
          <w:sz w:val="22"/>
          <w:szCs w:val="22"/>
        </w:rPr>
      </w:pPr>
    </w:p>
    <w:p w:rsidR="00FF290C" w:rsidRDefault="004A269C" w:rsidP="00783450">
      <w:pPr>
        <w:pStyle w:val="ListParagraph"/>
        <w:widowControl w:val="0"/>
        <w:numPr>
          <w:ilvl w:val="0"/>
          <w:numId w:val="2"/>
        </w:numPr>
        <w:tabs>
          <w:tab w:val="left" w:pos="567"/>
        </w:tabs>
        <w:contextualSpacing w:val="0"/>
        <w:rPr>
          <w:rFonts w:ascii="Verdana" w:hAnsi="Verdana"/>
          <w:sz w:val="22"/>
          <w:szCs w:val="22"/>
        </w:rPr>
      </w:pPr>
      <w:r>
        <w:rPr>
          <w:rFonts w:ascii="Verdana" w:hAnsi="Verdana"/>
          <w:sz w:val="22"/>
          <w:szCs w:val="22"/>
        </w:rPr>
        <w:t xml:space="preserve">In line with this opportunity a delegation from BASA met with NT on 9 December 2015 to raise its “critical issues” under the Act and the Bill as </w:t>
      </w:r>
      <w:r w:rsidR="00467AC0">
        <w:rPr>
          <w:rFonts w:ascii="Verdana" w:hAnsi="Verdana"/>
          <w:sz w:val="22"/>
          <w:szCs w:val="22"/>
        </w:rPr>
        <w:t>sugg</w:t>
      </w:r>
      <w:r>
        <w:rPr>
          <w:rFonts w:ascii="Verdana" w:hAnsi="Verdana"/>
          <w:sz w:val="22"/>
          <w:szCs w:val="22"/>
        </w:rPr>
        <w:t xml:space="preserve">ested by the Committee, but unfortunately this </w:t>
      </w:r>
      <w:r w:rsidR="00C76A36">
        <w:rPr>
          <w:rFonts w:ascii="Verdana" w:hAnsi="Verdana"/>
          <w:sz w:val="22"/>
          <w:szCs w:val="22"/>
        </w:rPr>
        <w:t xml:space="preserve">(brief) </w:t>
      </w:r>
      <w:r>
        <w:rPr>
          <w:rFonts w:ascii="Verdana" w:hAnsi="Verdana"/>
          <w:sz w:val="22"/>
          <w:szCs w:val="22"/>
        </w:rPr>
        <w:t>initial meeting only served to highlight that much more consultation is required between the policy makers (NT), the regulators (FIC), the supervisors (SARB/FSB), and the wider affected financial sector</w:t>
      </w:r>
      <w:r w:rsidR="00C76A36">
        <w:rPr>
          <w:rFonts w:ascii="Verdana" w:hAnsi="Verdana"/>
          <w:sz w:val="22"/>
          <w:szCs w:val="22"/>
        </w:rPr>
        <w:t>, especially given the acknowledged breakdown in prior consultation processes</w:t>
      </w:r>
      <w:r w:rsidR="00467AC0">
        <w:rPr>
          <w:rFonts w:ascii="Verdana" w:hAnsi="Verdana"/>
          <w:sz w:val="22"/>
          <w:szCs w:val="22"/>
        </w:rPr>
        <w:t xml:space="preserve"> on the Bill, and the wider issues in FICA that remain in contention between the parties</w:t>
      </w:r>
      <w:r>
        <w:rPr>
          <w:rFonts w:ascii="Verdana" w:hAnsi="Verdana"/>
          <w:sz w:val="22"/>
          <w:szCs w:val="22"/>
        </w:rPr>
        <w:t>. It was accordingly agreed that BAS</w:t>
      </w:r>
      <w:r w:rsidR="00C76A36">
        <w:rPr>
          <w:rFonts w:ascii="Verdana" w:hAnsi="Verdana"/>
          <w:sz w:val="22"/>
          <w:szCs w:val="22"/>
        </w:rPr>
        <w:t>A</w:t>
      </w:r>
      <w:r>
        <w:rPr>
          <w:rFonts w:ascii="Verdana" w:hAnsi="Verdana"/>
          <w:sz w:val="22"/>
          <w:szCs w:val="22"/>
        </w:rPr>
        <w:t xml:space="preserve"> would continue to prepare a submission to the Portfolio Committee as requested, but </w:t>
      </w:r>
      <w:r w:rsidR="00C76A36">
        <w:rPr>
          <w:rFonts w:ascii="Verdana" w:hAnsi="Verdana"/>
          <w:sz w:val="22"/>
          <w:szCs w:val="22"/>
        </w:rPr>
        <w:t>also that NT would schedule longer, more focused workshops on the critical issues between the affected parties in the 1</w:t>
      </w:r>
      <w:r w:rsidR="00C76A36" w:rsidRPr="00C76A36">
        <w:rPr>
          <w:rFonts w:ascii="Verdana" w:hAnsi="Verdana"/>
          <w:sz w:val="22"/>
          <w:szCs w:val="22"/>
          <w:vertAlign w:val="superscript"/>
        </w:rPr>
        <w:t>st</w:t>
      </w:r>
      <w:r w:rsidR="00C76A36">
        <w:rPr>
          <w:rFonts w:ascii="Verdana" w:hAnsi="Verdana"/>
          <w:sz w:val="22"/>
          <w:szCs w:val="22"/>
        </w:rPr>
        <w:t xml:space="preserve"> quarter of 2016.</w:t>
      </w:r>
      <w:r w:rsidR="00467AC0">
        <w:rPr>
          <w:rFonts w:ascii="Verdana" w:hAnsi="Verdana"/>
          <w:sz w:val="22"/>
          <w:szCs w:val="22"/>
        </w:rPr>
        <w:t xml:space="preserve"> </w:t>
      </w:r>
      <w:r w:rsidR="00610ED4">
        <w:rPr>
          <w:rFonts w:ascii="Verdana" w:hAnsi="Verdana"/>
          <w:sz w:val="22"/>
          <w:szCs w:val="22"/>
        </w:rPr>
        <w:t xml:space="preserve">Given this extended consultation process </w:t>
      </w:r>
      <w:r w:rsidR="00467AC0">
        <w:rPr>
          <w:rFonts w:ascii="Verdana" w:hAnsi="Verdana"/>
          <w:sz w:val="22"/>
          <w:szCs w:val="22"/>
        </w:rPr>
        <w:t>NT would also liaise with the Portfolio Committee on the timelines for the Bill going forward.</w:t>
      </w:r>
      <w:r w:rsidR="00C76A36">
        <w:rPr>
          <w:rFonts w:ascii="Verdana" w:hAnsi="Verdana"/>
          <w:sz w:val="22"/>
          <w:szCs w:val="22"/>
        </w:rPr>
        <w:t xml:space="preserve">  </w:t>
      </w:r>
      <w:r>
        <w:rPr>
          <w:rFonts w:ascii="Verdana" w:hAnsi="Verdana"/>
          <w:sz w:val="22"/>
          <w:szCs w:val="22"/>
        </w:rPr>
        <w:t xml:space="preserve">  </w:t>
      </w:r>
    </w:p>
    <w:p w:rsidR="00C76A36" w:rsidRPr="00C76A36" w:rsidRDefault="00C76A36" w:rsidP="00C76A36">
      <w:pPr>
        <w:pStyle w:val="ListParagraph"/>
        <w:rPr>
          <w:rFonts w:ascii="Verdana" w:hAnsi="Verdana"/>
          <w:sz w:val="22"/>
          <w:szCs w:val="22"/>
        </w:rPr>
      </w:pPr>
    </w:p>
    <w:p w:rsidR="00C76A36" w:rsidRPr="00C76A36" w:rsidRDefault="00C76A36" w:rsidP="00467AC0">
      <w:pPr>
        <w:pStyle w:val="ListParagraph"/>
        <w:keepNext/>
        <w:widowControl w:val="0"/>
        <w:ind w:left="0" w:firstLine="0"/>
        <w:rPr>
          <w:rFonts w:ascii="Verdana" w:hAnsi="Verdana"/>
          <w:b/>
          <w:sz w:val="22"/>
          <w:szCs w:val="22"/>
        </w:rPr>
      </w:pPr>
      <w:r>
        <w:rPr>
          <w:rFonts w:ascii="Verdana" w:hAnsi="Verdana"/>
          <w:b/>
          <w:sz w:val="22"/>
          <w:szCs w:val="22"/>
        </w:rPr>
        <w:lastRenderedPageBreak/>
        <w:t xml:space="preserve">Critical </w:t>
      </w:r>
      <w:r w:rsidR="00A14C24">
        <w:rPr>
          <w:rFonts w:ascii="Verdana" w:hAnsi="Verdana"/>
          <w:b/>
          <w:sz w:val="22"/>
          <w:szCs w:val="22"/>
        </w:rPr>
        <w:t xml:space="preserve">regulatory and supervisory </w:t>
      </w:r>
      <w:r>
        <w:rPr>
          <w:rFonts w:ascii="Verdana" w:hAnsi="Verdana"/>
          <w:b/>
          <w:sz w:val="22"/>
          <w:szCs w:val="22"/>
        </w:rPr>
        <w:t>compliance principles</w:t>
      </w:r>
    </w:p>
    <w:p w:rsidR="00C76A36" w:rsidRPr="00C76A36" w:rsidRDefault="00C76A36" w:rsidP="00C76A36">
      <w:pPr>
        <w:pStyle w:val="ListParagraph"/>
        <w:widowControl w:val="0"/>
        <w:ind w:left="567" w:firstLine="0"/>
        <w:rPr>
          <w:rFonts w:ascii="Verdana" w:hAnsi="Verdana"/>
          <w:sz w:val="22"/>
          <w:szCs w:val="22"/>
        </w:rPr>
      </w:pPr>
    </w:p>
    <w:p w:rsidR="009F184A" w:rsidRDefault="009F184A" w:rsidP="00783450">
      <w:pPr>
        <w:pStyle w:val="ListParagraph"/>
        <w:widowControl w:val="0"/>
        <w:numPr>
          <w:ilvl w:val="0"/>
          <w:numId w:val="2"/>
        </w:numPr>
        <w:rPr>
          <w:rFonts w:ascii="Verdana" w:hAnsi="Verdana"/>
          <w:sz w:val="22"/>
          <w:szCs w:val="22"/>
        </w:rPr>
      </w:pPr>
      <w:r w:rsidRPr="009F184A">
        <w:rPr>
          <w:rFonts w:ascii="Verdana" w:hAnsi="Verdana"/>
          <w:sz w:val="22"/>
          <w:szCs w:val="22"/>
        </w:rPr>
        <w:t xml:space="preserve">As noted by NT </w:t>
      </w:r>
      <w:r>
        <w:rPr>
          <w:rFonts w:ascii="Verdana" w:hAnsi="Verdana"/>
          <w:sz w:val="22"/>
          <w:szCs w:val="22"/>
        </w:rPr>
        <w:t xml:space="preserve">during the Portfolio Committee hearings on 11 November 2015, “the reputational risk of noncompliance exceeds the cost of compliance”. This is because of the standardised international regulatory framework to combat money laundering, terrorist financing and the proliferation of weapons of mass destruction (“AML/CFT”), driven by the Financial Action Task Force’s (“FATF”) 40 Recommendations.  </w:t>
      </w:r>
      <w:r w:rsidRPr="00252829">
        <w:rPr>
          <w:rFonts w:ascii="Verdana" w:hAnsi="Verdana"/>
          <w:sz w:val="22"/>
          <w:szCs w:val="22"/>
        </w:rPr>
        <w:t xml:space="preserve">The core underpin for South Africa’s </w:t>
      </w:r>
      <w:r w:rsidR="00467AC0">
        <w:rPr>
          <w:rFonts w:ascii="Verdana" w:hAnsi="Verdana"/>
          <w:sz w:val="22"/>
          <w:szCs w:val="22"/>
        </w:rPr>
        <w:t>a</w:t>
      </w:r>
      <w:r w:rsidRPr="00252829">
        <w:rPr>
          <w:rFonts w:ascii="Verdana" w:hAnsi="Verdana"/>
          <w:sz w:val="22"/>
          <w:szCs w:val="22"/>
        </w:rPr>
        <w:t xml:space="preserve">nti-money </w:t>
      </w:r>
      <w:r w:rsidR="00467AC0">
        <w:rPr>
          <w:rFonts w:ascii="Verdana" w:hAnsi="Verdana"/>
          <w:sz w:val="22"/>
          <w:szCs w:val="22"/>
        </w:rPr>
        <w:t>l</w:t>
      </w:r>
      <w:r w:rsidRPr="00252829">
        <w:rPr>
          <w:rFonts w:ascii="Verdana" w:hAnsi="Verdana"/>
          <w:sz w:val="22"/>
          <w:szCs w:val="22"/>
        </w:rPr>
        <w:t xml:space="preserve">aundering and </w:t>
      </w:r>
      <w:r w:rsidR="00467AC0">
        <w:rPr>
          <w:rFonts w:ascii="Verdana" w:hAnsi="Verdana"/>
          <w:sz w:val="22"/>
          <w:szCs w:val="22"/>
        </w:rPr>
        <w:t>c</w:t>
      </w:r>
      <w:r w:rsidRPr="00252829">
        <w:rPr>
          <w:rFonts w:ascii="Verdana" w:hAnsi="Verdana"/>
          <w:sz w:val="22"/>
          <w:szCs w:val="22"/>
        </w:rPr>
        <w:t xml:space="preserve">ombatting the </w:t>
      </w:r>
      <w:r w:rsidR="00467AC0">
        <w:rPr>
          <w:rFonts w:ascii="Verdana" w:hAnsi="Verdana"/>
          <w:sz w:val="22"/>
          <w:szCs w:val="22"/>
        </w:rPr>
        <w:t>f</w:t>
      </w:r>
      <w:r w:rsidRPr="00252829">
        <w:rPr>
          <w:rFonts w:ascii="Verdana" w:hAnsi="Verdana"/>
          <w:sz w:val="22"/>
          <w:szCs w:val="22"/>
        </w:rPr>
        <w:t xml:space="preserve">inancing of </w:t>
      </w:r>
      <w:r w:rsidR="00467AC0">
        <w:rPr>
          <w:rFonts w:ascii="Verdana" w:hAnsi="Verdana"/>
          <w:sz w:val="22"/>
          <w:szCs w:val="22"/>
        </w:rPr>
        <w:t xml:space="preserve">terrorism </w:t>
      </w:r>
      <w:r w:rsidRPr="00252829">
        <w:rPr>
          <w:rFonts w:ascii="Verdana" w:hAnsi="Verdana"/>
          <w:sz w:val="22"/>
          <w:szCs w:val="22"/>
        </w:rPr>
        <w:t>programme is</w:t>
      </w:r>
      <w:r>
        <w:rPr>
          <w:rFonts w:ascii="Verdana" w:hAnsi="Verdana"/>
          <w:sz w:val="22"/>
          <w:szCs w:val="22"/>
        </w:rPr>
        <w:t xml:space="preserve">, therefore, domestic </w:t>
      </w:r>
      <w:r w:rsidRPr="00252829">
        <w:rPr>
          <w:rFonts w:ascii="Verdana" w:hAnsi="Verdana"/>
          <w:sz w:val="22"/>
          <w:szCs w:val="22"/>
        </w:rPr>
        <w:t>compliance with the</w:t>
      </w:r>
      <w:r w:rsidR="00467AC0">
        <w:rPr>
          <w:rFonts w:ascii="Verdana" w:hAnsi="Verdana"/>
          <w:sz w:val="22"/>
          <w:szCs w:val="22"/>
        </w:rPr>
        <w:t>se international</w:t>
      </w:r>
      <w:r w:rsidRPr="00252829">
        <w:rPr>
          <w:rFonts w:ascii="Verdana" w:hAnsi="Verdana"/>
          <w:sz w:val="22"/>
          <w:szCs w:val="22"/>
        </w:rPr>
        <w:t xml:space="preserve"> FAT</w:t>
      </w:r>
      <w:r>
        <w:rPr>
          <w:rFonts w:ascii="Verdana" w:hAnsi="Verdana"/>
          <w:sz w:val="22"/>
          <w:szCs w:val="22"/>
        </w:rPr>
        <w:t>F</w:t>
      </w:r>
      <w:r w:rsidRPr="00252829">
        <w:rPr>
          <w:rFonts w:ascii="Verdana" w:hAnsi="Verdana"/>
          <w:sz w:val="22"/>
          <w:szCs w:val="22"/>
        </w:rPr>
        <w:t xml:space="preserve"> 40 Recommendations.  This ensures a minimum level and standard of compliance across the world in order to improve the efficacy of the international focus on criminal proceeds and the financing of terrorist acts.  Such uniformity is important</w:t>
      </w:r>
      <w:r w:rsidR="00467AC0">
        <w:rPr>
          <w:rFonts w:ascii="Verdana" w:hAnsi="Verdana"/>
          <w:sz w:val="22"/>
          <w:szCs w:val="22"/>
        </w:rPr>
        <w:t>, inter alia,</w:t>
      </w:r>
      <w:r>
        <w:rPr>
          <w:rFonts w:ascii="Verdana" w:hAnsi="Verdana"/>
          <w:sz w:val="22"/>
          <w:szCs w:val="22"/>
        </w:rPr>
        <w:t xml:space="preserve"> for 2 very specific reasons:</w:t>
      </w:r>
    </w:p>
    <w:p w:rsidR="009F184A" w:rsidRDefault="009F184A" w:rsidP="00783450">
      <w:pPr>
        <w:pStyle w:val="ListParagraph"/>
        <w:widowControl w:val="0"/>
        <w:numPr>
          <w:ilvl w:val="1"/>
          <w:numId w:val="2"/>
        </w:numPr>
        <w:rPr>
          <w:rFonts w:ascii="Verdana" w:hAnsi="Verdana"/>
          <w:sz w:val="22"/>
          <w:szCs w:val="22"/>
        </w:rPr>
      </w:pPr>
      <w:r>
        <w:rPr>
          <w:rFonts w:ascii="Verdana" w:hAnsi="Verdana"/>
          <w:sz w:val="22"/>
          <w:szCs w:val="22"/>
        </w:rPr>
        <w:t xml:space="preserve">The standardised </w:t>
      </w:r>
      <w:r w:rsidR="009369EC">
        <w:rPr>
          <w:rFonts w:ascii="Verdana" w:hAnsi="Verdana"/>
          <w:sz w:val="22"/>
          <w:szCs w:val="22"/>
        </w:rPr>
        <w:t xml:space="preserve">international </w:t>
      </w:r>
      <w:r>
        <w:rPr>
          <w:rFonts w:ascii="Verdana" w:hAnsi="Verdana"/>
          <w:sz w:val="22"/>
          <w:szCs w:val="22"/>
        </w:rPr>
        <w:t xml:space="preserve">legislative, regulatory and supervisory framework, which is evaluated on a country basis by </w:t>
      </w:r>
      <w:r w:rsidR="009369EC">
        <w:rPr>
          <w:rFonts w:ascii="Verdana" w:hAnsi="Verdana"/>
          <w:sz w:val="22"/>
          <w:szCs w:val="22"/>
        </w:rPr>
        <w:t>outside parties under agreed “Mutual Evaluation”</w:t>
      </w:r>
      <w:r w:rsidR="00467AC0">
        <w:rPr>
          <w:rFonts w:ascii="Verdana" w:hAnsi="Verdana"/>
          <w:sz w:val="22"/>
          <w:szCs w:val="22"/>
        </w:rPr>
        <w:t xml:space="preserve"> protocols</w:t>
      </w:r>
      <w:r w:rsidR="009369EC">
        <w:rPr>
          <w:rFonts w:ascii="Verdana" w:hAnsi="Verdana"/>
          <w:sz w:val="22"/>
          <w:szCs w:val="22"/>
        </w:rPr>
        <w:t>; significant</w:t>
      </w:r>
      <w:r w:rsidR="00A14C24">
        <w:rPr>
          <w:rFonts w:ascii="Verdana" w:hAnsi="Verdana"/>
          <w:sz w:val="22"/>
          <w:szCs w:val="22"/>
        </w:rPr>
        <w:t>ly</w:t>
      </w:r>
      <w:r w:rsidR="009369EC">
        <w:rPr>
          <w:rFonts w:ascii="Verdana" w:hAnsi="Verdana"/>
          <w:sz w:val="22"/>
          <w:szCs w:val="22"/>
        </w:rPr>
        <w:t xml:space="preserve"> non-compliant countries are sanctioned by the international community, and change recommendations are made for less significant non-compliance (e.g. the 2009 Mutual Evaluation of South Africa, t</w:t>
      </w:r>
      <w:r w:rsidR="00467AC0">
        <w:rPr>
          <w:rFonts w:ascii="Verdana" w:hAnsi="Verdana"/>
          <w:sz w:val="22"/>
          <w:szCs w:val="22"/>
        </w:rPr>
        <w:t>he 2012 revised 40 Recommendati</w:t>
      </w:r>
      <w:r w:rsidR="009369EC">
        <w:rPr>
          <w:rFonts w:ascii="Verdana" w:hAnsi="Verdana"/>
          <w:sz w:val="22"/>
          <w:szCs w:val="22"/>
        </w:rPr>
        <w:t>ons and the imminent upcoming new Mutual Evaluation</w:t>
      </w:r>
      <w:r w:rsidR="00A14C24">
        <w:rPr>
          <w:rFonts w:ascii="Verdana" w:hAnsi="Verdana"/>
          <w:sz w:val="22"/>
          <w:szCs w:val="22"/>
        </w:rPr>
        <w:t xml:space="preserve"> of SA</w:t>
      </w:r>
      <w:r w:rsidR="009369EC">
        <w:rPr>
          <w:rFonts w:ascii="Verdana" w:hAnsi="Verdana"/>
          <w:sz w:val="22"/>
          <w:szCs w:val="22"/>
        </w:rPr>
        <w:t xml:space="preserve">, which have underpinned the urgency of the Bill).   </w:t>
      </w:r>
      <w:r>
        <w:rPr>
          <w:rFonts w:ascii="Verdana" w:hAnsi="Verdana"/>
          <w:sz w:val="22"/>
          <w:szCs w:val="22"/>
        </w:rPr>
        <w:t xml:space="preserve"> </w:t>
      </w:r>
    </w:p>
    <w:p w:rsidR="00A14C24" w:rsidRDefault="009369EC" w:rsidP="00783450">
      <w:pPr>
        <w:pStyle w:val="ListParagraph"/>
        <w:widowControl w:val="0"/>
        <w:numPr>
          <w:ilvl w:val="1"/>
          <w:numId w:val="2"/>
        </w:numPr>
        <w:rPr>
          <w:rFonts w:ascii="Verdana" w:hAnsi="Verdana"/>
          <w:sz w:val="22"/>
          <w:szCs w:val="22"/>
        </w:rPr>
      </w:pPr>
      <w:r>
        <w:rPr>
          <w:rFonts w:ascii="Verdana" w:hAnsi="Verdana"/>
          <w:sz w:val="22"/>
          <w:szCs w:val="22"/>
        </w:rPr>
        <w:t xml:space="preserve">Consistent compliance with this standardised regulatory and supervisory framework within multinational financial groups, which are expected to implement equivalent standardised internal compliance policies and procedures; in this context it is an accepted </w:t>
      </w:r>
      <w:r w:rsidR="00A14C24">
        <w:rPr>
          <w:rFonts w:ascii="Verdana" w:hAnsi="Verdana"/>
          <w:sz w:val="22"/>
          <w:szCs w:val="22"/>
        </w:rPr>
        <w:t xml:space="preserve">international </w:t>
      </w:r>
      <w:r>
        <w:rPr>
          <w:rFonts w:ascii="Verdana" w:hAnsi="Verdana"/>
          <w:sz w:val="22"/>
          <w:szCs w:val="22"/>
        </w:rPr>
        <w:t xml:space="preserve">supervisory requirement that such </w:t>
      </w:r>
      <w:r w:rsidR="00A14C24">
        <w:rPr>
          <w:rFonts w:ascii="Verdana" w:hAnsi="Verdana"/>
          <w:sz w:val="22"/>
          <w:szCs w:val="22"/>
        </w:rPr>
        <w:t xml:space="preserve">financial </w:t>
      </w:r>
      <w:r>
        <w:rPr>
          <w:rFonts w:ascii="Verdana" w:hAnsi="Verdana"/>
          <w:sz w:val="22"/>
          <w:szCs w:val="22"/>
        </w:rPr>
        <w:t>group policy is based on the regulatory requirements</w:t>
      </w:r>
      <w:r w:rsidR="00A14C24">
        <w:rPr>
          <w:rFonts w:ascii="Verdana" w:hAnsi="Verdana"/>
          <w:sz w:val="22"/>
          <w:szCs w:val="22"/>
        </w:rPr>
        <w:t xml:space="preserve"> of the home country</w:t>
      </w:r>
      <w:r w:rsidR="001F4934">
        <w:rPr>
          <w:rFonts w:ascii="Verdana" w:hAnsi="Verdana"/>
          <w:sz w:val="22"/>
          <w:szCs w:val="22"/>
        </w:rPr>
        <w:t xml:space="preserve"> (i.e. where the holding company is)</w:t>
      </w:r>
      <w:r>
        <w:rPr>
          <w:rFonts w:ascii="Verdana" w:hAnsi="Verdana"/>
          <w:sz w:val="22"/>
          <w:szCs w:val="22"/>
        </w:rPr>
        <w:t xml:space="preserve">, unless the requirements within a specific </w:t>
      </w:r>
      <w:r w:rsidR="00A14C24">
        <w:rPr>
          <w:rFonts w:ascii="Verdana" w:hAnsi="Verdana"/>
          <w:sz w:val="22"/>
          <w:szCs w:val="22"/>
        </w:rPr>
        <w:t xml:space="preserve">subsidiary/ branch </w:t>
      </w:r>
      <w:r>
        <w:rPr>
          <w:rFonts w:ascii="Verdana" w:hAnsi="Verdana"/>
          <w:sz w:val="22"/>
          <w:szCs w:val="22"/>
        </w:rPr>
        <w:t xml:space="preserve">host country are higher than these home country requirements, in which case the higher, local standards will prevail.  </w:t>
      </w:r>
    </w:p>
    <w:p w:rsidR="00A14C24" w:rsidRDefault="00A14C24" w:rsidP="00A14C24">
      <w:pPr>
        <w:pStyle w:val="ListParagraph"/>
        <w:widowControl w:val="0"/>
        <w:ind w:left="1418" w:firstLine="0"/>
        <w:rPr>
          <w:rFonts w:ascii="Verdana" w:hAnsi="Verdana"/>
          <w:sz w:val="22"/>
          <w:szCs w:val="22"/>
        </w:rPr>
      </w:pPr>
    </w:p>
    <w:p w:rsidR="00A14C24" w:rsidRDefault="009F184A" w:rsidP="00783450">
      <w:pPr>
        <w:pStyle w:val="ListParagraph"/>
        <w:widowControl w:val="0"/>
        <w:numPr>
          <w:ilvl w:val="0"/>
          <w:numId w:val="2"/>
        </w:numPr>
        <w:rPr>
          <w:rFonts w:ascii="Verdana" w:hAnsi="Verdana"/>
          <w:sz w:val="22"/>
          <w:szCs w:val="22"/>
        </w:rPr>
      </w:pPr>
      <w:r w:rsidRPr="00A14C24">
        <w:rPr>
          <w:rFonts w:ascii="Verdana" w:hAnsi="Verdana"/>
          <w:sz w:val="22"/>
          <w:szCs w:val="22"/>
        </w:rPr>
        <w:t>We support this internationally consistent compliance model because it facilitates consistent compliance across jurisdictions for multi-national banks</w:t>
      </w:r>
      <w:r w:rsidR="00467AC0">
        <w:rPr>
          <w:rFonts w:ascii="Verdana" w:hAnsi="Verdana"/>
          <w:sz w:val="22"/>
          <w:szCs w:val="22"/>
        </w:rPr>
        <w:t>, and as noted by NT “the reputational risk of non-compliance exceeds the cost of compliance”</w:t>
      </w:r>
      <w:r w:rsidRPr="00A14C24">
        <w:rPr>
          <w:rFonts w:ascii="Verdana" w:hAnsi="Verdana"/>
          <w:sz w:val="22"/>
          <w:szCs w:val="22"/>
        </w:rPr>
        <w:t>.</w:t>
      </w:r>
      <w:r w:rsidR="00A14C24">
        <w:rPr>
          <w:rFonts w:ascii="Verdana" w:hAnsi="Verdana"/>
          <w:sz w:val="22"/>
          <w:szCs w:val="22"/>
        </w:rPr>
        <w:t xml:space="preserve"> However, as noted below, the Bill introduces significant deviations from the FATF standards that will introduce cross-jurisdictional compliance challenges.</w:t>
      </w:r>
    </w:p>
    <w:p w:rsidR="00A14C24" w:rsidRDefault="00A14C24" w:rsidP="00A14C24">
      <w:pPr>
        <w:widowControl w:val="0"/>
        <w:rPr>
          <w:rFonts w:ascii="Verdana" w:hAnsi="Verdana"/>
          <w:sz w:val="22"/>
          <w:szCs w:val="22"/>
        </w:rPr>
      </w:pPr>
    </w:p>
    <w:p w:rsidR="00FC4D7E" w:rsidRDefault="001F4934" w:rsidP="00783450">
      <w:pPr>
        <w:pStyle w:val="ListParagraph"/>
        <w:widowControl w:val="0"/>
        <w:numPr>
          <w:ilvl w:val="0"/>
          <w:numId w:val="2"/>
        </w:numPr>
        <w:rPr>
          <w:rFonts w:ascii="Verdana" w:hAnsi="Verdana"/>
          <w:sz w:val="22"/>
          <w:szCs w:val="22"/>
        </w:rPr>
      </w:pPr>
      <w:r>
        <w:rPr>
          <w:rFonts w:ascii="Verdana" w:hAnsi="Verdana"/>
          <w:sz w:val="22"/>
          <w:szCs w:val="22"/>
        </w:rPr>
        <w:t xml:space="preserve">One of the key changes to the 2012 FATF 40 Recommendations was the introduction of a Risk Based Approach (“RBA”) to AML/CFT, at country and institutional levels. The </w:t>
      </w:r>
      <w:r w:rsidR="00FC4D7E">
        <w:rPr>
          <w:rFonts w:ascii="Verdana" w:hAnsi="Verdana"/>
          <w:sz w:val="22"/>
          <w:szCs w:val="22"/>
        </w:rPr>
        <w:t>driver for this change wa</w:t>
      </w:r>
      <w:r>
        <w:rPr>
          <w:rFonts w:ascii="Verdana" w:hAnsi="Verdana"/>
          <w:sz w:val="22"/>
          <w:szCs w:val="22"/>
        </w:rPr>
        <w:t xml:space="preserve">s to acknowledge that risks are variable from high to low, and that scarce resources should be targeted at the higher risks, with reduced compliance burdens for lower risks. </w:t>
      </w:r>
      <w:r w:rsidR="008B09C2">
        <w:rPr>
          <w:rFonts w:ascii="Verdana" w:hAnsi="Verdana"/>
          <w:sz w:val="22"/>
          <w:szCs w:val="22"/>
        </w:rPr>
        <w:t>This RBA starts with a national assessment, to ensure that institutional programmes “to prevent or mitigate money laundering and terrorist financing are commensurate with the risks identified. This approach should be an essential foundation to efficient allocation of resources ....” (Recommendation 1). The FATF Recommendations make provision for practical, risk-based national implementation processes to ensure this strategic focus of resources, and effective mitigation of the risks</w:t>
      </w:r>
      <w:r w:rsidR="00467AC0">
        <w:rPr>
          <w:rFonts w:ascii="Verdana" w:hAnsi="Verdana"/>
          <w:sz w:val="22"/>
          <w:szCs w:val="22"/>
        </w:rPr>
        <w:t>,</w:t>
      </w:r>
      <w:r w:rsidR="008B09C2">
        <w:rPr>
          <w:rFonts w:ascii="Verdana" w:hAnsi="Verdana"/>
          <w:sz w:val="22"/>
          <w:szCs w:val="22"/>
        </w:rPr>
        <w:t xml:space="preserve"> given unique country risks. It is clear from the Bill provisions supposedly to implement this RBA that there are significant differences in understanding between the various parties on exactly what such a risk based approach should entail, especially across the two </w:t>
      </w:r>
      <w:r w:rsidR="00467AC0">
        <w:rPr>
          <w:rFonts w:ascii="Verdana" w:hAnsi="Verdana"/>
          <w:sz w:val="22"/>
          <w:szCs w:val="22"/>
        </w:rPr>
        <w:t xml:space="preserve">different but related </w:t>
      </w:r>
      <w:r w:rsidR="008B09C2">
        <w:rPr>
          <w:rFonts w:ascii="Verdana" w:hAnsi="Verdana"/>
          <w:sz w:val="22"/>
          <w:szCs w:val="22"/>
        </w:rPr>
        <w:t>concepts of “</w:t>
      </w:r>
      <w:r w:rsidR="00FC4D7E">
        <w:rPr>
          <w:rFonts w:ascii="Verdana" w:hAnsi="Verdana"/>
          <w:sz w:val="22"/>
          <w:szCs w:val="22"/>
        </w:rPr>
        <w:t xml:space="preserve">identifying” a customer and then “verifying” such identification parameters. </w:t>
      </w:r>
    </w:p>
    <w:p w:rsidR="00FC4D7E" w:rsidRDefault="00FC4D7E" w:rsidP="00FC4D7E">
      <w:pPr>
        <w:pStyle w:val="ListParagraph"/>
        <w:widowControl w:val="0"/>
        <w:ind w:left="567" w:firstLine="0"/>
        <w:rPr>
          <w:rFonts w:ascii="Verdana" w:hAnsi="Verdana"/>
          <w:sz w:val="22"/>
          <w:szCs w:val="22"/>
        </w:rPr>
      </w:pPr>
    </w:p>
    <w:p w:rsidR="00A14C24" w:rsidRPr="00A14C24" w:rsidRDefault="00FC4D7E" w:rsidP="00783450">
      <w:pPr>
        <w:pStyle w:val="ListParagraph"/>
        <w:widowControl w:val="0"/>
        <w:numPr>
          <w:ilvl w:val="0"/>
          <w:numId w:val="2"/>
        </w:numPr>
        <w:rPr>
          <w:rFonts w:ascii="Verdana" w:hAnsi="Verdana"/>
          <w:sz w:val="22"/>
          <w:szCs w:val="22"/>
        </w:rPr>
      </w:pPr>
      <w:r>
        <w:rPr>
          <w:rFonts w:ascii="Verdana" w:hAnsi="Verdana"/>
          <w:sz w:val="22"/>
          <w:szCs w:val="22"/>
        </w:rPr>
        <w:t>We set our detailed comments, in more detail, below.</w:t>
      </w:r>
      <w:r w:rsidR="008B09C2">
        <w:rPr>
          <w:rFonts w:ascii="Verdana" w:hAnsi="Verdana"/>
          <w:sz w:val="22"/>
          <w:szCs w:val="22"/>
        </w:rPr>
        <w:t xml:space="preserve">     </w:t>
      </w:r>
      <w:r w:rsidR="001F4934">
        <w:rPr>
          <w:rFonts w:ascii="Verdana" w:hAnsi="Verdana"/>
          <w:sz w:val="22"/>
          <w:szCs w:val="22"/>
        </w:rPr>
        <w:t xml:space="preserve">  </w:t>
      </w:r>
    </w:p>
    <w:p w:rsidR="00A14C24" w:rsidRPr="00A14C24" w:rsidRDefault="00A14C24" w:rsidP="00A14C24">
      <w:pPr>
        <w:widowControl w:val="0"/>
        <w:rPr>
          <w:rFonts w:ascii="Verdana" w:hAnsi="Verdana"/>
          <w:sz w:val="22"/>
          <w:szCs w:val="22"/>
        </w:rPr>
      </w:pPr>
    </w:p>
    <w:p w:rsidR="00FF290C" w:rsidRDefault="00FF290C" w:rsidP="00D014D5">
      <w:pPr>
        <w:widowControl w:val="0"/>
        <w:rPr>
          <w:rFonts w:ascii="Verdana" w:hAnsi="Verdana"/>
          <w:b/>
          <w:sz w:val="22"/>
          <w:szCs w:val="22"/>
        </w:rPr>
      </w:pPr>
      <w:r w:rsidRPr="00252829">
        <w:rPr>
          <w:rFonts w:ascii="Verdana" w:hAnsi="Verdana"/>
          <w:b/>
          <w:sz w:val="22"/>
          <w:szCs w:val="22"/>
        </w:rPr>
        <w:t>Preamble</w:t>
      </w:r>
    </w:p>
    <w:p w:rsidR="00252829" w:rsidRPr="00252829" w:rsidRDefault="00252829" w:rsidP="00D014D5">
      <w:pPr>
        <w:widowControl w:val="0"/>
        <w:rPr>
          <w:rFonts w:ascii="Verdana" w:hAnsi="Verdana"/>
          <w:sz w:val="22"/>
          <w:szCs w:val="22"/>
        </w:rPr>
      </w:pPr>
    </w:p>
    <w:p w:rsidR="001E0BA8" w:rsidRPr="00FC4D7E" w:rsidRDefault="00C476E4" w:rsidP="00783450">
      <w:pPr>
        <w:pStyle w:val="ListParagraph"/>
        <w:widowControl w:val="0"/>
        <w:numPr>
          <w:ilvl w:val="0"/>
          <w:numId w:val="2"/>
        </w:numPr>
        <w:rPr>
          <w:rFonts w:ascii="Verdana" w:hAnsi="Verdana"/>
          <w:sz w:val="22"/>
          <w:szCs w:val="22"/>
        </w:rPr>
      </w:pPr>
      <w:r w:rsidRPr="00FC4D7E">
        <w:rPr>
          <w:rFonts w:ascii="Verdana" w:hAnsi="Verdana"/>
          <w:sz w:val="22"/>
          <w:szCs w:val="22"/>
        </w:rPr>
        <w:t>The preamble of an Act records the circumstances and the background of, and reasons for</w:t>
      </w:r>
      <w:r w:rsidR="00FC4D7E" w:rsidRPr="00FC4D7E">
        <w:rPr>
          <w:rFonts w:ascii="Verdana" w:hAnsi="Verdana"/>
          <w:sz w:val="22"/>
          <w:szCs w:val="22"/>
        </w:rPr>
        <w:t>,</w:t>
      </w:r>
      <w:r w:rsidRPr="00FC4D7E">
        <w:rPr>
          <w:rFonts w:ascii="Verdana" w:hAnsi="Verdana"/>
          <w:sz w:val="22"/>
          <w:szCs w:val="22"/>
        </w:rPr>
        <w:t xml:space="preserve"> the legislation.  It is a well-known principle of our law that because a preamble is part of the full text of an enactment, it may throw a light, for the purpose of construction, on the intention of the legislature with regard to </w:t>
      </w:r>
      <w:r w:rsidR="00FC4D7E" w:rsidRPr="00FC4D7E">
        <w:rPr>
          <w:rFonts w:ascii="Verdana" w:hAnsi="Verdana"/>
          <w:sz w:val="22"/>
          <w:szCs w:val="22"/>
        </w:rPr>
        <w:t>any</w:t>
      </w:r>
      <w:r w:rsidRPr="00FC4D7E">
        <w:rPr>
          <w:rFonts w:ascii="Verdana" w:hAnsi="Verdana"/>
          <w:sz w:val="22"/>
          <w:szCs w:val="22"/>
        </w:rPr>
        <w:t xml:space="preserve"> obscure meaning of provisions in </w:t>
      </w:r>
      <w:r w:rsidR="00FC4D7E" w:rsidRPr="00FC4D7E">
        <w:rPr>
          <w:rFonts w:ascii="Verdana" w:hAnsi="Verdana"/>
          <w:sz w:val="22"/>
          <w:szCs w:val="22"/>
        </w:rPr>
        <w:t>such</w:t>
      </w:r>
      <w:r w:rsidRPr="00FC4D7E">
        <w:rPr>
          <w:rFonts w:ascii="Verdana" w:hAnsi="Verdana"/>
          <w:sz w:val="22"/>
          <w:szCs w:val="22"/>
        </w:rPr>
        <w:t xml:space="preserve"> legislation.  This approach has been upheld post-1994 in cases such as </w:t>
      </w:r>
      <w:r w:rsidR="00B46DE8" w:rsidRPr="00FC4D7E">
        <w:rPr>
          <w:rFonts w:ascii="Verdana" w:hAnsi="Verdana"/>
          <w:i/>
          <w:sz w:val="22"/>
          <w:szCs w:val="22"/>
        </w:rPr>
        <w:t xml:space="preserve">Ngcobo v Salimba CC; Ngcobo v Van </w:t>
      </w:r>
      <w:r w:rsidR="00B46DE8" w:rsidRPr="00FC4D7E">
        <w:rPr>
          <w:rFonts w:ascii="Verdana" w:hAnsi="Verdana"/>
          <w:i/>
          <w:sz w:val="22"/>
          <w:szCs w:val="22"/>
        </w:rPr>
        <w:br/>
        <w:t>Rensburg 1999(2) SA 1057 (SCA)</w:t>
      </w:r>
      <w:r w:rsidRPr="00FC4D7E">
        <w:rPr>
          <w:rFonts w:ascii="Verdana" w:hAnsi="Verdana"/>
          <w:sz w:val="22"/>
          <w:szCs w:val="22"/>
        </w:rPr>
        <w:t>.  It is particularly important in the context of the interpretation of the Financial Intelligence Centre Act (</w:t>
      </w:r>
      <w:r w:rsidR="00FC4D7E">
        <w:rPr>
          <w:rFonts w:ascii="Verdana" w:hAnsi="Verdana"/>
          <w:sz w:val="22"/>
          <w:szCs w:val="22"/>
        </w:rPr>
        <w:t>“</w:t>
      </w:r>
      <w:r w:rsidRPr="00FC4D7E">
        <w:rPr>
          <w:rFonts w:ascii="Verdana" w:hAnsi="Verdana"/>
          <w:sz w:val="22"/>
          <w:szCs w:val="22"/>
        </w:rPr>
        <w:t>FICA</w:t>
      </w:r>
      <w:r w:rsidR="00FC4D7E">
        <w:rPr>
          <w:rFonts w:ascii="Verdana" w:hAnsi="Verdana"/>
          <w:sz w:val="22"/>
          <w:szCs w:val="22"/>
        </w:rPr>
        <w:t>”</w:t>
      </w:r>
      <w:r w:rsidRPr="00FC4D7E">
        <w:rPr>
          <w:rFonts w:ascii="Verdana" w:hAnsi="Verdana"/>
          <w:sz w:val="22"/>
          <w:szCs w:val="22"/>
        </w:rPr>
        <w:t>), post the enactment of the Bill, that proper context is given to the interpretation of the legislation</w:t>
      </w:r>
      <w:r w:rsidR="00FC4D7E" w:rsidRPr="00FC4D7E">
        <w:rPr>
          <w:rFonts w:ascii="Verdana" w:hAnsi="Verdana"/>
          <w:sz w:val="22"/>
          <w:szCs w:val="22"/>
        </w:rPr>
        <w:t xml:space="preserve"> given that, as noted above, </w:t>
      </w:r>
      <w:r w:rsidR="00FC4D7E">
        <w:rPr>
          <w:rFonts w:ascii="Verdana" w:hAnsi="Verdana"/>
          <w:sz w:val="22"/>
          <w:szCs w:val="22"/>
        </w:rPr>
        <w:t>t</w:t>
      </w:r>
      <w:r w:rsidR="00DF2527" w:rsidRPr="00FC4D7E">
        <w:rPr>
          <w:rFonts w:ascii="Verdana" w:hAnsi="Verdana"/>
          <w:sz w:val="22"/>
          <w:szCs w:val="22"/>
        </w:rPr>
        <w:t>he Bill is, to a great extent, predicated on implementing many of the latest FATF Recommendations as updated in 2012</w:t>
      </w:r>
      <w:r w:rsidR="00455BD5">
        <w:rPr>
          <w:rFonts w:ascii="Verdana" w:hAnsi="Verdana"/>
          <w:sz w:val="22"/>
          <w:szCs w:val="22"/>
        </w:rPr>
        <w:t>.</w:t>
      </w:r>
      <w:r w:rsidR="00DF2527" w:rsidRPr="00FC4D7E">
        <w:rPr>
          <w:rFonts w:ascii="Verdana" w:hAnsi="Verdana"/>
          <w:sz w:val="22"/>
          <w:szCs w:val="22"/>
        </w:rPr>
        <w:t xml:space="preserve"> </w:t>
      </w:r>
      <w:r w:rsidR="00455BD5">
        <w:rPr>
          <w:rFonts w:ascii="Verdana" w:hAnsi="Verdana"/>
          <w:sz w:val="22"/>
          <w:szCs w:val="22"/>
        </w:rPr>
        <w:t>I</w:t>
      </w:r>
      <w:r w:rsidR="00FC4D7E">
        <w:rPr>
          <w:rFonts w:ascii="Verdana" w:hAnsi="Verdana"/>
          <w:sz w:val="22"/>
          <w:szCs w:val="22"/>
        </w:rPr>
        <w:t xml:space="preserve">t is </w:t>
      </w:r>
      <w:r w:rsidR="001E0BA8" w:rsidRPr="00FC4D7E">
        <w:rPr>
          <w:rFonts w:ascii="Verdana" w:hAnsi="Verdana"/>
          <w:sz w:val="22"/>
          <w:szCs w:val="22"/>
        </w:rPr>
        <w:t>acknowledge</w:t>
      </w:r>
      <w:r w:rsidR="00FC4D7E">
        <w:rPr>
          <w:rFonts w:ascii="Verdana" w:hAnsi="Verdana"/>
          <w:sz w:val="22"/>
          <w:szCs w:val="22"/>
        </w:rPr>
        <w:t>d</w:t>
      </w:r>
      <w:r w:rsidR="001E0BA8" w:rsidRPr="00FC4D7E">
        <w:rPr>
          <w:rFonts w:ascii="Verdana" w:hAnsi="Verdana"/>
          <w:sz w:val="22"/>
          <w:szCs w:val="22"/>
        </w:rPr>
        <w:t xml:space="preserve"> </w:t>
      </w:r>
      <w:r w:rsidR="00455BD5">
        <w:rPr>
          <w:rFonts w:ascii="Verdana" w:hAnsi="Verdana"/>
          <w:sz w:val="22"/>
          <w:szCs w:val="22"/>
        </w:rPr>
        <w:t xml:space="preserve">that this </w:t>
      </w:r>
      <w:r w:rsidR="001E0BA8" w:rsidRPr="00FC4D7E">
        <w:rPr>
          <w:rFonts w:ascii="Verdana" w:hAnsi="Verdana"/>
          <w:sz w:val="22"/>
          <w:szCs w:val="22"/>
        </w:rPr>
        <w:t xml:space="preserve">is required </w:t>
      </w:r>
      <w:r w:rsidR="00FC4D7E">
        <w:rPr>
          <w:rFonts w:ascii="Verdana" w:hAnsi="Verdana"/>
          <w:sz w:val="22"/>
          <w:szCs w:val="22"/>
        </w:rPr>
        <w:t>prior to</w:t>
      </w:r>
      <w:r w:rsidR="001E0BA8" w:rsidRPr="00FC4D7E">
        <w:rPr>
          <w:rFonts w:ascii="Verdana" w:hAnsi="Verdana"/>
          <w:sz w:val="22"/>
          <w:szCs w:val="22"/>
        </w:rPr>
        <w:t xml:space="preserve"> the next anticipated mutual evaluation by FATF of South Africa’s compliance with </w:t>
      </w:r>
      <w:r w:rsidR="00455BD5">
        <w:rPr>
          <w:rFonts w:ascii="Verdana" w:hAnsi="Verdana"/>
          <w:sz w:val="22"/>
          <w:szCs w:val="22"/>
        </w:rPr>
        <w:t>the</w:t>
      </w:r>
      <w:r w:rsidR="001E0BA8" w:rsidRPr="00FC4D7E">
        <w:rPr>
          <w:rFonts w:ascii="Verdana" w:hAnsi="Verdana"/>
          <w:sz w:val="22"/>
          <w:szCs w:val="22"/>
        </w:rPr>
        <w:t xml:space="preserve"> 40 Recommendations</w:t>
      </w:r>
      <w:r w:rsidR="00DF2527" w:rsidRPr="00FC4D7E">
        <w:rPr>
          <w:rFonts w:ascii="Verdana" w:hAnsi="Verdana"/>
          <w:sz w:val="22"/>
          <w:szCs w:val="22"/>
        </w:rPr>
        <w:t>.</w:t>
      </w:r>
    </w:p>
    <w:p w:rsidR="00252829" w:rsidRPr="00252829" w:rsidRDefault="00252829" w:rsidP="00D014D5">
      <w:pPr>
        <w:pStyle w:val="ListParagraph"/>
        <w:widowControl w:val="0"/>
        <w:rPr>
          <w:rFonts w:ascii="Verdana" w:hAnsi="Verdana"/>
          <w:sz w:val="22"/>
          <w:szCs w:val="22"/>
        </w:rPr>
      </w:pPr>
    </w:p>
    <w:p w:rsidR="001E0BA8" w:rsidRPr="00252829" w:rsidRDefault="001E0BA8" w:rsidP="00783450">
      <w:pPr>
        <w:pStyle w:val="ListParagraph"/>
        <w:widowControl w:val="0"/>
        <w:numPr>
          <w:ilvl w:val="0"/>
          <w:numId w:val="2"/>
        </w:numPr>
        <w:tabs>
          <w:tab w:val="left" w:pos="567"/>
        </w:tabs>
        <w:rPr>
          <w:rFonts w:ascii="Verdana" w:hAnsi="Verdana"/>
          <w:sz w:val="22"/>
          <w:szCs w:val="22"/>
        </w:rPr>
      </w:pPr>
      <w:r w:rsidRPr="00252829">
        <w:rPr>
          <w:rFonts w:ascii="Verdana" w:hAnsi="Verdana"/>
          <w:sz w:val="22"/>
          <w:szCs w:val="22"/>
        </w:rPr>
        <w:t>For this reason we propo</w:t>
      </w:r>
      <w:r w:rsidR="00FC4D7E">
        <w:rPr>
          <w:rFonts w:ascii="Verdana" w:hAnsi="Verdana"/>
          <w:sz w:val="22"/>
          <w:szCs w:val="22"/>
        </w:rPr>
        <w:t>se an express inclusion in the P</w:t>
      </w:r>
      <w:r w:rsidRPr="00252829">
        <w:rPr>
          <w:rFonts w:ascii="Verdana" w:hAnsi="Verdana"/>
          <w:sz w:val="22"/>
          <w:szCs w:val="22"/>
        </w:rPr>
        <w:t>reamble of the Bill of the following words:</w:t>
      </w:r>
    </w:p>
    <w:p w:rsidR="00F24F04" w:rsidRDefault="00F24F04" w:rsidP="00D014D5">
      <w:pPr>
        <w:pStyle w:val="ListParagraph"/>
        <w:widowControl w:val="0"/>
        <w:ind w:left="567" w:firstLine="0"/>
        <w:rPr>
          <w:rFonts w:ascii="Verdana" w:hAnsi="Verdana"/>
          <w:sz w:val="22"/>
          <w:szCs w:val="22"/>
        </w:rPr>
      </w:pPr>
    </w:p>
    <w:p w:rsidR="001E0BA8" w:rsidRDefault="001E0BA8" w:rsidP="00D014D5">
      <w:pPr>
        <w:pStyle w:val="ListParagraph"/>
        <w:widowControl w:val="0"/>
        <w:ind w:left="567" w:firstLine="0"/>
        <w:rPr>
          <w:rFonts w:ascii="Verdana" w:hAnsi="Verdana"/>
          <w:sz w:val="22"/>
          <w:szCs w:val="22"/>
        </w:rPr>
      </w:pPr>
      <w:r w:rsidRPr="00252829">
        <w:rPr>
          <w:rFonts w:ascii="Verdana" w:hAnsi="Verdana"/>
          <w:sz w:val="22"/>
          <w:szCs w:val="22"/>
        </w:rPr>
        <w:t xml:space="preserve">“To amend the Financial Intelligence Centre Act, 2001, so as to </w:t>
      </w:r>
      <w:r w:rsidRPr="00252829">
        <w:rPr>
          <w:rFonts w:ascii="Verdana" w:hAnsi="Verdana"/>
          <w:b/>
          <w:sz w:val="22"/>
          <w:szCs w:val="22"/>
        </w:rPr>
        <w:t xml:space="preserve">align it with the standards set by the Financial Action Task Force in </w:t>
      </w:r>
      <w:r w:rsidR="00FC4D7E">
        <w:rPr>
          <w:rFonts w:ascii="Verdana" w:hAnsi="Verdana"/>
          <w:b/>
          <w:sz w:val="22"/>
          <w:szCs w:val="22"/>
        </w:rPr>
        <w:t>its</w:t>
      </w:r>
      <w:r w:rsidRPr="00252829">
        <w:rPr>
          <w:rFonts w:ascii="Verdana" w:hAnsi="Verdana"/>
          <w:b/>
          <w:sz w:val="22"/>
          <w:szCs w:val="22"/>
        </w:rPr>
        <w:t xml:space="preserve"> Recommendations; </w:t>
      </w:r>
      <w:r w:rsidRPr="00252829">
        <w:rPr>
          <w:rFonts w:ascii="Verdana" w:hAnsi="Verdana"/>
          <w:sz w:val="22"/>
          <w:szCs w:val="22"/>
        </w:rPr>
        <w:t>to define a further defined set of expressions …”</w:t>
      </w:r>
    </w:p>
    <w:p w:rsidR="00652E7A" w:rsidRDefault="00652E7A" w:rsidP="00652E7A">
      <w:pPr>
        <w:widowControl w:val="0"/>
        <w:ind w:left="0" w:firstLine="0"/>
        <w:rPr>
          <w:rFonts w:ascii="Verdana" w:hAnsi="Verdana"/>
          <w:sz w:val="22"/>
          <w:szCs w:val="22"/>
        </w:rPr>
      </w:pPr>
    </w:p>
    <w:p w:rsidR="00821D35" w:rsidRPr="00F24F04" w:rsidRDefault="00821D35" w:rsidP="00821D35">
      <w:pPr>
        <w:widowControl w:val="0"/>
        <w:rPr>
          <w:rFonts w:ascii="Verdana" w:hAnsi="Verdana"/>
          <w:sz w:val="22"/>
          <w:szCs w:val="22"/>
        </w:rPr>
      </w:pPr>
      <w:r w:rsidRPr="00F24F04">
        <w:rPr>
          <w:rFonts w:ascii="Verdana" w:hAnsi="Verdana"/>
          <w:b/>
          <w:sz w:val="22"/>
          <w:szCs w:val="22"/>
        </w:rPr>
        <w:t>Definitions</w:t>
      </w:r>
    </w:p>
    <w:p w:rsidR="00821D35" w:rsidRDefault="00821D35" w:rsidP="00821D35">
      <w:pPr>
        <w:pStyle w:val="ListParagraph"/>
        <w:widowControl w:val="0"/>
        <w:tabs>
          <w:tab w:val="left" w:pos="567"/>
        </w:tabs>
        <w:ind w:left="567" w:firstLine="0"/>
        <w:rPr>
          <w:rFonts w:ascii="Verdana" w:hAnsi="Verdana"/>
          <w:sz w:val="22"/>
          <w:szCs w:val="22"/>
        </w:rPr>
      </w:pPr>
    </w:p>
    <w:p w:rsidR="00821D35" w:rsidRPr="00252829" w:rsidRDefault="00821D35" w:rsidP="00783450">
      <w:pPr>
        <w:pStyle w:val="ListParagraph"/>
        <w:widowControl w:val="0"/>
        <w:numPr>
          <w:ilvl w:val="0"/>
          <w:numId w:val="2"/>
        </w:numPr>
        <w:tabs>
          <w:tab w:val="left" w:pos="567"/>
        </w:tabs>
        <w:rPr>
          <w:rFonts w:ascii="Verdana" w:hAnsi="Verdana"/>
          <w:sz w:val="22"/>
          <w:szCs w:val="22"/>
        </w:rPr>
      </w:pPr>
      <w:r w:rsidRPr="00252829">
        <w:rPr>
          <w:rFonts w:ascii="Verdana" w:hAnsi="Verdana"/>
          <w:sz w:val="22"/>
          <w:szCs w:val="22"/>
        </w:rPr>
        <w:t>We propose the inclusion of the following definitions</w:t>
      </w:r>
      <w:r w:rsidR="00FC4D7E">
        <w:rPr>
          <w:rFonts w:ascii="Verdana" w:hAnsi="Verdana"/>
          <w:sz w:val="22"/>
          <w:szCs w:val="22"/>
        </w:rPr>
        <w:t xml:space="preserve"> in line with this </w:t>
      </w:r>
      <w:r w:rsidR="00516664">
        <w:rPr>
          <w:rFonts w:ascii="Verdana" w:hAnsi="Verdana"/>
          <w:sz w:val="22"/>
          <w:szCs w:val="22"/>
        </w:rPr>
        <w:t>compliance with the FATF 40 Recommendations</w:t>
      </w:r>
      <w:r w:rsidRPr="00252829">
        <w:rPr>
          <w:rFonts w:ascii="Verdana" w:hAnsi="Verdana"/>
          <w:sz w:val="22"/>
          <w:szCs w:val="22"/>
        </w:rPr>
        <w:t>:</w:t>
      </w:r>
    </w:p>
    <w:p w:rsidR="00821D35" w:rsidRPr="00252829" w:rsidRDefault="00821D35" w:rsidP="00821D35">
      <w:pPr>
        <w:pStyle w:val="ListParagraph"/>
        <w:widowControl w:val="0"/>
        <w:tabs>
          <w:tab w:val="left" w:pos="567"/>
        </w:tabs>
        <w:ind w:left="567" w:firstLine="0"/>
        <w:contextualSpacing w:val="0"/>
        <w:rPr>
          <w:rFonts w:ascii="Verdana" w:hAnsi="Verdana"/>
          <w:sz w:val="22"/>
          <w:szCs w:val="22"/>
        </w:rPr>
      </w:pPr>
    </w:p>
    <w:p w:rsidR="00821D35" w:rsidRPr="00516664" w:rsidRDefault="00821D35" w:rsidP="00783450">
      <w:pPr>
        <w:pStyle w:val="ListParagraph"/>
        <w:widowControl w:val="0"/>
        <w:numPr>
          <w:ilvl w:val="1"/>
          <w:numId w:val="2"/>
        </w:numPr>
        <w:tabs>
          <w:tab w:val="left" w:pos="567"/>
        </w:tabs>
        <w:rPr>
          <w:rFonts w:ascii="Verdana" w:hAnsi="Verdana"/>
          <w:sz w:val="22"/>
          <w:szCs w:val="22"/>
          <w:u w:val="single"/>
        </w:rPr>
      </w:pPr>
      <w:r w:rsidRPr="00516664">
        <w:rPr>
          <w:rFonts w:ascii="Verdana" w:hAnsi="Verdana"/>
          <w:sz w:val="22"/>
          <w:szCs w:val="22"/>
          <w:u w:val="single"/>
        </w:rPr>
        <w:t>“</w:t>
      </w:r>
      <w:r w:rsidRPr="00516664">
        <w:rPr>
          <w:rFonts w:ascii="Verdana" w:hAnsi="Verdana"/>
          <w:b/>
          <w:sz w:val="22"/>
          <w:szCs w:val="22"/>
          <w:u w:val="single"/>
        </w:rPr>
        <w:t>FATF</w:t>
      </w:r>
      <w:r w:rsidRPr="00516664">
        <w:rPr>
          <w:rFonts w:ascii="Verdana" w:hAnsi="Verdana"/>
          <w:sz w:val="22"/>
          <w:szCs w:val="22"/>
          <w:u w:val="single"/>
        </w:rPr>
        <w:t xml:space="preserve">” means the Financial Action Task Force, an inter-Governmental body </w:t>
      </w:r>
      <w:r w:rsidR="00516664" w:rsidRPr="00516664">
        <w:rPr>
          <w:rFonts w:ascii="Verdana" w:hAnsi="Verdana"/>
          <w:sz w:val="22"/>
          <w:szCs w:val="22"/>
          <w:u w:val="single"/>
        </w:rPr>
        <w:t>within the Organisation for Economic Co-operation and Development (“OECD”)</w:t>
      </w:r>
      <w:r w:rsidR="00455BD5">
        <w:rPr>
          <w:rFonts w:ascii="Verdana" w:hAnsi="Verdana"/>
          <w:sz w:val="22"/>
          <w:szCs w:val="22"/>
          <w:u w:val="single"/>
        </w:rPr>
        <w:t>,</w:t>
      </w:r>
      <w:r w:rsidR="00516664" w:rsidRPr="00516664">
        <w:rPr>
          <w:rFonts w:ascii="Verdana" w:hAnsi="Verdana"/>
          <w:sz w:val="22"/>
          <w:szCs w:val="22"/>
          <w:u w:val="single"/>
        </w:rPr>
        <w:t xml:space="preserve"> </w:t>
      </w:r>
      <w:r w:rsidRPr="00516664">
        <w:rPr>
          <w:rFonts w:ascii="Verdana" w:hAnsi="Verdana"/>
          <w:sz w:val="22"/>
          <w:szCs w:val="22"/>
          <w:u w:val="single"/>
        </w:rPr>
        <w:t>established in 1989 which sets standards and promotes effective implementation of legal, regulatory and operational measures for combatting money laundering, terrorist financing and the financing of proliferation</w:t>
      </w:r>
      <w:r w:rsidR="00B46DE8" w:rsidRPr="00516664">
        <w:rPr>
          <w:rFonts w:ascii="Verdana" w:hAnsi="Verdana"/>
          <w:sz w:val="22"/>
          <w:szCs w:val="22"/>
          <w:u w:val="single"/>
        </w:rPr>
        <w:t xml:space="preserve"> of weapons</w:t>
      </w:r>
      <w:r w:rsidR="00516664" w:rsidRPr="00516664">
        <w:rPr>
          <w:rFonts w:ascii="Verdana" w:hAnsi="Verdana"/>
          <w:sz w:val="22"/>
          <w:szCs w:val="22"/>
          <w:u w:val="single"/>
        </w:rPr>
        <w:t xml:space="preserve"> of mass destruction</w:t>
      </w:r>
      <w:r w:rsidRPr="00516664">
        <w:rPr>
          <w:rFonts w:ascii="Verdana" w:hAnsi="Verdana"/>
          <w:sz w:val="22"/>
          <w:szCs w:val="22"/>
          <w:u w:val="single"/>
        </w:rPr>
        <w:t>, and other related threats to the integrity of the international financial system.</w:t>
      </w:r>
    </w:p>
    <w:p w:rsidR="00821D35" w:rsidRPr="00516664" w:rsidRDefault="00821D35" w:rsidP="00821D35">
      <w:pPr>
        <w:pStyle w:val="ListParagraph"/>
        <w:widowControl w:val="0"/>
        <w:tabs>
          <w:tab w:val="left" w:pos="567"/>
        </w:tabs>
        <w:ind w:left="1134" w:firstLine="0"/>
        <w:rPr>
          <w:rFonts w:ascii="Verdana" w:hAnsi="Verdana"/>
          <w:sz w:val="22"/>
          <w:szCs w:val="22"/>
          <w:u w:val="single"/>
        </w:rPr>
      </w:pPr>
    </w:p>
    <w:p w:rsidR="00821D35" w:rsidRPr="00516664" w:rsidRDefault="00821D35" w:rsidP="00783450">
      <w:pPr>
        <w:pStyle w:val="ListParagraph"/>
        <w:widowControl w:val="0"/>
        <w:numPr>
          <w:ilvl w:val="1"/>
          <w:numId w:val="2"/>
        </w:numPr>
        <w:tabs>
          <w:tab w:val="left" w:pos="567"/>
        </w:tabs>
        <w:rPr>
          <w:rFonts w:ascii="Verdana" w:hAnsi="Verdana"/>
          <w:sz w:val="22"/>
          <w:szCs w:val="22"/>
          <w:u w:val="single"/>
        </w:rPr>
      </w:pPr>
      <w:r w:rsidRPr="00516664">
        <w:rPr>
          <w:rFonts w:ascii="Verdana" w:hAnsi="Verdana"/>
          <w:sz w:val="22"/>
          <w:szCs w:val="22"/>
          <w:u w:val="single"/>
        </w:rPr>
        <w:t>“</w:t>
      </w:r>
      <w:r w:rsidRPr="00516664">
        <w:rPr>
          <w:rFonts w:ascii="Verdana" w:hAnsi="Verdana"/>
          <w:b/>
          <w:sz w:val="22"/>
          <w:szCs w:val="22"/>
          <w:u w:val="single"/>
        </w:rPr>
        <w:t>FATF Recommendations</w:t>
      </w:r>
      <w:r w:rsidRPr="00516664">
        <w:rPr>
          <w:rFonts w:ascii="Verdana" w:hAnsi="Verdana"/>
          <w:sz w:val="22"/>
          <w:szCs w:val="22"/>
          <w:u w:val="single"/>
        </w:rPr>
        <w:t>” means the comprehensive and consistent framework of measures issued by FATF which countries should implement in order to combat money laundering and terrorist financing, as well as the financing of proliferation of weapons of mass destruction, originally issued by FATF in 1990, revised in 1996 and 2004, and last revised in February 2012.</w:t>
      </w:r>
    </w:p>
    <w:p w:rsidR="00821D35" w:rsidRPr="00F24F04" w:rsidRDefault="00821D35" w:rsidP="00821D35">
      <w:pPr>
        <w:pStyle w:val="ListParagraph"/>
        <w:widowControl w:val="0"/>
        <w:rPr>
          <w:rFonts w:ascii="Verdana" w:hAnsi="Verdana"/>
          <w:sz w:val="22"/>
          <w:szCs w:val="22"/>
        </w:rPr>
      </w:pPr>
    </w:p>
    <w:p w:rsidR="00821D35" w:rsidRDefault="00821D35" w:rsidP="00783450">
      <w:pPr>
        <w:pStyle w:val="ListParagraph"/>
        <w:widowControl w:val="0"/>
        <w:numPr>
          <w:ilvl w:val="1"/>
          <w:numId w:val="2"/>
        </w:numPr>
        <w:tabs>
          <w:tab w:val="left" w:pos="567"/>
        </w:tabs>
        <w:rPr>
          <w:rFonts w:ascii="Verdana" w:hAnsi="Verdana"/>
          <w:sz w:val="22"/>
          <w:szCs w:val="22"/>
        </w:rPr>
      </w:pPr>
      <w:r w:rsidRPr="00252829">
        <w:rPr>
          <w:rFonts w:ascii="Verdana" w:hAnsi="Verdana"/>
          <w:sz w:val="22"/>
          <w:szCs w:val="22"/>
        </w:rPr>
        <w:t xml:space="preserve">Section 1(g) of the Bill proposes </w:t>
      </w:r>
      <w:r>
        <w:rPr>
          <w:rFonts w:ascii="Verdana" w:hAnsi="Verdana"/>
          <w:sz w:val="22"/>
          <w:szCs w:val="22"/>
        </w:rPr>
        <w:t xml:space="preserve">inserting </w:t>
      </w:r>
      <w:r w:rsidRPr="00252829">
        <w:rPr>
          <w:rFonts w:ascii="Verdana" w:hAnsi="Verdana"/>
          <w:sz w:val="22"/>
          <w:szCs w:val="22"/>
        </w:rPr>
        <w:t xml:space="preserve">the </w:t>
      </w:r>
      <w:r>
        <w:rPr>
          <w:rFonts w:ascii="Verdana" w:hAnsi="Verdana"/>
          <w:sz w:val="22"/>
          <w:szCs w:val="22"/>
        </w:rPr>
        <w:t>definition</w:t>
      </w:r>
      <w:r w:rsidRPr="00252829">
        <w:rPr>
          <w:rFonts w:ascii="Verdana" w:hAnsi="Verdana"/>
          <w:sz w:val="22"/>
          <w:szCs w:val="22"/>
        </w:rPr>
        <w:t xml:space="preserve"> </w:t>
      </w:r>
      <w:r w:rsidRPr="00A67621">
        <w:rPr>
          <w:rFonts w:ascii="Verdana" w:hAnsi="Verdana"/>
          <w:sz w:val="22"/>
          <w:szCs w:val="22"/>
        </w:rPr>
        <w:t xml:space="preserve">of “a domestic prominent influential person” </w:t>
      </w:r>
      <w:r w:rsidRPr="00252829">
        <w:rPr>
          <w:rFonts w:ascii="Verdana" w:hAnsi="Verdana"/>
          <w:sz w:val="22"/>
          <w:szCs w:val="22"/>
        </w:rPr>
        <w:t>after the definition of “</w:t>
      </w:r>
      <w:r>
        <w:rPr>
          <w:rFonts w:ascii="Verdana" w:hAnsi="Verdana"/>
          <w:sz w:val="22"/>
          <w:szCs w:val="22"/>
        </w:rPr>
        <w:t>Director</w:t>
      </w:r>
      <w:r w:rsidRPr="00252829">
        <w:rPr>
          <w:rFonts w:ascii="Verdana" w:hAnsi="Verdana"/>
          <w:sz w:val="22"/>
          <w:szCs w:val="22"/>
        </w:rPr>
        <w:t>”</w:t>
      </w:r>
      <w:r>
        <w:rPr>
          <w:rFonts w:ascii="Verdana" w:hAnsi="Verdana"/>
          <w:sz w:val="22"/>
          <w:szCs w:val="22"/>
        </w:rPr>
        <w:t xml:space="preserve">. </w:t>
      </w:r>
      <w:r w:rsidR="00CB3474">
        <w:rPr>
          <w:rFonts w:ascii="Verdana" w:hAnsi="Verdana"/>
          <w:sz w:val="22"/>
          <w:szCs w:val="22"/>
        </w:rPr>
        <w:t xml:space="preserve"> </w:t>
      </w:r>
      <w:r>
        <w:rPr>
          <w:rFonts w:ascii="Verdana" w:hAnsi="Verdana"/>
          <w:sz w:val="22"/>
          <w:szCs w:val="22"/>
        </w:rPr>
        <w:t>S</w:t>
      </w:r>
      <w:r w:rsidRPr="00252829">
        <w:rPr>
          <w:rFonts w:ascii="Verdana" w:hAnsi="Verdana"/>
          <w:sz w:val="22"/>
          <w:szCs w:val="22"/>
        </w:rPr>
        <w:t xml:space="preserve">ection 1(h) </w:t>
      </w:r>
      <w:r>
        <w:rPr>
          <w:rFonts w:ascii="Verdana" w:hAnsi="Verdana"/>
          <w:sz w:val="22"/>
          <w:szCs w:val="22"/>
        </w:rPr>
        <w:t xml:space="preserve">of the Bill also proposes inserting the definition of </w:t>
      </w:r>
      <w:r w:rsidRPr="00B93C55">
        <w:rPr>
          <w:rFonts w:ascii="Verdana" w:hAnsi="Verdana"/>
          <w:sz w:val="22"/>
          <w:szCs w:val="22"/>
        </w:rPr>
        <w:t>“foreign prominent public official”</w:t>
      </w:r>
      <w:r>
        <w:rPr>
          <w:rFonts w:ascii="Verdana" w:hAnsi="Verdana"/>
          <w:sz w:val="22"/>
          <w:szCs w:val="22"/>
        </w:rPr>
        <w:t xml:space="preserve"> </w:t>
      </w:r>
      <w:r w:rsidRPr="00252829">
        <w:rPr>
          <w:rFonts w:ascii="Verdana" w:hAnsi="Verdana"/>
          <w:sz w:val="22"/>
          <w:szCs w:val="22"/>
        </w:rPr>
        <w:t xml:space="preserve">after the definition of “entity”.  We propose </w:t>
      </w:r>
      <w:r>
        <w:rPr>
          <w:rFonts w:ascii="Verdana" w:hAnsi="Verdana"/>
          <w:sz w:val="22"/>
          <w:szCs w:val="22"/>
        </w:rPr>
        <w:t xml:space="preserve">deleting </w:t>
      </w:r>
      <w:r w:rsidRPr="00252829">
        <w:rPr>
          <w:rFonts w:ascii="Verdana" w:hAnsi="Verdana"/>
          <w:sz w:val="22"/>
          <w:szCs w:val="22"/>
        </w:rPr>
        <w:t xml:space="preserve">those two definitions </w:t>
      </w:r>
      <w:r w:rsidR="00516664">
        <w:rPr>
          <w:rFonts w:ascii="Verdana" w:hAnsi="Verdana"/>
          <w:sz w:val="22"/>
          <w:szCs w:val="22"/>
        </w:rPr>
        <w:t xml:space="preserve">(as motivated below) </w:t>
      </w:r>
      <w:r w:rsidRPr="00252829">
        <w:rPr>
          <w:rFonts w:ascii="Verdana" w:hAnsi="Verdana"/>
          <w:sz w:val="22"/>
          <w:szCs w:val="22"/>
        </w:rPr>
        <w:t>and</w:t>
      </w:r>
      <w:r>
        <w:rPr>
          <w:rFonts w:ascii="Verdana" w:hAnsi="Verdana"/>
          <w:sz w:val="22"/>
          <w:szCs w:val="22"/>
        </w:rPr>
        <w:t xml:space="preserve"> substituting them with </w:t>
      </w:r>
      <w:r w:rsidRPr="00252829">
        <w:rPr>
          <w:rFonts w:ascii="Verdana" w:hAnsi="Verdana"/>
          <w:sz w:val="22"/>
          <w:szCs w:val="22"/>
        </w:rPr>
        <w:t xml:space="preserve">definitions of “foreign politically exposed persons” </w:t>
      </w:r>
      <w:r>
        <w:rPr>
          <w:rFonts w:ascii="Verdana" w:hAnsi="Verdana"/>
          <w:sz w:val="22"/>
          <w:szCs w:val="22"/>
        </w:rPr>
        <w:t xml:space="preserve">and </w:t>
      </w:r>
      <w:r w:rsidRPr="00252829">
        <w:rPr>
          <w:rFonts w:ascii="Verdana" w:hAnsi="Verdana"/>
          <w:sz w:val="22"/>
          <w:szCs w:val="22"/>
        </w:rPr>
        <w:t>“domestic politically exposed persons” as follows:</w:t>
      </w:r>
    </w:p>
    <w:p w:rsidR="00821D35" w:rsidRPr="00F24F04" w:rsidRDefault="00821D35" w:rsidP="00821D35">
      <w:pPr>
        <w:pStyle w:val="ListParagraph"/>
        <w:widowControl w:val="0"/>
        <w:rPr>
          <w:rFonts w:ascii="Verdana" w:hAnsi="Verdana"/>
          <w:sz w:val="22"/>
          <w:szCs w:val="22"/>
        </w:rPr>
      </w:pPr>
    </w:p>
    <w:p w:rsidR="00821D35" w:rsidRPr="00516664" w:rsidRDefault="00821D35" w:rsidP="00821D35">
      <w:pPr>
        <w:widowControl w:val="0"/>
        <w:tabs>
          <w:tab w:val="left" w:pos="567"/>
        </w:tabs>
        <w:ind w:left="1418" w:hanging="720"/>
        <w:rPr>
          <w:rFonts w:ascii="Verdana" w:hAnsi="Verdana"/>
          <w:sz w:val="22"/>
          <w:szCs w:val="22"/>
          <w:u w:val="single"/>
        </w:rPr>
      </w:pPr>
      <w:r>
        <w:rPr>
          <w:rFonts w:ascii="Verdana" w:hAnsi="Verdana"/>
          <w:sz w:val="22"/>
          <w:szCs w:val="22"/>
        </w:rPr>
        <w:lastRenderedPageBreak/>
        <w:tab/>
      </w:r>
      <w:r w:rsidRPr="00516664">
        <w:rPr>
          <w:rFonts w:ascii="Verdana" w:hAnsi="Verdana"/>
          <w:sz w:val="22"/>
          <w:szCs w:val="22"/>
          <w:u w:val="single"/>
        </w:rPr>
        <w:tab/>
        <w:t>“</w:t>
      </w:r>
      <w:r w:rsidRPr="00516664">
        <w:rPr>
          <w:rFonts w:ascii="Verdana" w:hAnsi="Verdana"/>
          <w:b/>
          <w:sz w:val="22"/>
          <w:szCs w:val="22"/>
          <w:u w:val="single"/>
        </w:rPr>
        <w:t>Foreign Politically exposed persons</w:t>
      </w:r>
      <w:r w:rsidRPr="00516664">
        <w:rPr>
          <w:rFonts w:ascii="Verdana" w:hAnsi="Verdana"/>
          <w:sz w:val="22"/>
          <w:szCs w:val="22"/>
          <w:u w:val="single"/>
        </w:rPr>
        <w:t>” means individuals who have been entrusted with prominent public functions by a foreign country, for example Heads of State or of Government, senior politicians, senior Government, judicial or military officials, senior executives</w:t>
      </w:r>
      <w:r w:rsidR="00516664">
        <w:rPr>
          <w:rFonts w:ascii="Verdana" w:hAnsi="Verdana"/>
          <w:sz w:val="22"/>
          <w:szCs w:val="22"/>
          <w:u w:val="single"/>
        </w:rPr>
        <w:t xml:space="preserve"> of state owned corporations or</w:t>
      </w:r>
      <w:r w:rsidRPr="00516664">
        <w:rPr>
          <w:rFonts w:ascii="Verdana" w:hAnsi="Verdana"/>
          <w:sz w:val="22"/>
          <w:szCs w:val="22"/>
          <w:u w:val="single"/>
        </w:rPr>
        <w:t xml:space="preserve"> important political party officials.  </w:t>
      </w:r>
    </w:p>
    <w:p w:rsidR="00821D35" w:rsidRPr="00516664" w:rsidRDefault="00821D35" w:rsidP="00821D35">
      <w:pPr>
        <w:pStyle w:val="ListParagraph"/>
        <w:widowControl w:val="0"/>
        <w:tabs>
          <w:tab w:val="left" w:pos="567"/>
        </w:tabs>
        <w:ind w:left="2160" w:firstLine="0"/>
        <w:rPr>
          <w:rFonts w:ascii="Verdana" w:hAnsi="Verdana"/>
          <w:sz w:val="22"/>
          <w:szCs w:val="22"/>
          <w:u w:val="single"/>
        </w:rPr>
      </w:pPr>
    </w:p>
    <w:p w:rsidR="00821D35" w:rsidRPr="00516664" w:rsidRDefault="00821D35" w:rsidP="00821D35">
      <w:pPr>
        <w:widowControl w:val="0"/>
        <w:tabs>
          <w:tab w:val="left" w:pos="567"/>
        </w:tabs>
        <w:ind w:left="1418" w:hanging="720"/>
        <w:rPr>
          <w:rFonts w:ascii="Verdana" w:hAnsi="Verdana"/>
          <w:sz w:val="22"/>
          <w:szCs w:val="22"/>
          <w:u w:val="single"/>
        </w:rPr>
      </w:pPr>
      <w:r w:rsidRPr="00B72AAE">
        <w:rPr>
          <w:rFonts w:ascii="Verdana" w:hAnsi="Verdana"/>
          <w:sz w:val="22"/>
          <w:szCs w:val="22"/>
        </w:rPr>
        <w:tab/>
      </w:r>
      <w:r w:rsidRPr="00516664">
        <w:rPr>
          <w:rFonts w:ascii="Verdana" w:hAnsi="Verdana"/>
          <w:sz w:val="22"/>
          <w:szCs w:val="22"/>
          <w:u w:val="single"/>
        </w:rPr>
        <w:tab/>
        <w:t>“</w:t>
      </w:r>
      <w:r w:rsidRPr="00516664">
        <w:rPr>
          <w:rFonts w:ascii="Verdana" w:hAnsi="Verdana"/>
          <w:b/>
          <w:sz w:val="22"/>
          <w:szCs w:val="22"/>
          <w:u w:val="single"/>
        </w:rPr>
        <w:t>Domestic politically exposed persons</w:t>
      </w:r>
      <w:r w:rsidRPr="00516664">
        <w:rPr>
          <w:rFonts w:ascii="Verdana" w:hAnsi="Verdana"/>
          <w:sz w:val="22"/>
          <w:szCs w:val="22"/>
          <w:u w:val="single"/>
        </w:rPr>
        <w:t xml:space="preserve">” means individuals who are or have been entrusted domestically with prominent public functions, for example Heads of State or of Government, senior politicians, senior Government, judicial or military officials, senior executives of Organs of State </w:t>
      </w:r>
      <w:r w:rsidR="00516664">
        <w:rPr>
          <w:rFonts w:ascii="Verdana" w:hAnsi="Verdana"/>
          <w:sz w:val="22"/>
          <w:szCs w:val="22"/>
          <w:u w:val="single"/>
        </w:rPr>
        <w:t>or</w:t>
      </w:r>
      <w:r w:rsidRPr="00516664">
        <w:rPr>
          <w:rFonts w:ascii="Verdana" w:hAnsi="Verdana"/>
          <w:sz w:val="22"/>
          <w:szCs w:val="22"/>
          <w:u w:val="single"/>
        </w:rPr>
        <w:t xml:space="preserve"> important political party officials.</w:t>
      </w:r>
    </w:p>
    <w:p w:rsidR="00821D35" w:rsidRDefault="00821D35" w:rsidP="00821D35">
      <w:pPr>
        <w:pStyle w:val="ListParagraph"/>
        <w:widowControl w:val="0"/>
        <w:tabs>
          <w:tab w:val="left" w:pos="567"/>
        </w:tabs>
        <w:ind w:left="2160" w:firstLine="0"/>
        <w:rPr>
          <w:rFonts w:ascii="Verdana" w:hAnsi="Verdana"/>
          <w:sz w:val="22"/>
          <w:szCs w:val="22"/>
        </w:rPr>
      </w:pPr>
    </w:p>
    <w:p w:rsidR="00821D35" w:rsidRDefault="00821D35" w:rsidP="00821D35">
      <w:pPr>
        <w:pStyle w:val="ListParagraph"/>
        <w:widowControl w:val="0"/>
        <w:tabs>
          <w:tab w:val="left" w:pos="567"/>
          <w:tab w:val="left" w:pos="1418"/>
          <w:tab w:val="left" w:pos="1843"/>
        </w:tabs>
        <w:ind w:left="1418" w:firstLine="0"/>
        <w:rPr>
          <w:rFonts w:ascii="Verdana" w:hAnsi="Verdana"/>
          <w:sz w:val="22"/>
          <w:szCs w:val="22"/>
        </w:rPr>
      </w:pPr>
      <w:r w:rsidRPr="000223E9">
        <w:rPr>
          <w:rFonts w:ascii="Verdana" w:hAnsi="Verdana"/>
          <w:sz w:val="22"/>
          <w:szCs w:val="22"/>
        </w:rPr>
        <w:t>These definitions follow the definition of “politically exposed persons” in the general glossary to the FATF Recommendations at page 11</w:t>
      </w:r>
      <w:r w:rsidR="00516664">
        <w:rPr>
          <w:rFonts w:ascii="Verdana" w:hAnsi="Verdana"/>
          <w:sz w:val="22"/>
          <w:szCs w:val="22"/>
        </w:rPr>
        <w:t>8</w:t>
      </w:r>
      <w:r w:rsidRPr="000223E9">
        <w:rPr>
          <w:rFonts w:ascii="Verdana" w:hAnsi="Verdana"/>
          <w:sz w:val="22"/>
          <w:szCs w:val="22"/>
        </w:rPr>
        <w:t xml:space="preserve">. </w:t>
      </w:r>
    </w:p>
    <w:p w:rsidR="00821D35" w:rsidRPr="000223E9" w:rsidRDefault="00821D35" w:rsidP="00821D35">
      <w:pPr>
        <w:pStyle w:val="ListParagraph"/>
        <w:widowControl w:val="0"/>
        <w:tabs>
          <w:tab w:val="left" w:pos="567"/>
          <w:tab w:val="left" w:pos="1418"/>
          <w:tab w:val="left" w:pos="1843"/>
        </w:tabs>
        <w:ind w:left="1418" w:firstLine="0"/>
        <w:rPr>
          <w:rFonts w:ascii="Verdana" w:hAnsi="Verdana"/>
          <w:sz w:val="22"/>
          <w:szCs w:val="22"/>
        </w:rPr>
      </w:pPr>
      <w:r w:rsidRPr="000223E9">
        <w:rPr>
          <w:rFonts w:ascii="Verdana" w:hAnsi="Verdana"/>
          <w:sz w:val="22"/>
          <w:szCs w:val="22"/>
        </w:rPr>
        <w:t xml:space="preserve"> </w:t>
      </w:r>
    </w:p>
    <w:p w:rsidR="00821D35" w:rsidRDefault="00821D35" w:rsidP="00821D35">
      <w:pPr>
        <w:pStyle w:val="ListParagraph"/>
        <w:widowControl w:val="0"/>
        <w:tabs>
          <w:tab w:val="left" w:pos="567"/>
          <w:tab w:val="left" w:pos="1418"/>
          <w:tab w:val="left" w:pos="1843"/>
        </w:tabs>
        <w:ind w:left="1418" w:firstLine="0"/>
        <w:rPr>
          <w:rFonts w:ascii="Verdana" w:hAnsi="Verdana"/>
          <w:sz w:val="22"/>
          <w:szCs w:val="22"/>
        </w:rPr>
      </w:pPr>
      <w:r>
        <w:rPr>
          <w:rFonts w:ascii="Verdana" w:hAnsi="Verdana"/>
          <w:sz w:val="22"/>
          <w:szCs w:val="22"/>
        </w:rPr>
        <w:t xml:space="preserve">We deal with our rationale for the substitution of the current definitions of </w:t>
      </w:r>
      <w:r w:rsidRPr="00252829">
        <w:rPr>
          <w:rFonts w:ascii="Verdana" w:hAnsi="Verdana"/>
          <w:sz w:val="22"/>
          <w:szCs w:val="22"/>
        </w:rPr>
        <w:t xml:space="preserve">“foreign politically exposed persons” </w:t>
      </w:r>
      <w:r>
        <w:rPr>
          <w:rFonts w:ascii="Verdana" w:hAnsi="Verdana"/>
          <w:sz w:val="22"/>
          <w:szCs w:val="22"/>
        </w:rPr>
        <w:t xml:space="preserve">and </w:t>
      </w:r>
      <w:r w:rsidRPr="00252829">
        <w:rPr>
          <w:rFonts w:ascii="Verdana" w:hAnsi="Verdana"/>
          <w:sz w:val="22"/>
          <w:szCs w:val="22"/>
        </w:rPr>
        <w:t xml:space="preserve">“domestic politically exposed persons” </w:t>
      </w:r>
      <w:r>
        <w:rPr>
          <w:rFonts w:ascii="Verdana" w:hAnsi="Verdana"/>
          <w:sz w:val="22"/>
          <w:szCs w:val="22"/>
        </w:rPr>
        <w:t>in the Bill below.</w:t>
      </w:r>
    </w:p>
    <w:p w:rsidR="00ED0096" w:rsidRDefault="00ED0096" w:rsidP="00821D35">
      <w:pPr>
        <w:pStyle w:val="ListParagraph"/>
        <w:widowControl w:val="0"/>
        <w:tabs>
          <w:tab w:val="left" w:pos="567"/>
          <w:tab w:val="left" w:pos="1418"/>
          <w:tab w:val="left" w:pos="1843"/>
        </w:tabs>
        <w:ind w:left="1418" w:firstLine="0"/>
        <w:rPr>
          <w:rFonts w:ascii="Verdana" w:hAnsi="Verdana"/>
          <w:sz w:val="22"/>
          <w:szCs w:val="22"/>
        </w:rPr>
      </w:pPr>
    </w:p>
    <w:p w:rsidR="00821D35" w:rsidRPr="00516664" w:rsidRDefault="00821D35" w:rsidP="00783450">
      <w:pPr>
        <w:pStyle w:val="ListParagraph"/>
        <w:widowControl w:val="0"/>
        <w:numPr>
          <w:ilvl w:val="1"/>
          <w:numId w:val="2"/>
        </w:numPr>
        <w:tabs>
          <w:tab w:val="left" w:pos="567"/>
          <w:tab w:val="left" w:pos="1418"/>
          <w:tab w:val="left" w:pos="1843"/>
        </w:tabs>
        <w:rPr>
          <w:rFonts w:ascii="Verdana" w:hAnsi="Verdana"/>
          <w:sz w:val="22"/>
          <w:szCs w:val="22"/>
          <w:u w:val="single"/>
        </w:rPr>
      </w:pPr>
      <w:r w:rsidRPr="00516664">
        <w:rPr>
          <w:rFonts w:ascii="Verdana" w:hAnsi="Verdana"/>
          <w:sz w:val="22"/>
          <w:szCs w:val="22"/>
          <w:u w:val="single"/>
        </w:rPr>
        <w:t>“</w:t>
      </w:r>
      <w:r w:rsidRPr="00516664">
        <w:rPr>
          <w:rFonts w:ascii="Verdana" w:hAnsi="Verdana"/>
          <w:b/>
          <w:sz w:val="22"/>
          <w:szCs w:val="22"/>
          <w:u w:val="single"/>
        </w:rPr>
        <w:t>Known close associates</w:t>
      </w:r>
      <w:r w:rsidRPr="00516664">
        <w:rPr>
          <w:rFonts w:ascii="Verdana" w:hAnsi="Verdana"/>
          <w:sz w:val="22"/>
          <w:szCs w:val="22"/>
          <w:u w:val="single"/>
        </w:rPr>
        <w:t>” means:</w:t>
      </w:r>
    </w:p>
    <w:p w:rsidR="00821D35" w:rsidRPr="00516664" w:rsidRDefault="00821D35" w:rsidP="00821D35">
      <w:pPr>
        <w:pStyle w:val="ListParagraph"/>
        <w:widowControl w:val="0"/>
        <w:tabs>
          <w:tab w:val="left" w:pos="567"/>
          <w:tab w:val="left" w:pos="1418"/>
          <w:tab w:val="left" w:pos="1843"/>
        </w:tabs>
        <w:ind w:left="1418" w:firstLine="0"/>
        <w:rPr>
          <w:rFonts w:ascii="Verdana" w:hAnsi="Verdana"/>
          <w:sz w:val="22"/>
          <w:szCs w:val="22"/>
          <w:u w:val="single"/>
        </w:rPr>
      </w:pPr>
    </w:p>
    <w:p w:rsidR="00821D35" w:rsidRPr="00516664" w:rsidRDefault="00821D35" w:rsidP="00783450">
      <w:pPr>
        <w:pStyle w:val="ListParagraph"/>
        <w:widowControl w:val="0"/>
        <w:numPr>
          <w:ilvl w:val="0"/>
          <w:numId w:val="4"/>
        </w:numPr>
        <w:tabs>
          <w:tab w:val="left" w:pos="567"/>
          <w:tab w:val="left" w:pos="1418"/>
          <w:tab w:val="left" w:pos="2127"/>
        </w:tabs>
        <w:rPr>
          <w:rFonts w:ascii="Verdana" w:hAnsi="Verdana"/>
          <w:sz w:val="22"/>
          <w:szCs w:val="22"/>
          <w:u w:val="single"/>
        </w:rPr>
      </w:pPr>
      <w:r w:rsidRPr="00516664">
        <w:rPr>
          <w:rFonts w:ascii="Verdana" w:hAnsi="Verdana"/>
          <w:sz w:val="22"/>
          <w:szCs w:val="22"/>
          <w:u w:val="single"/>
        </w:rPr>
        <w:t>an individual who is known to have a joint beneficial ownership of a legal entity or legal arrangement, or any other close business relations</w:t>
      </w:r>
      <w:r w:rsidR="00516664">
        <w:rPr>
          <w:rFonts w:ascii="Verdana" w:hAnsi="Verdana"/>
          <w:sz w:val="22"/>
          <w:szCs w:val="22"/>
          <w:u w:val="single"/>
        </w:rPr>
        <w:t>,</w:t>
      </w:r>
      <w:r w:rsidRPr="00516664">
        <w:rPr>
          <w:rFonts w:ascii="Verdana" w:hAnsi="Verdana"/>
          <w:sz w:val="22"/>
          <w:szCs w:val="22"/>
          <w:u w:val="single"/>
        </w:rPr>
        <w:t xml:space="preserve"> with a politically exposed person; or</w:t>
      </w:r>
    </w:p>
    <w:p w:rsidR="00821D35" w:rsidRPr="00516664" w:rsidRDefault="00821D35" w:rsidP="00821D35">
      <w:pPr>
        <w:pStyle w:val="ListParagraph"/>
        <w:widowControl w:val="0"/>
        <w:tabs>
          <w:tab w:val="left" w:pos="567"/>
        </w:tabs>
        <w:ind w:left="2160" w:firstLine="0"/>
        <w:rPr>
          <w:rFonts w:ascii="Verdana" w:hAnsi="Verdana"/>
          <w:sz w:val="22"/>
          <w:szCs w:val="22"/>
          <w:u w:val="single"/>
        </w:rPr>
      </w:pPr>
    </w:p>
    <w:p w:rsidR="00821D35" w:rsidRPr="00516664" w:rsidRDefault="00821D35" w:rsidP="00783450">
      <w:pPr>
        <w:pStyle w:val="ListParagraph"/>
        <w:widowControl w:val="0"/>
        <w:numPr>
          <w:ilvl w:val="0"/>
          <w:numId w:val="4"/>
        </w:numPr>
        <w:tabs>
          <w:tab w:val="left" w:pos="567"/>
        </w:tabs>
        <w:rPr>
          <w:rFonts w:ascii="Verdana" w:hAnsi="Verdana"/>
          <w:sz w:val="22"/>
          <w:szCs w:val="22"/>
          <w:u w:val="single"/>
        </w:rPr>
      </w:pPr>
      <w:r w:rsidRPr="00516664">
        <w:rPr>
          <w:rFonts w:ascii="Verdana" w:hAnsi="Verdana"/>
          <w:sz w:val="22"/>
          <w:szCs w:val="22"/>
          <w:u w:val="single"/>
        </w:rPr>
        <w:t xml:space="preserve">any individual who has sole beneficial ownership of a legal entity or legal arrangement which is known to have been set up for the benefit of a politically exposed person. </w:t>
      </w:r>
    </w:p>
    <w:p w:rsidR="00821D35" w:rsidRPr="000223E9" w:rsidRDefault="00821D35" w:rsidP="00821D35">
      <w:pPr>
        <w:pStyle w:val="ListParagraph"/>
        <w:rPr>
          <w:rFonts w:ascii="Verdana" w:hAnsi="Verdana"/>
          <w:sz w:val="22"/>
          <w:szCs w:val="22"/>
        </w:rPr>
      </w:pPr>
    </w:p>
    <w:p w:rsidR="00821D35" w:rsidRPr="000223E9" w:rsidRDefault="00821D35" w:rsidP="00821D35">
      <w:pPr>
        <w:widowControl w:val="0"/>
        <w:tabs>
          <w:tab w:val="left" w:pos="567"/>
        </w:tabs>
        <w:ind w:left="1418" w:hanging="720"/>
        <w:rPr>
          <w:rFonts w:ascii="Verdana" w:hAnsi="Verdana"/>
          <w:sz w:val="22"/>
          <w:szCs w:val="22"/>
        </w:rPr>
      </w:pPr>
      <w:r>
        <w:rPr>
          <w:rFonts w:ascii="Verdana" w:hAnsi="Verdana"/>
          <w:sz w:val="22"/>
          <w:szCs w:val="22"/>
        </w:rPr>
        <w:tab/>
      </w:r>
      <w:r>
        <w:rPr>
          <w:rFonts w:ascii="Verdana" w:hAnsi="Verdana"/>
          <w:sz w:val="22"/>
          <w:szCs w:val="22"/>
        </w:rPr>
        <w:tab/>
      </w:r>
      <w:r w:rsidRPr="000223E9">
        <w:rPr>
          <w:rFonts w:ascii="Verdana" w:hAnsi="Verdana"/>
          <w:sz w:val="22"/>
          <w:szCs w:val="22"/>
        </w:rPr>
        <w:t>This definition follows regulation 14(1)(b) of the Money Laundering Regulations 2007 as it applies in the United Kingdom.  The definitions are expanded upon in paragraph 4 of schedule 2 to the Money Laundering Regulations 2007.</w:t>
      </w:r>
      <w:r w:rsidR="0037213F">
        <w:rPr>
          <w:rFonts w:ascii="Verdana" w:hAnsi="Verdana"/>
          <w:sz w:val="22"/>
          <w:szCs w:val="22"/>
        </w:rPr>
        <w:t xml:space="preserve">  </w:t>
      </w:r>
      <w:r w:rsidR="00A55852">
        <w:rPr>
          <w:rFonts w:ascii="Verdana" w:hAnsi="Verdana"/>
          <w:sz w:val="22"/>
          <w:szCs w:val="22"/>
        </w:rPr>
        <w:t xml:space="preserve">The inclusion of this definition is important, as the compliance burdens relating to PEP’s (or PIP’s as in the Bill) from a too-wide or confused understanding of “close associates” would dissipate scarce resources unnecessarily by expanding the range of high risk designated individuals. This would also have a potential restrictive effect on financial inclusion, costs of compliance, de-risking, etc.  </w:t>
      </w:r>
      <w:r w:rsidR="0037213F">
        <w:rPr>
          <w:rFonts w:ascii="Verdana" w:hAnsi="Verdana"/>
          <w:sz w:val="22"/>
          <w:szCs w:val="22"/>
        </w:rPr>
        <w:t>See further paragraph</w:t>
      </w:r>
      <w:r w:rsidR="00B46DE8">
        <w:rPr>
          <w:rFonts w:ascii="Verdana" w:hAnsi="Verdana"/>
          <w:sz w:val="22"/>
          <w:szCs w:val="22"/>
        </w:rPr>
        <w:t>s</w:t>
      </w:r>
      <w:r w:rsidR="00455BD5">
        <w:rPr>
          <w:rFonts w:ascii="Verdana" w:hAnsi="Verdana"/>
          <w:sz w:val="22"/>
          <w:szCs w:val="22"/>
        </w:rPr>
        <w:t xml:space="preserve"> </w:t>
      </w:r>
      <w:r w:rsidR="0037213F">
        <w:rPr>
          <w:rFonts w:ascii="Verdana" w:hAnsi="Verdana"/>
          <w:sz w:val="22"/>
          <w:szCs w:val="22"/>
        </w:rPr>
        <w:t>below.</w:t>
      </w:r>
    </w:p>
    <w:p w:rsidR="00821D35" w:rsidRDefault="00821D35" w:rsidP="00821D35">
      <w:pPr>
        <w:pStyle w:val="ListParagraph"/>
        <w:widowControl w:val="0"/>
        <w:tabs>
          <w:tab w:val="left" w:pos="567"/>
        </w:tabs>
        <w:ind w:left="2160" w:firstLine="0"/>
        <w:rPr>
          <w:rFonts w:ascii="Verdana" w:hAnsi="Verdana"/>
          <w:sz w:val="22"/>
          <w:szCs w:val="22"/>
        </w:rPr>
      </w:pPr>
    </w:p>
    <w:p w:rsidR="00821D35" w:rsidRPr="000223E9" w:rsidRDefault="00821D35" w:rsidP="00783450">
      <w:pPr>
        <w:pStyle w:val="ListParagraph"/>
        <w:widowControl w:val="0"/>
        <w:numPr>
          <w:ilvl w:val="1"/>
          <w:numId w:val="2"/>
        </w:numPr>
        <w:tabs>
          <w:tab w:val="left" w:pos="567"/>
        </w:tabs>
        <w:rPr>
          <w:rFonts w:ascii="Verdana" w:hAnsi="Verdana"/>
          <w:sz w:val="22"/>
          <w:szCs w:val="22"/>
        </w:rPr>
      </w:pPr>
      <w:r w:rsidRPr="000223E9">
        <w:rPr>
          <w:rFonts w:ascii="Verdana" w:hAnsi="Verdana"/>
          <w:sz w:val="22"/>
          <w:szCs w:val="22"/>
        </w:rPr>
        <w:t>“</w:t>
      </w:r>
      <w:r w:rsidRPr="000223E9">
        <w:rPr>
          <w:rFonts w:ascii="Verdana" w:hAnsi="Verdana"/>
          <w:b/>
          <w:sz w:val="22"/>
          <w:szCs w:val="22"/>
        </w:rPr>
        <w:t>Risk-Based Approach</w:t>
      </w:r>
      <w:r w:rsidRPr="000223E9">
        <w:rPr>
          <w:rFonts w:ascii="Verdana" w:hAnsi="Verdana"/>
          <w:sz w:val="22"/>
          <w:szCs w:val="22"/>
        </w:rPr>
        <w:t xml:space="preserve">” </w:t>
      </w:r>
    </w:p>
    <w:p w:rsidR="00821D35" w:rsidRDefault="00821D35" w:rsidP="00821D35">
      <w:pPr>
        <w:pStyle w:val="ListParagraph"/>
        <w:widowControl w:val="0"/>
        <w:tabs>
          <w:tab w:val="left" w:pos="567"/>
        </w:tabs>
        <w:ind w:left="567" w:firstLine="0"/>
        <w:rPr>
          <w:rFonts w:ascii="Verdana" w:hAnsi="Verdana"/>
          <w:sz w:val="22"/>
          <w:szCs w:val="22"/>
        </w:rPr>
      </w:pPr>
    </w:p>
    <w:p w:rsidR="00821D35" w:rsidRPr="0079020C" w:rsidRDefault="00821D35" w:rsidP="00821D35">
      <w:pPr>
        <w:pStyle w:val="ListParagraph"/>
        <w:widowControl w:val="0"/>
        <w:tabs>
          <w:tab w:val="left" w:pos="567"/>
        </w:tabs>
        <w:ind w:left="1418" w:firstLine="0"/>
        <w:rPr>
          <w:rFonts w:ascii="Verdana" w:hAnsi="Verdana"/>
          <w:sz w:val="22"/>
          <w:szCs w:val="22"/>
        </w:rPr>
      </w:pPr>
      <w:r w:rsidRPr="0079020C">
        <w:rPr>
          <w:rFonts w:ascii="Verdana" w:hAnsi="Verdana"/>
          <w:sz w:val="22"/>
          <w:szCs w:val="22"/>
        </w:rPr>
        <w:t>Given that the Bill</w:t>
      </w:r>
      <w:r>
        <w:rPr>
          <w:rFonts w:ascii="Verdana" w:hAnsi="Verdana"/>
          <w:sz w:val="22"/>
          <w:szCs w:val="22"/>
        </w:rPr>
        <w:t>,</w:t>
      </w:r>
      <w:r w:rsidRPr="0079020C">
        <w:rPr>
          <w:rFonts w:ascii="Verdana" w:hAnsi="Verdana"/>
          <w:sz w:val="22"/>
          <w:szCs w:val="22"/>
        </w:rPr>
        <w:t xml:space="preserve"> in its preamble</w:t>
      </w:r>
      <w:r>
        <w:rPr>
          <w:rFonts w:ascii="Verdana" w:hAnsi="Verdana"/>
          <w:sz w:val="22"/>
          <w:szCs w:val="22"/>
        </w:rPr>
        <w:t>,</w:t>
      </w:r>
      <w:r w:rsidRPr="0079020C">
        <w:rPr>
          <w:rFonts w:ascii="Verdana" w:hAnsi="Verdana"/>
          <w:sz w:val="22"/>
          <w:szCs w:val="22"/>
        </w:rPr>
        <w:t xml:space="preserve"> records that one of the purposes of the amendment is “to provide for </w:t>
      </w:r>
      <w:r>
        <w:rPr>
          <w:rFonts w:ascii="Verdana" w:hAnsi="Verdana"/>
          <w:sz w:val="22"/>
          <w:szCs w:val="22"/>
        </w:rPr>
        <w:t>a risk-based approach to client’</w:t>
      </w:r>
      <w:r w:rsidRPr="0079020C">
        <w:rPr>
          <w:rFonts w:ascii="Verdana" w:hAnsi="Verdana"/>
          <w:sz w:val="22"/>
          <w:szCs w:val="22"/>
        </w:rPr>
        <w:t>s identification and verification”, we believe it is imp</w:t>
      </w:r>
      <w:r>
        <w:rPr>
          <w:rFonts w:ascii="Verdana" w:hAnsi="Verdana"/>
          <w:sz w:val="22"/>
          <w:szCs w:val="22"/>
        </w:rPr>
        <w:t>erative</w:t>
      </w:r>
      <w:r w:rsidRPr="0079020C">
        <w:rPr>
          <w:rFonts w:ascii="Verdana" w:hAnsi="Verdana"/>
          <w:sz w:val="22"/>
          <w:szCs w:val="22"/>
        </w:rPr>
        <w:t xml:space="preserve"> </w:t>
      </w:r>
      <w:r w:rsidR="00516664">
        <w:rPr>
          <w:rFonts w:ascii="Verdana" w:hAnsi="Verdana"/>
          <w:sz w:val="22"/>
          <w:szCs w:val="22"/>
        </w:rPr>
        <w:t xml:space="preserve">(and given the differences in understanding of this concept noted above) </w:t>
      </w:r>
      <w:r w:rsidRPr="0079020C">
        <w:rPr>
          <w:rFonts w:ascii="Verdana" w:hAnsi="Verdana"/>
          <w:sz w:val="22"/>
          <w:szCs w:val="22"/>
        </w:rPr>
        <w:t xml:space="preserve">that the term Risk-Based </w:t>
      </w:r>
      <w:r>
        <w:rPr>
          <w:rFonts w:ascii="Verdana" w:hAnsi="Verdana"/>
          <w:sz w:val="22"/>
          <w:szCs w:val="22"/>
        </w:rPr>
        <w:t>A</w:t>
      </w:r>
      <w:r w:rsidRPr="0079020C">
        <w:rPr>
          <w:rFonts w:ascii="Verdana" w:hAnsi="Verdana"/>
          <w:sz w:val="22"/>
          <w:szCs w:val="22"/>
        </w:rPr>
        <w:t>pproach be defined</w:t>
      </w:r>
      <w:r>
        <w:rPr>
          <w:rFonts w:ascii="Verdana" w:hAnsi="Verdana"/>
          <w:sz w:val="22"/>
          <w:szCs w:val="22"/>
        </w:rPr>
        <w:t xml:space="preserve"> as suggested below</w:t>
      </w:r>
      <w:r w:rsidRPr="0079020C">
        <w:rPr>
          <w:rFonts w:ascii="Verdana" w:hAnsi="Verdana"/>
          <w:sz w:val="22"/>
          <w:szCs w:val="22"/>
        </w:rPr>
        <w:t>:</w:t>
      </w:r>
    </w:p>
    <w:p w:rsidR="00821D35" w:rsidRDefault="00821D35" w:rsidP="00821D35">
      <w:pPr>
        <w:pStyle w:val="ListParagraph"/>
        <w:widowControl w:val="0"/>
        <w:tabs>
          <w:tab w:val="left" w:pos="567"/>
        </w:tabs>
        <w:ind w:left="1418" w:firstLine="0"/>
        <w:rPr>
          <w:rFonts w:ascii="Verdana" w:hAnsi="Verdana"/>
          <w:sz w:val="22"/>
          <w:szCs w:val="22"/>
        </w:rPr>
      </w:pPr>
    </w:p>
    <w:p w:rsidR="00821D35" w:rsidRPr="00516664" w:rsidRDefault="00821D35" w:rsidP="00821D35">
      <w:pPr>
        <w:pStyle w:val="ListParagraph"/>
        <w:widowControl w:val="0"/>
        <w:tabs>
          <w:tab w:val="left" w:pos="567"/>
        </w:tabs>
        <w:ind w:left="1418" w:firstLine="0"/>
        <w:rPr>
          <w:rFonts w:ascii="Verdana" w:hAnsi="Verdana"/>
          <w:sz w:val="22"/>
          <w:szCs w:val="22"/>
          <w:u w:val="single"/>
        </w:rPr>
      </w:pPr>
      <w:r w:rsidRPr="00516664">
        <w:rPr>
          <w:rFonts w:ascii="Verdana" w:hAnsi="Verdana"/>
          <w:sz w:val="22"/>
          <w:szCs w:val="22"/>
          <w:u w:val="single"/>
        </w:rPr>
        <w:t>“</w:t>
      </w:r>
      <w:r w:rsidRPr="00516664">
        <w:rPr>
          <w:rFonts w:ascii="Verdana" w:hAnsi="Verdana"/>
          <w:b/>
          <w:sz w:val="22"/>
          <w:szCs w:val="22"/>
          <w:u w:val="single"/>
        </w:rPr>
        <w:t>Risk-Based Approach</w:t>
      </w:r>
      <w:r w:rsidRPr="00516664">
        <w:rPr>
          <w:rFonts w:ascii="Verdana" w:hAnsi="Verdana"/>
          <w:sz w:val="22"/>
          <w:szCs w:val="22"/>
          <w:u w:val="single"/>
        </w:rPr>
        <w:t xml:space="preserve">” means an approach which adopts a more flexible set of measures, in order to target resources more effectively and apply preventative measures that are commensurate to the nature of </w:t>
      </w:r>
      <w:r w:rsidR="00516664">
        <w:rPr>
          <w:rFonts w:ascii="Verdana" w:hAnsi="Verdana"/>
          <w:sz w:val="22"/>
          <w:szCs w:val="22"/>
          <w:u w:val="single"/>
        </w:rPr>
        <w:t xml:space="preserve">the </w:t>
      </w:r>
      <w:r w:rsidRPr="00516664">
        <w:rPr>
          <w:rFonts w:ascii="Verdana" w:hAnsi="Verdana"/>
          <w:sz w:val="22"/>
          <w:szCs w:val="22"/>
          <w:u w:val="single"/>
        </w:rPr>
        <w:t xml:space="preserve">risks, in order to ensure a more focused and sustainable application of the measures.  </w:t>
      </w:r>
    </w:p>
    <w:p w:rsidR="00821D35" w:rsidRDefault="00821D35" w:rsidP="00821D35">
      <w:pPr>
        <w:pStyle w:val="ListParagraph"/>
        <w:widowControl w:val="0"/>
        <w:tabs>
          <w:tab w:val="left" w:pos="567"/>
        </w:tabs>
        <w:ind w:left="2160" w:hanging="742"/>
        <w:rPr>
          <w:rFonts w:ascii="Verdana" w:hAnsi="Verdana"/>
          <w:sz w:val="22"/>
          <w:szCs w:val="22"/>
        </w:rPr>
      </w:pPr>
    </w:p>
    <w:p w:rsidR="00821D35" w:rsidRPr="00605760" w:rsidRDefault="00821D35" w:rsidP="00821D35">
      <w:pPr>
        <w:pStyle w:val="ListParagraph"/>
        <w:widowControl w:val="0"/>
        <w:tabs>
          <w:tab w:val="left" w:pos="567"/>
        </w:tabs>
        <w:ind w:left="1418" w:firstLine="0"/>
        <w:rPr>
          <w:rFonts w:ascii="Verdana" w:hAnsi="Verdana"/>
          <w:sz w:val="22"/>
          <w:szCs w:val="22"/>
        </w:rPr>
      </w:pPr>
      <w:r>
        <w:rPr>
          <w:rFonts w:ascii="Verdana" w:hAnsi="Verdana"/>
          <w:sz w:val="22"/>
          <w:szCs w:val="22"/>
        </w:rPr>
        <w:lastRenderedPageBreak/>
        <w:t xml:space="preserve">This definition is in line with the FATF Recommendations and has regard to the reference in chapter 4 of the </w:t>
      </w:r>
      <w:r w:rsidR="00CB7D26">
        <w:rPr>
          <w:rFonts w:ascii="Verdana" w:hAnsi="Verdana"/>
          <w:sz w:val="22"/>
          <w:szCs w:val="22"/>
        </w:rPr>
        <w:t>Joint Money Laundering Steering Group Guidance (</w:t>
      </w:r>
      <w:r w:rsidR="00516664">
        <w:rPr>
          <w:rFonts w:ascii="Verdana" w:hAnsi="Verdana"/>
          <w:sz w:val="22"/>
          <w:szCs w:val="22"/>
        </w:rPr>
        <w:t>“</w:t>
      </w:r>
      <w:r w:rsidR="00CB7D26" w:rsidRPr="00516664">
        <w:rPr>
          <w:rFonts w:ascii="Verdana" w:hAnsi="Verdana"/>
          <w:sz w:val="22"/>
          <w:szCs w:val="22"/>
        </w:rPr>
        <w:t>JMLSG</w:t>
      </w:r>
      <w:r w:rsidR="00516664">
        <w:rPr>
          <w:rFonts w:ascii="Verdana" w:hAnsi="Verdana"/>
          <w:sz w:val="22"/>
          <w:szCs w:val="22"/>
        </w:rPr>
        <w:t>”</w:t>
      </w:r>
      <w:r w:rsidR="00CB7D26">
        <w:rPr>
          <w:rFonts w:ascii="Verdana" w:hAnsi="Verdana"/>
          <w:sz w:val="22"/>
          <w:szCs w:val="22"/>
        </w:rPr>
        <w:t>)</w:t>
      </w:r>
      <w:r>
        <w:rPr>
          <w:rFonts w:ascii="Verdana" w:hAnsi="Verdana"/>
          <w:sz w:val="22"/>
          <w:szCs w:val="22"/>
        </w:rPr>
        <w:t xml:space="preserve"> in the United Kingdom referencing regulation</w:t>
      </w:r>
      <w:r w:rsidR="00455BD5">
        <w:rPr>
          <w:rFonts w:ascii="Verdana" w:hAnsi="Verdana"/>
          <w:sz w:val="22"/>
          <w:szCs w:val="22"/>
        </w:rPr>
        <w:t>s</w:t>
      </w:r>
      <w:r>
        <w:rPr>
          <w:rFonts w:ascii="Verdana" w:hAnsi="Verdana"/>
          <w:sz w:val="22"/>
          <w:szCs w:val="22"/>
        </w:rPr>
        <w:t xml:space="preserve"> 7(3)(a), 14(1) and 20, which</w:t>
      </w:r>
      <w:r w:rsidR="00455BD5">
        <w:rPr>
          <w:rFonts w:ascii="Verdana" w:hAnsi="Verdana"/>
          <w:sz w:val="22"/>
          <w:szCs w:val="22"/>
        </w:rPr>
        <w:t xml:space="preserve"> describe</w:t>
      </w:r>
      <w:r>
        <w:rPr>
          <w:rFonts w:ascii="Verdana" w:hAnsi="Verdana"/>
          <w:sz w:val="22"/>
          <w:szCs w:val="22"/>
        </w:rPr>
        <w:t xml:space="preserve"> a risk-based approach as one that r</w:t>
      </w:r>
      <w:r w:rsidR="00455BD5">
        <w:rPr>
          <w:rFonts w:ascii="Verdana" w:hAnsi="Verdana"/>
          <w:sz w:val="22"/>
          <w:szCs w:val="22"/>
        </w:rPr>
        <w:t>ecognises that money laundering</w:t>
      </w:r>
      <w:r>
        <w:rPr>
          <w:rFonts w:ascii="Verdana" w:hAnsi="Verdana"/>
          <w:sz w:val="22"/>
          <w:szCs w:val="22"/>
        </w:rPr>
        <w:t>/ terrorist financing threat to firms varies across customers, jurisdictions, products and delivery channels and allows management to differentiate between their customers in a way that matches the risk in their particular business, further allowing senior management to apply its own approach to the firm’s procedures, systems and controls and arrangements in particular circumstances and hopes to produce a more cost-effective system.</w:t>
      </w:r>
    </w:p>
    <w:p w:rsidR="00821D35" w:rsidRPr="00F24F04" w:rsidRDefault="00821D35" w:rsidP="00821D35">
      <w:pPr>
        <w:pStyle w:val="ListParagraph"/>
        <w:widowControl w:val="0"/>
        <w:rPr>
          <w:rFonts w:ascii="Verdana" w:hAnsi="Verdana"/>
          <w:sz w:val="22"/>
          <w:szCs w:val="22"/>
        </w:rPr>
      </w:pPr>
    </w:p>
    <w:p w:rsidR="00821D35" w:rsidRPr="00A55852" w:rsidRDefault="00821D35" w:rsidP="00783450">
      <w:pPr>
        <w:pStyle w:val="ListParagraph"/>
        <w:widowControl w:val="0"/>
        <w:numPr>
          <w:ilvl w:val="1"/>
          <w:numId w:val="2"/>
        </w:numPr>
        <w:tabs>
          <w:tab w:val="left" w:pos="567"/>
        </w:tabs>
        <w:rPr>
          <w:rFonts w:ascii="Verdana" w:hAnsi="Verdana"/>
          <w:sz w:val="22"/>
          <w:szCs w:val="22"/>
          <w:u w:val="single"/>
        </w:rPr>
      </w:pPr>
      <w:r w:rsidRPr="00A55852">
        <w:rPr>
          <w:rFonts w:ascii="Verdana" w:hAnsi="Verdana"/>
          <w:sz w:val="22"/>
          <w:szCs w:val="22"/>
          <w:u w:val="single"/>
        </w:rPr>
        <w:t>“</w:t>
      </w:r>
      <w:r w:rsidRPr="00A55852">
        <w:rPr>
          <w:rFonts w:ascii="Verdana" w:hAnsi="Verdana"/>
          <w:b/>
          <w:sz w:val="22"/>
          <w:szCs w:val="22"/>
          <w:u w:val="single"/>
        </w:rPr>
        <w:t>Personal information</w:t>
      </w:r>
      <w:r w:rsidRPr="00A55852">
        <w:rPr>
          <w:rFonts w:ascii="Verdana" w:hAnsi="Verdana"/>
          <w:sz w:val="22"/>
          <w:szCs w:val="22"/>
          <w:u w:val="single"/>
        </w:rPr>
        <w:t xml:space="preserve">” means “personal information” as set out in the Protection of Personal Information Act, 2013. </w:t>
      </w:r>
    </w:p>
    <w:p w:rsidR="00EF18DF" w:rsidRDefault="00EF18DF" w:rsidP="00EF18DF">
      <w:pPr>
        <w:pStyle w:val="ListParagraph"/>
        <w:widowControl w:val="0"/>
        <w:tabs>
          <w:tab w:val="left" w:pos="567"/>
        </w:tabs>
        <w:ind w:left="567" w:firstLine="0"/>
        <w:rPr>
          <w:rFonts w:ascii="Verdana" w:hAnsi="Verdana"/>
          <w:sz w:val="22"/>
          <w:szCs w:val="22"/>
        </w:rPr>
      </w:pPr>
    </w:p>
    <w:p w:rsidR="00DD1587" w:rsidRDefault="00DD1587" w:rsidP="00DD1587">
      <w:pPr>
        <w:widowControl w:val="0"/>
        <w:tabs>
          <w:tab w:val="left" w:pos="567"/>
        </w:tabs>
        <w:ind w:left="0" w:firstLine="0"/>
        <w:rPr>
          <w:rFonts w:ascii="Verdana" w:hAnsi="Verdana"/>
          <w:sz w:val="22"/>
          <w:szCs w:val="22"/>
        </w:rPr>
      </w:pPr>
      <w:r>
        <w:rPr>
          <w:rFonts w:ascii="Verdana" w:hAnsi="Verdana"/>
          <w:b/>
          <w:sz w:val="22"/>
          <w:szCs w:val="22"/>
        </w:rPr>
        <w:t>Current difficulties with the implementation of section 21 of FICA and section 21B of the Bill</w:t>
      </w:r>
    </w:p>
    <w:p w:rsidR="00DD1587" w:rsidRPr="00A81810" w:rsidRDefault="00DD1587" w:rsidP="00DD1587">
      <w:pPr>
        <w:widowControl w:val="0"/>
        <w:tabs>
          <w:tab w:val="left" w:pos="567"/>
        </w:tabs>
        <w:ind w:left="0" w:firstLine="0"/>
        <w:rPr>
          <w:rFonts w:ascii="Verdana" w:hAnsi="Verdana"/>
          <w:sz w:val="22"/>
          <w:szCs w:val="22"/>
        </w:rPr>
      </w:pPr>
    </w:p>
    <w:p w:rsidR="00DD1587" w:rsidRPr="004A269C" w:rsidRDefault="00DD1587" w:rsidP="00783450">
      <w:pPr>
        <w:pStyle w:val="ListParagraph"/>
        <w:widowControl w:val="0"/>
        <w:numPr>
          <w:ilvl w:val="0"/>
          <w:numId w:val="2"/>
        </w:numPr>
        <w:tabs>
          <w:tab w:val="left" w:pos="567"/>
        </w:tabs>
        <w:rPr>
          <w:rFonts w:ascii="Verdana" w:hAnsi="Verdana"/>
          <w:sz w:val="22"/>
          <w:szCs w:val="22"/>
        </w:rPr>
      </w:pPr>
      <w:r w:rsidRPr="004A269C">
        <w:rPr>
          <w:rFonts w:ascii="Verdana" w:hAnsi="Verdana"/>
          <w:sz w:val="22"/>
          <w:szCs w:val="22"/>
        </w:rPr>
        <w:t>Section 21 of FICA read with the Money Laundering and Terrorist Financing Control Regulations require accountable institutions to establish</w:t>
      </w:r>
      <w:r w:rsidR="00917BCC">
        <w:rPr>
          <w:rFonts w:ascii="Verdana" w:hAnsi="Verdana"/>
          <w:sz w:val="22"/>
          <w:szCs w:val="22"/>
        </w:rPr>
        <w:t xml:space="preserve"> (identify)</w:t>
      </w:r>
      <w:r w:rsidRPr="004A269C">
        <w:rPr>
          <w:rFonts w:ascii="Verdana" w:hAnsi="Verdana"/>
          <w:sz w:val="22"/>
          <w:szCs w:val="22"/>
        </w:rPr>
        <w:t xml:space="preserve"> and verify</w:t>
      </w:r>
      <w:r w:rsidR="00917BCC">
        <w:rPr>
          <w:rFonts w:ascii="Verdana" w:hAnsi="Verdana"/>
          <w:sz w:val="22"/>
          <w:szCs w:val="22"/>
        </w:rPr>
        <w:t>,</w:t>
      </w:r>
      <w:r w:rsidRPr="004A269C">
        <w:rPr>
          <w:rFonts w:ascii="Verdana" w:hAnsi="Verdana"/>
          <w:sz w:val="22"/>
          <w:szCs w:val="22"/>
        </w:rPr>
        <w:t xml:space="preserve"> </w:t>
      </w:r>
      <w:r w:rsidR="00917BCC">
        <w:rPr>
          <w:rFonts w:ascii="Verdana" w:hAnsi="Verdana"/>
          <w:sz w:val="22"/>
          <w:szCs w:val="22"/>
        </w:rPr>
        <w:t>under a prescribed rules basis</w:t>
      </w:r>
      <w:r w:rsidRPr="004A269C">
        <w:rPr>
          <w:rFonts w:ascii="Verdana" w:hAnsi="Verdana"/>
          <w:sz w:val="22"/>
          <w:szCs w:val="22"/>
        </w:rPr>
        <w:t>:</w:t>
      </w:r>
    </w:p>
    <w:p w:rsidR="00DD1587" w:rsidRDefault="00DD1587" w:rsidP="00DD1587">
      <w:pPr>
        <w:pStyle w:val="ListParagraph"/>
        <w:widowControl w:val="0"/>
        <w:tabs>
          <w:tab w:val="left" w:pos="567"/>
        </w:tabs>
        <w:ind w:left="567" w:firstLine="0"/>
        <w:rPr>
          <w:rFonts w:ascii="Verdana" w:hAnsi="Verdana"/>
          <w:sz w:val="22"/>
          <w:szCs w:val="22"/>
        </w:rPr>
      </w:pPr>
    </w:p>
    <w:p w:rsidR="00DD1587" w:rsidRPr="004A269C" w:rsidRDefault="00DD1587" w:rsidP="00783450">
      <w:pPr>
        <w:pStyle w:val="ListParagraph"/>
        <w:widowControl w:val="0"/>
        <w:numPr>
          <w:ilvl w:val="1"/>
          <w:numId w:val="2"/>
        </w:numPr>
        <w:tabs>
          <w:tab w:val="left" w:pos="567"/>
        </w:tabs>
        <w:rPr>
          <w:rFonts w:ascii="Verdana" w:hAnsi="Verdana"/>
          <w:sz w:val="22"/>
          <w:szCs w:val="22"/>
        </w:rPr>
      </w:pPr>
      <w:r w:rsidRPr="004A269C">
        <w:rPr>
          <w:rFonts w:ascii="Verdana" w:hAnsi="Verdana"/>
          <w:sz w:val="22"/>
          <w:szCs w:val="22"/>
        </w:rPr>
        <w:t>In the case of a company for the manager of the company and each natural person who purports to be authorised to establish a business relationship or to enter into a transaction with the accountable institution on behalf of the company;</w:t>
      </w:r>
    </w:p>
    <w:p w:rsidR="00DD1587" w:rsidRDefault="00DD1587" w:rsidP="00DD1587">
      <w:pPr>
        <w:pStyle w:val="ListParagraph"/>
        <w:widowControl w:val="0"/>
        <w:tabs>
          <w:tab w:val="left" w:pos="567"/>
        </w:tabs>
        <w:ind w:left="1418" w:firstLine="0"/>
        <w:rPr>
          <w:rFonts w:ascii="Verdana" w:hAnsi="Verdana"/>
          <w:sz w:val="22"/>
          <w:szCs w:val="22"/>
        </w:rPr>
      </w:pPr>
    </w:p>
    <w:p w:rsidR="00DD1587" w:rsidRDefault="00DD1587" w:rsidP="00783450">
      <w:pPr>
        <w:pStyle w:val="ListParagraph"/>
        <w:widowControl w:val="0"/>
        <w:numPr>
          <w:ilvl w:val="1"/>
          <w:numId w:val="2"/>
        </w:numPr>
        <w:tabs>
          <w:tab w:val="left" w:pos="567"/>
        </w:tabs>
        <w:rPr>
          <w:rFonts w:ascii="Verdana" w:hAnsi="Verdana"/>
          <w:sz w:val="22"/>
          <w:szCs w:val="22"/>
        </w:rPr>
      </w:pPr>
      <w:r>
        <w:rPr>
          <w:rFonts w:ascii="Verdana" w:hAnsi="Verdana"/>
          <w:sz w:val="22"/>
          <w:szCs w:val="22"/>
        </w:rPr>
        <w:t xml:space="preserve">In the case of partnerships, of each partner, including every member of the partnership </w:t>
      </w:r>
      <w:r>
        <w:rPr>
          <w:rFonts w:ascii="Verdana" w:hAnsi="Verdana"/>
          <w:i/>
          <w:sz w:val="22"/>
          <w:szCs w:val="22"/>
        </w:rPr>
        <w:t>en commandite</w:t>
      </w:r>
      <w:r>
        <w:rPr>
          <w:rFonts w:ascii="Verdana" w:hAnsi="Verdana"/>
          <w:sz w:val="22"/>
          <w:szCs w:val="22"/>
        </w:rPr>
        <w:t>, an anonymous partnership or any similar partnership, the person who exercises executive control over the partnership and each natural person who purports to be authorised to establish a business relationship or to enter into a transaction with the accountable institution on behalf of the partnership;</w:t>
      </w:r>
      <w:r w:rsidR="00B46DE8">
        <w:rPr>
          <w:rFonts w:ascii="Verdana" w:hAnsi="Verdana"/>
          <w:sz w:val="22"/>
          <w:szCs w:val="22"/>
        </w:rPr>
        <w:t xml:space="preserve"> and</w:t>
      </w:r>
    </w:p>
    <w:p w:rsidR="00DD1587" w:rsidRPr="00F24AC5" w:rsidRDefault="00DD1587" w:rsidP="00DD1587">
      <w:pPr>
        <w:pStyle w:val="ListParagraph"/>
        <w:rPr>
          <w:rFonts w:ascii="Verdana" w:hAnsi="Verdana"/>
          <w:sz w:val="22"/>
          <w:szCs w:val="22"/>
        </w:rPr>
      </w:pPr>
    </w:p>
    <w:p w:rsidR="00DD1587" w:rsidRDefault="00DD1587" w:rsidP="00783450">
      <w:pPr>
        <w:pStyle w:val="ListParagraph"/>
        <w:widowControl w:val="0"/>
        <w:numPr>
          <w:ilvl w:val="1"/>
          <w:numId w:val="2"/>
        </w:numPr>
        <w:tabs>
          <w:tab w:val="left" w:pos="567"/>
        </w:tabs>
        <w:rPr>
          <w:rFonts w:ascii="Verdana" w:hAnsi="Verdana"/>
          <w:sz w:val="22"/>
          <w:szCs w:val="22"/>
        </w:rPr>
      </w:pPr>
      <w:r>
        <w:rPr>
          <w:rFonts w:ascii="Verdana" w:hAnsi="Verdana"/>
          <w:sz w:val="22"/>
          <w:szCs w:val="22"/>
        </w:rPr>
        <w:t>In the case of trusts, of each trustee of the trust, and each natural person who purports to be authorised to establish a business relationship or to enter into a transaction with the accountable institution on behalf of the trust.</w:t>
      </w:r>
    </w:p>
    <w:p w:rsidR="00DD1587" w:rsidRPr="00F24AC5" w:rsidRDefault="00DD1587" w:rsidP="00DD1587">
      <w:pPr>
        <w:pStyle w:val="ListParagraph"/>
        <w:rPr>
          <w:rFonts w:ascii="Verdana" w:hAnsi="Verdana"/>
          <w:sz w:val="22"/>
          <w:szCs w:val="22"/>
        </w:rPr>
      </w:pPr>
    </w:p>
    <w:p w:rsidR="00DD1587" w:rsidRDefault="00DD1587" w:rsidP="00783450">
      <w:pPr>
        <w:pStyle w:val="ListParagraph"/>
        <w:widowControl w:val="0"/>
        <w:numPr>
          <w:ilvl w:val="0"/>
          <w:numId w:val="2"/>
        </w:numPr>
        <w:tabs>
          <w:tab w:val="left" w:pos="567"/>
        </w:tabs>
        <w:rPr>
          <w:rFonts w:ascii="Verdana" w:hAnsi="Verdana"/>
          <w:sz w:val="22"/>
          <w:szCs w:val="22"/>
        </w:rPr>
      </w:pPr>
      <w:r>
        <w:rPr>
          <w:rFonts w:ascii="Verdana" w:hAnsi="Verdana"/>
          <w:sz w:val="22"/>
          <w:szCs w:val="22"/>
        </w:rPr>
        <w:t xml:space="preserve">These </w:t>
      </w:r>
      <w:r w:rsidR="00917BCC">
        <w:rPr>
          <w:rFonts w:ascii="Verdana" w:hAnsi="Verdana"/>
          <w:sz w:val="22"/>
          <w:szCs w:val="22"/>
        </w:rPr>
        <w:t xml:space="preserve">prescriptive </w:t>
      </w:r>
      <w:r>
        <w:rPr>
          <w:rFonts w:ascii="Verdana" w:hAnsi="Verdana"/>
          <w:sz w:val="22"/>
          <w:szCs w:val="22"/>
        </w:rPr>
        <w:t xml:space="preserve">requirements </w:t>
      </w:r>
      <w:r w:rsidR="00917BCC">
        <w:rPr>
          <w:rFonts w:ascii="Verdana" w:hAnsi="Verdana"/>
          <w:sz w:val="22"/>
          <w:szCs w:val="22"/>
        </w:rPr>
        <w:t xml:space="preserve">(based on the current rules-based Regulations) </w:t>
      </w:r>
      <w:r>
        <w:rPr>
          <w:rFonts w:ascii="Verdana" w:hAnsi="Verdana"/>
          <w:sz w:val="22"/>
          <w:szCs w:val="22"/>
        </w:rPr>
        <w:t xml:space="preserve">are largely echoed in </w:t>
      </w:r>
      <w:r w:rsidR="00917BCC">
        <w:rPr>
          <w:rFonts w:ascii="Verdana" w:hAnsi="Verdana"/>
          <w:sz w:val="22"/>
          <w:szCs w:val="22"/>
        </w:rPr>
        <w:t xml:space="preserve">new </w:t>
      </w:r>
      <w:r>
        <w:rPr>
          <w:rFonts w:ascii="Verdana" w:hAnsi="Verdana"/>
          <w:sz w:val="22"/>
          <w:szCs w:val="22"/>
        </w:rPr>
        <w:t>section 21B proposed to be introduced by section 10 of the Bill.</w:t>
      </w:r>
    </w:p>
    <w:p w:rsidR="00DD1587" w:rsidRDefault="00DD1587" w:rsidP="00DD1587">
      <w:pPr>
        <w:pStyle w:val="ListParagraph"/>
        <w:widowControl w:val="0"/>
        <w:tabs>
          <w:tab w:val="left" w:pos="567"/>
        </w:tabs>
        <w:ind w:left="567" w:firstLine="0"/>
        <w:rPr>
          <w:rFonts w:ascii="Verdana" w:hAnsi="Verdana"/>
          <w:sz w:val="22"/>
          <w:szCs w:val="22"/>
        </w:rPr>
      </w:pPr>
    </w:p>
    <w:p w:rsidR="00DD1587" w:rsidRDefault="00DD1587" w:rsidP="00783450">
      <w:pPr>
        <w:pStyle w:val="ListParagraph"/>
        <w:widowControl w:val="0"/>
        <w:numPr>
          <w:ilvl w:val="0"/>
          <w:numId w:val="2"/>
        </w:numPr>
        <w:tabs>
          <w:tab w:val="left" w:pos="567"/>
        </w:tabs>
        <w:rPr>
          <w:rFonts w:ascii="Verdana" w:hAnsi="Verdana"/>
          <w:sz w:val="22"/>
          <w:szCs w:val="22"/>
        </w:rPr>
      </w:pPr>
      <w:r>
        <w:rPr>
          <w:rFonts w:ascii="Verdana" w:hAnsi="Verdana"/>
          <w:sz w:val="22"/>
          <w:szCs w:val="22"/>
        </w:rPr>
        <w:t>Our members find it increasingly onerous, and sometimes impossible, to</w:t>
      </w:r>
      <w:r w:rsidR="00917BCC">
        <w:rPr>
          <w:rFonts w:ascii="Verdana" w:hAnsi="Verdana"/>
          <w:sz w:val="22"/>
          <w:szCs w:val="22"/>
        </w:rPr>
        <w:t xml:space="preserve"> identify and verify, to the extent prescribed, every person specified, especially </w:t>
      </w:r>
      <w:r>
        <w:rPr>
          <w:rFonts w:ascii="Verdana" w:hAnsi="Verdana"/>
          <w:sz w:val="22"/>
          <w:szCs w:val="22"/>
        </w:rPr>
        <w:t xml:space="preserve">where all the parties in the corporate vehicle are widely dispersed, and where the realities of a particular </w:t>
      </w:r>
      <w:r w:rsidR="00917BCC">
        <w:rPr>
          <w:rFonts w:ascii="Verdana" w:hAnsi="Verdana"/>
          <w:sz w:val="22"/>
          <w:szCs w:val="22"/>
        </w:rPr>
        <w:t>geographic location prevent such</w:t>
      </w:r>
      <w:r>
        <w:rPr>
          <w:rFonts w:ascii="Verdana" w:hAnsi="Verdana"/>
          <w:sz w:val="22"/>
          <w:szCs w:val="22"/>
        </w:rPr>
        <w:t xml:space="preserve"> verification.  </w:t>
      </w:r>
    </w:p>
    <w:p w:rsidR="00DD1587" w:rsidRPr="000223E9" w:rsidRDefault="00DD1587" w:rsidP="00DD1587">
      <w:pPr>
        <w:pStyle w:val="ListParagraph"/>
        <w:rPr>
          <w:rFonts w:ascii="Verdana" w:hAnsi="Verdana"/>
          <w:sz w:val="22"/>
          <w:szCs w:val="22"/>
        </w:rPr>
      </w:pPr>
    </w:p>
    <w:p w:rsidR="00DD1587" w:rsidRDefault="00DD1587" w:rsidP="00783450">
      <w:pPr>
        <w:pStyle w:val="ListParagraph"/>
        <w:widowControl w:val="0"/>
        <w:numPr>
          <w:ilvl w:val="0"/>
          <w:numId w:val="2"/>
        </w:numPr>
        <w:tabs>
          <w:tab w:val="left" w:pos="567"/>
        </w:tabs>
        <w:rPr>
          <w:rFonts w:ascii="Verdana" w:hAnsi="Verdana"/>
          <w:sz w:val="22"/>
          <w:szCs w:val="22"/>
        </w:rPr>
      </w:pPr>
      <w:r>
        <w:rPr>
          <w:rFonts w:ascii="Verdana" w:hAnsi="Verdana"/>
          <w:sz w:val="22"/>
          <w:szCs w:val="22"/>
        </w:rPr>
        <w:t>We propose that FICA</w:t>
      </w:r>
      <w:r w:rsidR="00917BCC">
        <w:rPr>
          <w:rFonts w:ascii="Verdana" w:hAnsi="Verdana"/>
          <w:sz w:val="22"/>
          <w:szCs w:val="22"/>
        </w:rPr>
        <w:t>, the Bill</w:t>
      </w:r>
      <w:r>
        <w:rPr>
          <w:rFonts w:ascii="Verdana" w:hAnsi="Verdana"/>
          <w:sz w:val="22"/>
          <w:szCs w:val="22"/>
        </w:rPr>
        <w:t xml:space="preserve"> and the Money Laundering and Terrorist Financing Control Regulations be amended to limit this requirement to those directors, managers, partners and trustees who have influence or control over the client and the ability to transact or move funds on behalf of the client in accordance with a true risk-based approach.  </w:t>
      </w:r>
      <w:r w:rsidR="00AD50C7">
        <w:rPr>
          <w:rFonts w:ascii="Verdana" w:hAnsi="Verdana"/>
          <w:sz w:val="22"/>
          <w:szCs w:val="22"/>
        </w:rPr>
        <w:t xml:space="preserve">In fact, the whole of section 21 as amended by the Bill should be workshopped by NT as noted above to determine a genuine </w:t>
      </w:r>
      <w:r w:rsidR="00AD50C7">
        <w:rPr>
          <w:rFonts w:ascii="Verdana" w:hAnsi="Verdana"/>
          <w:sz w:val="22"/>
          <w:szCs w:val="22"/>
        </w:rPr>
        <w:lastRenderedPageBreak/>
        <w:t>risk-based approach to customer identification and verification as required by the current FATF Recommendations</w:t>
      </w:r>
      <w:r w:rsidR="00A44A73">
        <w:rPr>
          <w:rFonts w:ascii="Verdana" w:hAnsi="Verdana"/>
          <w:sz w:val="22"/>
          <w:szCs w:val="22"/>
        </w:rPr>
        <w:t xml:space="preserve"> and the national risk assessment, and as would be implemented by financial institutions under their approved Risk Management Programmes</w:t>
      </w:r>
      <w:r w:rsidR="00AD50C7">
        <w:rPr>
          <w:rFonts w:ascii="Verdana" w:hAnsi="Verdana"/>
          <w:sz w:val="22"/>
          <w:szCs w:val="22"/>
        </w:rPr>
        <w:t xml:space="preserve">. </w:t>
      </w:r>
    </w:p>
    <w:p w:rsidR="00DD1587" w:rsidRPr="000223E9" w:rsidRDefault="00DD1587" w:rsidP="00DD1587">
      <w:pPr>
        <w:pStyle w:val="ListParagraph"/>
        <w:rPr>
          <w:rFonts w:ascii="Verdana" w:hAnsi="Verdana"/>
          <w:sz w:val="22"/>
          <w:szCs w:val="22"/>
        </w:rPr>
      </w:pPr>
    </w:p>
    <w:p w:rsidR="00455BD5" w:rsidRDefault="00DD1587" w:rsidP="00783450">
      <w:pPr>
        <w:pStyle w:val="ListParagraph"/>
        <w:widowControl w:val="0"/>
        <w:numPr>
          <w:ilvl w:val="0"/>
          <w:numId w:val="2"/>
        </w:numPr>
        <w:tabs>
          <w:tab w:val="left" w:pos="567"/>
        </w:tabs>
        <w:rPr>
          <w:rFonts w:ascii="Verdana" w:hAnsi="Verdana"/>
          <w:sz w:val="22"/>
          <w:szCs w:val="22"/>
        </w:rPr>
      </w:pPr>
      <w:r w:rsidRPr="00AD50C7">
        <w:rPr>
          <w:rFonts w:ascii="Verdana" w:hAnsi="Verdana"/>
          <w:sz w:val="22"/>
          <w:szCs w:val="22"/>
        </w:rPr>
        <w:t>In this regard we point out that FATF Recommendations 1 and 10 allow for residential address verification to be obtained on a risk</w:t>
      </w:r>
      <w:r w:rsidR="00B46DE8" w:rsidRPr="00AD50C7">
        <w:rPr>
          <w:rFonts w:ascii="Verdana" w:hAnsi="Verdana"/>
          <w:sz w:val="22"/>
          <w:szCs w:val="22"/>
        </w:rPr>
        <w:t>-</w:t>
      </w:r>
      <w:r w:rsidR="00455BD5">
        <w:rPr>
          <w:rFonts w:ascii="Verdana" w:hAnsi="Verdana"/>
          <w:sz w:val="22"/>
          <w:szCs w:val="22"/>
        </w:rPr>
        <w:t>based approach and permit</w:t>
      </w:r>
      <w:r w:rsidRPr="00AD50C7">
        <w:rPr>
          <w:rFonts w:ascii="Verdana" w:hAnsi="Verdana"/>
          <w:sz w:val="22"/>
          <w:szCs w:val="22"/>
        </w:rPr>
        <w:t xml:space="preserve"> institutions to determine in which instances the address verification documents should be obtained.  Similarly the </w:t>
      </w:r>
      <w:r w:rsidR="00CB7D26" w:rsidRPr="00AD50C7">
        <w:rPr>
          <w:rFonts w:ascii="Verdana" w:hAnsi="Verdana"/>
          <w:sz w:val="22"/>
          <w:szCs w:val="22"/>
        </w:rPr>
        <w:t xml:space="preserve">JMLSG Guidance </w:t>
      </w:r>
      <w:r w:rsidRPr="00AD50C7">
        <w:rPr>
          <w:rFonts w:ascii="Verdana" w:hAnsi="Verdana"/>
          <w:sz w:val="22"/>
          <w:szCs w:val="22"/>
        </w:rPr>
        <w:t>does not prescribe that these documents must be obtained in all instances.  In practice companies in the United Kingdom do not request this information from their clients</w:t>
      </w:r>
      <w:r w:rsidR="00455BD5">
        <w:rPr>
          <w:rFonts w:ascii="Verdana" w:hAnsi="Verdana"/>
          <w:sz w:val="22"/>
          <w:szCs w:val="22"/>
        </w:rPr>
        <w:t xml:space="preserve">, </w:t>
      </w:r>
      <w:r w:rsidRPr="00AD50C7">
        <w:rPr>
          <w:rFonts w:ascii="Verdana" w:hAnsi="Verdana"/>
          <w:sz w:val="22"/>
          <w:szCs w:val="22"/>
        </w:rPr>
        <w:t>e</w:t>
      </w:r>
      <w:r w:rsidR="00455BD5">
        <w:rPr>
          <w:rFonts w:ascii="Verdana" w:hAnsi="Verdana"/>
          <w:sz w:val="22"/>
          <w:szCs w:val="22"/>
        </w:rPr>
        <w:t>.g.</w:t>
      </w:r>
      <w:r w:rsidRPr="00AD50C7">
        <w:rPr>
          <w:rFonts w:ascii="Verdana" w:hAnsi="Verdana"/>
          <w:sz w:val="22"/>
          <w:szCs w:val="22"/>
        </w:rPr>
        <w:t xml:space="preserve"> refer in this regard to paragraph 5.1.5 of the JMLSG Guidance.  The Financial Crime Enforcement Network (</w:t>
      </w:r>
      <w:r w:rsidR="00455BD5">
        <w:rPr>
          <w:rFonts w:ascii="Verdana" w:hAnsi="Verdana"/>
          <w:sz w:val="22"/>
          <w:szCs w:val="22"/>
        </w:rPr>
        <w:t>“</w:t>
      </w:r>
      <w:r w:rsidRPr="00455BD5">
        <w:rPr>
          <w:rFonts w:ascii="Verdana" w:hAnsi="Verdana"/>
          <w:sz w:val="22"/>
          <w:szCs w:val="22"/>
        </w:rPr>
        <w:t>FinCen</w:t>
      </w:r>
      <w:r w:rsidR="00455BD5">
        <w:rPr>
          <w:rFonts w:ascii="Verdana" w:hAnsi="Verdana"/>
          <w:sz w:val="22"/>
          <w:szCs w:val="22"/>
        </w:rPr>
        <w:t>”</w:t>
      </w:r>
      <w:r w:rsidRPr="00AD50C7">
        <w:rPr>
          <w:rFonts w:ascii="Verdana" w:hAnsi="Verdana"/>
          <w:sz w:val="22"/>
          <w:szCs w:val="22"/>
        </w:rPr>
        <w:t>) Guidance similarly contains no express provision for verification of residential address but this is largely academic as address verification is facilitated in the United States by reference to a national social security system which electronically enables instantaneous address verification.</w:t>
      </w:r>
      <w:r w:rsidR="00AD50C7">
        <w:rPr>
          <w:rFonts w:ascii="Verdana" w:hAnsi="Verdana"/>
          <w:sz w:val="22"/>
          <w:szCs w:val="22"/>
        </w:rPr>
        <w:t xml:space="preserve"> It is strongly recommended, therefore, that given these existing international precedents, and the realities of South Africa’s residential housing context, that the current mandatory address verification be critically restricted to key, assessed high risk individuals on a risk based approach.</w:t>
      </w:r>
    </w:p>
    <w:p w:rsidR="00455BD5" w:rsidRDefault="00455BD5" w:rsidP="00455BD5">
      <w:pPr>
        <w:pStyle w:val="ListParagraph"/>
        <w:widowControl w:val="0"/>
        <w:tabs>
          <w:tab w:val="left" w:pos="567"/>
        </w:tabs>
        <w:ind w:left="567" w:firstLine="0"/>
        <w:rPr>
          <w:rFonts w:ascii="Verdana" w:hAnsi="Verdana"/>
          <w:sz w:val="22"/>
          <w:szCs w:val="22"/>
        </w:rPr>
      </w:pPr>
    </w:p>
    <w:p w:rsidR="00455BD5" w:rsidRDefault="00455BD5" w:rsidP="00783450">
      <w:pPr>
        <w:pStyle w:val="ListParagraph"/>
        <w:widowControl w:val="0"/>
        <w:numPr>
          <w:ilvl w:val="0"/>
          <w:numId w:val="2"/>
        </w:numPr>
        <w:tabs>
          <w:tab w:val="left" w:pos="567"/>
        </w:tabs>
        <w:rPr>
          <w:rFonts w:ascii="Verdana" w:hAnsi="Verdana"/>
          <w:sz w:val="22"/>
          <w:szCs w:val="22"/>
        </w:rPr>
      </w:pPr>
      <w:r>
        <w:rPr>
          <w:rFonts w:ascii="Verdana" w:hAnsi="Verdana"/>
          <w:sz w:val="22"/>
          <w:szCs w:val="22"/>
        </w:rPr>
        <w:t xml:space="preserve">The effective implementation of a proper RBA, as now provided for in the 40 Recommendations, including country adaptations given their unique country risks, is especially significant for South Africa in rolling out, and maintaining, </w:t>
      </w:r>
      <w:r w:rsidR="00253340">
        <w:rPr>
          <w:rFonts w:ascii="Verdana" w:hAnsi="Verdana"/>
          <w:sz w:val="22"/>
          <w:szCs w:val="22"/>
        </w:rPr>
        <w:t xml:space="preserve">extended “financial inclusion”, which is also an agreed international and FATF requirement. The detailed prescriptions in the new section 21 of the Bill would, especially in the banking sector with its existing “risk based approach” to its entire regulated and supervised business, impose excessive compliance requirements that could have unintended consequences for the wider financial inclusion processes. As noted in this submission this is one of the issues that, we trust, will be workshopped by NT with all affected parties. </w:t>
      </w:r>
    </w:p>
    <w:p w:rsidR="00DD1587" w:rsidRPr="00455BD5" w:rsidRDefault="00AD50C7" w:rsidP="00455BD5">
      <w:pPr>
        <w:widowControl w:val="0"/>
        <w:tabs>
          <w:tab w:val="left" w:pos="567"/>
        </w:tabs>
        <w:rPr>
          <w:rFonts w:ascii="Verdana" w:hAnsi="Verdana"/>
          <w:sz w:val="22"/>
          <w:szCs w:val="22"/>
        </w:rPr>
      </w:pPr>
      <w:r w:rsidRPr="00455BD5">
        <w:rPr>
          <w:rFonts w:ascii="Verdana" w:hAnsi="Verdana"/>
          <w:sz w:val="22"/>
          <w:szCs w:val="22"/>
        </w:rPr>
        <w:t xml:space="preserve">  </w:t>
      </w:r>
    </w:p>
    <w:p w:rsidR="006745C0" w:rsidRPr="004A269C" w:rsidRDefault="006745C0" w:rsidP="004A269C">
      <w:pPr>
        <w:widowControl w:val="0"/>
        <w:ind w:left="0" w:firstLine="0"/>
        <w:rPr>
          <w:rFonts w:ascii="Verdana" w:hAnsi="Verdana"/>
          <w:b/>
          <w:sz w:val="22"/>
          <w:szCs w:val="22"/>
        </w:rPr>
      </w:pPr>
      <w:r w:rsidRPr="004A269C">
        <w:rPr>
          <w:rFonts w:ascii="Verdana" w:hAnsi="Verdana"/>
          <w:b/>
          <w:sz w:val="22"/>
          <w:szCs w:val="22"/>
        </w:rPr>
        <w:t>Section 21 of FICA and prospectivity</w:t>
      </w:r>
      <w:r w:rsidR="00A44A73">
        <w:rPr>
          <w:rFonts w:ascii="Verdana" w:hAnsi="Verdana"/>
          <w:b/>
          <w:sz w:val="22"/>
          <w:szCs w:val="22"/>
        </w:rPr>
        <w:t xml:space="preserve"> (“prospective” clients)</w:t>
      </w:r>
    </w:p>
    <w:p w:rsidR="003757A6" w:rsidRDefault="003757A6" w:rsidP="003757A6">
      <w:pPr>
        <w:pStyle w:val="ListParagraph"/>
        <w:widowControl w:val="0"/>
        <w:ind w:left="567" w:firstLine="0"/>
        <w:rPr>
          <w:rFonts w:ascii="Verdana" w:hAnsi="Verdana"/>
          <w:sz w:val="22"/>
          <w:szCs w:val="22"/>
        </w:rPr>
      </w:pPr>
    </w:p>
    <w:p w:rsidR="005158FF" w:rsidRPr="004A269C" w:rsidRDefault="007F587B" w:rsidP="00783450">
      <w:pPr>
        <w:pStyle w:val="ListParagraph"/>
        <w:widowControl w:val="0"/>
        <w:numPr>
          <w:ilvl w:val="0"/>
          <w:numId w:val="2"/>
        </w:numPr>
        <w:rPr>
          <w:rFonts w:ascii="Verdana" w:hAnsi="Verdana"/>
          <w:sz w:val="22"/>
          <w:szCs w:val="22"/>
        </w:rPr>
      </w:pPr>
      <w:r w:rsidRPr="004A269C">
        <w:rPr>
          <w:rFonts w:ascii="Verdana" w:hAnsi="Verdana"/>
          <w:sz w:val="22"/>
          <w:szCs w:val="22"/>
        </w:rPr>
        <w:t>S</w:t>
      </w:r>
      <w:r w:rsidR="003757A6" w:rsidRPr="004A269C">
        <w:rPr>
          <w:rFonts w:ascii="Verdana" w:hAnsi="Verdana"/>
          <w:sz w:val="22"/>
          <w:szCs w:val="22"/>
        </w:rPr>
        <w:t xml:space="preserve">ection 9 of the Bill introduces an amendment to section 21 of FICA in terms of which an accountable institution must establish and verify the identity of a “prospective client” when that accountable institution engages with the “prospective client”.  </w:t>
      </w:r>
      <w:r w:rsidR="007A4975" w:rsidRPr="004A269C">
        <w:rPr>
          <w:rFonts w:ascii="Verdana" w:hAnsi="Verdana"/>
          <w:sz w:val="22"/>
          <w:szCs w:val="22"/>
        </w:rPr>
        <w:t>The term “prospective client” is used</w:t>
      </w:r>
      <w:r w:rsidR="002D06D4" w:rsidRPr="004A269C">
        <w:rPr>
          <w:rFonts w:ascii="Verdana" w:hAnsi="Verdana"/>
          <w:sz w:val="22"/>
          <w:szCs w:val="22"/>
        </w:rPr>
        <w:t xml:space="preserve"> generally and in</w:t>
      </w:r>
      <w:r w:rsidR="007A4975" w:rsidRPr="004A269C">
        <w:rPr>
          <w:rFonts w:ascii="Verdana" w:hAnsi="Verdana"/>
          <w:sz w:val="22"/>
          <w:szCs w:val="22"/>
        </w:rPr>
        <w:t xml:space="preserve"> other context</w:t>
      </w:r>
      <w:r w:rsidR="002D06D4" w:rsidRPr="004A269C">
        <w:rPr>
          <w:rFonts w:ascii="Verdana" w:hAnsi="Verdana"/>
          <w:sz w:val="22"/>
          <w:szCs w:val="22"/>
        </w:rPr>
        <w:t>s</w:t>
      </w:r>
      <w:r w:rsidR="007A4975" w:rsidRPr="004A269C">
        <w:rPr>
          <w:rFonts w:ascii="Verdana" w:hAnsi="Verdana"/>
          <w:sz w:val="22"/>
          <w:szCs w:val="22"/>
        </w:rPr>
        <w:t xml:space="preserve"> throughout the Bill.  </w:t>
      </w:r>
      <w:r w:rsidR="003757A6" w:rsidRPr="004A269C">
        <w:rPr>
          <w:rFonts w:ascii="Verdana" w:hAnsi="Verdana"/>
          <w:sz w:val="22"/>
          <w:szCs w:val="22"/>
        </w:rPr>
        <w:t>Exemption 2 to FICA</w:t>
      </w:r>
      <w:r w:rsidR="002D06D4" w:rsidRPr="004A269C">
        <w:rPr>
          <w:rFonts w:ascii="Verdana" w:hAnsi="Verdana"/>
          <w:sz w:val="22"/>
          <w:szCs w:val="22"/>
        </w:rPr>
        <w:t xml:space="preserve">, </w:t>
      </w:r>
      <w:r w:rsidR="00054D59" w:rsidRPr="004A269C">
        <w:rPr>
          <w:rFonts w:ascii="Verdana" w:hAnsi="Verdana"/>
          <w:sz w:val="22"/>
          <w:szCs w:val="22"/>
        </w:rPr>
        <w:t>however, currently</w:t>
      </w:r>
      <w:r w:rsidR="002D06D4" w:rsidRPr="004A269C">
        <w:rPr>
          <w:rFonts w:ascii="Verdana" w:hAnsi="Verdana"/>
          <w:sz w:val="22"/>
          <w:szCs w:val="22"/>
        </w:rPr>
        <w:t xml:space="preserve"> exempts prospective clients from such verification requirements.  </w:t>
      </w:r>
      <w:r w:rsidR="005158FF" w:rsidRPr="004A269C">
        <w:rPr>
          <w:rFonts w:ascii="Verdana" w:hAnsi="Verdana"/>
          <w:sz w:val="22"/>
          <w:szCs w:val="22"/>
        </w:rPr>
        <w:t>It reads:</w:t>
      </w:r>
      <w:r w:rsidR="003757A6" w:rsidRPr="004A269C">
        <w:rPr>
          <w:rFonts w:ascii="Verdana" w:hAnsi="Verdana"/>
          <w:sz w:val="22"/>
          <w:szCs w:val="22"/>
        </w:rPr>
        <w:t xml:space="preserve"> </w:t>
      </w:r>
    </w:p>
    <w:p w:rsidR="00DB31FE" w:rsidRDefault="00DB31FE" w:rsidP="004A269C">
      <w:pPr>
        <w:pStyle w:val="ListParagraph"/>
        <w:ind w:left="1418" w:firstLine="22"/>
        <w:rPr>
          <w:rFonts w:ascii="Verdana" w:hAnsi="Verdana"/>
          <w:sz w:val="22"/>
          <w:szCs w:val="22"/>
          <w:lang w:val="en-GB"/>
        </w:rPr>
      </w:pPr>
    </w:p>
    <w:p w:rsidR="005158FF" w:rsidRPr="002D06D4" w:rsidRDefault="00DB31FE" w:rsidP="004A269C">
      <w:pPr>
        <w:pStyle w:val="ListParagraph"/>
        <w:ind w:left="1276" w:firstLine="22"/>
        <w:rPr>
          <w:rFonts w:ascii="Verdana" w:hAnsi="Verdana"/>
          <w:sz w:val="22"/>
          <w:szCs w:val="22"/>
          <w:lang w:val="en-GB"/>
        </w:rPr>
      </w:pPr>
      <w:r>
        <w:rPr>
          <w:rFonts w:ascii="Verdana" w:hAnsi="Verdana"/>
          <w:sz w:val="22"/>
          <w:szCs w:val="22"/>
          <w:lang w:val="en-GB"/>
        </w:rPr>
        <w:t>“</w:t>
      </w:r>
      <w:r w:rsidR="005158FF" w:rsidRPr="002D06D4">
        <w:rPr>
          <w:rFonts w:ascii="Verdana" w:hAnsi="Verdana"/>
          <w:sz w:val="22"/>
          <w:szCs w:val="22"/>
          <w:lang w:val="en-GB"/>
        </w:rPr>
        <w:t>Every accountable institution may by way of e</w:t>
      </w:r>
      <w:r w:rsidR="005158FF" w:rsidRPr="004A269C">
        <w:rPr>
          <w:rFonts w:ascii="Verdana" w:hAnsi="Verdana"/>
          <w:sz w:val="22"/>
          <w:szCs w:val="22"/>
          <w:lang w:val="en-GB"/>
        </w:rPr>
        <w:t xml:space="preserve">xemption from section 21 of the </w:t>
      </w:r>
      <w:r w:rsidR="005158FF" w:rsidRPr="002D06D4">
        <w:rPr>
          <w:rFonts w:ascii="Verdana" w:hAnsi="Verdana"/>
          <w:sz w:val="22"/>
          <w:szCs w:val="22"/>
          <w:lang w:val="en-GB"/>
        </w:rPr>
        <w:t>Act,</w:t>
      </w:r>
      <w:r w:rsidR="005158FF" w:rsidRPr="004A269C">
        <w:rPr>
          <w:rFonts w:ascii="Verdana" w:hAnsi="Verdana"/>
          <w:sz w:val="22"/>
          <w:szCs w:val="22"/>
          <w:lang w:val="en-GB"/>
        </w:rPr>
        <w:t xml:space="preserve"> </w:t>
      </w:r>
      <w:r w:rsidR="005158FF" w:rsidRPr="002D06D4">
        <w:rPr>
          <w:rFonts w:ascii="Verdana" w:hAnsi="Verdana"/>
          <w:sz w:val="22"/>
          <w:szCs w:val="22"/>
          <w:lang w:val="en-GB"/>
        </w:rPr>
        <w:t>accept a mandate from a prospectiv</w:t>
      </w:r>
      <w:r w:rsidR="005158FF" w:rsidRPr="003545F5">
        <w:rPr>
          <w:rFonts w:ascii="Verdana" w:hAnsi="Verdana"/>
          <w:sz w:val="22"/>
          <w:szCs w:val="22"/>
          <w:lang w:val="en-GB"/>
        </w:rPr>
        <w:t>e client to establish a business relationship or to</w:t>
      </w:r>
      <w:r w:rsidR="005158FF" w:rsidRPr="004A269C">
        <w:rPr>
          <w:rFonts w:ascii="Verdana" w:hAnsi="Verdana"/>
          <w:sz w:val="22"/>
          <w:szCs w:val="22"/>
          <w:lang w:val="en-GB"/>
        </w:rPr>
        <w:t xml:space="preserve"> </w:t>
      </w:r>
      <w:r w:rsidR="005158FF" w:rsidRPr="002D06D4">
        <w:rPr>
          <w:rFonts w:ascii="Verdana" w:hAnsi="Verdana"/>
          <w:sz w:val="22"/>
          <w:szCs w:val="22"/>
          <w:lang w:val="en-GB"/>
        </w:rPr>
        <w:t>conclude a single transaction, or take any similar preparatory steps with a view to</w:t>
      </w:r>
      <w:r w:rsidR="005158FF" w:rsidRPr="004A269C">
        <w:rPr>
          <w:rFonts w:ascii="Verdana" w:hAnsi="Verdana"/>
          <w:sz w:val="22"/>
          <w:szCs w:val="22"/>
          <w:lang w:val="en-GB"/>
        </w:rPr>
        <w:t xml:space="preserve"> </w:t>
      </w:r>
      <w:r w:rsidR="005158FF" w:rsidRPr="002D06D4">
        <w:rPr>
          <w:rFonts w:ascii="Verdana" w:hAnsi="Verdana"/>
          <w:sz w:val="22"/>
          <w:szCs w:val="22"/>
          <w:lang w:val="en-GB"/>
        </w:rPr>
        <w:t>establishing a business relationship or concluding a single transaction, before the</w:t>
      </w:r>
      <w:r w:rsidR="005158FF" w:rsidRPr="004A269C">
        <w:rPr>
          <w:rFonts w:ascii="Verdana" w:hAnsi="Verdana"/>
          <w:sz w:val="22"/>
          <w:szCs w:val="22"/>
          <w:lang w:val="en-GB"/>
        </w:rPr>
        <w:t xml:space="preserve"> </w:t>
      </w:r>
      <w:r w:rsidR="005158FF" w:rsidRPr="002D06D4">
        <w:rPr>
          <w:rFonts w:ascii="Verdana" w:hAnsi="Verdana"/>
          <w:sz w:val="22"/>
          <w:szCs w:val="22"/>
          <w:lang w:val="en-GB"/>
        </w:rPr>
        <w:t>accountable institution verified the</w:t>
      </w:r>
      <w:r w:rsidR="005158FF" w:rsidRPr="003545F5">
        <w:rPr>
          <w:rFonts w:ascii="Verdana" w:hAnsi="Verdana"/>
          <w:sz w:val="22"/>
          <w:szCs w:val="22"/>
          <w:lang w:val="en-GB"/>
        </w:rPr>
        <w:t xml:space="preserve"> identity of that prospective client in accordance</w:t>
      </w:r>
      <w:r w:rsidR="005158FF" w:rsidRPr="004A269C">
        <w:rPr>
          <w:rFonts w:ascii="Verdana" w:hAnsi="Verdana"/>
          <w:sz w:val="22"/>
          <w:szCs w:val="22"/>
          <w:lang w:val="en-GB"/>
        </w:rPr>
        <w:t xml:space="preserve"> </w:t>
      </w:r>
      <w:r w:rsidR="005158FF" w:rsidRPr="002D06D4">
        <w:rPr>
          <w:rFonts w:ascii="Verdana" w:hAnsi="Verdana"/>
          <w:sz w:val="22"/>
          <w:szCs w:val="22"/>
          <w:lang w:val="en-GB"/>
        </w:rPr>
        <w:t>with section 21 of the Act, subject to the condition that the accountable institution will</w:t>
      </w:r>
      <w:r w:rsidR="005158FF" w:rsidRPr="004A269C">
        <w:rPr>
          <w:rFonts w:ascii="Verdana" w:hAnsi="Verdana"/>
          <w:sz w:val="22"/>
          <w:szCs w:val="22"/>
          <w:lang w:val="en-GB"/>
        </w:rPr>
        <w:t xml:space="preserve"> </w:t>
      </w:r>
      <w:r w:rsidR="005158FF" w:rsidRPr="002D06D4">
        <w:rPr>
          <w:rFonts w:ascii="Verdana" w:hAnsi="Verdana"/>
          <w:sz w:val="22"/>
          <w:szCs w:val="22"/>
          <w:lang w:val="en-GB"/>
        </w:rPr>
        <w:t>have completed all steps which are necessary in order to verify the identity of that</w:t>
      </w:r>
      <w:r w:rsidR="005158FF" w:rsidRPr="004A269C">
        <w:rPr>
          <w:rFonts w:ascii="Verdana" w:hAnsi="Verdana"/>
          <w:sz w:val="22"/>
          <w:szCs w:val="22"/>
          <w:lang w:val="en-GB"/>
        </w:rPr>
        <w:t xml:space="preserve"> </w:t>
      </w:r>
      <w:r w:rsidR="005158FF" w:rsidRPr="002D06D4">
        <w:rPr>
          <w:rFonts w:ascii="Verdana" w:hAnsi="Verdana"/>
          <w:sz w:val="22"/>
          <w:szCs w:val="22"/>
          <w:lang w:val="en-GB"/>
        </w:rPr>
        <w:t>client in accordance with section 21 of the Act before the institution—</w:t>
      </w:r>
    </w:p>
    <w:p w:rsidR="00DB31FE" w:rsidRDefault="00DB31FE" w:rsidP="004A269C">
      <w:pPr>
        <w:pStyle w:val="ListParagraph"/>
        <w:ind w:left="2655" w:firstLine="0"/>
        <w:rPr>
          <w:rFonts w:ascii="Verdana" w:hAnsi="Verdana"/>
          <w:sz w:val="22"/>
          <w:szCs w:val="22"/>
          <w:lang w:val="en-GB"/>
        </w:rPr>
      </w:pPr>
    </w:p>
    <w:p w:rsidR="005158FF" w:rsidRDefault="005158FF" w:rsidP="00783450">
      <w:pPr>
        <w:pStyle w:val="ListParagraph"/>
        <w:numPr>
          <w:ilvl w:val="0"/>
          <w:numId w:val="3"/>
        </w:numPr>
        <w:ind w:left="2127" w:hanging="709"/>
        <w:rPr>
          <w:rFonts w:ascii="Verdana" w:hAnsi="Verdana"/>
          <w:sz w:val="22"/>
          <w:szCs w:val="22"/>
          <w:lang w:val="en-GB"/>
        </w:rPr>
      </w:pPr>
      <w:r w:rsidRPr="003545F5">
        <w:rPr>
          <w:rFonts w:ascii="Verdana" w:hAnsi="Verdana"/>
          <w:sz w:val="22"/>
          <w:szCs w:val="22"/>
          <w:lang w:val="en-GB"/>
        </w:rPr>
        <w:t>concludes a transaction in the course of the resultant business relationship, or</w:t>
      </w:r>
    </w:p>
    <w:p w:rsidR="00DB31FE" w:rsidRPr="004A269C" w:rsidRDefault="00DB31FE" w:rsidP="004A269C">
      <w:pPr>
        <w:pStyle w:val="ListParagraph"/>
        <w:ind w:left="2127" w:hanging="709"/>
        <w:rPr>
          <w:rFonts w:ascii="Verdana" w:hAnsi="Verdana"/>
          <w:sz w:val="22"/>
          <w:szCs w:val="22"/>
          <w:lang w:val="en-GB"/>
        </w:rPr>
      </w:pPr>
    </w:p>
    <w:p w:rsidR="005158FF" w:rsidRPr="004A269C" w:rsidRDefault="005158FF" w:rsidP="00783450">
      <w:pPr>
        <w:pStyle w:val="ListParagraph"/>
        <w:numPr>
          <w:ilvl w:val="0"/>
          <w:numId w:val="3"/>
        </w:numPr>
        <w:ind w:left="2127" w:hanging="709"/>
        <w:rPr>
          <w:rFonts w:ascii="Verdana" w:hAnsi="Verdana"/>
          <w:sz w:val="22"/>
          <w:szCs w:val="22"/>
        </w:rPr>
      </w:pPr>
      <w:r w:rsidRPr="004A269C">
        <w:rPr>
          <w:rFonts w:ascii="Verdana" w:hAnsi="Verdana"/>
          <w:sz w:val="22"/>
          <w:szCs w:val="22"/>
        </w:rPr>
        <w:t>performs any act to give effect to the resultant single transaction.</w:t>
      </w:r>
      <w:r w:rsidR="00DB31FE">
        <w:rPr>
          <w:rFonts w:ascii="Verdana" w:hAnsi="Verdana"/>
          <w:sz w:val="22"/>
          <w:szCs w:val="22"/>
        </w:rPr>
        <w:t>”</w:t>
      </w:r>
    </w:p>
    <w:p w:rsidR="002D06D4" w:rsidRPr="004A269C" w:rsidRDefault="002D06D4" w:rsidP="004A269C">
      <w:pPr>
        <w:pStyle w:val="ListParagraph"/>
        <w:ind w:left="2655" w:firstLine="0"/>
        <w:rPr>
          <w:rFonts w:ascii="Verdana" w:hAnsi="Verdana"/>
          <w:sz w:val="22"/>
          <w:szCs w:val="22"/>
        </w:rPr>
      </w:pPr>
    </w:p>
    <w:p w:rsidR="00D5156F" w:rsidRPr="004A269C" w:rsidRDefault="007124AE" w:rsidP="00783450">
      <w:pPr>
        <w:pStyle w:val="ListParagraph"/>
        <w:numPr>
          <w:ilvl w:val="0"/>
          <w:numId w:val="2"/>
        </w:numPr>
        <w:rPr>
          <w:rFonts w:ascii="Verdana" w:hAnsi="Verdana"/>
          <w:sz w:val="22"/>
          <w:szCs w:val="22"/>
        </w:rPr>
      </w:pPr>
      <w:r w:rsidRPr="004A269C">
        <w:rPr>
          <w:rFonts w:ascii="Verdana" w:hAnsi="Verdana"/>
          <w:sz w:val="22"/>
          <w:szCs w:val="22"/>
        </w:rPr>
        <w:t xml:space="preserve">We submit that the inclusion of the word “prospective” in the </w:t>
      </w:r>
      <w:r w:rsidR="00054D59" w:rsidRPr="004A269C">
        <w:rPr>
          <w:rFonts w:ascii="Verdana" w:hAnsi="Verdana"/>
          <w:sz w:val="22"/>
          <w:szCs w:val="22"/>
        </w:rPr>
        <w:t xml:space="preserve">text </w:t>
      </w:r>
      <w:r w:rsidRPr="004A269C">
        <w:rPr>
          <w:rFonts w:ascii="Verdana" w:hAnsi="Verdana"/>
          <w:sz w:val="22"/>
          <w:szCs w:val="22"/>
        </w:rPr>
        <w:t xml:space="preserve">of section 21 will render any preliminary engagement with the client </w:t>
      </w:r>
      <w:r w:rsidR="00BF1858" w:rsidRPr="004A269C">
        <w:rPr>
          <w:rFonts w:ascii="Verdana" w:hAnsi="Verdana"/>
          <w:sz w:val="22"/>
          <w:szCs w:val="22"/>
        </w:rPr>
        <w:t>an offence against</w:t>
      </w:r>
      <w:r w:rsidRPr="004A269C">
        <w:rPr>
          <w:rFonts w:ascii="Verdana" w:hAnsi="Verdana"/>
          <w:sz w:val="22"/>
          <w:szCs w:val="22"/>
        </w:rPr>
        <w:t xml:space="preserve"> the meaning of </w:t>
      </w:r>
      <w:r w:rsidR="00BF1858" w:rsidRPr="004A269C">
        <w:rPr>
          <w:rFonts w:ascii="Verdana" w:hAnsi="Verdana"/>
          <w:sz w:val="22"/>
          <w:szCs w:val="22"/>
        </w:rPr>
        <w:t>E</w:t>
      </w:r>
      <w:r w:rsidRPr="004A269C">
        <w:rPr>
          <w:rFonts w:ascii="Verdana" w:hAnsi="Verdana"/>
          <w:sz w:val="22"/>
          <w:szCs w:val="22"/>
        </w:rPr>
        <w:t>xemption 2 to FICA, making implementation of section 9 of the Bill impractical and imposing a significant burden on the financial sector.</w:t>
      </w:r>
      <w:r w:rsidR="00582AF7" w:rsidRPr="004A269C">
        <w:rPr>
          <w:rFonts w:ascii="Verdana" w:hAnsi="Verdana"/>
          <w:b/>
          <w:sz w:val="22"/>
          <w:szCs w:val="22"/>
        </w:rPr>
        <w:t xml:space="preserve"> </w:t>
      </w:r>
      <w:r w:rsidR="00A44A73">
        <w:rPr>
          <w:rFonts w:ascii="Verdana" w:hAnsi="Verdana"/>
          <w:sz w:val="22"/>
          <w:szCs w:val="22"/>
        </w:rPr>
        <w:t xml:space="preserve">The requirements relating to “prospective” clients should therefore be deleted, and the risk-based approach facilitated by the current Exemption 2 retained.  </w:t>
      </w:r>
    </w:p>
    <w:p w:rsidR="00D5156F" w:rsidRPr="004A269C" w:rsidRDefault="00D5156F" w:rsidP="004A269C">
      <w:pPr>
        <w:pStyle w:val="ListParagraph"/>
        <w:ind w:left="567" w:firstLine="0"/>
      </w:pPr>
    </w:p>
    <w:p w:rsidR="00582AF7" w:rsidRPr="004A269C" w:rsidRDefault="00582AF7" w:rsidP="004A269C">
      <w:pPr>
        <w:ind w:hanging="720"/>
        <w:rPr>
          <w:rFonts w:ascii="Verdana" w:hAnsi="Verdana"/>
          <w:sz w:val="22"/>
          <w:szCs w:val="22"/>
        </w:rPr>
      </w:pPr>
      <w:r w:rsidRPr="004A269C">
        <w:rPr>
          <w:rFonts w:ascii="Verdana" w:hAnsi="Verdana"/>
          <w:b/>
          <w:sz w:val="22"/>
          <w:szCs w:val="22"/>
        </w:rPr>
        <w:t>Beneficial owner</w:t>
      </w:r>
    </w:p>
    <w:p w:rsidR="00582AF7" w:rsidRDefault="00582AF7" w:rsidP="00582AF7">
      <w:pPr>
        <w:pStyle w:val="ListParagraph"/>
        <w:widowControl w:val="0"/>
        <w:tabs>
          <w:tab w:val="left" w:pos="567"/>
        </w:tabs>
        <w:ind w:left="1418" w:firstLine="0"/>
        <w:rPr>
          <w:rFonts w:ascii="Verdana" w:hAnsi="Verdana"/>
          <w:sz w:val="22"/>
          <w:szCs w:val="22"/>
        </w:rPr>
      </w:pPr>
    </w:p>
    <w:p w:rsidR="00582AF7" w:rsidRPr="004A269C" w:rsidRDefault="00582AF7" w:rsidP="00783450">
      <w:pPr>
        <w:pStyle w:val="ListParagraph"/>
        <w:widowControl w:val="0"/>
        <w:numPr>
          <w:ilvl w:val="0"/>
          <w:numId w:val="2"/>
        </w:numPr>
        <w:tabs>
          <w:tab w:val="left" w:pos="567"/>
        </w:tabs>
        <w:rPr>
          <w:rFonts w:ascii="Verdana" w:hAnsi="Verdana"/>
          <w:sz w:val="22"/>
          <w:szCs w:val="22"/>
        </w:rPr>
      </w:pPr>
      <w:r w:rsidRPr="004A269C">
        <w:rPr>
          <w:rFonts w:ascii="Verdana" w:hAnsi="Verdana"/>
          <w:sz w:val="22"/>
          <w:szCs w:val="22"/>
        </w:rPr>
        <w:t>Section 1 of the Bill proposes a definition of “beneficial owner” as meaning</w:t>
      </w:r>
      <w:r w:rsidR="00A44A73">
        <w:rPr>
          <w:rFonts w:ascii="Verdana" w:hAnsi="Verdana"/>
          <w:sz w:val="22"/>
          <w:szCs w:val="22"/>
        </w:rPr>
        <w:t>,</w:t>
      </w:r>
      <w:r w:rsidRPr="004A269C">
        <w:rPr>
          <w:rFonts w:ascii="Verdana" w:hAnsi="Verdana"/>
          <w:sz w:val="22"/>
          <w:szCs w:val="22"/>
        </w:rPr>
        <w:t xml:space="preserve"> in respect of a legal person, a natural person who, independently or together with another person, directly or indirectly:</w:t>
      </w:r>
    </w:p>
    <w:p w:rsidR="00582AF7" w:rsidRPr="006D4C83" w:rsidRDefault="00582AF7" w:rsidP="00582AF7">
      <w:pPr>
        <w:pStyle w:val="ListParagraph"/>
        <w:widowControl w:val="0"/>
        <w:tabs>
          <w:tab w:val="left" w:pos="567"/>
        </w:tabs>
        <w:ind w:left="1418" w:firstLine="0"/>
        <w:rPr>
          <w:rFonts w:ascii="Verdana" w:hAnsi="Verdana"/>
          <w:sz w:val="22"/>
          <w:szCs w:val="22"/>
        </w:rPr>
      </w:pPr>
    </w:p>
    <w:p w:rsidR="00582AF7" w:rsidRPr="000223E9" w:rsidRDefault="00582AF7" w:rsidP="00783450">
      <w:pPr>
        <w:pStyle w:val="ListParagraph"/>
        <w:widowControl w:val="0"/>
        <w:numPr>
          <w:ilvl w:val="0"/>
          <w:numId w:val="6"/>
        </w:numPr>
        <w:tabs>
          <w:tab w:val="left" w:pos="567"/>
        </w:tabs>
        <w:rPr>
          <w:rFonts w:ascii="Verdana" w:hAnsi="Verdana"/>
          <w:sz w:val="22"/>
          <w:szCs w:val="22"/>
        </w:rPr>
      </w:pPr>
      <w:r w:rsidRPr="000223E9">
        <w:rPr>
          <w:rFonts w:ascii="Verdana" w:hAnsi="Verdana"/>
          <w:sz w:val="22"/>
          <w:szCs w:val="22"/>
        </w:rPr>
        <w:t>Owns the legal person; or</w:t>
      </w:r>
    </w:p>
    <w:p w:rsidR="00582AF7" w:rsidRPr="006D4C83" w:rsidRDefault="00582AF7" w:rsidP="00582AF7">
      <w:pPr>
        <w:pStyle w:val="ListParagraph"/>
        <w:widowControl w:val="0"/>
        <w:tabs>
          <w:tab w:val="left" w:pos="567"/>
        </w:tabs>
        <w:ind w:left="2127" w:firstLine="0"/>
        <w:rPr>
          <w:rFonts w:ascii="Verdana" w:hAnsi="Verdana"/>
          <w:sz w:val="22"/>
          <w:szCs w:val="22"/>
        </w:rPr>
      </w:pPr>
    </w:p>
    <w:p w:rsidR="00582AF7" w:rsidRPr="006D4C83" w:rsidRDefault="00582AF7" w:rsidP="00783450">
      <w:pPr>
        <w:pStyle w:val="ListParagraph"/>
        <w:widowControl w:val="0"/>
        <w:numPr>
          <w:ilvl w:val="0"/>
          <w:numId w:val="6"/>
        </w:numPr>
        <w:tabs>
          <w:tab w:val="left" w:pos="567"/>
        </w:tabs>
        <w:rPr>
          <w:rFonts w:ascii="Verdana" w:hAnsi="Verdana"/>
          <w:sz w:val="22"/>
          <w:szCs w:val="22"/>
        </w:rPr>
      </w:pPr>
      <w:r w:rsidRPr="006D4C83">
        <w:rPr>
          <w:rFonts w:ascii="Verdana" w:hAnsi="Verdana"/>
          <w:sz w:val="22"/>
          <w:szCs w:val="22"/>
        </w:rPr>
        <w:t>Exercises effective control of the legal person.</w:t>
      </w:r>
    </w:p>
    <w:p w:rsidR="00AA57EB" w:rsidRDefault="00AA57EB" w:rsidP="004A269C">
      <w:pPr>
        <w:pStyle w:val="ListParagraph"/>
        <w:widowControl w:val="0"/>
        <w:tabs>
          <w:tab w:val="left" w:pos="567"/>
        </w:tabs>
        <w:ind w:left="567" w:firstLine="0"/>
        <w:rPr>
          <w:rFonts w:ascii="Verdana" w:hAnsi="Verdana"/>
          <w:sz w:val="22"/>
          <w:szCs w:val="22"/>
        </w:rPr>
      </w:pPr>
    </w:p>
    <w:p w:rsidR="00582AF7" w:rsidRPr="004A269C" w:rsidRDefault="00582AF7" w:rsidP="00783450">
      <w:pPr>
        <w:pStyle w:val="ListParagraph"/>
        <w:widowControl w:val="0"/>
        <w:numPr>
          <w:ilvl w:val="0"/>
          <w:numId w:val="2"/>
        </w:numPr>
        <w:tabs>
          <w:tab w:val="left" w:pos="567"/>
        </w:tabs>
        <w:rPr>
          <w:rFonts w:ascii="Verdana" w:hAnsi="Verdana"/>
          <w:sz w:val="22"/>
          <w:szCs w:val="22"/>
        </w:rPr>
      </w:pPr>
      <w:r w:rsidRPr="004A269C">
        <w:rPr>
          <w:rFonts w:ascii="Verdana" w:hAnsi="Verdana"/>
          <w:sz w:val="22"/>
          <w:szCs w:val="22"/>
        </w:rPr>
        <w:t xml:space="preserve">The use of the words “effective control” is </w:t>
      </w:r>
      <w:r w:rsidR="00AA57EB">
        <w:rPr>
          <w:rFonts w:ascii="Verdana" w:hAnsi="Verdana"/>
          <w:sz w:val="22"/>
          <w:szCs w:val="22"/>
        </w:rPr>
        <w:t xml:space="preserve">however </w:t>
      </w:r>
      <w:r w:rsidRPr="004A269C">
        <w:rPr>
          <w:rFonts w:ascii="Verdana" w:hAnsi="Verdana"/>
          <w:sz w:val="22"/>
          <w:szCs w:val="22"/>
        </w:rPr>
        <w:t xml:space="preserve">not defined in the Bill.  </w:t>
      </w:r>
    </w:p>
    <w:p w:rsidR="00582AF7" w:rsidRDefault="00582AF7" w:rsidP="00582AF7">
      <w:pPr>
        <w:widowControl w:val="0"/>
        <w:tabs>
          <w:tab w:val="left" w:pos="567"/>
        </w:tabs>
        <w:ind w:left="1436" w:hanging="720"/>
        <w:rPr>
          <w:rFonts w:ascii="Verdana" w:hAnsi="Verdana"/>
          <w:sz w:val="22"/>
          <w:szCs w:val="22"/>
        </w:rPr>
      </w:pPr>
    </w:p>
    <w:p w:rsidR="00582AF7" w:rsidRPr="004A269C" w:rsidRDefault="00582AF7" w:rsidP="00783450">
      <w:pPr>
        <w:pStyle w:val="ListParagraph"/>
        <w:widowControl w:val="0"/>
        <w:numPr>
          <w:ilvl w:val="0"/>
          <w:numId w:val="2"/>
        </w:numPr>
        <w:tabs>
          <w:tab w:val="left" w:pos="567"/>
        </w:tabs>
        <w:rPr>
          <w:rFonts w:ascii="Verdana" w:hAnsi="Verdana"/>
          <w:sz w:val="22"/>
          <w:szCs w:val="22"/>
        </w:rPr>
      </w:pPr>
      <w:r w:rsidRPr="004A269C">
        <w:rPr>
          <w:rFonts w:ascii="Verdana" w:hAnsi="Verdana"/>
          <w:sz w:val="22"/>
          <w:szCs w:val="22"/>
        </w:rPr>
        <w:t xml:space="preserve">Footnote 30 to the FATF </w:t>
      </w:r>
      <w:r w:rsidR="00A44A73">
        <w:rPr>
          <w:rFonts w:ascii="Verdana" w:hAnsi="Verdana"/>
          <w:sz w:val="22"/>
          <w:szCs w:val="22"/>
        </w:rPr>
        <w:t>I</w:t>
      </w:r>
      <w:r w:rsidRPr="004A269C">
        <w:rPr>
          <w:rFonts w:ascii="Verdana" w:hAnsi="Verdana"/>
          <w:sz w:val="22"/>
          <w:szCs w:val="22"/>
        </w:rPr>
        <w:t xml:space="preserve">nterpretive </w:t>
      </w:r>
      <w:r w:rsidR="00A44A73">
        <w:rPr>
          <w:rFonts w:ascii="Verdana" w:hAnsi="Verdana"/>
          <w:sz w:val="22"/>
          <w:szCs w:val="22"/>
        </w:rPr>
        <w:t>N</w:t>
      </w:r>
      <w:r w:rsidRPr="004A269C">
        <w:rPr>
          <w:rFonts w:ascii="Verdana" w:hAnsi="Verdana"/>
          <w:sz w:val="22"/>
          <w:szCs w:val="22"/>
        </w:rPr>
        <w:t xml:space="preserve">ote to Recommendation 10 </w:t>
      </w:r>
      <w:r w:rsidR="00A44A73">
        <w:rPr>
          <w:rFonts w:ascii="Verdana" w:hAnsi="Verdana"/>
          <w:sz w:val="22"/>
          <w:szCs w:val="22"/>
        </w:rPr>
        <w:t xml:space="preserve">(which are part of the Recommendation) </w:t>
      </w:r>
      <w:r w:rsidRPr="004A269C">
        <w:rPr>
          <w:rFonts w:ascii="Verdana" w:hAnsi="Verdana"/>
          <w:sz w:val="22"/>
          <w:szCs w:val="22"/>
        </w:rPr>
        <w:t>states that “controlling ownership interest depends on the ownership structure of the company</w:t>
      </w:r>
      <w:r w:rsidR="00AA57EB">
        <w:rPr>
          <w:rFonts w:ascii="Verdana" w:hAnsi="Verdana"/>
          <w:sz w:val="22"/>
          <w:szCs w:val="22"/>
        </w:rPr>
        <w:t xml:space="preserve"> and may</w:t>
      </w:r>
      <w:r w:rsidRPr="004A269C">
        <w:rPr>
          <w:rFonts w:ascii="Verdana" w:hAnsi="Verdana"/>
          <w:sz w:val="22"/>
          <w:szCs w:val="22"/>
        </w:rPr>
        <w:t xml:space="preserve"> be based on a threshold, e</w:t>
      </w:r>
      <w:r w:rsidR="00A44A73">
        <w:rPr>
          <w:rFonts w:ascii="Verdana" w:hAnsi="Verdana"/>
          <w:sz w:val="22"/>
          <w:szCs w:val="22"/>
        </w:rPr>
        <w:t>.</w:t>
      </w:r>
      <w:r w:rsidRPr="004A269C">
        <w:rPr>
          <w:rFonts w:ascii="Verdana" w:hAnsi="Verdana"/>
          <w:sz w:val="22"/>
          <w:szCs w:val="22"/>
        </w:rPr>
        <w:t>g</w:t>
      </w:r>
      <w:r w:rsidR="00A44A73">
        <w:rPr>
          <w:rFonts w:ascii="Verdana" w:hAnsi="Verdana"/>
          <w:sz w:val="22"/>
          <w:szCs w:val="22"/>
        </w:rPr>
        <w:t>.</w:t>
      </w:r>
      <w:r w:rsidRPr="004A269C">
        <w:rPr>
          <w:rFonts w:ascii="Verdana" w:hAnsi="Verdana"/>
          <w:sz w:val="22"/>
          <w:szCs w:val="22"/>
        </w:rPr>
        <w:t xml:space="preserve"> any person owning more than a certain percentage of the company (e</w:t>
      </w:r>
      <w:r w:rsidR="00A44A73">
        <w:rPr>
          <w:rFonts w:ascii="Verdana" w:hAnsi="Verdana"/>
          <w:sz w:val="22"/>
          <w:szCs w:val="22"/>
        </w:rPr>
        <w:t>.</w:t>
      </w:r>
      <w:r w:rsidRPr="004A269C">
        <w:rPr>
          <w:rFonts w:ascii="Verdana" w:hAnsi="Verdana"/>
          <w:sz w:val="22"/>
          <w:szCs w:val="22"/>
        </w:rPr>
        <w:t>g</w:t>
      </w:r>
      <w:r w:rsidR="00A44A73">
        <w:rPr>
          <w:rFonts w:ascii="Verdana" w:hAnsi="Verdana"/>
          <w:sz w:val="22"/>
          <w:szCs w:val="22"/>
        </w:rPr>
        <w:t>.</w:t>
      </w:r>
      <w:r w:rsidRPr="004A269C">
        <w:rPr>
          <w:rFonts w:ascii="Verdana" w:hAnsi="Verdana"/>
          <w:sz w:val="22"/>
          <w:szCs w:val="22"/>
        </w:rPr>
        <w:t xml:space="preserve"> 25%)”.  </w:t>
      </w:r>
    </w:p>
    <w:p w:rsidR="00582AF7" w:rsidRDefault="00582AF7" w:rsidP="00582AF7">
      <w:pPr>
        <w:widowControl w:val="0"/>
        <w:tabs>
          <w:tab w:val="left" w:pos="567"/>
        </w:tabs>
        <w:ind w:left="1436" w:hanging="720"/>
        <w:rPr>
          <w:rFonts w:ascii="Verdana" w:hAnsi="Verdana"/>
          <w:sz w:val="22"/>
          <w:szCs w:val="22"/>
        </w:rPr>
      </w:pPr>
    </w:p>
    <w:p w:rsidR="00582AF7" w:rsidRPr="004A269C" w:rsidRDefault="00582AF7" w:rsidP="00783450">
      <w:pPr>
        <w:pStyle w:val="ListParagraph"/>
        <w:widowControl w:val="0"/>
        <w:numPr>
          <w:ilvl w:val="0"/>
          <w:numId w:val="2"/>
        </w:numPr>
        <w:tabs>
          <w:tab w:val="left" w:pos="567"/>
        </w:tabs>
        <w:rPr>
          <w:rFonts w:ascii="Verdana" w:hAnsi="Verdana"/>
          <w:sz w:val="22"/>
          <w:szCs w:val="22"/>
        </w:rPr>
      </w:pPr>
      <w:r w:rsidRPr="004A269C">
        <w:rPr>
          <w:rFonts w:ascii="Verdana" w:hAnsi="Verdana"/>
          <w:sz w:val="22"/>
          <w:szCs w:val="22"/>
        </w:rPr>
        <w:t>The JMLSG Guidance, in the glossary of terms, defines “beneficial owner” as “the individual who ultimately owns or controls the customer on whose behalf transaction or activity is being conducted.  Reference is also made to Money Laundering Regulation 6 which provides definitions of “beneficial owner” in relation to individuals, partnership</w:t>
      </w:r>
      <w:r w:rsidR="00A44A73">
        <w:rPr>
          <w:rFonts w:ascii="Verdana" w:hAnsi="Verdana"/>
          <w:sz w:val="22"/>
          <w:szCs w:val="22"/>
        </w:rPr>
        <w:t>s</w:t>
      </w:r>
      <w:r w:rsidRPr="004A269C">
        <w:rPr>
          <w:rFonts w:ascii="Verdana" w:hAnsi="Verdana"/>
          <w:sz w:val="22"/>
          <w:szCs w:val="22"/>
        </w:rPr>
        <w:t>, trusts and other unspecified legal entities or legal arrangements.  In the case of a body corporate, partnership or trust, “beneficial owner” means:</w:t>
      </w:r>
    </w:p>
    <w:p w:rsidR="00582AF7" w:rsidRPr="006D4C83" w:rsidRDefault="00582AF7" w:rsidP="00582AF7">
      <w:pPr>
        <w:pStyle w:val="ListParagraph"/>
        <w:widowControl w:val="0"/>
        <w:tabs>
          <w:tab w:val="left" w:pos="567"/>
        </w:tabs>
        <w:ind w:left="1418" w:firstLine="0"/>
        <w:rPr>
          <w:rFonts w:ascii="Verdana" w:hAnsi="Verdana"/>
          <w:sz w:val="22"/>
          <w:szCs w:val="22"/>
        </w:rPr>
      </w:pPr>
    </w:p>
    <w:p w:rsidR="00582AF7" w:rsidRPr="006D4C83" w:rsidRDefault="00582AF7" w:rsidP="00783450">
      <w:pPr>
        <w:pStyle w:val="ListParagraph"/>
        <w:widowControl w:val="0"/>
        <w:numPr>
          <w:ilvl w:val="2"/>
          <w:numId w:val="6"/>
        </w:numPr>
        <w:tabs>
          <w:tab w:val="left" w:pos="567"/>
        </w:tabs>
        <w:ind w:left="2127" w:hanging="567"/>
        <w:rPr>
          <w:rFonts w:ascii="Verdana" w:hAnsi="Verdana"/>
          <w:sz w:val="22"/>
          <w:szCs w:val="22"/>
        </w:rPr>
      </w:pPr>
      <w:r w:rsidRPr="006D4C83">
        <w:rPr>
          <w:rFonts w:ascii="Verdana" w:hAnsi="Verdana"/>
          <w:sz w:val="22"/>
          <w:szCs w:val="22"/>
        </w:rPr>
        <w:t xml:space="preserve">Where the individuals who benefit from the entity or arrangement have been determined, any individual who benefits from at least 25% of the property of the entity or arrangement; </w:t>
      </w:r>
    </w:p>
    <w:p w:rsidR="00582AF7" w:rsidRPr="006D4C83" w:rsidRDefault="00582AF7" w:rsidP="001A1601">
      <w:pPr>
        <w:pStyle w:val="ListParagraph"/>
        <w:widowControl w:val="0"/>
        <w:tabs>
          <w:tab w:val="left" w:pos="567"/>
        </w:tabs>
        <w:ind w:left="2127" w:hanging="567"/>
        <w:rPr>
          <w:rFonts w:ascii="Verdana" w:hAnsi="Verdana"/>
          <w:sz w:val="22"/>
          <w:szCs w:val="22"/>
        </w:rPr>
      </w:pPr>
    </w:p>
    <w:p w:rsidR="00582AF7" w:rsidRPr="006D4C83" w:rsidRDefault="00582AF7" w:rsidP="00783450">
      <w:pPr>
        <w:pStyle w:val="ListParagraph"/>
        <w:widowControl w:val="0"/>
        <w:numPr>
          <w:ilvl w:val="2"/>
          <w:numId w:val="6"/>
        </w:numPr>
        <w:tabs>
          <w:tab w:val="left" w:pos="567"/>
        </w:tabs>
        <w:ind w:left="2127" w:hanging="567"/>
        <w:rPr>
          <w:rFonts w:ascii="Verdana" w:hAnsi="Verdana"/>
          <w:sz w:val="22"/>
          <w:szCs w:val="22"/>
        </w:rPr>
      </w:pPr>
      <w:r w:rsidRPr="006D4C83">
        <w:rPr>
          <w:rFonts w:ascii="Verdana" w:hAnsi="Verdana"/>
          <w:sz w:val="22"/>
          <w:szCs w:val="22"/>
        </w:rPr>
        <w:t>Where the individuals who benefit from the entity or arrangement have yet to be determined, the class of persons in whose main interest the entity or arrangement is set up or operates;</w:t>
      </w:r>
    </w:p>
    <w:p w:rsidR="00582AF7" w:rsidRPr="006D4C83" w:rsidRDefault="00582AF7" w:rsidP="001A1601">
      <w:pPr>
        <w:pStyle w:val="ListParagraph"/>
        <w:ind w:left="2127" w:hanging="567"/>
        <w:rPr>
          <w:rFonts w:ascii="Verdana" w:hAnsi="Verdana"/>
          <w:sz w:val="22"/>
          <w:szCs w:val="22"/>
        </w:rPr>
      </w:pPr>
    </w:p>
    <w:p w:rsidR="00582AF7" w:rsidRPr="006D4C83" w:rsidRDefault="00582AF7" w:rsidP="00783450">
      <w:pPr>
        <w:pStyle w:val="ListParagraph"/>
        <w:widowControl w:val="0"/>
        <w:numPr>
          <w:ilvl w:val="2"/>
          <w:numId w:val="6"/>
        </w:numPr>
        <w:tabs>
          <w:tab w:val="left" w:pos="567"/>
        </w:tabs>
        <w:ind w:left="2127" w:hanging="567"/>
        <w:rPr>
          <w:rFonts w:ascii="Verdana" w:hAnsi="Verdana"/>
          <w:sz w:val="22"/>
          <w:szCs w:val="22"/>
        </w:rPr>
      </w:pPr>
      <w:r w:rsidRPr="006D4C83">
        <w:rPr>
          <w:rFonts w:ascii="Verdana" w:hAnsi="Verdana"/>
          <w:sz w:val="22"/>
          <w:szCs w:val="22"/>
        </w:rPr>
        <w:t>Any individual who exercises control over at least 25% of the property of the entity or arrangement.</w:t>
      </w:r>
      <w:r w:rsidR="00A44A73">
        <w:rPr>
          <w:rFonts w:ascii="Verdana" w:hAnsi="Verdana"/>
          <w:sz w:val="22"/>
          <w:szCs w:val="22"/>
        </w:rPr>
        <w:t>”</w:t>
      </w:r>
      <w:r w:rsidRPr="006D4C83">
        <w:rPr>
          <w:rFonts w:ascii="Verdana" w:hAnsi="Verdana"/>
          <w:sz w:val="22"/>
          <w:szCs w:val="22"/>
        </w:rPr>
        <w:t xml:space="preserve">  </w:t>
      </w:r>
    </w:p>
    <w:p w:rsidR="00582AF7" w:rsidRPr="006D4C83" w:rsidRDefault="00582AF7" w:rsidP="00582AF7">
      <w:pPr>
        <w:pStyle w:val="ListParagraph"/>
        <w:rPr>
          <w:rFonts w:ascii="Verdana" w:hAnsi="Verdana"/>
          <w:sz w:val="22"/>
          <w:szCs w:val="22"/>
        </w:rPr>
      </w:pPr>
    </w:p>
    <w:p w:rsidR="00582AF7" w:rsidRDefault="00582AF7" w:rsidP="00783450">
      <w:pPr>
        <w:pStyle w:val="ListParagraph"/>
        <w:widowControl w:val="0"/>
        <w:numPr>
          <w:ilvl w:val="0"/>
          <w:numId w:val="2"/>
        </w:numPr>
        <w:tabs>
          <w:tab w:val="left" w:pos="567"/>
        </w:tabs>
        <w:rPr>
          <w:rFonts w:ascii="Verdana" w:hAnsi="Verdana"/>
          <w:sz w:val="22"/>
          <w:szCs w:val="22"/>
        </w:rPr>
      </w:pPr>
      <w:r w:rsidRPr="004A269C">
        <w:rPr>
          <w:rFonts w:ascii="Verdana" w:hAnsi="Verdana"/>
          <w:sz w:val="22"/>
          <w:szCs w:val="22"/>
        </w:rPr>
        <w:t xml:space="preserve">Having regard to the fact that the </w:t>
      </w:r>
      <w:r w:rsidR="00A44A73">
        <w:rPr>
          <w:rFonts w:ascii="Verdana" w:hAnsi="Verdana"/>
          <w:sz w:val="22"/>
          <w:szCs w:val="22"/>
        </w:rPr>
        <w:t xml:space="preserve">FICA </w:t>
      </w:r>
      <w:r w:rsidRPr="004A269C">
        <w:rPr>
          <w:rFonts w:ascii="Verdana" w:hAnsi="Verdana"/>
          <w:sz w:val="22"/>
          <w:szCs w:val="22"/>
        </w:rPr>
        <w:t>Money Laundering and Terrorist Financing Control Regulations currently prescribe</w:t>
      </w:r>
      <w:r w:rsidR="00A44A73">
        <w:rPr>
          <w:rFonts w:ascii="Verdana" w:hAnsi="Verdana"/>
          <w:sz w:val="22"/>
          <w:szCs w:val="22"/>
        </w:rPr>
        <w:t>,</w:t>
      </w:r>
      <w:r w:rsidRPr="004A269C">
        <w:rPr>
          <w:rFonts w:ascii="Verdana" w:hAnsi="Verdana"/>
          <w:sz w:val="22"/>
          <w:szCs w:val="22"/>
        </w:rPr>
        <w:t xml:space="preserve"> in regulation</w:t>
      </w:r>
      <w:r w:rsidR="00A44A73">
        <w:rPr>
          <w:rFonts w:ascii="Verdana" w:hAnsi="Verdana"/>
          <w:sz w:val="22"/>
          <w:szCs w:val="22"/>
        </w:rPr>
        <w:t>s</w:t>
      </w:r>
      <w:r w:rsidRPr="004A269C">
        <w:rPr>
          <w:rFonts w:ascii="Verdana" w:hAnsi="Verdana"/>
          <w:sz w:val="22"/>
          <w:szCs w:val="22"/>
        </w:rPr>
        <w:t xml:space="preserve"> 7 and 8</w:t>
      </w:r>
      <w:r w:rsidR="00A44A73">
        <w:rPr>
          <w:rFonts w:ascii="Verdana" w:hAnsi="Verdana"/>
          <w:sz w:val="22"/>
          <w:szCs w:val="22"/>
        </w:rPr>
        <w:t>,</w:t>
      </w:r>
      <w:r w:rsidRPr="004A269C">
        <w:rPr>
          <w:rFonts w:ascii="Verdana" w:hAnsi="Verdana"/>
          <w:sz w:val="22"/>
          <w:szCs w:val="22"/>
        </w:rPr>
        <w:t xml:space="preserve"> that the details of “each natural, or legal person, partnership or trust holding 25% or more of the voting rights at a general meeting of the company” be established and verified</w:t>
      </w:r>
      <w:r w:rsidR="001A1601">
        <w:rPr>
          <w:rFonts w:ascii="Verdana" w:hAnsi="Verdana"/>
          <w:sz w:val="22"/>
          <w:szCs w:val="22"/>
        </w:rPr>
        <w:t>, we propose that</w:t>
      </w:r>
      <w:r w:rsidRPr="004A269C">
        <w:rPr>
          <w:rFonts w:ascii="Verdana" w:hAnsi="Verdana"/>
          <w:sz w:val="22"/>
          <w:szCs w:val="22"/>
        </w:rPr>
        <w:t xml:space="preserve"> a similar provision </w:t>
      </w:r>
      <w:r w:rsidR="00A44A73">
        <w:rPr>
          <w:rFonts w:ascii="Verdana" w:hAnsi="Verdana"/>
          <w:sz w:val="22"/>
          <w:szCs w:val="22"/>
        </w:rPr>
        <w:t xml:space="preserve">for an ownership threshold </w:t>
      </w:r>
      <w:r w:rsidRPr="004A269C">
        <w:rPr>
          <w:rFonts w:ascii="Verdana" w:hAnsi="Verdana"/>
          <w:sz w:val="22"/>
          <w:szCs w:val="22"/>
        </w:rPr>
        <w:t>be retained</w:t>
      </w:r>
      <w:r w:rsidR="001A1601">
        <w:rPr>
          <w:rFonts w:ascii="Verdana" w:hAnsi="Verdana"/>
          <w:sz w:val="22"/>
          <w:szCs w:val="22"/>
        </w:rPr>
        <w:t xml:space="preserve"> in the Bill</w:t>
      </w:r>
      <w:r w:rsidRPr="004A269C">
        <w:rPr>
          <w:rFonts w:ascii="Verdana" w:hAnsi="Verdana"/>
          <w:sz w:val="22"/>
          <w:szCs w:val="22"/>
        </w:rPr>
        <w:t xml:space="preserve">.  For the past 15 years the banking industry has done </w:t>
      </w:r>
      <w:r w:rsidR="001A1601">
        <w:rPr>
          <w:rFonts w:ascii="Verdana" w:hAnsi="Verdana"/>
          <w:sz w:val="22"/>
          <w:szCs w:val="22"/>
        </w:rPr>
        <w:t>customer identification and verification</w:t>
      </w:r>
      <w:r w:rsidRPr="004A269C">
        <w:rPr>
          <w:rFonts w:ascii="Verdana" w:hAnsi="Verdana"/>
          <w:sz w:val="22"/>
          <w:szCs w:val="22"/>
        </w:rPr>
        <w:t xml:space="preserve"> on companies and corporate entities on </w:t>
      </w:r>
      <w:r w:rsidRPr="004A269C">
        <w:rPr>
          <w:rFonts w:ascii="Verdana" w:hAnsi="Verdana"/>
          <w:sz w:val="22"/>
          <w:szCs w:val="22"/>
        </w:rPr>
        <w:lastRenderedPageBreak/>
        <w:t>this basis.  Not only will a provision designating “effective control” as meaning something less than 25% of the voting rights in a company mean that industry members will have to re</w:t>
      </w:r>
      <w:r w:rsidR="001A1601">
        <w:rPr>
          <w:rFonts w:ascii="Verdana" w:hAnsi="Verdana"/>
          <w:sz w:val="22"/>
          <w:szCs w:val="22"/>
        </w:rPr>
        <w:t>-</w:t>
      </w:r>
      <w:r w:rsidRPr="004A269C">
        <w:rPr>
          <w:rFonts w:ascii="Verdana" w:hAnsi="Verdana"/>
          <w:sz w:val="22"/>
          <w:szCs w:val="22"/>
        </w:rPr>
        <w:t>design their systems to obtain this information, but it will also mean that every existing corporate customer of the industry would need to be re-identified and verified.  In any event, the current requirement as it is enacted in the Money Laundering Control Regulations is compliant with international best practice</w:t>
      </w:r>
      <w:r w:rsidR="00253340">
        <w:rPr>
          <w:rFonts w:ascii="Verdana" w:hAnsi="Verdana"/>
          <w:sz w:val="22"/>
          <w:szCs w:val="22"/>
        </w:rPr>
        <w:t xml:space="preserve"> across a number of jurisdictions</w:t>
      </w:r>
      <w:r w:rsidRPr="004A269C">
        <w:rPr>
          <w:rFonts w:ascii="Verdana" w:hAnsi="Verdana"/>
          <w:sz w:val="22"/>
          <w:szCs w:val="22"/>
        </w:rPr>
        <w:t>.</w:t>
      </w:r>
    </w:p>
    <w:p w:rsidR="00870A98" w:rsidRDefault="00870A98" w:rsidP="00870A98">
      <w:pPr>
        <w:pStyle w:val="ListParagraph"/>
        <w:widowControl w:val="0"/>
        <w:tabs>
          <w:tab w:val="left" w:pos="567"/>
        </w:tabs>
        <w:ind w:left="567" w:firstLine="0"/>
        <w:rPr>
          <w:rFonts w:ascii="Verdana" w:hAnsi="Verdana"/>
          <w:sz w:val="22"/>
          <w:szCs w:val="22"/>
        </w:rPr>
      </w:pPr>
    </w:p>
    <w:p w:rsidR="00870A98" w:rsidRPr="004A269C" w:rsidRDefault="00870A98" w:rsidP="00783450">
      <w:pPr>
        <w:pStyle w:val="ListParagraph"/>
        <w:widowControl w:val="0"/>
        <w:numPr>
          <w:ilvl w:val="0"/>
          <w:numId w:val="2"/>
        </w:numPr>
        <w:tabs>
          <w:tab w:val="left" w:pos="567"/>
        </w:tabs>
        <w:rPr>
          <w:rFonts w:ascii="Verdana" w:hAnsi="Verdana"/>
          <w:sz w:val="22"/>
          <w:szCs w:val="22"/>
        </w:rPr>
      </w:pPr>
      <w:r>
        <w:rPr>
          <w:rFonts w:ascii="Verdana" w:hAnsi="Verdana"/>
          <w:sz w:val="22"/>
          <w:szCs w:val="22"/>
        </w:rPr>
        <w:t xml:space="preserve">In this context it should also be noted that there are no obligations in law on legal entities to declare their beneficial ownership, or ultimate beneficial ownership, as defined at a natural person level, or to keep such declarations up-to-date, nor are there any state registers or databases with which to verify any such beneficial ownership. The impositions under the Bill, while compliant with the FATF requirements, need to be underpinned with additional regulatory interventions to make the determination and verification of “beneficial ownership” by financial institutions practically implementable, failing which the ownership threshold provision should prevail.    </w:t>
      </w:r>
    </w:p>
    <w:p w:rsidR="00F9021A" w:rsidRDefault="00F9021A" w:rsidP="004A269C">
      <w:pPr>
        <w:pStyle w:val="ListParagraph"/>
        <w:widowControl w:val="0"/>
        <w:tabs>
          <w:tab w:val="left" w:pos="567"/>
          <w:tab w:val="left" w:pos="1418"/>
          <w:tab w:val="left" w:pos="1843"/>
        </w:tabs>
        <w:ind w:left="1418" w:firstLine="0"/>
        <w:rPr>
          <w:rFonts w:ascii="Verdana" w:hAnsi="Verdana"/>
          <w:b/>
          <w:sz w:val="22"/>
          <w:szCs w:val="22"/>
        </w:rPr>
      </w:pPr>
    </w:p>
    <w:p w:rsidR="00F9021A" w:rsidRPr="004A269C" w:rsidRDefault="00F9021A" w:rsidP="004A269C">
      <w:pPr>
        <w:widowControl w:val="0"/>
        <w:tabs>
          <w:tab w:val="left" w:pos="567"/>
          <w:tab w:val="left" w:pos="1418"/>
          <w:tab w:val="left" w:pos="1843"/>
        </w:tabs>
        <w:rPr>
          <w:rFonts w:ascii="Verdana" w:hAnsi="Verdana"/>
          <w:b/>
          <w:sz w:val="22"/>
          <w:szCs w:val="22"/>
        </w:rPr>
      </w:pPr>
      <w:r w:rsidRPr="004A269C">
        <w:rPr>
          <w:rFonts w:ascii="Verdana" w:hAnsi="Verdana"/>
          <w:b/>
          <w:sz w:val="22"/>
          <w:szCs w:val="22"/>
        </w:rPr>
        <w:t xml:space="preserve">Politically exposed persons </w:t>
      </w:r>
    </w:p>
    <w:p w:rsidR="004A10E5" w:rsidRPr="004A269C" w:rsidRDefault="004A10E5" w:rsidP="004A269C">
      <w:pPr>
        <w:pStyle w:val="ListParagraph"/>
        <w:rPr>
          <w:rFonts w:ascii="Verdana" w:hAnsi="Verdana"/>
          <w:sz w:val="22"/>
          <w:szCs w:val="22"/>
        </w:rPr>
      </w:pPr>
    </w:p>
    <w:p w:rsidR="00DB7D94" w:rsidRPr="004A269C" w:rsidRDefault="00870A98" w:rsidP="00783450">
      <w:pPr>
        <w:pStyle w:val="ListParagraph"/>
        <w:numPr>
          <w:ilvl w:val="0"/>
          <w:numId w:val="2"/>
        </w:numPr>
        <w:rPr>
          <w:rFonts w:ascii="Verdana" w:hAnsi="Verdana"/>
          <w:sz w:val="22"/>
          <w:szCs w:val="22"/>
        </w:rPr>
      </w:pPr>
      <w:r>
        <w:rPr>
          <w:rFonts w:ascii="Verdana" w:hAnsi="Verdana"/>
          <w:sz w:val="22"/>
          <w:szCs w:val="22"/>
        </w:rPr>
        <w:t xml:space="preserve">As noted above we propose that the current Bill definitions for </w:t>
      </w:r>
      <w:r w:rsidR="00E40E07" w:rsidRPr="004A269C">
        <w:rPr>
          <w:rFonts w:ascii="Verdana" w:hAnsi="Verdana"/>
          <w:sz w:val="22"/>
          <w:szCs w:val="22"/>
        </w:rPr>
        <w:t xml:space="preserve">“domestic prominent influential person” as stated </w:t>
      </w:r>
      <w:r w:rsidR="002C7425" w:rsidRPr="004A269C">
        <w:rPr>
          <w:rFonts w:ascii="Verdana" w:hAnsi="Verdana"/>
          <w:sz w:val="22"/>
          <w:szCs w:val="22"/>
        </w:rPr>
        <w:t>in section 1(</w:t>
      </w:r>
      <w:r w:rsidR="00E47A79" w:rsidRPr="004A269C">
        <w:rPr>
          <w:rFonts w:ascii="Verdana" w:hAnsi="Verdana"/>
          <w:sz w:val="22"/>
          <w:szCs w:val="22"/>
        </w:rPr>
        <w:t>b</w:t>
      </w:r>
      <w:r w:rsidR="002C7425" w:rsidRPr="004A269C">
        <w:rPr>
          <w:rFonts w:ascii="Verdana" w:hAnsi="Verdana"/>
          <w:sz w:val="22"/>
          <w:szCs w:val="22"/>
        </w:rPr>
        <w:t>)</w:t>
      </w:r>
      <w:r w:rsidR="006D0E7E" w:rsidRPr="004A269C">
        <w:rPr>
          <w:rFonts w:ascii="Verdana" w:hAnsi="Verdana"/>
          <w:sz w:val="22"/>
          <w:szCs w:val="22"/>
        </w:rPr>
        <w:t xml:space="preserve"> of the Bill</w:t>
      </w:r>
      <w:r>
        <w:rPr>
          <w:rFonts w:ascii="Verdana" w:hAnsi="Verdana"/>
          <w:sz w:val="22"/>
          <w:szCs w:val="22"/>
        </w:rPr>
        <w:t xml:space="preserve"> should be deleted in its entirety, and replaced with the internationally-compliant definition for “domestic politically exposed person”. </w:t>
      </w:r>
      <w:r w:rsidR="00585AC6">
        <w:rPr>
          <w:rFonts w:ascii="Verdana" w:hAnsi="Verdana"/>
          <w:sz w:val="22"/>
          <w:szCs w:val="22"/>
        </w:rPr>
        <w:t>In the alternate, if this recommendation were not to be followed, we strongly urge that the following sections be deleted from the definition in the Bill in that they extend the scope of the Bill beyond its focus on AML/CFT, and as noted below</w:t>
      </w:r>
      <w:r w:rsidR="006D0E7E" w:rsidRPr="004A269C">
        <w:rPr>
          <w:rFonts w:ascii="Verdana" w:hAnsi="Verdana"/>
          <w:sz w:val="22"/>
          <w:szCs w:val="22"/>
        </w:rPr>
        <w:t>:</w:t>
      </w:r>
      <w:r w:rsidR="006D0E7E" w:rsidRPr="004A269C">
        <w:rPr>
          <w:rFonts w:ascii="Verdana" w:hAnsi="Verdana" w:cs="Arial"/>
          <w:color w:val="000000"/>
          <w:sz w:val="22"/>
          <w:szCs w:val="22"/>
          <w:lang w:val="en-GB"/>
        </w:rPr>
        <w:t xml:space="preserve"> </w:t>
      </w:r>
    </w:p>
    <w:p w:rsidR="00DB7D94" w:rsidRPr="004A269C" w:rsidRDefault="00DB7D94" w:rsidP="004A269C">
      <w:pPr>
        <w:pStyle w:val="ListParagraph"/>
        <w:ind w:left="567" w:firstLine="0"/>
        <w:rPr>
          <w:rFonts w:ascii="Verdana" w:hAnsi="Verdana"/>
          <w:sz w:val="22"/>
          <w:szCs w:val="22"/>
        </w:rPr>
      </w:pPr>
    </w:p>
    <w:p w:rsidR="00DB7D94" w:rsidRPr="00585AC6" w:rsidRDefault="006D0E7E" w:rsidP="004A269C">
      <w:pPr>
        <w:pStyle w:val="ListParagraph"/>
        <w:ind w:left="1134" w:firstLine="0"/>
        <w:rPr>
          <w:rFonts w:ascii="Verdana" w:hAnsi="Verdana"/>
          <w:strike/>
          <w:sz w:val="22"/>
          <w:szCs w:val="22"/>
          <w:lang w:val="en-GB"/>
        </w:rPr>
      </w:pPr>
      <w:r w:rsidRPr="00585AC6">
        <w:rPr>
          <w:rFonts w:ascii="Verdana" w:hAnsi="Verdana" w:cs="Arial"/>
          <w:strike/>
          <w:color w:val="000000"/>
          <w:sz w:val="22"/>
          <w:szCs w:val="22"/>
          <w:lang w:val="en-GB"/>
        </w:rPr>
        <w:t>“</w:t>
      </w:r>
      <w:r w:rsidRPr="00585AC6">
        <w:rPr>
          <w:rFonts w:ascii="Verdana" w:hAnsi="Verdana"/>
          <w:strike/>
          <w:sz w:val="22"/>
          <w:szCs w:val="22"/>
          <w:lang w:val="en-GB"/>
        </w:rPr>
        <w:t xml:space="preserve">(i) chairperson of the board of directors; </w:t>
      </w:r>
    </w:p>
    <w:p w:rsidR="00DB7D94" w:rsidRPr="00585AC6" w:rsidRDefault="006D0E7E" w:rsidP="004A269C">
      <w:pPr>
        <w:pStyle w:val="ListParagraph"/>
        <w:ind w:left="1134" w:firstLine="0"/>
        <w:rPr>
          <w:rFonts w:ascii="Verdana" w:hAnsi="Verdana"/>
          <w:strike/>
          <w:sz w:val="22"/>
          <w:szCs w:val="22"/>
          <w:lang w:val="en-GB"/>
        </w:rPr>
      </w:pPr>
      <w:r w:rsidRPr="00585AC6">
        <w:rPr>
          <w:rFonts w:ascii="Verdana" w:hAnsi="Verdana"/>
          <w:strike/>
          <w:sz w:val="22"/>
          <w:szCs w:val="22"/>
          <w:lang w:val="en-GB"/>
        </w:rPr>
        <w:t xml:space="preserve">(ii) chairperson of the audit committee; </w:t>
      </w:r>
    </w:p>
    <w:p w:rsidR="00DB7D94" w:rsidRPr="00585AC6" w:rsidRDefault="006D0E7E" w:rsidP="004A269C">
      <w:pPr>
        <w:pStyle w:val="ListParagraph"/>
        <w:ind w:left="1134" w:firstLine="0"/>
        <w:rPr>
          <w:rFonts w:ascii="Verdana" w:hAnsi="Verdana"/>
          <w:strike/>
          <w:sz w:val="22"/>
          <w:szCs w:val="22"/>
          <w:lang w:val="en-GB"/>
        </w:rPr>
      </w:pPr>
      <w:r w:rsidRPr="00585AC6">
        <w:rPr>
          <w:rFonts w:ascii="Verdana" w:hAnsi="Verdana"/>
          <w:strike/>
          <w:sz w:val="22"/>
          <w:szCs w:val="22"/>
          <w:lang w:val="en-GB"/>
        </w:rPr>
        <w:t xml:space="preserve">(iii) chief executive officer; or </w:t>
      </w:r>
    </w:p>
    <w:p w:rsidR="006D0E7E" w:rsidRPr="004A269C" w:rsidRDefault="006D0E7E" w:rsidP="004A269C">
      <w:pPr>
        <w:pStyle w:val="ListParagraph"/>
        <w:ind w:left="1134" w:firstLine="0"/>
        <w:rPr>
          <w:rFonts w:ascii="Verdana" w:hAnsi="Verdana"/>
          <w:sz w:val="22"/>
          <w:szCs w:val="22"/>
        </w:rPr>
      </w:pPr>
      <w:r w:rsidRPr="00585AC6">
        <w:rPr>
          <w:rFonts w:ascii="Verdana" w:hAnsi="Verdana"/>
          <w:strike/>
          <w:sz w:val="22"/>
          <w:szCs w:val="22"/>
          <w:lang w:val="en-GB"/>
        </w:rPr>
        <w:t>(iv) chief financial officer, of a company as defined in the Companies Act, 2008 (Act No. 71 of 2008)</w:t>
      </w:r>
      <w:r w:rsidR="007221D0" w:rsidRPr="00585AC6">
        <w:rPr>
          <w:rFonts w:ascii="Verdana" w:hAnsi="Verdana" w:cs="Arial"/>
          <w:strike/>
          <w:color w:val="000000"/>
          <w:sz w:val="22"/>
          <w:szCs w:val="22"/>
          <w:lang w:val="en-GB"/>
        </w:rPr>
        <w:t xml:space="preserve"> </w:t>
      </w:r>
      <w:r w:rsidR="007221D0" w:rsidRPr="00585AC6">
        <w:rPr>
          <w:rFonts w:ascii="Verdana" w:hAnsi="Verdana"/>
          <w:strike/>
          <w:sz w:val="22"/>
          <w:szCs w:val="22"/>
          <w:lang w:val="en-GB"/>
        </w:rPr>
        <w:t xml:space="preserve">if the company provides goods or services to an organ of state and the annual transactional value of the goods or services or both exceeds an amount determined by the Minister by notice in the </w:t>
      </w:r>
      <w:r w:rsidR="007221D0" w:rsidRPr="00585AC6">
        <w:rPr>
          <w:rFonts w:ascii="Verdana" w:hAnsi="Verdana"/>
          <w:i/>
          <w:iCs/>
          <w:strike/>
          <w:sz w:val="22"/>
          <w:szCs w:val="22"/>
          <w:lang w:val="en-GB"/>
        </w:rPr>
        <w:t>Gazette</w:t>
      </w:r>
      <w:r w:rsidRPr="00585AC6">
        <w:rPr>
          <w:rFonts w:ascii="Verdana" w:hAnsi="Verdana"/>
          <w:strike/>
          <w:sz w:val="22"/>
          <w:szCs w:val="22"/>
          <w:lang w:val="en-GB"/>
        </w:rPr>
        <w:t>”</w:t>
      </w:r>
      <w:r w:rsidR="00DB7D94" w:rsidRPr="00585AC6">
        <w:rPr>
          <w:rFonts w:ascii="Verdana" w:hAnsi="Verdana"/>
          <w:strike/>
          <w:sz w:val="22"/>
          <w:szCs w:val="22"/>
          <w:lang w:val="en-GB"/>
        </w:rPr>
        <w:t>.</w:t>
      </w:r>
    </w:p>
    <w:p w:rsidR="00EC77AB" w:rsidRPr="004A269C" w:rsidRDefault="00EC77AB" w:rsidP="004A269C">
      <w:pPr>
        <w:widowControl w:val="0"/>
        <w:tabs>
          <w:tab w:val="left" w:pos="567"/>
        </w:tabs>
        <w:ind w:hanging="720"/>
        <w:rPr>
          <w:rFonts w:ascii="Verdana" w:hAnsi="Verdana"/>
          <w:sz w:val="22"/>
          <w:szCs w:val="22"/>
        </w:rPr>
      </w:pPr>
    </w:p>
    <w:p w:rsidR="00DB7D94" w:rsidRDefault="007221D0" w:rsidP="00783450">
      <w:pPr>
        <w:pStyle w:val="ListParagraph"/>
        <w:numPr>
          <w:ilvl w:val="0"/>
          <w:numId w:val="2"/>
        </w:numPr>
      </w:pPr>
      <w:r w:rsidRPr="004A269C">
        <w:rPr>
          <w:rFonts w:ascii="Verdana" w:hAnsi="Verdana"/>
          <w:sz w:val="22"/>
          <w:szCs w:val="22"/>
        </w:rPr>
        <w:t xml:space="preserve">We </w:t>
      </w:r>
      <w:r w:rsidR="00585AC6">
        <w:rPr>
          <w:rFonts w:ascii="Verdana" w:hAnsi="Verdana"/>
          <w:sz w:val="22"/>
          <w:szCs w:val="22"/>
        </w:rPr>
        <w:t xml:space="preserve">note in particular that </w:t>
      </w:r>
      <w:r w:rsidR="002C7425" w:rsidRPr="004A269C">
        <w:rPr>
          <w:rFonts w:ascii="Verdana" w:hAnsi="Verdana"/>
          <w:sz w:val="22"/>
          <w:szCs w:val="22"/>
        </w:rPr>
        <w:t xml:space="preserve">the obligation imposed on accountable institutions as proposed in </w:t>
      </w:r>
      <w:r w:rsidRPr="004A269C">
        <w:rPr>
          <w:rFonts w:ascii="Verdana" w:hAnsi="Verdana"/>
          <w:sz w:val="22"/>
          <w:szCs w:val="22"/>
        </w:rPr>
        <w:t>s</w:t>
      </w:r>
      <w:r w:rsidR="002C7425" w:rsidRPr="004A269C">
        <w:rPr>
          <w:rFonts w:ascii="Verdana" w:hAnsi="Verdana"/>
          <w:sz w:val="22"/>
          <w:szCs w:val="22"/>
        </w:rPr>
        <w:t>ection 10 of the Bill</w:t>
      </w:r>
      <w:r w:rsidR="00C81577" w:rsidRPr="004A269C">
        <w:rPr>
          <w:rFonts w:ascii="Verdana" w:hAnsi="Verdana"/>
          <w:sz w:val="22"/>
          <w:szCs w:val="22"/>
        </w:rPr>
        <w:t>,</w:t>
      </w:r>
      <w:r w:rsidR="002C7425" w:rsidRPr="004A269C">
        <w:rPr>
          <w:rFonts w:ascii="Verdana" w:hAnsi="Verdana"/>
          <w:sz w:val="22"/>
          <w:szCs w:val="22"/>
        </w:rPr>
        <w:t xml:space="preserve"> and as it relates to the proposed </w:t>
      </w:r>
      <w:r w:rsidRPr="004A269C">
        <w:rPr>
          <w:rFonts w:ascii="Verdana" w:hAnsi="Verdana"/>
          <w:sz w:val="22"/>
          <w:szCs w:val="22"/>
        </w:rPr>
        <w:t>s</w:t>
      </w:r>
      <w:r w:rsidR="002C7425" w:rsidRPr="004A269C">
        <w:rPr>
          <w:rFonts w:ascii="Verdana" w:hAnsi="Verdana"/>
          <w:sz w:val="22"/>
          <w:szCs w:val="22"/>
        </w:rPr>
        <w:t>ection 21</w:t>
      </w:r>
      <w:r w:rsidR="0045157E" w:rsidRPr="004A269C">
        <w:rPr>
          <w:rFonts w:ascii="Verdana" w:hAnsi="Verdana"/>
          <w:sz w:val="22"/>
          <w:szCs w:val="22"/>
        </w:rPr>
        <w:t>G</w:t>
      </w:r>
      <w:r w:rsidR="00DB7D94" w:rsidRPr="004A269C">
        <w:rPr>
          <w:rFonts w:ascii="Verdana" w:hAnsi="Verdana"/>
          <w:sz w:val="22"/>
          <w:szCs w:val="22"/>
        </w:rPr>
        <w:t>,</w:t>
      </w:r>
      <w:r w:rsidR="002C7425" w:rsidRPr="004A269C">
        <w:rPr>
          <w:rFonts w:ascii="Verdana" w:hAnsi="Verdana"/>
          <w:sz w:val="22"/>
          <w:szCs w:val="22"/>
        </w:rPr>
        <w:t xml:space="preserve"> becomes </w:t>
      </w:r>
      <w:r w:rsidR="00C81577" w:rsidRPr="004A269C">
        <w:rPr>
          <w:rFonts w:ascii="Verdana" w:hAnsi="Verdana"/>
          <w:sz w:val="22"/>
          <w:szCs w:val="22"/>
        </w:rPr>
        <w:t>wholly</w:t>
      </w:r>
      <w:r w:rsidR="002C7425" w:rsidRPr="004A269C">
        <w:rPr>
          <w:rFonts w:ascii="Verdana" w:hAnsi="Verdana"/>
          <w:sz w:val="22"/>
          <w:szCs w:val="22"/>
        </w:rPr>
        <w:t xml:space="preserve"> unmanageable</w:t>
      </w:r>
      <w:r w:rsidR="00585AC6">
        <w:rPr>
          <w:rFonts w:ascii="Verdana" w:hAnsi="Verdana"/>
          <w:sz w:val="22"/>
          <w:szCs w:val="22"/>
        </w:rPr>
        <w:t>, inter alia</w:t>
      </w:r>
      <w:r w:rsidR="00C81577" w:rsidRPr="004A269C">
        <w:rPr>
          <w:rFonts w:ascii="Verdana" w:hAnsi="Verdana"/>
          <w:sz w:val="22"/>
          <w:szCs w:val="22"/>
        </w:rPr>
        <w:t xml:space="preserve"> because</w:t>
      </w:r>
      <w:r w:rsidR="00C01A01" w:rsidRPr="004A269C">
        <w:rPr>
          <w:rFonts w:ascii="Verdana" w:hAnsi="Verdana"/>
          <w:sz w:val="22"/>
          <w:szCs w:val="22"/>
        </w:rPr>
        <w:t xml:space="preserve"> </w:t>
      </w:r>
      <w:r w:rsidR="00585AC6">
        <w:rPr>
          <w:rFonts w:ascii="Verdana" w:hAnsi="Verdana"/>
          <w:sz w:val="22"/>
          <w:szCs w:val="22"/>
        </w:rPr>
        <w:t xml:space="preserve">any </w:t>
      </w:r>
      <w:r w:rsidR="002C7425" w:rsidRPr="004A269C">
        <w:rPr>
          <w:rFonts w:ascii="Verdana" w:hAnsi="Verdana"/>
          <w:sz w:val="22"/>
          <w:szCs w:val="22"/>
        </w:rPr>
        <w:t xml:space="preserve">prospective </w:t>
      </w:r>
      <w:r w:rsidR="00585AC6">
        <w:rPr>
          <w:rFonts w:ascii="Verdana" w:hAnsi="Verdana"/>
          <w:sz w:val="22"/>
          <w:szCs w:val="22"/>
        </w:rPr>
        <w:t xml:space="preserve">or current </w:t>
      </w:r>
      <w:r w:rsidR="002C7425" w:rsidRPr="004A269C">
        <w:rPr>
          <w:rFonts w:ascii="Verdana" w:hAnsi="Verdana"/>
          <w:sz w:val="22"/>
          <w:szCs w:val="22"/>
        </w:rPr>
        <w:t>client who</w:t>
      </w:r>
      <w:r w:rsidR="00C81577" w:rsidRPr="004A269C">
        <w:rPr>
          <w:rFonts w:ascii="Verdana" w:hAnsi="Verdana"/>
          <w:sz w:val="22"/>
          <w:szCs w:val="22"/>
        </w:rPr>
        <w:t xml:space="preserve"> </w:t>
      </w:r>
      <w:r w:rsidR="009C530F">
        <w:rPr>
          <w:rFonts w:ascii="Verdana" w:hAnsi="Verdana"/>
          <w:sz w:val="22"/>
          <w:szCs w:val="22"/>
        </w:rPr>
        <w:t>is</w:t>
      </w:r>
      <w:r w:rsidR="00C81577" w:rsidRPr="004A269C">
        <w:rPr>
          <w:rFonts w:ascii="Verdana" w:hAnsi="Verdana"/>
          <w:sz w:val="22"/>
          <w:szCs w:val="22"/>
        </w:rPr>
        <w:t xml:space="preserve"> not</w:t>
      </w:r>
      <w:r w:rsidR="002C7425" w:rsidRPr="004A269C">
        <w:rPr>
          <w:rFonts w:ascii="Verdana" w:hAnsi="Verdana"/>
          <w:sz w:val="22"/>
          <w:szCs w:val="22"/>
        </w:rPr>
        <w:t xml:space="preserve"> </w:t>
      </w:r>
      <w:r w:rsidR="00585AC6">
        <w:rPr>
          <w:rFonts w:ascii="Verdana" w:hAnsi="Verdana"/>
          <w:sz w:val="22"/>
          <w:szCs w:val="22"/>
        </w:rPr>
        <w:t xml:space="preserve">a </w:t>
      </w:r>
      <w:r w:rsidR="00C81577" w:rsidRPr="004A269C">
        <w:rPr>
          <w:rFonts w:ascii="Verdana" w:hAnsi="Verdana"/>
          <w:sz w:val="22"/>
          <w:szCs w:val="22"/>
        </w:rPr>
        <w:t xml:space="preserve">“domestic prominent influential person” </w:t>
      </w:r>
      <w:r w:rsidR="002C7425" w:rsidRPr="004A269C">
        <w:rPr>
          <w:rFonts w:ascii="Verdana" w:hAnsi="Verdana"/>
          <w:sz w:val="22"/>
          <w:szCs w:val="22"/>
        </w:rPr>
        <w:t>at the time of their entering into a single transaction or establishing a business relationship with an accountable institution</w:t>
      </w:r>
      <w:r w:rsidR="00CC19F3" w:rsidRPr="004A269C">
        <w:rPr>
          <w:rFonts w:ascii="Verdana" w:hAnsi="Verdana"/>
          <w:sz w:val="22"/>
          <w:szCs w:val="22"/>
        </w:rPr>
        <w:t xml:space="preserve"> may </w:t>
      </w:r>
      <w:r w:rsidR="00C01A01" w:rsidRPr="004A269C">
        <w:rPr>
          <w:rFonts w:ascii="Verdana" w:hAnsi="Verdana"/>
          <w:sz w:val="22"/>
          <w:szCs w:val="22"/>
        </w:rPr>
        <w:t xml:space="preserve">very well </w:t>
      </w:r>
      <w:r w:rsidR="00CC19F3" w:rsidRPr="004A269C">
        <w:rPr>
          <w:rFonts w:ascii="Verdana" w:hAnsi="Verdana"/>
          <w:sz w:val="22"/>
          <w:szCs w:val="22"/>
        </w:rPr>
        <w:t>later become one</w:t>
      </w:r>
      <w:r w:rsidR="00585AC6">
        <w:rPr>
          <w:rFonts w:ascii="Verdana" w:hAnsi="Verdana"/>
          <w:sz w:val="22"/>
          <w:szCs w:val="22"/>
        </w:rPr>
        <w:t xml:space="preserve"> unbeknown to the financial institution</w:t>
      </w:r>
      <w:r w:rsidR="00253340">
        <w:rPr>
          <w:rFonts w:ascii="Verdana" w:hAnsi="Verdana"/>
          <w:sz w:val="22"/>
          <w:szCs w:val="22"/>
        </w:rPr>
        <w:t>, i.e. a</w:t>
      </w:r>
      <w:r w:rsidR="00DA24BE">
        <w:rPr>
          <w:rFonts w:ascii="Verdana" w:hAnsi="Verdana"/>
          <w:sz w:val="22"/>
          <w:szCs w:val="22"/>
        </w:rPr>
        <w:t xml:space="preserve"> client might not be providing goods and services on the date it engages with the accountable institution but might be successful in a response to a government procurement process </w:t>
      </w:r>
      <w:r w:rsidR="00585AC6">
        <w:rPr>
          <w:rFonts w:ascii="Verdana" w:hAnsi="Verdana"/>
          <w:sz w:val="22"/>
          <w:szCs w:val="22"/>
        </w:rPr>
        <w:t>at any later time</w:t>
      </w:r>
      <w:r w:rsidR="00DA24BE">
        <w:rPr>
          <w:rFonts w:ascii="Verdana" w:hAnsi="Verdana"/>
          <w:sz w:val="22"/>
          <w:szCs w:val="22"/>
        </w:rPr>
        <w:t>.</w:t>
      </w:r>
      <w:r w:rsidR="002C7425" w:rsidRPr="004A269C">
        <w:rPr>
          <w:rFonts w:ascii="Verdana" w:hAnsi="Verdana"/>
          <w:sz w:val="22"/>
          <w:szCs w:val="22"/>
        </w:rPr>
        <w:t xml:space="preserve"> </w:t>
      </w:r>
    </w:p>
    <w:p w:rsidR="00DB7D94" w:rsidRDefault="00DB7D94" w:rsidP="004A269C">
      <w:pPr>
        <w:pStyle w:val="ListParagraph"/>
        <w:widowControl w:val="0"/>
        <w:tabs>
          <w:tab w:val="left" w:pos="567"/>
        </w:tabs>
        <w:ind w:left="567" w:firstLine="0"/>
        <w:rPr>
          <w:rFonts w:ascii="Verdana" w:hAnsi="Verdana"/>
          <w:sz w:val="22"/>
          <w:szCs w:val="22"/>
        </w:rPr>
      </w:pPr>
    </w:p>
    <w:p w:rsidR="00EE63AB" w:rsidRDefault="00585AC6" w:rsidP="00783450">
      <w:pPr>
        <w:pStyle w:val="ListParagraph"/>
        <w:widowControl w:val="0"/>
        <w:numPr>
          <w:ilvl w:val="0"/>
          <w:numId w:val="2"/>
        </w:numPr>
        <w:tabs>
          <w:tab w:val="left" w:pos="567"/>
        </w:tabs>
        <w:rPr>
          <w:rFonts w:ascii="Verdana" w:hAnsi="Verdana"/>
          <w:sz w:val="22"/>
          <w:szCs w:val="22"/>
        </w:rPr>
      </w:pPr>
      <w:r>
        <w:rPr>
          <w:rFonts w:ascii="Verdana" w:hAnsi="Verdana"/>
          <w:sz w:val="22"/>
          <w:szCs w:val="22"/>
        </w:rPr>
        <w:t>We understand that</w:t>
      </w:r>
      <w:r w:rsidR="00EE63AB" w:rsidRPr="000223E9">
        <w:rPr>
          <w:rFonts w:ascii="Verdana" w:hAnsi="Verdana"/>
          <w:sz w:val="22"/>
          <w:szCs w:val="22"/>
        </w:rPr>
        <w:t xml:space="preserve"> the inclusion of this provision is aimed at addressing money laundering through procurement irregularities and tender fraud.</w:t>
      </w:r>
      <w:r w:rsidR="00DA24BE">
        <w:rPr>
          <w:rFonts w:ascii="Verdana" w:hAnsi="Verdana"/>
          <w:sz w:val="22"/>
          <w:szCs w:val="22"/>
        </w:rPr>
        <w:t xml:space="preserve">  We submit the following in this regard:</w:t>
      </w:r>
    </w:p>
    <w:p w:rsidR="00EE63AB" w:rsidRDefault="00EE63AB" w:rsidP="004A269C">
      <w:pPr>
        <w:pStyle w:val="ListParagraph"/>
        <w:widowControl w:val="0"/>
        <w:tabs>
          <w:tab w:val="left" w:pos="567"/>
        </w:tabs>
        <w:ind w:left="567" w:firstLine="0"/>
        <w:rPr>
          <w:rFonts w:ascii="Verdana" w:hAnsi="Verdana"/>
          <w:sz w:val="22"/>
          <w:szCs w:val="22"/>
        </w:rPr>
      </w:pPr>
    </w:p>
    <w:p w:rsidR="00EE63AB" w:rsidRDefault="00686406" w:rsidP="00783450">
      <w:pPr>
        <w:pStyle w:val="ListParagraph"/>
        <w:widowControl w:val="0"/>
        <w:numPr>
          <w:ilvl w:val="1"/>
          <w:numId w:val="2"/>
        </w:numPr>
        <w:tabs>
          <w:tab w:val="left" w:pos="567"/>
        </w:tabs>
        <w:rPr>
          <w:rFonts w:ascii="Verdana" w:hAnsi="Verdana"/>
          <w:sz w:val="22"/>
          <w:szCs w:val="22"/>
        </w:rPr>
      </w:pPr>
      <w:r w:rsidRPr="00ED0096">
        <w:rPr>
          <w:rFonts w:ascii="Verdana" w:hAnsi="Verdana"/>
          <w:sz w:val="22"/>
          <w:szCs w:val="22"/>
        </w:rPr>
        <w:t>T</w:t>
      </w:r>
      <w:r w:rsidR="002C7425" w:rsidRPr="00ED0096">
        <w:rPr>
          <w:rFonts w:ascii="Verdana" w:hAnsi="Verdana"/>
          <w:sz w:val="22"/>
          <w:szCs w:val="22"/>
        </w:rPr>
        <w:t>here have been reports in the press for some time about the establishment of the Office of the Chief Procurement Officer (</w:t>
      </w:r>
      <w:r w:rsidR="00585AC6">
        <w:rPr>
          <w:rFonts w:ascii="Verdana" w:hAnsi="Verdana"/>
          <w:sz w:val="22"/>
          <w:szCs w:val="22"/>
        </w:rPr>
        <w:t>“</w:t>
      </w:r>
      <w:r w:rsidR="002C7425" w:rsidRPr="00585AC6">
        <w:rPr>
          <w:rFonts w:ascii="Verdana" w:hAnsi="Verdana"/>
          <w:sz w:val="22"/>
          <w:szCs w:val="22"/>
        </w:rPr>
        <w:t>OCPO</w:t>
      </w:r>
      <w:r w:rsidR="00585AC6">
        <w:rPr>
          <w:rFonts w:ascii="Verdana" w:hAnsi="Verdana"/>
          <w:sz w:val="22"/>
          <w:szCs w:val="22"/>
        </w:rPr>
        <w:t>”</w:t>
      </w:r>
      <w:r w:rsidR="002C7425" w:rsidRPr="00585AC6">
        <w:rPr>
          <w:rFonts w:ascii="Verdana" w:hAnsi="Verdana"/>
          <w:sz w:val="22"/>
          <w:szCs w:val="22"/>
        </w:rPr>
        <w:t>)</w:t>
      </w:r>
      <w:r w:rsidR="002C7425" w:rsidRPr="002F6DF8">
        <w:rPr>
          <w:rFonts w:ascii="Verdana" w:hAnsi="Verdana"/>
          <w:sz w:val="22"/>
          <w:szCs w:val="22"/>
        </w:rPr>
        <w:t xml:space="preserve"> and the Central Supplier Database (</w:t>
      </w:r>
      <w:r w:rsidR="00585AC6">
        <w:rPr>
          <w:rFonts w:ascii="Verdana" w:hAnsi="Verdana"/>
          <w:sz w:val="22"/>
          <w:szCs w:val="22"/>
        </w:rPr>
        <w:t>“</w:t>
      </w:r>
      <w:r w:rsidR="002C7425" w:rsidRPr="00585AC6">
        <w:rPr>
          <w:rFonts w:ascii="Verdana" w:hAnsi="Verdana"/>
          <w:sz w:val="22"/>
          <w:szCs w:val="22"/>
        </w:rPr>
        <w:t>CSD</w:t>
      </w:r>
      <w:r w:rsidR="00585AC6">
        <w:rPr>
          <w:rFonts w:ascii="Verdana" w:hAnsi="Verdana"/>
          <w:sz w:val="22"/>
          <w:szCs w:val="22"/>
        </w:rPr>
        <w:t>”</w:t>
      </w:r>
      <w:r w:rsidR="002C7425" w:rsidRPr="00DB7D94">
        <w:rPr>
          <w:rFonts w:ascii="Verdana" w:hAnsi="Verdana"/>
          <w:sz w:val="22"/>
          <w:szCs w:val="22"/>
        </w:rPr>
        <w:t xml:space="preserve">) to aid in the regulation of </w:t>
      </w:r>
      <w:r w:rsidR="002C7425" w:rsidRPr="00DB7D94">
        <w:rPr>
          <w:rFonts w:ascii="Verdana" w:hAnsi="Verdana"/>
          <w:sz w:val="22"/>
          <w:szCs w:val="22"/>
        </w:rPr>
        <w:lastRenderedPageBreak/>
        <w:t xml:space="preserve">public procurement in South Africa, </w:t>
      </w:r>
      <w:r w:rsidR="00585AC6">
        <w:rPr>
          <w:rFonts w:ascii="Verdana" w:hAnsi="Verdana"/>
          <w:sz w:val="22"/>
          <w:szCs w:val="22"/>
        </w:rPr>
        <w:t xml:space="preserve">although </w:t>
      </w:r>
      <w:r w:rsidR="002C7425" w:rsidRPr="00DB7D94">
        <w:rPr>
          <w:rFonts w:ascii="Verdana" w:hAnsi="Verdana"/>
          <w:sz w:val="22"/>
          <w:szCs w:val="22"/>
        </w:rPr>
        <w:t xml:space="preserve">the legislation and regulations which are applicable to public procurement in South Africa have not yet been formally amended to provide for the OCPO or the CSD.  Although the OCPO and CSD have not yet been formally incorporated into our legislation or regulation, both already appear to have been established under the auspices of the NT and have functioning websites.  </w:t>
      </w:r>
      <w:r w:rsidRPr="00DB7D94">
        <w:rPr>
          <w:rFonts w:ascii="Verdana" w:hAnsi="Verdana"/>
          <w:sz w:val="22"/>
          <w:szCs w:val="22"/>
        </w:rPr>
        <w:t>W</w:t>
      </w:r>
      <w:r w:rsidR="002C7425" w:rsidRPr="00DB7D94">
        <w:rPr>
          <w:rFonts w:ascii="Verdana" w:hAnsi="Verdana"/>
          <w:sz w:val="22"/>
          <w:szCs w:val="22"/>
        </w:rPr>
        <w:t>ithout a reliable and extensive legislative and regulatory foundation for the CSD, accountable institutions cannot be expected to know or understand whether a client or prospective client is a company that “provides goods or services to an Organ of State</w:t>
      </w:r>
      <w:r w:rsidR="00EE63AB">
        <w:rPr>
          <w:rFonts w:ascii="Verdana" w:hAnsi="Verdana"/>
          <w:sz w:val="22"/>
          <w:szCs w:val="22"/>
        </w:rPr>
        <w:t>”</w:t>
      </w:r>
      <w:r w:rsidR="002C7425" w:rsidRPr="00ED0096">
        <w:rPr>
          <w:rFonts w:ascii="Verdana" w:hAnsi="Verdana"/>
          <w:sz w:val="22"/>
          <w:szCs w:val="22"/>
        </w:rPr>
        <w:t xml:space="preserve"> and </w:t>
      </w:r>
      <w:r w:rsidR="00EE63AB">
        <w:rPr>
          <w:rFonts w:ascii="Verdana" w:hAnsi="Verdana"/>
          <w:sz w:val="22"/>
          <w:szCs w:val="22"/>
        </w:rPr>
        <w:t xml:space="preserve">whether </w:t>
      </w:r>
      <w:r w:rsidR="002C7425" w:rsidRPr="00ED0096">
        <w:rPr>
          <w:rFonts w:ascii="Verdana" w:hAnsi="Verdana"/>
          <w:sz w:val="22"/>
          <w:szCs w:val="22"/>
        </w:rPr>
        <w:t xml:space="preserve">the annual transactional value of the goods or services or both exceeds the amount to be determined by the Minister by notice in the Government Gazette.  </w:t>
      </w:r>
      <w:r w:rsidR="002C7425" w:rsidRPr="00582AF7">
        <w:rPr>
          <w:rFonts w:ascii="Verdana" w:hAnsi="Verdana"/>
          <w:sz w:val="22"/>
          <w:szCs w:val="22"/>
        </w:rPr>
        <w:t xml:space="preserve">  </w:t>
      </w:r>
    </w:p>
    <w:p w:rsidR="00EE63AB" w:rsidRDefault="00EE63AB" w:rsidP="004A269C">
      <w:pPr>
        <w:pStyle w:val="ListParagraph"/>
        <w:widowControl w:val="0"/>
        <w:tabs>
          <w:tab w:val="left" w:pos="567"/>
        </w:tabs>
        <w:ind w:left="567" w:firstLine="0"/>
        <w:rPr>
          <w:rFonts w:ascii="Verdana" w:hAnsi="Verdana"/>
          <w:sz w:val="22"/>
          <w:szCs w:val="22"/>
        </w:rPr>
      </w:pPr>
    </w:p>
    <w:p w:rsidR="002C7425" w:rsidRPr="00585AC6" w:rsidRDefault="002C7425" w:rsidP="00783450">
      <w:pPr>
        <w:pStyle w:val="ListParagraph"/>
        <w:numPr>
          <w:ilvl w:val="1"/>
          <w:numId w:val="2"/>
        </w:numPr>
        <w:rPr>
          <w:rFonts w:ascii="Verdana" w:hAnsi="Verdana"/>
          <w:sz w:val="22"/>
          <w:szCs w:val="22"/>
        </w:rPr>
      </w:pPr>
      <w:r w:rsidRPr="007566E3">
        <w:rPr>
          <w:rFonts w:ascii="Verdana" w:hAnsi="Verdana"/>
          <w:sz w:val="22"/>
          <w:szCs w:val="22"/>
        </w:rPr>
        <w:t xml:space="preserve">We </w:t>
      </w:r>
      <w:r w:rsidR="00BB7A20" w:rsidRPr="002F6DF8">
        <w:rPr>
          <w:rFonts w:ascii="Verdana" w:hAnsi="Verdana"/>
          <w:sz w:val="22"/>
          <w:szCs w:val="22"/>
        </w:rPr>
        <w:t>note</w:t>
      </w:r>
      <w:r w:rsidRPr="002F6DF8">
        <w:rPr>
          <w:rFonts w:ascii="Verdana" w:hAnsi="Verdana"/>
          <w:sz w:val="22"/>
          <w:szCs w:val="22"/>
        </w:rPr>
        <w:t xml:space="preserve"> </w:t>
      </w:r>
      <w:r w:rsidR="00EE63AB" w:rsidRPr="002F6DF8">
        <w:rPr>
          <w:rFonts w:ascii="Verdana" w:hAnsi="Verdana"/>
          <w:sz w:val="22"/>
          <w:szCs w:val="22"/>
        </w:rPr>
        <w:t xml:space="preserve">further </w:t>
      </w:r>
      <w:r w:rsidRPr="002F6DF8">
        <w:rPr>
          <w:rFonts w:ascii="Verdana" w:hAnsi="Verdana"/>
          <w:sz w:val="22"/>
          <w:szCs w:val="22"/>
        </w:rPr>
        <w:t>that</w:t>
      </w:r>
      <w:r w:rsidR="00ED0096" w:rsidRPr="00582AF7">
        <w:rPr>
          <w:rFonts w:ascii="Verdana" w:hAnsi="Verdana"/>
          <w:sz w:val="22"/>
          <w:szCs w:val="22"/>
        </w:rPr>
        <w:t xml:space="preserve"> </w:t>
      </w:r>
      <w:r w:rsidR="00B0428A" w:rsidRPr="004A269C">
        <w:rPr>
          <w:rFonts w:ascii="Verdana" w:hAnsi="Verdana"/>
          <w:sz w:val="22"/>
          <w:szCs w:val="22"/>
        </w:rPr>
        <w:t xml:space="preserve">the Prevention or Combatting of Corrupt Activities Act, 2004 </w:t>
      </w:r>
      <w:r w:rsidR="00EE63AB" w:rsidRPr="004A269C">
        <w:rPr>
          <w:rFonts w:ascii="Verdana" w:hAnsi="Verdana"/>
          <w:sz w:val="22"/>
          <w:szCs w:val="22"/>
        </w:rPr>
        <w:t>(</w:t>
      </w:r>
      <w:r w:rsidR="00585AC6">
        <w:rPr>
          <w:rFonts w:ascii="Verdana" w:hAnsi="Verdana"/>
          <w:sz w:val="22"/>
          <w:szCs w:val="22"/>
        </w:rPr>
        <w:t>“</w:t>
      </w:r>
      <w:r w:rsidR="00EE63AB" w:rsidRPr="00585AC6">
        <w:rPr>
          <w:rFonts w:ascii="Verdana" w:hAnsi="Verdana"/>
          <w:sz w:val="22"/>
          <w:szCs w:val="22"/>
        </w:rPr>
        <w:t>PRECCA</w:t>
      </w:r>
      <w:r w:rsidR="00585AC6">
        <w:rPr>
          <w:rFonts w:ascii="Verdana" w:hAnsi="Verdana"/>
          <w:sz w:val="22"/>
          <w:szCs w:val="22"/>
        </w:rPr>
        <w:t>”</w:t>
      </w:r>
      <w:r w:rsidR="00EE63AB" w:rsidRPr="00585AC6">
        <w:rPr>
          <w:rFonts w:ascii="Verdana" w:hAnsi="Verdana"/>
          <w:sz w:val="22"/>
          <w:szCs w:val="22"/>
        </w:rPr>
        <w:t xml:space="preserve">) </w:t>
      </w:r>
      <w:r w:rsidR="00B0428A" w:rsidRPr="00585AC6">
        <w:rPr>
          <w:rFonts w:ascii="Verdana" w:hAnsi="Verdana"/>
          <w:sz w:val="22"/>
          <w:szCs w:val="22"/>
        </w:rPr>
        <w:t xml:space="preserve">in section 13 creates a specific offence in respect of corrupt activities relating to the procuring and withdrawal of tenders and also makes provision in section 29 for the creation of a Register for Tender Defaulters within the NT and </w:t>
      </w:r>
      <w:r w:rsidR="00BB27A0">
        <w:rPr>
          <w:rFonts w:ascii="Verdana" w:hAnsi="Verdana"/>
          <w:sz w:val="22"/>
          <w:szCs w:val="22"/>
        </w:rPr>
        <w:t xml:space="preserve">that </w:t>
      </w:r>
      <w:r w:rsidR="00B0428A" w:rsidRPr="00585AC6">
        <w:rPr>
          <w:rFonts w:ascii="Verdana" w:hAnsi="Verdana"/>
          <w:sz w:val="22"/>
          <w:szCs w:val="22"/>
        </w:rPr>
        <w:t xml:space="preserve">section 28 of PRECCA allows the NT to terminate an agreement with a party convicted of an offence in terms of PRECCA.    </w:t>
      </w:r>
    </w:p>
    <w:p w:rsidR="00464408" w:rsidRDefault="00464408" w:rsidP="004A269C">
      <w:pPr>
        <w:pStyle w:val="ListParagraph"/>
        <w:widowControl w:val="0"/>
        <w:tabs>
          <w:tab w:val="left" w:pos="567"/>
        </w:tabs>
        <w:ind w:left="567" w:firstLine="0"/>
        <w:rPr>
          <w:rFonts w:ascii="Verdana" w:hAnsi="Verdana"/>
          <w:sz w:val="22"/>
          <w:szCs w:val="22"/>
        </w:rPr>
      </w:pPr>
    </w:p>
    <w:p w:rsidR="00464408" w:rsidRPr="007566E3" w:rsidRDefault="00BB27A0" w:rsidP="00783450">
      <w:pPr>
        <w:pStyle w:val="ListParagraph"/>
        <w:widowControl w:val="0"/>
        <w:numPr>
          <w:ilvl w:val="1"/>
          <w:numId w:val="2"/>
        </w:numPr>
        <w:tabs>
          <w:tab w:val="left" w:pos="567"/>
        </w:tabs>
        <w:rPr>
          <w:rFonts w:ascii="Verdana" w:hAnsi="Verdana"/>
          <w:sz w:val="22"/>
          <w:szCs w:val="22"/>
        </w:rPr>
      </w:pPr>
      <w:r>
        <w:rPr>
          <w:rFonts w:ascii="Verdana" w:hAnsi="Verdana"/>
          <w:sz w:val="22"/>
          <w:szCs w:val="22"/>
        </w:rPr>
        <w:t>In addition, u</w:t>
      </w:r>
      <w:r w:rsidR="00464408" w:rsidRPr="007566E3">
        <w:rPr>
          <w:rFonts w:ascii="Verdana" w:hAnsi="Verdana"/>
          <w:sz w:val="22"/>
          <w:szCs w:val="22"/>
        </w:rPr>
        <w:t>nder Section 34 of</w:t>
      </w:r>
      <w:r w:rsidR="00464408" w:rsidRPr="000223E9">
        <w:rPr>
          <w:rFonts w:ascii="Verdana" w:hAnsi="Verdana"/>
          <w:sz w:val="22"/>
          <w:szCs w:val="22"/>
        </w:rPr>
        <w:t xml:space="preserve"> PRECCA certain persons </w:t>
      </w:r>
      <w:r w:rsidR="00253340">
        <w:rPr>
          <w:rFonts w:ascii="Verdana" w:hAnsi="Verdana"/>
          <w:sz w:val="22"/>
          <w:szCs w:val="22"/>
        </w:rPr>
        <w:t>(</w:t>
      </w:r>
      <w:r w:rsidR="00464408" w:rsidRPr="000223E9">
        <w:rPr>
          <w:rFonts w:ascii="Verdana" w:hAnsi="Verdana"/>
          <w:sz w:val="22"/>
          <w:szCs w:val="22"/>
        </w:rPr>
        <w:t xml:space="preserve">including CEOs, managers and partners, etc.), who hold a position of authority, are compelled to report their knowledge or suspicion of any form of corruption or common law offences such as, </w:t>
      </w:r>
      <w:r w:rsidR="00464408" w:rsidRPr="000223E9">
        <w:rPr>
          <w:rFonts w:ascii="Verdana" w:hAnsi="Verdana"/>
          <w:i/>
          <w:sz w:val="22"/>
          <w:szCs w:val="22"/>
        </w:rPr>
        <w:t>inter alia</w:t>
      </w:r>
      <w:r w:rsidR="00464408" w:rsidRPr="000223E9">
        <w:rPr>
          <w:rFonts w:ascii="Verdana" w:hAnsi="Verdana"/>
          <w:sz w:val="22"/>
          <w:szCs w:val="22"/>
        </w:rPr>
        <w:t xml:space="preserve">, fraud and theft to the South African Police Service Directorate Priority Crime Investigations. </w:t>
      </w:r>
      <w:r w:rsidR="00464408">
        <w:rPr>
          <w:rFonts w:ascii="Verdana" w:hAnsi="Verdana"/>
          <w:sz w:val="22"/>
          <w:szCs w:val="22"/>
        </w:rPr>
        <w:t xml:space="preserve"> </w:t>
      </w:r>
      <w:r w:rsidR="00464408" w:rsidRPr="000223E9">
        <w:rPr>
          <w:rFonts w:ascii="Verdana" w:hAnsi="Verdana"/>
          <w:sz w:val="22"/>
          <w:szCs w:val="22"/>
        </w:rPr>
        <w:t xml:space="preserve">Failure to do so constitutes an offence. </w:t>
      </w:r>
    </w:p>
    <w:p w:rsidR="00464408" w:rsidRPr="000223E9" w:rsidRDefault="00464408" w:rsidP="00464408">
      <w:pPr>
        <w:pStyle w:val="ListParagraph"/>
        <w:widowControl w:val="0"/>
        <w:tabs>
          <w:tab w:val="left" w:pos="567"/>
        </w:tabs>
        <w:ind w:left="525" w:firstLine="0"/>
        <w:rPr>
          <w:rFonts w:ascii="Verdana" w:hAnsi="Verdana"/>
          <w:sz w:val="22"/>
          <w:szCs w:val="22"/>
        </w:rPr>
      </w:pPr>
    </w:p>
    <w:p w:rsidR="00253340" w:rsidRDefault="00464408" w:rsidP="004A269C">
      <w:pPr>
        <w:pStyle w:val="ListParagraph"/>
        <w:widowControl w:val="0"/>
        <w:numPr>
          <w:ilvl w:val="1"/>
          <w:numId w:val="2"/>
        </w:numPr>
        <w:tabs>
          <w:tab w:val="left" w:pos="567"/>
        </w:tabs>
        <w:rPr>
          <w:rFonts w:ascii="Verdana" w:hAnsi="Verdana"/>
          <w:sz w:val="22"/>
          <w:szCs w:val="22"/>
        </w:rPr>
      </w:pPr>
      <w:r w:rsidRPr="007566E3">
        <w:rPr>
          <w:rFonts w:ascii="Verdana" w:hAnsi="Verdana"/>
          <w:sz w:val="22"/>
          <w:szCs w:val="22"/>
        </w:rPr>
        <w:t xml:space="preserve">Additionally, the Broad Based Black Economic Empowerment </w:t>
      </w:r>
      <w:r w:rsidR="002F6DF8">
        <w:rPr>
          <w:rFonts w:ascii="Verdana" w:hAnsi="Verdana"/>
          <w:sz w:val="22"/>
          <w:szCs w:val="22"/>
        </w:rPr>
        <w:t xml:space="preserve">Amendment </w:t>
      </w:r>
      <w:r w:rsidRPr="007566E3">
        <w:rPr>
          <w:rFonts w:ascii="Verdana" w:hAnsi="Verdana"/>
          <w:sz w:val="22"/>
          <w:szCs w:val="22"/>
        </w:rPr>
        <w:t>Act, 2013 (</w:t>
      </w:r>
      <w:r w:rsidR="00253340">
        <w:rPr>
          <w:rFonts w:ascii="Verdana" w:hAnsi="Verdana"/>
          <w:sz w:val="22"/>
          <w:szCs w:val="22"/>
        </w:rPr>
        <w:t>“</w:t>
      </w:r>
      <w:r w:rsidRPr="00253340">
        <w:rPr>
          <w:rFonts w:ascii="Verdana" w:hAnsi="Verdana"/>
          <w:sz w:val="22"/>
          <w:szCs w:val="22"/>
        </w:rPr>
        <w:t xml:space="preserve">BBBEE </w:t>
      </w:r>
      <w:r w:rsidR="00847ED3" w:rsidRPr="00253340">
        <w:rPr>
          <w:rFonts w:ascii="Verdana" w:hAnsi="Verdana"/>
          <w:sz w:val="22"/>
          <w:szCs w:val="22"/>
        </w:rPr>
        <w:t xml:space="preserve">Amendment </w:t>
      </w:r>
      <w:r w:rsidRPr="00253340">
        <w:rPr>
          <w:rFonts w:ascii="Verdana" w:hAnsi="Verdana"/>
          <w:sz w:val="22"/>
          <w:szCs w:val="22"/>
        </w:rPr>
        <w:t>Act</w:t>
      </w:r>
      <w:r w:rsidR="00253340">
        <w:rPr>
          <w:rFonts w:ascii="Verdana" w:hAnsi="Verdana"/>
          <w:sz w:val="22"/>
          <w:szCs w:val="22"/>
        </w:rPr>
        <w:t>”</w:t>
      </w:r>
      <w:r w:rsidRPr="000223E9">
        <w:rPr>
          <w:rFonts w:ascii="Verdana" w:hAnsi="Verdana"/>
          <w:sz w:val="22"/>
          <w:szCs w:val="22"/>
        </w:rPr>
        <w:t xml:space="preserve">) has formally defined tender fronting and introduced criminal sanctions.  Any person convicted of an offence in terms of the BBBEE </w:t>
      </w:r>
      <w:r w:rsidR="00847ED3">
        <w:rPr>
          <w:rFonts w:ascii="Verdana" w:hAnsi="Verdana"/>
          <w:sz w:val="22"/>
          <w:szCs w:val="22"/>
        </w:rPr>
        <w:t xml:space="preserve">Amendment </w:t>
      </w:r>
      <w:r w:rsidRPr="000223E9">
        <w:rPr>
          <w:rFonts w:ascii="Verdana" w:hAnsi="Verdana"/>
          <w:sz w:val="22"/>
          <w:szCs w:val="22"/>
        </w:rPr>
        <w:t xml:space="preserve">Act may not contract or transact with any Organ of State or public entity for a period of 10 years from date of the conviction.  A Broad Based Black Economic Empowerment Commission will be established under the BBBEE Amendment Act which will be responsible for enforcement of </w:t>
      </w:r>
      <w:r w:rsidR="00253340">
        <w:rPr>
          <w:rFonts w:ascii="Verdana" w:hAnsi="Verdana"/>
          <w:sz w:val="22"/>
          <w:szCs w:val="22"/>
        </w:rPr>
        <w:t>B</w:t>
      </w:r>
      <w:r w:rsidR="00847ED3">
        <w:rPr>
          <w:rFonts w:ascii="Verdana" w:hAnsi="Verdana"/>
          <w:sz w:val="22"/>
          <w:szCs w:val="22"/>
        </w:rPr>
        <w:t>lack economic empowerment</w:t>
      </w:r>
      <w:r w:rsidRPr="000223E9">
        <w:rPr>
          <w:rFonts w:ascii="Verdana" w:hAnsi="Verdana"/>
          <w:sz w:val="22"/>
          <w:szCs w:val="22"/>
        </w:rPr>
        <w:t>.  One of the functions of the BEE Commission will be to oversee, supervise and promote adherence with the BEE Act in the interest of the public.  The BEE Commission will also be responsible for investigating any BEE initiatives and alleged fronting practices, either o</w:t>
      </w:r>
      <w:r w:rsidRPr="000641F5">
        <w:rPr>
          <w:rFonts w:ascii="Verdana" w:hAnsi="Verdana"/>
          <w:sz w:val="22"/>
          <w:szCs w:val="22"/>
        </w:rPr>
        <w:t>n a proactive basis or in a response to a complaint.</w:t>
      </w:r>
    </w:p>
    <w:p w:rsidR="00253340" w:rsidRPr="00253340" w:rsidRDefault="00253340" w:rsidP="00253340">
      <w:pPr>
        <w:pStyle w:val="ListParagraph"/>
        <w:rPr>
          <w:rFonts w:ascii="Verdana" w:hAnsi="Verdana"/>
          <w:sz w:val="22"/>
          <w:szCs w:val="22"/>
        </w:rPr>
      </w:pPr>
    </w:p>
    <w:p w:rsidR="00464408" w:rsidRPr="00253340" w:rsidRDefault="00464408" w:rsidP="004A269C">
      <w:pPr>
        <w:pStyle w:val="ListParagraph"/>
        <w:widowControl w:val="0"/>
        <w:numPr>
          <w:ilvl w:val="1"/>
          <w:numId w:val="2"/>
        </w:numPr>
        <w:tabs>
          <w:tab w:val="left" w:pos="567"/>
        </w:tabs>
        <w:rPr>
          <w:rFonts w:ascii="Verdana" w:hAnsi="Verdana"/>
          <w:sz w:val="22"/>
          <w:szCs w:val="22"/>
        </w:rPr>
      </w:pPr>
      <w:r w:rsidRPr="00253340">
        <w:rPr>
          <w:rFonts w:ascii="Verdana" w:hAnsi="Verdana"/>
          <w:sz w:val="22"/>
          <w:szCs w:val="22"/>
        </w:rPr>
        <w:t>We submit</w:t>
      </w:r>
      <w:r w:rsidR="00253340" w:rsidRPr="00253340">
        <w:rPr>
          <w:rFonts w:ascii="Verdana" w:hAnsi="Verdana"/>
          <w:sz w:val="22"/>
          <w:szCs w:val="22"/>
        </w:rPr>
        <w:t>,</w:t>
      </w:r>
      <w:r w:rsidRPr="00253340">
        <w:rPr>
          <w:rFonts w:ascii="Verdana" w:hAnsi="Verdana"/>
          <w:sz w:val="22"/>
          <w:szCs w:val="22"/>
        </w:rPr>
        <w:t xml:space="preserve"> therefore</w:t>
      </w:r>
      <w:r w:rsidR="00253340">
        <w:rPr>
          <w:rFonts w:ascii="Verdana" w:hAnsi="Verdana"/>
          <w:sz w:val="22"/>
          <w:szCs w:val="22"/>
        </w:rPr>
        <w:t>,</w:t>
      </w:r>
      <w:r w:rsidRPr="00253340">
        <w:rPr>
          <w:rFonts w:ascii="Verdana" w:hAnsi="Verdana"/>
          <w:sz w:val="22"/>
          <w:szCs w:val="22"/>
        </w:rPr>
        <w:t xml:space="preserve"> that corruption as it relates to public procurement and tendering and BEE fronting is adequately dealt with in the BEE Amendment Act and PRECCA and ought not </w:t>
      </w:r>
      <w:r w:rsidR="00BB27A0" w:rsidRPr="00253340">
        <w:rPr>
          <w:rFonts w:ascii="Verdana" w:hAnsi="Verdana"/>
          <w:sz w:val="22"/>
          <w:szCs w:val="22"/>
        </w:rPr>
        <w:t>no</w:t>
      </w:r>
      <w:r w:rsidR="00B72AAE" w:rsidRPr="00253340">
        <w:rPr>
          <w:rFonts w:ascii="Verdana" w:hAnsi="Verdana"/>
          <w:sz w:val="22"/>
          <w:szCs w:val="22"/>
        </w:rPr>
        <w:t xml:space="preserve">w also </w:t>
      </w:r>
      <w:r w:rsidR="00253340">
        <w:rPr>
          <w:rFonts w:ascii="Verdana" w:hAnsi="Verdana"/>
          <w:sz w:val="22"/>
          <w:szCs w:val="22"/>
        </w:rPr>
        <w:t xml:space="preserve">to </w:t>
      </w:r>
      <w:r w:rsidRPr="00253340">
        <w:rPr>
          <w:rFonts w:ascii="Verdana" w:hAnsi="Verdana"/>
          <w:sz w:val="22"/>
          <w:szCs w:val="22"/>
        </w:rPr>
        <w:t xml:space="preserve">be brought within the ambit of FICA by the introduction of </w:t>
      </w:r>
      <w:r w:rsidR="00767EBD">
        <w:rPr>
          <w:rFonts w:ascii="Verdana" w:hAnsi="Verdana"/>
          <w:sz w:val="22"/>
          <w:szCs w:val="22"/>
        </w:rPr>
        <w:t>t</w:t>
      </w:r>
      <w:r w:rsidRPr="00253340">
        <w:rPr>
          <w:rFonts w:ascii="Verdana" w:hAnsi="Verdana"/>
          <w:sz w:val="22"/>
          <w:szCs w:val="22"/>
        </w:rPr>
        <w:t>he definition of “domestic prominent influential person”, thereby imposing obligations on accountable institutions which are impossible to meet absent a fully functional and comprehensive CSD.</w:t>
      </w:r>
      <w:r w:rsidR="00B72AAE" w:rsidRPr="00253340">
        <w:rPr>
          <w:rFonts w:ascii="Verdana" w:hAnsi="Verdana"/>
          <w:sz w:val="22"/>
          <w:szCs w:val="22"/>
        </w:rPr>
        <w:t xml:space="preserve"> Also as noted, the change from the international standard of “politically exposed person” to “prominent influential person” in this context introduces significant international </w:t>
      </w:r>
      <w:r w:rsidR="00767EBD">
        <w:rPr>
          <w:rFonts w:ascii="Verdana" w:hAnsi="Verdana"/>
          <w:sz w:val="22"/>
          <w:szCs w:val="22"/>
        </w:rPr>
        <w:t xml:space="preserve">financial </w:t>
      </w:r>
      <w:r w:rsidR="00B72AAE" w:rsidRPr="00253340">
        <w:rPr>
          <w:rFonts w:ascii="Verdana" w:hAnsi="Verdana"/>
          <w:sz w:val="22"/>
          <w:szCs w:val="22"/>
        </w:rPr>
        <w:t xml:space="preserve">group </w:t>
      </w:r>
      <w:r w:rsidR="00767EBD">
        <w:rPr>
          <w:rFonts w:ascii="Verdana" w:hAnsi="Verdana"/>
          <w:sz w:val="22"/>
          <w:szCs w:val="22"/>
        </w:rPr>
        <w:t xml:space="preserve">and correspondent banking </w:t>
      </w:r>
      <w:r w:rsidR="00B72AAE" w:rsidRPr="00253340">
        <w:rPr>
          <w:rFonts w:ascii="Verdana" w:hAnsi="Verdana"/>
          <w:sz w:val="22"/>
          <w:szCs w:val="22"/>
        </w:rPr>
        <w:t>compliance challenges.</w:t>
      </w:r>
    </w:p>
    <w:p w:rsidR="00B72AAE" w:rsidRPr="000C72D1" w:rsidRDefault="00B72AAE" w:rsidP="004A269C">
      <w:pPr>
        <w:pStyle w:val="ListParagraph"/>
        <w:widowControl w:val="0"/>
        <w:tabs>
          <w:tab w:val="left" w:pos="567"/>
        </w:tabs>
        <w:ind w:left="1418"/>
        <w:rPr>
          <w:rFonts w:ascii="Verdana" w:hAnsi="Verdana"/>
          <w:sz w:val="22"/>
          <w:szCs w:val="22"/>
        </w:rPr>
      </w:pPr>
    </w:p>
    <w:p w:rsidR="007C654C" w:rsidRDefault="007C654C" w:rsidP="00767EBD">
      <w:pPr>
        <w:keepNext/>
        <w:widowControl w:val="0"/>
        <w:tabs>
          <w:tab w:val="left" w:pos="567"/>
        </w:tabs>
        <w:ind w:left="130" w:firstLine="0"/>
        <w:rPr>
          <w:rFonts w:ascii="Verdana" w:hAnsi="Verdana"/>
          <w:b/>
          <w:sz w:val="22"/>
          <w:szCs w:val="22"/>
        </w:rPr>
      </w:pPr>
    </w:p>
    <w:p w:rsidR="009746B9" w:rsidRPr="001C0B8C" w:rsidRDefault="009746B9" w:rsidP="00767EBD">
      <w:pPr>
        <w:keepNext/>
        <w:widowControl w:val="0"/>
        <w:tabs>
          <w:tab w:val="left" w:pos="567"/>
        </w:tabs>
        <w:ind w:left="130" w:firstLine="0"/>
        <w:rPr>
          <w:rFonts w:ascii="Verdana" w:hAnsi="Verdana"/>
          <w:sz w:val="22"/>
          <w:szCs w:val="22"/>
        </w:rPr>
      </w:pPr>
      <w:r w:rsidRPr="001C0B8C">
        <w:rPr>
          <w:rFonts w:ascii="Verdana" w:hAnsi="Verdana"/>
          <w:b/>
          <w:sz w:val="22"/>
          <w:szCs w:val="22"/>
        </w:rPr>
        <w:t>Deviations from FATF Definitions or Concepts – “Politically Exposed Persons”</w:t>
      </w:r>
    </w:p>
    <w:p w:rsidR="009746B9" w:rsidRPr="006D4C83" w:rsidRDefault="009746B9" w:rsidP="009746B9">
      <w:pPr>
        <w:pStyle w:val="ListParagraph"/>
        <w:widowControl w:val="0"/>
        <w:tabs>
          <w:tab w:val="left" w:pos="567"/>
        </w:tabs>
        <w:ind w:left="567" w:firstLine="0"/>
        <w:rPr>
          <w:rFonts w:ascii="Verdana" w:hAnsi="Verdana"/>
          <w:sz w:val="22"/>
          <w:szCs w:val="22"/>
        </w:rPr>
      </w:pPr>
    </w:p>
    <w:p w:rsidR="009746B9" w:rsidRPr="004A269C" w:rsidRDefault="009746B9" w:rsidP="00783450">
      <w:pPr>
        <w:pStyle w:val="ListParagraph"/>
        <w:widowControl w:val="0"/>
        <w:numPr>
          <w:ilvl w:val="0"/>
          <w:numId w:val="2"/>
        </w:numPr>
        <w:tabs>
          <w:tab w:val="left" w:pos="567"/>
        </w:tabs>
        <w:rPr>
          <w:rFonts w:ascii="Verdana" w:hAnsi="Verdana"/>
          <w:sz w:val="22"/>
          <w:szCs w:val="22"/>
        </w:rPr>
      </w:pPr>
      <w:r w:rsidRPr="004A269C">
        <w:rPr>
          <w:rFonts w:ascii="Verdana" w:hAnsi="Verdana"/>
          <w:sz w:val="22"/>
          <w:szCs w:val="22"/>
        </w:rPr>
        <w:t>The internationally-accepted and supported FATF standard refers to “foreign” and “domestic” Politically Exposed Persons, in the context of such persons being more susceptible to corruption and therefore subjected to enhanced AML/CFT procedures.  As such, countries, multi-national and major banks must introduce “PEP compliance programmes” within their AML/CFT programmes.  Correspondent banks, especially in the USA, UK and Europe, will demand equivalent “PEP compliance programmes” from their counter-parties in other jurisdictions.  Multi-national banks will also introduce “PEP programmes” across their group structures, for internationally consistent application and compliance.</w:t>
      </w:r>
      <w:r w:rsidR="00767EBD">
        <w:rPr>
          <w:rFonts w:ascii="Verdana" w:hAnsi="Verdana"/>
          <w:sz w:val="22"/>
          <w:szCs w:val="22"/>
        </w:rPr>
        <w:t xml:space="preserve"> Vendors will develop and sell access to such “PEP registers” (already available).</w:t>
      </w:r>
    </w:p>
    <w:p w:rsidR="009746B9" w:rsidRPr="006D4C83" w:rsidRDefault="009746B9" w:rsidP="009746B9">
      <w:pPr>
        <w:pStyle w:val="ListParagraph"/>
        <w:widowControl w:val="0"/>
        <w:tabs>
          <w:tab w:val="left" w:pos="567"/>
        </w:tabs>
        <w:ind w:left="1418" w:firstLine="0"/>
        <w:rPr>
          <w:rFonts w:ascii="Verdana" w:hAnsi="Verdana"/>
          <w:sz w:val="22"/>
          <w:szCs w:val="22"/>
        </w:rPr>
      </w:pPr>
    </w:p>
    <w:p w:rsidR="009746B9" w:rsidRPr="006D4C83" w:rsidRDefault="009746B9" w:rsidP="00783450">
      <w:pPr>
        <w:pStyle w:val="BCHeading2"/>
        <w:keepNext w:val="0"/>
        <w:keepLines/>
        <w:widowControl w:val="0"/>
        <w:numPr>
          <w:ilvl w:val="0"/>
          <w:numId w:val="2"/>
        </w:numPr>
        <w:rPr>
          <w:sz w:val="22"/>
          <w:szCs w:val="22"/>
        </w:rPr>
      </w:pPr>
      <w:r w:rsidRPr="006D4C83">
        <w:rPr>
          <w:sz w:val="22"/>
          <w:szCs w:val="22"/>
        </w:rPr>
        <w:t>But the draft Bill deviates from this extensive, international consensus and compliance with the FATF Recommendations by introducing a different definition and concept – that of “prominent influential person” (</w:t>
      </w:r>
      <w:r w:rsidR="00B72AAE">
        <w:rPr>
          <w:sz w:val="22"/>
          <w:szCs w:val="22"/>
        </w:rPr>
        <w:t>“</w:t>
      </w:r>
      <w:r w:rsidRPr="00B72AAE">
        <w:rPr>
          <w:sz w:val="22"/>
          <w:szCs w:val="22"/>
        </w:rPr>
        <w:t>PIP</w:t>
      </w:r>
      <w:r w:rsidR="00B72AAE">
        <w:rPr>
          <w:sz w:val="22"/>
          <w:szCs w:val="22"/>
        </w:rPr>
        <w:t>”</w:t>
      </w:r>
      <w:r w:rsidRPr="006D4C83">
        <w:rPr>
          <w:sz w:val="22"/>
          <w:szCs w:val="22"/>
        </w:rPr>
        <w:t>).  This deviation from the internationally accepted terminology introduces significant risk to local banks’ international correspondent relations (e.g. Question from the USA/UK/EU bank:  “Does your bank implement an internationally compliant PEP programme?”  Answer from local bank:  “No, we implement a PIP programme”.  Anticipated response from US/UK/EU bank:  “Never heard of it.  Your line of credit or correspondent relationship</w:t>
      </w:r>
      <w:r w:rsidR="00767EBD">
        <w:rPr>
          <w:sz w:val="22"/>
          <w:szCs w:val="22"/>
        </w:rPr>
        <w:t xml:space="preserve"> or transaction</w:t>
      </w:r>
      <w:r w:rsidRPr="006D4C83">
        <w:rPr>
          <w:sz w:val="22"/>
          <w:szCs w:val="22"/>
        </w:rPr>
        <w:t xml:space="preserve"> is cancelled for non-compliance with our PEP requirement”).</w:t>
      </w:r>
    </w:p>
    <w:p w:rsidR="009746B9" w:rsidRPr="006D4C83" w:rsidRDefault="009746B9" w:rsidP="00783450">
      <w:pPr>
        <w:pStyle w:val="BCHeading2"/>
        <w:keepNext w:val="0"/>
        <w:keepLines/>
        <w:widowControl w:val="0"/>
        <w:numPr>
          <w:ilvl w:val="0"/>
          <w:numId w:val="2"/>
        </w:numPr>
        <w:rPr>
          <w:sz w:val="22"/>
          <w:szCs w:val="22"/>
        </w:rPr>
      </w:pPr>
      <w:r w:rsidRPr="006D4C83">
        <w:rPr>
          <w:sz w:val="22"/>
          <w:szCs w:val="22"/>
        </w:rPr>
        <w:t>Furthermore</w:t>
      </w:r>
      <w:r>
        <w:rPr>
          <w:sz w:val="22"/>
          <w:szCs w:val="22"/>
        </w:rPr>
        <w:t>,</w:t>
      </w:r>
      <w:r w:rsidRPr="006D4C83">
        <w:rPr>
          <w:sz w:val="22"/>
          <w:szCs w:val="22"/>
        </w:rPr>
        <w:t xml:space="preserve"> in terms of standard international and domestic banking sector supervisory norms, multi-national banking groups must implement “the higher of home or host country supervisory standards”.  For local banking groups with branches or subsidiaries in other African countries, this would in most cases default to SA standards.  Foreign bank branches or subsidiaries of SA banks would, therefore, have to implement “PIP” programmes whereas the domestic foreign standard may require “PEP” programmes, in compliance with the international standard.</w:t>
      </w:r>
    </w:p>
    <w:p w:rsidR="009746B9" w:rsidRPr="006D4C83" w:rsidRDefault="009746B9" w:rsidP="00783450">
      <w:pPr>
        <w:pStyle w:val="BCHeading2"/>
        <w:keepNext w:val="0"/>
        <w:keepLines/>
        <w:widowControl w:val="0"/>
        <w:numPr>
          <w:ilvl w:val="0"/>
          <w:numId w:val="2"/>
        </w:numPr>
        <w:rPr>
          <w:sz w:val="22"/>
          <w:szCs w:val="22"/>
        </w:rPr>
      </w:pPr>
      <w:r w:rsidRPr="006D4C83">
        <w:rPr>
          <w:sz w:val="22"/>
          <w:szCs w:val="22"/>
        </w:rPr>
        <w:t>We therefore recommend that the Bill be amended to refer to “Politically Exposed Persons”, rather than the current “Prominent Influential Person”, to obviate the challenges of local law deviating from the widely-accepted international standards, and the unintended consequences this may cause.</w:t>
      </w:r>
    </w:p>
    <w:p w:rsidR="009746B9" w:rsidRPr="006D4C83" w:rsidRDefault="009746B9" w:rsidP="00783450">
      <w:pPr>
        <w:pStyle w:val="BCHeading2"/>
        <w:keepNext w:val="0"/>
        <w:keepLines/>
        <w:widowControl w:val="0"/>
        <w:numPr>
          <w:ilvl w:val="0"/>
          <w:numId w:val="2"/>
        </w:numPr>
        <w:rPr>
          <w:b/>
          <w:sz w:val="22"/>
          <w:szCs w:val="22"/>
        </w:rPr>
      </w:pPr>
      <w:r w:rsidRPr="006D4C83">
        <w:rPr>
          <w:sz w:val="22"/>
          <w:szCs w:val="22"/>
        </w:rPr>
        <w:t>Failing this, we recommend that the National Government, National Treasury and the FIC be instructed by Parliament to lobby the FATF to either amend its definition of “PEP” to one of “PIP”, or to extend the FATF definition of “PEP” to include, as an alternate, the “equivalent definition of PIP for use in other jurisdictions”.</w:t>
      </w:r>
    </w:p>
    <w:p w:rsidR="009746B9" w:rsidRDefault="009746B9" w:rsidP="00783450">
      <w:pPr>
        <w:pStyle w:val="BCHeading2"/>
        <w:keepNext w:val="0"/>
        <w:keepLines/>
        <w:widowControl w:val="0"/>
        <w:numPr>
          <w:ilvl w:val="0"/>
          <w:numId w:val="2"/>
        </w:numPr>
        <w:rPr>
          <w:sz w:val="22"/>
          <w:szCs w:val="22"/>
        </w:rPr>
      </w:pPr>
      <w:r w:rsidRPr="006D4C83">
        <w:rPr>
          <w:sz w:val="22"/>
          <w:szCs w:val="22"/>
        </w:rPr>
        <w:t>In this latter case, countries other than SA could also elect to use the concept “PIP”, with full acknowledgement of compliance with the FATF standard relating to “PEP” or “PIP”.</w:t>
      </w:r>
    </w:p>
    <w:p w:rsidR="004F51AE" w:rsidRPr="004A269C" w:rsidRDefault="009746B9" w:rsidP="004A269C">
      <w:pPr>
        <w:pStyle w:val="ListParagraph"/>
        <w:widowControl w:val="0"/>
        <w:tabs>
          <w:tab w:val="left" w:pos="567"/>
        </w:tabs>
        <w:ind w:left="0" w:firstLine="0"/>
        <w:rPr>
          <w:rFonts w:ascii="Verdana" w:hAnsi="Verdana"/>
          <w:b/>
          <w:sz w:val="22"/>
          <w:szCs w:val="22"/>
        </w:rPr>
      </w:pPr>
      <w:r w:rsidRPr="004513DA" w:rsidDel="00D51818">
        <w:rPr>
          <w:rFonts w:ascii="Verdana" w:hAnsi="Verdana"/>
          <w:b/>
          <w:sz w:val="22"/>
          <w:szCs w:val="22"/>
        </w:rPr>
        <w:t xml:space="preserve"> </w:t>
      </w:r>
      <w:r w:rsidR="004F51AE" w:rsidRPr="004A269C">
        <w:rPr>
          <w:rFonts w:ascii="Verdana" w:hAnsi="Verdana"/>
          <w:b/>
          <w:sz w:val="22"/>
          <w:szCs w:val="22"/>
        </w:rPr>
        <w:t>Record keeping</w:t>
      </w:r>
      <w:r w:rsidR="00847ED3" w:rsidRPr="004A269C">
        <w:rPr>
          <w:rFonts w:ascii="Verdana" w:hAnsi="Verdana"/>
          <w:b/>
          <w:sz w:val="22"/>
          <w:szCs w:val="22"/>
        </w:rPr>
        <w:t xml:space="preserve"> in the Republic</w:t>
      </w:r>
    </w:p>
    <w:p w:rsidR="00F24F04" w:rsidRPr="00F24F04" w:rsidRDefault="00F24F04" w:rsidP="00D014D5">
      <w:pPr>
        <w:widowControl w:val="0"/>
        <w:tabs>
          <w:tab w:val="left" w:pos="567"/>
        </w:tabs>
        <w:rPr>
          <w:rFonts w:ascii="Verdana" w:hAnsi="Verdana"/>
          <w:sz w:val="22"/>
          <w:szCs w:val="22"/>
        </w:rPr>
      </w:pPr>
    </w:p>
    <w:p w:rsidR="00EB3561" w:rsidRDefault="00F8608B" w:rsidP="00783450">
      <w:pPr>
        <w:pStyle w:val="ListParagraph"/>
        <w:widowControl w:val="0"/>
        <w:numPr>
          <w:ilvl w:val="0"/>
          <w:numId w:val="2"/>
        </w:numPr>
        <w:rPr>
          <w:rFonts w:ascii="Verdana" w:hAnsi="Verdana"/>
          <w:sz w:val="22"/>
          <w:szCs w:val="22"/>
        </w:rPr>
      </w:pPr>
      <w:r w:rsidRPr="00252829">
        <w:rPr>
          <w:rFonts w:ascii="Verdana" w:hAnsi="Verdana"/>
          <w:sz w:val="22"/>
          <w:szCs w:val="22"/>
        </w:rPr>
        <w:t xml:space="preserve">Section 14 of the Bill seeks to introduce a requirement that documents obtained from clients of an accountable institution pursuant to the provisions of section 21 must be stored in South Africa.  </w:t>
      </w:r>
    </w:p>
    <w:p w:rsidR="00EB3561" w:rsidRDefault="00EB3561" w:rsidP="004A269C">
      <w:pPr>
        <w:pStyle w:val="ListParagraph"/>
        <w:widowControl w:val="0"/>
        <w:ind w:left="567" w:firstLine="0"/>
        <w:rPr>
          <w:rFonts w:ascii="Verdana" w:hAnsi="Verdana"/>
          <w:sz w:val="22"/>
          <w:szCs w:val="22"/>
        </w:rPr>
      </w:pPr>
    </w:p>
    <w:p w:rsidR="00F8608B" w:rsidRPr="00252829" w:rsidRDefault="00F8608B" w:rsidP="00783450">
      <w:pPr>
        <w:pStyle w:val="ListParagraph"/>
        <w:widowControl w:val="0"/>
        <w:numPr>
          <w:ilvl w:val="0"/>
          <w:numId w:val="2"/>
        </w:numPr>
        <w:rPr>
          <w:rFonts w:ascii="Verdana" w:hAnsi="Verdana"/>
          <w:sz w:val="22"/>
          <w:szCs w:val="22"/>
        </w:rPr>
      </w:pPr>
      <w:r w:rsidRPr="00252829">
        <w:rPr>
          <w:rFonts w:ascii="Verdana" w:hAnsi="Verdana"/>
          <w:sz w:val="22"/>
          <w:szCs w:val="22"/>
        </w:rPr>
        <w:t xml:space="preserve">This proposed requirement fails to recognise the international nature of data </w:t>
      </w:r>
      <w:r w:rsidRPr="00252829">
        <w:rPr>
          <w:rFonts w:ascii="Verdana" w:hAnsi="Verdana"/>
          <w:sz w:val="22"/>
          <w:szCs w:val="22"/>
        </w:rPr>
        <w:lastRenderedPageBreak/>
        <w:t>storage and transfer in the modern world.  The advent of cloud computing</w:t>
      </w:r>
      <w:r w:rsidR="00C519C7">
        <w:rPr>
          <w:rFonts w:ascii="Verdana" w:hAnsi="Verdana"/>
          <w:sz w:val="22"/>
          <w:szCs w:val="22"/>
        </w:rPr>
        <w:t xml:space="preserve"> as well as other digital storage mediums</w:t>
      </w:r>
      <w:r w:rsidRPr="00252829">
        <w:rPr>
          <w:rFonts w:ascii="Verdana" w:hAnsi="Verdana"/>
          <w:sz w:val="22"/>
          <w:szCs w:val="22"/>
        </w:rPr>
        <w:t xml:space="preserve"> has enabled companies to efficiently store data around the world in a cost effective manner whilst still being able to instantly retrieve that data.  Requiring data to be stored intra-territorially is </w:t>
      </w:r>
      <w:r w:rsidR="00B43137">
        <w:rPr>
          <w:rFonts w:ascii="Verdana" w:hAnsi="Verdana"/>
          <w:sz w:val="22"/>
          <w:szCs w:val="22"/>
        </w:rPr>
        <w:t xml:space="preserve">therefore </w:t>
      </w:r>
      <w:r w:rsidRPr="00252829">
        <w:rPr>
          <w:rFonts w:ascii="Verdana" w:hAnsi="Verdana"/>
          <w:sz w:val="22"/>
          <w:szCs w:val="22"/>
        </w:rPr>
        <w:t>a retrogressive step</w:t>
      </w:r>
      <w:r w:rsidR="00767EBD">
        <w:rPr>
          <w:rFonts w:ascii="Verdana" w:hAnsi="Verdana"/>
          <w:sz w:val="22"/>
          <w:szCs w:val="22"/>
        </w:rPr>
        <w:t xml:space="preserve"> with significant in-country cost implications</w:t>
      </w:r>
      <w:r w:rsidR="00B43137">
        <w:rPr>
          <w:rFonts w:ascii="Verdana" w:hAnsi="Verdana"/>
          <w:sz w:val="22"/>
          <w:szCs w:val="22"/>
        </w:rPr>
        <w:t>.</w:t>
      </w:r>
    </w:p>
    <w:p w:rsidR="00F8608B" w:rsidRPr="00252829" w:rsidRDefault="00F8608B" w:rsidP="00D014D5">
      <w:pPr>
        <w:widowControl w:val="0"/>
        <w:rPr>
          <w:rFonts w:ascii="Verdana" w:hAnsi="Verdana"/>
          <w:sz w:val="22"/>
          <w:szCs w:val="22"/>
        </w:rPr>
      </w:pPr>
    </w:p>
    <w:p w:rsidR="00F8608B" w:rsidRPr="00252829" w:rsidRDefault="00F8608B" w:rsidP="00783450">
      <w:pPr>
        <w:pStyle w:val="ListParagraph"/>
        <w:widowControl w:val="0"/>
        <w:numPr>
          <w:ilvl w:val="0"/>
          <w:numId w:val="2"/>
        </w:numPr>
        <w:rPr>
          <w:rFonts w:ascii="Verdana" w:hAnsi="Verdana"/>
          <w:sz w:val="22"/>
          <w:szCs w:val="22"/>
        </w:rPr>
      </w:pPr>
      <w:r w:rsidRPr="00252829">
        <w:rPr>
          <w:rFonts w:ascii="Verdana" w:hAnsi="Verdana"/>
          <w:sz w:val="22"/>
          <w:szCs w:val="22"/>
        </w:rPr>
        <w:t xml:space="preserve">The question of the cross-border transfer of data is </w:t>
      </w:r>
      <w:r w:rsidR="00B43137">
        <w:rPr>
          <w:rFonts w:ascii="Verdana" w:hAnsi="Verdana"/>
          <w:sz w:val="22"/>
          <w:szCs w:val="22"/>
        </w:rPr>
        <w:t xml:space="preserve">also </w:t>
      </w:r>
      <w:r w:rsidRPr="00252829">
        <w:rPr>
          <w:rFonts w:ascii="Verdana" w:hAnsi="Verdana"/>
          <w:sz w:val="22"/>
          <w:szCs w:val="22"/>
        </w:rPr>
        <w:t xml:space="preserve">an issue that data protection legislators around the world have grappled with for a number of years.  Rather than prohibit the cross-border transfer and storage of data, global best practice is to ensure that the confidentiality and integrity of the data is maintained in the country to which it is transferred. </w:t>
      </w:r>
    </w:p>
    <w:p w:rsidR="00F8608B" w:rsidRPr="00252829" w:rsidRDefault="00F8608B" w:rsidP="00D014D5">
      <w:pPr>
        <w:widowControl w:val="0"/>
        <w:rPr>
          <w:rFonts w:ascii="Verdana" w:hAnsi="Verdana"/>
          <w:sz w:val="22"/>
          <w:szCs w:val="22"/>
        </w:rPr>
      </w:pPr>
    </w:p>
    <w:p w:rsidR="00F8608B" w:rsidRDefault="00F8608B" w:rsidP="00783450">
      <w:pPr>
        <w:pStyle w:val="ListParagraph"/>
        <w:widowControl w:val="0"/>
        <w:numPr>
          <w:ilvl w:val="0"/>
          <w:numId w:val="2"/>
        </w:numPr>
        <w:rPr>
          <w:rFonts w:ascii="Verdana" w:hAnsi="Verdana"/>
          <w:sz w:val="22"/>
          <w:szCs w:val="22"/>
        </w:rPr>
      </w:pPr>
      <w:r w:rsidRPr="00252829">
        <w:rPr>
          <w:rFonts w:ascii="Verdana" w:hAnsi="Verdana"/>
          <w:sz w:val="22"/>
          <w:szCs w:val="22"/>
        </w:rPr>
        <w:t xml:space="preserve">South Africa’s new data protection legislation, the </w:t>
      </w:r>
      <w:r w:rsidRPr="004A269C">
        <w:rPr>
          <w:rFonts w:ascii="Verdana" w:hAnsi="Verdana"/>
          <w:sz w:val="22"/>
          <w:szCs w:val="22"/>
        </w:rPr>
        <w:t>Protection of Personal Information Act, 2013</w:t>
      </w:r>
      <w:r w:rsidRPr="00252829">
        <w:rPr>
          <w:rFonts w:ascii="Verdana" w:hAnsi="Verdana"/>
          <w:sz w:val="22"/>
          <w:szCs w:val="22"/>
        </w:rPr>
        <w:t xml:space="preserve"> (</w:t>
      </w:r>
      <w:r w:rsidR="00B43137">
        <w:rPr>
          <w:rFonts w:ascii="Verdana" w:hAnsi="Verdana"/>
          <w:sz w:val="22"/>
          <w:szCs w:val="22"/>
        </w:rPr>
        <w:t>“</w:t>
      </w:r>
      <w:r w:rsidRPr="00B43137">
        <w:rPr>
          <w:rFonts w:ascii="Verdana" w:hAnsi="Verdana"/>
          <w:sz w:val="22"/>
          <w:szCs w:val="22"/>
        </w:rPr>
        <w:t>POPI</w:t>
      </w:r>
      <w:r w:rsidR="00B43137">
        <w:rPr>
          <w:rFonts w:ascii="Verdana" w:hAnsi="Verdana"/>
          <w:sz w:val="22"/>
          <w:szCs w:val="22"/>
        </w:rPr>
        <w:t>”</w:t>
      </w:r>
      <w:r w:rsidRPr="00252829">
        <w:rPr>
          <w:rFonts w:ascii="Verdana" w:hAnsi="Verdana"/>
          <w:sz w:val="22"/>
          <w:szCs w:val="22"/>
        </w:rPr>
        <w:t>) (the operative provisions of which are yet to come into force) is no different.  Section 72 allows for the cross-border transfer of personal information in the following circumstances:</w:t>
      </w:r>
    </w:p>
    <w:p w:rsidR="00F24F04" w:rsidRPr="00F24F04" w:rsidRDefault="00F24F04" w:rsidP="00D014D5">
      <w:pPr>
        <w:pStyle w:val="ListParagraph"/>
        <w:widowControl w:val="0"/>
        <w:rPr>
          <w:rFonts w:ascii="Verdana" w:hAnsi="Verdana"/>
          <w:sz w:val="22"/>
          <w:szCs w:val="22"/>
        </w:rPr>
      </w:pPr>
    </w:p>
    <w:p w:rsidR="00F24F04" w:rsidRPr="004513DA" w:rsidRDefault="009C530F" w:rsidP="004A269C">
      <w:pPr>
        <w:pStyle w:val="Heading1"/>
        <w:keepNext w:val="0"/>
        <w:ind w:left="1286" w:hanging="761"/>
        <w:rPr>
          <w:rFonts w:ascii="Verdana" w:hAnsi="Verdana"/>
          <w:b w:val="0"/>
          <w:sz w:val="22"/>
          <w:szCs w:val="22"/>
        </w:rPr>
      </w:pPr>
      <w:r>
        <w:rPr>
          <w:rFonts w:ascii="Verdana" w:hAnsi="Verdana"/>
          <w:b w:val="0"/>
          <w:sz w:val="22"/>
          <w:szCs w:val="22"/>
        </w:rPr>
        <w:t>34.1</w:t>
      </w:r>
      <w:r>
        <w:rPr>
          <w:rFonts w:ascii="Verdana" w:hAnsi="Verdana"/>
          <w:b w:val="0"/>
          <w:sz w:val="22"/>
          <w:szCs w:val="22"/>
        </w:rPr>
        <w:tab/>
      </w:r>
      <w:r w:rsidR="00F8608B" w:rsidRPr="004513DA">
        <w:rPr>
          <w:rFonts w:ascii="Verdana" w:hAnsi="Verdana"/>
          <w:b w:val="0"/>
          <w:sz w:val="22"/>
          <w:szCs w:val="22"/>
        </w:rPr>
        <w:t>Adequate protection: Where the personal information will be adequately protected after the transfer in terms of:</w:t>
      </w:r>
    </w:p>
    <w:p w:rsidR="00F24F04" w:rsidRPr="004513DA" w:rsidRDefault="00F24F04" w:rsidP="00D014D5">
      <w:pPr>
        <w:widowControl w:val="0"/>
      </w:pPr>
    </w:p>
    <w:p w:rsidR="00F24F04" w:rsidRPr="004513DA" w:rsidRDefault="00EB3561" w:rsidP="004A269C">
      <w:pPr>
        <w:pStyle w:val="Heading1"/>
        <w:keepNext w:val="0"/>
        <w:ind w:left="1286" w:firstLine="0"/>
        <w:rPr>
          <w:rFonts w:ascii="Verdana" w:hAnsi="Verdana"/>
          <w:b w:val="0"/>
          <w:sz w:val="22"/>
          <w:szCs w:val="22"/>
        </w:rPr>
      </w:pPr>
      <w:r w:rsidRPr="004513DA">
        <w:rPr>
          <w:rFonts w:ascii="Verdana" w:hAnsi="Verdana"/>
          <w:b w:val="0"/>
          <w:sz w:val="22"/>
          <w:szCs w:val="22"/>
        </w:rPr>
        <w:t>(a)</w:t>
      </w:r>
      <w:r w:rsidRPr="004513DA">
        <w:rPr>
          <w:rFonts w:ascii="Verdana" w:hAnsi="Verdana"/>
          <w:b w:val="0"/>
          <w:sz w:val="22"/>
          <w:szCs w:val="22"/>
        </w:rPr>
        <w:tab/>
      </w:r>
      <w:r w:rsidR="00F8608B" w:rsidRPr="004513DA">
        <w:rPr>
          <w:rFonts w:ascii="Verdana" w:hAnsi="Verdana"/>
          <w:b w:val="0"/>
          <w:sz w:val="22"/>
          <w:szCs w:val="22"/>
        </w:rPr>
        <w:t>a law;</w:t>
      </w:r>
    </w:p>
    <w:p w:rsidR="00F24F04" w:rsidRPr="004513DA" w:rsidRDefault="00F24F04" w:rsidP="00D014D5">
      <w:pPr>
        <w:widowControl w:val="0"/>
      </w:pPr>
    </w:p>
    <w:p w:rsidR="00F8608B" w:rsidRPr="004513DA" w:rsidRDefault="00EB3561" w:rsidP="004A269C">
      <w:pPr>
        <w:pStyle w:val="Heading1"/>
        <w:keepNext w:val="0"/>
        <w:ind w:left="2156" w:hanging="870"/>
        <w:rPr>
          <w:rFonts w:ascii="Verdana" w:hAnsi="Verdana"/>
          <w:b w:val="0"/>
          <w:sz w:val="22"/>
          <w:szCs w:val="22"/>
        </w:rPr>
      </w:pPr>
      <w:r w:rsidRPr="004513DA">
        <w:rPr>
          <w:rFonts w:ascii="Verdana" w:hAnsi="Verdana"/>
          <w:b w:val="0"/>
          <w:sz w:val="22"/>
          <w:szCs w:val="22"/>
        </w:rPr>
        <w:t>(b)</w:t>
      </w:r>
      <w:r w:rsidRPr="004513DA">
        <w:rPr>
          <w:rFonts w:ascii="Verdana" w:hAnsi="Verdana"/>
          <w:b w:val="0"/>
          <w:sz w:val="22"/>
          <w:szCs w:val="22"/>
        </w:rPr>
        <w:tab/>
      </w:r>
      <w:r w:rsidR="00F8608B" w:rsidRPr="004513DA">
        <w:rPr>
          <w:rFonts w:ascii="Verdana" w:hAnsi="Verdana"/>
          <w:b w:val="0"/>
          <w:sz w:val="22"/>
          <w:szCs w:val="22"/>
        </w:rPr>
        <w:t xml:space="preserve">a binding agreement between the transferor and the foreign recipient; or </w:t>
      </w:r>
    </w:p>
    <w:p w:rsidR="00F24F04" w:rsidRPr="004513DA" w:rsidRDefault="00F24F04" w:rsidP="00D014D5">
      <w:pPr>
        <w:widowControl w:val="0"/>
      </w:pPr>
    </w:p>
    <w:p w:rsidR="00EA38D6" w:rsidRPr="004A269C" w:rsidRDefault="00F8608B" w:rsidP="00783450">
      <w:pPr>
        <w:pStyle w:val="Heading3"/>
        <w:keepNext w:val="0"/>
        <w:widowControl w:val="0"/>
        <w:numPr>
          <w:ilvl w:val="0"/>
          <w:numId w:val="3"/>
        </w:numPr>
        <w:ind w:left="2127" w:hanging="851"/>
        <w:rPr>
          <w:rFonts w:ascii="Verdana" w:hAnsi="Verdana"/>
          <w:b w:val="0"/>
          <w:sz w:val="22"/>
          <w:szCs w:val="22"/>
          <w:u w:val="none"/>
        </w:rPr>
      </w:pPr>
      <w:r w:rsidRPr="004A269C">
        <w:rPr>
          <w:rFonts w:ascii="Verdana" w:hAnsi="Verdana"/>
          <w:b w:val="0"/>
          <w:sz w:val="22"/>
          <w:szCs w:val="22"/>
          <w:u w:val="none"/>
        </w:rPr>
        <w:t>binding corporate rules (policies or undertakings with which the transferor and foreign recipient must comply);</w:t>
      </w:r>
    </w:p>
    <w:p w:rsidR="00EA38D6" w:rsidRPr="004513DA" w:rsidRDefault="00EA38D6" w:rsidP="00D014D5">
      <w:pPr>
        <w:widowControl w:val="0"/>
        <w:rPr>
          <w:lang w:val="en-US"/>
        </w:rPr>
      </w:pPr>
    </w:p>
    <w:p w:rsidR="00F8608B" w:rsidRPr="004A269C" w:rsidRDefault="00F8608B" w:rsidP="004A269C">
      <w:pPr>
        <w:pStyle w:val="Heading3"/>
        <w:keepNext w:val="0"/>
        <w:widowControl w:val="0"/>
        <w:ind w:left="1276" w:firstLine="0"/>
        <w:rPr>
          <w:rFonts w:ascii="Verdana" w:hAnsi="Verdana"/>
          <w:b w:val="0"/>
          <w:sz w:val="22"/>
          <w:szCs w:val="22"/>
          <w:u w:val="none"/>
        </w:rPr>
      </w:pPr>
      <w:r w:rsidRPr="004A269C">
        <w:rPr>
          <w:rFonts w:ascii="Verdana" w:hAnsi="Verdana"/>
          <w:b w:val="0"/>
          <w:sz w:val="22"/>
          <w:szCs w:val="22"/>
          <w:u w:val="none"/>
        </w:rPr>
        <w:t xml:space="preserve">which uphold principles similar to those in POPI regarding the lawful processing of personal information and further cross-border transfers of personal information (section 72(1)(a)). </w:t>
      </w:r>
    </w:p>
    <w:p w:rsidR="00EA38D6" w:rsidRPr="004513DA" w:rsidRDefault="00EA38D6" w:rsidP="00D014D5">
      <w:pPr>
        <w:widowControl w:val="0"/>
        <w:rPr>
          <w:lang w:val="en-US"/>
        </w:rPr>
      </w:pPr>
    </w:p>
    <w:p w:rsidR="00F8608B" w:rsidRPr="004513DA" w:rsidRDefault="00F8608B" w:rsidP="00783450">
      <w:pPr>
        <w:pStyle w:val="Heading1"/>
        <w:keepNext w:val="0"/>
        <w:numPr>
          <w:ilvl w:val="1"/>
          <w:numId w:val="7"/>
        </w:numPr>
        <w:rPr>
          <w:rFonts w:ascii="Verdana" w:hAnsi="Verdana"/>
          <w:b w:val="0"/>
          <w:sz w:val="22"/>
          <w:szCs w:val="22"/>
        </w:rPr>
      </w:pPr>
      <w:r w:rsidRPr="004513DA">
        <w:rPr>
          <w:rFonts w:ascii="Verdana" w:hAnsi="Verdana"/>
          <w:b w:val="0"/>
          <w:sz w:val="22"/>
          <w:szCs w:val="22"/>
        </w:rPr>
        <w:t>Conclusion or performance of a contract:</w:t>
      </w:r>
    </w:p>
    <w:p w:rsidR="00EA38D6" w:rsidRPr="004513DA" w:rsidRDefault="00EA38D6" w:rsidP="00D014D5">
      <w:pPr>
        <w:widowControl w:val="0"/>
      </w:pPr>
    </w:p>
    <w:p w:rsidR="00F8608B" w:rsidRPr="004A269C" w:rsidRDefault="00F8608B" w:rsidP="00783450">
      <w:pPr>
        <w:pStyle w:val="Heading3"/>
        <w:keepNext w:val="0"/>
        <w:widowControl w:val="0"/>
        <w:numPr>
          <w:ilvl w:val="0"/>
          <w:numId w:val="5"/>
        </w:numPr>
        <w:rPr>
          <w:rFonts w:ascii="Verdana" w:hAnsi="Verdana"/>
          <w:b w:val="0"/>
          <w:sz w:val="22"/>
          <w:szCs w:val="22"/>
          <w:u w:val="none"/>
        </w:rPr>
      </w:pPr>
      <w:r w:rsidRPr="004A269C">
        <w:rPr>
          <w:rFonts w:ascii="Verdana" w:hAnsi="Verdana"/>
          <w:b w:val="0"/>
          <w:sz w:val="22"/>
          <w:szCs w:val="22"/>
          <w:u w:val="none"/>
        </w:rPr>
        <w:t>Where the transfer is necessary for the performance of a contract between the data subject and the transferor, or for the implementation of pre-contractual measures taken in response to the data subject’s request (section 72(1)(c)).</w:t>
      </w:r>
    </w:p>
    <w:p w:rsidR="00EA38D6" w:rsidRPr="004513DA" w:rsidRDefault="00EA38D6" w:rsidP="00D014D5">
      <w:pPr>
        <w:widowControl w:val="0"/>
        <w:rPr>
          <w:lang w:val="en-US"/>
        </w:rPr>
      </w:pPr>
    </w:p>
    <w:p w:rsidR="00F8608B" w:rsidRPr="004A269C" w:rsidRDefault="00F8608B" w:rsidP="00783450">
      <w:pPr>
        <w:pStyle w:val="Heading3"/>
        <w:keepNext w:val="0"/>
        <w:widowControl w:val="0"/>
        <w:numPr>
          <w:ilvl w:val="0"/>
          <w:numId w:val="5"/>
        </w:numPr>
        <w:rPr>
          <w:rFonts w:ascii="Verdana" w:hAnsi="Verdana"/>
          <w:b w:val="0"/>
          <w:sz w:val="22"/>
          <w:szCs w:val="22"/>
          <w:u w:val="none"/>
        </w:rPr>
      </w:pPr>
      <w:r w:rsidRPr="004A269C">
        <w:rPr>
          <w:rFonts w:ascii="Verdana" w:hAnsi="Verdana"/>
          <w:b w:val="0"/>
          <w:sz w:val="22"/>
          <w:szCs w:val="22"/>
          <w:u w:val="none"/>
        </w:rPr>
        <w:t xml:space="preserve">Where the transfer if necessary for the conclusion or performance of a contract concluded in the interest of the data subject between the transferor and a third party (section 72(1)(d)). </w:t>
      </w:r>
    </w:p>
    <w:p w:rsidR="00EA38D6" w:rsidRPr="004513DA" w:rsidRDefault="00EA38D6" w:rsidP="00D014D5">
      <w:pPr>
        <w:pStyle w:val="Heading1"/>
        <w:keepNext w:val="0"/>
        <w:ind w:left="567" w:firstLine="0"/>
        <w:rPr>
          <w:rFonts w:ascii="Verdana" w:hAnsi="Verdana"/>
          <w:b w:val="0"/>
          <w:sz w:val="22"/>
          <w:szCs w:val="22"/>
        </w:rPr>
      </w:pPr>
    </w:p>
    <w:p w:rsidR="00866C58" w:rsidRPr="004513DA" w:rsidRDefault="00F8608B" w:rsidP="00783450">
      <w:pPr>
        <w:pStyle w:val="Heading1"/>
        <w:keepNext w:val="0"/>
        <w:numPr>
          <w:ilvl w:val="1"/>
          <w:numId w:val="7"/>
        </w:numPr>
        <w:rPr>
          <w:rFonts w:ascii="Verdana" w:hAnsi="Verdana"/>
          <w:b w:val="0"/>
          <w:sz w:val="22"/>
          <w:szCs w:val="22"/>
        </w:rPr>
      </w:pPr>
      <w:r w:rsidRPr="004513DA">
        <w:rPr>
          <w:rFonts w:ascii="Verdana" w:hAnsi="Verdana"/>
          <w:b w:val="0"/>
          <w:sz w:val="22"/>
          <w:szCs w:val="22"/>
        </w:rPr>
        <w:t xml:space="preserve">Consent: </w:t>
      </w:r>
    </w:p>
    <w:p w:rsidR="00866C58" w:rsidRPr="004A269C" w:rsidRDefault="00866C58" w:rsidP="004A269C">
      <w:pPr>
        <w:pStyle w:val="Heading1"/>
        <w:keepNext w:val="0"/>
        <w:ind w:left="1286" w:firstLine="0"/>
        <w:rPr>
          <w:rFonts w:ascii="Verdana" w:hAnsi="Verdana"/>
          <w:b w:val="0"/>
          <w:sz w:val="22"/>
          <w:szCs w:val="22"/>
        </w:rPr>
      </w:pPr>
    </w:p>
    <w:p w:rsidR="00F8608B" w:rsidRPr="004513DA" w:rsidRDefault="00F8608B" w:rsidP="004A269C">
      <w:pPr>
        <w:pStyle w:val="Heading1"/>
        <w:keepNext w:val="0"/>
        <w:ind w:left="1418" w:firstLine="0"/>
        <w:rPr>
          <w:rFonts w:ascii="Verdana" w:hAnsi="Verdana"/>
          <w:b w:val="0"/>
          <w:sz w:val="22"/>
          <w:szCs w:val="22"/>
        </w:rPr>
      </w:pPr>
      <w:r w:rsidRPr="004513DA">
        <w:rPr>
          <w:rFonts w:ascii="Verdana" w:hAnsi="Verdana"/>
          <w:b w:val="0"/>
          <w:sz w:val="22"/>
          <w:szCs w:val="22"/>
        </w:rPr>
        <w:t>Where the data subject (the person to whom the personal information relates) consents to the transfer (section 72(1)(b)).</w:t>
      </w:r>
    </w:p>
    <w:p w:rsidR="00866C58" w:rsidRPr="004A269C" w:rsidRDefault="00866C58" w:rsidP="004A269C">
      <w:pPr>
        <w:pStyle w:val="Heading1"/>
        <w:keepNext w:val="0"/>
        <w:ind w:left="0" w:firstLine="0"/>
        <w:rPr>
          <w:rFonts w:ascii="Verdana" w:hAnsi="Verdana"/>
          <w:b w:val="0"/>
          <w:sz w:val="22"/>
          <w:szCs w:val="22"/>
        </w:rPr>
      </w:pPr>
      <w:r w:rsidRPr="004A269C">
        <w:rPr>
          <w:rFonts w:ascii="Verdana" w:hAnsi="Verdana"/>
          <w:sz w:val="22"/>
          <w:szCs w:val="22"/>
        </w:rPr>
        <w:tab/>
      </w:r>
      <w:r w:rsidRPr="004A269C">
        <w:rPr>
          <w:rFonts w:ascii="Verdana" w:hAnsi="Verdana"/>
          <w:sz w:val="22"/>
          <w:szCs w:val="22"/>
        </w:rPr>
        <w:tab/>
      </w:r>
    </w:p>
    <w:p w:rsidR="00866C58" w:rsidRPr="004513DA" w:rsidRDefault="00F8608B" w:rsidP="00783450">
      <w:pPr>
        <w:pStyle w:val="Heading1"/>
        <w:keepNext w:val="0"/>
        <w:numPr>
          <w:ilvl w:val="1"/>
          <w:numId w:val="7"/>
        </w:numPr>
        <w:rPr>
          <w:rFonts w:ascii="Verdana" w:hAnsi="Verdana"/>
          <w:b w:val="0"/>
          <w:sz w:val="22"/>
          <w:szCs w:val="22"/>
        </w:rPr>
      </w:pPr>
      <w:r w:rsidRPr="004513DA">
        <w:rPr>
          <w:rFonts w:ascii="Verdana" w:hAnsi="Verdana"/>
          <w:b w:val="0"/>
          <w:sz w:val="22"/>
          <w:szCs w:val="22"/>
        </w:rPr>
        <w:t xml:space="preserve">Benefit of the data subject: </w:t>
      </w:r>
    </w:p>
    <w:p w:rsidR="00866C58" w:rsidRDefault="00866C58" w:rsidP="004A269C">
      <w:pPr>
        <w:pStyle w:val="Heading1"/>
        <w:keepNext w:val="0"/>
        <w:ind w:left="1286" w:firstLine="0"/>
        <w:rPr>
          <w:rFonts w:ascii="Verdana" w:hAnsi="Verdana"/>
          <w:b w:val="0"/>
          <w:sz w:val="22"/>
          <w:szCs w:val="22"/>
        </w:rPr>
      </w:pPr>
    </w:p>
    <w:p w:rsidR="00F8608B" w:rsidRPr="00EA38D6" w:rsidRDefault="00F8608B" w:rsidP="004A269C">
      <w:pPr>
        <w:pStyle w:val="Heading1"/>
        <w:keepNext w:val="0"/>
        <w:ind w:left="1418" w:firstLine="0"/>
        <w:rPr>
          <w:rFonts w:ascii="Verdana" w:hAnsi="Verdana"/>
          <w:b w:val="0"/>
          <w:sz w:val="22"/>
          <w:szCs w:val="22"/>
        </w:rPr>
      </w:pPr>
      <w:r w:rsidRPr="00EA38D6">
        <w:rPr>
          <w:rFonts w:ascii="Verdana" w:hAnsi="Verdana"/>
          <w:b w:val="0"/>
          <w:sz w:val="22"/>
          <w:szCs w:val="22"/>
        </w:rPr>
        <w:t>Where the transfer is for the benefit of the data subject and it is not reasonably practicable to obtain their consent to the transfer, but if it were reasonably practicable, the data subject would be likely to give consent (section 72(1)(e)).</w:t>
      </w:r>
    </w:p>
    <w:p w:rsidR="00F8608B" w:rsidRPr="00252829" w:rsidRDefault="00F8608B" w:rsidP="00276EAB">
      <w:pPr>
        <w:widowControl w:val="0"/>
        <w:ind w:left="1418"/>
        <w:rPr>
          <w:rFonts w:ascii="Verdana" w:hAnsi="Verdana"/>
          <w:sz w:val="22"/>
          <w:szCs w:val="22"/>
        </w:rPr>
      </w:pPr>
    </w:p>
    <w:p w:rsidR="00F8608B" w:rsidRPr="00252829" w:rsidRDefault="00F8608B" w:rsidP="00783450">
      <w:pPr>
        <w:pStyle w:val="ListParagraph"/>
        <w:widowControl w:val="0"/>
        <w:numPr>
          <w:ilvl w:val="0"/>
          <w:numId w:val="7"/>
        </w:numPr>
        <w:rPr>
          <w:rFonts w:ascii="Verdana" w:hAnsi="Verdana"/>
          <w:sz w:val="22"/>
          <w:szCs w:val="22"/>
        </w:rPr>
      </w:pPr>
      <w:r w:rsidRPr="00252829">
        <w:rPr>
          <w:rFonts w:ascii="Verdana" w:hAnsi="Verdana"/>
          <w:sz w:val="22"/>
          <w:szCs w:val="22"/>
        </w:rPr>
        <w:t xml:space="preserve">The information provided by individuals and legal entities pursuant to the provisions of section 21 of FICA </w:t>
      </w:r>
      <w:r w:rsidR="00B43137">
        <w:rPr>
          <w:rFonts w:ascii="Verdana" w:hAnsi="Verdana"/>
          <w:sz w:val="22"/>
          <w:szCs w:val="22"/>
        </w:rPr>
        <w:t xml:space="preserve">(as amended) </w:t>
      </w:r>
      <w:r w:rsidRPr="00252829">
        <w:rPr>
          <w:rFonts w:ascii="Verdana" w:hAnsi="Verdana"/>
          <w:sz w:val="22"/>
          <w:szCs w:val="22"/>
        </w:rPr>
        <w:t xml:space="preserve">is largely personal information as defined in POPI.  The protections afforded to personal information in POPI would therefore apply to such information when stored in foreign jurisdictions for purposes of FICA. </w:t>
      </w:r>
    </w:p>
    <w:p w:rsidR="00F8608B" w:rsidRPr="00252829" w:rsidRDefault="00F8608B" w:rsidP="00D014D5">
      <w:pPr>
        <w:widowControl w:val="0"/>
        <w:rPr>
          <w:rFonts w:ascii="Verdana" w:hAnsi="Verdana"/>
          <w:sz w:val="22"/>
          <w:szCs w:val="22"/>
        </w:rPr>
      </w:pPr>
    </w:p>
    <w:p w:rsidR="00F8608B" w:rsidRPr="00252829" w:rsidRDefault="00F8608B" w:rsidP="00783450">
      <w:pPr>
        <w:pStyle w:val="ListParagraph"/>
        <w:widowControl w:val="0"/>
        <w:numPr>
          <w:ilvl w:val="0"/>
          <w:numId w:val="7"/>
        </w:numPr>
        <w:rPr>
          <w:rFonts w:ascii="Verdana" w:hAnsi="Verdana"/>
          <w:sz w:val="22"/>
          <w:szCs w:val="22"/>
        </w:rPr>
      </w:pPr>
      <w:r w:rsidRPr="00252829">
        <w:rPr>
          <w:rFonts w:ascii="Verdana" w:hAnsi="Verdana"/>
          <w:sz w:val="22"/>
          <w:szCs w:val="22"/>
        </w:rPr>
        <w:t>We submit that</w:t>
      </w:r>
      <w:r w:rsidR="001B3524">
        <w:rPr>
          <w:rFonts w:ascii="Verdana" w:hAnsi="Verdana"/>
          <w:sz w:val="22"/>
          <w:szCs w:val="22"/>
        </w:rPr>
        <w:t xml:space="preserve"> the provisions of</w:t>
      </w:r>
      <w:r w:rsidRPr="00252829">
        <w:rPr>
          <w:rFonts w:ascii="Verdana" w:hAnsi="Verdana"/>
          <w:sz w:val="22"/>
          <w:szCs w:val="22"/>
        </w:rPr>
        <w:t xml:space="preserve"> POPI generally</w:t>
      </w:r>
      <w:r w:rsidR="001B3524">
        <w:rPr>
          <w:rFonts w:ascii="Verdana" w:hAnsi="Verdana"/>
          <w:sz w:val="22"/>
          <w:szCs w:val="22"/>
        </w:rPr>
        <w:t>,</w:t>
      </w:r>
      <w:r w:rsidRPr="00252829">
        <w:rPr>
          <w:rFonts w:ascii="Verdana" w:hAnsi="Verdana"/>
          <w:sz w:val="22"/>
          <w:szCs w:val="22"/>
        </w:rPr>
        <w:t xml:space="preserve"> and the cross-border data transfer provisions in particular</w:t>
      </w:r>
      <w:r w:rsidR="001B3524">
        <w:rPr>
          <w:rFonts w:ascii="Verdana" w:hAnsi="Verdana"/>
          <w:sz w:val="22"/>
          <w:szCs w:val="22"/>
        </w:rPr>
        <w:t>,</w:t>
      </w:r>
      <w:r w:rsidRPr="00252829">
        <w:rPr>
          <w:rFonts w:ascii="Verdana" w:hAnsi="Verdana"/>
          <w:sz w:val="22"/>
          <w:szCs w:val="22"/>
        </w:rPr>
        <w:t xml:space="preserve"> are adequate in their protection of information and in line with international best practices and legislation.  Indeed, POPI goes further than the equivalent legislation in many other countries by protecting corporate personal information too.  (Section 1 defines “personal information” as “information relating to an identifiable, living, natural person and where it is applicable, an identifiable, existing juristic person…”)</w:t>
      </w:r>
    </w:p>
    <w:p w:rsidR="00F8608B" w:rsidRPr="00252829" w:rsidRDefault="00F8608B" w:rsidP="00D014D5">
      <w:pPr>
        <w:widowControl w:val="0"/>
        <w:rPr>
          <w:rFonts w:ascii="Verdana" w:hAnsi="Verdana"/>
          <w:sz w:val="22"/>
          <w:szCs w:val="22"/>
        </w:rPr>
      </w:pPr>
    </w:p>
    <w:p w:rsidR="00F8608B" w:rsidRPr="00252829" w:rsidRDefault="00F8608B" w:rsidP="00783450">
      <w:pPr>
        <w:pStyle w:val="ListParagraph"/>
        <w:widowControl w:val="0"/>
        <w:numPr>
          <w:ilvl w:val="0"/>
          <w:numId w:val="7"/>
        </w:numPr>
        <w:rPr>
          <w:rFonts w:ascii="Verdana" w:hAnsi="Verdana"/>
          <w:sz w:val="22"/>
          <w:szCs w:val="22"/>
        </w:rPr>
      </w:pPr>
      <w:r w:rsidRPr="00252829">
        <w:rPr>
          <w:rFonts w:ascii="Verdana" w:hAnsi="Verdana"/>
          <w:sz w:val="22"/>
          <w:szCs w:val="22"/>
        </w:rPr>
        <w:t>The proposed section 14 of the FIC Amendment Bill</w:t>
      </w:r>
      <w:r w:rsidRPr="00252829">
        <w:rPr>
          <w:rFonts w:ascii="Verdana" w:hAnsi="Verdana"/>
          <w:b/>
          <w:sz w:val="22"/>
          <w:szCs w:val="22"/>
        </w:rPr>
        <w:t xml:space="preserve"> </w:t>
      </w:r>
      <w:r w:rsidRPr="00252829">
        <w:rPr>
          <w:rFonts w:ascii="Verdana" w:hAnsi="Verdana"/>
          <w:sz w:val="22"/>
          <w:szCs w:val="22"/>
        </w:rPr>
        <w:t xml:space="preserve">contradicts what is intended by POPI and creates an anomalous situation in which information collected for the purposes of </w:t>
      </w:r>
      <w:r w:rsidR="00DF3B63">
        <w:rPr>
          <w:rFonts w:ascii="Verdana" w:hAnsi="Verdana"/>
          <w:sz w:val="22"/>
          <w:szCs w:val="22"/>
        </w:rPr>
        <w:t>FICA</w:t>
      </w:r>
      <w:r w:rsidRPr="00252829">
        <w:rPr>
          <w:rFonts w:ascii="Verdana" w:hAnsi="Verdana"/>
          <w:sz w:val="22"/>
          <w:szCs w:val="22"/>
        </w:rPr>
        <w:t xml:space="preserve"> may not be stored in a foreign jurisdiction but the same information collected for a different purpose may be stored in a foreign jurisdiction. </w:t>
      </w:r>
    </w:p>
    <w:p w:rsidR="00F8608B" w:rsidRPr="00252829" w:rsidRDefault="00F8608B" w:rsidP="00D014D5">
      <w:pPr>
        <w:widowControl w:val="0"/>
        <w:rPr>
          <w:rFonts w:ascii="Verdana" w:hAnsi="Verdana"/>
          <w:sz w:val="22"/>
          <w:szCs w:val="22"/>
        </w:rPr>
      </w:pPr>
    </w:p>
    <w:p w:rsidR="00F8608B" w:rsidRPr="00252829" w:rsidRDefault="00FA2780" w:rsidP="00783450">
      <w:pPr>
        <w:pStyle w:val="ListParagraph"/>
        <w:widowControl w:val="0"/>
        <w:numPr>
          <w:ilvl w:val="0"/>
          <w:numId w:val="7"/>
        </w:numPr>
        <w:rPr>
          <w:rFonts w:ascii="Verdana" w:hAnsi="Verdana"/>
          <w:sz w:val="22"/>
          <w:szCs w:val="22"/>
        </w:rPr>
      </w:pPr>
      <w:r>
        <w:rPr>
          <w:rFonts w:ascii="Verdana" w:hAnsi="Verdana"/>
          <w:sz w:val="22"/>
          <w:szCs w:val="22"/>
        </w:rPr>
        <w:t>On the basis of the above, i</w:t>
      </w:r>
      <w:r w:rsidR="00F8608B" w:rsidRPr="00252829">
        <w:rPr>
          <w:rFonts w:ascii="Verdana" w:hAnsi="Verdana"/>
          <w:sz w:val="22"/>
          <w:szCs w:val="22"/>
        </w:rPr>
        <w:t xml:space="preserve">t is therefore our submission that the proposed inclusion of </w:t>
      </w:r>
      <w:r w:rsidR="00B43137">
        <w:rPr>
          <w:rFonts w:ascii="Verdana" w:hAnsi="Verdana"/>
          <w:sz w:val="22"/>
          <w:szCs w:val="22"/>
        </w:rPr>
        <w:t xml:space="preserve">new </w:t>
      </w:r>
      <w:r w:rsidR="00F8608B" w:rsidRPr="00252829">
        <w:rPr>
          <w:rFonts w:ascii="Verdana" w:hAnsi="Verdana"/>
          <w:sz w:val="22"/>
          <w:szCs w:val="22"/>
        </w:rPr>
        <w:t>section 24(5) of FICA:</w:t>
      </w:r>
    </w:p>
    <w:p w:rsidR="00F8608B" w:rsidRPr="00252829" w:rsidRDefault="00F8608B" w:rsidP="00D014D5">
      <w:pPr>
        <w:widowControl w:val="0"/>
        <w:rPr>
          <w:rFonts w:ascii="Verdana" w:hAnsi="Verdana"/>
          <w:sz w:val="22"/>
          <w:szCs w:val="22"/>
        </w:rPr>
      </w:pPr>
    </w:p>
    <w:p w:rsidR="00F8608B" w:rsidRPr="00252829" w:rsidRDefault="005A047C" w:rsidP="00783450">
      <w:pPr>
        <w:pStyle w:val="ListParagraph"/>
        <w:widowControl w:val="0"/>
        <w:numPr>
          <w:ilvl w:val="1"/>
          <w:numId w:val="7"/>
        </w:numPr>
        <w:contextualSpacing w:val="0"/>
        <w:rPr>
          <w:rFonts w:ascii="Verdana" w:hAnsi="Verdana"/>
          <w:sz w:val="22"/>
          <w:szCs w:val="22"/>
        </w:rPr>
      </w:pPr>
      <w:r>
        <w:rPr>
          <w:rFonts w:ascii="Verdana" w:hAnsi="Verdana"/>
          <w:sz w:val="22"/>
          <w:szCs w:val="22"/>
        </w:rPr>
        <w:t>n</w:t>
      </w:r>
      <w:r w:rsidR="00F8608B" w:rsidRPr="00252829">
        <w:rPr>
          <w:rFonts w:ascii="Verdana" w:hAnsi="Verdana"/>
          <w:sz w:val="22"/>
          <w:szCs w:val="22"/>
        </w:rPr>
        <w:t>egates the</w:t>
      </w:r>
      <w:r>
        <w:rPr>
          <w:rFonts w:ascii="Verdana" w:hAnsi="Verdana"/>
          <w:sz w:val="22"/>
          <w:szCs w:val="22"/>
        </w:rPr>
        <w:t xml:space="preserve"> legislative intent behind</w:t>
      </w:r>
      <w:r w:rsidR="00866C58">
        <w:rPr>
          <w:rFonts w:ascii="Verdana" w:hAnsi="Verdana"/>
          <w:sz w:val="22"/>
          <w:szCs w:val="22"/>
        </w:rPr>
        <w:t xml:space="preserve"> </w:t>
      </w:r>
      <w:r w:rsidR="00F8608B" w:rsidRPr="00252829">
        <w:rPr>
          <w:rFonts w:ascii="Verdana" w:hAnsi="Verdana"/>
          <w:sz w:val="22"/>
          <w:szCs w:val="22"/>
        </w:rPr>
        <w:t>South Africa’s privacy laws</w:t>
      </w:r>
      <w:r>
        <w:rPr>
          <w:rFonts w:ascii="Verdana" w:hAnsi="Verdana"/>
          <w:sz w:val="22"/>
          <w:szCs w:val="22"/>
        </w:rPr>
        <w:t xml:space="preserve">, as the provision undermines, and is in conflict with, </w:t>
      </w:r>
      <w:r w:rsidR="00F8608B" w:rsidRPr="00252829">
        <w:rPr>
          <w:rFonts w:ascii="Verdana" w:hAnsi="Verdana"/>
          <w:sz w:val="22"/>
          <w:szCs w:val="22"/>
        </w:rPr>
        <w:t>the adequate protections afforded by POPI</w:t>
      </w:r>
      <w:r>
        <w:rPr>
          <w:rFonts w:ascii="Verdana" w:hAnsi="Verdana"/>
          <w:sz w:val="22"/>
          <w:szCs w:val="22"/>
        </w:rPr>
        <w:t>;</w:t>
      </w:r>
    </w:p>
    <w:p w:rsidR="00F8608B" w:rsidRPr="00252829" w:rsidRDefault="00F8608B" w:rsidP="00D014D5">
      <w:pPr>
        <w:widowControl w:val="0"/>
        <w:rPr>
          <w:rFonts w:ascii="Verdana" w:hAnsi="Verdana"/>
          <w:sz w:val="22"/>
          <w:szCs w:val="22"/>
        </w:rPr>
      </w:pPr>
    </w:p>
    <w:p w:rsidR="00F8608B" w:rsidRPr="00252829" w:rsidRDefault="00053D09" w:rsidP="00783450">
      <w:pPr>
        <w:pStyle w:val="ListParagraph"/>
        <w:widowControl w:val="0"/>
        <w:numPr>
          <w:ilvl w:val="1"/>
          <w:numId w:val="7"/>
        </w:numPr>
        <w:contextualSpacing w:val="0"/>
        <w:rPr>
          <w:rFonts w:ascii="Verdana" w:hAnsi="Verdana"/>
          <w:sz w:val="22"/>
          <w:szCs w:val="22"/>
        </w:rPr>
      </w:pPr>
      <w:r>
        <w:rPr>
          <w:rFonts w:ascii="Verdana" w:hAnsi="Verdana"/>
          <w:sz w:val="22"/>
          <w:szCs w:val="22"/>
        </w:rPr>
        <w:t>c</w:t>
      </w:r>
      <w:r w:rsidR="00F8608B" w:rsidRPr="00252829">
        <w:rPr>
          <w:rFonts w:ascii="Verdana" w:hAnsi="Verdana"/>
          <w:sz w:val="22"/>
          <w:szCs w:val="22"/>
        </w:rPr>
        <w:t>onstitutes an unjustified limitation on the rights of individuals to conduct their business in the manner they desire, which is not rationally connected to the purpose for which the amendment is sought to be introduced</w:t>
      </w:r>
      <w:r>
        <w:rPr>
          <w:rFonts w:ascii="Verdana" w:hAnsi="Verdana"/>
          <w:sz w:val="22"/>
          <w:szCs w:val="22"/>
        </w:rPr>
        <w:t>;</w:t>
      </w:r>
      <w:r w:rsidR="00F8608B" w:rsidRPr="00252829">
        <w:rPr>
          <w:rFonts w:ascii="Verdana" w:hAnsi="Verdana"/>
          <w:sz w:val="22"/>
          <w:szCs w:val="22"/>
        </w:rPr>
        <w:t xml:space="preserve">  </w:t>
      </w:r>
    </w:p>
    <w:p w:rsidR="00F8608B" w:rsidRPr="00252829" w:rsidRDefault="00F8608B" w:rsidP="00D014D5">
      <w:pPr>
        <w:pStyle w:val="ListParagraph"/>
        <w:widowControl w:val="0"/>
        <w:ind w:left="360"/>
        <w:contextualSpacing w:val="0"/>
        <w:rPr>
          <w:rFonts w:ascii="Verdana" w:hAnsi="Verdana"/>
          <w:sz w:val="22"/>
          <w:szCs w:val="22"/>
        </w:rPr>
      </w:pPr>
    </w:p>
    <w:p w:rsidR="00F8608B" w:rsidRPr="00252829" w:rsidRDefault="006D6F6C" w:rsidP="00783450">
      <w:pPr>
        <w:pStyle w:val="ListParagraph"/>
        <w:widowControl w:val="0"/>
        <w:numPr>
          <w:ilvl w:val="1"/>
          <w:numId w:val="7"/>
        </w:numPr>
        <w:contextualSpacing w:val="0"/>
        <w:rPr>
          <w:rFonts w:ascii="Verdana" w:hAnsi="Verdana"/>
          <w:sz w:val="22"/>
          <w:szCs w:val="22"/>
        </w:rPr>
      </w:pPr>
      <w:r>
        <w:rPr>
          <w:rFonts w:ascii="Verdana" w:hAnsi="Verdana"/>
          <w:sz w:val="22"/>
          <w:szCs w:val="22"/>
        </w:rPr>
        <w:t>i</w:t>
      </w:r>
      <w:r w:rsidR="00F8608B" w:rsidRPr="00252829">
        <w:rPr>
          <w:rFonts w:ascii="Verdana" w:hAnsi="Verdana"/>
          <w:sz w:val="22"/>
          <w:szCs w:val="22"/>
        </w:rPr>
        <w:t>s not rationally connected to the object</w:t>
      </w:r>
      <w:r w:rsidR="00584F75">
        <w:rPr>
          <w:rFonts w:ascii="Verdana" w:hAnsi="Verdana"/>
          <w:sz w:val="22"/>
          <w:szCs w:val="22"/>
        </w:rPr>
        <w:t>ive</w:t>
      </w:r>
      <w:r w:rsidR="00F8608B" w:rsidRPr="00252829">
        <w:rPr>
          <w:rFonts w:ascii="Verdana" w:hAnsi="Verdana"/>
          <w:sz w:val="22"/>
          <w:szCs w:val="22"/>
        </w:rPr>
        <w:t>s of FICA and serves no purpose in that the FIC Amendment Bill proposes an amendment to section 24(1) which already permits record keeping by a third party but strictly conditional upon “the records [being] readily available to the Centre and the relevant supervisory body for the purposes of performing its function in terms of [FICA]</w:t>
      </w:r>
      <w:r w:rsidR="009F0D55">
        <w:rPr>
          <w:rFonts w:ascii="Verdana" w:hAnsi="Verdana"/>
          <w:sz w:val="22"/>
          <w:szCs w:val="22"/>
        </w:rPr>
        <w:t>”</w:t>
      </w:r>
      <w:r w:rsidR="00F8608B" w:rsidRPr="00252829">
        <w:rPr>
          <w:rFonts w:ascii="Verdana" w:hAnsi="Verdana"/>
          <w:sz w:val="22"/>
          <w:szCs w:val="22"/>
        </w:rPr>
        <w:t>.  Clearly therefore, even data which is stored extra-territorially is accessible to the Centre and the relevant supervisory body</w:t>
      </w:r>
      <w:r w:rsidR="00C11394">
        <w:rPr>
          <w:rFonts w:ascii="Verdana" w:hAnsi="Verdana"/>
          <w:sz w:val="22"/>
          <w:szCs w:val="22"/>
        </w:rPr>
        <w:t>; and</w:t>
      </w:r>
      <w:r w:rsidR="00F8608B" w:rsidRPr="00252829">
        <w:rPr>
          <w:rFonts w:ascii="Verdana" w:hAnsi="Verdana"/>
          <w:sz w:val="22"/>
          <w:szCs w:val="22"/>
        </w:rPr>
        <w:t xml:space="preserve">  </w:t>
      </w:r>
    </w:p>
    <w:p w:rsidR="00F8608B" w:rsidRPr="00252829" w:rsidRDefault="00F8608B" w:rsidP="00D014D5">
      <w:pPr>
        <w:pStyle w:val="ListParagraph"/>
        <w:widowControl w:val="0"/>
        <w:contextualSpacing w:val="0"/>
        <w:rPr>
          <w:rFonts w:ascii="Verdana" w:hAnsi="Verdana"/>
          <w:sz w:val="22"/>
          <w:szCs w:val="22"/>
        </w:rPr>
      </w:pPr>
    </w:p>
    <w:p w:rsidR="00276EAB" w:rsidRPr="004A269C" w:rsidRDefault="00C11394" w:rsidP="00783450">
      <w:pPr>
        <w:pStyle w:val="ListParagraph"/>
        <w:widowControl w:val="0"/>
        <w:numPr>
          <w:ilvl w:val="1"/>
          <w:numId w:val="7"/>
        </w:numPr>
        <w:tabs>
          <w:tab w:val="left" w:pos="567"/>
        </w:tabs>
        <w:rPr>
          <w:rFonts w:ascii="Verdana" w:hAnsi="Verdana"/>
          <w:sz w:val="22"/>
          <w:szCs w:val="22"/>
        </w:rPr>
      </w:pPr>
      <w:r w:rsidRPr="009C530F">
        <w:rPr>
          <w:rFonts w:ascii="Verdana" w:hAnsi="Verdana"/>
          <w:sz w:val="22"/>
          <w:szCs w:val="22"/>
        </w:rPr>
        <w:t>d</w:t>
      </w:r>
      <w:r w:rsidR="00F8608B" w:rsidRPr="009C530F">
        <w:rPr>
          <w:rFonts w:ascii="Verdana" w:hAnsi="Verdana"/>
          <w:sz w:val="22"/>
          <w:szCs w:val="22"/>
        </w:rPr>
        <w:t>isregards the substantial costs which will necessarily be incurred to comply with the proposed introduction of section 24(5) some 14 years after the promulgation of FICA.</w:t>
      </w:r>
    </w:p>
    <w:p w:rsidR="00276EAB" w:rsidRDefault="00276EAB" w:rsidP="004A269C">
      <w:pPr>
        <w:pStyle w:val="ListParagraph"/>
        <w:widowControl w:val="0"/>
        <w:tabs>
          <w:tab w:val="left" w:pos="567"/>
        </w:tabs>
        <w:ind w:left="1440" w:firstLine="0"/>
        <w:rPr>
          <w:rFonts w:ascii="Verdana" w:hAnsi="Verdana"/>
          <w:sz w:val="22"/>
          <w:szCs w:val="22"/>
        </w:rPr>
      </w:pPr>
    </w:p>
    <w:p w:rsidR="00D014D5" w:rsidRDefault="00B43137" w:rsidP="00B43137">
      <w:pPr>
        <w:widowControl w:val="0"/>
        <w:ind w:left="720" w:firstLine="0"/>
        <w:rPr>
          <w:rFonts w:ascii="Verdana" w:hAnsi="Verdana"/>
          <w:sz w:val="22"/>
          <w:szCs w:val="22"/>
        </w:rPr>
      </w:pPr>
      <w:r w:rsidRPr="00B43137">
        <w:rPr>
          <w:rFonts w:ascii="Verdana" w:hAnsi="Verdana"/>
          <w:sz w:val="22"/>
          <w:szCs w:val="22"/>
        </w:rPr>
        <w:t>We therefore strongly</w:t>
      </w:r>
      <w:r>
        <w:rPr>
          <w:rFonts w:ascii="Verdana" w:hAnsi="Verdana"/>
          <w:sz w:val="22"/>
          <w:szCs w:val="22"/>
        </w:rPr>
        <w:t xml:space="preserve"> recommend that section 24(5) be deleted.</w:t>
      </w:r>
    </w:p>
    <w:p w:rsidR="00B43137" w:rsidRPr="00B43137" w:rsidRDefault="00B43137" w:rsidP="00B43137">
      <w:pPr>
        <w:widowControl w:val="0"/>
        <w:ind w:left="720" w:firstLine="0"/>
        <w:rPr>
          <w:rFonts w:ascii="Verdana" w:hAnsi="Verdana"/>
          <w:sz w:val="22"/>
          <w:szCs w:val="22"/>
        </w:rPr>
      </w:pPr>
    </w:p>
    <w:p w:rsidR="00B43137" w:rsidRDefault="00B43137" w:rsidP="00D014D5">
      <w:pPr>
        <w:pStyle w:val="ListParagraph"/>
        <w:widowControl w:val="0"/>
        <w:rPr>
          <w:rFonts w:ascii="Verdana" w:hAnsi="Verdana"/>
          <w:sz w:val="22"/>
          <w:szCs w:val="22"/>
        </w:rPr>
      </w:pPr>
    </w:p>
    <w:p w:rsidR="00DD1587" w:rsidRDefault="00DD1587" w:rsidP="00DD1587">
      <w:pPr>
        <w:widowControl w:val="0"/>
        <w:ind w:left="0" w:firstLine="0"/>
        <w:rPr>
          <w:rFonts w:ascii="Verdana" w:hAnsi="Verdana"/>
          <w:b/>
          <w:sz w:val="22"/>
          <w:szCs w:val="22"/>
        </w:rPr>
      </w:pPr>
      <w:r w:rsidRPr="003757A6">
        <w:rPr>
          <w:rFonts w:ascii="Verdana" w:hAnsi="Verdana"/>
          <w:b/>
          <w:sz w:val="22"/>
          <w:szCs w:val="22"/>
        </w:rPr>
        <w:t>Accountable institutions, reporting institutions and persons subject to reporting obligations to advi</w:t>
      </w:r>
      <w:r w:rsidR="00B43137">
        <w:rPr>
          <w:rFonts w:ascii="Verdana" w:hAnsi="Verdana"/>
          <w:b/>
          <w:sz w:val="22"/>
          <w:szCs w:val="22"/>
        </w:rPr>
        <w:t>s</w:t>
      </w:r>
      <w:r w:rsidRPr="003757A6">
        <w:rPr>
          <w:rFonts w:ascii="Verdana" w:hAnsi="Verdana"/>
          <w:b/>
          <w:sz w:val="22"/>
          <w:szCs w:val="22"/>
        </w:rPr>
        <w:t xml:space="preserve">e </w:t>
      </w:r>
      <w:r>
        <w:rPr>
          <w:rFonts w:ascii="Verdana" w:hAnsi="Verdana"/>
          <w:b/>
          <w:sz w:val="22"/>
          <w:szCs w:val="22"/>
        </w:rPr>
        <w:t>FIC</w:t>
      </w:r>
      <w:r w:rsidRPr="003757A6">
        <w:rPr>
          <w:rFonts w:ascii="Verdana" w:hAnsi="Verdana"/>
          <w:b/>
          <w:sz w:val="22"/>
          <w:szCs w:val="22"/>
        </w:rPr>
        <w:t xml:space="preserve"> of clients</w:t>
      </w:r>
    </w:p>
    <w:p w:rsidR="00DD1587" w:rsidRPr="003757A6" w:rsidRDefault="00DD1587" w:rsidP="00DD1587">
      <w:pPr>
        <w:widowControl w:val="0"/>
        <w:ind w:left="0" w:firstLine="0"/>
        <w:rPr>
          <w:rFonts w:ascii="Verdana" w:hAnsi="Verdana"/>
          <w:b/>
          <w:sz w:val="22"/>
          <w:szCs w:val="22"/>
        </w:rPr>
      </w:pPr>
    </w:p>
    <w:p w:rsidR="00DD1587" w:rsidRDefault="00DD1587" w:rsidP="00783450">
      <w:pPr>
        <w:pStyle w:val="ListParagraph"/>
        <w:widowControl w:val="0"/>
        <w:numPr>
          <w:ilvl w:val="0"/>
          <w:numId w:val="7"/>
        </w:numPr>
        <w:rPr>
          <w:rFonts w:ascii="Verdana" w:hAnsi="Verdana"/>
          <w:sz w:val="22"/>
          <w:szCs w:val="22"/>
        </w:rPr>
      </w:pPr>
      <w:r>
        <w:rPr>
          <w:rFonts w:ascii="Verdana" w:hAnsi="Verdana"/>
          <w:sz w:val="22"/>
          <w:szCs w:val="22"/>
        </w:rPr>
        <w:t>Section 18 of the Bill introduces an amendment to section 27 of FICA by introducing sub-section (d) which reads: “</w:t>
      </w:r>
      <w:r w:rsidRPr="001F7EE8">
        <w:rPr>
          <w:rFonts w:ascii="Verdana" w:hAnsi="Verdana"/>
          <w:sz w:val="22"/>
          <w:szCs w:val="22"/>
          <w:lang w:val="en-GB"/>
        </w:rPr>
        <w:t xml:space="preserve">whether a </w:t>
      </w:r>
      <w:r w:rsidRPr="000223E9">
        <w:rPr>
          <w:rFonts w:ascii="Verdana" w:hAnsi="Verdana"/>
          <w:b/>
          <w:sz w:val="22"/>
          <w:szCs w:val="22"/>
          <w:lang w:val="en-GB"/>
        </w:rPr>
        <w:t>number</w:t>
      </w:r>
      <w:r w:rsidRPr="001F7EE8">
        <w:rPr>
          <w:rFonts w:ascii="Verdana" w:hAnsi="Verdana"/>
          <w:sz w:val="22"/>
          <w:szCs w:val="22"/>
          <w:lang w:val="en-GB"/>
        </w:rPr>
        <w:t xml:space="preserve"> specified by the </w:t>
      </w:r>
      <w:r w:rsidRPr="001F7EE8">
        <w:rPr>
          <w:rFonts w:ascii="Verdana" w:hAnsi="Verdana"/>
          <w:sz w:val="22"/>
          <w:szCs w:val="22"/>
          <w:lang w:val="en-GB"/>
        </w:rPr>
        <w:lastRenderedPageBreak/>
        <w:t>Centre was allocated by that accountable institution, reporting institution or person to a person with whom that accountable institution, reporting institution or person has or has had a business relationship</w:t>
      </w:r>
      <w:r>
        <w:rPr>
          <w:rFonts w:ascii="Verdana" w:hAnsi="Verdana"/>
          <w:sz w:val="22"/>
          <w:szCs w:val="22"/>
          <w:lang w:val="en-GB"/>
        </w:rPr>
        <w:t>”</w:t>
      </w:r>
      <w:r>
        <w:rPr>
          <w:rFonts w:ascii="Verdana" w:hAnsi="Verdana"/>
          <w:sz w:val="22"/>
          <w:szCs w:val="22"/>
        </w:rPr>
        <w:t xml:space="preserve"> [emphasis added].  In this provision, reference to “</w:t>
      </w:r>
      <w:r w:rsidRPr="000223E9">
        <w:rPr>
          <w:rFonts w:ascii="Verdana" w:hAnsi="Verdana"/>
          <w:b/>
          <w:sz w:val="22"/>
          <w:szCs w:val="22"/>
        </w:rPr>
        <w:t>number</w:t>
      </w:r>
      <w:r>
        <w:rPr>
          <w:rFonts w:ascii="Verdana" w:hAnsi="Verdana"/>
          <w:sz w:val="22"/>
          <w:szCs w:val="22"/>
        </w:rPr>
        <w:t xml:space="preserve"> […]allocated to a person” is unclear.</w:t>
      </w:r>
    </w:p>
    <w:p w:rsidR="00DD1587" w:rsidRDefault="00DD1587" w:rsidP="004A269C">
      <w:pPr>
        <w:widowControl w:val="0"/>
        <w:tabs>
          <w:tab w:val="left" w:pos="567"/>
        </w:tabs>
        <w:rPr>
          <w:rFonts w:ascii="Verdana" w:hAnsi="Verdana"/>
          <w:b/>
          <w:sz w:val="22"/>
          <w:szCs w:val="22"/>
        </w:rPr>
      </w:pPr>
    </w:p>
    <w:p w:rsidR="007B4300" w:rsidRDefault="007B4300" w:rsidP="007B4300">
      <w:pPr>
        <w:pStyle w:val="ListParagraph"/>
        <w:ind w:hanging="720"/>
        <w:rPr>
          <w:rFonts w:ascii="Verdana" w:hAnsi="Verdana"/>
          <w:b/>
          <w:sz w:val="22"/>
          <w:szCs w:val="22"/>
        </w:rPr>
      </w:pPr>
      <w:r>
        <w:rPr>
          <w:rFonts w:ascii="Verdana" w:hAnsi="Verdana"/>
          <w:b/>
          <w:sz w:val="22"/>
          <w:szCs w:val="22"/>
        </w:rPr>
        <w:t>Accountable institutions</w:t>
      </w:r>
    </w:p>
    <w:p w:rsidR="007B4300" w:rsidRDefault="007B4300" w:rsidP="007B4300">
      <w:pPr>
        <w:pStyle w:val="ListParagraph"/>
        <w:ind w:hanging="720"/>
        <w:rPr>
          <w:rFonts w:ascii="Verdana" w:hAnsi="Verdana"/>
          <w:sz w:val="22"/>
          <w:szCs w:val="22"/>
        </w:rPr>
      </w:pPr>
    </w:p>
    <w:p w:rsidR="00973FCD" w:rsidRDefault="007B4300" w:rsidP="00783450">
      <w:pPr>
        <w:pStyle w:val="ListParagraph"/>
        <w:widowControl w:val="0"/>
        <w:numPr>
          <w:ilvl w:val="0"/>
          <w:numId w:val="7"/>
        </w:numPr>
        <w:tabs>
          <w:tab w:val="left" w:pos="567"/>
        </w:tabs>
        <w:rPr>
          <w:rFonts w:ascii="Verdana" w:hAnsi="Verdana"/>
          <w:sz w:val="22"/>
          <w:szCs w:val="22"/>
        </w:rPr>
      </w:pPr>
      <w:r>
        <w:rPr>
          <w:rFonts w:ascii="Verdana" w:hAnsi="Verdana"/>
          <w:sz w:val="22"/>
          <w:szCs w:val="22"/>
        </w:rPr>
        <w:t>Section 1 of FICA contains a definition of “accountable institution” as m</w:t>
      </w:r>
      <w:r w:rsidR="00B43137">
        <w:rPr>
          <w:rFonts w:ascii="Verdana" w:hAnsi="Verdana"/>
          <w:sz w:val="22"/>
          <w:szCs w:val="22"/>
        </w:rPr>
        <w:t>eaning a person referred to in S</w:t>
      </w:r>
      <w:r>
        <w:rPr>
          <w:rFonts w:ascii="Verdana" w:hAnsi="Verdana"/>
          <w:sz w:val="22"/>
          <w:szCs w:val="22"/>
        </w:rPr>
        <w:t xml:space="preserve">chedule 1 to FICA.  We have significant </w:t>
      </w:r>
      <w:r w:rsidR="00B43137">
        <w:rPr>
          <w:rFonts w:ascii="Verdana" w:hAnsi="Verdana"/>
          <w:sz w:val="22"/>
          <w:szCs w:val="22"/>
        </w:rPr>
        <w:t xml:space="preserve">ongoing </w:t>
      </w:r>
      <w:r>
        <w:rPr>
          <w:rFonts w:ascii="Verdana" w:hAnsi="Verdana"/>
          <w:sz w:val="22"/>
          <w:szCs w:val="22"/>
        </w:rPr>
        <w:t xml:space="preserve">concerns about the formulation of </w:t>
      </w:r>
      <w:r w:rsidR="00B43137">
        <w:rPr>
          <w:rFonts w:ascii="Verdana" w:hAnsi="Verdana"/>
          <w:sz w:val="22"/>
          <w:szCs w:val="22"/>
        </w:rPr>
        <w:t>S</w:t>
      </w:r>
      <w:r>
        <w:rPr>
          <w:rFonts w:ascii="Verdana" w:hAnsi="Verdana"/>
          <w:sz w:val="22"/>
          <w:szCs w:val="22"/>
        </w:rPr>
        <w:t>chedule 1</w:t>
      </w:r>
      <w:r w:rsidR="00B43137">
        <w:rPr>
          <w:rFonts w:ascii="Verdana" w:hAnsi="Verdana"/>
          <w:sz w:val="22"/>
          <w:szCs w:val="22"/>
        </w:rPr>
        <w:t xml:space="preserve"> </w:t>
      </w:r>
      <w:r w:rsidR="00767EBD">
        <w:rPr>
          <w:rFonts w:ascii="Verdana" w:hAnsi="Verdana"/>
          <w:sz w:val="22"/>
          <w:szCs w:val="22"/>
        </w:rPr>
        <w:t xml:space="preserve">and the “unlevel competitive playing fields” it creates, </w:t>
      </w:r>
      <w:r w:rsidR="00B43137">
        <w:rPr>
          <w:rFonts w:ascii="Verdana" w:hAnsi="Verdana"/>
          <w:sz w:val="22"/>
          <w:szCs w:val="22"/>
        </w:rPr>
        <w:t xml:space="preserve">which we have raised over the years </w:t>
      </w:r>
      <w:r w:rsidR="00767EBD">
        <w:rPr>
          <w:rFonts w:ascii="Verdana" w:hAnsi="Verdana"/>
          <w:sz w:val="22"/>
          <w:szCs w:val="22"/>
        </w:rPr>
        <w:t xml:space="preserve">(including to the original draft FIC Bill), </w:t>
      </w:r>
      <w:r w:rsidR="00B43137">
        <w:rPr>
          <w:rFonts w:ascii="Verdana" w:hAnsi="Verdana"/>
          <w:sz w:val="22"/>
          <w:szCs w:val="22"/>
        </w:rPr>
        <w:t>to no avail</w:t>
      </w:r>
      <w:r>
        <w:rPr>
          <w:rFonts w:ascii="Verdana" w:hAnsi="Verdana"/>
          <w:sz w:val="22"/>
          <w:szCs w:val="22"/>
        </w:rPr>
        <w:t xml:space="preserve">.  </w:t>
      </w:r>
      <w:r w:rsidR="00B43137">
        <w:rPr>
          <w:rFonts w:ascii="Verdana" w:hAnsi="Verdana"/>
          <w:sz w:val="22"/>
          <w:szCs w:val="22"/>
        </w:rPr>
        <w:t xml:space="preserve">The Schedule also continues to be non-compliant with the requirements of the FATF Recommendations in certain aspects. </w:t>
      </w:r>
    </w:p>
    <w:p w:rsidR="00973FCD" w:rsidRDefault="00973FCD" w:rsidP="004A269C">
      <w:pPr>
        <w:pStyle w:val="ListParagraph"/>
        <w:widowControl w:val="0"/>
        <w:tabs>
          <w:tab w:val="left" w:pos="567"/>
        </w:tabs>
        <w:ind w:left="525" w:firstLine="0"/>
        <w:rPr>
          <w:rFonts w:ascii="Verdana" w:hAnsi="Verdana"/>
          <w:sz w:val="22"/>
          <w:szCs w:val="22"/>
        </w:rPr>
      </w:pPr>
    </w:p>
    <w:p w:rsidR="00973FCD" w:rsidRDefault="007B4300" w:rsidP="00783450">
      <w:pPr>
        <w:pStyle w:val="ListParagraph"/>
        <w:widowControl w:val="0"/>
        <w:numPr>
          <w:ilvl w:val="0"/>
          <w:numId w:val="7"/>
        </w:numPr>
        <w:tabs>
          <w:tab w:val="left" w:pos="567"/>
        </w:tabs>
        <w:rPr>
          <w:rFonts w:ascii="Verdana" w:hAnsi="Verdana"/>
          <w:sz w:val="22"/>
          <w:szCs w:val="22"/>
        </w:rPr>
      </w:pPr>
      <w:r>
        <w:rPr>
          <w:rFonts w:ascii="Verdana" w:hAnsi="Verdana"/>
          <w:sz w:val="22"/>
          <w:szCs w:val="22"/>
        </w:rPr>
        <w:t xml:space="preserve">FICA is predicated on proposing an AML/CFT requirement, at great cost across the economy, on </w:t>
      </w:r>
      <w:r w:rsidR="00B43137">
        <w:rPr>
          <w:rFonts w:ascii="Verdana" w:hAnsi="Verdana"/>
          <w:sz w:val="22"/>
          <w:szCs w:val="22"/>
        </w:rPr>
        <w:t>certain defined “</w:t>
      </w:r>
      <w:r>
        <w:rPr>
          <w:rFonts w:ascii="Verdana" w:hAnsi="Verdana"/>
          <w:sz w:val="22"/>
          <w:szCs w:val="22"/>
        </w:rPr>
        <w:t>accountable institutions</w:t>
      </w:r>
      <w:r w:rsidR="00B43137">
        <w:rPr>
          <w:rFonts w:ascii="Verdana" w:hAnsi="Verdana"/>
          <w:sz w:val="22"/>
          <w:szCs w:val="22"/>
        </w:rPr>
        <w:t>”</w:t>
      </w:r>
      <w:r>
        <w:rPr>
          <w:rFonts w:ascii="Verdana" w:hAnsi="Verdana"/>
          <w:sz w:val="22"/>
          <w:szCs w:val="22"/>
        </w:rPr>
        <w:t xml:space="preserve">.  However, non-designated entities providing identical products or services have no equivalent compliance obligations and pose significant risk to the economy for both money laundering and terrorist financing as recent events in South Africa have demonstrated.  </w:t>
      </w:r>
    </w:p>
    <w:p w:rsidR="00973FCD" w:rsidRPr="004A269C" w:rsidRDefault="00973FCD" w:rsidP="004A269C">
      <w:pPr>
        <w:pStyle w:val="ListParagraph"/>
        <w:rPr>
          <w:rFonts w:ascii="Verdana" w:hAnsi="Verdana"/>
          <w:sz w:val="22"/>
          <w:szCs w:val="22"/>
        </w:rPr>
      </w:pPr>
    </w:p>
    <w:p w:rsidR="007B4300" w:rsidRDefault="007B4300" w:rsidP="00783450">
      <w:pPr>
        <w:pStyle w:val="ListParagraph"/>
        <w:widowControl w:val="0"/>
        <w:numPr>
          <w:ilvl w:val="0"/>
          <w:numId w:val="7"/>
        </w:numPr>
        <w:tabs>
          <w:tab w:val="left" w:pos="567"/>
        </w:tabs>
        <w:rPr>
          <w:rFonts w:ascii="Verdana" w:hAnsi="Verdana"/>
          <w:sz w:val="22"/>
          <w:szCs w:val="22"/>
        </w:rPr>
      </w:pPr>
      <w:r>
        <w:rPr>
          <w:rFonts w:ascii="Verdana" w:hAnsi="Verdana"/>
          <w:sz w:val="22"/>
          <w:szCs w:val="22"/>
        </w:rPr>
        <w:t xml:space="preserve">We </w:t>
      </w:r>
      <w:r w:rsidR="00767EBD">
        <w:rPr>
          <w:rFonts w:ascii="Verdana" w:hAnsi="Verdana"/>
          <w:sz w:val="22"/>
          <w:szCs w:val="22"/>
        </w:rPr>
        <w:t xml:space="preserve">note </w:t>
      </w:r>
      <w:r>
        <w:rPr>
          <w:rFonts w:ascii="Verdana" w:hAnsi="Verdana"/>
          <w:sz w:val="22"/>
          <w:szCs w:val="22"/>
        </w:rPr>
        <w:t>that paragraphs 383 to 385 of the FATF Mutual Evaluation Report on South Africa dated 26 February 2009 have been ignored.  We quote from the report:</w:t>
      </w:r>
    </w:p>
    <w:p w:rsidR="007B4300" w:rsidRDefault="007B4300" w:rsidP="007B4300">
      <w:pPr>
        <w:pStyle w:val="ListParagraph"/>
        <w:widowControl w:val="0"/>
        <w:tabs>
          <w:tab w:val="left" w:pos="567"/>
        </w:tabs>
        <w:ind w:left="567" w:firstLine="0"/>
        <w:rPr>
          <w:rFonts w:ascii="Verdana" w:hAnsi="Verdana"/>
          <w:sz w:val="22"/>
          <w:szCs w:val="22"/>
        </w:rPr>
      </w:pPr>
    </w:p>
    <w:p w:rsidR="005A1AE3" w:rsidRDefault="007B4300" w:rsidP="005A1AE3">
      <w:pPr>
        <w:pStyle w:val="ListParagraph"/>
        <w:widowControl w:val="0"/>
        <w:tabs>
          <w:tab w:val="left" w:pos="567"/>
        </w:tabs>
        <w:ind w:left="1440" w:hanging="873"/>
        <w:rPr>
          <w:rFonts w:ascii="Verdana" w:hAnsi="Verdana"/>
          <w:sz w:val="22"/>
          <w:szCs w:val="22"/>
        </w:rPr>
      </w:pPr>
      <w:r>
        <w:rPr>
          <w:rFonts w:ascii="Verdana" w:hAnsi="Verdana"/>
          <w:sz w:val="22"/>
          <w:szCs w:val="22"/>
        </w:rPr>
        <w:tab/>
        <w:t>“There are, however, 43 licensed financial service providers which give investment advice and which do not fall within the category of “accountable institution”.  Additionally, the following financial institutions are not accountable institutions for the purposes of [FICA]: finance companies, leasing companies, collective investment scheme custodians, money lenders other than banks, a</w:t>
      </w:r>
      <w:r w:rsidR="00D70F34">
        <w:rPr>
          <w:rFonts w:ascii="Verdana" w:hAnsi="Verdana"/>
          <w:sz w:val="22"/>
          <w:szCs w:val="22"/>
        </w:rPr>
        <w:t>nd</w:t>
      </w:r>
      <w:r>
        <w:rPr>
          <w:rFonts w:ascii="Verdana" w:hAnsi="Verdana"/>
          <w:sz w:val="22"/>
          <w:szCs w:val="22"/>
        </w:rPr>
        <w:t xml:space="preserve"> securities custodians licensed under the FAIS Act (collectively referred to as </w:t>
      </w:r>
      <w:r w:rsidR="009C530F">
        <w:rPr>
          <w:rFonts w:ascii="Verdana" w:hAnsi="Verdana"/>
          <w:sz w:val="22"/>
          <w:szCs w:val="22"/>
        </w:rPr>
        <w:t>“</w:t>
      </w:r>
      <w:r>
        <w:rPr>
          <w:rFonts w:ascii="Verdana" w:hAnsi="Verdana"/>
          <w:sz w:val="22"/>
          <w:szCs w:val="22"/>
        </w:rPr>
        <w:t>unco</w:t>
      </w:r>
      <w:r w:rsidR="005A1AE3">
        <w:rPr>
          <w:rFonts w:ascii="Verdana" w:hAnsi="Verdana"/>
          <w:sz w:val="22"/>
          <w:szCs w:val="22"/>
        </w:rPr>
        <w:t>v</w:t>
      </w:r>
      <w:r>
        <w:rPr>
          <w:rFonts w:ascii="Verdana" w:hAnsi="Verdana"/>
          <w:sz w:val="22"/>
          <w:szCs w:val="22"/>
        </w:rPr>
        <w:t>ered financial institutions”</w:t>
      </w:r>
      <w:r w:rsidR="005A1AE3">
        <w:rPr>
          <w:rFonts w:ascii="Verdana" w:hAnsi="Verdana"/>
          <w:sz w:val="22"/>
          <w:szCs w:val="22"/>
        </w:rPr>
        <w:t>).  These exclusions create a scope issue.  Since the</w:t>
      </w:r>
      <w:r w:rsidR="00D70F34">
        <w:rPr>
          <w:rFonts w:ascii="Verdana" w:hAnsi="Verdana"/>
          <w:sz w:val="22"/>
          <w:szCs w:val="22"/>
        </w:rPr>
        <w:t>y</w:t>
      </w:r>
      <w:r w:rsidR="005A1AE3">
        <w:rPr>
          <w:rFonts w:ascii="Verdana" w:hAnsi="Verdana"/>
          <w:sz w:val="22"/>
          <w:szCs w:val="22"/>
        </w:rPr>
        <w:t xml:space="preserve"> are no</w:t>
      </w:r>
      <w:r w:rsidR="00D70F34">
        <w:rPr>
          <w:rFonts w:ascii="Verdana" w:hAnsi="Verdana"/>
          <w:sz w:val="22"/>
          <w:szCs w:val="22"/>
        </w:rPr>
        <w:t>t</w:t>
      </w:r>
      <w:r w:rsidR="005A1AE3">
        <w:rPr>
          <w:rFonts w:ascii="Verdana" w:hAnsi="Verdana"/>
          <w:sz w:val="22"/>
          <w:szCs w:val="22"/>
        </w:rPr>
        <w:t xml:space="preserve"> accountable institutions, the Uncovered Financial Institutions are not subject to the customer due diligence</w:t>
      </w:r>
      <w:r w:rsidR="00D70F34">
        <w:rPr>
          <w:rFonts w:ascii="Verdana" w:hAnsi="Verdana"/>
          <w:sz w:val="22"/>
          <w:szCs w:val="22"/>
        </w:rPr>
        <w:t xml:space="preserve">, </w:t>
      </w:r>
      <w:r w:rsidR="005A1AE3">
        <w:rPr>
          <w:rFonts w:ascii="Verdana" w:hAnsi="Verdana"/>
          <w:sz w:val="22"/>
          <w:szCs w:val="22"/>
        </w:rPr>
        <w:t xml:space="preserve">record keeping and internal control requirements of [FICA].  These exclusions have not been justified based on demonstrated low risk for ML/FT.” </w:t>
      </w:r>
    </w:p>
    <w:p w:rsidR="005A1AE3" w:rsidRDefault="005A1AE3" w:rsidP="005A1AE3">
      <w:pPr>
        <w:pStyle w:val="ListParagraph"/>
        <w:widowControl w:val="0"/>
        <w:tabs>
          <w:tab w:val="left" w:pos="567"/>
        </w:tabs>
        <w:ind w:left="1440" w:hanging="873"/>
        <w:rPr>
          <w:rFonts w:ascii="Verdana" w:hAnsi="Verdana"/>
          <w:sz w:val="22"/>
          <w:szCs w:val="22"/>
        </w:rPr>
      </w:pPr>
    </w:p>
    <w:p w:rsidR="005A1AE3" w:rsidRDefault="005A1AE3" w:rsidP="00783450">
      <w:pPr>
        <w:pStyle w:val="ListParagraph"/>
        <w:widowControl w:val="0"/>
        <w:numPr>
          <w:ilvl w:val="0"/>
          <w:numId w:val="7"/>
        </w:numPr>
        <w:tabs>
          <w:tab w:val="left" w:pos="567"/>
        </w:tabs>
        <w:rPr>
          <w:rFonts w:ascii="Verdana" w:hAnsi="Verdana"/>
          <w:sz w:val="22"/>
          <w:szCs w:val="22"/>
        </w:rPr>
      </w:pPr>
      <w:r>
        <w:rPr>
          <w:rFonts w:ascii="Verdana" w:hAnsi="Verdana"/>
          <w:sz w:val="22"/>
          <w:szCs w:val="22"/>
        </w:rPr>
        <w:t xml:space="preserve">We also do not believe that the issue was addressed by the amendment of item 12 to </w:t>
      </w:r>
      <w:r w:rsidR="00D70F34">
        <w:rPr>
          <w:rFonts w:ascii="Verdana" w:hAnsi="Verdana"/>
          <w:sz w:val="22"/>
          <w:szCs w:val="22"/>
        </w:rPr>
        <w:t>S</w:t>
      </w:r>
      <w:r>
        <w:rPr>
          <w:rFonts w:ascii="Verdana" w:hAnsi="Verdana"/>
          <w:sz w:val="22"/>
          <w:szCs w:val="22"/>
        </w:rPr>
        <w:t>chedule 1 as it pertains to “a person who carries on the business of a financial services provider requiring authorisation in terms of the Financial Advisory and Intermediary Services Act, 2002” which amendment was introduced by Government Notice No 1104 of 2010 with effect 1 December 2010.</w:t>
      </w:r>
    </w:p>
    <w:p w:rsidR="00D70F34" w:rsidRDefault="00D70F34" w:rsidP="00D70F34">
      <w:pPr>
        <w:pStyle w:val="ListParagraph"/>
        <w:widowControl w:val="0"/>
        <w:tabs>
          <w:tab w:val="left" w:pos="567"/>
        </w:tabs>
        <w:ind w:left="525" w:firstLine="0"/>
        <w:rPr>
          <w:rFonts w:ascii="Verdana" w:hAnsi="Verdana"/>
          <w:sz w:val="22"/>
          <w:szCs w:val="22"/>
        </w:rPr>
      </w:pPr>
    </w:p>
    <w:p w:rsidR="00D70F34" w:rsidRPr="007529E1" w:rsidRDefault="00D70F34" w:rsidP="00783450">
      <w:pPr>
        <w:pStyle w:val="ListParagraph"/>
        <w:widowControl w:val="0"/>
        <w:numPr>
          <w:ilvl w:val="0"/>
          <w:numId w:val="7"/>
        </w:numPr>
        <w:tabs>
          <w:tab w:val="left" w:pos="567"/>
        </w:tabs>
        <w:rPr>
          <w:rFonts w:ascii="Verdana" w:hAnsi="Verdana"/>
          <w:sz w:val="22"/>
          <w:szCs w:val="22"/>
        </w:rPr>
      </w:pPr>
      <w:r w:rsidRPr="007529E1">
        <w:rPr>
          <w:rFonts w:ascii="Verdana" w:hAnsi="Verdana"/>
          <w:sz w:val="22"/>
          <w:szCs w:val="22"/>
        </w:rPr>
        <w:t>It is therefore recommended that, as a matter of urgency, Schedule 1 be reformulated to cover all providers of financial services or products equally, rather than on the basis of authorised legal entity. This would also be consistent with the provisions being contemplated under the new Financial Sector Conduct Authority regulations</w:t>
      </w:r>
      <w:r w:rsidR="00697017">
        <w:rPr>
          <w:rFonts w:ascii="Verdana" w:hAnsi="Verdana"/>
          <w:sz w:val="22"/>
          <w:szCs w:val="22"/>
        </w:rPr>
        <w:t>, currently within NT, which will provide for the regulation of all financial service or product providers on the basis of such products or</w:t>
      </w:r>
      <w:r w:rsidR="002D44B4">
        <w:rPr>
          <w:rFonts w:ascii="Verdana" w:hAnsi="Verdana"/>
          <w:sz w:val="22"/>
          <w:szCs w:val="22"/>
        </w:rPr>
        <w:t xml:space="preserve"> services, not the legal status</w:t>
      </w:r>
      <w:r w:rsidR="00697017">
        <w:rPr>
          <w:rFonts w:ascii="Verdana" w:hAnsi="Verdana"/>
          <w:sz w:val="22"/>
          <w:szCs w:val="22"/>
        </w:rPr>
        <w:t xml:space="preserve"> of the provider</w:t>
      </w:r>
      <w:r w:rsidRPr="007529E1">
        <w:rPr>
          <w:rFonts w:ascii="Verdana" w:hAnsi="Verdana"/>
          <w:sz w:val="22"/>
          <w:szCs w:val="22"/>
        </w:rPr>
        <w:t>.</w:t>
      </w:r>
    </w:p>
    <w:p w:rsidR="00605760" w:rsidRDefault="00605760" w:rsidP="007529E1">
      <w:pPr>
        <w:pStyle w:val="ListParagraph"/>
        <w:widowControl w:val="0"/>
        <w:tabs>
          <w:tab w:val="left" w:pos="567"/>
        </w:tabs>
        <w:ind w:left="0" w:firstLine="0"/>
        <w:rPr>
          <w:rFonts w:ascii="Verdana" w:hAnsi="Verdana"/>
          <w:sz w:val="22"/>
          <w:szCs w:val="22"/>
        </w:rPr>
      </w:pPr>
    </w:p>
    <w:p w:rsidR="003B29DF" w:rsidRDefault="003B29DF" w:rsidP="003B29DF">
      <w:pPr>
        <w:keepNext/>
        <w:widowControl w:val="0"/>
        <w:tabs>
          <w:tab w:val="left" w:pos="567"/>
        </w:tabs>
        <w:ind w:left="0" w:firstLine="0"/>
        <w:rPr>
          <w:rFonts w:ascii="Verdana" w:hAnsi="Verdana"/>
          <w:b/>
          <w:sz w:val="22"/>
          <w:szCs w:val="22"/>
        </w:rPr>
      </w:pPr>
    </w:p>
    <w:p w:rsidR="004E5E99" w:rsidRPr="007529E1" w:rsidRDefault="004E5E99" w:rsidP="003B29DF">
      <w:pPr>
        <w:keepNext/>
        <w:widowControl w:val="0"/>
        <w:tabs>
          <w:tab w:val="left" w:pos="567"/>
        </w:tabs>
        <w:ind w:left="0" w:firstLine="0"/>
        <w:rPr>
          <w:rFonts w:ascii="Verdana" w:hAnsi="Verdana"/>
          <w:b/>
          <w:sz w:val="22"/>
          <w:szCs w:val="22"/>
        </w:rPr>
      </w:pPr>
      <w:r w:rsidRPr="007529E1">
        <w:rPr>
          <w:rFonts w:ascii="Verdana" w:hAnsi="Verdana"/>
          <w:b/>
          <w:sz w:val="22"/>
          <w:szCs w:val="22"/>
        </w:rPr>
        <w:t>Close associates</w:t>
      </w:r>
      <w:r w:rsidR="00892FED" w:rsidRPr="007529E1">
        <w:rPr>
          <w:rFonts w:ascii="Verdana" w:hAnsi="Verdana"/>
          <w:b/>
          <w:sz w:val="22"/>
          <w:szCs w:val="22"/>
        </w:rPr>
        <w:t xml:space="preserve"> and immediate family members</w:t>
      </w:r>
    </w:p>
    <w:p w:rsidR="005A2BDB" w:rsidRPr="005A2BDB" w:rsidRDefault="005A2BDB" w:rsidP="007529E1">
      <w:pPr>
        <w:widowControl w:val="0"/>
        <w:tabs>
          <w:tab w:val="left" w:pos="567"/>
        </w:tabs>
        <w:ind w:left="0" w:firstLine="0"/>
        <w:rPr>
          <w:rFonts w:ascii="Verdana" w:hAnsi="Verdana"/>
          <w:sz w:val="22"/>
          <w:szCs w:val="22"/>
        </w:rPr>
      </w:pPr>
    </w:p>
    <w:p w:rsidR="007529E1" w:rsidRDefault="007529E1" w:rsidP="00783450">
      <w:pPr>
        <w:pStyle w:val="ListParagraph"/>
        <w:widowControl w:val="0"/>
        <w:numPr>
          <w:ilvl w:val="0"/>
          <w:numId w:val="7"/>
        </w:numPr>
        <w:tabs>
          <w:tab w:val="left" w:pos="567"/>
        </w:tabs>
        <w:rPr>
          <w:rFonts w:ascii="Verdana" w:hAnsi="Verdana"/>
          <w:sz w:val="22"/>
          <w:szCs w:val="22"/>
        </w:rPr>
      </w:pPr>
      <w:r w:rsidRPr="007529E1">
        <w:rPr>
          <w:rFonts w:ascii="Verdana" w:hAnsi="Verdana"/>
          <w:sz w:val="22"/>
          <w:szCs w:val="22"/>
        </w:rPr>
        <w:t>Section 21H renders the provisions of section 21F and 21G applicable to immediate family members and “known close associates” of a person in a foreign or domestic prominent position.  To give clarity we proposed above that the term “known-close associate” be defined.</w:t>
      </w:r>
      <w:r>
        <w:rPr>
          <w:rFonts w:ascii="Verdana" w:hAnsi="Verdana"/>
          <w:sz w:val="22"/>
          <w:szCs w:val="22"/>
        </w:rPr>
        <w:t xml:space="preserve"> </w:t>
      </w:r>
    </w:p>
    <w:p w:rsidR="007529E1" w:rsidRDefault="007529E1" w:rsidP="007529E1">
      <w:pPr>
        <w:pStyle w:val="ListParagraph"/>
        <w:widowControl w:val="0"/>
        <w:tabs>
          <w:tab w:val="left" w:pos="567"/>
        </w:tabs>
        <w:ind w:left="525" w:firstLine="0"/>
        <w:rPr>
          <w:rFonts w:ascii="Verdana" w:hAnsi="Verdana"/>
          <w:sz w:val="22"/>
          <w:szCs w:val="22"/>
        </w:rPr>
      </w:pPr>
    </w:p>
    <w:p w:rsidR="00892FED" w:rsidRDefault="00892FED" w:rsidP="00783450">
      <w:pPr>
        <w:pStyle w:val="ListParagraph"/>
        <w:widowControl w:val="0"/>
        <w:numPr>
          <w:ilvl w:val="0"/>
          <w:numId w:val="7"/>
        </w:numPr>
        <w:tabs>
          <w:tab w:val="left" w:pos="567"/>
        </w:tabs>
        <w:rPr>
          <w:rFonts w:ascii="Verdana" w:hAnsi="Verdana"/>
          <w:sz w:val="22"/>
          <w:szCs w:val="22"/>
        </w:rPr>
      </w:pPr>
      <w:r w:rsidRPr="007529E1">
        <w:rPr>
          <w:rFonts w:ascii="Verdana" w:hAnsi="Verdana"/>
          <w:sz w:val="22"/>
          <w:szCs w:val="22"/>
        </w:rPr>
        <w:t xml:space="preserve">The Bill </w:t>
      </w:r>
      <w:r w:rsidR="000862A2" w:rsidRPr="007529E1">
        <w:rPr>
          <w:rFonts w:ascii="Verdana" w:hAnsi="Verdana"/>
          <w:sz w:val="22"/>
          <w:szCs w:val="22"/>
        </w:rPr>
        <w:t>propose</w:t>
      </w:r>
      <w:r w:rsidRPr="007529E1">
        <w:rPr>
          <w:rFonts w:ascii="Verdana" w:hAnsi="Verdana"/>
          <w:sz w:val="22"/>
          <w:szCs w:val="22"/>
        </w:rPr>
        <w:t>s</w:t>
      </w:r>
      <w:r w:rsidR="000862A2" w:rsidRPr="007529E1">
        <w:rPr>
          <w:rFonts w:ascii="Verdana" w:hAnsi="Verdana"/>
          <w:sz w:val="22"/>
          <w:szCs w:val="22"/>
        </w:rPr>
        <w:t xml:space="preserve"> that section 21H, expanding the obligations imposed by sections 21F and 21G to “immediate family members” </w:t>
      </w:r>
      <w:r w:rsidRPr="007529E1">
        <w:rPr>
          <w:rFonts w:ascii="Verdana" w:hAnsi="Verdana"/>
          <w:sz w:val="22"/>
          <w:szCs w:val="22"/>
        </w:rPr>
        <w:t>also applies to</w:t>
      </w:r>
      <w:r w:rsidR="000862A2" w:rsidRPr="007529E1">
        <w:rPr>
          <w:rFonts w:ascii="Verdana" w:hAnsi="Verdana"/>
          <w:sz w:val="22"/>
          <w:szCs w:val="22"/>
        </w:rPr>
        <w:t xml:space="preserve"> “the previous spouse, civil partner</w:t>
      </w:r>
      <w:r w:rsidR="00F648F0" w:rsidRPr="007529E1">
        <w:rPr>
          <w:rFonts w:ascii="Verdana" w:hAnsi="Verdana"/>
          <w:sz w:val="22"/>
          <w:szCs w:val="22"/>
        </w:rPr>
        <w:t xml:space="preserve"> or life partner, if applicable</w:t>
      </w:r>
      <w:r w:rsidRPr="007529E1">
        <w:rPr>
          <w:rFonts w:ascii="Verdana" w:hAnsi="Verdana"/>
          <w:sz w:val="22"/>
          <w:szCs w:val="22"/>
        </w:rPr>
        <w:t>”</w:t>
      </w:r>
      <w:r w:rsidR="00F648F0" w:rsidRPr="007529E1">
        <w:rPr>
          <w:rFonts w:ascii="Verdana" w:hAnsi="Verdana"/>
          <w:sz w:val="22"/>
          <w:szCs w:val="22"/>
        </w:rPr>
        <w:t xml:space="preserve">, of a person in a foreign or domestic prominent position.  </w:t>
      </w:r>
      <w:r w:rsidR="00D70F34" w:rsidRPr="007529E1">
        <w:rPr>
          <w:rFonts w:ascii="Verdana" w:hAnsi="Verdana"/>
          <w:sz w:val="22"/>
          <w:szCs w:val="22"/>
        </w:rPr>
        <w:t>The concept “previous” in this context is not defined, and could prove impossible to implement. Furthermore, h</w:t>
      </w:r>
      <w:r w:rsidR="00F648F0" w:rsidRPr="007529E1">
        <w:rPr>
          <w:rFonts w:ascii="Verdana" w:hAnsi="Verdana"/>
          <w:sz w:val="22"/>
          <w:szCs w:val="22"/>
        </w:rPr>
        <w:t>aving regard to other jurisdictions and the definition of “immediate family members” in those jurisdictions, we propose that this reference in section 21H(2)(b) be deleted</w:t>
      </w:r>
      <w:r w:rsidR="00D70F34" w:rsidRPr="007529E1">
        <w:rPr>
          <w:rFonts w:ascii="Verdana" w:hAnsi="Verdana"/>
          <w:sz w:val="22"/>
          <w:szCs w:val="22"/>
        </w:rPr>
        <w:t xml:space="preserve">, including </w:t>
      </w:r>
      <w:r w:rsidR="007529E1">
        <w:rPr>
          <w:rFonts w:ascii="Verdana" w:hAnsi="Verdana"/>
          <w:sz w:val="22"/>
          <w:szCs w:val="22"/>
        </w:rPr>
        <w:t xml:space="preserve">due to </w:t>
      </w:r>
      <w:r w:rsidR="00D70F34" w:rsidRPr="007529E1">
        <w:rPr>
          <w:rFonts w:ascii="Verdana" w:hAnsi="Verdana"/>
          <w:sz w:val="22"/>
          <w:szCs w:val="22"/>
        </w:rPr>
        <w:t>the lack of any state databases or registers of civil or life partners for verification purposes</w:t>
      </w:r>
      <w:r w:rsidR="00F648F0" w:rsidRPr="007529E1">
        <w:rPr>
          <w:rFonts w:ascii="Verdana" w:hAnsi="Verdana"/>
          <w:sz w:val="22"/>
          <w:szCs w:val="22"/>
        </w:rPr>
        <w:t xml:space="preserve">.  </w:t>
      </w:r>
    </w:p>
    <w:p w:rsidR="007529E1" w:rsidRPr="007529E1" w:rsidRDefault="007529E1" w:rsidP="007529E1">
      <w:pPr>
        <w:pStyle w:val="ListParagraph"/>
        <w:rPr>
          <w:rFonts w:ascii="Verdana" w:hAnsi="Verdana"/>
          <w:sz w:val="22"/>
          <w:szCs w:val="22"/>
        </w:rPr>
      </w:pPr>
    </w:p>
    <w:p w:rsidR="00892FED" w:rsidRDefault="00F648F0" w:rsidP="00783450">
      <w:pPr>
        <w:pStyle w:val="ListParagraph"/>
        <w:widowControl w:val="0"/>
        <w:numPr>
          <w:ilvl w:val="0"/>
          <w:numId w:val="7"/>
        </w:numPr>
        <w:tabs>
          <w:tab w:val="left" w:pos="567"/>
        </w:tabs>
        <w:rPr>
          <w:rFonts w:ascii="Verdana" w:hAnsi="Verdana"/>
          <w:sz w:val="22"/>
          <w:szCs w:val="22"/>
        </w:rPr>
      </w:pPr>
      <w:r w:rsidRPr="007529E1">
        <w:rPr>
          <w:rFonts w:ascii="Verdana" w:hAnsi="Verdana"/>
          <w:sz w:val="22"/>
          <w:szCs w:val="22"/>
        </w:rPr>
        <w:t xml:space="preserve">The JMLSG Guidance defines “immediate family members” as including a spouse, a partner, children and their spouses or partners; and the parents.  </w:t>
      </w:r>
    </w:p>
    <w:p w:rsidR="007529E1" w:rsidRPr="007529E1" w:rsidRDefault="007529E1" w:rsidP="007529E1">
      <w:pPr>
        <w:pStyle w:val="ListParagraph"/>
        <w:rPr>
          <w:rFonts w:ascii="Verdana" w:hAnsi="Verdana"/>
          <w:sz w:val="22"/>
          <w:szCs w:val="22"/>
        </w:rPr>
      </w:pPr>
    </w:p>
    <w:p w:rsidR="004E5E99" w:rsidRDefault="00F648F0" w:rsidP="00783450">
      <w:pPr>
        <w:pStyle w:val="ListParagraph"/>
        <w:widowControl w:val="0"/>
        <w:numPr>
          <w:ilvl w:val="0"/>
          <w:numId w:val="7"/>
        </w:numPr>
        <w:tabs>
          <w:tab w:val="left" w:pos="567"/>
        </w:tabs>
        <w:rPr>
          <w:rFonts w:ascii="Verdana" w:hAnsi="Verdana"/>
          <w:sz w:val="22"/>
          <w:szCs w:val="22"/>
        </w:rPr>
      </w:pPr>
      <w:r w:rsidRPr="007529E1">
        <w:rPr>
          <w:rFonts w:ascii="Verdana" w:hAnsi="Verdana"/>
          <w:sz w:val="22"/>
          <w:szCs w:val="22"/>
        </w:rPr>
        <w:t>The FinCen Guidance in the United States defines “immediate family members” in 31CFR1010.605(p)(2)(ii) as “spouses, parents, siblings, children and spouses parents and siblings”.</w:t>
      </w:r>
    </w:p>
    <w:p w:rsidR="007529E1" w:rsidRPr="007529E1" w:rsidRDefault="007529E1" w:rsidP="007529E1">
      <w:pPr>
        <w:pStyle w:val="ListParagraph"/>
        <w:rPr>
          <w:rFonts w:ascii="Verdana" w:hAnsi="Verdana"/>
          <w:sz w:val="22"/>
          <w:szCs w:val="22"/>
        </w:rPr>
      </w:pPr>
    </w:p>
    <w:p w:rsidR="007529E1" w:rsidRPr="007529E1" w:rsidRDefault="007529E1" w:rsidP="00783450">
      <w:pPr>
        <w:pStyle w:val="ListParagraph"/>
        <w:widowControl w:val="0"/>
        <w:numPr>
          <w:ilvl w:val="0"/>
          <w:numId w:val="7"/>
        </w:numPr>
        <w:tabs>
          <w:tab w:val="left" w:pos="567"/>
        </w:tabs>
        <w:rPr>
          <w:rFonts w:ascii="Verdana" w:hAnsi="Verdana"/>
          <w:sz w:val="22"/>
          <w:szCs w:val="22"/>
        </w:rPr>
      </w:pPr>
      <w:r>
        <w:rPr>
          <w:rFonts w:ascii="Verdana" w:hAnsi="Verdana"/>
          <w:sz w:val="22"/>
          <w:szCs w:val="22"/>
        </w:rPr>
        <w:t>In contrast to most of the developed, Western world, South Africa is a traditionally polygamist society, and the inclusion of a person’s step-siblings, and their spouses (and parents?), in the context of PEP’s or PIP’s, stands to expand the range of potential high risk identification and verification requirements substantially. It is unclear how this will be implemented in practice, absent any state-provided registers or databases of such relationships. Further discussion is required</w:t>
      </w:r>
      <w:r w:rsidR="00944F9E">
        <w:rPr>
          <w:rFonts w:ascii="Verdana" w:hAnsi="Verdana"/>
          <w:sz w:val="22"/>
          <w:szCs w:val="22"/>
        </w:rPr>
        <w:t xml:space="preserve"> in this context, alternatively the words “step sibling and their spouse, civil partner or life partner” should be deleted from new subsection 21H(2)(e) in order to balance the approach to mitigating risks and the need for effective service provision.</w:t>
      </w:r>
      <w:r>
        <w:rPr>
          <w:rFonts w:ascii="Verdana" w:hAnsi="Verdana"/>
          <w:sz w:val="22"/>
          <w:szCs w:val="22"/>
        </w:rPr>
        <w:t xml:space="preserve">   </w:t>
      </w:r>
    </w:p>
    <w:p w:rsidR="00D70F34" w:rsidRDefault="00D70F34" w:rsidP="004A269C">
      <w:pPr>
        <w:widowControl w:val="0"/>
        <w:tabs>
          <w:tab w:val="left" w:pos="567"/>
        </w:tabs>
        <w:ind w:left="506" w:hanging="506"/>
        <w:rPr>
          <w:rFonts w:ascii="Verdana" w:hAnsi="Verdana"/>
          <w:sz w:val="22"/>
          <w:szCs w:val="22"/>
        </w:rPr>
      </w:pPr>
    </w:p>
    <w:p w:rsidR="006D4C83" w:rsidRPr="006D4C83" w:rsidRDefault="006D4C83" w:rsidP="006D4C83">
      <w:pPr>
        <w:pStyle w:val="ListParagraph"/>
        <w:widowControl w:val="0"/>
        <w:tabs>
          <w:tab w:val="left" w:pos="567"/>
        </w:tabs>
        <w:ind w:left="1418" w:firstLine="0"/>
        <w:rPr>
          <w:rFonts w:ascii="Verdana" w:hAnsi="Verdana"/>
          <w:sz w:val="22"/>
          <w:szCs w:val="22"/>
        </w:rPr>
      </w:pPr>
    </w:p>
    <w:p w:rsidR="000F5523" w:rsidRPr="004A269C" w:rsidRDefault="000F5523" w:rsidP="004A269C">
      <w:pPr>
        <w:widowControl w:val="0"/>
        <w:tabs>
          <w:tab w:val="left" w:pos="567"/>
        </w:tabs>
        <w:ind w:hanging="720"/>
        <w:rPr>
          <w:rFonts w:ascii="Verdana" w:hAnsi="Verdana"/>
          <w:sz w:val="22"/>
          <w:szCs w:val="22"/>
        </w:rPr>
      </w:pPr>
      <w:r w:rsidRPr="004A269C">
        <w:rPr>
          <w:rFonts w:ascii="Verdana" w:hAnsi="Verdana"/>
          <w:b/>
          <w:sz w:val="22"/>
          <w:szCs w:val="22"/>
        </w:rPr>
        <w:t>Additional due diligence measures relating to corporate vehicles</w:t>
      </w:r>
    </w:p>
    <w:p w:rsidR="006D4C83" w:rsidRPr="006D4C83" w:rsidRDefault="006D4C83" w:rsidP="006D4C83">
      <w:pPr>
        <w:pStyle w:val="ListParagraph"/>
        <w:widowControl w:val="0"/>
        <w:tabs>
          <w:tab w:val="left" w:pos="567"/>
        </w:tabs>
        <w:ind w:left="567" w:firstLine="0"/>
        <w:rPr>
          <w:rFonts w:ascii="Verdana" w:hAnsi="Verdana"/>
          <w:sz w:val="22"/>
          <w:szCs w:val="22"/>
        </w:rPr>
      </w:pPr>
    </w:p>
    <w:p w:rsidR="000F5523" w:rsidRPr="004A269C" w:rsidRDefault="000F5523" w:rsidP="00783450">
      <w:pPr>
        <w:pStyle w:val="ListParagraph"/>
        <w:widowControl w:val="0"/>
        <w:numPr>
          <w:ilvl w:val="0"/>
          <w:numId w:val="7"/>
        </w:numPr>
        <w:tabs>
          <w:tab w:val="left" w:pos="567"/>
        </w:tabs>
        <w:rPr>
          <w:rFonts w:ascii="Verdana" w:hAnsi="Verdana"/>
          <w:sz w:val="22"/>
          <w:szCs w:val="22"/>
        </w:rPr>
      </w:pPr>
      <w:r w:rsidRPr="004A269C">
        <w:rPr>
          <w:rFonts w:ascii="Verdana" w:hAnsi="Verdana"/>
          <w:sz w:val="22"/>
          <w:szCs w:val="22"/>
        </w:rPr>
        <w:t>Section 10 of the Bill seeks to introduce a new section 21B in the Act which requires additional due diligence measures relating to legal persons, trusts and partnerships.  We submit that the concepts of principal and agent are confused in this section inasmuch as the additional due diligence measures are triggered when a client contemplated in section 21 “is a legal or a natural person acting or purporting to act on behalf of a partnership, trust or similar arrangement between natural persons”.  We suggest that in such instance the actual client of the accountable institution is indeed the “partnership, trust or similar arrangement between natural persons”.  The section should be amended as appropriate.</w:t>
      </w:r>
    </w:p>
    <w:p w:rsidR="006D4C83" w:rsidRPr="006D4C83" w:rsidRDefault="006D4C83" w:rsidP="006D4C83">
      <w:pPr>
        <w:pStyle w:val="ListParagraph"/>
        <w:widowControl w:val="0"/>
        <w:tabs>
          <w:tab w:val="left" w:pos="567"/>
        </w:tabs>
        <w:ind w:left="1418" w:firstLine="0"/>
        <w:rPr>
          <w:rFonts w:ascii="Verdana" w:hAnsi="Verdana"/>
          <w:sz w:val="22"/>
          <w:szCs w:val="22"/>
        </w:rPr>
      </w:pPr>
    </w:p>
    <w:p w:rsidR="00821D35" w:rsidRDefault="00821D35" w:rsidP="00821D35">
      <w:pPr>
        <w:widowControl w:val="0"/>
        <w:ind w:left="0" w:firstLine="0"/>
        <w:rPr>
          <w:rFonts w:ascii="Verdana" w:hAnsi="Verdana"/>
          <w:sz w:val="22"/>
          <w:szCs w:val="22"/>
        </w:rPr>
      </w:pPr>
      <w:r>
        <w:rPr>
          <w:rFonts w:ascii="Verdana" w:hAnsi="Verdana"/>
          <w:b/>
          <w:sz w:val="22"/>
          <w:szCs w:val="22"/>
        </w:rPr>
        <w:t>Exemptions</w:t>
      </w:r>
      <w:r w:rsidR="00973FCD">
        <w:rPr>
          <w:rFonts w:ascii="Verdana" w:hAnsi="Verdana"/>
          <w:b/>
          <w:sz w:val="22"/>
          <w:szCs w:val="22"/>
        </w:rPr>
        <w:t xml:space="preserve"> and consultation</w:t>
      </w:r>
    </w:p>
    <w:p w:rsidR="00821D35" w:rsidRPr="00652E7A" w:rsidRDefault="00821D35" w:rsidP="00973FCD">
      <w:pPr>
        <w:widowControl w:val="0"/>
        <w:ind w:left="567" w:hanging="567"/>
        <w:rPr>
          <w:rFonts w:ascii="Verdana" w:hAnsi="Verdana"/>
          <w:sz w:val="22"/>
          <w:szCs w:val="22"/>
        </w:rPr>
      </w:pPr>
    </w:p>
    <w:p w:rsidR="00944F9E" w:rsidRPr="00944F9E" w:rsidRDefault="00821D35" w:rsidP="00783450">
      <w:pPr>
        <w:pStyle w:val="ListParagraph"/>
        <w:widowControl w:val="0"/>
        <w:numPr>
          <w:ilvl w:val="0"/>
          <w:numId w:val="7"/>
        </w:numPr>
        <w:rPr>
          <w:rFonts w:ascii="Verdana" w:hAnsi="Verdana"/>
          <w:sz w:val="22"/>
          <w:szCs w:val="22"/>
        </w:rPr>
      </w:pPr>
      <w:r w:rsidRPr="00944F9E">
        <w:rPr>
          <w:rFonts w:ascii="Verdana" w:hAnsi="Verdana"/>
          <w:sz w:val="22"/>
          <w:szCs w:val="22"/>
        </w:rPr>
        <w:t xml:space="preserve">In the FATF Mutual Evaluation Report at page 226, paragraph 3.2, it was recommended that the South African authorities review the provisions of the </w:t>
      </w:r>
      <w:r w:rsidRPr="00944F9E">
        <w:rPr>
          <w:rFonts w:ascii="Verdana" w:hAnsi="Verdana"/>
          <w:sz w:val="22"/>
          <w:szCs w:val="22"/>
        </w:rPr>
        <w:lastRenderedPageBreak/>
        <w:t xml:space="preserve">current Exemptions to FICA to ensure that current practices of exempting full CDD requirements in situations where the application of simplified or reduced due diligence would be more appropriate, are addressed.  Many of the current Exemptions facilitate compliance with FICA and ensure meaningful implementation of the legislation.  </w:t>
      </w:r>
    </w:p>
    <w:p w:rsidR="00821D35" w:rsidRDefault="00821D35" w:rsidP="00973FCD">
      <w:pPr>
        <w:pStyle w:val="ListParagraph"/>
        <w:widowControl w:val="0"/>
        <w:ind w:left="567" w:hanging="567"/>
        <w:rPr>
          <w:rFonts w:ascii="Verdana" w:hAnsi="Verdana"/>
          <w:sz w:val="22"/>
          <w:szCs w:val="22"/>
        </w:rPr>
      </w:pPr>
    </w:p>
    <w:p w:rsidR="00821D35" w:rsidRPr="00944F9E" w:rsidRDefault="00821D35" w:rsidP="00783450">
      <w:pPr>
        <w:pStyle w:val="ListParagraph"/>
        <w:widowControl w:val="0"/>
        <w:numPr>
          <w:ilvl w:val="0"/>
          <w:numId w:val="7"/>
        </w:numPr>
        <w:rPr>
          <w:rFonts w:ascii="Verdana" w:hAnsi="Verdana"/>
          <w:sz w:val="22"/>
          <w:szCs w:val="22"/>
        </w:rPr>
      </w:pPr>
      <w:r w:rsidRPr="00944F9E">
        <w:rPr>
          <w:rFonts w:ascii="Verdana" w:hAnsi="Verdana"/>
          <w:sz w:val="22"/>
          <w:szCs w:val="22"/>
        </w:rPr>
        <w:t xml:space="preserve">It is clear that the Money Laundering Control Regulations and the Exemptions will need to be reviewed and significantly amended in light of the provisions in the Bill, if enacted.  </w:t>
      </w:r>
    </w:p>
    <w:p w:rsidR="00821D35" w:rsidRPr="000223E9" w:rsidRDefault="00821D35" w:rsidP="00973FCD">
      <w:pPr>
        <w:pStyle w:val="ListParagraph"/>
        <w:ind w:left="567" w:hanging="567"/>
        <w:rPr>
          <w:rFonts w:ascii="Verdana" w:hAnsi="Verdana"/>
          <w:sz w:val="22"/>
          <w:szCs w:val="22"/>
        </w:rPr>
      </w:pPr>
    </w:p>
    <w:p w:rsidR="00973FCD" w:rsidRDefault="0037213F" w:rsidP="00783450">
      <w:pPr>
        <w:pStyle w:val="ListParagraph"/>
        <w:widowControl w:val="0"/>
        <w:numPr>
          <w:ilvl w:val="0"/>
          <w:numId w:val="7"/>
        </w:numPr>
        <w:tabs>
          <w:tab w:val="left" w:pos="567"/>
        </w:tabs>
        <w:rPr>
          <w:rFonts w:ascii="Verdana" w:hAnsi="Verdana"/>
          <w:sz w:val="22"/>
          <w:szCs w:val="22"/>
        </w:rPr>
      </w:pPr>
      <w:r>
        <w:rPr>
          <w:rFonts w:ascii="Verdana" w:hAnsi="Verdana"/>
          <w:sz w:val="22"/>
          <w:szCs w:val="22"/>
        </w:rPr>
        <w:t>To ensure</w:t>
      </w:r>
      <w:r w:rsidR="00973FCD">
        <w:rPr>
          <w:rFonts w:ascii="Verdana" w:hAnsi="Verdana"/>
          <w:sz w:val="22"/>
          <w:szCs w:val="22"/>
        </w:rPr>
        <w:t xml:space="preserve"> proper consultation by NT, the FIC and the </w:t>
      </w:r>
      <w:r w:rsidR="00944F9E">
        <w:rPr>
          <w:rFonts w:ascii="Verdana" w:hAnsi="Verdana"/>
          <w:sz w:val="22"/>
          <w:szCs w:val="22"/>
        </w:rPr>
        <w:t>regulators/supervisors</w:t>
      </w:r>
      <w:r w:rsidR="00973FCD">
        <w:rPr>
          <w:rFonts w:ascii="Verdana" w:hAnsi="Verdana"/>
          <w:sz w:val="22"/>
          <w:szCs w:val="22"/>
        </w:rPr>
        <w:t xml:space="preserve"> </w:t>
      </w:r>
      <w:r w:rsidR="00944F9E">
        <w:rPr>
          <w:rFonts w:ascii="Verdana" w:hAnsi="Verdana"/>
          <w:sz w:val="22"/>
          <w:szCs w:val="22"/>
        </w:rPr>
        <w:t xml:space="preserve">on new regulations, guidance and the transition from </w:t>
      </w:r>
      <w:r w:rsidR="00783450">
        <w:rPr>
          <w:rFonts w:ascii="Verdana" w:hAnsi="Verdana"/>
          <w:sz w:val="22"/>
          <w:szCs w:val="22"/>
        </w:rPr>
        <w:t xml:space="preserve">current framework to the </w:t>
      </w:r>
      <w:r w:rsidR="00944F9E">
        <w:rPr>
          <w:rFonts w:ascii="Verdana" w:hAnsi="Verdana"/>
          <w:sz w:val="22"/>
          <w:szCs w:val="22"/>
        </w:rPr>
        <w:t>new</w:t>
      </w:r>
      <w:r w:rsidR="00783450">
        <w:rPr>
          <w:rFonts w:ascii="Verdana" w:hAnsi="Verdana"/>
          <w:sz w:val="22"/>
          <w:szCs w:val="22"/>
        </w:rPr>
        <w:t xml:space="preserve"> one</w:t>
      </w:r>
      <w:r w:rsidR="00944F9E">
        <w:rPr>
          <w:rFonts w:ascii="Verdana" w:hAnsi="Verdana"/>
          <w:sz w:val="22"/>
          <w:szCs w:val="22"/>
        </w:rPr>
        <w:t xml:space="preserve">, </w:t>
      </w:r>
      <w:r w:rsidR="00783450">
        <w:rPr>
          <w:rFonts w:ascii="Verdana" w:hAnsi="Verdana"/>
          <w:sz w:val="22"/>
          <w:szCs w:val="22"/>
        </w:rPr>
        <w:t xml:space="preserve">including the </w:t>
      </w:r>
      <w:r w:rsidR="00973FCD">
        <w:rPr>
          <w:rFonts w:ascii="Verdana" w:hAnsi="Verdana"/>
          <w:sz w:val="22"/>
          <w:szCs w:val="22"/>
        </w:rPr>
        <w:t>wide range of industries to which the Financial Intelligence Centre Act applies</w:t>
      </w:r>
      <w:r>
        <w:rPr>
          <w:rFonts w:ascii="Verdana" w:hAnsi="Verdana"/>
          <w:sz w:val="22"/>
          <w:szCs w:val="22"/>
        </w:rPr>
        <w:t>, we propose the insertion of provisions into the Bill similar to sections 97 to 104 and section 278 of the Financial Sector Regulation Bill [B34/2015]</w:t>
      </w:r>
      <w:r w:rsidR="00783450">
        <w:rPr>
          <w:rFonts w:ascii="Verdana" w:hAnsi="Verdana"/>
          <w:sz w:val="22"/>
          <w:szCs w:val="22"/>
        </w:rPr>
        <w:t xml:space="preserve"> which is also currently being considered by the Portfolio Committee</w:t>
      </w:r>
      <w:r w:rsidR="00973FCD">
        <w:rPr>
          <w:rFonts w:ascii="Verdana" w:hAnsi="Verdana"/>
          <w:sz w:val="22"/>
          <w:szCs w:val="22"/>
        </w:rPr>
        <w:t xml:space="preserve">.   </w:t>
      </w:r>
    </w:p>
    <w:p w:rsidR="00973FCD" w:rsidRDefault="00973FCD" w:rsidP="00973FCD">
      <w:pPr>
        <w:pStyle w:val="ListParagraph"/>
        <w:widowControl w:val="0"/>
        <w:ind w:left="567" w:hanging="567"/>
        <w:rPr>
          <w:rFonts w:ascii="Verdana" w:hAnsi="Verdana"/>
          <w:sz w:val="22"/>
          <w:szCs w:val="22"/>
        </w:rPr>
      </w:pPr>
    </w:p>
    <w:p w:rsidR="00821D35" w:rsidRPr="00652E7A" w:rsidRDefault="00821D35" w:rsidP="00821D35">
      <w:pPr>
        <w:widowControl w:val="0"/>
        <w:rPr>
          <w:rFonts w:ascii="Verdana" w:hAnsi="Verdana"/>
          <w:b/>
          <w:sz w:val="22"/>
          <w:szCs w:val="22"/>
        </w:rPr>
      </w:pPr>
      <w:r>
        <w:rPr>
          <w:rFonts w:ascii="Verdana" w:hAnsi="Verdana"/>
          <w:b/>
          <w:sz w:val="22"/>
          <w:szCs w:val="22"/>
        </w:rPr>
        <w:t>Penalties and sanctions</w:t>
      </w:r>
    </w:p>
    <w:p w:rsidR="00821D35" w:rsidRPr="00652E7A" w:rsidRDefault="00821D35" w:rsidP="00821D35">
      <w:pPr>
        <w:pStyle w:val="ListParagraph"/>
        <w:rPr>
          <w:rFonts w:ascii="Verdana" w:hAnsi="Verdana"/>
          <w:sz w:val="22"/>
          <w:szCs w:val="22"/>
        </w:rPr>
      </w:pPr>
    </w:p>
    <w:p w:rsidR="00821D35" w:rsidRDefault="00821D35" w:rsidP="00783450">
      <w:pPr>
        <w:pStyle w:val="ListParagraph"/>
        <w:widowControl w:val="0"/>
        <w:numPr>
          <w:ilvl w:val="0"/>
          <w:numId w:val="7"/>
        </w:numPr>
        <w:tabs>
          <w:tab w:val="left" w:pos="567"/>
        </w:tabs>
        <w:rPr>
          <w:rFonts w:ascii="Verdana" w:hAnsi="Verdana"/>
          <w:sz w:val="22"/>
          <w:szCs w:val="22"/>
        </w:rPr>
      </w:pPr>
      <w:r>
        <w:rPr>
          <w:rFonts w:ascii="Verdana" w:hAnsi="Verdana"/>
          <w:sz w:val="22"/>
          <w:szCs w:val="22"/>
        </w:rPr>
        <w:t xml:space="preserve">Section 45C of FICA enables the FIC or supervisory body to impose an administrative sanction on an accountable institution when satisfied on available facts and information that the institution or person has failed to comply with the provision of FICA or any order, determination or directive made in terms of FICA.  </w:t>
      </w:r>
    </w:p>
    <w:p w:rsidR="00821D35" w:rsidRDefault="00821D35" w:rsidP="00821D35">
      <w:pPr>
        <w:pStyle w:val="ListParagraph"/>
        <w:widowControl w:val="0"/>
        <w:ind w:left="567" w:firstLine="0"/>
        <w:rPr>
          <w:rFonts w:ascii="Verdana" w:hAnsi="Verdana"/>
          <w:sz w:val="22"/>
          <w:szCs w:val="22"/>
        </w:rPr>
      </w:pPr>
    </w:p>
    <w:p w:rsidR="00821D35" w:rsidRDefault="00821D35" w:rsidP="00783450">
      <w:pPr>
        <w:pStyle w:val="ListParagraph"/>
        <w:widowControl w:val="0"/>
        <w:numPr>
          <w:ilvl w:val="0"/>
          <w:numId w:val="7"/>
        </w:numPr>
        <w:tabs>
          <w:tab w:val="left" w:pos="567"/>
        </w:tabs>
        <w:rPr>
          <w:rFonts w:ascii="Verdana" w:hAnsi="Verdana"/>
          <w:sz w:val="22"/>
          <w:szCs w:val="22"/>
        </w:rPr>
      </w:pPr>
      <w:r>
        <w:rPr>
          <w:rFonts w:ascii="Verdana" w:hAnsi="Verdana"/>
          <w:sz w:val="22"/>
          <w:szCs w:val="22"/>
        </w:rPr>
        <w:t>The Bill in section 1(l) defines “non-compliance” as “any act or omission that constitutes a failure to comply with the provision of [FICA] or any order, determination, or directive made in terms of FICA which does not constitute an offence in terms of [FICA]”.  However, the Bill further creates various “acts of non-compliance”.   For example, section 37 of the Bill introduces an act of non-compliance in regard to a failure to keep records (the proposed amendment to section 47(c) to FICA).  It is clear that determining the limits of non-compliance in a definition counteracts its purpose where other acts of non-compliance are designated in other provisions.  Thus in light of the provisions of section 45C(a) of FICA, we submit that designating certain acts as “an act of non-compliance” is confusing and superfluous to the extent that the phrase “non-compliance” is itself defined in the Bill.</w:t>
      </w:r>
    </w:p>
    <w:p w:rsidR="00821D35" w:rsidRDefault="00821D35" w:rsidP="00821D35">
      <w:pPr>
        <w:pStyle w:val="ListParagraph"/>
        <w:widowControl w:val="0"/>
        <w:ind w:left="567" w:firstLine="0"/>
        <w:rPr>
          <w:rFonts w:ascii="Verdana" w:hAnsi="Verdana"/>
          <w:sz w:val="22"/>
          <w:szCs w:val="22"/>
        </w:rPr>
      </w:pPr>
    </w:p>
    <w:p w:rsidR="00783450" w:rsidRPr="00652E7A" w:rsidRDefault="00783450" w:rsidP="00783450">
      <w:pPr>
        <w:widowControl w:val="0"/>
        <w:rPr>
          <w:rFonts w:ascii="Verdana" w:hAnsi="Verdana"/>
          <w:b/>
          <w:sz w:val="22"/>
          <w:szCs w:val="22"/>
        </w:rPr>
      </w:pPr>
      <w:r>
        <w:rPr>
          <w:rFonts w:ascii="Verdana" w:hAnsi="Verdana"/>
          <w:b/>
          <w:sz w:val="22"/>
          <w:szCs w:val="22"/>
        </w:rPr>
        <w:t>Costs to implement the Bill</w:t>
      </w:r>
    </w:p>
    <w:p w:rsidR="00783450" w:rsidRPr="00652E7A" w:rsidRDefault="00783450" w:rsidP="00783450">
      <w:pPr>
        <w:pStyle w:val="ListParagraph"/>
        <w:rPr>
          <w:rFonts w:ascii="Verdana" w:hAnsi="Verdana"/>
          <w:sz w:val="22"/>
          <w:szCs w:val="22"/>
        </w:rPr>
      </w:pPr>
    </w:p>
    <w:p w:rsidR="004E5E99" w:rsidRDefault="00783450" w:rsidP="00783450">
      <w:pPr>
        <w:pStyle w:val="ListParagraph"/>
        <w:widowControl w:val="0"/>
        <w:numPr>
          <w:ilvl w:val="0"/>
          <w:numId w:val="7"/>
        </w:numPr>
        <w:tabs>
          <w:tab w:val="left" w:pos="567"/>
        </w:tabs>
        <w:rPr>
          <w:rFonts w:ascii="Verdana" w:hAnsi="Verdana"/>
          <w:sz w:val="22"/>
          <w:szCs w:val="22"/>
        </w:rPr>
      </w:pPr>
      <w:r>
        <w:rPr>
          <w:rFonts w:ascii="Verdana" w:hAnsi="Verdana"/>
          <w:sz w:val="22"/>
          <w:szCs w:val="22"/>
        </w:rPr>
        <w:t xml:space="preserve">Unfortunately it has not been possible to determine any costs </w:t>
      </w:r>
      <w:r w:rsidR="002C0851">
        <w:rPr>
          <w:rFonts w:ascii="Verdana" w:hAnsi="Verdana"/>
          <w:sz w:val="22"/>
          <w:szCs w:val="22"/>
        </w:rPr>
        <w:t>to implement the Bill in this “silly season”, given the short time frame, the absence of key staff, the costs and savings from a true risk-based approach</w:t>
      </w:r>
      <w:r w:rsidR="000659F4">
        <w:rPr>
          <w:rFonts w:ascii="Verdana" w:hAnsi="Verdana"/>
          <w:sz w:val="22"/>
          <w:szCs w:val="22"/>
        </w:rPr>
        <w:t>, and the changes necessary from the current FICA business models to new ones under the transition processes (i.e. changes to the</w:t>
      </w:r>
      <w:r w:rsidR="002D44B4">
        <w:rPr>
          <w:rFonts w:ascii="Verdana" w:hAnsi="Verdana"/>
          <w:sz w:val="22"/>
          <w:szCs w:val="22"/>
        </w:rPr>
        <w:t xml:space="preserve"> Regulations and </w:t>
      </w:r>
      <w:r w:rsidR="000659F4">
        <w:rPr>
          <w:rFonts w:ascii="Verdana" w:hAnsi="Verdana"/>
          <w:sz w:val="22"/>
          <w:szCs w:val="22"/>
        </w:rPr>
        <w:t>Exemptions</w:t>
      </w:r>
      <w:r w:rsidR="002D44B4">
        <w:rPr>
          <w:rFonts w:ascii="Verdana" w:hAnsi="Verdana"/>
          <w:sz w:val="22"/>
          <w:szCs w:val="22"/>
        </w:rPr>
        <w:t>, and the relevant time frames</w:t>
      </w:r>
      <w:r w:rsidR="000659F4">
        <w:rPr>
          <w:rFonts w:ascii="Verdana" w:hAnsi="Verdana"/>
          <w:sz w:val="22"/>
          <w:szCs w:val="22"/>
        </w:rPr>
        <w:t>)</w:t>
      </w:r>
      <w:r w:rsidR="002C0851">
        <w:rPr>
          <w:rFonts w:ascii="Verdana" w:hAnsi="Verdana"/>
          <w:sz w:val="22"/>
          <w:szCs w:val="22"/>
        </w:rPr>
        <w:t>. However, the</w:t>
      </w:r>
      <w:r w:rsidR="000659F4">
        <w:rPr>
          <w:rFonts w:ascii="Verdana" w:hAnsi="Verdana"/>
          <w:sz w:val="22"/>
          <w:szCs w:val="22"/>
        </w:rPr>
        <w:t xml:space="preserve"> costs are expected to be significant, in the region of billion Rands for the banking sector, given the need to redesign corporate client identification databases (new thresholds, ultimate beneficial ownership), the population of the new data items and the time lines allowed for this, new PEP’s/PIP’s and their high risk assessments (including family and close associates</w:t>
      </w:r>
      <w:r w:rsidR="002D44B4">
        <w:rPr>
          <w:rFonts w:ascii="Verdana" w:hAnsi="Verdana"/>
          <w:sz w:val="22"/>
          <w:szCs w:val="22"/>
        </w:rPr>
        <w:t xml:space="preserve"> as finally defined</w:t>
      </w:r>
      <w:r w:rsidR="000659F4">
        <w:rPr>
          <w:rFonts w:ascii="Verdana" w:hAnsi="Verdana"/>
          <w:sz w:val="22"/>
          <w:szCs w:val="22"/>
        </w:rPr>
        <w:t>), the development of Approved Risk Management Programmes and associated training</w:t>
      </w:r>
      <w:r w:rsidR="002D44B4">
        <w:rPr>
          <w:rFonts w:ascii="Verdana" w:hAnsi="Verdana"/>
          <w:sz w:val="22"/>
          <w:szCs w:val="22"/>
        </w:rPr>
        <w:t xml:space="preserve"> throughout the institutions</w:t>
      </w:r>
      <w:r w:rsidR="000659F4">
        <w:rPr>
          <w:rFonts w:ascii="Verdana" w:hAnsi="Verdana"/>
          <w:sz w:val="22"/>
          <w:szCs w:val="22"/>
        </w:rPr>
        <w:t>, etc. On the other hand, there could be substantial savings to institutions and clients alike with the deletion of mandatory residential address verification (largely “garbage in, garbage out” in the SA housing situation</w:t>
      </w:r>
      <w:r w:rsidR="002D44B4">
        <w:rPr>
          <w:rFonts w:ascii="Verdana" w:hAnsi="Verdana"/>
          <w:sz w:val="22"/>
          <w:szCs w:val="22"/>
        </w:rPr>
        <w:t xml:space="preserve"> for most clients</w:t>
      </w:r>
      <w:r w:rsidR="000659F4">
        <w:rPr>
          <w:rFonts w:ascii="Verdana" w:hAnsi="Verdana"/>
          <w:sz w:val="22"/>
          <w:szCs w:val="22"/>
        </w:rPr>
        <w:t xml:space="preserve">), and a </w:t>
      </w:r>
      <w:r w:rsidR="002D44B4">
        <w:rPr>
          <w:rFonts w:ascii="Verdana" w:hAnsi="Verdana"/>
          <w:sz w:val="22"/>
          <w:szCs w:val="22"/>
        </w:rPr>
        <w:t xml:space="preserve">true </w:t>
      </w:r>
      <w:r w:rsidR="000659F4">
        <w:rPr>
          <w:rFonts w:ascii="Verdana" w:hAnsi="Verdana"/>
          <w:sz w:val="22"/>
          <w:szCs w:val="22"/>
        </w:rPr>
        <w:t xml:space="preserve">risk-based approach to </w:t>
      </w:r>
      <w:r w:rsidR="000659F4">
        <w:rPr>
          <w:rFonts w:ascii="Verdana" w:hAnsi="Verdana"/>
          <w:sz w:val="22"/>
          <w:szCs w:val="22"/>
        </w:rPr>
        <w:lastRenderedPageBreak/>
        <w:t>client identification and verification.</w:t>
      </w:r>
    </w:p>
    <w:p w:rsidR="000659F4" w:rsidRDefault="000659F4" w:rsidP="000659F4">
      <w:pPr>
        <w:pStyle w:val="ListParagraph"/>
        <w:widowControl w:val="0"/>
        <w:tabs>
          <w:tab w:val="left" w:pos="567"/>
        </w:tabs>
        <w:ind w:left="525" w:firstLine="0"/>
        <w:rPr>
          <w:rFonts w:ascii="Verdana" w:hAnsi="Verdana"/>
          <w:sz w:val="22"/>
          <w:szCs w:val="22"/>
        </w:rPr>
      </w:pPr>
    </w:p>
    <w:p w:rsidR="000659F4" w:rsidRPr="005A1AE3" w:rsidRDefault="000659F4" w:rsidP="00783450">
      <w:pPr>
        <w:pStyle w:val="ListParagraph"/>
        <w:widowControl w:val="0"/>
        <w:numPr>
          <w:ilvl w:val="0"/>
          <w:numId w:val="7"/>
        </w:numPr>
        <w:tabs>
          <w:tab w:val="left" w:pos="567"/>
        </w:tabs>
        <w:rPr>
          <w:rFonts w:ascii="Verdana" w:hAnsi="Verdana"/>
          <w:sz w:val="22"/>
          <w:szCs w:val="22"/>
        </w:rPr>
      </w:pPr>
      <w:r>
        <w:rPr>
          <w:rFonts w:ascii="Verdana" w:hAnsi="Verdana"/>
          <w:sz w:val="22"/>
          <w:szCs w:val="22"/>
        </w:rPr>
        <w:t xml:space="preserve">The outcomes of the workshops to be arranged by NT, as noted above, and any constructive consensus on practical and pragmatic approaches, within the SA context, to full compliance with the FATF Recommendations, </w:t>
      </w:r>
      <w:r w:rsidR="00107691">
        <w:rPr>
          <w:rFonts w:ascii="Verdana" w:hAnsi="Verdana"/>
          <w:sz w:val="22"/>
          <w:szCs w:val="22"/>
        </w:rPr>
        <w:t>will also have a significant impact on both costs to comply, as well as savings from the risk-based approach.</w:t>
      </w:r>
      <w:r>
        <w:rPr>
          <w:rFonts w:ascii="Verdana" w:hAnsi="Verdana"/>
          <w:sz w:val="22"/>
          <w:szCs w:val="22"/>
        </w:rPr>
        <w:t xml:space="preserve">  </w:t>
      </w:r>
    </w:p>
    <w:p w:rsidR="00F8608B" w:rsidRPr="00252829" w:rsidRDefault="00F8608B" w:rsidP="00D014D5">
      <w:pPr>
        <w:widowControl w:val="0"/>
        <w:tabs>
          <w:tab w:val="left" w:pos="567"/>
        </w:tabs>
        <w:rPr>
          <w:rFonts w:ascii="Verdana" w:hAnsi="Verdana"/>
          <w:sz w:val="22"/>
          <w:szCs w:val="22"/>
        </w:rPr>
      </w:pPr>
    </w:p>
    <w:p w:rsidR="00F8608B" w:rsidRPr="00252829" w:rsidRDefault="00F8608B" w:rsidP="00D014D5">
      <w:pPr>
        <w:widowControl w:val="0"/>
        <w:tabs>
          <w:tab w:val="left" w:pos="567"/>
        </w:tabs>
        <w:rPr>
          <w:rFonts w:ascii="Verdana" w:hAnsi="Verdana"/>
          <w:sz w:val="22"/>
          <w:szCs w:val="22"/>
        </w:rPr>
      </w:pPr>
    </w:p>
    <w:p w:rsidR="00636859" w:rsidRDefault="00636859" w:rsidP="00D014D5">
      <w:pPr>
        <w:pStyle w:val="BCHeading1"/>
        <w:widowControl w:val="0"/>
        <w:numPr>
          <w:ilvl w:val="0"/>
          <w:numId w:val="0"/>
        </w:numPr>
        <w:ind w:left="851" w:hanging="851"/>
        <w:rPr>
          <w:b w:val="0"/>
          <w:sz w:val="22"/>
          <w:szCs w:val="22"/>
        </w:rPr>
      </w:pPr>
      <w:r>
        <w:rPr>
          <w:b w:val="0"/>
          <w:sz w:val="22"/>
          <w:szCs w:val="22"/>
        </w:rPr>
        <w:t>Yours sincerely</w:t>
      </w:r>
    </w:p>
    <w:p w:rsidR="00636859" w:rsidRDefault="00636859" w:rsidP="00D014D5">
      <w:pPr>
        <w:pStyle w:val="BCHeading1"/>
        <w:widowControl w:val="0"/>
        <w:numPr>
          <w:ilvl w:val="0"/>
          <w:numId w:val="0"/>
        </w:numPr>
        <w:ind w:left="851" w:hanging="851"/>
        <w:rPr>
          <w:b w:val="0"/>
          <w:sz w:val="22"/>
          <w:szCs w:val="22"/>
        </w:rPr>
      </w:pPr>
    </w:p>
    <w:p w:rsidR="00636859" w:rsidRDefault="00636859" w:rsidP="00D014D5">
      <w:pPr>
        <w:pStyle w:val="BCHeading1"/>
        <w:widowControl w:val="0"/>
        <w:numPr>
          <w:ilvl w:val="0"/>
          <w:numId w:val="0"/>
        </w:numPr>
        <w:ind w:left="851" w:hanging="851"/>
        <w:rPr>
          <w:b w:val="0"/>
          <w:sz w:val="22"/>
          <w:szCs w:val="22"/>
        </w:rPr>
      </w:pPr>
      <w:r>
        <w:rPr>
          <w:b w:val="0"/>
          <w:noProof/>
          <w:sz w:val="22"/>
          <w:szCs w:val="22"/>
          <w:lang w:eastAsia="en-ZA"/>
        </w:rPr>
        <w:drawing>
          <wp:inline distT="0" distB="0" distL="0" distR="0">
            <wp:extent cx="1767844" cy="1036322"/>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artG.bmp"/>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7844" cy="1036322"/>
                    </a:xfrm>
                    <a:prstGeom prst="rect">
                      <a:avLst/>
                    </a:prstGeom>
                  </pic:spPr>
                </pic:pic>
              </a:graphicData>
            </a:graphic>
          </wp:inline>
        </w:drawing>
      </w:r>
    </w:p>
    <w:p w:rsidR="00636859" w:rsidRPr="00636859" w:rsidRDefault="00636859" w:rsidP="00D014D5">
      <w:pPr>
        <w:pStyle w:val="BCHeading1"/>
        <w:widowControl w:val="0"/>
        <w:numPr>
          <w:ilvl w:val="0"/>
          <w:numId w:val="0"/>
        </w:numPr>
        <w:spacing w:before="0" w:after="0"/>
        <w:ind w:left="851" w:hanging="851"/>
        <w:rPr>
          <w:sz w:val="22"/>
          <w:szCs w:val="22"/>
        </w:rPr>
      </w:pPr>
      <w:r w:rsidRPr="00636859">
        <w:rPr>
          <w:sz w:val="22"/>
          <w:szCs w:val="22"/>
        </w:rPr>
        <w:t>STUART GROBLER</w:t>
      </w:r>
    </w:p>
    <w:p w:rsidR="00636859" w:rsidRPr="00636859" w:rsidRDefault="00636859" w:rsidP="00D014D5">
      <w:pPr>
        <w:pStyle w:val="BCHeading1"/>
        <w:widowControl w:val="0"/>
        <w:numPr>
          <w:ilvl w:val="0"/>
          <w:numId w:val="0"/>
        </w:numPr>
        <w:spacing w:before="0" w:after="0"/>
        <w:ind w:left="851" w:hanging="851"/>
        <w:rPr>
          <w:sz w:val="22"/>
          <w:szCs w:val="22"/>
        </w:rPr>
      </w:pPr>
      <w:r w:rsidRPr="00636859">
        <w:rPr>
          <w:sz w:val="22"/>
          <w:szCs w:val="22"/>
        </w:rPr>
        <w:t>SENIOR GENERAL MANAGER</w:t>
      </w:r>
    </w:p>
    <w:p w:rsidR="00636859" w:rsidRPr="00636859" w:rsidRDefault="00636859" w:rsidP="00D014D5">
      <w:pPr>
        <w:pStyle w:val="BCHeading1"/>
        <w:widowControl w:val="0"/>
        <w:numPr>
          <w:ilvl w:val="0"/>
          <w:numId w:val="0"/>
        </w:numPr>
        <w:spacing w:before="0" w:after="0"/>
        <w:ind w:left="851" w:hanging="851"/>
        <w:rPr>
          <w:sz w:val="22"/>
          <w:szCs w:val="22"/>
        </w:rPr>
      </w:pPr>
      <w:r w:rsidRPr="00636859">
        <w:rPr>
          <w:sz w:val="22"/>
          <w:szCs w:val="22"/>
        </w:rPr>
        <w:t>MARKET CONDUCT</w:t>
      </w:r>
    </w:p>
    <w:sectPr w:rsidR="00636859" w:rsidRPr="00636859" w:rsidSect="00E53289">
      <w:headerReference w:type="even" r:id="rId11"/>
      <w:headerReference w:type="default" r:id="rId12"/>
      <w:footerReference w:type="default" r:id="rId13"/>
      <w:headerReference w:type="first" r:id="rId14"/>
      <w:footerReference w:type="first" r:id="rId15"/>
      <w:pgSz w:w="11907" w:h="16840" w:code="9"/>
      <w:pgMar w:top="1134" w:right="1134" w:bottom="1134"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399" w:rsidRDefault="003D3399">
      <w:r>
        <w:separator/>
      </w:r>
    </w:p>
  </w:endnote>
  <w:endnote w:type="continuationSeparator" w:id="0">
    <w:p w:rsidR="003D3399" w:rsidRDefault="003D3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7E" w:rsidRDefault="00CF2C32">
    <w:pPr>
      <w:pStyle w:val="BA10"/>
      <w:tabs>
        <w:tab w:val="left" w:pos="537"/>
      </w:tabs>
      <w:jc w:val="left"/>
      <w:rPr>
        <w:b/>
        <w:color w:val="636263"/>
        <w:sz w:val="16"/>
        <w:szCs w:val="16"/>
        <w:lang w:val="en-US"/>
      </w:rPr>
    </w:pPr>
    <w:r>
      <w:rPr>
        <w:b/>
        <w:noProof/>
        <w:color w:val="636263"/>
        <w:sz w:val="16"/>
        <w:szCs w:val="16"/>
        <w:lang w:eastAsia="en-ZA"/>
      </w:rPr>
    </w:r>
    <w:r w:rsidRPr="00CF2C32">
      <w:rPr>
        <w:b/>
        <w:noProof/>
        <w:color w:val="636263"/>
        <w:sz w:val="16"/>
        <w:szCs w:val="16"/>
        <w:lang w:eastAsia="en-ZA"/>
      </w:rPr>
      <w:pict>
        <v:line id="Line 11" o:spid="_x0000_s4098" style="visibility:visible;mso-wrap-style:square;mso-left-percent:-10001;mso-top-percent:-10001;mso-position-horizontal:absolute;mso-position-horizontal-relative:char;mso-position-vertical:absolute;mso-position-vertical-relative:line;mso-left-percent:-10001;mso-top-percent:-10001" from="0,0" to="453.55pt,0" strokecolor="#636263">
          <w10:wrap type="none"/>
          <w10:anchorlock/>
        </v:line>
      </w:pict>
    </w:r>
  </w:p>
  <w:p w:rsidR="00FC4D7E" w:rsidRDefault="00CF2C32">
    <w:pPr>
      <w:pStyle w:val="BA10"/>
      <w:jc w:val="right"/>
      <w:rPr>
        <w:b/>
        <w:color w:val="636263"/>
        <w:sz w:val="16"/>
        <w:szCs w:val="16"/>
        <w:lang w:val="en-US"/>
      </w:rPr>
    </w:pPr>
    <w:fldSimple w:instr=" DOCPROPERTY  WorkSite_DocRef  \* MERGEFORMAT ">
      <w:r w:rsidR="007C654C">
        <w:rPr>
          <w:color w:val="636263"/>
          <w:sz w:val="16"/>
          <w:szCs w:val="16"/>
        </w:rPr>
        <w:t>STUARTG/#165053_V1</w:t>
      </w:r>
    </w:fldSimple>
    <w:r w:rsidR="00FC4D7E">
      <w:rPr>
        <w:b/>
        <w:noProof/>
        <w:color w:val="636263"/>
        <w:sz w:val="16"/>
        <w:szCs w:val="16"/>
        <w:lang w:eastAsia="en-ZA"/>
      </w:rPr>
      <w:drawing>
        <wp:anchor distT="0" distB="0" distL="114300" distR="114300" simplePos="0" relativeHeight="251656704" behindDoc="0" locked="1" layoutInCell="1" allowOverlap="1">
          <wp:simplePos x="0" y="0"/>
          <wp:positionH relativeFrom="page">
            <wp:posOffset>7021195</wp:posOffset>
          </wp:positionH>
          <wp:positionV relativeFrom="page">
            <wp:posOffset>8705850</wp:posOffset>
          </wp:positionV>
          <wp:extent cx="179705" cy="1266190"/>
          <wp:effectExtent l="0" t="0" r="0" b="0"/>
          <wp:wrapNone/>
          <wp:docPr id="5" name="Picture 2" descr="BALogo_Continuation_8bitColour600dpi_w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ogo_Continuation_8bitColour600dpi_w50m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705" cy="126619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7E" w:rsidRDefault="00CF2C32">
    <w:pPr>
      <w:pStyle w:val="BA10"/>
      <w:tabs>
        <w:tab w:val="right" w:pos="9072"/>
      </w:tabs>
      <w:jc w:val="center"/>
      <w:rPr>
        <w:color w:val="636263"/>
        <w:sz w:val="16"/>
        <w:szCs w:val="16"/>
      </w:rPr>
    </w:pPr>
    <w:r w:rsidRPr="00CF2C32">
      <w:rPr>
        <w:b/>
        <w:noProof/>
        <w:color w:val="636263"/>
        <w:sz w:val="16"/>
        <w:szCs w:val="16"/>
        <w:lang w:eastAsia="en-ZA"/>
      </w:rPr>
      <w:pict>
        <v:line id="Line 7" o:spid="_x0000_s4097"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8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zkFQIAACgEAAAOAAAAZHJzL2Uyb0RvYy54bWysU02P2jAQvVfqf7B8h5AAWYgIqyqBXmgX&#10;abc/wNgOserYlm0IqOp/79h8iG0vVdWLPfbMPL+ZN148nzqJjtw6oVWJ0+EII66oZkLtS/ztbT2Y&#10;YeQ8UYxIrXiJz9zh5+XHD4veFDzTrZaMWwQgyhW9KXHrvSmSxNGWd8QNteEKnI22HfFwtPuEWdID&#10;eieTbDTKk15bZqym3Dm4rS9OvIz4TcOpf2kaxz2SJQZuPq42rruwJssFKfaWmFbQKw3yDyw6IhQ8&#10;eoeqiSfoYMUfUJ2gVjvd+CHVXaKbRlAea4Bq0tFv1by2xPBYCzTHmXub3P+DpV+PW4sEA+0wUqQD&#10;iTZCcfQUOtMbV0BApbY21EZP6tVsNP3ukNJVS9SeR4ZvZwNpachI3qWEgzOAv+u/aAYx5OB1bNOp&#10;sV2AhAagU1TjfFeDnzyicJmnTxlIjBG9+RJS3BKNdf4z1x0KRoklcI7A5LhxPhAhxS0kvKP0WkgZ&#10;xZYK9SWeT7NpTHBaChacIczZ/a6SFh0JjEs+zrN8HKsCz2OY1QfFIljLCVtdbU+EvNjwuFQBD0oB&#10;OlfrMg8/5qP5araaTQaTLF8NJqO6HnxaV5NBvk6fpvW4rqo6/RmopZOiFYxxFdjdZjOd/J32119y&#10;mar7dN7bkLxHj/0Csrc9ko5aBvkug7DT7Ly1N41hHGPw9euEeX88g/34wZe/AAAA//8DAFBLAwQU&#10;AAYACAAAACEAR5h2tdYAAAAEAQAADwAAAGRycy9kb3ducmV2LnhtbEyPwU6FMBBF9yb+QzMmboyv&#10;SMxTkPJCTFzpQtG4LnQEYjslbeHh3zu60eXJndx7pjpszooVQ5w8KbjaZSCQem8mGhS8vT5c3oKI&#10;SZPR1hMq+MIIh/r0pNKl8Ud6wbVNg+ASiqVWMKY0l1LGfkSn487PSJx9+OB0YgyDNEEfudxZmWfZ&#10;Xjo9ES+Mesb7EfvPdnEK1rA+t/n+SRa2sfkyNN37BT4qdX62NXcgEm7p7xh+9Fkdanbq/EImCquA&#10;H0kKimsQHBY3OXP3y7Ku5H/5+hsAAP//AwBQSwECLQAUAAYACAAAACEAtoM4kv4AAADhAQAAEwAA&#10;AAAAAAAAAAAAAAAAAAAAW0NvbnRlbnRfVHlwZXNdLnhtbFBLAQItABQABgAIAAAAIQA4/SH/1gAA&#10;AJQBAAALAAAAAAAAAAAAAAAAAC8BAABfcmVscy8ucmVsc1BLAQItABQABgAIAAAAIQCW0OzkFQIA&#10;ACgEAAAOAAAAAAAAAAAAAAAAAC4CAABkcnMvZTJvRG9jLnhtbFBLAQItABQABgAIAAAAIQBHmHa1&#10;1gAAAAQBAAAPAAAAAAAAAAAAAAAAAG8EAABkcnMvZG93bnJldi54bWxQSwUGAAAAAAQABADzAAAA&#10;cgUAAAAA&#10;" strokecolor="#636263"/>
      </w:pict>
    </w:r>
  </w:p>
  <w:p w:rsidR="00FC4D7E" w:rsidRDefault="00FC4D7E" w:rsidP="00293550">
    <w:pPr>
      <w:pStyle w:val="BA10"/>
      <w:tabs>
        <w:tab w:val="left" w:pos="1985"/>
        <w:tab w:val="left" w:pos="2127"/>
        <w:tab w:val="right" w:pos="9072"/>
      </w:tabs>
      <w:jc w:val="left"/>
      <w:rPr>
        <w:color w:val="636263"/>
        <w:sz w:val="15"/>
        <w:szCs w:val="15"/>
      </w:rPr>
    </w:pPr>
    <w:r>
      <w:rPr>
        <w:b/>
        <w:color w:val="636263"/>
        <w:sz w:val="15"/>
        <w:szCs w:val="15"/>
      </w:rPr>
      <w:t>Registration Number</w:t>
    </w:r>
    <w:r>
      <w:rPr>
        <w:b/>
        <w:color w:val="636263"/>
        <w:sz w:val="15"/>
        <w:szCs w:val="15"/>
      </w:rPr>
      <w:tab/>
      <w:t>:</w:t>
    </w:r>
    <w:r>
      <w:rPr>
        <w:b/>
        <w:color w:val="636263"/>
        <w:sz w:val="15"/>
        <w:szCs w:val="15"/>
      </w:rPr>
      <w:tab/>
    </w:r>
    <w:r>
      <w:rPr>
        <w:color w:val="636263"/>
        <w:sz w:val="15"/>
        <w:szCs w:val="15"/>
      </w:rPr>
      <w:t>1992/001350/08      A non-profit company under the Companies Act 2008</w:t>
    </w:r>
  </w:p>
  <w:p w:rsidR="00FC4D7E" w:rsidRDefault="00FC4D7E" w:rsidP="00934F88">
    <w:pPr>
      <w:pStyle w:val="BA10"/>
      <w:tabs>
        <w:tab w:val="left" w:pos="1985"/>
        <w:tab w:val="left" w:pos="2127"/>
        <w:tab w:val="right" w:pos="9072"/>
      </w:tabs>
      <w:rPr>
        <w:color w:val="636263"/>
        <w:sz w:val="15"/>
        <w:szCs w:val="15"/>
      </w:rPr>
    </w:pPr>
    <w:r>
      <w:rPr>
        <w:b/>
        <w:color w:val="636263"/>
        <w:sz w:val="15"/>
        <w:szCs w:val="15"/>
      </w:rPr>
      <w:t>Directors</w:t>
    </w:r>
    <w:r>
      <w:rPr>
        <w:b/>
        <w:color w:val="636263"/>
        <w:sz w:val="15"/>
        <w:szCs w:val="15"/>
      </w:rPr>
      <w:tab/>
      <w:t>:</w:t>
    </w:r>
    <w:r>
      <w:rPr>
        <w:color w:val="636263"/>
        <w:sz w:val="15"/>
        <w:szCs w:val="15"/>
      </w:rPr>
      <w:tab/>
      <w:t xml:space="preserve">JP Burger (Chairman), C Coovadia (Managing), MWT Brown, GM Fourie, S Koseff, </w:t>
    </w:r>
  </w:p>
  <w:p w:rsidR="00FC4D7E" w:rsidRDefault="00FC4D7E" w:rsidP="00934F88">
    <w:pPr>
      <w:pStyle w:val="BA10"/>
      <w:tabs>
        <w:tab w:val="left" w:pos="1985"/>
        <w:tab w:val="left" w:pos="2127"/>
        <w:tab w:val="right" w:pos="9072"/>
      </w:tabs>
      <w:ind w:left="2127"/>
      <w:rPr>
        <w:color w:val="636263"/>
        <w:sz w:val="15"/>
        <w:szCs w:val="15"/>
      </w:rPr>
    </w:pPr>
    <w:r>
      <w:rPr>
        <w:color w:val="636263"/>
        <w:sz w:val="15"/>
        <w:szCs w:val="15"/>
      </w:rPr>
      <w:t>KR Kumbier, Ms M Ramos, SK Tshabalala, PG Wharton-Hood, Ms V Kodjo Diop (</w:t>
    </w:r>
    <w:r w:rsidRPr="00934F88">
      <w:rPr>
        <w:i/>
        <w:color w:val="636263"/>
        <w:sz w:val="12"/>
        <w:szCs w:val="12"/>
      </w:rPr>
      <w:t>French</w:t>
    </w:r>
    <w:r>
      <w:rPr>
        <w:color w:val="636263"/>
        <w:sz w:val="15"/>
        <w:szCs w:val="15"/>
      </w:rPr>
      <w:t xml:space="preserve">) </w:t>
    </w:r>
  </w:p>
  <w:p w:rsidR="00FC4D7E" w:rsidRDefault="00FC4D7E" w:rsidP="00293550">
    <w:pPr>
      <w:pStyle w:val="BA10"/>
      <w:tabs>
        <w:tab w:val="left" w:pos="1985"/>
        <w:tab w:val="left" w:pos="2127"/>
      </w:tabs>
      <w:rPr>
        <w:color w:val="636263"/>
        <w:sz w:val="15"/>
        <w:szCs w:val="15"/>
      </w:rPr>
    </w:pPr>
    <w:r>
      <w:rPr>
        <w:b/>
        <w:color w:val="636263"/>
        <w:sz w:val="15"/>
        <w:szCs w:val="15"/>
      </w:rPr>
      <w:t>Company Secretary</w:t>
    </w:r>
    <w:r>
      <w:rPr>
        <w:b/>
        <w:color w:val="636263"/>
        <w:sz w:val="15"/>
        <w:szCs w:val="15"/>
      </w:rPr>
      <w:tab/>
      <w:t>:</w:t>
    </w:r>
    <w:r>
      <w:rPr>
        <w:b/>
        <w:color w:val="636263"/>
        <w:sz w:val="15"/>
        <w:szCs w:val="15"/>
      </w:rPr>
      <w:tab/>
    </w:r>
    <w:r>
      <w:rPr>
        <w:color w:val="636263"/>
        <w:sz w:val="15"/>
        <w:szCs w:val="15"/>
      </w:rPr>
      <w:t>Ms BM Reyneke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399" w:rsidRDefault="003D3399">
      <w:r>
        <w:separator/>
      </w:r>
    </w:p>
  </w:footnote>
  <w:footnote w:type="continuationSeparator" w:id="0">
    <w:p w:rsidR="003D3399" w:rsidRDefault="003D3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7E" w:rsidRDefault="00CF2C32">
    <w:pPr>
      <w:pStyle w:val="Header"/>
      <w:framePr w:wrap="around" w:vAnchor="text" w:hAnchor="margin" w:xAlign="center" w:y="1"/>
      <w:rPr>
        <w:rStyle w:val="PageNumber"/>
      </w:rPr>
    </w:pPr>
    <w:r>
      <w:rPr>
        <w:rStyle w:val="PageNumber"/>
      </w:rPr>
      <w:fldChar w:fldCharType="begin"/>
    </w:r>
    <w:r w:rsidR="00FC4D7E">
      <w:rPr>
        <w:rStyle w:val="PageNumber"/>
      </w:rPr>
      <w:instrText xml:space="preserve">PAGE  </w:instrText>
    </w:r>
    <w:r>
      <w:rPr>
        <w:rStyle w:val="PageNumber"/>
      </w:rPr>
      <w:fldChar w:fldCharType="separate"/>
    </w:r>
    <w:r w:rsidR="00FC4D7E">
      <w:rPr>
        <w:rStyle w:val="PageNumber"/>
        <w:noProof/>
      </w:rPr>
      <w:t>20</w:t>
    </w:r>
    <w:r>
      <w:rPr>
        <w:rStyle w:val="PageNumber"/>
      </w:rPr>
      <w:fldChar w:fldCharType="end"/>
    </w:r>
  </w:p>
  <w:p w:rsidR="00FC4D7E" w:rsidRDefault="00FC4D7E">
    <w:pPr>
      <w:pStyle w:val="Header"/>
    </w:pPr>
  </w:p>
  <w:p w:rsidR="00FC4D7E" w:rsidRDefault="00FC4D7E"/>
  <w:p w:rsidR="00FC4D7E" w:rsidRDefault="00FC4D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7E" w:rsidRDefault="00FC4D7E">
    <w:pPr>
      <w:pStyle w:val="BA10"/>
      <w:jc w:val="center"/>
      <w:rPr>
        <w:color w:val="636263"/>
        <w:sz w:val="16"/>
        <w:szCs w:val="16"/>
        <w:lang w:val="en-US"/>
      </w:rPr>
    </w:pPr>
    <w:r>
      <w:rPr>
        <w:color w:val="636263"/>
        <w:sz w:val="16"/>
        <w:szCs w:val="16"/>
        <w:lang w:val="en-US"/>
      </w:rPr>
      <w:t xml:space="preserve">Page </w:t>
    </w:r>
    <w:r w:rsidR="00CF2C32">
      <w:rPr>
        <w:rStyle w:val="PageNumber"/>
        <w:color w:val="636263"/>
        <w:sz w:val="16"/>
        <w:szCs w:val="16"/>
      </w:rPr>
      <w:fldChar w:fldCharType="begin"/>
    </w:r>
    <w:r>
      <w:rPr>
        <w:rStyle w:val="PageNumber"/>
        <w:color w:val="636263"/>
        <w:sz w:val="16"/>
        <w:szCs w:val="16"/>
      </w:rPr>
      <w:instrText xml:space="preserve"> PAGE </w:instrText>
    </w:r>
    <w:r w:rsidR="00CF2C32">
      <w:rPr>
        <w:rStyle w:val="PageNumber"/>
        <w:color w:val="636263"/>
        <w:sz w:val="16"/>
        <w:szCs w:val="16"/>
      </w:rPr>
      <w:fldChar w:fldCharType="separate"/>
    </w:r>
    <w:r w:rsidR="00294711">
      <w:rPr>
        <w:rStyle w:val="PageNumber"/>
        <w:noProof/>
        <w:color w:val="636263"/>
        <w:sz w:val="16"/>
        <w:szCs w:val="16"/>
      </w:rPr>
      <w:t>16</w:t>
    </w:r>
    <w:r w:rsidR="00CF2C32">
      <w:rPr>
        <w:rStyle w:val="PageNumber"/>
        <w:color w:val="636263"/>
        <w:sz w:val="16"/>
        <w:szCs w:val="16"/>
      </w:rPr>
      <w:fldChar w:fldCharType="end"/>
    </w:r>
  </w:p>
  <w:p w:rsidR="00FC4D7E" w:rsidRDefault="00FC4D7E">
    <w:pPr>
      <w:pStyle w:val="BA10"/>
      <w:jc w:val="center"/>
      <w:rPr>
        <w:color w:val="636263"/>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1E0"/>
    </w:tblPr>
    <w:tblGrid>
      <w:gridCol w:w="3515"/>
      <w:gridCol w:w="1985"/>
      <w:gridCol w:w="4139"/>
    </w:tblGrid>
    <w:tr w:rsidR="00FC4D7E" w:rsidTr="00DA017C">
      <w:tc>
        <w:tcPr>
          <w:tcW w:w="3515" w:type="dxa"/>
        </w:tcPr>
        <w:p w:rsidR="00FC4D7E" w:rsidRDefault="00FC4D7E">
          <w:pPr>
            <w:pStyle w:val="BA10"/>
          </w:pPr>
          <w:r>
            <w:rPr>
              <w:noProof/>
              <w:lang w:eastAsia="en-ZA"/>
            </w:rPr>
            <w:drawing>
              <wp:inline distT="0" distB="0" distL="0" distR="0">
                <wp:extent cx="1795780" cy="539115"/>
                <wp:effectExtent l="0" t="0" r="0" b="0"/>
                <wp:docPr id="2" name="Picture 2" descr="BALogo_8bitColour600dpi_w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ogo_8bitColour600dpi_w50m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5780" cy="539115"/>
                        </a:xfrm>
                        <a:prstGeom prst="rect">
                          <a:avLst/>
                        </a:prstGeom>
                        <a:noFill/>
                        <a:ln>
                          <a:noFill/>
                        </a:ln>
                      </pic:spPr>
                    </pic:pic>
                  </a:graphicData>
                </a:graphic>
              </wp:inline>
            </w:drawing>
          </w:r>
        </w:p>
      </w:tc>
      <w:tc>
        <w:tcPr>
          <w:tcW w:w="1985" w:type="dxa"/>
        </w:tcPr>
        <w:p w:rsidR="00FC4D7E" w:rsidRDefault="00FC4D7E">
          <w:pPr>
            <w:pStyle w:val="BA10"/>
          </w:pPr>
          <w:r>
            <w:rPr>
              <w:noProof/>
              <w:lang w:eastAsia="en-ZA"/>
            </w:rPr>
            <w:drawing>
              <wp:inline distT="0" distB="0" distL="0" distR="0">
                <wp:extent cx="822325" cy="532765"/>
                <wp:effectExtent l="0" t="0" r="0" b="635"/>
                <wp:docPr id="3" name="Picture 3" descr="BA_AddressDetails1_8bitColour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_AddressDetails1_8bitColour600dpi"/>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325" cy="532765"/>
                        </a:xfrm>
                        <a:prstGeom prst="rect">
                          <a:avLst/>
                        </a:prstGeom>
                        <a:noFill/>
                        <a:ln>
                          <a:noFill/>
                        </a:ln>
                      </pic:spPr>
                    </pic:pic>
                  </a:graphicData>
                </a:graphic>
              </wp:inline>
            </w:drawing>
          </w:r>
        </w:p>
      </w:tc>
      <w:tc>
        <w:tcPr>
          <w:tcW w:w="0" w:type="auto"/>
        </w:tcPr>
        <w:p w:rsidR="00FC4D7E" w:rsidRDefault="00FC4D7E">
          <w:pPr>
            <w:pStyle w:val="BA10"/>
          </w:pPr>
          <w:r>
            <w:rPr>
              <w:noProof/>
              <w:lang w:eastAsia="en-ZA"/>
            </w:rPr>
            <w:drawing>
              <wp:inline distT="0" distB="0" distL="0" distR="0">
                <wp:extent cx="1098550" cy="401320"/>
                <wp:effectExtent l="0" t="0" r="6350" b="0"/>
                <wp:docPr id="4" name="Picture 4" descr="BA_AddressDetails2_8bitColour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_AddressDetails2_8bitColour600dpi"/>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8550" cy="401320"/>
                        </a:xfrm>
                        <a:prstGeom prst="rect">
                          <a:avLst/>
                        </a:prstGeom>
                        <a:noFill/>
                        <a:ln>
                          <a:noFill/>
                        </a:ln>
                      </pic:spPr>
                    </pic:pic>
                  </a:graphicData>
                </a:graphic>
              </wp:inline>
            </w:drawing>
          </w:r>
        </w:p>
      </w:tc>
    </w:tr>
    <w:tr w:rsidR="00FC4D7E" w:rsidTr="000951CA">
      <w:trPr>
        <w:trHeight w:hRule="exact" w:val="422"/>
      </w:trPr>
      <w:tc>
        <w:tcPr>
          <w:tcW w:w="3515" w:type="dxa"/>
        </w:tcPr>
        <w:p w:rsidR="00FC4D7E" w:rsidRDefault="00FC4D7E">
          <w:pPr>
            <w:pStyle w:val="BA10"/>
          </w:pPr>
        </w:p>
      </w:tc>
      <w:tc>
        <w:tcPr>
          <w:tcW w:w="1985" w:type="dxa"/>
        </w:tcPr>
        <w:p w:rsidR="00FC4D7E" w:rsidRDefault="00FC4D7E">
          <w:pPr>
            <w:pStyle w:val="BA10"/>
          </w:pPr>
        </w:p>
      </w:tc>
      <w:tc>
        <w:tcPr>
          <w:tcW w:w="0" w:type="auto"/>
        </w:tcPr>
        <w:p w:rsidR="00FC4D7E" w:rsidRDefault="00FC4D7E" w:rsidP="00DA017C">
          <w:pPr>
            <w:pStyle w:val="BA10"/>
            <w:tabs>
              <w:tab w:val="left" w:pos="1095"/>
            </w:tabs>
          </w:pPr>
        </w:p>
      </w:tc>
    </w:tr>
  </w:tbl>
  <w:p w:rsidR="00FC4D7E" w:rsidRDefault="00FC4D7E">
    <w:pPr>
      <w:pStyle w:val="BA10"/>
      <w:rPr>
        <w:b/>
        <w:color w:val="636263"/>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B2A5D"/>
    <w:multiLevelType w:val="multilevel"/>
    <w:tmpl w:val="F68E5CEC"/>
    <w:lvl w:ilvl="0">
      <w:start w:val="34"/>
      <w:numFmt w:val="decimal"/>
      <w:lvlText w:val="%1"/>
      <w:lvlJc w:val="left"/>
      <w:pPr>
        <w:ind w:left="525" w:hanging="52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261117D4"/>
    <w:multiLevelType w:val="hybridMultilevel"/>
    <w:tmpl w:val="7E74C72A"/>
    <w:lvl w:ilvl="0" w:tplc="08AC27CE">
      <w:start w:val="1"/>
      <w:numFmt w:val="lowerLetter"/>
      <w:lvlText w:val="(%1)"/>
      <w:lvlJc w:val="left"/>
      <w:pPr>
        <w:ind w:left="2138" w:hanging="72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nsid w:val="27E37456"/>
    <w:multiLevelType w:val="multilevel"/>
    <w:tmpl w:val="E86286B8"/>
    <w:lvl w:ilvl="0">
      <w:start w:val="1"/>
      <w:numFmt w:val="decimal"/>
      <w:pStyle w:val="BCHeading1"/>
      <w:lvlText w:val="%1."/>
      <w:lvlJc w:val="left"/>
      <w:pPr>
        <w:tabs>
          <w:tab w:val="num" w:pos="851"/>
        </w:tabs>
        <w:ind w:left="851" w:hanging="851"/>
      </w:pPr>
      <w:rPr>
        <w:b w:val="0"/>
        <w:i w:val="0"/>
        <w:sz w:val="24"/>
        <w:u w:val="none"/>
      </w:rPr>
    </w:lvl>
    <w:lvl w:ilvl="1">
      <w:start w:val="1"/>
      <w:numFmt w:val="decimal"/>
      <w:pStyle w:val="BCHeading2"/>
      <w:lvlText w:val="%1.%2"/>
      <w:lvlJc w:val="left"/>
      <w:pPr>
        <w:tabs>
          <w:tab w:val="num" w:pos="851"/>
        </w:tabs>
        <w:ind w:left="851" w:hanging="851"/>
      </w:pPr>
      <w:rPr>
        <w:u w:val="none"/>
      </w:rPr>
    </w:lvl>
    <w:lvl w:ilvl="2">
      <w:start w:val="1"/>
      <w:numFmt w:val="decimal"/>
      <w:pStyle w:val="BCHeading3"/>
      <w:lvlText w:val="%1.%2.%3"/>
      <w:lvlJc w:val="left"/>
      <w:pPr>
        <w:tabs>
          <w:tab w:val="num" w:pos="1134"/>
        </w:tabs>
        <w:ind w:left="1134" w:hanging="1134"/>
      </w:pPr>
      <w:rPr>
        <w:b w:val="0"/>
        <w:i w:val="0"/>
        <w:sz w:val="24"/>
        <w:u w:val="none"/>
      </w:rPr>
    </w:lvl>
    <w:lvl w:ilvl="3">
      <w:start w:val="1"/>
      <w:numFmt w:val="decimal"/>
      <w:pStyle w:val="BCHeading4"/>
      <w:lvlText w:val="%1.%2.%3.%4"/>
      <w:lvlJc w:val="left"/>
      <w:pPr>
        <w:tabs>
          <w:tab w:val="num" w:pos="1134"/>
        </w:tabs>
        <w:ind w:left="1134" w:hanging="1134"/>
      </w:pPr>
      <w:rPr>
        <w:u w:val="none"/>
      </w:rPr>
    </w:lvl>
    <w:lvl w:ilvl="4">
      <w:start w:val="1"/>
      <w:numFmt w:val="decimal"/>
      <w:pStyle w:val="BCNumber4"/>
      <w:lvlText w:val="%1.%2.%3.%4.%5"/>
      <w:lvlJc w:val="left"/>
      <w:pPr>
        <w:tabs>
          <w:tab w:val="num" w:pos="1134"/>
        </w:tabs>
        <w:ind w:left="1134" w:hanging="113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310C67A6"/>
    <w:multiLevelType w:val="hybridMultilevel"/>
    <w:tmpl w:val="92A40740"/>
    <w:lvl w:ilvl="0" w:tplc="89283DCE">
      <w:start w:val="1"/>
      <w:numFmt w:val="lowerLetter"/>
      <w:lvlText w:val="(%1)"/>
      <w:lvlJc w:val="left"/>
      <w:pPr>
        <w:ind w:left="2006" w:hanging="720"/>
      </w:pPr>
      <w:rPr>
        <w:rFonts w:hint="default"/>
      </w:rPr>
    </w:lvl>
    <w:lvl w:ilvl="1" w:tplc="08090019">
      <w:start w:val="1"/>
      <w:numFmt w:val="lowerLetter"/>
      <w:lvlText w:val="%2."/>
      <w:lvlJc w:val="left"/>
      <w:pPr>
        <w:ind w:left="2366" w:hanging="360"/>
      </w:pPr>
    </w:lvl>
    <w:lvl w:ilvl="2" w:tplc="0809001B" w:tentative="1">
      <w:start w:val="1"/>
      <w:numFmt w:val="lowerRoman"/>
      <w:lvlText w:val="%3."/>
      <w:lvlJc w:val="right"/>
      <w:pPr>
        <w:ind w:left="3086" w:hanging="180"/>
      </w:pPr>
    </w:lvl>
    <w:lvl w:ilvl="3" w:tplc="0809000F" w:tentative="1">
      <w:start w:val="1"/>
      <w:numFmt w:val="decimal"/>
      <w:lvlText w:val="%4."/>
      <w:lvlJc w:val="left"/>
      <w:pPr>
        <w:ind w:left="3806" w:hanging="360"/>
      </w:pPr>
    </w:lvl>
    <w:lvl w:ilvl="4" w:tplc="08090019" w:tentative="1">
      <w:start w:val="1"/>
      <w:numFmt w:val="lowerLetter"/>
      <w:lvlText w:val="%5."/>
      <w:lvlJc w:val="left"/>
      <w:pPr>
        <w:ind w:left="4526" w:hanging="360"/>
      </w:pPr>
    </w:lvl>
    <w:lvl w:ilvl="5" w:tplc="0809001B" w:tentative="1">
      <w:start w:val="1"/>
      <w:numFmt w:val="lowerRoman"/>
      <w:lvlText w:val="%6."/>
      <w:lvlJc w:val="right"/>
      <w:pPr>
        <w:ind w:left="5246" w:hanging="180"/>
      </w:pPr>
    </w:lvl>
    <w:lvl w:ilvl="6" w:tplc="0809000F" w:tentative="1">
      <w:start w:val="1"/>
      <w:numFmt w:val="decimal"/>
      <w:lvlText w:val="%7."/>
      <w:lvlJc w:val="left"/>
      <w:pPr>
        <w:ind w:left="5966" w:hanging="360"/>
      </w:pPr>
    </w:lvl>
    <w:lvl w:ilvl="7" w:tplc="08090019" w:tentative="1">
      <w:start w:val="1"/>
      <w:numFmt w:val="lowerLetter"/>
      <w:lvlText w:val="%8."/>
      <w:lvlJc w:val="left"/>
      <w:pPr>
        <w:ind w:left="6686" w:hanging="360"/>
      </w:pPr>
    </w:lvl>
    <w:lvl w:ilvl="8" w:tplc="0809001B" w:tentative="1">
      <w:start w:val="1"/>
      <w:numFmt w:val="lowerRoman"/>
      <w:lvlText w:val="%9."/>
      <w:lvlJc w:val="right"/>
      <w:pPr>
        <w:ind w:left="7406" w:hanging="180"/>
      </w:pPr>
    </w:lvl>
  </w:abstractNum>
  <w:abstractNum w:abstractNumId="4">
    <w:nsid w:val="4A613AC6"/>
    <w:multiLevelType w:val="multilevel"/>
    <w:tmpl w:val="A8DA57DC"/>
    <w:lvl w:ilvl="0">
      <w:start w:val="1"/>
      <w:numFmt w:val="decimal"/>
      <w:lvlText w:val="%1."/>
      <w:lvlJc w:val="left"/>
      <w:pPr>
        <w:ind w:left="567" w:hanging="567"/>
      </w:pPr>
      <w:rPr>
        <w:rFonts w:hint="default"/>
        <w:b w:val="0"/>
      </w:rPr>
    </w:lvl>
    <w:lvl w:ilvl="1">
      <w:start w:val="1"/>
      <w:numFmt w:val="decimal"/>
      <w:isLgl/>
      <w:lvlText w:val="%1.%2"/>
      <w:lvlJc w:val="left"/>
      <w:pPr>
        <w:ind w:left="1418" w:hanging="851"/>
      </w:pPr>
      <w:rPr>
        <w:rFonts w:hint="default"/>
        <w:b w:val="0"/>
      </w:rPr>
    </w:lvl>
    <w:lvl w:ilvl="2">
      <w:start w:val="1"/>
      <w:numFmt w:val="decimal"/>
      <w:isLgl/>
      <w:lvlText w:val="%1.%2.%3"/>
      <w:lvlJc w:val="left"/>
      <w:pPr>
        <w:ind w:left="1701" w:hanging="567"/>
      </w:pPr>
      <w:rPr>
        <w:rFonts w:hint="default"/>
      </w:rPr>
    </w:lvl>
    <w:lvl w:ilvl="3">
      <w:start w:val="1"/>
      <w:numFmt w:val="decimal"/>
      <w:isLgl/>
      <w:lvlText w:val="%1.%2.%3.%4"/>
      <w:lvlJc w:val="left"/>
      <w:pPr>
        <w:ind w:left="2268" w:hanging="567"/>
      </w:pPr>
      <w:rPr>
        <w:rFonts w:hint="default"/>
      </w:rPr>
    </w:lvl>
    <w:lvl w:ilvl="4">
      <w:start w:val="1"/>
      <w:numFmt w:val="decimal"/>
      <w:isLgl/>
      <w:lvlText w:val="%1.%2.%3.%4.%5"/>
      <w:lvlJc w:val="left"/>
      <w:pPr>
        <w:ind w:left="2835" w:hanging="567"/>
      </w:pPr>
      <w:rPr>
        <w:rFonts w:hint="default"/>
      </w:rPr>
    </w:lvl>
    <w:lvl w:ilvl="5">
      <w:start w:val="1"/>
      <w:numFmt w:val="decimal"/>
      <w:isLgl/>
      <w:lvlText w:val="%1.%2.%3.%4.%5.%6"/>
      <w:lvlJc w:val="left"/>
      <w:pPr>
        <w:ind w:left="3402" w:hanging="567"/>
      </w:pPr>
      <w:rPr>
        <w:rFonts w:hint="default"/>
      </w:rPr>
    </w:lvl>
    <w:lvl w:ilvl="6">
      <w:start w:val="1"/>
      <w:numFmt w:val="decimal"/>
      <w:isLgl/>
      <w:lvlText w:val="%1.%2.%3.%4.%5.%6.%7"/>
      <w:lvlJc w:val="left"/>
      <w:pPr>
        <w:ind w:left="3969" w:hanging="567"/>
      </w:pPr>
      <w:rPr>
        <w:rFonts w:hint="default"/>
      </w:rPr>
    </w:lvl>
    <w:lvl w:ilvl="7">
      <w:start w:val="1"/>
      <w:numFmt w:val="decimal"/>
      <w:isLgl/>
      <w:lvlText w:val="%1.%2.%3.%4.%5.%6.%7.%8"/>
      <w:lvlJc w:val="left"/>
      <w:pPr>
        <w:ind w:left="4536" w:hanging="567"/>
      </w:pPr>
      <w:rPr>
        <w:rFonts w:hint="default"/>
      </w:rPr>
    </w:lvl>
    <w:lvl w:ilvl="8">
      <w:start w:val="1"/>
      <w:numFmt w:val="decimal"/>
      <w:isLgl/>
      <w:lvlText w:val="%1.%2.%3.%4.%5.%6.%7.%8.%9"/>
      <w:lvlJc w:val="left"/>
      <w:pPr>
        <w:ind w:left="5103" w:hanging="567"/>
      </w:pPr>
      <w:rPr>
        <w:rFonts w:hint="default"/>
      </w:rPr>
    </w:lvl>
  </w:abstractNum>
  <w:abstractNum w:abstractNumId="5">
    <w:nsid w:val="58F45766"/>
    <w:multiLevelType w:val="hybridMultilevel"/>
    <w:tmpl w:val="6C94F774"/>
    <w:lvl w:ilvl="0" w:tplc="767CF322">
      <w:start w:val="1"/>
      <w:numFmt w:val="lowerLetter"/>
      <w:lvlText w:val="(%1)"/>
      <w:lvlJc w:val="left"/>
      <w:pPr>
        <w:ind w:left="2156" w:hanging="720"/>
      </w:pPr>
      <w:rPr>
        <w:rFonts w:hint="default"/>
      </w:rPr>
    </w:lvl>
    <w:lvl w:ilvl="1" w:tplc="08090019">
      <w:start w:val="1"/>
      <w:numFmt w:val="lowerLetter"/>
      <w:lvlText w:val="%2."/>
      <w:lvlJc w:val="left"/>
      <w:pPr>
        <w:ind w:left="2516" w:hanging="360"/>
      </w:pPr>
    </w:lvl>
    <w:lvl w:ilvl="2" w:tplc="0809001B">
      <w:start w:val="1"/>
      <w:numFmt w:val="lowerRoman"/>
      <w:lvlText w:val="%3."/>
      <w:lvlJc w:val="right"/>
      <w:pPr>
        <w:ind w:left="3236" w:hanging="180"/>
      </w:pPr>
    </w:lvl>
    <w:lvl w:ilvl="3" w:tplc="A836CDFE">
      <w:start w:val="36"/>
      <w:numFmt w:val="decimal"/>
      <w:lvlText w:val="%4."/>
      <w:lvlJc w:val="left"/>
      <w:pPr>
        <w:ind w:left="3971" w:hanging="375"/>
      </w:pPr>
      <w:rPr>
        <w:rFonts w:hint="default"/>
      </w:r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6">
    <w:nsid w:val="711D3E4A"/>
    <w:multiLevelType w:val="hybridMultilevel"/>
    <w:tmpl w:val="C0FC3B66"/>
    <w:lvl w:ilvl="0" w:tplc="32647340">
      <w:start w:val="1"/>
      <w:numFmt w:val="lowerLetter"/>
      <w:lvlText w:val="(%1)"/>
      <w:lvlJc w:val="left"/>
      <w:pPr>
        <w:ind w:left="2655" w:hanging="36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0004"/>
  <w:defaultTabStop w:val="720"/>
  <w:displayHorizontalDrawingGridEvery w:val="0"/>
  <w:displayVerticalDrawingGridEvery w:val="0"/>
  <w:doNotUseMarginsForDrawingGridOrigin/>
  <w:noPunctuationKerning/>
  <w:characterSpacingControl w:val="doNotCompress"/>
  <w:hdrShapeDefaults>
    <o:shapedefaults v:ext="edit" spidmax="4099">
      <o:colormru v:ext="edit" colors="#636263,#039"/>
    </o:shapedefaults>
    <o:shapelayout v:ext="edit">
      <o:idmap v:ext="edit" data="4"/>
    </o:shapelayout>
  </w:hdrShapeDefaults>
  <w:footnotePr>
    <w:footnote w:id="-1"/>
    <w:footnote w:id="0"/>
  </w:footnotePr>
  <w:endnotePr>
    <w:endnote w:id="-1"/>
    <w:endnote w:id="0"/>
  </w:endnotePr>
  <w:compat/>
  <w:rsids>
    <w:rsidRoot w:val="00E47453"/>
    <w:rsid w:val="00024354"/>
    <w:rsid w:val="00053D09"/>
    <w:rsid w:val="00054D59"/>
    <w:rsid w:val="000575CA"/>
    <w:rsid w:val="000641F5"/>
    <w:rsid w:val="000644F2"/>
    <w:rsid w:val="000659F4"/>
    <w:rsid w:val="00075D8D"/>
    <w:rsid w:val="00082559"/>
    <w:rsid w:val="00082DBF"/>
    <w:rsid w:val="000862A2"/>
    <w:rsid w:val="00091E96"/>
    <w:rsid w:val="000951CA"/>
    <w:rsid w:val="000A03B1"/>
    <w:rsid w:val="000C72D1"/>
    <w:rsid w:val="000F2336"/>
    <w:rsid w:val="000F2C09"/>
    <w:rsid w:val="000F4592"/>
    <w:rsid w:val="000F5523"/>
    <w:rsid w:val="00107691"/>
    <w:rsid w:val="00112885"/>
    <w:rsid w:val="00143602"/>
    <w:rsid w:val="00190BE2"/>
    <w:rsid w:val="001A1601"/>
    <w:rsid w:val="001B3524"/>
    <w:rsid w:val="001B7807"/>
    <w:rsid w:val="001C5762"/>
    <w:rsid w:val="001D3B6D"/>
    <w:rsid w:val="001E0BA8"/>
    <w:rsid w:val="001E6C11"/>
    <w:rsid w:val="001F2B20"/>
    <w:rsid w:val="001F4934"/>
    <w:rsid w:val="001F7EE8"/>
    <w:rsid w:val="002057F4"/>
    <w:rsid w:val="00216C80"/>
    <w:rsid w:val="00246211"/>
    <w:rsid w:val="00252829"/>
    <w:rsid w:val="00253340"/>
    <w:rsid w:val="002729AC"/>
    <w:rsid w:val="00273A75"/>
    <w:rsid w:val="00276EAB"/>
    <w:rsid w:val="002809DC"/>
    <w:rsid w:val="0028697F"/>
    <w:rsid w:val="00293550"/>
    <w:rsid w:val="00294711"/>
    <w:rsid w:val="00295399"/>
    <w:rsid w:val="00297880"/>
    <w:rsid w:val="002A358C"/>
    <w:rsid w:val="002B493E"/>
    <w:rsid w:val="002C0851"/>
    <w:rsid w:val="002C6FC0"/>
    <w:rsid w:val="002C7425"/>
    <w:rsid w:val="002D06D4"/>
    <w:rsid w:val="002D44B4"/>
    <w:rsid w:val="002F6DF8"/>
    <w:rsid w:val="00302966"/>
    <w:rsid w:val="003036F1"/>
    <w:rsid w:val="00323CB0"/>
    <w:rsid w:val="003431CD"/>
    <w:rsid w:val="00351D7B"/>
    <w:rsid w:val="003545F5"/>
    <w:rsid w:val="00361FA5"/>
    <w:rsid w:val="00367B55"/>
    <w:rsid w:val="00367DEA"/>
    <w:rsid w:val="0037213F"/>
    <w:rsid w:val="003757A6"/>
    <w:rsid w:val="00376F29"/>
    <w:rsid w:val="00383CA2"/>
    <w:rsid w:val="00396BFD"/>
    <w:rsid w:val="003A1062"/>
    <w:rsid w:val="003A4074"/>
    <w:rsid w:val="003A6C8C"/>
    <w:rsid w:val="003B13F2"/>
    <w:rsid w:val="003B29DF"/>
    <w:rsid w:val="003D3399"/>
    <w:rsid w:val="003D56F6"/>
    <w:rsid w:val="00421181"/>
    <w:rsid w:val="00434076"/>
    <w:rsid w:val="004513DA"/>
    <w:rsid w:val="0045157E"/>
    <w:rsid w:val="00455BD5"/>
    <w:rsid w:val="00461E78"/>
    <w:rsid w:val="00464408"/>
    <w:rsid w:val="004652C0"/>
    <w:rsid w:val="00467AC0"/>
    <w:rsid w:val="00472A52"/>
    <w:rsid w:val="004A10E5"/>
    <w:rsid w:val="004A269C"/>
    <w:rsid w:val="004A794C"/>
    <w:rsid w:val="004B2B6C"/>
    <w:rsid w:val="004B4D5A"/>
    <w:rsid w:val="004C39FD"/>
    <w:rsid w:val="004E5E99"/>
    <w:rsid w:val="004F51AE"/>
    <w:rsid w:val="005158FF"/>
    <w:rsid w:val="00516664"/>
    <w:rsid w:val="00525348"/>
    <w:rsid w:val="0052633C"/>
    <w:rsid w:val="00567912"/>
    <w:rsid w:val="00582AF7"/>
    <w:rsid w:val="00584F75"/>
    <w:rsid w:val="00585AC6"/>
    <w:rsid w:val="00595236"/>
    <w:rsid w:val="005A047C"/>
    <w:rsid w:val="005A1AE3"/>
    <w:rsid w:val="005A2BDB"/>
    <w:rsid w:val="005A4213"/>
    <w:rsid w:val="005C3D4A"/>
    <w:rsid w:val="005C582B"/>
    <w:rsid w:val="005C6A20"/>
    <w:rsid w:val="00605760"/>
    <w:rsid w:val="00606438"/>
    <w:rsid w:val="00610ED4"/>
    <w:rsid w:val="0061104A"/>
    <w:rsid w:val="006159B6"/>
    <w:rsid w:val="00626D45"/>
    <w:rsid w:val="00631B7F"/>
    <w:rsid w:val="00636859"/>
    <w:rsid w:val="0064547D"/>
    <w:rsid w:val="00652234"/>
    <w:rsid w:val="00652E7A"/>
    <w:rsid w:val="00663CD2"/>
    <w:rsid w:val="00672FB3"/>
    <w:rsid w:val="006745C0"/>
    <w:rsid w:val="0067484D"/>
    <w:rsid w:val="00682D55"/>
    <w:rsid w:val="00686406"/>
    <w:rsid w:val="00697017"/>
    <w:rsid w:val="006A1AD9"/>
    <w:rsid w:val="006A1C39"/>
    <w:rsid w:val="006C10F4"/>
    <w:rsid w:val="006C2A1A"/>
    <w:rsid w:val="006D0E7E"/>
    <w:rsid w:val="006D4C83"/>
    <w:rsid w:val="006D6F6C"/>
    <w:rsid w:val="007124AE"/>
    <w:rsid w:val="007221D0"/>
    <w:rsid w:val="007529E1"/>
    <w:rsid w:val="00753653"/>
    <w:rsid w:val="007566E3"/>
    <w:rsid w:val="00760AA2"/>
    <w:rsid w:val="00764610"/>
    <w:rsid w:val="00767EBD"/>
    <w:rsid w:val="00783450"/>
    <w:rsid w:val="00783BCD"/>
    <w:rsid w:val="0079020C"/>
    <w:rsid w:val="007A4975"/>
    <w:rsid w:val="007B2C40"/>
    <w:rsid w:val="007B4300"/>
    <w:rsid w:val="007C654C"/>
    <w:rsid w:val="007D4F5B"/>
    <w:rsid w:val="007D6556"/>
    <w:rsid w:val="007F587B"/>
    <w:rsid w:val="00816BD2"/>
    <w:rsid w:val="00821D35"/>
    <w:rsid w:val="00836B1A"/>
    <w:rsid w:val="00836BF7"/>
    <w:rsid w:val="008377F1"/>
    <w:rsid w:val="0084055E"/>
    <w:rsid w:val="00847ED3"/>
    <w:rsid w:val="00852546"/>
    <w:rsid w:val="0086301E"/>
    <w:rsid w:val="00866C58"/>
    <w:rsid w:val="00870A98"/>
    <w:rsid w:val="008919BB"/>
    <w:rsid w:val="00892FED"/>
    <w:rsid w:val="008A21E4"/>
    <w:rsid w:val="008B09C2"/>
    <w:rsid w:val="008C0BB3"/>
    <w:rsid w:val="008D43EB"/>
    <w:rsid w:val="008D5D07"/>
    <w:rsid w:val="008E1B7B"/>
    <w:rsid w:val="009028EB"/>
    <w:rsid w:val="00916D81"/>
    <w:rsid w:val="00917BCC"/>
    <w:rsid w:val="0092083B"/>
    <w:rsid w:val="00924AE1"/>
    <w:rsid w:val="00934F88"/>
    <w:rsid w:val="009369EC"/>
    <w:rsid w:val="00944F9E"/>
    <w:rsid w:val="00956CDF"/>
    <w:rsid w:val="00973FCD"/>
    <w:rsid w:val="009746B9"/>
    <w:rsid w:val="00985775"/>
    <w:rsid w:val="00994076"/>
    <w:rsid w:val="00995500"/>
    <w:rsid w:val="009A79ED"/>
    <w:rsid w:val="009C530F"/>
    <w:rsid w:val="009D7431"/>
    <w:rsid w:val="009F0D55"/>
    <w:rsid w:val="009F184A"/>
    <w:rsid w:val="009F5096"/>
    <w:rsid w:val="00A13EEE"/>
    <w:rsid w:val="00A14C24"/>
    <w:rsid w:val="00A44A73"/>
    <w:rsid w:val="00A55852"/>
    <w:rsid w:val="00A67621"/>
    <w:rsid w:val="00A73490"/>
    <w:rsid w:val="00A81810"/>
    <w:rsid w:val="00A857B1"/>
    <w:rsid w:val="00AA45F6"/>
    <w:rsid w:val="00AA57EB"/>
    <w:rsid w:val="00AA7BEE"/>
    <w:rsid w:val="00AB18A4"/>
    <w:rsid w:val="00AB4E79"/>
    <w:rsid w:val="00AC46F3"/>
    <w:rsid w:val="00AD50C7"/>
    <w:rsid w:val="00AE5FE7"/>
    <w:rsid w:val="00AF0D38"/>
    <w:rsid w:val="00B02B5C"/>
    <w:rsid w:val="00B0428A"/>
    <w:rsid w:val="00B12CBB"/>
    <w:rsid w:val="00B43137"/>
    <w:rsid w:val="00B461AD"/>
    <w:rsid w:val="00B46DE8"/>
    <w:rsid w:val="00B46E74"/>
    <w:rsid w:val="00B60A0B"/>
    <w:rsid w:val="00B72AAE"/>
    <w:rsid w:val="00B83E83"/>
    <w:rsid w:val="00B93C55"/>
    <w:rsid w:val="00B9422F"/>
    <w:rsid w:val="00BA3CA0"/>
    <w:rsid w:val="00BB27A0"/>
    <w:rsid w:val="00BB3A6A"/>
    <w:rsid w:val="00BB7A20"/>
    <w:rsid w:val="00BC66B6"/>
    <w:rsid w:val="00BF1858"/>
    <w:rsid w:val="00C01A01"/>
    <w:rsid w:val="00C11394"/>
    <w:rsid w:val="00C413CC"/>
    <w:rsid w:val="00C45A9F"/>
    <w:rsid w:val="00C476E4"/>
    <w:rsid w:val="00C519C7"/>
    <w:rsid w:val="00C65905"/>
    <w:rsid w:val="00C731E4"/>
    <w:rsid w:val="00C76A36"/>
    <w:rsid w:val="00C81577"/>
    <w:rsid w:val="00C847F9"/>
    <w:rsid w:val="00C911A4"/>
    <w:rsid w:val="00C91287"/>
    <w:rsid w:val="00C919FB"/>
    <w:rsid w:val="00CB23BF"/>
    <w:rsid w:val="00CB3474"/>
    <w:rsid w:val="00CB7D26"/>
    <w:rsid w:val="00CC19F3"/>
    <w:rsid w:val="00CF2C32"/>
    <w:rsid w:val="00D01364"/>
    <w:rsid w:val="00D014D5"/>
    <w:rsid w:val="00D016BB"/>
    <w:rsid w:val="00D030B0"/>
    <w:rsid w:val="00D10488"/>
    <w:rsid w:val="00D26376"/>
    <w:rsid w:val="00D2652E"/>
    <w:rsid w:val="00D40CEA"/>
    <w:rsid w:val="00D5156F"/>
    <w:rsid w:val="00D51818"/>
    <w:rsid w:val="00D640CF"/>
    <w:rsid w:val="00D70F34"/>
    <w:rsid w:val="00D90E89"/>
    <w:rsid w:val="00DA017C"/>
    <w:rsid w:val="00DA24BE"/>
    <w:rsid w:val="00DB31FE"/>
    <w:rsid w:val="00DB7D94"/>
    <w:rsid w:val="00DD1587"/>
    <w:rsid w:val="00DD2B49"/>
    <w:rsid w:val="00DF2527"/>
    <w:rsid w:val="00DF3B63"/>
    <w:rsid w:val="00DF5720"/>
    <w:rsid w:val="00DF723A"/>
    <w:rsid w:val="00E07B69"/>
    <w:rsid w:val="00E110D4"/>
    <w:rsid w:val="00E36DBF"/>
    <w:rsid w:val="00E40E07"/>
    <w:rsid w:val="00E47453"/>
    <w:rsid w:val="00E47A79"/>
    <w:rsid w:val="00E52E1A"/>
    <w:rsid w:val="00E53289"/>
    <w:rsid w:val="00E97CF4"/>
    <w:rsid w:val="00EA143C"/>
    <w:rsid w:val="00EA38D6"/>
    <w:rsid w:val="00EB033F"/>
    <w:rsid w:val="00EB3561"/>
    <w:rsid w:val="00EC77AB"/>
    <w:rsid w:val="00ED0096"/>
    <w:rsid w:val="00ED6DF8"/>
    <w:rsid w:val="00EE63AB"/>
    <w:rsid w:val="00EF18DF"/>
    <w:rsid w:val="00F02616"/>
    <w:rsid w:val="00F24AC5"/>
    <w:rsid w:val="00F24F04"/>
    <w:rsid w:val="00F54CEB"/>
    <w:rsid w:val="00F643CD"/>
    <w:rsid w:val="00F648F0"/>
    <w:rsid w:val="00F7092A"/>
    <w:rsid w:val="00F76E5F"/>
    <w:rsid w:val="00F81DD4"/>
    <w:rsid w:val="00F8608B"/>
    <w:rsid w:val="00F9021A"/>
    <w:rsid w:val="00F96FAF"/>
    <w:rsid w:val="00FA1050"/>
    <w:rsid w:val="00FA2780"/>
    <w:rsid w:val="00FA5D19"/>
    <w:rsid w:val="00FA6EC1"/>
    <w:rsid w:val="00FB0470"/>
    <w:rsid w:val="00FB6DEE"/>
    <w:rsid w:val="00FC1FF1"/>
    <w:rsid w:val="00FC4A8F"/>
    <w:rsid w:val="00FC4D7E"/>
    <w:rsid w:val="00FD476B"/>
    <w:rsid w:val="00FE0714"/>
    <w:rsid w:val="00FE229B"/>
    <w:rsid w:val="00FF1E25"/>
    <w:rsid w:val="00FF2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colormru v:ext="edit" colors="#636263,#0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527" w:hanging="527"/>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89"/>
    <w:rPr>
      <w:rFonts w:ascii="Arial" w:hAnsi="Arial"/>
      <w:sz w:val="24"/>
      <w:lang w:val="en-ZA"/>
    </w:rPr>
  </w:style>
  <w:style w:type="paragraph" w:styleId="Heading1">
    <w:name w:val="heading 1"/>
    <w:basedOn w:val="Normal"/>
    <w:next w:val="Normal"/>
    <w:qFormat/>
    <w:rsid w:val="00E53289"/>
    <w:pPr>
      <w:keepNext/>
      <w:widowControl w:val="0"/>
      <w:outlineLvl w:val="0"/>
    </w:pPr>
    <w:rPr>
      <w:b/>
      <w:snapToGrid w:val="0"/>
      <w:sz w:val="28"/>
    </w:rPr>
  </w:style>
  <w:style w:type="paragraph" w:styleId="Heading2">
    <w:name w:val="heading 2"/>
    <w:basedOn w:val="Normal"/>
    <w:next w:val="Normal"/>
    <w:qFormat/>
    <w:rsid w:val="00E53289"/>
    <w:pPr>
      <w:keepNext/>
      <w:jc w:val="center"/>
      <w:outlineLvl w:val="1"/>
    </w:pPr>
    <w:rPr>
      <w:rFonts w:ascii="Times New Roman" w:hAnsi="Times New Roman"/>
      <w:b/>
      <w:sz w:val="48"/>
    </w:rPr>
  </w:style>
  <w:style w:type="paragraph" w:styleId="Heading3">
    <w:name w:val="heading 3"/>
    <w:basedOn w:val="Normal"/>
    <w:next w:val="Normal"/>
    <w:qFormat/>
    <w:rsid w:val="00E53289"/>
    <w:pPr>
      <w:keepNext/>
      <w:outlineLvl w:val="2"/>
    </w:pPr>
    <w:rPr>
      <w:b/>
      <w:u w:val="single"/>
      <w:lang w:val="en-US"/>
    </w:rPr>
  </w:style>
  <w:style w:type="paragraph" w:styleId="Heading4">
    <w:name w:val="heading 4"/>
    <w:basedOn w:val="Normal"/>
    <w:next w:val="Normal"/>
    <w:qFormat/>
    <w:rsid w:val="00E53289"/>
    <w:pPr>
      <w:keepNext/>
      <w:outlineLvl w:val="3"/>
    </w:pPr>
    <w:rPr>
      <w:b/>
    </w:rPr>
  </w:style>
  <w:style w:type="paragraph" w:styleId="Heading5">
    <w:name w:val="heading 5"/>
    <w:basedOn w:val="Normal"/>
    <w:next w:val="Normal"/>
    <w:qFormat/>
    <w:rsid w:val="00E53289"/>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53289"/>
    <w:rPr>
      <w:sz w:val="16"/>
    </w:rPr>
  </w:style>
  <w:style w:type="paragraph" w:styleId="EnvelopeAddress">
    <w:name w:val="envelope address"/>
    <w:basedOn w:val="Normal"/>
    <w:rsid w:val="00E53289"/>
    <w:pPr>
      <w:framePr w:w="7920" w:h="1980" w:hRule="exact" w:hSpace="180" w:wrap="auto" w:hAnchor="page" w:xAlign="center" w:yAlign="bottom"/>
      <w:ind w:left="2880"/>
    </w:pPr>
    <w:rPr>
      <w:sz w:val="20"/>
    </w:rPr>
  </w:style>
  <w:style w:type="paragraph" w:styleId="Header">
    <w:name w:val="header"/>
    <w:basedOn w:val="Normal"/>
    <w:rsid w:val="00E53289"/>
    <w:pPr>
      <w:tabs>
        <w:tab w:val="center" w:pos="4320"/>
        <w:tab w:val="right" w:pos="8640"/>
      </w:tabs>
    </w:pPr>
  </w:style>
  <w:style w:type="paragraph" w:styleId="Footer">
    <w:name w:val="footer"/>
    <w:basedOn w:val="Normal"/>
    <w:rsid w:val="00E53289"/>
    <w:pPr>
      <w:tabs>
        <w:tab w:val="center" w:pos="4320"/>
        <w:tab w:val="right" w:pos="8640"/>
      </w:tabs>
    </w:pPr>
  </w:style>
  <w:style w:type="paragraph" w:customStyle="1" w:styleId="BankingCouncilFooter">
    <w:name w:val="Banking Council Footer"/>
    <w:basedOn w:val="Normal"/>
    <w:rsid w:val="00E110D4"/>
    <w:pPr>
      <w:spacing w:line="120" w:lineRule="exact"/>
    </w:pPr>
    <w:rPr>
      <w:sz w:val="14"/>
    </w:rPr>
  </w:style>
  <w:style w:type="character" w:styleId="PageNumber">
    <w:name w:val="page number"/>
    <w:basedOn w:val="DefaultParagraphFont"/>
    <w:rsid w:val="00E53289"/>
  </w:style>
  <w:style w:type="paragraph" w:customStyle="1" w:styleId="BCHeading1">
    <w:name w:val="BC Heading 1"/>
    <w:basedOn w:val="Heading1"/>
    <w:rsid w:val="006C2A1A"/>
    <w:pPr>
      <w:keepNext w:val="0"/>
      <w:widowControl/>
      <w:numPr>
        <w:numId w:val="1"/>
      </w:numPr>
      <w:spacing w:before="120" w:after="120"/>
    </w:pPr>
    <w:rPr>
      <w:rFonts w:ascii="Verdana" w:hAnsi="Verdana"/>
      <w:snapToGrid/>
      <w:kern w:val="28"/>
    </w:rPr>
  </w:style>
  <w:style w:type="paragraph" w:customStyle="1" w:styleId="TableStyle">
    <w:name w:val="Table Style"/>
    <w:basedOn w:val="Normal"/>
    <w:rsid w:val="00E53289"/>
    <w:rPr>
      <w:lang w:val="en-US"/>
    </w:rPr>
  </w:style>
  <w:style w:type="paragraph" w:customStyle="1" w:styleId="BCHeading2">
    <w:name w:val="BC Heading 2"/>
    <w:basedOn w:val="Heading2"/>
    <w:rsid w:val="006C2A1A"/>
    <w:pPr>
      <w:numPr>
        <w:ilvl w:val="1"/>
        <w:numId w:val="1"/>
      </w:numPr>
      <w:spacing w:after="120"/>
      <w:jc w:val="both"/>
    </w:pPr>
    <w:rPr>
      <w:rFonts w:ascii="Verdana" w:hAnsi="Verdana"/>
      <w:b w:val="0"/>
      <w:sz w:val="24"/>
    </w:rPr>
  </w:style>
  <w:style w:type="paragraph" w:customStyle="1" w:styleId="BCHeading3">
    <w:name w:val="BC Heading 3"/>
    <w:basedOn w:val="Heading3"/>
    <w:rsid w:val="006C2A1A"/>
    <w:pPr>
      <w:keepNext w:val="0"/>
      <w:numPr>
        <w:ilvl w:val="2"/>
        <w:numId w:val="1"/>
      </w:numPr>
      <w:spacing w:after="120"/>
    </w:pPr>
    <w:rPr>
      <w:rFonts w:ascii="Verdana" w:hAnsi="Verdana"/>
      <w:b w:val="0"/>
      <w:u w:val="none"/>
      <w:lang w:val="en-ZA"/>
    </w:rPr>
  </w:style>
  <w:style w:type="paragraph" w:customStyle="1" w:styleId="BCHeading4">
    <w:name w:val="BC Heading 4"/>
    <w:basedOn w:val="Heading4"/>
    <w:rsid w:val="006C2A1A"/>
    <w:pPr>
      <w:keepNext w:val="0"/>
      <w:numPr>
        <w:ilvl w:val="3"/>
        <w:numId w:val="1"/>
      </w:numPr>
      <w:spacing w:after="120"/>
    </w:pPr>
    <w:rPr>
      <w:rFonts w:ascii="Verdana" w:hAnsi="Verdana"/>
      <w:b w:val="0"/>
    </w:rPr>
  </w:style>
  <w:style w:type="paragraph" w:customStyle="1" w:styleId="BCMainHeading">
    <w:name w:val="BC Main Heading"/>
    <w:basedOn w:val="Normal"/>
    <w:next w:val="Normal"/>
    <w:rsid w:val="006C2A1A"/>
    <w:pPr>
      <w:spacing w:line="360" w:lineRule="auto"/>
      <w:jc w:val="center"/>
    </w:pPr>
    <w:rPr>
      <w:rFonts w:ascii="Verdana" w:hAnsi="Verdana"/>
      <w:b/>
      <w:caps/>
      <w:sz w:val="32"/>
    </w:rPr>
  </w:style>
  <w:style w:type="paragraph" w:customStyle="1" w:styleId="BCNumber1">
    <w:name w:val="BC Number 1"/>
    <w:basedOn w:val="BCHeading2"/>
    <w:rsid w:val="006C2A1A"/>
    <w:pPr>
      <w:numPr>
        <w:ilvl w:val="0"/>
        <w:numId w:val="0"/>
      </w:numPr>
      <w:tabs>
        <w:tab w:val="num" w:pos="851"/>
      </w:tabs>
      <w:ind w:left="851" w:hanging="851"/>
    </w:pPr>
  </w:style>
  <w:style w:type="paragraph" w:customStyle="1" w:styleId="BCNumber2">
    <w:name w:val="BC Number 2"/>
    <w:basedOn w:val="Normal"/>
    <w:autoRedefine/>
    <w:rsid w:val="006C2A1A"/>
    <w:pPr>
      <w:keepNext/>
      <w:tabs>
        <w:tab w:val="num" w:pos="851"/>
      </w:tabs>
      <w:spacing w:after="120"/>
      <w:outlineLvl w:val="2"/>
    </w:pPr>
    <w:rPr>
      <w:rFonts w:ascii="Verdana" w:hAnsi="Verdana"/>
    </w:rPr>
  </w:style>
  <w:style w:type="paragraph" w:customStyle="1" w:styleId="BCNumber3">
    <w:name w:val="BC Number 3"/>
    <w:basedOn w:val="BCHeading4"/>
    <w:rsid w:val="00E110D4"/>
    <w:pPr>
      <w:numPr>
        <w:ilvl w:val="0"/>
        <w:numId w:val="0"/>
      </w:numPr>
      <w:tabs>
        <w:tab w:val="num" w:pos="1134"/>
      </w:tabs>
      <w:ind w:left="1134" w:hanging="1134"/>
    </w:pPr>
  </w:style>
  <w:style w:type="paragraph" w:customStyle="1" w:styleId="BCNumber4">
    <w:name w:val="BC Number 4"/>
    <w:basedOn w:val="Heading5"/>
    <w:rsid w:val="006C2A1A"/>
    <w:pPr>
      <w:numPr>
        <w:ilvl w:val="4"/>
        <w:numId w:val="1"/>
      </w:numPr>
      <w:spacing w:before="0" w:after="120"/>
    </w:pPr>
    <w:rPr>
      <w:rFonts w:ascii="Verdana" w:hAnsi="Verdana"/>
      <w:sz w:val="24"/>
      <w:lang w:val="en-US"/>
    </w:rPr>
  </w:style>
  <w:style w:type="paragraph" w:customStyle="1" w:styleId="BCSubHeading">
    <w:name w:val="BC Sub Heading"/>
    <w:basedOn w:val="Normal"/>
    <w:next w:val="Normal"/>
    <w:rsid w:val="006C2A1A"/>
    <w:pPr>
      <w:spacing w:line="360" w:lineRule="auto"/>
      <w:jc w:val="center"/>
    </w:pPr>
    <w:rPr>
      <w:rFonts w:ascii="Verdana" w:hAnsi="Verdana"/>
      <w:b/>
      <w:sz w:val="28"/>
    </w:rPr>
  </w:style>
  <w:style w:type="paragraph" w:customStyle="1" w:styleId="BCText1">
    <w:name w:val="BC Text 1"/>
    <w:basedOn w:val="Normal"/>
    <w:rsid w:val="006C2A1A"/>
    <w:pPr>
      <w:spacing w:after="120"/>
    </w:pPr>
    <w:rPr>
      <w:rFonts w:ascii="Verdana" w:hAnsi="Verdana"/>
    </w:rPr>
  </w:style>
  <w:style w:type="paragraph" w:customStyle="1" w:styleId="BCText2">
    <w:name w:val="BC Text 2"/>
    <w:basedOn w:val="BCText1"/>
    <w:rsid w:val="006C2A1A"/>
  </w:style>
  <w:style w:type="paragraph" w:customStyle="1" w:styleId="BCText3">
    <w:name w:val="BC Text 3"/>
    <w:basedOn w:val="BCText1"/>
    <w:rsid w:val="00E110D4"/>
    <w:pPr>
      <w:ind w:left="1134"/>
    </w:pPr>
  </w:style>
  <w:style w:type="paragraph" w:customStyle="1" w:styleId="BCText4">
    <w:name w:val="BC Text 4"/>
    <w:basedOn w:val="BCText3"/>
    <w:rsid w:val="00E110D4"/>
  </w:style>
  <w:style w:type="table" w:styleId="TableGrid">
    <w:name w:val="Table Grid"/>
    <w:basedOn w:val="TableNormal"/>
    <w:rsid w:val="00E53289"/>
    <w:pPr>
      <w:spacing w:after="24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10">
    <w:name w:val="BA1.0"/>
    <w:basedOn w:val="Normal"/>
    <w:qFormat/>
    <w:rsid w:val="00D40CEA"/>
    <w:rPr>
      <w:rFonts w:ascii="Verdana" w:eastAsia="Calibri" w:hAnsi="Verdana"/>
      <w:sz w:val="22"/>
      <w:szCs w:val="22"/>
    </w:rPr>
  </w:style>
  <w:style w:type="paragraph" w:customStyle="1" w:styleId="BA15">
    <w:name w:val="BA1.5"/>
    <w:basedOn w:val="Normal"/>
    <w:qFormat/>
    <w:rsid w:val="00D40CEA"/>
    <w:pPr>
      <w:spacing w:line="360" w:lineRule="auto"/>
    </w:pPr>
    <w:rPr>
      <w:rFonts w:ascii="Verdana" w:eastAsia="Calibri" w:hAnsi="Verdana"/>
      <w:sz w:val="22"/>
      <w:szCs w:val="22"/>
    </w:rPr>
  </w:style>
  <w:style w:type="paragraph" w:customStyle="1" w:styleId="Style1">
    <w:name w:val="Style1"/>
    <w:basedOn w:val="Normal"/>
    <w:rsid w:val="00FE0714"/>
    <w:pPr>
      <w:jc w:val="left"/>
    </w:pPr>
    <w:rPr>
      <w:sz w:val="28"/>
    </w:rPr>
  </w:style>
  <w:style w:type="paragraph" w:customStyle="1" w:styleId="Style2">
    <w:name w:val="Style2"/>
    <w:basedOn w:val="BA10"/>
    <w:rsid w:val="00E53289"/>
  </w:style>
  <w:style w:type="paragraph" w:styleId="BlockText">
    <w:name w:val="Block Text"/>
    <w:basedOn w:val="Normal"/>
    <w:rsid w:val="006C2A1A"/>
    <w:pPr>
      <w:spacing w:after="120"/>
      <w:ind w:left="1440" w:right="1440"/>
    </w:pPr>
  </w:style>
  <w:style w:type="paragraph" w:styleId="BalloonText">
    <w:name w:val="Balloon Text"/>
    <w:basedOn w:val="Normal"/>
    <w:link w:val="BalloonTextChar"/>
    <w:rsid w:val="00A73490"/>
    <w:rPr>
      <w:rFonts w:ascii="Tahoma" w:hAnsi="Tahoma" w:cs="Tahoma"/>
      <w:sz w:val="16"/>
      <w:szCs w:val="16"/>
    </w:rPr>
  </w:style>
  <w:style w:type="character" w:customStyle="1" w:styleId="BalloonTextChar">
    <w:name w:val="Balloon Text Char"/>
    <w:basedOn w:val="DefaultParagraphFont"/>
    <w:link w:val="BalloonText"/>
    <w:rsid w:val="00A73490"/>
    <w:rPr>
      <w:rFonts w:ascii="Tahoma" w:hAnsi="Tahoma" w:cs="Tahoma"/>
      <w:sz w:val="16"/>
      <w:szCs w:val="16"/>
      <w:lang w:val="en-ZA"/>
    </w:rPr>
  </w:style>
  <w:style w:type="character" w:styleId="Hyperlink">
    <w:name w:val="Hyperlink"/>
    <w:basedOn w:val="DefaultParagraphFont"/>
    <w:unhideWhenUsed/>
    <w:rsid w:val="00AB4E79"/>
    <w:rPr>
      <w:color w:val="0000FF" w:themeColor="hyperlink"/>
      <w:u w:val="single"/>
    </w:rPr>
  </w:style>
  <w:style w:type="paragraph" w:styleId="ListParagraph">
    <w:name w:val="List Paragraph"/>
    <w:basedOn w:val="Normal"/>
    <w:uiPriority w:val="34"/>
    <w:qFormat/>
    <w:rsid w:val="001E0BA8"/>
    <w:pPr>
      <w:ind w:left="720"/>
      <w:contextualSpacing/>
    </w:pPr>
  </w:style>
  <w:style w:type="paragraph" w:styleId="BodyText3">
    <w:name w:val="Body Text 3"/>
    <w:basedOn w:val="Normal"/>
    <w:link w:val="BodyText3Char"/>
    <w:rsid w:val="00F8608B"/>
    <w:pPr>
      <w:spacing w:before="240"/>
      <w:ind w:left="1418" w:firstLine="0"/>
    </w:pPr>
    <w:rPr>
      <w:sz w:val="20"/>
      <w:szCs w:val="17"/>
      <w:lang w:val="en-GB"/>
    </w:rPr>
  </w:style>
  <w:style w:type="character" w:customStyle="1" w:styleId="BodyText3Char">
    <w:name w:val="Body Text 3 Char"/>
    <w:basedOn w:val="DefaultParagraphFont"/>
    <w:link w:val="BodyText3"/>
    <w:rsid w:val="00F8608B"/>
    <w:rPr>
      <w:rFonts w:ascii="Arial" w:hAnsi="Arial"/>
      <w:szCs w:val="17"/>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left="527" w:hanging="527"/>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89"/>
    <w:rPr>
      <w:rFonts w:ascii="Arial" w:hAnsi="Arial"/>
      <w:sz w:val="24"/>
      <w:lang w:val="en-ZA"/>
    </w:rPr>
  </w:style>
  <w:style w:type="paragraph" w:styleId="Heading1">
    <w:name w:val="heading 1"/>
    <w:basedOn w:val="Normal"/>
    <w:next w:val="Normal"/>
    <w:qFormat/>
    <w:rsid w:val="00E53289"/>
    <w:pPr>
      <w:keepNext/>
      <w:widowControl w:val="0"/>
      <w:outlineLvl w:val="0"/>
    </w:pPr>
    <w:rPr>
      <w:b/>
      <w:snapToGrid w:val="0"/>
      <w:sz w:val="28"/>
    </w:rPr>
  </w:style>
  <w:style w:type="paragraph" w:styleId="Heading2">
    <w:name w:val="heading 2"/>
    <w:basedOn w:val="Normal"/>
    <w:next w:val="Normal"/>
    <w:qFormat/>
    <w:rsid w:val="00E53289"/>
    <w:pPr>
      <w:keepNext/>
      <w:jc w:val="center"/>
      <w:outlineLvl w:val="1"/>
    </w:pPr>
    <w:rPr>
      <w:rFonts w:ascii="Times New Roman" w:hAnsi="Times New Roman"/>
      <w:b/>
      <w:sz w:val="48"/>
    </w:rPr>
  </w:style>
  <w:style w:type="paragraph" w:styleId="Heading3">
    <w:name w:val="heading 3"/>
    <w:basedOn w:val="Normal"/>
    <w:next w:val="Normal"/>
    <w:qFormat/>
    <w:rsid w:val="00E53289"/>
    <w:pPr>
      <w:keepNext/>
      <w:outlineLvl w:val="2"/>
    </w:pPr>
    <w:rPr>
      <w:b/>
      <w:u w:val="single"/>
      <w:lang w:val="en-US"/>
    </w:rPr>
  </w:style>
  <w:style w:type="paragraph" w:styleId="Heading4">
    <w:name w:val="heading 4"/>
    <w:basedOn w:val="Normal"/>
    <w:next w:val="Normal"/>
    <w:qFormat/>
    <w:rsid w:val="00E53289"/>
    <w:pPr>
      <w:keepNext/>
      <w:outlineLvl w:val="3"/>
    </w:pPr>
    <w:rPr>
      <w:b/>
    </w:rPr>
  </w:style>
  <w:style w:type="paragraph" w:styleId="Heading5">
    <w:name w:val="heading 5"/>
    <w:basedOn w:val="Normal"/>
    <w:next w:val="Normal"/>
    <w:qFormat/>
    <w:rsid w:val="00E53289"/>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53289"/>
    <w:rPr>
      <w:sz w:val="16"/>
    </w:rPr>
  </w:style>
  <w:style w:type="paragraph" w:styleId="EnvelopeAddress">
    <w:name w:val="envelope address"/>
    <w:basedOn w:val="Normal"/>
    <w:rsid w:val="00E53289"/>
    <w:pPr>
      <w:framePr w:w="7920" w:h="1980" w:hRule="exact" w:hSpace="180" w:wrap="auto" w:hAnchor="page" w:xAlign="center" w:yAlign="bottom"/>
      <w:ind w:left="2880"/>
    </w:pPr>
    <w:rPr>
      <w:sz w:val="20"/>
    </w:rPr>
  </w:style>
  <w:style w:type="paragraph" w:styleId="Header">
    <w:name w:val="header"/>
    <w:basedOn w:val="Normal"/>
    <w:rsid w:val="00E53289"/>
    <w:pPr>
      <w:tabs>
        <w:tab w:val="center" w:pos="4320"/>
        <w:tab w:val="right" w:pos="8640"/>
      </w:tabs>
    </w:pPr>
  </w:style>
  <w:style w:type="paragraph" w:styleId="Footer">
    <w:name w:val="footer"/>
    <w:basedOn w:val="Normal"/>
    <w:rsid w:val="00E53289"/>
    <w:pPr>
      <w:tabs>
        <w:tab w:val="center" w:pos="4320"/>
        <w:tab w:val="right" w:pos="8640"/>
      </w:tabs>
    </w:pPr>
  </w:style>
  <w:style w:type="paragraph" w:customStyle="1" w:styleId="BankingCouncilFooter">
    <w:name w:val="Banking Council Footer"/>
    <w:basedOn w:val="Normal"/>
    <w:rsid w:val="00E110D4"/>
    <w:pPr>
      <w:spacing w:line="120" w:lineRule="exact"/>
    </w:pPr>
    <w:rPr>
      <w:sz w:val="14"/>
    </w:rPr>
  </w:style>
  <w:style w:type="character" w:styleId="PageNumber">
    <w:name w:val="page number"/>
    <w:basedOn w:val="DefaultParagraphFont"/>
    <w:rsid w:val="00E53289"/>
  </w:style>
  <w:style w:type="paragraph" w:customStyle="1" w:styleId="BCHeading1">
    <w:name w:val="BC Heading 1"/>
    <w:basedOn w:val="Heading1"/>
    <w:rsid w:val="006C2A1A"/>
    <w:pPr>
      <w:keepNext w:val="0"/>
      <w:widowControl/>
      <w:numPr>
        <w:numId w:val="1"/>
      </w:numPr>
      <w:spacing w:before="120" w:after="120"/>
    </w:pPr>
    <w:rPr>
      <w:rFonts w:ascii="Verdana" w:hAnsi="Verdana"/>
      <w:snapToGrid/>
      <w:kern w:val="28"/>
    </w:rPr>
  </w:style>
  <w:style w:type="paragraph" w:customStyle="1" w:styleId="TableStyle">
    <w:name w:val="Table Style"/>
    <w:basedOn w:val="Normal"/>
    <w:rsid w:val="00E53289"/>
    <w:rPr>
      <w:lang w:val="en-US"/>
    </w:rPr>
  </w:style>
  <w:style w:type="paragraph" w:customStyle="1" w:styleId="BCHeading2">
    <w:name w:val="BC Heading 2"/>
    <w:basedOn w:val="Heading2"/>
    <w:rsid w:val="006C2A1A"/>
    <w:pPr>
      <w:numPr>
        <w:ilvl w:val="1"/>
        <w:numId w:val="1"/>
      </w:numPr>
      <w:spacing w:after="120"/>
      <w:jc w:val="both"/>
    </w:pPr>
    <w:rPr>
      <w:rFonts w:ascii="Verdana" w:hAnsi="Verdana"/>
      <w:b w:val="0"/>
      <w:sz w:val="24"/>
    </w:rPr>
  </w:style>
  <w:style w:type="paragraph" w:customStyle="1" w:styleId="BCHeading3">
    <w:name w:val="BC Heading 3"/>
    <w:basedOn w:val="Heading3"/>
    <w:rsid w:val="006C2A1A"/>
    <w:pPr>
      <w:keepNext w:val="0"/>
      <w:numPr>
        <w:ilvl w:val="2"/>
        <w:numId w:val="1"/>
      </w:numPr>
      <w:spacing w:after="120"/>
    </w:pPr>
    <w:rPr>
      <w:rFonts w:ascii="Verdana" w:hAnsi="Verdana"/>
      <w:b w:val="0"/>
      <w:u w:val="none"/>
      <w:lang w:val="en-ZA"/>
    </w:rPr>
  </w:style>
  <w:style w:type="paragraph" w:customStyle="1" w:styleId="BCHeading4">
    <w:name w:val="BC Heading 4"/>
    <w:basedOn w:val="Heading4"/>
    <w:rsid w:val="006C2A1A"/>
    <w:pPr>
      <w:keepNext w:val="0"/>
      <w:numPr>
        <w:ilvl w:val="3"/>
        <w:numId w:val="1"/>
      </w:numPr>
      <w:spacing w:after="120"/>
    </w:pPr>
    <w:rPr>
      <w:rFonts w:ascii="Verdana" w:hAnsi="Verdana"/>
      <w:b w:val="0"/>
    </w:rPr>
  </w:style>
  <w:style w:type="paragraph" w:customStyle="1" w:styleId="BCMainHeading">
    <w:name w:val="BC Main Heading"/>
    <w:basedOn w:val="Normal"/>
    <w:next w:val="Normal"/>
    <w:rsid w:val="006C2A1A"/>
    <w:pPr>
      <w:spacing w:line="360" w:lineRule="auto"/>
      <w:jc w:val="center"/>
    </w:pPr>
    <w:rPr>
      <w:rFonts w:ascii="Verdana" w:hAnsi="Verdana"/>
      <w:b/>
      <w:caps/>
      <w:sz w:val="32"/>
    </w:rPr>
  </w:style>
  <w:style w:type="paragraph" w:customStyle="1" w:styleId="BCNumber1">
    <w:name w:val="BC Number 1"/>
    <w:basedOn w:val="BCHeading2"/>
    <w:rsid w:val="006C2A1A"/>
    <w:pPr>
      <w:numPr>
        <w:ilvl w:val="0"/>
        <w:numId w:val="0"/>
      </w:numPr>
      <w:tabs>
        <w:tab w:val="num" w:pos="851"/>
      </w:tabs>
      <w:ind w:left="851" w:hanging="851"/>
    </w:pPr>
  </w:style>
  <w:style w:type="paragraph" w:customStyle="1" w:styleId="BCNumber2">
    <w:name w:val="BC Number 2"/>
    <w:basedOn w:val="Normal"/>
    <w:autoRedefine/>
    <w:rsid w:val="006C2A1A"/>
    <w:pPr>
      <w:keepNext/>
      <w:tabs>
        <w:tab w:val="num" w:pos="851"/>
      </w:tabs>
      <w:spacing w:after="120"/>
      <w:outlineLvl w:val="2"/>
    </w:pPr>
    <w:rPr>
      <w:rFonts w:ascii="Verdana" w:hAnsi="Verdana"/>
    </w:rPr>
  </w:style>
  <w:style w:type="paragraph" w:customStyle="1" w:styleId="BCNumber3">
    <w:name w:val="BC Number 3"/>
    <w:basedOn w:val="BCHeading4"/>
    <w:rsid w:val="00E110D4"/>
    <w:pPr>
      <w:numPr>
        <w:ilvl w:val="0"/>
        <w:numId w:val="0"/>
      </w:numPr>
      <w:tabs>
        <w:tab w:val="num" w:pos="1134"/>
      </w:tabs>
      <w:ind w:left="1134" w:hanging="1134"/>
    </w:pPr>
  </w:style>
  <w:style w:type="paragraph" w:customStyle="1" w:styleId="BCNumber4">
    <w:name w:val="BC Number 4"/>
    <w:basedOn w:val="Heading5"/>
    <w:rsid w:val="006C2A1A"/>
    <w:pPr>
      <w:numPr>
        <w:ilvl w:val="4"/>
        <w:numId w:val="1"/>
      </w:numPr>
      <w:spacing w:before="0" w:after="120"/>
    </w:pPr>
    <w:rPr>
      <w:rFonts w:ascii="Verdana" w:hAnsi="Verdana"/>
      <w:sz w:val="24"/>
      <w:lang w:val="en-US"/>
    </w:rPr>
  </w:style>
  <w:style w:type="paragraph" w:customStyle="1" w:styleId="BCSubHeading">
    <w:name w:val="BC Sub Heading"/>
    <w:basedOn w:val="Normal"/>
    <w:next w:val="Normal"/>
    <w:rsid w:val="006C2A1A"/>
    <w:pPr>
      <w:spacing w:line="360" w:lineRule="auto"/>
      <w:jc w:val="center"/>
    </w:pPr>
    <w:rPr>
      <w:rFonts w:ascii="Verdana" w:hAnsi="Verdana"/>
      <w:b/>
      <w:sz w:val="28"/>
    </w:rPr>
  </w:style>
  <w:style w:type="paragraph" w:customStyle="1" w:styleId="BCText1">
    <w:name w:val="BC Text 1"/>
    <w:basedOn w:val="Normal"/>
    <w:rsid w:val="006C2A1A"/>
    <w:pPr>
      <w:spacing w:after="120"/>
    </w:pPr>
    <w:rPr>
      <w:rFonts w:ascii="Verdana" w:hAnsi="Verdana"/>
    </w:rPr>
  </w:style>
  <w:style w:type="paragraph" w:customStyle="1" w:styleId="BCText2">
    <w:name w:val="BC Text 2"/>
    <w:basedOn w:val="BCText1"/>
    <w:rsid w:val="006C2A1A"/>
  </w:style>
  <w:style w:type="paragraph" w:customStyle="1" w:styleId="BCText3">
    <w:name w:val="BC Text 3"/>
    <w:basedOn w:val="BCText1"/>
    <w:rsid w:val="00E110D4"/>
    <w:pPr>
      <w:ind w:left="1134"/>
    </w:pPr>
  </w:style>
  <w:style w:type="paragraph" w:customStyle="1" w:styleId="BCText4">
    <w:name w:val="BC Text 4"/>
    <w:basedOn w:val="BCText3"/>
    <w:rsid w:val="00E110D4"/>
  </w:style>
  <w:style w:type="table" w:styleId="TableGrid">
    <w:name w:val="Table Grid"/>
    <w:basedOn w:val="TableNormal"/>
    <w:rsid w:val="00E53289"/>
    <w:pPr>
      <w:spacing w:after="24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10">
    <w:name w:val="BA1.0"/>
    <w:basedOn w:val="Normal"/>
    <w:qFormat/>
    <w:rsid w:val="00D40CEA"/>
    <w:rPr>
      <w:rFonts w:ascii="Verdana" w:eastAsia="Calibri" w:hAnsi="Verdana"/>
      <w:sz w:val="22"/>
      <w:szCs w:val="22"/>
    </w:rPr>
  </w:style>
  <w:style w:type="paragraph" w:customStyle="1" w:styleId="BA15">
    <w:name w:val="BA1.5"/>
    <w:basedOn w:val="Normal"/>
    <w:qFormat/>
    <w:rsid w:val="00D40CEA"/>
    <w:pPr>
      <w:spacing w:line="360" w:lineRule="auto"/>
    </w:pPr>
    <w:rPr>
      <w:rFonts w:ascii="Verdana" w:eastAsia="Calibri" w:hAnsi="Verdana"/>
      <w:sz w:val="22"/>
      <w:szCs w:val="22"/>
    </w:rPr>
  </w:style>
  <w:style w:type="paragraph" w:customStyle="1" w:styleId="Style1">
    <w:name w:val="Style1"/>
    <w:basedOn w:val="Normal"/>
    <w:rsid w:val="00FE0714"/>
    <w:pPr>
      <w:jc w:val="left"/>
    </w:pPr>
    <w:rPr>
      <w:sz w:val="28"/>
    </w:rPr>
  </w:style>
  <w:style w:type="paragraph" w:customStyle="1" w:styleId="Style2">
    <w:name w:val="Style2"/>
    <w:basedOn w:val="BA10"/>
    <w:rsid w:val="00E53289"/>
  </w:style>
  <w:style w:type="paragraph" w:styleId="BlockText">
    <w:name w:val="Block Text"/>
    <w:basedOn w:val="Normal"/>
    <w:rsid w:val="006C2A1A"/>
    <w:pPr>
      <w:spacing w:after="120"/>
      <w:ind w:left="1440" w:right="1440"/>
    </w:pPr>
  </w:style>
  <w:style w:type="paragraph" w:styleId="BalloonText">
    <w:name w:val="Balloon Text"/>
    <w:basedOn w:val="Normal"/>
    <w:link w:val="BalloonTextChar"/>
    <w:rsid w:val="00A73490"/>
    <w:rPr>
      <w:rFonts w:ascii="Tahoma" w:hAnsi="Tahoma" w:cs="Tahoma"/>
      <w:sz w:val="16"/>
      <w:szCs w:val="16"/>
    </w:rPr>
  </w:style>
  <w:style w:type="character" w:customStyle="1" w:styleId="BalloonTextChar">
    <w:name w:val="Balloon Text Char"/>
    <w:basedOn w:val="DefaultParagraphFont"/>
    <w:link w:val="BalloonText"/>
    <w:rsid w:val="00A73490"/>
    <w:rPr>
      <w:rFonts w:ascii="Tahoma" w:hAnsi="Tahoma" w:cs="Tahoma"/>
      <w:sz w:val="16"/>
      <w:szCs w:val="16"/>
      <w:lang w:val="en-ZA"/>
    </w:rPr>
  </w:style>
  <w:style w:type="character" w:styleId="Hyperlink">
    <w:name w:val="Hyperlink"/>
    <w:basedOn w:val="DefaultParagraphFont"/>
    <w:unhideWhenUsed/>
    <w:rsid w:val="00AB4E79"/>
    <w:rPr>
      <w:color w:val="0000FF" w:themeColor="hyperlink"/>
      <w:u w:val="single"/>
    </w:rPr>
  </w:style>
  <w:style w:type="paragraph" w:styleId="ListParagraph">
    <w:name w:val="List Paragraph"/>
    <w:basedOn w:val="Normal"/>
    <w:uiPriority w:val="34"/>
    <w:qFormat/>
    <w:rsid w:val="001E0BA8"/>
    <w:pPr>
      <w:ind w:left="720"/>
      <w:contextualSpacing/>
    </w:pPr>
  </w:style>
  <w:style w:type="paragraph" w:styleId="BodyText3">
    <w:name w:val="Body Text 3"/>
    <w:basedOn w:val="Normal"/>
    <w:link w:val="BodyText3Char"/>
    <w:rsid w:val="00F8608B"/>
    <w:pPr>
      <w:spacing w:before="240"/>
      <w:ind w:left="1418" w:firstLine="0"/>
    </w:pPr>
    <w:rPr>
      <w:sz w:val="20"/>
      <w:szCs w:val="17"/>
      <w:lang w:val="en-GB"/>
    </w:rPr>
  </w:style>
  <w:style w:type="character" w:customStyle="1" w:styleId="BodyText3Char">
    <w:name w:val="Body Text 3 Char"/>
    <w:basedOn w:val="DefaultParagraphFont"/>
    <w:link w:val="BodyText3"/>
    <w:rsid w:val="00F8608B"/>
    <w:rPr>
      <w:rFonts w:ascii="Arial" w:hAnsi="Arial"/>
      <w:szCs w:val="17"/>
      <w:lang w:val="en-GB"/>
    </w:rPr>
  </w:style>
</w:styles>
</file>

<file path=word/webSettings.xml><?xml version="1.0" encoding="utf-8"?>
<w:webSettings xmlns:r="http://schemas.openxmlformats.org/officeDocument/2006/relationships" xmlns:w="http://schemas.openxmlformats.org/wordprocessingml/2006/main">
  <w:divs>
    <w:div w:id="5252399">
      <w:bodyDiv w:val="1"/>
      <w:marLeft w:val="0"/>
      <w:marRight w:val="0"/>
      <w:marTop w:val="0"/>
      <w:marBottom w:val="0"/>
      <w:divBdr>
        <w:top w:val="none" w:sz="0" w:space="0" w:color="auto"/>
        <w:left w:val="none" w:sz="0" w:space="0" w:color="auto"/>
        <w:bottom w:val="none" w:sz="0" w:space="0" w:color="auto"/>
        <w:right w:val="none" w:sz="0" w:space="0" w:color="auto"/>
      </w:divBdr>
    </w:div>
    <w:div w:id="7586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artg@banking.org.za"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wicomb@parliament.gov.z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2007_Company_Stationary_V1%202015\BA%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A6A85-597B-4E8F-9997-A3CC292C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 Letterhead</Template>
  <TotalTime>0</TotalTime>
  <Pages>16</Pages>
  <Words>6906</Words>
  <Characters>38577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Date</vt:lpstr>
    </vt:vector>
  </TitlesOfParts>
  <Company>C'nN Consulting cc</Company>
  <LinksUpToDate>false</LinksUpToDate>
  <CharactersWithSpaces>45393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Melinda Coetzer</dc:creator>
  <cp:lastModifiedBy>PUMZA</cp:lastModifiedBy>
  <cp:revision>2</cp:revision>
  <cp:lastPrinted>2016-01-08T09:27:00Z</cp:lastPrinted>
  <dcterms:created xsi:type="dcterms:W3CDTF">2016-02-04T08:21:00Z</dcterms:created>
  <dcterms:modified xsi:type="dcterms:W3CDTF">2016-02-04T08:21:00Z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STUARTG/#165053_V1</vt:lpwstr>
  </property>
</Properties>
</file>