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35" w:rsidRPr="00EC1E4D" w:rsidRDefault="00CD7B35" w:rsidP="00CD7B35">
      <w:pPr>
        <w:autoSpaceDE w:val="0"/>
        <w:autoSpaceDN w:val="0"/>
        <w:adjustRightInd w:val="0"/>
        <w:spacing w:after="0" w:line="360" w:lineRule="auto"/>
        <w:jc w:val="center"/>
        <w:rPr>
          <w:rFonts w:ascii="Arial" w:hAnsi="Arial" w:cs="Arial"/>
          <w:b/>
          <w:bCs/>
          <w:sz w:val="24"/>
          <w:szCs w:val="24"/>
          <w:lang w:val="en"/>
        </w:rPr>
      </w:pPr>
      <w:r>
        <w:rPr>
          <w:noProof/>
          <w:lang w:eastAsia="en-ZA"/>
        </w:rPr>
        <w:drawing>
          <wp:anchor distT="0" distB="0" distL="114300" distR="114300" simplePos="0" relativeHeight="251659264" behindDoc="0" locked="0" layoutInCell="1" allowOverlap="1" wp14:anchorId="1B15D414" wp14:editId="2F75C20F">
            <wp:simplePos x="0" y="0"/>
            <wp:positionH relativeFrom="margin">
              <wp:posOffset>-85090</wp:posOffset>
            </wp:positionH>
            <wp:positionV relativeFrom="margin">
              <wp:posOffset>-85090</wp:posOffset>
            </wp:positionV>
            <wp:extent cx="3561715" cy="1658620"/>
            <wp:effectExtent l="0" t="0" r="635" b="0"/>
            <wp:wrapSquare wrapText="bothSides"/>
            <wp:docPr id="1" name="Picture 1" descr="C:\Users\Nkululeko Mahlangu\Pictures\DPW Logo 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ululeko Mahlangu\Pictures\DPW Logo offici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1715" cy="1658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7B35" w:rsidRPr="00EC1E4D" w:rsidRDefault="00CD7B35" w:rsidP="00CD7B35">
      <w:pPr>
        <w:pStyle w:val="ListParagraph"/>
        <w:autoSpaceDE w:val="0"/>
        <w:autoSpaceDN w:val="0"/>
        <w:adjustRightInd w:val="0"/>
        <w:spacing w:after="0" w:line="360" w:lineRule="auto"/>
        <w:jc w:val="both"/>
        <w:rPr>
          <w:rFonts w:ascii="Arial" w:hAnsi="Arial" w:cs="Arial"/>
          <w:b/>
          <w:bCs/>
          <w:sz w:val="24"/>
          <w:szCs w:val="24"/>
          <w:lang w:val="en"/>
        </w:rPr>
      </w:pPr>
    </w:p>
    <w:p w:rsidR="00CD7B35" w:rsidRPr="00EC1E4D" w:rsidRDefault="00CD7B35" w:rsidP="00CD7B35">
      <w:pPr>
        <w:pStyle w:val="ListParagraph"/>
        <w:autoSpaceDE w:val="0"/>
        <w:autoSpaceDN w:val="0"/>
        <w:adjustRightInd w:val="0"/>
        <w:spacing w:after="0" w:line="360" w:lineRule="auto"/>
        <w:jc w:val="both"/>
        <w:rPr>
          <w:rFonts w:ascii="Arial" w:hAnsi="Arial" w:cs="Arial"/>
          <w:b/>
          <w:bCs/>
          <w:sz w:val="24"/>
          <w:szCs w:val="24"/>
          <w:lang w:val="en"/>
        </w:rPr>
      </w:pPr>
    </w:p>
    <w:p w:rsidR="00CD7B35" w:rsidRPr="00EC1E4D" w:rsidRDefault="00CD7B35" w:rsidP="00CD7B35">
      <w:pPr>
        <w:pStyle w:val="ListParagraph"/>
        <w:autoSpaceDE w:val="0"/>
        <w:autoSpaceDN w:val="0"/>
        <w:adjustRightInd w:val="0"/>
        <w:spacing w:after="0" w:line="360" w:lineRule="auto"/>
        <w:jc w:val="both"/>
        <w:rPr>
          <w:rFonts w:ascii="Arial" w:hAnsi="Arial" w:cs="Arial"/>
          <w:b/>
          <w:bCs/>
          <w:sz w:val="24"/>
          <w:szCs w:val="24"/>
          <w:lang w:val="en"/>
        </w:rPr>
      </w:pPr>
    </w:p>
    <w:p w:rsidR="00CD7B35" w:rsidRPr="00EC1E4D" w:rsidRDefault="00CD7B35" w:rsidP="00CD7B35">
      <w:pPr>
        <w:pStyle w:val="ListParagraph"/>
        <w:autoSpaceDE w:val="0"/>
        <w:autoSpaceDN w:val="0"/>
        <w:adjustRightInd w:val="0"/>
        <w:spacing w:after="0" w:line="360" w:lineRule="auto"/>
        <w:jc w:val="both"/>
        <w:rPr>
          <w:rFonts w:ascii="Arial" w:hAnsi="Arial" w:cs="Arial"/>
          <w:b/>
          <w:bCs/>
          <w:sz w:val="24"/>
          <w:szCs w:val="24"/>
          <w:lang w:val="en"/>
        </w:rPr>
      </w:pPr>
    </w:p>
    <w:p w:rsidR="00CD7B35" w:rsidRPr="00EC1E4D" w:rsidRDefault="00CD7B35" w:rsidP="00CD7B35">
      <w:pPr>
        <w:pStyle w:val="ListParagraph"/>
        <w:autoSpaceDE w:val="0"/>
        <w:autoSpaceDN w:val="0"/>
        <w:adjustRightInd w:val="0"/>
        <w:spacing w:after="0" w:line="360" w:lineRule="auto"/>
        <w:jc w:val="center"/>
        <w:rPr>
          <w:rFonts w:ascii="Arial" w:hAnsi="Arial" w:cs="Arial"/>
          <w:b/>
          <w:bCs/>
          <w:sz w:val="24"/>
          <w:szCs w:val="24"/>
          <w:lang w:val="en"/>
        </w:rPr>
      </w:pPr>
    </w:p>
    <w:p w:rsidR="00CD7B35" w:rsidRPr="00EC1E4D" w:rsidRDefault="00CD7B35" w:rsidP="00CD7B35">
      <w:pPr>
        <w:pStyle w:val="ListParagraph"/>
        <w:autoSpaceDE w:val="0"/>
        <w:autoSpaceDN w:val="0"/>
        <w:adjustRightInd w:val="0"/>
        <w:spacing w:after="0" w:line="360" w:lineRule="auto"/>
        <w:jc w:val="center"/>
        <w:rPr>
          <w:rFonts w:ascii="Arial" w:hAnsi="Arial" w:cs="Arial"/>
          <w:b/>
          <w:bCs/>
          <w:sz w:val="24"/>
          <w:szCs w:val="24"/>
          <w:lang w:val="en"/>
        </w:rPr>
      </w:pPr>
    </w:p>
    <w:p w:rsidR="00CD7B35" w:rsidRPr="00EC1E4D" w:rsidRDefault="00CD7B35" w:rsidP="00CD7B35">
      <w:pPr>
        <w:pStyle w:val="ListParagraph"/>
        <w:autoSpaceDE w:val="0"/>
        <w:autoSpaceDN w:val="0"/>
        <w:adjustRightInd w:val="0"/>
        <w:spacing w:after="0" w:line="360" w:lineRule="auto"/>
        <w:jc w:val="center"/>
        <w:rPr>
          <w:rFonts w:ascii="Arial" w:hAnsi="Arial" w:cs="Arial"/>
          <w:b/>
          <w:bCs/>
          <w:sz w:val="24"/>
          <w:szCs w:val="24"/>
          <w:lang w:val="en"/>
        </w:rPr>
      </w:pPr>
    </w:p>
    <w:p w:rsidR="00CD7B35" w:rsidRPr="00EC1E4D" w:rsidRDefault="00CD7B35" w:rsidP="00CD7B35">
      <w:pPr>
        <w:pStyle w:val="ListParagraph"/>
        <w:autoSpaceDE w:val="0"/>
        <w:autoSpaceDN w:val="0"/>
        <w:adjustRightInd w:val="0"/>
        <w:spacing w:after="0" w:line="360" w:lineRule="auto"/>
        <w:jc w:val="center"/>
        <w:rPr>
          <w:rFonts w:ascii="Arial" w:hAnsi="Arial" w:cs="Arial"/>
          <w:b/>
          <w:bCs/>
          <w:sz w:val="24"/>
          <w:szCs w:val="24"/>
          <w:lang w:val="en"/>
        </w:rPr>
      </w:pPr>
    </w:p>
    <w:p w:rsidR="00CD7B35" w:rsidRPr="00EC1E4D" w:rsidRDefault="00CD7B35" w:rsidP="00CD7B35">
      <w:pPr>
        <w:pStyle w:val="ListParagraph"/>
        <w:autoSpaceDE w:val="0"/>
        <w:autoSpaceDN w:val="0"/>
        <w:adjustRightInd w:val="0"/>
        <w:spacing w:after="0" w:line="360" w:lineRule="auto"/>
        <w:jc w:val="center"/>
        <w:rPr>
          <w:rFonts w:ascii="Arial" w:hAnsi="Arial" w:cs="Arial"/>
          <w:b/>
          <w:bCs/>
          <w:sz w:val="24"/>
          <w:szCs w:val="24"/>
          <w:lang w:val="en"/>
        </w:rPr>
      </w:pPr>
    </w:p>
    <w:p w:rsidR="00CD7B35" w:rsidRPr="00EC1E4D" w:rsidRDefault="00CD7B35" w:rsidP="00CD7B35">
      <w:pPr>
        <w:pStyle w:val="ListParagraph"/>
        <w:autoSpaceDE w:val="0"/>
        <w:autoSpaceDN w:val="0"/>
        <w:adjustRightInd w:val="0"/>
        <w:spacing w:after="0" w:line="360" w:lineRule="auto"/>
        <w:jc w:val="center"/>
        <w:rPr>
          <w:rFonts w:ascii="Arial" w:hAnsi="Arial" w:cs="Arial"/>
          <w:b/>
          <w:bCs/>
          <w:sz w:val="24"/>
          <w:szCs w:val="24"/>
          <w:lang w:val="en"/>
        </w:rPr>
      </w:pPr>
    </w:p>
    <w:p w:rsidR="00CD7B35" w:rsidRPr="00EC1E4D" w:rsidRDefault="00CD7B35" w:rsidP="00CD7B35">
      <w:pPr>
        <w:autoSpaceDE w:val="0"/>
        <w:autoSpaceDN w:val="0"/>
        <w:adjustRightInd w:val="0"/>
        <w:spacing w:after="0" w:line="360" w:lineRule="auto"/>
        <w:jc w:val="center"/>
        <w:rPr>
          <w:rFonts w:ascii="Arial" w:hAnsi="Arial" w:cs="Arial"/>
          <w:b/>
          <w:bCs/>
          <w:sz w:val="24"/>
          <w:szCs w:val="24"/>
          <w:lang w:val="en"/>
        </w:rPr>
      </w:pPr>
      <w:r w:rsidRPr="00EC1E4D">
        <w:rPr>
          <w:rFonts w:ascii="Arial" w:hAnsi="Arial" w:cs="Arial"/>
          <w:b/>
          <w:bCs/>
          <w:sz w:val="24"/>
          <w:szCs w:val="24"/>
          <w:lang w:val="en"/>
        </w:rPr>
        <w:t>NATIONAL DEPARTMENT OF PUBLIC WORKS</w:t>
      </w:r>
    </w:p>
    <w:p w:rsidR="00CD7B35" w:rsidRPr="00EC1E4D" w:rsidRDefault="00CD7B35" w:rsidP="00CD7B35">
      <w:pPr>
        <w:pStyle w:val="ListParagraph"/>
        <w:pBdr>
          <w:bottom w:val="single" w:sz="12" w:space="1" w:color="auto"/>
        </w:pBdr>
        <w:autoSpaceDE w:val="0"/>
        <w:autoSpaceDN w:val="0"/>
        <w:adjustRightInd w:val="0"/>
        <w:spacing w:after="0" w:line="360" w:lineRule="auto"/>
        <w:jc w:val="center"/>
        <w:rPr>
          <w:rFonts w:ascii="Arial" w:hAnsi="Arial" w:cs="Arial"/>
          <w:b/>
          <w:bCs/>
          <w:sz w:val="24"/>
          <w:szCs w:val="24"/>
          <w:lang w:val="en"/>
        </w:rPr>
      </w:pPr>
    </w:p>
    <w:p w:rsidR="00CD7B35" w:rsidRPr="00EC1E4D" w:rsidRDefault="00CD7B35" w:rsidP="00CD7B35">
      <w:pPr>
        <w:pStyle w:val="ListParagraph"/>
        <w:autoSpaceDE w:val="0"/>
        <w:autoSpaceDN w:val="0"/>
        <w:adjustRightInd w:val="0"/>
        <w:spacing w:after="0" w:line="360" w:lineRule="auto"/>
        <w:jc w:val="center"/>
        <w:rPr>
          <w:rFonts w:ascii="Arial" w:hAnsi="Arial" w:cs="Arial"/>
          <w:b/>
          <w:bCs/>
          <w:sz w:val="24"/>
          <w:szCs w:val="24"/>
          <w:lang w:val="en"/>
        </w:rPr>
      </w:pPr>
    </w:p>
    <w:p w:rsidR="00CD7B35" w:rsidRPr="00EC1E4D" w:rsidRDefault="00CD7B35" w:rsidP="00CD7B35">
      <w:pPr>
        <w:pStyle w:val="ListParagraph"/>
        <w:autoSpaceDE w:val="0"/>
        <w:autoSpaceDN w:val="0"/>
        <w:adjustRightInd w:val="0"/>
        <w:spacing w:after="0" w:line="360" w:lineRule="auto"/>
        <w:jc w:val="center"/>
        <w:rPr>
          <w:rFonts w:ascii="Arial" w:hAnsi="Arial" w:cs="Arial"/>
          <w:b/>
          <w:bCs/>
          <w:sz w:val="24"/>
          <w:szCs w:val="24"/>
          <w:lang w:val="en"/>
        </w:rPr>
      </w:pPr>
    </w:p>
    <w:p w:rsidR="00CD7B35" w:rsidRDefault="00CD7B35" w:rsidP="00CD7B35">
      <w:pPr>
        <w:pStyle w:val="ListParagraph"/>
        <w:autoSpaceDE w:val="0"/>
        <w:autoSpaceDN w:val="0"/>
        <w:adjustRightInd w:val="0"/>
        <w:spacing w:after="0" w:line="360" w:lineRule="auto"/>
        <w:jc w:val="center"/>
        <w:rPr>
          <w:rFonts w:ascii="Arial" w:hAnsi="Arial" w:cs="Arial"/>
          <w:b/>
          <w:bCs/>
          <w:sz w:val="28"/>
          <w:szCs w:val="28"/>
          <w:lang w:val="en"/>
        </w:rPr>
      </w:pPr>
      <w:r>
        <w:rPr>
          <w:rFonts w:ascii="Arial" w:hAnsi="Arial" w:cs="Arial"/>
          <w:b/>
          <w:bCs/>
          <w:sz w:val="28"/>
          <w:szCs w:val="28"/>
          <w:lang w:val="en"/>
        </w:rPr>
        <w:t>3</w:t>
      </w:r>
      <w:r w:rsidRPr="00B17F41">
        <w:rPr>
          <w:rFonts w:ascii="Arial" w:hAnsi="Arial" w:cs="Arial"/>
          <w:b/>
          <w:bCs/>
          <w:sz w:val="28"/>
          <w:szCs w:val="28"/>
          <w:vertAlign w:val="superscript"/>
          <w:lang w:val="en"/>
        </w:rPr>
        <w:t>RD</w:t>
      </w:r>
      <w:r>
        <w:rPr>
          <w:rFonts w:ascii="Arial" w:hAnsi="Arial" w:cs="Arial"/>
          <w:b/>
          <w:bCs/>
          <w:sz w:val="28"/>
          <w:szCs w:val="28"/>
          <w:lang w:val="en"/>
        </w:rPr>
        <w:t xml:space="preserve"> QUARTER REPORT FOR PMTE FOR THE </w:t>
      </w:r>
    </w:p>
    <w:p w:rsidR="00CD7B35" w:rsidRPr="00EC1E4D" w:rsidRDefault="00CD7B35" w:rsidP="00CD7B35">
      <w:pPr>
        <w:pStyle w:val="ListParagraph"/>
        <w:autoSpaceDE w:val="0"/>
        <w:autoSpaceDN w:val="0"/>
        <w:adjustRightInd w:val="0"/>
        <w:spacing w:after="0" w:line="360" w:lineRule="auto"/>
        <w:jc w:val="center"/>
        <w:rPr>
          <w:rFonts w:ascii="Arial" w:hAnsi="Arial" w:cs="Arial"/>
          <w:b/>
          <w:bCs/>
          <w:sz w:val="28"/>
          <w:szCs w:val="28"/>
          <w:lang w:val="en"/>
        </w:rPr>
      </w:pPr>
      <w:r>
        <w:rPr>
          <w:rFonts w:ascii="Arial" w:hAnsi="Arial" w:cs="Arial"/>
          <w:b/>
          <w:bCs/>
          <w:sz w:val="28"/>
          <w:szCs w:val="28"/>
          <w:lang w:val="en"/>
        </w:rPr>
        <w:t xml:space="preserve">FINANCIAL YEAR 2015/16 </w:t>
      </w:r>
    </w:p>
    <w:p w:rsidR="00CD7B35" w:rsidRPr="00EC1E4D" w:rsidRDefault="00CD7B35" w:rsidP="00CD7B35">
      <w:pPr>
        <w:pStyle w:val="ListParagraph"/>
        <w:autoSpaceDE w:val="0"/>
        <w:autoSpaceDN w:val="0"/>
        <w:adjustRightInd w:val="0"/>
        <w:spacing w:after="0" w:line="360" w:lineRule="auto"/>
        <w:jc w:val="both"/>
        <w:rPr>
          <w:rFonts w:ascii="Arial" w:hAnsi="Arial" w:cs="Arial"/>
          <w:b/>
          <w:bCs/>
          <w:sz w:val="24"/>
          <w:szCs w:val="24"/>
          <w:lang w:val="en"/>
        </w:rPr>
      </w:pPr>
    </w:p>
    <w:p w:rsidR="00CD7B35" w:rsidRDefault="00CD7B35" w:rsidP="00CD7B35"/>
    <w:p w:rsidR="00CD7B35" w:rsidRPr="00EC1E4D" w:rsidRDefault="00CD7B35" w:rsidP="00CD7B35">
      <w:pPr>
        <w:pStyle w:val="ListParagraph"/>
        <w:autoSpaceDE w:val="0"/>
        <w:autoSpaceDN w:val="0"/>
        <w:adjustRightInd w:val="0"/>
        <w:spacing w:after="0" w:line="360" w:lineRule="auto"/>
        <w:jc w:val="both"/>
        <w:rPr>
          <w:rFonts w:ascii="Arial" w:hAnsi="Arial" w:cs="Arial"/>
          <w:b/>
          <w:bCs/>
          <w:sz w:val="24"/>
          <w:szCs w:val="24"/>
          <w:lang w:val="en"/>
        </w:rPr>
      </w:pPr>
    </w:p>
    <w:p w:rsidR="00CD7B35" w:rsidRPr="00EC1E4D" w:rsidRDefault="00CD7B35" w:rsidP="00CD7B35">
      <w:pPr>
        <w:pStyle w:val="ListParagraph"/>
        <w:autoSpaceDE w:val="0"/>
        <w:autoSpaceDN w:val="0"/>
        <w:adjustRightInd w:val="0"/>
        <w:spacing w:after="0" w:line="360" w:lineRule="auto"/>
        <w:jc w:val="both"/>
        <w:rPr>
          <w:rFonts w:ascii="Arial" w:hAnsi="Arial" w:cs="Arial"/>
          <w:b/>
          <w:bCs/>
          <w:sz w:val="24"/>
          <w:szCs w:val="24"/>
          <w:lang w:val="en"/>
        </w:rPr>
      </w:pPr>
    </w:p>
    <w:p w:rsidR="00CD7B35" w:rsidRPr="00EC1E4D" w:rsidRDefault="00CD7B35" w:rsidP="00CD7B35">
      <w:pPr>
        <w:autoSpaceDE w:val="0"/>
        <w:autoSpaceDN w:val="0"/>
        <w:adjustRightInd w:val="0"/>
        <w:spacing w:after="0" w:line="360" w:lineRule="auto"/>
        <w:rPr>
          <w:rFonts w:ascii="Arial" w:hAnsi="Arial" w:cs="Arial"/>
          <w:b/>
          <w:bCs/>
          <w:sz w:val="24"/>
          <w:szCs w:val="24"/>
          <w:lang w:val="en"/>
        </w:rPr>
      </w:pPr>
      <w:r w:rsidRPr="00EC1E4D">
        <w:rPr>
          <w:rFonts w:ascii="Arial" w:hAnsi="Arial" w:cs="Arial"/>
          <w:b/>
          <w:bCs/>
          <w:sz w:val="24"/>
          <w:szCs w:val="24"/>
          <w:lang w:val="en"/>
        </w:rPr>
        <w:tab/>
      </w:r>
    </w:p>
    <w:p w:rsidR="00CD7B35" w:rsidRDefault="00CD7B35" w:rsidP="00CD7B35"/>
    <w:p w:rsidR="00CD7B35" w:rsidRDefault="00CD7B35" w:rsidP="00CD7B35"/>
    <w:p w:rsidR="00CD7B35" w:rsidRDefault="00CD7B35" w:rsidP="00CD7B35">
      <w:r>
        <w:rPr>
          <w:noProof/>
          <w:lang w:eastAsia="en-ZA"/>
        </w:rPr>
        <mc:AlternateContent>
          <mc:Choice Requires="wps">
            <w:drawing>
              <wp:anchor distT="0" distB="0" distL="114300" distR="114300" simplePos="0" relativeHeight="251661312" behindDoc="0" locked="0" layoutInCell="1" allowOverlap="1" wp14:anchorId="7FA44181" wp14:editId="5B71E554">
                <wp:simplePos x="0" y="0"/>
                <wp:positionH relativeFrom="column">
                  <wp:posOffset>3837305</wp:posOffset>
                </wp:positionH>
                <wp:positionV relativeFrom="paragraph">
                  <wp:posOffset>156845</wp:posOffset>
                </wp:positionV>
                <wp:extent cx="0" cy="680085"/>
                <wp:effectExtent l="57150" t="19050" r="76200" b="81915"/>
                <wp:wrapNone/>
                <wp:docPr id="4" name="Straight Connector 4"/>
                <wp:cNvGraphicFramePr/>
                <a:graphic xmlns:a="http://schemas.openxmlformats.org/drawingml/2006/main">
                  <a:graphicData uri="http://schemas.microsoft.com/office/word/2010/wordprocessingShape">
                    <wps:wsp>
                      <wps:cNvCnPr/>
                      <wps:spPr>
                        <a:xfrm>
                          <a:off x="0" y="0"/>
                          <a:ext cx="0" cy="68008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15pt,12.35pt" to="302.1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6FuAEAAMIDAAAOAAAAZHJzL2Uyb0RvYy54bWysU8tu2zAQvBfIPxC8x5KN1DAEyzk4aC9F&#10;azTtBzDU0iLAF5aMJf99l5SiFGmBAEUvFJfcmd0Zrvb3ozXsAhi1dy1fr2rOwEnfaXdu+c8fn253&#10;nMUkXCeMd9DyK0R+f7j5sB9CAxvfe9MBMiJxsRlCy/uUQlNVUfZgRVz5AI4ulUcrEoV4rjoUA7Fb&#10;U23qelsNHruAXkKMdPowXfJD4VcKZPqmVITETMupt1RWLOtTXqvDXjRnFKHXcm5D/EMXVmhHRReq&#10;B5EEe0b9B5XVEn30Kq2kt5VXSksoGkjNun6j5rEXAYoWMieGxab4/2jl18sJme5afseZE5ae6DGh&#10;0Oc+saN3jgz0yO6yT0OIDaUf3QnnKIYTZtGjQpu/JIeNxdvr4i2MicnpUNLpdlfXu4+ZrnrFBYzp&#10;M3jL8qblRrusWjTi8iWmKfUlhXC5j6ly2aWrgZxs3HdQpIRqbQq6zBAcDbKLoNcXUoJL27l0yc4w&#10;pY1ZgPX7wDk/Q6HM1wJevw9eEKWyd2kBW+08/o0gjeu5ZTXlvzgw6c4WPPnuWt6kWEODUsydhzpP&#10;4u9xgb/+eodfAAAA//8DAFBLAwQUAAYACAAAACEA3OaE69wAAAAKAQAADwAAAGRycy9kb3ducmV2&#10;LnhtbEyPTUvEMBCG74L/IYzgzU33g7rUposIvSloXfacbcam2ExKknbrv3fEgx5n5uGd5y0PixvE&#10;jCH2nhSsVxkIpNabnjoFx/f6bg8iJk1GD55QwRdGOFTXV6UujL/QG85N6gSHUCy0ApvSWEgZW4tO&#10;x5Ufkfj24YPTicfQSRP0hcPdIDdZlkune+IPVo/4ZLH9bCanoO7qkE/ydBpmO5vXtnl5bo5Jqdub&#10;5fEBRMIl/cHwo8/qULHT2U9kohgU5Nluy6iCze4eBAO/izOT2/UeZFXK/xWqbwAAAP//AwBQSwEC&#10;LQAUAAYACAAAACEAtoM4kv4AAADhAQAAEwAAAAAAAAAAAAAAAAAAAAAAW0NvbnRlbnRfVHlwZXNd&#10;LnhtbFBLAQItABQABgAIAAAAIQA4/SH/1gAAAJQBAAALAAAAAAAAAAAAAAAAAC8BAABfcmVscy8u&#10;cmVsc1BLAQItABQABgAIAAAAIQB4BY6FuAEAAMIDAAAOAAAAAAAAAAAAAAAAAC4CAABkcnMvZTJv&#10;RG9jLnhtbFBLAQItABQABgAIAAAAIQDc5oTr3AAAAAoBAAAPAAAAAAAAAAAAAAAAABIEAABkcnMv&#10;ZG93bnJldi54bWxQSwUGAAAAAAQABADzAAAAGwUAAAAA&#10;" strokecolor="#f79646 [3209]" strokeweight="2pt">
                <v:shadow on="t" color="black" opacity="24903f" origin=",.5" offset="0,.55556mm"/>
              </v:line>
            </w:pict>
          </mc:Fallback>
        </mc:AlternateContent>
      </w:r>
      <w:r>
        <w:rPr>
          <w:noProof/>
          <w:lang w:eastAsia="en-ZA"/>
        </w:rPr>
        <mc:AlternateContent>
          <mc:Choice Requires="wps">
            <w:drawing>
              <wp:anchor distT="0" distB="0" distL="114300" distR="114300" simplePos="0" relativeHeight="251660288" behindDoc="0" locked="0" layoutInCell="1" allowOverlap="1" wp14:anchorId="3B779DE9" wp14:editId="76F1B7AD">
                <wp:simplePos x="0" y="0"/>
                <wp:positionH relativeFrom="column">
                  <wp:posOffset>595009</wp:posOffset>
                </wp:positionH>
                <wp:positionV relativeFrom="paragraph">
                  <wp:posOffset>155398</wp:posOffset>
                </wp:positionV>
                <wp:extent cx="5156200" cy="733425"/>
                <wp:effectExtent l="0" t="0" r="6350" b="9525"/>
                <wp:wrapNone/>
                <wp:docPr id="10" name="Text Box 10"/>
                <wp:cNvGraphicFramePr/>
                <a:graphic xmlns:a="http://schemas.openxmlformats.org/drawingml/2006/main">
                  <a:graphicData uri="http://schemas.microsoft.com/office/word/2010/wordprocessingShape">
                    <wps:wsp>
                      <wps:cNvSpPr txBox="1"/>
                      <wps:spPr>
                        <a:xfrm>
                          <a:off x="0" y="0"/>
                          <a:ext cx="515620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7B35" w:rsidRDefault="00CD7B35" w:rsidP="00CD7B35">
                            <w:r w:rsidRPr="00063AF0">
                              <w:rPr>
                                <w:rFonts w:ascii="Arial" w:hAnsi="Arial" w:cs="Arial"/>
                                <w:b/>
                              </w:rPr>
                              <w:t>Performance Monitoring and Evaluation Unit</w:t>
                            </w:r>
                            <w:r>
                              <w:t xml:space="preserve">        </w:t>
                            </w:r>
                            <w:r>
                              <w:rPr>
                                <w:sz w:val="56"/>
                                <w:szCs w:val="56"/>
                              </w:rPr>
                              <w:t>2016</w:t>
                            </w:r>
                          </w:p>
                          <w:p w:rsidR="00CD7B35" w:rsidRDefault="00CD7B35" w:rsidP="00CD7B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6.85pt;margin-top:12.25pt;width:406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kEiQIAAIwFAAAOAAAAZHJzL2Uyb0RvYy54bWysVE1PGzEQvVfqf7B8L5uEBNqIDUpBVJUQ&#10;oELF2fHaZFWvx7WdZOmv77N381HKhaqXXXvmzRvP59l52xi2Vj7UZEs+PBpwpqykqrZPJf/+cPXh&#10;I2chClsJQ1aV/FkFfj57/+5s46ZqREsylfIMJDZMN67kyxjdtCiCXKpGhCNyykKpyTci4uqfisqL&#10;DdgbU4wGg5NiQ75ynqQKAdLLTslnmV9rJeOt1kFFZkqOt8X89fm7SN9idiamT164ZS37Z4h/eEUj&#10;agunO6pLEQVb+fovqqaWngLpeCSpKUjrWqocA6IZDl5Ec78UTuVYkJzgdmkK/49W3qzvPKsr1A7p&#10;saJBjR5UG9lnahlEyM/GhSlg9w7A2EIO7FYeIExht9o36Y+AGPSget5lN7FJCCfDyQlKxpmE7vT4&#10;eDyaJJpib+18iF8UNSwdSu5RvZxUsb4OsYNuIclZIFNXV7Ux+ZI6Rl0Yz9YCtTYxvxHkf6CMZZuS&#10;nxxPBpnYUjLvmI1NNCr3TO8uRd5FmE/x2aiEMfab0shZDvQV30JKZXf+MzqhNFy9xbDH71/1FuMu&#10;Dlhkz2TjzripLfkcfR6yfcqqH9uU6Q6P2hzEnY6xXbR9RyyoekZDeOpGKjh5VaNq1yLEO+ExQyg0&#10;9kK8xUcbQtapP3G2JP/rNXnCo7Wh5WyDmSx5+LkSXnFmvlo0/afheAzamC/jyekIF3+oWRxq7Kq5&#10;ILTCEBvIyXxM+Gi2R+2pecT6mCevUAkr4bvkcXu8iN2mwPqRaj7PIIytE/Ha3juZqFN6U08+tI/C&#10;u75xI1r+hrbTK6Yv+rfDJktL81UkXefmTgnustonHiOfx6NfT2mnHN4zar9EZ78BAAD//wMAUEsD&#10;BBQABgAIAAAAIQAeDM2w4AAAAAkBAAAPAAAAZHJzL2Rvd25yZXYueG1sTI/LTsMwEEX3SPyDNUhs&#10;ELVpGkpDnAohHhI7Gh5i58ZDEhGPo9hNwt8zrGA5c4/unMm3s+vEiENoPWm4WCgQSJW3LdUaXsr7&#10;8ysQIRqypvOEGr4xwLY4PspNZv1EzzjuYi24hEJmNDQx9pmUoWrQmbDwPRJnn35wJvI41NIOZuJy&#10;18mlUpfSmZb4QmN6vG2w+todnIaPs/r9KcwPr1OSJv3d41iu32yp9enJfHMNIuIc/2D41Wd1KNhp&#10;7w9kg+g0bJI1kxqWqxQE5xuV8mLP4EopkEUu/39Q/AAAAP//AwBQSwECLQAUAAYACAAAACEAtoM4&#10;kv4AAADhAQAAEwAAAAAAAAAAAAAAAAAAAAAAW0NvbnRlbnRfVHlwZXNdLnhtbFBLAQItABQABgAI&#10;AAAAIQA4/SH/1gAAAJQBAAALAAAAAAAAAAAAAAAAAC8BAABfcmVscy8ucmVsc1BLAQItABQABgAI&#10;AAAAIQB6kgkEiQIAAIwFAAAOAAAAAAAAAAAAAAAAAC4CAABkcnMvZTJvRG9jLnhtbFBLAQItABQA&#10;BgAIAAAAIQAeDM2w4AAAAAkBAAAPAAAAAAAAAAAAAAAAAOMEAABkcnMvZG93bnJldi54bWxQSwUG&#10;AAAAAAQABADzAAAA8AUAAAAA&#10;" fillcolor="white [3201]" stroked="f" strokeweight=".5pt">
                <v:textbox>
                  <w:txbxContent>
                    <w:p w:rsidR="00CD7B35" w:rsidRDefault="00CD7B35" w:rsidP="00CD7B35">
                      <w:r w:rsidRPr="00063AF0">
                        <w:rPr>
                          <w:rFonts w:ascii="Arial" w:hAnsi="Arial" w:cs="Arial"/>
                          <w:b/>
                        </w:rPr>
                        <w:t>Performance Monitoring and Evaluation Unit</w:t>
                      </w:r>
                      <w:r>
                        <w:t xml:space="preserve">        </w:t>
                      </w:r>
                      <w:r>
                        <w:rPr>
                          <w:sz w:val="56"/>
                          <w:szCs w:val="56"/>
                        </w:rPr>
                        <w:t>2016</w:t>
                      </w:r>
                    </w:p>
                    <w:p w:rsidR="00CD7B35" w:rsidRDefault="00CD7B35" w:rsidP="00CD7B35"/>
                  </w:txbxContent>
                </v:textbox>
              </v:shape>
            </w:pict>
          </mc:Fallback>
        </mc:AlternateContent>
      </w:r>
    </w:p>
    <w:p w:rsidR="00CD7B35" w:rsidRDefault="00CD7B35" w:rsidP="00CD7B35"/>
    <w:p w:rsidR="00CD7B35" w:rsidRPr="00EC1E4D" w:rsidRDefault="00CD7B35" w:rsidP="00CD7B35">
      <w:pPr>
        <w:pStyle w:val="ListParagraph"/>
        <w:autoSpaceDE w:val="0"/>
        <w:autoSpaceDN w:val="0"/>
        <w:adjustRightInd w:val="0"/>
        <w:spacing w:after="0" w:line="360" w:lineRule="auto"/>
        <w:jc w:val="both"/>
        <w:rPr>
          <w:rFonts w:ascii="Arial" w:hAnsi="Arial" w:cs="Arial"/>
          <w:b/>
          <w:bCs/>
          <w:sz w:val="24"/>
          <w:szCs w:val="24"/>
          <w:lang w:val="en"/>
        </w:rPr>
      </w:pPr>
      <w:r>
        <w:rPr>
          <w:rFonts w:ascii="Arial" w:hAnsi="Arial" w:cs="Arial"/>
          <w:b/>
          <w:bCs/>
          <w:noProof/>
          <w:sz w:val="24"/>
          <w:szCs w:val="24"/>
          <w:lang w:eastAsia="en-ZA"/>
        </w:rPr>
        <mc:AlternateContent>
          <mc:Choice Requires="wps">
            <w:drawing>
              <wp:anchor distT="0" distB="0" distL="114300" distR="114300" simplePos="0" relativeHeight="251662336" behindDoc="0" locked="0" layoutInCell="1" allowOverlap="1" wp14:anchorId="3220655B" wp14:editId="1FDD1121">
                <wp:simplePos x="0" y="0"/>
                <wp:positionH relativeFrom="column">
                  <wp:posOffset>531495</wp:posOffset>
                </wp:positionH>
                <wp:positionV relativeFrom="paragraph">
                  <wp:posOffset>185258</wp:posOffset>
                </wp:positionV>
                <wp:extent cx="5219995" cy="0"/>
                <wp:effectExtent l="38100" t="38100" r="57150" b="95250"/>
                <wp:wrapNone/>
                <wp:docPr id="15" name="Straight Connector 15"/>
                <wp:cNvGraphicFramePr/>
                <a:graphic xmlns:a="http://schemas.openxmlformats.org/drawingml/2006/main">
                  <a:graphicData uri="http://schemas.microsoft.com/office/word/2010/wordprocessingShape">
                    <wps:wsp>
                      <wps:cNvCnPr/>
                      <wps:spPr>
                        <a:xfrm>
                          <a:off x="0" y="0"/>
                          <a:ext cx="521999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85pt,14.6pt" to="45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49FvAEAAMUDAAAOAAAAZHJzL2Uyb0RvYy54bWysU8tu2zAQvBfIPxC8x5IMJKgFyzk4aC9F&#10;azTtBzDU0iLAF5aMJf99l7SsFGmBAEUvFJfcmd0ZrrYPkzXsBBi1dx1vVjVn4KTvtTt2/OePT7cf&#10;OYtJuF4Y76DjZ4j8YXfzYTuGFtZ+8KYHZETiYjuGjg8phbaqohzAirjyARxdKo9WJArxWPUoRmK3&#10;plrX9X01euwDegkx0unj5ZLvCr9SINM3pSIkZjpOvaWyYlmf81rttqI9ogiDlnMb4h+6sEI7KrpQ&#10;PYok2AvqP6isluijV2klva28UlpC0UBqmvqNmqdBBChayJwYFpvi/6OVX08HZLqnt7vjzAlLb/SU&#10;UOjjkNjeO0cOemR0SU6NIbYE2LsDzlEMB8yyJ4U2f0kQm4q758VdmBKTdHi3bjabDVWR17vqFRgw&#10;ps/gLcubjhvtsnDRitOXmKgYpV5TKMiNXEqXXTobyMnGfQdFYqjYuqDLGMHeIDsJGgAhJbh0n6UQ&#10;X8nOMKWNWYD1+8A5P0OhjNgCbt4HL4hS2bu0gK12Hv9GkKZmblld8q8OXHRnC559fy6PUqyhWSkK&#10;57nOw/h7XOCvf9/uFwAAAP//AwBQSwMEFAAGAAgAAAAhAB0j6OfbAAAACAEAAA8AAABkcnMvZG93&#10;bnJldi54bWxMj8FOwzAQRO9I/IO1SNyoQxClDXEqhJQbSBCqnt14iSPsdRQ7afh7FnGgx50Zzb4p&#10;d4t3YsYx9oEU3K4yEEhtMD11CvYf9c0GREyajHaBUME3RthVlxelLkw40TvOTeoEl1AstAKb0lBI&#10;GVuLXsdVGJDY+wyj14nPsZNm1Ccu907mWbaWXvfEH6we8Nli+9VMXkHd1eN6koeDm+1s3trm9aXZ&#10;J6Wur5anRxAJl/Qfhl98RoeKmY5hIhOFU7C5e+Ckgnybg2B/m92zcPwTZFXK8wHVDwAAAP//AwBQ&#10;SwECLQAUAAYACAAAACEAtoM4kv4AAADhAQAAEwAAAAAAAAAAAAAAAAAAAAAAW0NvbnRlbnRfVHlw&#10;ZXNdLnhtbFBLAQItABQABgAIAAAAIQA4/SH/1gAAAJQBAAALAAAAAAAAAAAAAAAAAC8BAABfcmVs&#10;cy8ucmVsc1BLAQItABQABgAIAAAAIQA4t49FvAEAAMUDAAAOAAAAAAAAAAAAAAAAAC4CAABkcnMv&#10;ZTJvRG9jLnhtbFBLAQItABQABgAIAAAAIQAdI+jn2wAAAAgBAAAPAAAAAAAAAAAAAAAAABYEAABk&#10;cnMvZG93bnJldi54bWxQSwUGAAAAAAQABADzAAAAHgUAAAAA&#10;" strokecolor="#f79646 [3209]" strokeweight="2pt">
                <v:shadow on="t" color="black" opacity="24903f" origin=",.5" offset="0,.55556mm"/>
              </v:line>
            </w:pict>
          </mc:Fallback>
        </mc:AlternateContent>
      </w:r>
    </w:p>
    <w:p w:rsidR="00CD7B35" w:rsidRDefault="00CD7B35" w:rsidP="00CD7B35"/>
    <w:p w:rsidR="00CD7B35" w:rsidRDefault="00CD7B35" w:rsidP="00CD7B35"/>
    <w:p w:rsidR="00CD7B35" w:rsidRDefault="00CD7B35" w:rsidP="00CD7B35"/>
    <w:p w:rsidR="00CD7B35" w:rsidRDefault="00CD7B35" w:rsidP="00CD7B35"/>
    <w:p w:rsidR="00CD7B35" w:rsidRDefault="00CD7B35" w:rsidP="00CD7B35">
      <w:pPr>
        <w:spacing w:after="0" w:line="240" w:lineRule="auto"/>
        <w:rPr>
          <w:rFonts w:ascii="Calibri" w:eastAsia="Times New Roman" w:hAnsi="Calibri" w:cs="Times New Roman"/>
          <w:color w:val="000000"/>
          <w:lang w:eastAsia="en-ZA"/>
        </w:rPr>
        <w:sectPr w:rsidR="00CD7B35">
          <w:footerReference w:type="default" r:id="rId8"/>
          <w:pgSz w:w="11906" w:h="16838"/>
          <w:pgMar w:top="1440" w:right="1440" w:bottom="1440"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984"/>
        <w:gridCol w:w="1984"/>
        <w:gridCol w:w="1984"/>
        <w:gridCol w:w="1701"/>
        <w:gridCol w:w="1420"/>
        <w:gridCol w:w="1874"/>
      </w:tblGrid>
      <w:tr w:rsidR="00CD7B35" w:rsidRPr="00CD7B35" w:rsidTr="00CD7B35">
        <w:trPr>
          <w:trHeight w:val="300"/>
          <w:tblHeader/>
        </w:trPr>
        <w:tc>
          <w:tcPr>
            <w:tcW w:w="1138" w:type="pct"/>
            <w:shd w:val="clear" w:color="000000" w:fill="FABF8F"/>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lastRenderedPageBreak/>
              <w:t> </w:t>
            </w:r>
          </w:p>
        </w:tc>
        <w:tc>
          <w:tcPr>
            <w:tcW w:w="700" w:type="pct"/>
            <w:shd w:val="clear" w:color="000000" w:fill="FABF8F"/>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2500" w:type="pct"/>
            <w:gridSpan w:val="4"/>
            <w:shd w:val="clear" w:color="000000" w:fill="FABF8F"/>
            <w:noWrap/>
            <w:hideMark/>
          </w:tcPr>
          <w:p w:rsidR="00CD7B35" w:rsidRPr="00CD7B35" w:rsidRDefault="00CD7B35" w:rsidP="00CD7B35">
            <w:pPr>
              <w:spacing w:after="0" w:line="240" w:lineRule="auto"/>
              <w:rPr>
                <w:rFonts w:ascii="Arial Narrow" w:eastAsia="Times New Roman" w:hAnsi="Arial Narrow" w:cs="Times New Roman"/>
                <w:b/>
                <w:bCs/>
                <w:color w:val="000000"/>
                <w:sz w:val="18"/>
                <w:szCs w:val="18"/>
                <w:lang w:eastAsia="en-ZA"/>
              </w:rPr>
            </w:pPr>
            <w:r w:rsidRPr="00CD7B35">
              <w:rPr>
                <w:rFonts w:ascii="Arial Narrow" w:eastAsia="Times New Roman" w:hAnsi="Arial Narrow" w:cs="Times New Roman"/>
                <w:b/>
                <w:bCs/>
                <w:color w:val="000000"/>
                <w:sz w:val="18"/>
                <w:szCs w:val="18"/>
                <w:lang w:eastAsia="en-ZA"/>
              </w:rPr>
              <w:t>Quarter 3</w:t>
            </w:r>
          </w:p>
        </w:tc>
        <w:tc>
          <w:tcPr>
            <w:tcW w:w="661" w:type="pct"/>
            <w:shd w:val="clear" w:color="000000" w:fill="FABF8F"/>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CD7B35">
        <w:trPr>
          <w:trHeight w:val="300"/>
          <w:tblHeader/>
        </w:trPr>
        <w:tc>
          <w:tcPr>
            <w:tcW w:w="1138" w:type="pct"/>
            <w:shd w:val="clear" w:color="000000" w:fill="FABF8F"/>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000000" w:fill="FABF8F"/>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2500" w:type="pct"/>
            <w:gridSpan w:val="4"/>
            <w:vMerge w:val="restart"/>
            <w:shd w:val="clear" w:color="000000" w:fill="FABF8F"/>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xml:space="preserve">              Progress</w:t>
            </w:r>
          </w:p>
        </w:tc>
        <w:tc>
          <w:tcPr>
            <w:tcW w:w="661" w:type="pct"/>
            <w:shd w:val="clear" w:color="000000" w:fill="FABF8F"/>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CD7B35">
        <w:trPr>
          <w:trHeight w:val="300"/>
          <w:tblHeader/>
        </w:trPr>
        <w:tc>
          <w:tcPr>
            <w:tcW w:w="1138" w:type="pct"/>
            <w:shd w:val="clear" w:color="000000" w:fill="FABF8F"/>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Performance Indicators</w:t>
            </w:r>
          </w:p>
        </w:tc>
        <w:tc>
          <w:tcPr>
            <w:tcW w:w="700" w:type="pct"/>
            <w:shd w:val="clear" w:color="000000" w:fill="FABF8F"/>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2500" w:type="pct"/>
            <w:gridSpan w:val="4"/>
            <w:vMerge/>
            <w:vAlign w:val="center"/>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p>
        </w:tc>
        <w:tc>
          <w:tcPr>
            <w:tcW w:w="661" w:type="pct"/>
            <w:shd w:val="clear" w:color="000000" w:fill="FABF8F"/>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CD7B35">
        <w:trPr>
          <w:trHeight w:val="540"/>
          <w:tblHeader/>
        </w:trPr>
        <w:tc>
          <w:tcPr>
            <w:tcW w:w="1138" w:type="pct"/>
            <w:shd w:val="clear" w:color="000000" w:fill="FABF8F"/>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000000" w:fill="FABF8F"/>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xml:space="preserve">Q2 - Actual Output Validated </w:t>
            </w:r>
          </w:p>
        </w:tc>
        <w:tc>
          <w:tcPr>
            <w:tcW w:w="700" w:type="pct"/>
            <w:shd w:val="clear" w:color="000000" w:fill="FABF8F"/>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xml:space="preserve"> Quarter Target as per APP</w:t>
            </w:r>
          </w:p>
        </w:tc>
        <w:tc>
          <w:tcPr>
            <w:tcW w:w="700" w:type="pct"/>
            <w:shd w:val="clear" w:color="000000" w:fill="FABF8F"/>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Pr>
                <w:rFonts w:ascii="Arial Narrow" w:eastAsia="Times New Roman" w:hAnsi="Arial Narrow" w:cs="Times New Roman"/>
                <w:b/>
                <w:bCs/>
                <w:sz w:val="18"/>
                <w:szCs w:val="18"/>
                <w:lang w:eastAsia="en-ZA"/>
              </w:rPr>
              <w:t>Quarter Actual output – Pre</w:t>
            </w:r>
            <w:r w:rsidRPr="00CD7B35">
              <w:rPr>
                <w:rFonts w:ascii="Arial Narrow" w:eastAsia="Times New Roman" w:hAnsi="Arial Narrow" w:cs="Times New Roman"/>
                <w:b/>
                <w:bCs/>
                <w:sz w:val="18"/>
                <w:szCs w:val="18"/>
                <w:lang w:eastAsia="en-ZA"/>
              </w:rPr>
              <w:t>lim</w:t>
            </w:r>
            <w:r>
              <w:rPr>
                <w:rFonts w:ascii="Arial Narrow" w:eastAsia="Times New Roman" w:hAnsi="Arial Narrow" w:cs="Times New Roman"/>
                <w:b/>
                <w:bCs/>
                <w:sz w:val="18"/>
                <w:szCs w:val="18"/>
                <w:lang w:eastAsia="en-ZA"/>
              </w:rPr>
              <w:t>inary</w:t>
            </w:r>
          </w:p>
        </w:tc>
        <w:tc>
          <w:tcPr>
            <w:tcW w:w="600" w:type="pct"/>
            <w:shd w:val="clear" w:color="000000" w:fill="FABF8F"/>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Deviation (Actual)</w:t>
            </w:r>
          </w:p>
        </w:tc>
        <w:tc>
          <w:tcPr>
            <w:tcW w:w="501" w:type="pct"/>
            <w:shd w:val="clear" w:color="000000" w:fill="FABF8F"/>
            <w:hideMark/>
          </w:tcPr>
          <w:p w:rsidR="00CD7B35" w:rsidRPr="00CD7B35" w:rsidRDefault="00CD7B35" w:rsidP="00CD7B35">
            <w:pPr>
              <w:spacing w:after="0" w:line="240" w:lineRule="auto"/>
              <w:rPr>
                <w:rFonts w:ascii="Arial Narrow" w:eastAsia="Times New Roman" w:hAnsi="Arial Narrow" w:cs="Times New Roman"/>
                <w:b/>
                <w:bCs/>
                <w:color w:val="000000"/>
                <w:sz w:val="18"/>
                <w:szCs w:val="18"/>
                <w:lang w:eastAsia="en-ZA"/>
              </w:rPr>
            </w:pPr>
            <w:r w:rsidRPr="00CD7B35">
              <w:rPr>
                <w:rFonts w:ascii="Arial Narrow" w:eastAsia="Times New Roman" w:hAnsi="Arial Narrow" w:cs="Times New Roman"/>
                <w:b/>
                <w:bCs/>
                <w:color w:val="000000"/>
                <w:sz w:val="18"/>
                <w:szCs w:val="18"/>
                <w:lang w:eastAsia="en-ZA"/>
              </w:rPr>
              <w:t>Deviation (%)</w:t>
            </w:r>
          </w:p>
        </w:tc>
        <w:tc>
          <w:tcPr>
            <w:tcW w:w="661" w:type="pct"/>
            <w:shd w:val="clear" w:color="000000" w:fill="FABF8F"/>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Comments</w:t>
            </w:r>
          </w:p>
        </w:tc>
      </w:tr>
      <w:tr w:rsidR="00CD7B35" w:rsidRPr="00CD7B35" w:rsidTr="00CD7B35">
        <w:trPr>
          <w:trHeight w:val="300"/>
        </w:trPr>
        <w:tc>
          <w:tcPr>
            <w:tcW w:w="1138"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xml:space="preserve">Programme 1: Administration </w:t>
            </w:r>
          </w:p>
        </w:tc>
        <w:tc>
          <w:tcPr>
            <w:tcW w:w="7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CD7B35">
        <w:trPr>
          <w:trHeight w:val="300"/>
        </w:trPr>
        <w:tc>
          <w:tcPr>
            <w:tcW w:w="1138"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A. Sub-Programme: Management</w:t>
            </w:r>
          </w:p>
        </w:tc>
        <w:tc>
          <w:tcPr>
            <w:tcW w:w="7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52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Annual Performance Plan developed and approved within the legislated time</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Not Q2 Target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Approved 2nd Draft 2016/2017 APP</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2nd Draft 2016/2017 APP Completed </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Finalising the APP for Approval </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No percentage deviation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r>
      <w:tr w:rsidR="00CD7B35" w:rsidRPr="00CD7B35" w:rsidTr="007C47A6">
        <w:trPr>
          <w:trHeight w:val="61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Approved Quarterly performance reports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Not Q2 Target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2nd Quarter of 2015/2016 Approved</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2nd Quarter of 2015/2016 Approved</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 Deviation -Target Achieved</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No percentage deviation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None</w:t>
            </w:r>
          </w:p>
        </w:tc>
      </w:tr>
      <w:tr w:rsidR="00CD7B35" w:rsidRPr="00CD7B35" w:rsidTr="007C47A6">
        <w:trPr>
          <w:trHeight w:val="78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Approved Annual performance report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Not Q2 Target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Annual Performance Report 2014/2015 Approved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Annual Performance Report 2014/2015 Approved </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 Deviation -Target Achieved</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No percentage deviation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None</w:t>
            </w:r>
          </w:p>
        </w:tc>
      </w:tr>
      <w:tr w:rsidR="00CD7B35" w:rsidRPr="00CD7B35" w:rsidTr="00CD7B35">
        <w:trPr>
          <w:trHeight w:val="300"/>
        </w:trPr>
        <w:tc>
          <w:tcPr>
            <w:tcW w:w="1138" w:type="pct"/>
            <w:shd w:val="clear" w:color="000000" w:fill="D8E4BC"/>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B. Sub-Programme: Operations Support Management</w:t>
            </w:r>
          </w:p>
        </w:tc>
        <w:tc>
          <w:tcPr>
            <w:tcW w:w="700" w:type="pct"/>
            <w:shd w:val="clear" w:color="000000" w:fill="D8E4BC"/>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CD7B35">
        <w:trPr>
          <w:trHeight w:val="300"/>
        </w:trPr>
        <w:tc>
          <w:tcPr>
            <w:tcW w:w="1138" w:type="pct"/>
            <w:shd w:val="clear" w:color="000000" w:fill="D8E4BC"/>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C. Sub-Programme: Finance and Accounting Management</w:t>
            </w:r>
          </w:p>
        </w:tc>
        <w:tc>
          <w:tcPr>
            <w:tcW w:w="700" w:type="pct"/>
            <w:shd w:val="clear" w:color="000000" w:fill="D8E4BC"/>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000000" w:fill="D8E4BC"/>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78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of invoices paid within 30 days of receipt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66% of invoices paid within 30 days of receipt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80% of invoices paid within 30 days of receipt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60% of invoices paid within 30 days of receipt</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Manual invoice tracking results in data unreliability. Capacity challenges in line function to do timeous verification those services have been delivered. Invoices still in the process of verification are also not identified and thereby making its tracking impossible.</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70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lastRenderedPageBreak/>
              <w:t>Percentage change in the debtors balance (R1.8billion as at 1st April 2014)</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4.86%</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15% of R1.8 Billion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17% (R 319MIL) YTD  reduction of 1.8 billion  debtors balance</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-2%</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82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recovery in the debtors current year balance</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84.71%</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80% recovery in debtors current year balance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 xml:space="preserve">86% (R 8.078 </w:t>
            </w:r>
            <w:proofErr w:type="spellStart"/>
            <w:r w:rsidRPr="00CD7B35">
              <w:rPr>
                <w:rFonts w:ascii="Calibri" w:eastAsia="Times New Roman" w:hAnsi="Calibri" w:cs="Times New Roman"/>
                <w:sz w:val="20"/>
                <w:szCs w:val="20"/>
                <w:lang w:eastAsia="en-ZA"/>
              </w:rPr>
              <w:t>bil</w:t>
            </w:r>
            <w:proofErr w:type="spellEnd"/>
            <w:r w:rsidRPr="00CD7B35">
              <w:rPr>
                <w:rFonts w:ascii="Calibri" w:eastAsia="Times New Roman" w:hAnsi="Calibri" w:cs="Times New Roman"/>
                <w:sz w:val="20"/>
                <w:szCs w:val="20"/>
                <w:lang w:eastAsia="en-ZA"/>
              </w:rPr>
              <w:t xml:space="preserve">) </w:t>
            </w:r>
            <w:r w:rsidRPr="00CD7B35">
              <w:rPr>
                <w:rFonts w:ascii="Calibri" w:eastAsia="Times New Roman" w:hAnsi="Calibri" w:cs="Times New Roman"/>
                <w:color w:val="00B050"/>
                <w:sz w:val="20"/>
                <w:szCs w:val="20"/>
                <w:lang w:eastAsia="en-ZA"/>
              </w:rPr>
              <w:t xml:space="preserve"> </w:t>
            </w:r>
            <w:r w:rsidRPr="00CD7B35">
              <w:rPr>
                <w:rFonts w:ascii="Calibri" w:eastAsia="Times New Roman" w:hAnsi="Calibri" w:cs="Times New Roman"/>
                <w:sz w:val="20"/>
                <w:szCs w:val="20"/>
                <w:lang w:eastAsia="en-ZA"/>
              </w:rPr>
              <w:t>recovery of the current year balance</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6%</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99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Estimate of National expenditure *(ENE) supporting documents (database and narrative) submitted within regulated </w:t>
            </w:r>
            <w:proofErr w:type="spellStart"/>
            <w:r w:rsidRPr="00CD7B35">
              <w:rPr>
                <w:rFonts w:ascii="Calibri" w:eastAsia="Times New Roman" w:hAnsi="Calibri" w:cs="Times New Roman"/>
                <w:sz w:val="18"/>
                <w:szCs w:val="18"/>
                <w:lang w:eastAsia="en-ZA"/>
              </w:rPr>
              <w:t>timefarmes</w:t>
            </w:r>
            <w:proofErr w:type="spellEnd"/>
            <w:r w:rsidRPr="00CD7B35">
              <w:rPr>
                <w:rFonts w:ascii="Calibri" w:eastAsia="Times New Roman" w:hAnsi="Calibri" w:cs="Times New Roman"/>
                <w:sz w:val="18"/>
                <w:szCs w:val="18"/>
                <w:lang w:eastAsia="en-ZA"/>
              </w:rPr>
              <w:t xml:space="preserve"> to National Treasury</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The MTEF documents approved by the DG and Submitted to National Treasury</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First and second draft ENE Document submitted to National treasury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20"/>
                <w:szCs w:val="20"/>
                <w:lang w:eastAsia="en-ZA"/>
              </w:rPr>
            </w:pPr>
            <w:r w:rsidRPr="00CD7B35">
              <w:rPr>
                <w:rFonts w:ascii="Calibri" w:eastAsia="Times New Roman" w:hAnsi="Calibri" w:cs="Times New Roman"/>
                <w:color w:val="000000"/>
                <w:sz w:val="20"/>
                <w:szCs w:val="20"/>
                <w:lang w:eastAsia="en-ZA"/>
              </w:rPr>
              <w:t>First draft and Second draft ENE documents submitted to National Treasury on due dates</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 </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CD7B35">
        <w:trPr>
          <w:trHeight w:val="360"/>
        </w:trPr>
        <w:tc>
          <w:tcPr>
            <w:tcW w:w="1138" w:type="pct"/>
            <w:shd w:val="clear" w:color="000000" w:fill="D8E4BC"/>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D. Sub-Programme: Supply Chain Management</w:t>
            </w:r>
          </w:p>
        </w:tc>
        <w:tc>
          <w:tcPr>
            <w:tcW w:w="700" w:type="pct"/>
            <w:shd w:val="clear" w:color="000000" w:fill="D8E4BC"/>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000000" w:fill="D8E4BC"/>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000000" w:fill="D8E4BC"/>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600" w:type="pct"/>
            <w:shd w:val="clear" w:color="000000" w:fill="D8E4BC"/>
            <w:hideMark/>
          </w:tcPr>
          <w:p w:rsidR="00CD7B35" w:rsidRPr="00CD7B35" w:rsidRDefault="00CD7B35" w:rsidP="00CD7B35">
            <w:pPr>
              <w:spacing w:after="0" w:line="240" w:lineRule="auto"/>
              <w:rPr>
                <w:rFonts w:ascii="Calibri" w:eastAsia="Times New Roman" w:hAnsi="Calibri" w:cs="Times New Roman"/>
                <w:lang w:eastAsia="en-ZA"/>
              </w:rPr>
            </w:pPr>
            <w:r w:rsidRPr="00CD7B35">
              <w:rPr>
                <w:rFonts w:ascii="Calibri" w:eastAsia="Times New Roman" w:hAnsi="Calibri" w:cs="Times New Roman"/>
                <w:lang w:eastAsia="en-ZA"/>
              </w:rPr>
              <w:t> </w:t>
            </w:r>
          </w:p>
        </w:tc>
        <w:tc>
          <w:tcPr>
            <w:tcW w:w="501" w:type="pct"/>
            <w:shd w:val="clear" w:color="000000" w:fill="D8E4BC"/>
            <w:hideMark/>
          </w:tcPr>
          <w:p w:rsidR="00CD7B35" w:rsidRPr="00CD7B35" w:rsidRDefault="00CD7B35" w:rsidP="00CD7B35">
            <w:pPr>
              <w:spacing w:after="0" w:line="240" w:lineRule="auto"/>
              <w:rPr>
                <w:rFonts w:ascii="Arial Narrow" w:eastAsia="Times New Roman" w:hAnsi="Arial Narrow" w:cs="Times New Roman"/>
                <w:b/>
                <w:bCs/>
                <w:color w:val="000000"/>
                <w:sz w:val="18"/>
                <w:szCs w:val="18"/>
                <w:lang w:eastAsia="en-ZA"/>
              </w:rPr>
            </w:pPr>
            <w:r w:rsidRPr="00CD7B35">
              <w:rPr>
                <w:rFonts w:ascii="Arial Narrow" w:eastAsia="Times New Roman" w:hAnsi="Arial Narrow" w:cs="Times New Roman"/>
                <w:b/>
                <w:bCs/>
                <w:color w:val="000000"/>
                <w:sz w:val="18"/>
                <w:szCs w:val="18"/>
                <w:lang w:eastAsia="en-ZA"/>
              </w:rPr>
              <w:t> </w:t>
            </w:r>
          </w:p>
        </w:tc>
        <w:tc>
          <w:tcPr>
            <w:tcW w:w="661" w:type="pct"/>
            <w:shd w:val="clear" w:color="000000" w:fill="D8E4BC"/>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r>
      <w:tr w:rsidR="00CD7B35" w:rsidRPr="00CD7B35" w:rsidTr="007C47A6">
        <w:trPr>
          <w:trHeight w:val="154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of bids awarded within 56 working days of Tender closure</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14 (19%) out of 74 bids were awarded within the 56 working days of closure of tender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50% of bids awarded within 30 56 working days of tender closure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(22%) - 14 tenders out of 58 were awarded within 56 working days </w:t>
            </w:r>
          </w:p>
        </w:tc>
        <w:tc>
          <w:tcPr>
            <w:tcW w:w="600" w:type="pct"/>
            <w:shd w:val="clear" w:color="auto" w:fill="DBE5F1" w:themeFill="accent1" w:themeFillTint="33"/>
            <w:hideMark/>
          </w:tcPr>
          <w:p w:rsidR="00CD7B35" w:rsidRPr="00CD7B35" w:rsidRDefault="00CD7B35" w:rsidP="00CD7B35">
            <w:pPr>
              <w:spacing w:after="24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The conclusion of SCM processes is dependent on internal and external stakeholders. Their availability and time constraints impact directly on the achievement of this target</w:t>
            </w:r>
            <w:r w:rsidRPr="00CD7B35">
              <w:rPr>
                <w:rFonts w:ascii="Calibri" w:eastAsia="Times New Roman" w:hAnsi="Calibri" w:cs="Times New Roman"/>
                <w:sz w:val="18"/>
                <w:szCs w:val="18"/>
                <w:lang w:eastAsia="en-ZA"/>
              </w:rPr>
              <w:br/>
            </w:r>
            <w:r w:rsidRPr="00CD7B35">
              <w:rPr>
                <w:rFonts w:ascii="Calibri" w:eastAsia="Times New Roman" w:hAnsi="Calibri" w:cs="Times New Roman"/>
                <w:sz w:val="18"/>
                <w:szCs w:val="18"/>
                <w:lang w:eastAsia="en-ZA"/>
              </w:rPr>
              <w:br/>
            </w:r>
            <w:r w:rsidRPr="00CD7B35">
              <w:rPr>
                <w:rFonts w:ascii="Calibri" w:eastAsia="Times New Roman" w:hAnsi="Calibri" w:cs="Times New Roman"/>
                <w:sz w:val="18"/>
                <w:szCs w:val="18"/>
                <w:lang w:eastAsia="en-ZA"/>
              </w:rPr>
              <w:br/>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220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lastRenderedPageBreak/>
              <w:t>110% (market related price+10% preferential premium) achieved in purchasing goods, services or works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b/>
                <w:bCs/>
                <w:sz w:val="18"/>
                <w:szCs w:val="18"/>
                <w:u w:val="single"/>
                <w:lang w:eastAsia="en-ZA"/>
              </w:rPr>
              <w:t>Document Management Offsite Storage</w:t>
            </w:r>
            <w:r w:rsidRPr="00CD7B35">
              <w:rPr>
                <w:rFonts w:ascii="Calibri" w:eastAsia="Times New Roman" w:hAnsi="Calibri" w:cs="Times New Roman"/>
                <w:sz w:val="18"/>
                <w:szCs w:val="18"/>
                <w:lang w:eastAsia="en-ZA"/>
              </w:rPr>
              <w:br/>
              <w:t xml:space="preserve">R10.69 Average DPW Spend /R15.38 market price X 100 = 70%  </w:t>
            </w:r>
            <w:r w:rsidRPr="00CD7B35">
              <w:rPr>
                <w:rFonts w:ascii="Calibri" w:eastAsia="Times New Roman" w:hAnsi="Calibri" w:cs="Times New Roman"/>
                <w:sz w:val="18"/>
                <w:szCs w:val="18"/>
                <w:lang w:eastAsia="en-ZA"/>
              </w:rPr>
              <w:br/>
            </w:r>
            <w:r w:rsidRPr="00CD7B35">
              <w:rPr>
                <w:rFonts w:ascii="Calibri" w:eastAsia="Times New Roman" w:hAnsi="Calibri" w:cs="Times New Roman"/>
                <w:b/>
                <w:bCs/>
                <w:sz w:val="18"/>
                <w:szCs w:val="18"/>
                <w:u w:val="single"/>
                <w:lang w:eastAsia="en-ZA"/>
              </w:rPr>
              <w:t>Catering</w:t>
            </w:r>
            <w:r w:rsidRPr="00CD7B35">
              <w:rPr>
                <w:rFonts w:ascii="Calibri" w:eastAsia="Times New Roman" w:hAnsi="Calibri" w:cs="Times New Roman"/>
                <w:sz w:val="18"/>
                <w:szCs w:val="18"/>
                <w:lang w:eastAsia="en-ZA"/>
              </w:rPr>
              <w:br/>
              <w:t>R125  Average DPW Spend/ R200 SARS Guide X 100 = 62.5%</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140% (market related price)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90%  procurement cost (market price with preferential premium) of goods and services purchased</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Councils for Built Environment Consultants prescribe Market related rates for tendering. The Department achieved up to 10% discount of the tendered amounts from the Built Environment Consultants over the period. Thus, the 140% target exceeded by 50%</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76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Average variation on all contracts executed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84% contracts executed within the 10% average variation</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10% average variation on all contracts executed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88% contracts executed within the 10% average variation</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Change in the scope as a result of latent defects </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300"/>
        </w:trPr>
        <w:tc>
          <w:tcPr>
            <w:tcW w:w="1138"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Programme 2: Real Estate Investment</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300"/>
        </w:trPr>
        <w:tc>
          <w:tcPr>
            <w:tcW w:w="1138"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Sub-Programme: User Demand Management</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34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completed U-AMPS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Not Q2 target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Not Q3 target </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61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Service Level Agreements developed in line with new Service Delivery Standards (SDS)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Not Q2 target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Not Q3 Target </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112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of user departments Framework Agreements concluded for use of freehold properties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0% of User Departments Framework Agreements concluded for the use of freehold property.</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80-100% of user departments framework agreements concluded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0% of User Departments Framework Agreements concluded for the use of freehold property.</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Clients to confirm asset verification of freehold property</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21 clients have responded on the verification of assets.  Intensifying interaction with the remaining User </w:t>
            </w:r>
            <w:r w:rsidRPr="00CD7B35">
              <w:rPr>
                <w:rFonts w:ascii="Calibri" w:eastAsia="Times New Roman" w:hAnsi="Calibri" w:cs="Times New Roman"/>
                <w:color w:val="000000"/>
                <w:sz w:val="18"/>
                <w:szCs w:val="18"/>
                <w:lang w:eastAsia="en-ZA"/>
              </w:rPr>
              <w:lastRenderedPageBreak/>
              <w:t>Departments to obtain confirmation of occupation</w:t>
            </w:r>
          </w:p>
        </w:tc>
      </w:tr>
      <w:tr w:rsidR="00CD7B35" w:rsidRPr="00CD7B35" w:rsidTr="007C47A6">
        <w:trPr>
          <w:trHeight w:val="300"/>
        </w:trPr>
        <w:tc>
          <w:tcPr>
            <w:tcW w:w="1138"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lastRenderedPageBreak/>
              <w:t>Sub-Programme: Planning and Pr</w:t>
            </w:r>
            <w:r>
              <w:rPr>
                <w:rFonts w:ascii="Arial Narrow" w:eastAsia="Times New Roman" w:hAnsi="Arial Narrow" w:cs="Times New Roman"/>
                <w:b/>
                <w:bCs/>
                <w:sz w:val="18"/>
                <w:szCs w:val="18"/>
                <w:lang w:eastAsia="en-ZA"/>
              </w:rPr>
              <w:t>e</w:t>
            </w:r>
            <w:r w:rsidRPr="00CD7B35">
              <w:rPr>
                <w:rFonts w:ascii="Arial Narrow" w:eastAsia="Times New Roman" w:hAnsi="Arial Narrow" w:cs="Times New Roman"/>
                <w:b/>
                <w:bCs/>
                <w:sz w:val="18"/>
                <w:szCs w:val="18"/>
                <w:lang w:eastAsia="en-ZA"/>
              </w:rPr>
              <w:t>cinct Development Services</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54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Precinct development proposals produced for Head Offices in Tshwane</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Not Q2 target</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Not Q3 Target  </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61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Precinct development proposals produced for metros and district municipalities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Not Q2 target</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Not Q3 Target  </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61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Precinct development proposals produced for local/rural municipalities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Not Q2 target</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Not Q3 Target  </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300"/>
        </w:trPr>
        <w:tc>
          <w:tcPr>
            <w:tcW w:w="1138"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Su-Programme: Investment Analysis</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52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change in the value of the immovable asset portfolio</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Not Q2 target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Not Q3 Target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150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Percentage of preliminary investment decisions approved within 3 months from date of request </w:t>
            </w:r>
          </w:p>
        </w:tc>
        <w:tc>
          <w:tcPr>
            <w:tcW w:w="700" w:type="pct"/>
            <w:shd w:val="clear" w:color="auto" w:fill="DBE5F1" w:themeFill="accent1" w:themeFillTint="33"/>
            <w:hideMark/>
          </w:tcPr>
          <w:p w:rsidR="00CD7B35" w:rsidRPr="00CD7B35" w:rsidRDefault="00CD7B35" w:rsidP="00CD7B35">
            <w:pPr>
              <w:spacing w:after="24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100% preliminary investment decisions approved within 3 months from date of request (3 of 3 requests)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75% of preliminary investment decisions approved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100% preliminary investment decisions approved within 3 months from date of request (2  of 2 requests) 1 backlog investment decisions completed </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No deviation -Target Achieved</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No percentage deviation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None</w:t>
            </w:r>
          </w:p>
        </w:tc>
      </w:tr>
      <w:tr w:rsidR="00CD7B35" w:rsidRPr="00CD7B35" w:rsidTr="007C47A6">
        <w:trPr>
          <w:trHeight w:val="129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lastRenderedPageBreak/>
              <w:t xml:space="preserve">Percentage of investment solutions for construction approved within 24 months from date of request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0% investment solutions for construction approved by Investment Committee</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75% of investment solutions for construction approved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No investment solutions for construction approved by Investment Committee within the quarter</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No design solutions and associated cost received in the period for forwarding to investment committee</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Stakeholder engagement to give effect to revised value chain operations in alignment with Strategic Plan and Annual Performance Plan</w:t>
            </w:r>
          </w:p>
        </w:tc>
      </w:tr>
      <w:tr w:rsidR="00CD7B35" w:rsidRPr="00CD7B35" w:rsidTr="007C47A6">
        <w:trPr>
          <w:trHeight w:val="136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Percentage of investment solutions for refurbishments approved within 6 months from date of request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0% investment solutions for construction approved by Investment Committee</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75% of investment solutions for refurbishment approved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No investment solutions for construction approved by Investment Committee within the quarter</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No design solutions and associated cost received in the period for forwarding to investment committee</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Stakeholder engagement to give effect to revised value chain operations in alignment with Strategic Plan and Annual Performance Plan</w:t>
            </w:r>
          </w:p>
        </w:tc>
      </w:tr>
      <w:tr w:rsidR="00CD7B35" w:rsidRPr="00CD7B35" w:rsidTr="007C47A6">
        <w:trPr>
          <w:trHeight w:val="183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Percentage of investment solutions for leasehold </w:t>
            </w:r>
            <w:proofErr w:type="spellStart"/>
            <w:r w:rsidRPr="00CD7B35">
              <w:rPr>
                <w:rFonts w:ascii="Calibri" w:eastAsia="Times New Roman" w:hAnsi="Calibri" w:cs="Times New Roman"/>
                <w:sz w:val="18"/>
                <w:szCs w:val="18"/>
                <w:lang w:eastAsia="en-ZA"/>
              </w:rPr>
              <w:t>andsurplus</w:t>
            </w:r>
            <w:proofErr w:type="spellEnd"/>
            <w:r w:rsidRPr="00CD7B35">
              <w:rPr>
                <w:rFonts w:ascii="Calibri" w:eastAsia="Times New Roman" w:hAnsi="Calibri" w:cs="Times New Roman"/>
                <w:sz w:val="18"/>
                <w:szCs w:val="18"/>
                <w:lang w:eastAsia="en-ZA"/>
              </w:rPr>
              <w:t xml:space="preserve"> freehold approved within 1 month from date of request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100% of investment solutions for leasehold and surplus freehold approved within 1 month from date of request (16 of 16 request)</w:t>
            </w:r>
            <w:r w:rsidRPr="00CD7B35">
              <w:rPr>
                <w:rFonts w:ascii="Calibri" w:eastAsia="Times New Roman" w:hAnsi="Calibri" w:cs="Times New Roman"/>
                <w:color w:val="000000"/>
                <w:sz w:val="18"/>
                <w:szCs w:val="18"/>
                <w:lang w:eastAsia="en-ZA"/>
              </w:rPr>
              <w:br/>
              <w:t xml:space="preserve">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75% of investment solution for leasehold and freehold approved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100% of investment solutions for leasehold and surplus freehold approved within 1 month from date of request (3 of 3 request)                                         35 backlog investment decisions approved                 </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No deviation -Target Achieved</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No percentage deviation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None</w:t>
            </w:r>
          </w:p>
        </w:tc>
      </w:tr>
      <w:tr w:rsidR="00CD7B35" w:rsidRPr="00CD7B35" w:rsidTr="007C47A6">
        <w:trPr>
          <w:trHeight w:val="48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initiatives for social and economic development approved within 12 months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Not Q2 Target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Not Q3 Target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330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lastRenderedPageBreak/>
              <w:t xml:space="preserve">Percentage of Disposal certificates of approval issued within 6 months from date of request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0% disposal certificates </w:t>
            </w:r>
            <w:proofErr w:type="gramStart"/>
            <w:r w:rsidRPr="00CD7B35">
              <w:rPr>
                <w:rFonts w:ascii="Calibri" w:eastAsia="Times New Roman" w:hAnsi="Calibri" w:cs="Times New Roman"/>
                <w:color w:val="000000"/>
                <w:sz w:val="18"/>
                <w:szCs w:val="18"/>
                <w:lang w:eastAsia="en-ZA"/>
              </w:rPr>
              <w:t>approved .</w:t>
            </w:r>
            <w:proofErr w:type="gramEnd"/>
            <w:r w:rsidRPr="00CD7B35">
              <w:rPr>
                <w:rFonts w:ascii="Calibri" w:eastAsia="Times New Roman" w:hAnsi="Calibri" w:cs="Times New Roman"/>
                <w:color w:val="000000"/>
                <w:sz w:val="18"/>
                <w:szCs w:val="18"/>
                <w:lang w:eastAsia="en-ZA"/>
              </w:rPr>
              <w:t xml:space="preserve"> 0% approved</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80% of disposal certificates of approval issued within 6 months from date of request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Out of 26 requests received in the last 06 months, none of the requests have been approved.</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0% Disposal certificates approved issued within 6 months from date of request.                                                  9 backlog disposal Certificates of approved</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In process of finalising  investigations (SG diagrams, vesting, current status) and valuation, investment analysis and town planning (on others) requests received,</w:t>
            </w:r>
            <w:r w:rsidRPr="00CD7B35">
              <w:rPr>
                <w:rFonts w:ascii="Calibri" w:eastAsia="Times New Roman" w:hAnsi="Calibri" w:cs="Times New Roman"/>
                <w:color w:val="000000"/>
                <w:sz w:val="18"/>
                <w:szCs w:val="18"/>
                <w:lang w:eastAsia="en-ZA"/>
              </w:rPr>
              <w:br/>
            </w:r>
            <w:r w:rsidRPr="00CD7B35">
              <w:rPr>
                <w:rFonts w:ascii="Calibri" w:eastAsia="Times New Roman" w:hAnsi="Calibri" w:cs="Times New Roman"/>
                <w:color w:val="000000"/>
                <w:sz w:val="18"/>
                <w:szCs w:val="18"/>
                <w:lang w:eastAsia="en-ZA"/>
              </w:rPr>
              <w:br/>
              <w:t>- 7 requests: still under investigation</w:t>
            </w:r>
            <w:r w:rsidRPr="00CD7B35">
              <w:rPr>
                <w:rFonts w:ascii="Calibri" w:eastAsia="Times New Roman" w:hAnsi="Calibri" w:cs="Times New Roman"/>
                <w:color w:val="000000"/>
                <w:sz w:val="18"/>
                <w:szCs w:val="18"/>
                <w:lang w:eastAsia="en-ZA"/>
              </w:rPr>
              <w:br/>
              <w:t xml:space="preserve">- 2 requests; properties being vested to enable disposal consideration </w:t>
            </w:r>
            <w:r w:rsidRPr="00CD7B35">
              <w:rPr>
                <w:rFonts w:ascii="Calibri" w:eastAsia="Times New Roman" w:hAnsi="Calibri" w:cs="Times New Roman"/>
                <w:color w:val="000000"/>
                <w:sz w:val="18"/>
                <w:szCs w:val="18"/>
                <w:lang w:eastAsia="en-ZA"/>
              </w:rPr>
              <w:br/>
              <w:t>- 8 requests; conducting investment analysis, valuation;</w:t>
            </w:r>
            <w:r w:rsidRPr="00CD7B35">
              <w:rPr>
                <w:rFonts w:ascii="Calibri" w:eastAsia="Times New Roman" w:hAnsi="Calibri" w:cs="Times New Roman"/>
                <w:color w:val="000000"/>
                <w:sz w:val="18"/>
                <w:szCs w:val="18"/>
                <w:lang w:eastAsia="en-ZA"/>
              </w:rPr>
              <w:br/>
              <w:t>- 5 requests; awaiting additional information from  applicants</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Disposal business processes to be reviewed in the PMTE with a view to enhancement</w:t>
            </w:r>
          </w:p>
        </w:tc>
      </w:tr>
      <w:tr w:rsidR="00CD7B35" w:rsidRPr="00CD7B35" w:rsidTr="007C47A6">
        <w:trPr>
          <w:trHeight w:val="216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lastRenderedPageBreak/>
              <w:t xml:space="preserve">Percentage of investment decisions approved to support Operation </w:t>
            </w:r>
            <w:proofErr w:type="spellStart"/>
            <w:r w:rsidRPr="00CD7B35">
              <w:rPr>
                <w:rFonts w:ascii="Calibri" w:eastAsia="Times New Roman" w:hAnsi="Calibri" w:cs="Times New Roman"/>
                <w:sz w:val="18"/>
                <w:szCs w:val="18"/>
                <w:lang w:eastAsia="en-ZA"/>
              </w:rPr>
              <w:t>Phakisa</w:t>
            </w:r>
            <w:proofErr w:type="spellEnd"/>
            <w:r w:rsidRPr="00CD7B35">
              <w:rPr>
                <w:rFonts w:ascii="Calibri" w:eastAsia="Times New Roman" w:hAnsi="Calibri" w:cs="Times New Roman"/>
                <w:sz w:val="18"/>
                <w:szCs w:val="18"/>
                <w:lang w:eastAsia="en-ZA"/>
              </w:rPr>
              <w:t xml:space="preserve"> (</w:t>
            </w:r>
            <w:proofErr w:type="spellStart"/>
            <w:r w:rsidRPr="00CD7B35">
              <w:rPr>
                <w:rFonts w:ascii="Calibri" w:eastAsia="Times New Roman" w:hAnsi="Calibri" w:cs="Times New Roman"/>
                <w:sz w:val="18"/>
                <w:szCs w:val="18"/>
                <w:lang w:eastAsia="en-ZA"/>
              </w:rPr>
              <w:t>mari</w:t>
            </w:r>
            <w:proofErr w:type="spellEnd"/>
            <w:r w:rsidRPr="00CD7B35">
              <w:rPr>
                <w:rFonts w:ascii="Calibri" w:eastAsia="Times New Roman" w:hAnsi="Calibri" w:cs="Times New Roman"/>
                <w:sz w:val="18"/>
                <w:szCs w:val="18"/>
                <w:lang w:eastAsia="en-ZA"/>
              </w:rPr>
              <w:t>/aquaculture projects)**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0% of </w:t>
            </w:r>
            <w:proofErr w:type="spellStart"/>
            <w:r w:rsidRPr="00CD7B35">
              <w:rPr>
                <w:rFonts w:ascii="Calibri" w:eastAsia="Times New Roman" w:hAnsi="Calibri" w:cs="Times New Roman"/>
                <w:color w:val="000000"/>
                <w:sz w:val="18"/>
                <w:szCs w:val="18"/>
                <w:lang w:eastAsia="en-ZA"/>
              </w:rPr>
              <w:t>inverstment</w:t>
            </w:r>
            <w:proofErr w:type="spellEnd"/>
            <w:r w:rsidRPr="00CD7B35">
              <w:rPr>
                <w:rFonts w:ascii="Calibri" w:eastAsia="Times New Roman" w:hAnsi="Calibri" w:cs="Times New Roman"/>
                <w:color w:val="000000"/>
                <w:sz w:val="18"/>
                <w:szCs w:val="18"/>
                <w:lang w:eastAsia="en-ZA"/>
              </w:rPr>
              <w:t xml:space="preserve"> decisions approved on proclaimed fishing </w:t>
            </w:r>
            <w:proofErr w:type="spellStart"/>
            <w:r w:rsidRPr="00CD7B35">
              <w:rPr>
                <w:rFonts w:ascii="Calibri" w:eastAsia="Times New Roman" w:hAnsi="Calibri" w:cs="Times New Roman"/>
                <w:color w:val="000000"/>
                <w:sz w:val="18"/>
                <w:szCs w:val="18"/>
                <w:lang w:eastAsia="en-ZA"/>
              </w:rPr>
              <w:t>habours</w:t>
            </w:r>
            <w:proofErr w:type="spellEnd"/>
            <w:r w:rsidRPr="00CD7B35">
              <w:rPr>
                <w:rFonts w:ascii="Calibri" w:eastAsia="Times New Roman" w:hAnsi="Calibri" w:cs="Times New Roman"/>
                <w:color w:val="000000"/>
                <w:sz w:val="18"/>
                <w:szCs w:val="18"/>
                <w:lang w:eastAsia="en-ZA"/>
              </w:rPr>
              <w:t xml:space="preserve">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60-80% of investment decisions approved to support operation Phakisa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 new requests received for Operation Phakisa initiative  2 backlog investment decisions on Operation Phakisa completed</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 requests for Operation Phakisa initiatives received within the 3 month period.                                                                 2 backlog investment decisions on Operation Phakisa  </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 requests for Operation Phakisa initiatives received within the 3 month period </w:t>
            </w:r>
          </w:p>
        </w:tc>
      </w:tr>
      <w:tr w:rsidR="00CD7B35" w:rsidRPr="00CD7B35" w:rsidTr="007C47A6">
        <w:trPr>
          <w:trHeight w:val="48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vacant freehold properties approved for re-development by BBBEE developers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Not Q2 target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Not Q3 Target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96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of investment decisions approved on proclaimed fishing barbours infrastructure within 9 months from date of request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Not Q2 target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60-80% of investment decisions approved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 requests for Fishing Harbours infrastructure received within the 9 month period</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 requests for Fishing Harbours infrastructure received within the 9 month period </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 Target Not Achieved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 requests for Fishing Harbours infrastructure received within the 9 month period </w:t>
            </w:r>
          </w:p>
        </w:tc>
      </w:tr>
      <w:tr w:rsidR="00CD7B35" w:rsidRPr="00CD7B35" w:rsidTr="007C47A6">
        <w:trPr>
          <w:trHeight w:val="300"/>
        </w:trPr>
        <w:tc>
          <w:tcPr>
            <w:tcW w:w="1138"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Sub-Programme: Property Performance Management</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100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Report on the performance of identified buildings against the mean for the year in the 9 listed performance areas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122  reports on the performance of identified buildings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Approved report on performance of building of the 2nd Quarter</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 report consisting of 104 reports on the performance of identified buildings </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 deviation -Target Achieved</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No percentage deviation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None</w:t>
            </w:r>
          </w:p>
        </w:tc>
      </w:tr>
      <w:tr w:rsidR="00CD7B35" w:rsidRPr="00CD7B35" w:rsidTr="007C47A6">
        <w:trPr>
          <w:trHeight w:val="157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Report on the performance freehold and leasehold buildings measured against industry standards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Not Q2 target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Approved report on performance of building</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1 report consisting of 5 performance reports of freehold buildings measured against industry standards</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 deviation -Target Achieved</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No percentage deviation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None</w:t>
            </w:r>
          </w:p>
        </w:tc>
      </w:tr>
      <w:tr w:rsidR="00CD7B35" w:rsidRPr="00CD7B35" w:rsidTr="007C47A6">
        <w:trPr>
          <w:trHeight w:val="360"/>
        </w:trPr>
        <w:tc>
          <w:tcPr>
            <w:tcW w:w="1138"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Programme 3: Construction Project Management</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300"/>
        </w:trPr>
        <w:tc>
          <w:tcPr>
            <w:tcW w:w="1138" w:type="pct"/>
            <w:shd w:val="clear" w:color="auto" w:fill="DBE5F1" w:themeFill="accent1" w:themeFillTint="33"/>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lastRenderedPageBreak/>
              <w:t>A. Su-Programme: Constrcution Project Planning</w:t>
            </w:r>
          </w:p>
        </w:tc>
        <w:tc>
          <w:tcPr>
            <w:tcW w:w="700" w:type="pct"/>
            <w:shd w:val="clear" w:color="auto" w:fill="DBE5F1" w:themeFill="accent1" w:themeFillTint="33"/>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DBE5F1" w:themeFill="accent1" w:themeFillTint="33"/>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DBE5F1" w:themeFill="accent1" w:themeFillTint="33"/>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DBE5F1" w:themeFill="accent1" w:themeFillTint="33"/>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DBE5F1" w:themeFill="accent1" w:themeFillTint="33"/>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DBE5F1" w:themeFill="accent1" w:themeFillTint="33"/>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144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work opportunities created through construction projects (EPWP and other)</w:t>
            </w:r>
          </w:p>
        </w:tc>
        <w:tc>
          <w:tcPr>
            <w:tcW w:w="700" w:type="pct"/>
            <w:shd w:val="clear" w:color="auto" w:fill="DBE5F1" w:themeFill="accent1" w:themeFillTint="33"/>
            <w:hideMark/>
          </w:tcPr>
          <w:p w:rsidR="00CD7B35" w:rsidRPr="00CD7B35" w:rsidRDefault="00CD7B35" w:rsidP="00CD7B35">
            <w:pPr>
              <w:spacing w:after="0" w:line="240" w:lineRule="auto"/>
              <w:jc w:val="right"/>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1262</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6 000</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2 684</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3 316</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Lack of proper coordination between Construction Projects and EPWP Infrastructure Units led to under achievement as a result inadequate data regarding work opportunities (WO) from Project site</w:t>
            </w:r>
          </w:p>
        </w:tc>
      </w:tr>
      <w:tr w:rsidR="00CD7B35" w:rsidRPr="00CD7B35" w:rsidTr="007C47A6">
        <w:trPr>
          <w:trHeight w:val="375"/>
        </w:trPr>
        <w:tc>
          <w:tcPr>
            <w:tcW w:w="1138"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B. Sub-Programme: Construction Project  Management</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72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projects completed within agreed construction period</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25</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14</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50</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36</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80"/>
                <w:sz w:val="18"/>
                <w:szCs w:val="18"/>
                <w:lang w:eastAsia="en-ZA"/>
              </w:rPr>
            </w:pPr>
            <w:r w:rsidRPr="00CD7B35">
              <w:rPr>
                <w:rFonts w:ascii="Calibri" w:eastAsia="Times New Roman" w:hAnsi="Calibri" w:cs="Times New Roman"/>
                <w:color w:val="000080"/>
                <w:sz w:val="18"/>
                <w:szCs w:val="18"/>
                <w:lang w:eastAsia="en-ZA"/>
              </w:rPr>
              <w:t>257%</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Continuation/ </w:t>
            </w:r>
            <w:proofErr w:type="gramStart"/>
            <w:r w:rsidRPr="00CD7B35">
              <w:rPr>
                <w:rFonts w:ascii="Calibri" w:eastAsia="Times New Roman" w:hAnsi="Calibri" w:cs="Times New Roman"/>
                <w:color w:val="000000"/>
                <w:sz w:val="18"/>
                <w:szCs w:val="18"/>
                <w:lang w:eastAsia="en-ZA"/>
              </w:rPr>
              <w:t>Implementation  of</w:t>
            </w:r>
            <w:proofErr w:type="gramEnd"/>
            <w:r w:rsidRPr="00CD7B35">
              <w:rPr>
                <w:rFonts w:ascii="Calibri" w:eastAsia="Times New Roman" w:hAnsi="Calibri" w:cs="Times New Roman"/>
                <w:color w:val="000000"/>
                <w:sz w:val="18"/>
                <w:szCs w:val="18"/>
                <w:lang w:eastAsia="en-ZA"/>
              </w:rPr>
              <w:t xml:space="preserve"> the turnaround strategy to improve performance. </w:t>
            </w:r>
          </w:p>
        </w:tc>
      </w:tr>
      <w:tr w:rsidR="00CD7B35" w:rsidRPr="00CD7B35" w:rsidTr="007C47A6">
        <w:trPr>
          <w:trHeight w:val="72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projects completed within approved budget</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24</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20</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46</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26</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80"/>
                <w:sz w:val="18"/>
                <w:szCs w:val="18"/>
                <w:lang w:eastAsia="en-ZA"/>
              </w:rPr>
            </w:pPr>
            <w:r w:rsidRPr="00CD7B35">
              <w:rPr>
                <w:rFonts w:ascii="Calibri" w:eastAsia="Times New Roman" w:hAnsi="Calibri" w:cs="Times New Roman"/>
                <w:color w:val="000080"/>
                <w:sz w:val="18"/>
                <w:szCs w:val="18"/>
                <w:lang w:eastAsia="en-ZA"/>
              </w:rPr>
              <w:t>130%</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Continuation/ </w:t>
            </w:r>
            <w:proofErr w:type="gramStart"/>
            <w:r w:rsidRPr="00CD7B35">
              <w:rPr>
                <w:rFonts w:ascii="Calibri" w:eastAsia="Times New Roman" w:hAnsi="Calibri" w:cs="Times New Roman"/>
                <w:color w:val="000000"/>
                <w:sz w:val="18"/>
                <w:szCs w:val="18"/>
                <w:lang w:eastAsia="en-ZA"/>
              </w:rPr>
              <w:t>Implementation  of</w:t>
            </w:r>
            <w:proofErr w:type="gramEnd"/>
            <w:r w:rsidRPr="00CD7B35">
              <w:rPr>
                <w:rFonts w:ascii="Calibri" w:eastAsia="Times New Roman" w:hAnsi="Calibri" w:cs="Times New Roman"/>
                <w:color w:val="000000"/>
                <w:sz w:val="18"/>
                <w:szCs w:val="18"/>
                <w:lang w:eastAsia="en-ZA"/>
              </w:rPr>
              <w:t xml:space="preserve"> the turnaround strategy to improve performance. </w:t>
            </w:r>
          </w:p>
        </w:tc>
      </w:tr>
      <w:tr w:rsidR="00CD7B35" w:rsidRPr="00CD7B35" w:rsidTr="007C47A6">
        <w:trPr>
          <w:trHeight w:val="48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projects in the current WCS project list cleared</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33</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108</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40</w:t>
            </w:r>
          </w:p>
        </w:tc>
        <w:tc>
          <w:tcPr>
            <w:tcW w:w="600" w:type="pct"/>
            <w:shd w:val="clear" w:color="auto" w:fill="DBE5F1" w:themeFill="accent1" w:themeFillTint="33"/>
            <w:noWrap/>
            <w:hideMark/>
          </w:tcPr>
          <w:p w:rsidR="00CD7B35" w:rsidRPr="00CD7B35" w:rsidRDefault="00CD7B35" w:rsidP="00CD7B35">
            <w:pPr>
              <w:spacing w:after="0" w:line="240" w:lineRule="auto"/>
              <w:jc w:val="right"/>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(68)</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80"/>
                <w:sz w:val="18"/>
                <w:szCs w:val="18"/>
                <w:lang w:eastAsia="en-ZA"/>
              </w:rPr>
            </w:pPr>
            <w:r w:rsidRPr="00CD7B35">
              <w:rPr>
                <w:rFonts w:ascii="Calibri" w:eastAsia="Times New Roman" w:hAnsi="Calibri" w:cs="Times New Roman"/>
                <w:color w:val="000080"/>
                <w:sz w:val="18"/>
                <w:szCs w:val="18"/>
                <w:lang w:eastAsia="en-ZA"/>
              </w:rPr>
              <w:t>-63%</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Embarking on infrastructure enhancement programme with regions.</w:t>
            </w:r>
          </w:p>
        </w:tc>
      </w:tr>
      <w:tr w:rsidR="00CD7B35" w:rsidRPr="00CD7B35" w:rsidTr="007C47A6">
        <w:trPr>
          <w:trHeight w:val="72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of construction contracts allocated towards BBBEE</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%(25 of 65) </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10.5% (7 of 65) </w:t>
            </w:r>
          </w:p>
        </w:tc>
        <w:tc>
          <w:tcPr>
            <w:tcW w:w="700" w:type="pct"/>
            <w:shd w:val="clear" w:color="auto" w:fill="DBE5F1" w:themeFill="accent1" w:themeFillTint="33"/>
            <w:noWrap/>
            <w:hideMark/>
          </w:tcPr>
          <w:p w:rsidR="00CD7B35" w:rsidRPr="00CD7B35" w:rsidRDefault="00CD7B35" w:rsidP="00CD7B35">
            <w:pPr>
              <w:spacing w:after="0" w:line="240" w:lineRule="auto"/>
              <w:jc w:val="right"/>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45% (29 of 65) </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80"/>
                <w:sz w:val="18"/>
                <w:szCs w:val="18"/>
                <w:lang w:eastAsia="en-ZA"/>
              </w:rPr>
            </w:pPr>
            <w:r w:rsidRPr="00CD7B35">
              <w:rPr>
                <w:rFonts w:ascii="Calibri" w:eastAsia="Times New Roman" w:hAnsi="Calibri" w:cs="Times New Roman"/>
                <w:color w:val="000080"/>
                <w:sz w:val="18"/>
                <w:szCs w:val="18"/>
                <w:lang w:eastAsia="en-ZA"/>
              </w:rPr>
              <w:t>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Number of projects bid awards increased for BBBEE qualifying </w:t>
            </w:r>
            <w:r w:rsidRPr="00CD7B35">
              <w:rPr>
                <w:rFonts w:ascii="Calibri" w:eastAsia="Times New Roman" w:hAnsi="Calibri" w:cs="Times New Roman"/>
                <w:color w:val="000000"/>
                <w:sz w:val="18"/>
                <w:szCs w:val="18"/>
                <w:lang w:eastAsia="en-ZA"/>
              </w:rPr>
              <w:lastRenderedPageBreak/>
              <w:t>enterprises</w:t>
            </w:r>
          </w:p>
        </w:tc>
      </w:tr>
      <w:tr w:rsidR="00CD7B35" w:rsidRPr="00CD7B35" w:rsidTr="007C47A6">
        <w:trPr>
          <w:trHeight w:val="300"/>
        </w:trPr>
        <w:tc>
          <w:tcPr>
            <w:tcW w:w="1138"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lastRenderedPageBreak/>
              <w:t xml:space="preserve">C. Sub-Programme: Special Projects </w:t>
            </w:r>
          </w:p>
        </w:tc>
        <w:tc>
          <w:tcPr>
            <w:tcW w:w="700"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600"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501"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b/>
                <w:bCs/>
                <w:color w:val="000000"/>
                <w:sz w:val="18"/>
                <w:szCs w:val="18"/>
                <w:lang w:eastAsia="en-ZA"/>
              </w:rPr>
            </w:pPr>
            <w:r w:rsidRPr="00CD7B35">
              <w:rPr>
                <w:rFonts w:ascii="Arial Narrow" w:eastAsia="Times New Roman" w:hAnsi="Arial Narrow" w:cs="Times New Roman"/>
                <w:b/>
                <w:bCs/>
                <w:color w:val="000000"/>
                <w:sz w:val="18"/>
                <w:szCs w:val="18"/>
                <w:lang w:eastAsia="en-ZA"/>
              </w:rPr>
              <w:t> </w:t>
            </w:r>
          </w:p>
        </w:tc>
        <w:tc>
          <w:tcPr>
            <w:tcW w:w="661"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r>
      <w:tr w:rsidR="00CD7B35" w:rsidRPr="00CD7B35" w:rsidTr="007C47A6">
        <w:trPr>
          <w:trHeight w:val="54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schools completed within planned construction period</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299 schools completed within planned period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 school  completed </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Challenges experienced in securing approval of assessment reports and BoQs from DBE</w:t>
            </w:r>
          </w:p>
        </w:tc>
        <w:tc>
          <w:tcPr>
            <w:tcW w:w="501" w:type="pct"/>
            <w:shd w:val="clear" w:color="auto" w:fill="DBE5F1" w:themeFill="accent1" w:themeFillTint="33"/>
            <w:noWrap/>
            <w:vAlign w:val="bottom"/>
            <w:hideMark/>
          </w:tcPr>
          <w:p w:rsidR="00CD7B35" w:rsidRPr="00CD7B35" w:rsidRDefault="00CD7B35" w:rsidP="00CD7B35">
            <w:pPr>
              <w:spacing w:after="0" w:line="240" w:lineRule="auto"/>
              <w:rPr>
                <w:rFonts w:ascii="Calibri" w:eastAsia="Times New Roman" w:hAnsi="Calibri" w:cs="Times New Roman"/>
                <w:color w:val="000000"/>
                <w:lang w:eastAsia="en-ZA"/>
              </w:rPr>
            </w:pPr>
            <w:r w:rsidRPr="00CD7B35">
              <w:rPr>
                <w:rFonts w:ascii="Calibri" w:eastAsia="Times New Roman" w:hAnsi="Calibri" w:cs="Times New Roman"/>
                <w:color w:val="000000"/>
                <w:lang w:eastAsia="en-ZA"/>
              </w:rPr>
              <w:t>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Support of the Executive Authority to engage the Executive Authority of Basic Education.</w:t>
            </w:r>
          </w:p>
        </w:tc>
      </w:tr>
      <w:tr w:rsidR="00CD7B35" w:rsidRPr="00CD7B35" w:rsidTr="007C47A6">
        <w:trPr>
          <w:trHeight w:val="55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Number of Work opportunities created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1495 work opportunities created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1A1A1A"/>
                <w:sz w:val="18"/>
                <w:szCs w:val="18"/>
                <w:lang w:eastAsia="en-ZA"/>
              </w:rPr>
            </w:pPr>
            <w:r w:rsidRPr="00CD7B35">
              <w:rPr>
                <w:rFonts w:ascii="Calibri" w:eastAsia="Times New Roman" w:hAnsi="Calibri" w:cs="Times New Roman"/>
                <w:color w:val="1A1A1A"/>
                <w:sz w:val="18"/>
                <w:szCs w:val="18"/>
                <w:lang w:eastAsia="en-ZA"/>
              </w:rPr>
              <w:t xml:space="preserve">120 EPWP workers appointed. </w:t>
            </w:r>
          </w:p>
        </w:tc>
        <w:tc>
          <w:tcPr>
            <w:tcW w:w="600" w:type="pct"/>
            <w:shd w:val="clear" w:color="auto" w:fill="DBE5F1" w:themeFill="accent1" w:themeFillTint="33"/>
            <w:noWrap/>
            <w:vAlign w:val="bottom"/>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501" w:type="pct"/>
            <w:shd w:val="clear" w:color="auto" w:fill="DBE5F1" w:themeFill="accent1" w:themeFillTint="33"/>
            <w:noWrap/>
            <w:vAlign w:val="bottom"/>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375"/>
        </w:trPr>
        <w:tc>
          <w:tcPr>
            <w:tcW w:w="1138"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Programme 4: Real Estate Management</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375"/>
        </w:trPr>
        <w:tc>
          <w:tcPr>
            <w:tcW w:w="1138"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xml:space="preserve">Sub-Programme: Management of Freehold Property &amp; Land Administration and Management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52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of occupancy rate increased for partially occupied property</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Not Q3 Target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r>
      <w:tr w:rsidR="00CD7B35" w:rsidRPr="00CD7B35" w:rsidTr="007C47A6">
        <w:trPr>
          <w:trHeight w:val="133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vacant land (land parcels) secured to let out towards economic development initiatives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25 vacant land (land parcels) secured to let out</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1 vacant land (land parcels) secured to let out</w:t>
            </w:r>
          </w:p>
        </w:tc>
        <w:tc>
          <w:tcPr>
            <w:tcW w:w="600" w:type="pct"/>
            <w:shd w:val="clear" w:color="auto" w:fill="DBE5F1" w:themeFill="accent1" w:themeFillTint="33"/>
            <w:vAlign w:val="bottom"/>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Capacity challenges, Inspections underway to verify submitted information and assess the condition of the properties, and valuations underway</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147 submissions received from regions which will undergo valuations, investment analysis and inspections. Enhancement of the existing SOP's. This will improve achievement. </w:t>
            </w:r>
          </w:p>
        </w:tc>
      </w:tr>
      <w:tr w:rsidR="00CD7B35" w:rsidRPr="00CD7B35" w:rsidTr="007C47A6">
        <w:trPr>
          <w:trHeight w:val="555"/>
        </w:trPr>
        <w:tc>
          <w:tcPr>
            <w:tcW w:w="1138"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Sub-Programme: Surplus Freehold (Revenue) Management &amp; Leasehold Management</w:t>
            </w:r>
          </w:p>
        </w:tc>
        <w:tc>
          <w:tcPr>
            <w:tcW w:w="700"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700" w:type="pct"/>
            <w:shd w:val="clear" w:color="auto" w:fill="C2D69B" w:themeFill="accent3" w:themeFillTint="99"/>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00" w:type="pct"/>
            <w:shd w:val="clear" w:color="auto" w:fill="C2D69B" w:themeFill="accent3" w:themeFillTint="99"/>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501" w:type="pct"/>
            <w:shd w:val="clear" w:color="auto" w:fill="C2D69B" w:themeFill="accent3" w:themeFillTint="99"/>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C2D69B" w:themeFill="accent3" w:themeFillTint="99"/>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r>
      <w:tr w:rsidR="00CD7B35" w:rsidRPr="00CD7B35" w:rsidTr="007C47A6">
        <w:trPr>
          <w:trHeight w:val="133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lastRenderedPageBreak/>
              <w:t>Number of surplus freehold office type properties let for revenue generation</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25</w:t>
            </w:r>
          </w:p>
        </w:tc>
        <w:tc>
          <w:tcPr>
            <w:tcW w:w="700" w:type="pct"/>
            <w:shd w:val="clear" w:color="auto" w:fill="DBE5F1" w:themeFill="accent1" w:themeFillTint="33"/>
            <w:hideMark/>
          </w:tcPr>
          <w:p w:rsidR="00CD7B35" w:rsidRPr="00CD7B35" w:rsidRDefault="00CD7B35" w:rsidP="00CD7B35">
            <w:pPr>
              <w:spacing w:after="0" w:line="240" w:lineRule="auto"/>
              <w:ind w:firstLineChars="1800" w:firstLine="3240"/>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4</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Capacity challenges, Inspections underway to verify submitted information and assess the condition of the properties, and valuations underway</w:t>
            </w:r>
          </w:p>
        </w:tc>
        <w:tc>
          <w:tcPr>
            <w:tcW w:w="501" w:type="pct"/>
            <w:shd w:val="clear" w:color="auto" w:fill="DBE5F1" w:themeFill="accent1" w:themeFillTint="33"/>
            <w:noWrap/>
            <w:vAlign w:val="bottom"/>
            <w:hideMark/>
          </w:tcPr>
          <w:p w:rsidR="00CD7B35" w:rsidRPr="00CD7B35" w:rsidRDefault="00CD7B35" w:rsidP="00CD7B35">
            <w:pPr>
              <w:spacing w:after="0" w:line="240" w:lineRule="auto"/>
              <w:rPr>
                <w:rFonts w:ascii="Calibri" w:eastAsia="Times New Roman" w:hAnsi="Calibri" w:cs="Times New Roman"/>
                <w:color w:val="000000"/>
                <w:lang w:eastAsia="en-ZA"/>
              </w:rPr>
            </w:pPr>
            <w:r w:rsidRPr="00CD7B35">
              <w:rPr>
                <w:rFonts w:ascii="Calibri" w:eastAsia="Times New Roman" w:hAnsi="Calibri" w:cs="Times New Roman"/>
                <w:color w:val="000000"/>
                <w:lang w:eastAsia="en-ZA"/>
              </w:rPr>
              <w:t>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147 submissions received from regions which will undergo valuations, investment analysis and inspections. Enhancement of the existing SOP's. This will improve achievement. </w:t>
            </w:r>
          </w:p>
        </w:tc>
      </w:tr>
      <w:tr w:rsidR="00CD7B35" w:rsidRPr="00CD7B35" w:rsidTr="007C47A6">
        <w:trPr>
          <w:trHeight w:val="121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surplus freehold residential properties let out for revenue generation</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167</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Capacity challenges, Inspections underway to verify submitted information and assess the condition of the properties, and valuations underway</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100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lease agreements renewed according to the rental rate per square metre and escalation</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325</w:t>
            </w:r>
          </w:p>
        </w:tc>
        <w:tc>
          <w:tcPr>
            <w:tcW w:w="700" w:type="pct"/>
            <w:shd w:val="clear" w:color="auto" w:fill="DBE5F1" w:themeFill="accent1" w:themeFillTint="33"/>
            <w:noWrap/>
            <w:hideMark/>
          </w:tcPr>
          <w:p w:rsidR="00CD7B35" w:rsidRPr="00CD7B35" w:rsidRDefault="00CD7B35" w:rsidP="00CD7B35">
            <w:pPr>
              <w:spacing w:after="0" w:line="240" w:lineRule="auto"/>
              <w:jc w:val="right"/>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280</w:t>
            </w:r>
          </w:p>
        </w:tc>
        <w:tc>
          <w:tcPr>
            <w:tcW w:w="600" w:type="pct"/>
            <w:shd w:val="clear" w:color="auto" w:fill="DBE5F1" w:themeFill="accent1" w:themeFillTint="33"/>
            <w:vAlign w:val="bottom"/>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The fixed quarterly target has been exceeded by 180 and cumulative target exceeded by 124</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79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of leases renewed before expired date</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60% of leases renewed before expiry date </w:t>
            </w:r>
          </w:p>
        </w:tc>
        <w:tc>
          <w:tcPr>
            <w:tcW w:w="700" w:type="pct"/>
            <w:shd w:val="clear" w:color="auto" w:fill="DBE5F1" w:themeFill="accent1" w:themeFillTint="33"/>
            <w:vAlign w:val="center"/>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78.92%  of leases renewed before expiry date</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Target Achieved  </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12.92%</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150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lastRenderedPageBreak/>
              <w:t>percentage of leased accommodation (lease in) provided within agreed time frame</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48% of leased accommodation (leased in) provided within agreed time frame </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0%</w:t>
            </w:r>
          </w:p>
        </w:tc>
        <w:tc>
          <w:tcPr>
            <w:tcW w:w="600" w:type="pct"/>
            <w:shd w:val="clear" w:color="auto" w:fill="DBE5F1" w:themeFill="accent1" w:themeFillTint="33"/>
            <w:vAlign w:val="bottom"/>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Consensus has been reached to use PA33 (Bid Execution Plan) as a measure to calculate the agreed turnaround time. We are still collecting data to enable reporting in the final report.</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127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of surplus freehold property allocated towards BBBE</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25% of 300 (75) </w:t>
            </w:r>
          </w:p>
        </w:tc>
        <w:tc>
          <w:tcPr>
            <w:tcW w:w="700" w:type="pct"/>
            <w:shd w:val="clear" w:color="auto" w:fill="DBE5F1" w:themeFill="accent1" w:themeFillTint="33"/>
            <w:noWrap/>
            <w:hideMark/>
          </w:tcPr>
          <w:p w:rsidR="00CD7B35" w:rsidRPr="00CD7B35" w:rsidRDefault="00CD7B35" w:rsidP="007C47A6">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w:t>
            </w:r>
            <w:r w:rsidR="007C47A6">
              <w:rPr>
                <w:rFonts w:ascii="Calibri" w:eastAsia="Times New Roman" w:hAnsi="Calibri" w:cs="Times New Roman"/>
                <w:sz w:val="18"/>
                <w:szCs w:val="18"/>
                <w:lang w:eastAsia="en-ZA"/>
              </w:rPr>
              <w:t xml:space="preserve">100% (4 of 4) in this quarter  </w:t>
            </w:r>
            <w:r w:rsidRPr="00CD7B35">
              <w:rPr>
                <w:rFonts w:ascii="Calibri" w:eastAsia="Times New Roman" w:hAnsi="Calibri" w:cs="Times New Roman"/>
                <w:sz w:val="18"/>
                <w:szCs w:val="18"/>
                <w:lang w:eastAsia="en-ZA"/>
              </w:rPr>
              <w:t xml:space="preserve">  </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Capacity challenges, Inspections underway to verify submitted information and assess the condition of the properties, and valuations underway</w:t>
            </w:r>
          </w:p>
        </w:tc>
        <w:tc>
          <w:tcPr>
            <w:tcW w:w="501" w:type="pct"/>
            <w:shd w:val="clear" w:color="auto" w:fill="DBE5F1" w:themeFill="accent1" w:themeFillTint="33"/>
            <w:noWrap/>
            <w:vAlign w:val="bottom"/>
            <w:hideMark/>
          </w:tcPr>
          <w:p w:rsidR="00CD7B35" w:rsidRPr="00CD7B35" w:rsidRDefault="00CD7B35" w:rsidP="00CD7B35">
            <w:pPr>
              <w:spacing w:after="0" w:line="240" w:lineRule="auto"/>
              <w:rPr>
                <w:rFonts w:ascii="Calibri" w:eastAsia="Times New Roman" w:hAnsi="Calibri" w:cs="Times New Roman"/>
                <w:color w:val="000000"/>
                <w:lang w:eastAsia="en-ZA"/>
              </w:rPr>
            </w:pPr>
            <w:r w:rsidRPr="00CD7B35">
              <w:rPr>
                <w:rFonts w:ascii="Calibri" w:eastAsia="Times New Roman" w:hAnsi="Calibri" w:cs="Times New Roman"/>
                <w:color w:val="000000"/>
                <w:lang w:eastAsia="en-ZA"/>
              </w:rPr>
              <w:t>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35 submissions received from regions which will undergo valuations, investment analysis and inspections. Enhancement of the existing SOP's. </w:t>
            </w:r>
          </w:p>
        </w:tc>
      </w:tr>
      <w:tr w:rsidR="00CD7B35" w:rsidRPr="00CD7B35" w:rsidTr="007C47A6">
        <w:trPr>
          <w:trHeight w:val="390"/>
        </w:trPr>
        <w:tc>
          <w:tcPr>
            <w:tcW w:w="1138"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Programme 5: Real Estate Information &amp; Registry</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114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of identified Real Estate Assets verified</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99.12% of identified  Real Estate Assets verified</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99% of identified Real Estate Assets verified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99.14% of identified  Real Estate Assets verified</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0.14 Actual Deviation </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0.14% deviation</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Target Achieved: Cumulative target therefore most of the Real Estate Assets were verified by 31 March 2015</w:t>
            </w:r>
          </w:p>
        </w:tc>
      </w:tr>
      <w:tr w:rsidR="00CD7B35" w:rsidRPr="00CD7B35" w:rsidTr="007C47A6">
        <w:trPr>
          <w:trHeight w:val="147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lastRenderedPageBreak/>
              <w:t>Percentage of Real Estate Assets (annually identified after December) verified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31 % (2782) of Real Estate Assets Verified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36% of real estate assets verified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20 % (1 747) of Real Estate Assets Verified </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16% Actual  Deviation </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16% (1 470) Deviation</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proofErr w:type="gramStart"/>
            <w:r w:rsidRPr="00CD7B35">
              <w:rPr>
                <w:rFonts w:ascii="Calibri" w:eastAsia="Times New Roman" w:hAnsi="Calibri" w:cs="Times New Roman"/>
                <w:color w:val="000000"/>
                <w:sz w:val="18"/>
                <w:szCs w:val="18"/>
                <w:lang w:eastAsia="en-ZA"/>
              </w:rPr>
              <w:t>Target  Not</w:t>
            </w:r>
            <w:proofErr w:type="gramEnd"/>
            <w:r w:rsidRPr="00CD7B35">
              <w:rPr>
                <w:rFonts w:ascii="Calibri" w:eastAsia="Times New Roman" w:hAnsi="Calibri" w:cs="Times New Roman"/>
                <w:color w:val="000000"/>
                <w:sz w:val="18"/>
                <w:szCs w:val="18"/>
                <w:lang w:eastAsia="en-ZA"/>
              </w:rPr>
              <w:t xml:space="preserve"> Achieved: Physical verification was not conducted for three weeks due to the unavailability of the network. Service Provider contract for the data cards was terminated.</w:t>
            </w:r>
          </w:p>
        </w:tc>
      </w:tr>
      <w:tr w:rsidR="00CD7B35" w:rsidRPr="00CD7B35" w:rsidTr="007C47A6">
        <w:trPr>
          <w:trHeight w:val="118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Provincial Real Estate Asset Register incorporated into the single repository</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Complete bi - annual reconciliation  of KZN Provincial Public Works IAR against PMTE IAR</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Complete bi-annual reconciliation of provincial data against deeds records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Complete bi - annual reconciliation  of Provincial data against Deed Records</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 deviation -Target Achieved </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No percentage deviation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None</w:t>
            </w:r>
          </w:p>
        </w:tc>
      </w:tr>
      <w:tr w:rsidR="00CD7B35" w:rsidRPr="00CD7B35" w:rsidTr="007C47A6">
        <w:trPr>
          <w:trHeight w:val="108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of conveyancing within 180 Days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0% Real Estate transactions Conveyanced within 180 days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60% of conveyancing within 180 days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0% Real Estate transactions Conveyanced within 180 days </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60%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The Asset Registry branch is not responsible for the conveyancing of Real Estate transactions</w:t>
            </w:r>
          </w:p>
        </w:tc>
      </w:tr>
      <w:tr w:rsidR="00CD7B35" w:rsidRPr="00CD7B35" w:rsidTr="007C47A6">
        <w:trPr>
          <w:trHeight w:val="175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of coastal reserve (GIS) under the custodianship of Public Works mapped</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0% of coastal reserves under the custodianship of Public Works mapped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25% of costal reserves mapped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0% of coastal reserves under the custodianship of Public Works mapped </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xml:space="preserve">25% deviation - Target not Achieved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Collating and analysing information from key stakeholders (62 records obtained from KwaZulu Natal). The office of the Chief Surveyor General is conducting research along the coast to identify all the coastal reserves (registered, surveyed and un-surveyed).</w:t>
            </w:r>
          </w:p>
        </w:tc>
      </w:tr>
      <w:tr w:rsidR="00CD7B35" w:rsidRPr="00CD7B35" w:rsidTr="007C47A6">
        <w:trPr>
          <w:trHeight w:val="375"/>
        </w:trPr>
        <w:tc>
          <w:tcPr>
            <w:tcW w:w="1138"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lastRenderedPageBreak/>
              <w:t>Programme 6: Facilities Management</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C2D69B" w:themeFill="accent3" w:themeFillTint="99"/>
            <w:noWrap/>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675"/>
        </w:trPr>
        <w:tc>
          <w:tcPr>
            <w:tcW w:w="1138"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xml:space="preserve">A. Sub-Programme: Scheduled Maintenance &amp; SHERQ Management </w:t>
            </w:r>
          </w:p>
        </w:tc>
        <w:tc>
          <w:tcPr>
            <w:tcW w:w="700"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126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Number of identified buildings with  Facilities Management Contracts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157 buildings identified for FM contract and 10 buildings are awarded FM contracts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100 buildings with facilities management contracts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10 buildings with FM Contract.</w:t>
            </w:r>
            <w:r w:rsidRPr="00CD7B35">
              <w:rPr>
                <w:rFonts w:ascii="Calibri" w:eastAsia="Times New Roman" w:hAnsi="Calibri" w:cs="Times New Roman"/>
                <w:sz w:val="18"/>
                <w:szCs w:val="18"/>
                <w:lang w:eastAsia="en-ZA"/>
              </w:rPr>
              <w:br/>
              <w:t xml:space="preserve"> </w:t>
            </w:r>
          </w:p>
        </w:tc>
        <w:tc>
          <w:tcPr>
            <w:tcW w:w="600" w:type="pct"/>
            <w:shd w:val="clear" w:color="auto" w:fill="DBE5F1" w:themeFill="accent1" w:themeFillTint="33"/>
            <w:vAlign w:val="bottom"/>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Insufficient funds resulted to implementation of FM Contracts in few building. The other building are managed through 106 Term contracts</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To request Finance to re-allocate fund available for FM Contracts</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106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Reduction in kilowatt-hour (Kwh) usage achieved on energy consumption</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Shared savings of 48 706 478 were achieved</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55 000 000 Kwh reduction on energy consumption </w:t>
            </w:r>
          </w:p>
        </w:tc>
        <w:tc>
          <w:tcPr>
            <w:tcW w:w="700" w:type="pct"/>
            <w:shd w:val="clear" w:color="auto" w:fill="DBE5F1" w:themeFill="accent1" w:themeFillTint="33"/>
            <w:vAlign w:val="center"/>
            <w:hideMark/>
          </w:tcPr>
          <w:p w:rsidR="00CD7B35" w:rsidRDefault="001A49A6" w:rsidP="00CD7B35">
            <w:pPr>
              <w:spacing w:after="0" w:line="240" w:lineRule="auto"/>
              <w:rPr>
                <w:bCs/>
                <w:iCs/>
                <w:sz w:val="18"/>
                <w:szCs w:val="18"/>
              </w:rPr>
            </w:pPr>
            <w:r>
              <w:rPr>
                <w:bCs/>
                <w:iCs/>
                <w:sz w:val="18"/>
                <w:szCs w:val="18"/>
              </w:rPr>
              <w:t xml:space="preserve">40 279 </w:t>
            </w:r>
            <w:r w:rsidRPr="001A49A6">
              <w:rPr>
                <w:bCs/>
                <w:iCs/>
                <w:sz w:val="18"/>
                <w:szCs w:val="18"/>
              </w:rPr>
              <w:t>865.2</w:t>
            </w:r>
          </w:p>
          <w:p w:rsidR="001A49A6" w:rsidRDefault="001A49A6" w:rsidP="00CD7B35">
            <w:pPr>
              <w:spacing w:after="0" w:line="240" w:lineRule="auto"/>
              <w:rPr>
                <w:bCs/>
                <w:iCs/>
                <w:sz w:val="18"/>
                <w:szCs w:val="18"/>
              </w:rPr>
            </w:pPr>
          </w:p>
          <w:p w:rsidR="001A49A6" w:rsidRDefault="001A49A6" w:rsidP="00CD7B35">
            <w:pPr>
              <w:spacing w:after="0" w:line="240" w:lineRule="auto"/>
              <w:rPr>
                <w:bCs/>
                <w:iCs/>
                <w:sz w:val="18"/>
                <w:szCs w:val="18"/>
              </w:rPr>
            </w:pPr>
          </w:p>
          <w:p w:rsidR="001A49A6" w:rsidRDefault="001A49A6" w:rsidP="00CD7B35">
            <w:pPr>
              <w:spacing w:after="0" w:line="240" w:lineRule="auto"/>
              <w:rPr>
                <w:bCs/>
                <w:iCs/>
                <w:sz w:val="18"/>
                <w:szCs w:val="18"/>
              </w:rPr>
            </w:pPr>
          </w:p>
          <w:p w:rsidR="001A49A6" w:rsidRDefault="001A49A6" w:rsidP="00CD7B35">
            <w:pPr>
              <w:spacing w:after="0" w:line="240" w:lineRule="auto"/>
              <w:rPr>
                <w:bCs/>
                <w:iCs/>
                <w:sz w:val="18"/>
                <w:szCs w:val="18"/>
              </w:rPr>
            </w:pPr>
          </w:p>
          <w:p w:rsidR="001A49A6" w:rsidRPr="001A49A6" w:rsidRDefault="001A49A6" w:rsidP="00CD7B35">
            <w:pPr>
              <w:spacing w:after="0" w:line="240" w:lineRule="auto"/>
              <w:rPr>
                <w:rFonts w:ascii="Calibri" w:eastAsia="Times New Roman" w:hAnsi="Calibri" w:cs="Times New Roman"/>
                <w:sz w:val="18"/>
                <w:szCs w:val="18"/>
                <w:lang w:eastAsia="en-ZA"/>
              </w:rPr>
            </w:pP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Rollout of SLA contributed to increased reduction due to clear consequences </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129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Reduction in kilolitre (Kl) usage achieved on water consumption</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3 449 521 water savings achieved</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976382 Kl reduction on water reduction </w:t>
            </w:r>
          </w:p>
        </w:tc>
        <w:tc>
          <w:tcPr>
            <w:tcW w:w="700" w:type="pct"/>
            <w:shd w:val="clear" w:color="auto" w:fill="DBE5F1" w:themeFill="accent1" w:themeFillTint="33"/>
            <w:vAlign w:val="center"/>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1 232 400</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Target Achieved - New contracts increased the reduction of water usage because of implementation of water saving measures</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300"/>
        </w:trPr>
        <w:tc>
          <w:tcPr>
            <w:tcW w:w="1138"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B. Sub-Programme: Unscheduled Maintenance Management</w:t>
            </w:r>
          </w:p>
        </w:tc>
        <w:tc>
          <w:tcPr>
            <w:tcW w:w="700"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b/>
                <w:bCs/>
                <w:sz w:val="18"/>
                <w:szCs w:val="18"/>
                <w:lang w:eastAsia="en-ZA"/>
              </w:rPr>
            </w:pPr>
            <w:r w:rsidRPr="00CD7B35">
              <w:rPr>
                <w:rFonts w:ascii="Arial Narrow" w:eastAsia="Times New Roman" w:hAnsi="Arial Narrow" w:cs="Times New Roman"/>
                <w:b/>
                <w:bCs/>
                <w:sz w:val="18"/>
                <w:szCs w:val="18"/>
                <w:lang w:eastAsia="en-ZA"/>
              </w:rPr>
              <w:t> </w:t>
            </w:r>
          </w:p>
        </w:tc>
        <w:tc>
          <w:tcPr>
            <w:tcW w:w="700"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700"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600"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c>
          <w:tcPr>
            <w:tcW w:w="501"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color w:val="000000"/>
                <w:sz w:val="18"/>
                <w:szCs w:val="18"/>
                <w:lang w:eastAsia="en-ZA"/>
              </w:rPr>
            </w:pPr>
            <w:r w:rsidRPr="00CD7B35">
              <w:rPr>
                <w:rFonts w:ascii="Arial Narrow" w:eastAsia="Times New Roman" w:hAnsi="Arial Narrow" w:cs="Times New Roman"/>
                <w:color w:val="000000"/>
                <w:sz w:val="18"/>
                <w:szCs w:val="18"/>
                <w:lang w:eastAsia="en-ZA"/>
              </w:rPr>
              <w:t> </w:t>
            </w:r>
          </w:p>
        </w:tc>
        <w:tc>
          <w:tcPr>
            <w:tcW w:w="661" w:type="pct"/>
            <w:shd w:val="clear" w:color="auto" w:fill="C2D69B" w:themeFill="accent3" w:themeFillTint="99"/>
            <w:hideMark/>
          </w:tcPr>
          <w:p w:rsidR="00CD7B35" w:rsidRPr="00CD7B35" w:rsidRDefault="00CD7B35" w:rsidP="00CD7B35">
            <w:pPr>
              <w:spacing w:after="0" w:line="240" w:lineRule="auto"/>
              <w:rPr>
                <w:rFonts w:ascii="Arial Narrow" w:eastAsia="Times New Roman" w:hAnsi="Arial Narrow" w:cs="Times New Roman"/>
                <w:sz w:val="18"/>
                <w:szCs w:val="18"/>
                <w:lang w:eastAsia="en-ZA"/>
              </w:rPr>
            </w:pPr>
            <w:r w:rsidRPr="00CD7B35">
              <w:rPr>
                <w:rFonts w:ascii="Arial Narrow" w:eastAsia="Times New Roman" w:hAnsi="Arial Narrow" w:cs="Times New Roman"/>
                <w:sz w:val="18"/>
                <w:szCs w:val="18"/>
                <w:lang w:eastAsia="en-ZA"/>
              </w:rPr>
              <w:t> </w:t>
            </w:r>
          </w:p>
        </w:tc>
      </w:tr>
      <w:tr w:rsidR="00CD7B35" w:rsidRPr="00CD7B35" w:rsidTr="007C47A6">
        <w:trPr>
          <w:trHeight w:val="127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lastRenderedPageBreak/>
              <w:t>Percentage efficiency (turnaround time) for unscheduled maintenance  on freehold property within 5 days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34% calls managed (logged and completed)</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65% efficiency for unscheduled maintenance on freehold property within 5 days</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34% efficiency for unscheduled maintenance on freeh</w:t>
            </w:r>
            <w:bookmarkStart w:id="0" w:name="_GoBack"/>
            <w:bookmarkEnd w:id="0"/>
            <w:r w:rsidRPr="00CD7B35">
              <w:rPr>
                <w:rFonts w:ascii="Calibri" w:eastAsia="Times New Roman" w:hAnsi="Calibri" w:cs="Times New Roman"/>
                <w:sz w:val="20"/>
                <w:szCs w:val="20"/>
                <w:lang w:eastAsia="en-ZA"/>
              </w:rPr>
              <w:t>old property within 5 days</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Limited capacity to monitor and close the attended call on time.</w:t>
            </w:r>
          </w:p>
        </w:tc>
        <w:tc>
          <w:tcPr>
            <w:tcW w:w="501" w:type="pct"/>
            <w:shd w:val="clear" w:color="auto" w:fill="DBE5F1" w:themeFill="accent1" w:themeFillTint="33"/>
            <w:noWrap/>
            <w:vAlign w:val="bottom"/>
            <w:hideMark/>
          </w:tcPr>
          <w:p w:rsidR="00CD7B35" w:rsidRPr="00CD7B35" w:rsidRDefault="00CD7B35" w:rsidP="00CD7B35">
            <w:pPr>
              <w:spacing w:after="0" w:line="240" w:lineRule="auto"/>
              <w:rPr>
                <w:rFonts w:ascii="Calibri" w:eastAsia="Times New Roman" w:hAnsi="Calibri" w:cs="Times New Roman"/>
                <w:color w:val="000000"/>
                <w:lang w:eastAsia="en-ZA"/>
              </w:rPr>
            </w:pPr>
            <w:r w:rsidRPr="00CD7B35">
              <w:rPr>
                <w:rFonts w:ascii="Calibri" w:eastAsia="Times New Roman" w:hAnsi="Calibri" w:cs="Times New Roman"/>
                <w:color w:val="000000"/>
                <w:lang w:eastAsia="en-ZA"/>
              </w:rPr>
              <w:t> </w:t>
            </w:r>
          </w:p>
        </w:tc>
        <w:tc>
          <w:tcPr>
            <w:tcW w:w="66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 xml:space="preserve">Training of regional offices is still ongoing to increase capacity </w:t>
            </w:r>
            <w:proofErr w:type="gramStart"/>
            <w:r w:rsidRPr="00CD7B35">
              <w:rPr>
                <w:rFonts w:ascii="Calibri" w:eastAsia="Times New Roman" w:hAnsi="Calibri" w:cs="Times New Roman"/>
                <w:sz w:val="20"/>
                <w:szCs w:val="20"/>
                <w:lang w:eastAsia="en-ZA"/>
              </w:rPr>
              <w:t>and  ensure</w:t>
            </w:r>
            <w:proofErr w:type="gramEnd"/>
            <w:r w:rsidRPr="00CD7B35">
              <w:rPr>
                <w:rFonts w:ascii="Calibri" w:eastAsia="Times New Roman" w:hAnsi="Calibri" w:cs="Times New Roman"/>
                <w:sz w:val="20"/>
                <w:szCs w:val="20"/>
                <w:lang w:eastAsia="en-ZA"/>
              </w:rPr>
              <w:t xml:space="preserve"> that call are closed in Time. </w:t>
            </w:r>
          </w:p>
        </w:tc>
      </w:tr>
      <w:tr w:rsidR="00CD7B35" w:rsidRPr="00CD7B35" w:rsidTr="007C47A6">
        <w:trPr>
          <w:trHeight w:val="96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Number of work opportunities created through maintenance programmes (DPW &amp; EPWP)</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972 work opportunities created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1250 work opportunities created through maintenance programme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 xml:space="preserve">1965 work opportunities created through maintenance programme </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color w:val="000000"/>
                <w:sz w:val="20"/>
                <w:szCs w:val="20"/>
                <w:lang w:eastAsia="en-ZA"/>
              </w:rPr>
            </w:pPr>
            <w:r w:rsidRPr="00CD7B35">
              <w:rPr>
                <w:rFonts w:ascii="Calibri" w:eastAsia="Times New Roman" w:hAnsi="Calibri" w:cs="Times New Roman"/>
                <w:color w:val="000000"/>
                <w:sz w:val="20"/>
                <w:szCs w:val="20"/>
                <w:lang w:eastAsia="en-ZA"/>
              </w:rPr>
              <w:t xml:space="preserve">Target Achieved - Rollout of term contract increased the work opportunities </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765"/>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Number of Building Management System installed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Not Q2 target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1 building management system installed </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1 building management system installed</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Target Achieved - No reason for deviation, target achieved</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900"/>
        </w:trPr>
        <w:tc>
          <w:tcPr>
            <w:tcW w:w="1138"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Percentage of Facilities Management contracts allocated towards BBBEE</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0% of facilities management contracts allocated towards BBBEE</w:t>
            </w:r>
          </w:p>
        </w:tc>
        <w:tc>
          <w:tcPr>
            <w:tcW w:w="7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65% of facilities management contracts allocated </w:t>
            </w:r>
          </w:p>
        </w:tc>
        <w:tc>
          <w:tcPr>
            <w:tcW w:w="700" w:type="pct"/>
            <w:shd w:val="clear" w:color="auto" w:fill="DBE5F1" w:themeFill="accent1" w:themeFillTint="33"/>
            <w:hideMark/>
          </w:tcPr>
          <w:p w:rsidR="00CD7B35" w:rsidRPr="00CD7B35" w:rsidRDefault="00CD7B35" w:rsidP="00CD7B35">
            <w:pPr>
              <w:spacing w:after="0" w:line="240" w:lineRule="auto"/>
              <w:rPr>
                <w:rFonts w:ascii="Arial" w:eastAsia="Times New Roman" w:hAnsi="Arial" w:cs="Arial"/>
                <w:sz w:val="20"/>
                <w:szCs w:val="20"/>
                <w:lang w:eastAsia="en-ZA"/>
              </w:rPr>
            </w:pPr>
            <w:r w:rsidRPr="00CD7B35">
              <w:rPr>
                <w:rFonts w:ascii="Arial" w:eastAsia="Times New Roman" w:hAnsi="Arial" w:cs="Arial"/>
                <w:sz w:val="20"/>
                <w:szCs w:val="20"/>
                <w:lang w:eastAsia="en-ZA"/>
              </w:rPr>
              <w:t>100% of facilities management contracts allocated</w:t>
            </w:r>
          </w:p>
        </w:tc>
        <w:tc>
          <w:tcPr>
            <w:tcW w:w="600"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 xml:space="preserve">Target Achieved - All 10 FM contract were awarded to BBBEE </w:t>
            </w:r>
          </w:p>
        </w:tc>
        <w:tc>
          <w:tcPr>
            <w:tcW w:w="501" w:type="pct"/>
            <w:shd w:val="clear" w:color="auto" w:fill="DBE5F1" w:themeFill="accent1" w:themeFillTint="33"/>
            <w:hideMark/>
          </w:tcPr>
          <w:p w:rsidR="00CD7B35" w:rsidRPr="00CD7B35" w:rsidRDefault="00CD7B35" w:rsidP="00CD7B35">
            <w:pPr>
              <w:spacing w:after="0" w:line="240" w:lineRule="auto"/>
              <w:rPr>
                <w:rFonts w:ascii="Calibri" w:eastAsia="Times New Roman" w:hAnsi="Calibri" w:cs="Times New Roman"/>
                <w:sz w:val="20"/>
                <w:szCs w:val="20"/>
                <w:lang w:eastAsia="en-ZA"/>
              </w:rPr>
            </w:pPr>
            <w:r w:rsidRPr="00CD7B35">
              <w:rPr>
                <w:rFonts w:ascii="Calibri" w:eastAsia="Times New Roman" w:hAnsi="Calibri" w:cs="Times New Roman"/>
                <w:sz w:val="20"/>
                <w:szCs w:val="20"/>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r w:rsidR="00CD7B35" w:rsidRPr="00CD7B35" w:rsidTr="007C47A6">
        <w:trPr>
          <w:trHeight w:val="300"/>
        </w:trPr>
        <w:tc>
          <w:tcPr>
            <w:tcW w:w="1138"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7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w:t>
            </w:r>
          </w:p>
        </w:tc>
        <w:tc>
          <w:tcPr>
            <w:tcW w:w="600"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sz w:val="18"/>
                <w:szCs w:val="18"/>
                <w:lang w:eastAsia="en-ZA"/>
              </w:rPr>
            </w:pPr>
            <w:r w:rsidRPr="00CD7B35">
              <w:rPr>
                <w:rFonts w:ascii="Calibri" w:eastAsia="Times New Roman" w:hAnsi="Calibri" w:cs="Times New Roman"/>
                <w:sz w:val="18"/>
                <w:szCs w:val="18"/>
                <w:lang w:eastAsia="en-ZA"/>
              </w:rPr>
              <w:t xml:space="preserve">   </w:t>
            </w:r>
          </w:p>
        </w:tc>
        <w:tc>
          <w:tcPr>
            <w:tcW w:w="50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c>
          <w:tcPr>
            <w:tcW w:w="661" w:type="pct"/>
            <w:shd w:val="clear" w:color="auto" w:fill="DBE5F1" w:themeFill="accent1" w:themeFillTint="33"/>
            <w:noWrap/>
            <w:hideMark/>
          </w:tcPr>
          <w:p w:rsidR="00CD7B35" w:rsidRPr="00CD7B35" w:rsidRDefault="00CD7B35" w:rsidP="00CD7B35">
            <w:pPr>
              <w:spacing w:after="0" w:line="240" w:lineRule="auto"/>
              <w:rPr>
                <w:rFonts w:ascii="Calibri" w:eastAsia="Times New Roman" w:hAnsi="Calibri" w:cs="Times New Roman"/>
                <w:color w:val="000000"/>
                <w:sz w:val="18"/>
                <w:szCs w:val="18"/>
                <w:lang w:eastAsia="en-ZA"/>
              </w:rPr>
            </w:pPr>
            <w:r w:rsidRPr="00CD7B35">
              <w:rPr>
                <w:rFonts w:ascii="Calibri" w:eastAsia="Times New Roman" w:hAnsi="Calibri" w:cs="Times New Roman"/>
                <w:color w:val="000000"/>
                <w:sz w:val="18"/>
                <w:szCs w:val="18"/>
                <w:lang w:eastAsia="en-ZA"/>
              </w:rPr>
              <w:t> </w:t>
            </w:r>
          </w:p>
        </w:tc>
      </w:tr>
    </w:tbl>
    <w:p w:rsidR="00CD7B35" w:rsidRPr="00B17F41" w:rsidRDefault="00CD7B35" w:rsidP="00CD7B35"/>
    <w:p w:rsidR="00CD7B35" w:rsidRPr="00B17F41" w:rsidRDefault="00CD7B35" w:rsidP="00CD7B35"/>
    <w:p w:rsidR="00CD7B35" w:rsidRDefault="00CD7B35" w:rsidP="00CD7B35">
      <w:pPr>
        <w:tabs>
          <w:tab w:val="left" w:pos="5609"/>
        </w:tabs>
      </w:pPr>
      <w:r>
        <w:tab/>
      </w:r>
    </w:p>
    <w:p w:rsidR="00CD7B35" w:rsidRDefault="00CD7B35" w:rsidP="00CD7B35"/>
    <w:p w:rsidR="00CD7B35" w:rsidRPr="00B17F41" w:rsidRDefault="00CD7B35" w:rsidP="00CD7B35">
      <w:pPr>
        <w:sectPr w:rsidR="00CD7B35" w:rsidRPr="00B17F41" w:rsidSect="00B17F41">
          <w:pgSz w:w="16838" w:h="11906" w:orient="landscape"/>
          <w:pgMar w:top="1440" w:right="1440" w:bottom="1440" w:left="1440" w:header="709" w:footer="709" w:gutter="0"/>
          <w:cols w:space="708"/>
          <w:docGrid w:linePitch="360"/>
        </w:sectPr>
      </w:pPr>
    </w:p>
    <w:p w:rsidR="00CD7B35" w:rsidRDefault="00CD7B35" w:rsidP="00CD7B35"/>
    <w:p w:rsidR="001F3530" w:rsidRDefault="00CD7B35">
      <w:r w:rsidRPr="002D1944">
        <w:rPr>
          <w:b/>
          <w:noProof/>
          <w:lang w:eastAsia="en-ZA"/>
        </w:rPr>
        <w:drawing>
          <wp:anchor distT="0" distB="0" distL="114300" distR="114300" simplePos="0" relativeHeight="251663360" behindDoc="0" locked="0" layoutInCell="1" allowOverlap="1" wp14:anchorId="18C7C84C" wp14:editId="435BCB4C">
            <wp:simplePos x="0" y="0"/>
            <wp:positionH relativeFrom="margin">
              <wp:posOffset>-259080</wp:posOffset>
            </wp:positionH>
            <wp:positionV relativeFrom="margin">
              <wp:posOffset>686435</wp:posOffset>
            </wp:positionV>
            <wp:extent cx="6391275" cy="20580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2058035"/>
                    </a:xfrm>
                    <a:prstGeom prst="rect">
                      <a:avLst/>
                    </a:prstGeom>
                    <a:noFill/>
                  </pic:spPr>
                </pic:pic>
              </a:graphicData>
            </a:graphic>
            <wp14:sizeRelH relativeFrom="margin">
              <wp14:pctWidth>0</wp14:pctWidth>
            </wp14:sizeRelH>
            <wp14:sizeRelV relativeFrom="margin">
              <wp14:pctHeight>0</wp14:pctHeight>
            </wp14:sizeRelV>
          </wp:anchor>
        </w:drawing>
      </w:r>
    </w:p>
    <w:sectPr w:rsidR="001F35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2B0" w:rsidRDefault="00A602B0" w:rsidP="00CD7B35">
      <w:pPr>
        <w:spacing w:after="0" w:line="240" w:lineRule="auto"/>
      </w:pPr>
      <w:r>
        <w:separator/>
      </w:r>
    </w:p>
  </w:endnote>
  <w:endnote w:type="continuationSeparator" w:id="0">
    <w:p w:rsidR="00A602B0" w:rsidRDefault="00A602B0" w:rsidP="00CD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976494"/>
      <w:docPartObj>
        <w:docPartGallery w:val="Page Numbers (Bottom of Page)"/>
        <w:docPartUnique/>
      </w:docPartObj>
    </w:sdtPr>
    <w:sdtEndPr>
      <w:rPr>
        <w:b/>
      </w:rPr>
    </w:sdtEndPr>
    <w:sdtContent>
      <w:sdt>
        <w:sdtPr>
          <w:id w:val="860082579"/>
          <w:docPartObj>
            <w:docPartGallery w:val="Page Numbers (Top of Page)"/>
            <w:docPartUnique/>
          </w:docPartObj>
        </w:sdtPr>
        <w:sdtEndPr>
          <w:rPr>
            <w:b/>
          </w:rPr>
        </w:sdtEndPr>
        <w:sdtContent>
          <w:p w:rsidR="00B17F41" w:rsidRDefault="00A602B0">
            <w:pPr>
              <w:pStyle w:val="Footer"/>
              <w:pBdr>
                <w:bottom w:val="single" w:sz="12" w:space="1" w:color="auto"/>
              </w:pBdr>
              <w:jc w:val="right"/>
            </w:pPr>
          </w:p>
          <w:p w:rsidR="00B17F41" w:rsidRPr="00B17F41" w:rsidRDefault="00B077AD" w:rsidP="00B17F41">
            <w:pPr>
              <w:pStyle w:val="Footer"/>
              <w:rPr>
                <w:b/>
              </w:rPr>
            </w:pPr>
            <w:r w:rsidRPr="00B17F41">
              <w:rPr>
                <w:b/>
              </w:rPr>
              <w:t xml:space="preserve">Q3 of </w:t>
            </w:r>
            <w:r w:rsidR="00CD7B35">
              <w:rPr>
                <w:b/>
              </w:rPr>
              <w:t>PMTE</w:t>
            </w:r>
            <w:r w:rsidRPr="00B17F41">
              <w:rPr>
                <w:b/>
              </w:rPr>
              <w:t xml:space="preserve"> for 2015/16 FY </w:t>
            </w:r>
            <w:r w:rsidRPr="00B17F41">
              <w:rPr>
                <w:b/>
              </w:rPr>
              <w:tab/>
            </w:r>
            <w:r w:rsidRPr="00B17F41">
              <w:rPr>
                <w:b/>
              </w:rPr>
              <w:tab/>
            </w:r>
            <w:r w:rsidRPr="00B17F41">
              <w:rPr>
                <w:b/>
              </w:rPr>
              <w:tab/>
            </w:r>
            <w:r w:rsidRPr="00B17F41">
              <w:rPr>
                <w:b/>
              </w:rPr>
              <w:tab/>
            </w:r>
            <w:r w:rsidRPr="00B17F41">
              <w:rPr>
                <w:b/>
              </w:rPr>
              <w:tab/>
            </w:r>
            <w:r w:rsidRPr="00B17F41">
              <w:rPr>
                <w:b/>
              </w:rPr>
              <w:tab/>
              <w:t xml:space="preserve">Page </w:t>
            </w:r>
            <w:r w:rsidRPr="00B17F41">
              <w:rPr>
                <w:b/>
                <w:bCs/>
                <w:sz w:val="24"/>
                <w:szCs w:val="24"/>
              </w:rPr>
              <w:fldChar w:fldCharType="begin"/>
            </w:r>
            <w:r w:rsidRPr="00B17F41">
              <w:rPr>
                <w:b/>
                <w:bCs/>
              </w:rPr>
              <w:instrText xml:space="preserve"> PAGE </w:instrText>
            </w:r>
            <w:r w:rsidRPr="00B17F41">
              <w:rPr>
                <w:b/>
                <w:bCs/>
                <w:sz w:val="24"/>
                <w:szCs w:val="24"/>
              </w:rPr>
              <w:fldChar w:fldCharType="separate"/>
            </w:r>
            <w:r w:rsidR="007C47A6">
              <w:rPr>
                <w:b/>
                <w:bCs/>
                <w:noProof/>
              </w:rPr>
              <w:t>14</w:t>
            </w:r>
            <w:r w:rsidRPr="00B17F41">
              <w:rPr>
                <w:b/>
                <w:bCs/>
                <w:sz w:val="24"/>
                <w:szCs w:val="24"/>
              </w:rPr>
              <w:fldChar w:fldCharType="end"/>
            </w:r>
            <w:r w:rsidRPr="00B17F41">
              <w:rPr>
                <w:b/>
              </w:rPr>
              <w:t xml:space="preserve"> of </w:t>
            </w:r>
            <w:r w:rsidRPr="00B17F41">
              <w:rPr>
                <w:b/>
                <w:bCs/>
                <w:sz w:val="24"/>
                <w:szCs w:val="24"/>
              </w:rPr>
              <w:fldChar w:fldCharType="begin"/>
            </w:r>
            <w:r w:rsidRPr="00B17F41">
              <w:rPr>
                <w:b/>
                <w:bCs/>
              </w:rPr>
              <w:instrText xml:space="preserve"> NUMPAGES  </w:instrText>
            </w:r>
            <w:r w:rsidRPr="00B17F41">
              <w:rPr>
                <w:b/>
                <w:bCs/>
                <w:sz w:val="24"/>
                <w:szCs w:val="24"/>
              </w:rPr>
              <w:fldChar w:fldCharType="separate"/>
            </w:r>
            <w:r w:rsidR="007C47A6">
              <w:rPr>
                <w:b/>
                <w:bCs/>
                <w:noProof/>
              </w:rPr>
              <w:t>16</w:t>
            </w:r>
            <w:r w:rsidRPr="00B17F41">
              <w:rPr>
                <w:b/>
                <w:bCs/>
                <w:sz w:val="24"/>
                <w:szCs w:val="24"/>
              </w:rPr>
              <w:fldChar w:fldCharType="end"/>
            </w:r>
          </w:p>
        </w:sdtContent>
      </w:sdt>
    </w:sdtContent>
  </w:sdt>
  <w:p w:rsidR="00B17F41" w:rsidRDefault="00A60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2B0" w:rsidRDefault="00A602B0" w:rsidP="00CD7B35">
      <w:pPr>
        <w:spacing w:after="0" w:line="240" w:lineRule="auto"/>
      </w:pPr>
      <w:r>
        <w:separator/>
      </w:r>
    </w:p>
  </w:footnote>
  <w:footnote w:type="continuationSeparator" w:id="0">
    <w:p w:rsidR="00A602B0" w:rsidRDefault="00A602B0" w:rsidP="00CD7B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35"/>
    <w:rsid w:val="001A49A6"/>
    <w:rsid w:val="001F3530"/>
    <w:rsid w:val="00561831"/>
    <w:rsid w:val="007C47A6"/>
    <w:rsid w:val="007E666C"/>
    <w:rsid w:val="00A570E3"/>
    <w:rsid w:val="00A602B0"/>
    <w:rsid w:val="00A94E6D"/>
    <w:rsid w:val="00B077AD"/>
    <w:rsid w:val="00CD7B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7B35"/>
    <w:pPr>
      <w:ind w:left="720"/>
      <w:contextualSpacing/>
    </w:pPr>
  </w:style>
  <w:style w:type="character" w:customStyle="1" w:styleId="ListParagraphChar">
    <w:name w:val="List Paragraph Char"/>
    <w:basedOn w:val="DefaultParagraphFont"/>
    <w:link w:val="ListParagraph"/>
    <w:uiPriority w:val="34"/>
    <w:locked/>
    <w:rsid w:val="00CD7B35"/>
  </w:style>
  <w:style w:type="paragraph" w:styleId="Footer">
    <w:name w:val="footer"/>
    <w:basedOn w:val="Normal"/>
    <w:link w:val="FooterChar"/>
    <w:uiPriority w:val="99"/>
    <w:unhideWhenUsed/>
    <w:rsid w:val="00CD7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35"/>
  </w:style>
  <w:style w:type="paragraph" w:styleId="Header">
    <w:name w:val="header"/>
    <w:basedOn w:val="Normal"/>
    <w:link w:val="HeaderChar"/>
    <w:uiPriority w:val="99"/>
    <w:unhideWhenUsed/>
    <w:rsid w:val="00CD7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7B35"/>
    <w:pPr>
      <w:ind w:left="720"/>
      <w:contextualSpacing/>
    </w:pPr>
  </w:style>
  <w:style w:type="character" w:customStyle="1" w:styleId="ListParagraphChar">
    <w:name w:val="List Paragraph Char"/>
    <w:basedOn w:val="DefaultParagraphFont"/>
    <w:link w:val="ListParagraph"/>
    <w:uiPriority w:val="34"/>
    <w:locked/>
    <w:rsid w:val="00CD7B35"/>
  </w:style>
  <w:style w:type="paragraph" w:styleId="Footer">
    <w:name w:val="footer"/>
    <w:basedOn w:val="Normal"/>
    <w:link w:val="FooterChar"/>
    <w:uiPriority w:val="99"/>
    <w:unhideWhenUsed/>
    <w:rsid w:val="00CD7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35"/>
  </w:style>
  <w:style w:type="paragraph" w:styleId="Header">
    <w:name w:val="header"/>
    <w:basedOn w:val="Normal"/>
    <w:link w:val="HeaderChar"/>
    <w:uiPriority w:val="99"/>
    <w:unhideWhenUsed/>
    <w:rsid w:val="00CD7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3006</Words>
  <Characters>17140</Characters>
  <Application>Microsoft Office Word</Application>
  <DocSecurity>0</DocSecurity>
  <Lines>142</Lines>
  <Paragraphs>40</Paragraphs>
  <ScaleCrop>false</ScaleCrop>
  <Company>NDPW</Company>
  <LinksUpToDate>false</LinksUpToDate>
  <CharactersWithSpaces>20106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Lwazi Mahlangu</dc:creator>
  <cp:lastModifiedBy>Mpho Mashaba</cp:lastModifiedBy>
  <cp:revision>5</cp:revision>
  <dcterms:created xsi:type="dcterms:W3CDTF">2016-01-28T12:06:00Z</dcterms:created>
  <dcterms:modified xsi:type="dcterms:W3CDTF">2016-01-29T11:01:00Z</dcterms:modified>
</cp:coreProperties>
</file>