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14" w:rsidRPr="00F54F7C" w:rsidRDefault="00FB226C">
      <w:pPr>
        <w:rPr>
          <w:b/>
        </w:rPr>
      </w:pPr>
      <w:r w:rsidRPr="00F54F7C">
        <w:rPr>
          <w:b/>
        </w:rPr>
        <w:t>BACKGROUND</w:t>
      </w:r>
      <w:r w:rsidR="00F54F7C">
        <w:rPr>
          <w:b/>
        </w:rPr>
        <w:t xml:space="preserve"> OF CASINOS</w:t>
      </w:r>
    </w:p>
    <w:p w:rsidR="000471C4" w:rsidRPr="000471C4" w:rsidRDefault="000471C4" w:rsidP="000471C4">
      <w:pPr>
        <w:rPr>
          <w:u w:val="single"/>
        </w:rPr>
      </w:pPr>
      <w:r w:rsidRPr="000471C4">
        <w:rPr>
          <w:u w:val="single"/>
        </w:rPr>
        <w:t>Script</w:t>
      </w:r>
    </w:p>
    <w:p w:rsidR="00F54F7C" w:rsidRDefault="000471C4" w:rsidP="000471C4">
      <w:pPr>
        <w:jc w:val="both"/>
      </w:pPr>
      <w:r>
        <w:t xml:space="preserve">Casinos are </w:t>
      </w:r>
      <w:r w:rsidRPr="00DA0BF7">
        <w:rPr>
          <w:b/>
          <w:color w:val="002060"/>
        </w:rPr>
        <w:t>highly regulated entertainment venues</w:t>
      </w:r>
      <w:r w:rsidR="004A4F6B">
        <w:rPr>
          <w:b/>
          <w:color w:val="002060"/>
        </w:rPr>
        <w:t xml:space="preserve">. </w:t>
      </w:r>
      <w:r w:rsidR="004A4F6B" w:rsidRPr="004A4F6B">
        <w:t>They are also the o</w:t>
      </w:r>
      <w:r w:rsidRPr="004A4F6B">
        <w:t>n</w:t>
      </w:r>
      <w:r>
        <w:t>ly A</w:t>
      </w:r>
      <w:r w:rsidR="004A4F6B">
        <w:t xml:space="preserve">ccountable Institutions </w:t>
      </w:r>
      <w:r>
        <w:t xml:space="preserve">that are of an entertainment category. </w:t>
      </w:r>
      <w:r w:rsidR="004A4F6B">
        <w:t>Casinos opera</w:t>
      </w:r>
      <w:r>
        <w:t xml:space="preserve">te at a very high pace due to the </w:t>
      </w:r>
      <w:r w:rsidRPr="00DA0BF7">
        <w:rPr>
          <w:b/>
          <w:color w:val="002060"/>
        </w:rPr>
        <w:t xml:space="preserve">high frequency and </w:t>
      </w:r>
      <w:r w:rsidR="00DA0BF7" w:rsidRPr="00DA0BF7">
        <w:rPr>
          <w:b/>
          <w:color w:val="002060"/>
        </w:rPr>
        <w:t xml:space="preserve">high </w:t>
      </w:r>
      <w:r w:rsidRPr="00DA0BF7">
        <w:rPr>
          <w:b/>
          <w:color w:val="002060"/>
        </w:rPr>
        <w:t>volume</w:t>
      </w:r>
      <w:r w:rsidR="002D294E" w:rsidRPr="00DA0BF7">
        <w:rPr>
          <w:b/>
          <w:color w:val="002060"/>
        </w:rPr>
        <w:t>s</w:t>
      </w:r>
      <w:r w:rsidRPr="00DA0BF7">
        <w:rPr>
          <w:color w:val="002060"/>
        </w:rPr>
        <w:t xml:space="preserve"> </w:t>
      </w:r>
      <w:r>
        <w:t xml:space="preserve">of low value transactions. </w:t>
      </w:r>
      <w:r w:rsidR="004A4F6B">
        <w:t>Due to its very nature,</w:t>
      </w:r>
      <w:r>
        <w:t xml:space="preserve"> casinos are largely </w:t>
      </w:r>
      <w:r w:rsidRPr="004A4F6B">
        <w:rPr>
          <w:b/>
          <w:color w:val="002060"/>
        </w:rPr>
        <w:t>paperless</w:t>
      </w:r>
      <w:r w:rsidR="000F331F">
        <w:t xml:space="preserve"> as opposed to other types of Accountable Institutions.</w:t>
      </w:r>
    </w:p>
    <w:p w:rsidR="001E3711" w:rsidRDefault="002D294E" w:rsidP="00BD5BF5">
      <w:pPr>
        <w:jc w:val="both"/>
      </w:pPr>
      <w:r>
        <w:t xml:space="preserve">Notwithstanding the afore-said, casinos pose a </w:t>
      </w:r>
      <w:r w:rsidRPr="00DA0BF7">
        <w:rPr>
          <w:b/>
          <w:color w:val="002060"/>
        </w:rPr>
        <w:t>relatively low risk</w:t>
      </w:r>
      <w:r w:rsidRPr="00DA0BF7">
        <w:rPr>
          <w:color w:val="002060"/>
        </w:rPr>
        <w:t xml:space="preserve"> </w:t>
      </w:r>
      <w:r>
        <w:t xml:space="preserve">for money laundering and terror financing. </w:t>
      </w:r>
      <w:r w:rsidR="00BD5BF5">
        <w:t>Casino</w:t>
      </w:r>
      <w:r>
        <w:t xml:space="preserve"> clients </w:t>
      </w:r>
      <w:r w:rsidR="00BD5BF5">
        <w:t>mostly transact by way of debit or credit cards issued by financial institutions</w:t>
      </w:r>
      <w:r w:rsidR="00514DFC">
        <w:t xml:space="preserve"> after they have been </w:t>
      </w:r>
      <w:proofErr w:type="spellStart"/>
      <w:r>
        <w:t>FICA’d</w:t>
      </w:r>
      <w:proofErr w:type="spellEnd"/>
      <w:r w:rsidR="00514DFC">
        <w:t xml:space="preserve"> by th</w:t>
      </w:r>
      <w:r w:rsidR="00BD5BF5">
        <w:t>ose</w:t>
      </w:r>
      <w:r w:rsidR="00514DFC">
        <w:t xml:space="preserve"> </w:t>
      </w:r>
      <w:r w:rsidR="00DA0BF7">
        <w:t>financial institutions</w:t>
      </w:r>
      <w:r w:rsidR="00BD5BF5">
        <w:t xml:space="preserve">. Financial institutions </w:t>
      </w:r>
      <w:r w:rsidR="00DA0BF7">
        <w:t xml:space="preserve">are Accountable Institutions. </w:t>
      </w:r>
    </w:p>
    <w:p w:rsidR="000E6A8D" w:rsidRDefault="00514DFC" w:rsidP="00BD5BF5">
      <w:pPr>
        <w:jc w:val="both"/>
      </w:pPr>
      <w:r>
        <w:t xml:space="preserve">In the circumstances, </w:t>
      </w:r>
      <w:r w:rsidRPr="00DA0BF7">
        <w:rPr>
          <w:b/>
          <w:color w:val="002060"/>
        </w:rPr>
        <w:t>casinos are Secondary Accountable Institutions</w:t>
      </w:r>
      <w:r w:rsidRPr="00DA0BF7">
        <w:rPr>
          <w:color w:val="002060"/>
        </w:rPr>
        <w:t xml:space="preserve"> </w:t>
      </w:r>
      <w:r w:rsidR="003F2F06">
        <w:t xml:space="preserve">whilst </w:t>
      </w:r>
      <w:r w:rsidR="00DA0BF7">
        <w:t>financial institutions</w:t>
      </w:r>
      <w:r>
        <w:t xml:space="preserve"> remain the Primary Accountable Institution</w:t>
      </w:r>
      <w:r w:rsidR="00BD5BF5">
        <w:t>s</w:t>
      </w:r>
      <w:r>
        <w:t xml:space="preserve">. </w:t>
      </w:r>
      <w:r w:rsidR="00BD5BF5">
        <w:t xml:space="preserve">Other contributing factors to casinos being low-risk, is that they submit </w:t>
      </w:r>
      <w:r w:rsidRPr="00DA0BF7">
        <w:rPr>
          <w:b/>
          <w:color w:val="002060"/>
        </w:rPr>
        <w:t>transactional reports</w:t>
      </w:r>
      <w:r w:rsidRPr="00DA0BF7">
        <w:rPr>
          <w:color w:val="002060"/>
        </w:rPr>
        <w:t xml:space="preserve"> </w:t>
      </w:r>
      <w:r>
        <w:t>to the FIC</w:t>
      </w:r>
      <w:r w:rsidR="00BD5BF5">
        <w:t xml:space="preserve"> and </w:t>
      </w:r>
      <w:r w:rsidR="001E3711">
        <w:t xml:space="preserve">their </w:t>
      </w:r>
      <w:r w:rsidR="00BD5BF5">
        <w:t>supervisory bodies. C</w:t>
      </w:r>
      <w:r w:rsidR="000E6A8D">
        <w:t xml:space="preserve">asinos are </w:t>
      </w:r>
      <w:r w:rsidR="00BD5BF5">
        <w:t xml:space="preserve">also </w:t>
      </w:r>
      <w:r w:rsidR="000E6A8D">
        <w:t>required by law to determin</w:t>
      </w:r>
      <w:r w:rsidR="001E3711">
        <w:t xml:space="preserve">e net winnings to enable </w:t>
      </w:r>
      <w:r w:rsidR="000E6A8D">
        <w:t>t</w:t>
      </w:r>
      <w:r w:rsidR="001E3711">
        <w:t>hem</w:t>
      </w:r>
      <w:r w:rsidR="000E6A8D">
        <w:t xml:space="preserve"> to issue winners’ cheques following extensive internal </w:t>
      </w:r>
      <w:r w:rsidR="00B27D19">
        <w:t xml:space="preserve">control </w:t>
      </w:r>
      <w:r w:rsidR="000E6A8D">
        <w:t>procedures.</w:t>
      </w:r>
      <w:r w:rsidR="003F2F06">
        <w:t xml:space="preserve"> </w:t>
      </w:r>
      <w:r w:rsidR="003173DB">
        <w:t xml:space="preserve">In addition, the casino industry is not aware of any money-laundering or terror-financing cases in the Republic that involved casinos.  </w:t>
      </w:r>
    </w:p>
    <w:p w:rsidR="000E6A8D" w:rsidRDefault="000E6A8D" w:rsidP="000E6A8D">
      <w:pPr>
        <w:tabs>
          <w:tab w:val="left" w:pos="2958"/>
        </w:tabs>
        <w:jc w:val="both"/>
      </w:pPr>
    </w:p>
    <w:p w:rsidR="000E6A8D" w:rsidRPr="004838D5" w:rsidRDefault="004838D5" w:rsidP="000E6A8D">
      <w:pPr>
        <w:tabs>
          <w:tab w:val="left" w:pos="2958"/>
        </w:tabs>
        <w:jc w:val="both"/>
        <w:rPr>
          <w:b/>
        </w:rPr>
      </w:pPr>
      <w:r w:rsidRPr="004838D5">
        <w:rPr>
          <w:b/>
        </w:rPr>
        <w:t>EXEMPTIONS GRANTED TO THE CASINO INDUSTRY</w:t>
      </w:r>
    </w:p>
    <w:p w:rsidR="000E6A8D" w:rsidRPr="00BB581C" w:rsidRDefault="00BB581C" w:rsidP="000E6A8D">
      <w:pPr>
        <w:tabs>
          <w:tab w:val="left" w:pos="2958"/>
        </w:tabs>
        <w:jc w:val="both"/>
        <w:rPr>
          <w:u w:val="single"/>
        </w:rPr>
      </w:pPr>
      <w:r w:rsidRPr="00BB581C">
        <w:rPr>
          <w:u w:val="single"/>
        </w:rPr>
        <w:t>Script</w:t>
      </w:r>
    </w:p>
    <w:p w:rsidR="0010651B" w:rsidRDefault="0010651B" w:rsidP="00B27D19">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Due to casinos being </w:t>
      </w:r>
      <w:r w:rsidRPr="00B27D19">
        <w:rPr>
          <w:rFonts w:asciiTheme="minorHAnsi" w:eastAsiaTheme="minorEastAsia" w:hAnsi="Calibri" w:cstheme="minorBidi"/>
          <w:b/>
          <w:color w:val="002060"/>
          <w:kern w:val="24"/>
        </w:rPr>
        <w:t>entertainment venues</w:t>
      </w:r>
      <w:r w:rsidRPr="00B27D19">
        <w:rPr>
          <w:rFonts w:asciiTheme="minorHAnsi" w:eastAsiaTheme="minorEastAsia" w:hAnsi="Calibri" w:cstheme="minorBidi"/>
          <w:color w:val="002060"/>
          <w:kern w:val="24"/>
        </w:rPr>
        <w:t xml:space="preserve"> </w:t>
      </w:r>
      <w:r w:rsidR="004A4877">
        <w:rPr>
          <w:rFonts w:asciiTheme="minorHAnsi" w:eastAsiaTheme="minorEastAsia" w:hAnsi="Calibri" w:cstheme="minorBidi"/>
          <w:color w:val="000000" w:themeColor="text1"/>
          <w:kern w:val="24"/>
        </w:rPr>
        <w:t xml:space="preserve">with </w:t>
      </w:r>
      <w:r w:rsidRPr="00B27D19">
        <w:rPr>
          <w:rFonts w:asciiTheme="minorHAnsi" w:eastAsiaTheme="minorEastAsia" w:hAnsi="Calibri" w:cstheme="minorBidi"/>
          <w:b/>
          <w:color w:val="002060"/>
          <w:kern w:val="24"/>
        </w:rPr>
        <w:t>high</w:t>
      </w:r>
      <w:r w:rsidR="004A4877" w:rsidRPr="00B27D19">
        <w:rPr>
          <w:rFonts w:asciiTheme="minorHAnsi" w:eastAsiaTheme="minorEastAsia" w:hAnsi="Calibri" w:cstheme="minorBidi"/>
          <w:b/>
          <w:color w:val="002060"/>
          <w:kern w:val="24"/>
        </w:rPr>
        <w:t>-</w:t>
      </w:r>
      <w:r w:rsidRPr="00B27D19">
        <w:rPr>
          <w:rFonts w:asciiTheme="minorHAnsi" w:eastAsiaTheme="minorEastAsia" w:hAnsi="Calibri" w:cstheme="minorBidi"/>
          <w:b/>
          <w:color w:val="002060"/>
          <w:kern w:val="24"/>
        </w:rPr>
        <w:t xml:space="preserve">paced </w:t>
      </w:r>
      <w:r w:rsidR="004A4877" w:rsidRPr="00B27D19">
        <w:rPr>
          <w:rFonts w:asciiTheme="minorHAnsi" w:eastAsiaTheme="minorEastAsia" w:hAnsi="Calibri" w:cstheme="minorBidi"/>
          <w:b/>
          <w:color w:val="002060"/>
          <w:kern w:val="24"/>
        </w:rPr>
        <w:t>operations</w:t>
      </w:r>
      <w:r>
        <w:rPr>
          <w:rFonts w:asciiTheme="minorHAnsi" w:eastAsiaTheme="minorEastAsia" w:hAnsi="Calibri" w:cstheme="minorBidi"/>
          <w:color w:val="000000" w:themeColor="text1"/>
          <w:kern w:val="24"/>
        </w:rPr>
        <w:t xml:space="preserve">, it was virtually </w:t>
      </w:r>
      <w:r w:rsidRPr="00B27D19">
        <w:rPr>
          <w:rFonts w:asciiTheme="minorHAnsi" w:eastAsiaTheme="minorEastAsia" w:hAnsi="Calibri" w:cstheme="minorBidi"/>
          <w:b/>
          <w:color w:val="002060"/>
          <w:kern w:val="24"/>
        </w:rPr>
        <w:t>impossible</w:t>
      </w:r>
      <w:r>
        <w:rPr>
          <w:rFonts w:asciiTheme="minorHAnsi" w:eastAsiaTheme="minorEastAsia" w:hAnsi="Calibri" w:cstheme="minorBidi"/>
          <w:color w:val="000000" w:themeColor="text1"/>
          <w:kern w:val="24"/>
        </w:rPr>
        <w:t xml:space="preserve"> for casinos to comply with the FICA</w:t>
      </w:r>
      <w:r w:rsidR="004A4877">
        <w:rPr>
          <w:rFonts w:asciiTheme="minorHAnsi" w:eastAsiaTheme="minorEastAsia" w:hAnsi="Calibri" w:cstheme="minorBidi"/>
          <w:color w:val="000000" w:themeColor="text1"/>
          <w:kern w:val="24"/>
        </w:rPr>
        <w:t xml:space="preserve"> when it was implemented</w:t>
      </w:r>
      <w:r>
        <w:rPr>
          <w:rFonts w:asciiTheme="minorHAnsi" w:eastAsiaTheme="minorEastAsia" w:hAnsi="Calibri" w:cstheme="minorBidi"/>
          <w:color w:val="000000" w:themeColor="text1"/>
          <w:kern w:val="24"/>
        </w:rPr>
        <w:t xml:space="preserve">. Effective collaboration between the FIC and the industry culminated in </w:t>
      </w:r>
      <w:r w:rsidRPr="00B27D19">
        <w:rPr>
          <w:rFonts w:asciiTheme="minorHAnsi" w:eastAsiaTheme="minorEastAsia" w:hAnsi="Calibri" w:cstheme="minorBidi"/>
          <w:b/>
          <w:color w:val="002060"/>
          <w:kern w:val="24"/>
        </w:rPr>
        <w:t>reasonable exemptions</w:t>
      </w:r>
      <w:r w:rsidRPr="00B27D19">
        <w:rPr>
          <w:rFonts w:asciiTheme="minorHAnsi" w:eastAsiaTheme="minorEastAsia" w:hAnsi="Calibri" w:cstheme="minorBidi"/>
          <w:color w:val="002060"/>
          <w:kern w:val="24"/>
        </w:rPr>
        <w:t xml:space="preserve"> </w:t>
      </w:r>
      <w:r>
        <w:rPr>
          <w:rFonts w:asciiTheme="minorHAnsi" w:eastAsiaTheme="minorEastAsia" w:hAnsi="Calibri" w:cstheme="minorBidi"/>
          <w:color w:val="000000" w:themeColor="text1"/>
          <w:kern w:val="24"/>
        </w:rPr>
        <w:t xml:space="preserve">being granted to </w:t>
      </w:r>
      <w:r w:rsidR="004A4877">
        <w:rPr>
          <w:rFonts w:asciiTheme="minorHAnsi" w:eastAsiaTheme="minorEastAsia" w:hAnsi="Calibri" w:cstheme="minorBidi"/>
          <w:color w:val="000000" w:themeColor="text1"/>
          <w:kern w:val="24"/>
        </w:rPr>
        <w:t>casinos.</w:t>
      </w:r>
      <w:r>
        <w:rPr>
          <w:rFonts w:asciiTheme="minorHAnsi" w:eastAsiaTheme="minorEastAsia" w:hAnsi="Calibri" w:cstheme="minorBidi"/>
          <w:color w:val="000000" w:themeColor="text1"/>
          <w:kern w:val="24"/>
        </w:rPr>
        <w:t xml:space="preserve"> These exemptions contributed to the </w:t>
      </w:r>
      <w:r w:rsidR="00B27D19">
        <w:rPr>
          <w:rFonts w:asciiTheme="minorHAnsi" w:eastAsiaTheme="minorEastAsia" w:hAnsi="Calibri" w:cstheme="minorBidi"/>
          <w:color w:val="000000" w:themeColor="text1"/>
          <w:kern w:val="24"/>
        </w:rPr>
        <w:t>designing</w:t>
      </w:r>
      <w:r>
        <w:rPr>
          <w:rFonts w:asciiTheme="minorHAnsi" w:eastAsiaTheme="minorEastAsia" w:hAnsi="Calibri" w:cstheme="minorBidi"/>
          <w:color w:val="000000" w:themeColor="text1"/>
          <w:kern w:val="24"/>
        </w:rPr>
        <w:t xml:space="preserve"> of casino operations and systems to give effect to the FICA.  </w:t>
      </w:r>
    </w:p>
    <w:p w:rsidR="0010651B" w:rsidRDefault="0010651B" w:rsidP="00B27D19">
      <w:pPr>
        <w:pStyle w:val="NormalWeb"/>
        <w:spacing w:before="0" w:beforeAutospacing="0" w:after="0" w:afterAutospacing="0"/>
        <w:jc w:val="both"/>
        <w:rPr>
          <w:rFonts w:asciiTheme="minorHAnsi" w:eastAsiaTheme="minorEastAsia" w:hAnsi="Calibri" w:cstheme="minorBidi"/>
          <w:color w:val="000000" w:themeColor="text1"/>
          <w:kern w:val="24"/>
        </w:rPr>
      </w:pPr>
    </w:p>
    <w:p w:rsidR="0010651B" w:rsidRDefault="0010651B" w:rsidP="00B27D19">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We cannot over-emphasize that </w:t>
      </w:r>
      <w:r w:rsidRPr="00B27D19">
        <w:rPr>
          <w:rFonts w:asciiTheme="minorHAnsi" w:eastAsiaTheme="minorEastAsia" w:hAnsi="Calibri" w:cstheme="minorBidi"/>
          <w:b/>
          <w:color w:val="002060"/>
          <w:kern w:val="24"/>
        </w:rPr>
        <w:t>exemptions are paramount</w:t>
      </w:r>
      <w:r w:rsidRPr="00B27D19">
        <w:rPr>
          <w:rFonts w:asciiTheme="minorHAnsi" w:eastAsiaTheme="minorEastAsia" w:hAnsi="Calibri" w:cstheme="minorBidi"/>
          <w:color w:val="002060"/>
          <w:kern w:val="24"/>
        </w:rPr>
        <w:t xml:space="preserve"> </w:t>
      </w:r>
      <w:r>
        <w:rPr>
          <w:rFonts w:asciiTheme="minorHAnsi" w:eastAsiaTheme="minorEastAsia" w:hAnsi="Calibri" w:cstheme="minorBidi"/>
          <w:color w:val="000000" w:themeColor="text1"/>
          <w:kern w:val="24"/>
        </w:rPr>
        <w:t>to the casino industry. It is therefore imperative for the current exemptions to remain in force, and due the entertainment nature of the industry, the granting of reasonable exemptions in the future may be necessary to enable casinos to comply</w:t>
      </w:r>
      <w:r w:rsidR="004A4877">
        <w:rPr>
          <w:rFonts w:asciiTheme="minorHAnsi" w:eastAsiaTheme="minorEastAsia" w:hAnsi="Calibri" w:cstheme="minorBidi"/>
          <w:color w:val="000000" w:themeColor="text1"/>
          <w:kern w:val="24"/>
        </w:rPr>
        <w:t xml:space="preserve"> with the </w:t>
      </w:r>
      <w:r>
        <w:rPr>
          <w:rFonts w:asciiTheme="minorHAnsi" w:eastAsiaTheme="minorEastAsia" w:hAnsi="Calibri" w:cstheme="minorBidi"/>
          <w:color w:val="000000" w:themeColor="text1"/>
          <w:kern w:val="24"/>
        </w:rPr>
        <w:t xml:space="preserve">proposed amendments. </w:t>
      </w:r>
    </w:p>
    <w:p w:rsidR="0010651B" w:rsidRDefault="0010651B" w:rsidP="00B27D19">
      <w:pPr>
        <w:pStyle w:val="NormalWeb"/>
        <w:spacing w:before="0" w:beforeAutospacing="0" w:after="0" w:afterAutospacing="0"/>
        <w:jc w:val="both"/>
        <w:rPr>
          <w:rFonts w:asciiTheme="minorHAnsi" w:eastAsiaTheme="minorEastAsia" w:hAnsi="Calibri" w:cstheme="minorBidi"/>
          <w:color w:val="000000" w:themeColor="text1"/>
          <w:kern w:val="24"/>
        </w:rPr>
      </w:pPr>
    </w:p>
    <w:p w:rsidR="0010651B" w:rsidRDefault="0010651B" w:rsidP="00B27D19">
      <w:pPr>
        <w:pStyle w:val="NormalWeb"/>
        <w:spacing w:before="0" w:beforeAutospacing="0" w:after="0" w:afterAutospacing="0"/>
        <w:jc w:val="both"/>
      </w:pPr>
      <w:r>
        <w:rPr>
          <w:rFonts w:asciiTheme="minorHAnsi" w:eastAsiaTheme="minorEastAsia" w:hAnsi="Calibri" w:cstheme="minorBidi"/>
          <w:color w:val="000000" w:themeColor="text1"/>
          <w:kern w:val="24"/>
        </w:rPr>
        <w:t xml:space="preserve">Therefore, we respectfully submit that our </w:t>
      </w:r>
      <w:r w:rsidRPr="00B27D19">
        <w:rPr>
          <w:rFonts w:asciiTheme="minorHAnsi" w:eastAsiaTheme="minorEastAsia" w:hAnsi="Calibri" w:cstheme="minorBidi"/>
          <w:b/>
          <w:color w:val="002060"/>
          <w:kern w:val="24"/>
        </w:rPr>
        <w:t>comments on this Bill</w:t>
      </w:r>
      <w:r w:rsidRPr="00B27D19">
        <w:rPr>
          <w:rFonts w:asciiTheme="minorHAnsi" w:eastAsiaTheme="minorEastAsia" w:hAnsi="Calibri" w:cstheme="minorBidi"/>
          <w:color w:val="002060"/>
          <w:kern w:val="24"/>
        </w:rPr>
        <w:t xml:space="preserve"> </w:t>
      </w:r>
      <w:r w:rsidR="0031558F">
        <w:rPr>
          <w:rFonts w:asciiTheme="minorHAnsi" w:eastAsiaTheme="minorEastAsia" w:hAnsi="Calibri" w:cstheme="minorBidi"/>
          <w:color w:val="000000" w:themeColor="text1"/>
          <w:kern w:val="24"/>
        </w:rPr>
        <w:t>has always been</w:t>
      </w:r>
      <w:r>
        <w:rPr>
          <w:rFonts w:asciiTheme="minorHAnsi" w:eastAsiaTheme="minorEastAsia" w:hAnsi="Calibri" w:cstheme="minorBidi"/>
          <w:color w:val="000000" w:themeColor="text1"/>
          <w:kern w:val="24"/>
        </w:rPr>
        <w:t xml:space="preserve"> and continues to be made with the view that the current exemptions will remain intact and, where necessary, reasonable future exemptions will be granted.  </w:t>
      </w:r>
    </w:p>
    <w:p w:rsidR="002D294E" w:rsidRDefault="002D294E" w:rsidP="000E6A8D">
      <w:pPr>
        <w:tabs>
          <w:tab w:val="left" w:pos="2958"/>
        </w:tabs>
        <w:jc w:val="both"/>
      </w:pPr>
    </w:p>
    <w:p w:rsidR="00B27D19" w:rsidRDefault="00B27D19" w:rsidP="000E6A8D">
      <w:pPr>
        <w:tabs>
          <w:tab w:val="left" w:pos="2958"/>
        </w:tabs>
        <w:jc w:val="both"/>
      </w:pPr>
    </w:p>
    <w:p w:rsidR="00B27D19" w:rsidRDefault="00B27D19" w:rsidP="000E6A8D">
      <w:pPr>
        <w:tabs>
          <w:tab w:val="left" w:pos="2958"/>
        </w:tabs>
        <w:jc w:val="both"/>
      </w:pPr>
    </w:p>
    <w:p w:rsidR="00B27D19" w:rsidRDefault="00B27D19" w:rsidP="000E6A8D">
      <w:pPr>
        <w:tabs>
          <w:tab w:val="left" w:pos="2958"/>
        </w:tabs>
        <w:jc w:val="both"/>
      </w:pPr>
    </w:p>
    <w:p w:rsidR="00B27D19" w:rsidRDefault="00B27D19" w:rsidP="000E6A8D">
      <w:pPr>
        <w:tabs>
          <w:tab w:val="left" w:pos="2958"/>
        </w:tabs>
        <w:jc w:val="both"/>
      </w:pPr>
    </w:p>
    <w:p w:rsidR="00B27D19" w:rsidRPr="004838D5" w:rsidRDefault="00B27D19" w:rsidP="00B27D19">
      <w:pPr>
        <w:tabs>
          <w:tab w:val="left" w:pos="2958"/>
        </w:tabs>
        <w:jc w:val="both"/>
        <w:rPr>
          <w:b/>
        </w:rPr>
      </w:pPr>
      <w:r>
        <w:rPr>
          <w:b/>
        </w:rPr>
        <w:lastRenderedPageBreak/>
        <w:t>COMMENTS: CLAUSE 5</w:t>
      </w:r>
    </w:p>
    <w:p w:rsidR="00B27D19" w:rsidRPr="00BB581C" w:rsidRDefault="00B27D19" w:rsidP="00B27D19">
      <w:pPr>
        <w:tabs>
          <w:tab w:val="left" w:pos="2958"/>
        </w:tabs>
        <w:jc w:val="both"/>
        <w:rPr>
          <w:u w:val="single"/>
        </w:rPr>
      </w:pPr>
      <w:r w:rsidRPr="00BB581C">
        <w:rPr>
          <w:u w:val="single"/>
        </w:rPr>
        <w:t>Script</w:t>
      </w:r>
    </w:p>
    <w:p w:rsidR="00B27D19" w:rsidRDefault="00EE7EB1" w:rsidP="000E6A8D">
      <w:pPr>
        <w:tabs>
          <w:tab w:val="left" w:pos="2958"/>
        </w:tabs>
        <w:jc w:val="both"/>
      </w:pPr>
      <w:r>
        <w:t>We are respectfully of the view that the Counter Money Laundering Advisory Council played a crucial role to date, especially since it provides AIs a platform to formally consult with the FIC.</w:t>
      </w:r>
    </w:p>
    <w:p w:rsidR="00EE7EB1" w:rsidRDefault="00EE7EB1" w:rsidP="000E6A8D">
      <w:pPr>
        <w:tabs>
          <w:tab w:val="left" w:pos="2958"/>
        </w:tabs>
        <w:jc w:val="both"/>
      </w:pPr>
      <w:r>
        <w:t>In the Council is dismantled, then it would be reasonable to expect that the legislation should provide for a mechanism for private sector participation. It is a concern to the casino industry that exemptions could be amended or repealed with AIs being consulted. The only requirement proposed in the Bill is for the FIC must be consulted and the exemption Regulations tabled in Parliament. Our concerns could reasonably remedied by amending section 74(2) of the FICA to provide for consultation with affected AIs prior to the amendment or withdrawal of existing exemptions.</w:t>
      </w:r>
    </w:p>
    <w:p w:rsidR="00EE7EB1" w:rsidRDefault="00EE7EB1" w:rsidP="000E6A8D">
      <w:pPr>
        <w:tabs>
          <w:tab w:val="left" w:pos="2958"/>
        </w:tabs>
        <w:jc w:val="both"/>
      </w:pPr>
    </w:p>
    <w:p w:rsidR="00EE7EB1" w:rsidRDefault="00EE7EB1" w:rsidP="000E6A8D">
      <w:pPr>
        <w:tabs>
          <w:tab w:val="left" w:pos="2958"/>
        </w:tabs>
        <w:jc w:val="both"/>
      </w:pPr>
    </w:p>
    <w:p w:rsidR="00EE7EB1" w:rsidRDefault="00EE7EB1" w:rsidP="000E6A8D">
      <w:pPr>
        <w:tabs>
          <w:tab w:val="left" w:pos="2958"/>
        </w:tabs>
        <w:jc w:val="both"/>
      </w:pPr>
    </w:p>
    <w:p w:rsidR="00EE7EB1" w:rsidRPr="004838D5" w:rsidRDefault="00EE7EB1" w:rsidP="00EE7EB1">
      <w:pPr>
        <w:tabs>
          <w:tab w:val="left" w:pos="2958"/>
        </w:tabs>
        <w:jc w:val="both"/>
        <w:rPr>
          <w:b/>
        </w:rPr>
      </w:pPr>
      <w:r>
        <w:rPr>
          <w:b/>
        </w:rPr>
        <w:t>COMMENTS:  CLAUSES 8 &amp; 12</w:t>
      </w:r>
    </w:p>
    <w:p w:rsidR="00EE7EB1" w:rsidRPr="00BB581C" w:rsidRDefault="00EE7EB1" w:rsidP="00EE7EB1">
      <w:pPr>
        <w:tabs>
          <w:tab w:val="left" w:pos="2958"/>
        </w:tabs>
        <w:jc w:val="both"/>
        <w:rPr>
          <w:u w:val="single"/>
        </w:rPr>
      </w:pPr>
      <w:r w:rsidRPr="00BB581C">
        <w:rPr>
          <w:u w:val="single"/>
        </w:rPr>
        <w:t>Script</w:t>
      </w:r>
    </w:p>
    <w:p w:rsidR="00D86ABB" w:rsidRDefault="00A207B4" w:rsidP="000E6A8D">
      <w:pPr>
        <w:tabs>
          <w:tab w:val="left" w:pos="2958"/>
        </w:tabs>
        <w:jc w:val="both"/>
      </w:pPr>
      <w:r>
        <w:t>We respectfully submit that c</w:t>
      </w:r>
      <w:r w:rsidR="00D86ABB">
        <w:t>asinos could comply with Clauses 8 &amp; 12 in respect of Single Transactions to the extent that their existing exemptions remain intact.</w:t>
      </w:r>
      <w:r w:rsidR="00EE7EB1">
        <w:t xml:space="preserve">  </w:t>
      </w:r>
    </w:p>
    <w:p w:rsidR="00EE7EB1" w:rsidRDefault="00D86ABB" w:rsidP="000E6A8D">
      <w:pPr>
        <w:tabs>
          <w:tab w:val="left" w:pos="2958"/>
        </w:tabs>
        <w:jc w:val="both"/>
      </w:pPr>
      <w:r>
        <w:t xml:space="preserve">However, as casinos do not maintain business correspondence for the conclusion of Single Transactions it would be reasonable for casinos to be exempted from the </w:t>
      </w:r>
      <w:r w:rsidR="00400290">
        <w:t xml:space="preserve">corresponding </w:t>
      </w:r>
      <w:r>
        <w:t>requirement</w:t>
      </w:r>
      <w:r w:rsidR="00400290">
        <w:t>. A</w:t>
      </w:r>
      <w:r>
        <w:t xml:space="preserve">lternatively, this could be easily remedied </w:t>
      </w:r>
      <w:r w:rsidR="00400290">
        <w:t xml:space="preserve">in Clause 12 </w:t>
      </w:r>
      <w:r>
        <w:t xml:space="preserve">by the insertion of the words </w:t>
      </w:r>
      <w:r w:rsidRPr="00D86ABB">
        <w:rPr>
          <w:i/>
        </w:rPr>
        <w:t>“where applicable”</w:t>
      </w:r>
      <w:r>
        <w:t xml:space="preserve"> immediately after the words </w:t>
      </w:r>
      <w:r w:rsidR="00400290">
        <w:t>“</w:t>
      </w:r>
      <w:r>
        <w:t>business correspondence</w:t>
      </w:r>
      <w:r w:rsidR="00400290">
        <w:t>”</w:t>
      </w:r>
      <w:r>
        <w:t xml:space="preserve">. </w:t>
      </w:r>
    </w:p>
    <w:p w:rsidR="00400290" w:rsidRDefault="00400290" w:rsidP="000E6A8D">
      <w:pPr>
        <w:tabs>
          <w:tab w:val="left" w:pos="2958"/>
        </w:tabs>
        <w:jc w:val="both"/>
      </w:pPr>
    </w:p>
    <w:p w:rsidR="00BD0D01" w:rsidRDefault="00BD0D01" w:rsidP="000E6A8D">
      <w:pPr>
        <w:tabs>
          <w:tab w:val="left" w:pos="2958"/>
        </w:tabs>
        <w:jc w:val="both"/>
        <w:rPr>
          <w:b/>
        </w:rPr>
      </w:pPr>
    </w:p>
    <w:p w:rsidR="00BD0D01" w:rsidRDefault="00BD0D01" w:rsidP="00BD0D01">
      <w:pPr>
        <w:tabs>
          <w:tab w:val="left" w:pos="2958"/>
        </w:tabs>
        <w:jc w:val="both"/>
        <w:rPr>
          <w:b/>
        </w:rPr>
      </w:pPr>
      <w:r>
        <w:rPr>
          <w:b/>
        </w:rPr>
        <w:t>COMMENT</w:t>
      </w:r>
      <w:r w:rsidRPr="00400290">
        <w:rPr>
          <w:b/>
        </w:rPr>
        <w:t xml:space="preserve">: CLAUSE </w:t>
      </w:r>
      <w:r>
        <w:rPr>
          <w:b/>
        </w:rPr>
        <w:t>10 (21F, 21G &amp; 21H)</w:t>
      </w:r>
    </w:p>
    <w:p w:rsidR="00BD0D01" w:rsidRPr="00400290" w:rsidRDefault="00BD0D01" w:rsidP="00BD0D01">
      <w:pPr>
        <w:tabs>
          <w:tab w:val="left" w:pos="2958"/>
        </w:tabs>
        <w:jc w:val="both"/>
        <w:rPr>
          <w:u w:val="single"/>
        </w:rPr>
      </w:pPr>
      <w:r w:rsidRPr="00400290">
        <w:rPr>
          <w:u w:val="single"/>
        </w:rPr>
        <w:t>Script</w:t>
      </w:r>
    </w:p>
    <w:p w:rsidR="00585156" w:rsidRDefault="00BD0D01" w:rsidP="000E6A8D">
      <w:pPr>
        <w:tabs>
          <w:tab w:val="left" w:pos="2958"/>
        </w:tabs>
        <w:jc w:val="both"/>
      </w:pPr>
      <w:r w:rsidRPr="00BD0D01">
        <w:t xml:space="preserve">We respectfully submit that the provisions of the proposed clause 10 in respect of 21F, 21G and 21H are extremely onerous and impractical for implementation in the current version, this against the backdrop of the serious consequences for failure to identify the influential or prominent persons or their family members or associates. </w:t>
      </w:r>
    </w:p>
    <w:p w:rsidR="00585156" w:rsidRDefault="00BD0D01" w:rsidP="000E6A8D">
      <w:pPr>
        <w:tabs>
          <w:tab w:val="left" w:pos="2958"/>
        </w:tabs>
        <w:jc w:val="both"/>
      </w:pPr>
      <w:r w:rsidRPr="00BD0D01">
        <w:t>Further</w:t>
      </w:r>
      <w:r w:rsidR="008D7A4F">
        <w:t>more,</w:t>
      </w:r>
      <w:r w:rsidRPr="00BD0D01">
        <w:t xml:space="preserve"> the determination of whether or not an individual falls within the category of the afore-going persons is </w:t>
      </w:r>
      <w:r w:rsidR="00CF0537">
        <w:t xml:space="preserve">required </w:t>
      </w:r>
      <w:r w:rsidRPr="00BD0D01">
        <w:t xml:space="preserve">to be made pursuant to the Risk Management and Compliance Programme which requires </w:t>
      </w:r>
      <w:r w:rsidRPr="008D7A4F">
        <w:rPr>
          <w:u w:val="single"/>
        </w:rPr>
        <w:t>absolute measures</w:t>
      </w:r>
      <w:r w:rsidRPr="00BD0D01">
        <w:t xml:space="preserve"> to be taken.</w:t>
      </w:r>
    </w:p>
    <w:p w:rsidR="00585156" w:rsidRDefault="00585156" w:rsidP="000E6A8D">
      <w:pPr>
        <w:tabs>
          <w:tab w:val="left" w:pos="2958"/>
        </w:tabs>
        <w:jc w:val="both"/>
      </w:pPr>
    </w:p>
    <w:p w:rsidR="00BD0D01" w:rsidRDefault="008D7A4F" w:rsidP="000E6A8D">
      <w:pPr>
        <w:tabs>
          <w:tab w:val="left" w:pos="2958"/>
        </w:tabs>
        <w:jc w:val="both"/>
      </w:pPr>
      <w:r>
        <w:t xml:space="preserve"> </w:t>
      </w:r>
    </w:p>
    <w:p w:rsidR="00CF0537" w:rsidRDefault="008D7A4F" w:rsidP="000E6A8D">
      <w:pPr>
        <w:tabs>
          <w:tab w:val="left" w:pos="2958"/>
        </w:tabs>
        <w:jc w:val="both"/>
      </w:pPr>
      <w:r>
        <w:lastRenderedPageBreak/>
        <w:t xml:space="preserve">The </w:t>
      </w:r>
      <w:r w:rsidR="00CF0537">
        <w:t xml:space="preserve">afore-going </w:t>
      </w:r>
      <w:r>
        <w:t>impracticalities are further amplified by</w:t>
      </w:r>
      <w:r w:rsidR="00585156">
        <w:t>:</w:t>
      </w:r>
    </w:p>
    <w:p w:rsidR="00CF0537" w:rsidRDefault="00CF0537" w:rsidP="00CF0537">
      <w:pPr>
        <w:pStyle w:val="ListParagraph"/>
        <w:numPr>
          <w:ilvl w:val="0"/>
          <w:numId w:val="3"/>
        </w:numPr>
        <w:tabs>
          <w:tab w:val="left" w:pos="2958"/>
        </w:tabs>
        <w:jc w:val="both"/>
      </w:pPr>
      <w:r>
        <w:t>T</w:t>
      </w:r>
      <w:r w:rsidR="008D7A4F">
        <w:t xml:space="preserve">he absence of verification databases to accurately identify the persons concerned </w:t>
      </w:r>
      <w:r w:rsidR="00585156">
        <w:t>when transactions are concluded;</w:t>
      </w:r>
      <w:r w:rsidR="008D7A4F">
        <w:t xml:space="preserve"> </w:t>
      </w:r>
    </w:p>
    <w:p w:rsidR="00CF0537" w:rsidRDefault="00CF0537" w:rsidP="00CF0537">
      <w:pPr>
        <w:pStyle w:val="ListParagraph"/>
        <w:numPr>
          <w:ilvl w:val="0"/>
          <w:numId w:val="3"/>
        </w:numPr>
        <w:tabs>
          <w:tab w:val="left" w:pos="2958"/>
        </w:tabs>
        <w:jc w:val="both"/>
      </w:pPr>
      <w:r>
        <w:t>The approval of s</w:t>
      </w:r>
      <w:r w:rsidR="008D7A4F">
        <w:t xml:space="preserve">enior management </w:t>
      </w:r>
      <w:r>
        <w:t>pr</w:t>
      </w:r>
      <w:r w:rsidR="008D7A4F">
        <w:t xml:space="preserve">ior to concluding </w:t>
      </w:r>
      <w:r w:rsidR="00585156">
        <w:t xml:space="preserve">certain </w:t>
      </w:r>
      <w:r w:rsidR="008D7A4F">
        <w:t>trans</w:t>
      </w:r>
      <w:r w:rsidR="00585156">
        <w:t xml:space="preserve">actions with these individuals; and </w:t>
      </w:r>
    </w:p>
    <w:p w:rsidR="00CF0537" w:rsidRDefault="00CF0537" w:rsidP="00CF0537">
      <w:pPr>
        <w:pStyle w:val="ListParagraph"/>
        <w:numPr>
          <w:ilvl w:val="0"/>
          <w:numId w:val="3"/>
        </w:numPr>
        <w:tabs>
          <w:tab w:val="left" w:pos="2958"/>
        </w:tabs>
        <w:jc w:val="both"/>
      </w:pPr>
      <w:r>
        <w:t>The determination of source of funds and source of wealth, which i</w:t>
      </w:r>
      <w:r w:rsidR="008D7A4F">
        <w:t xml:space="preserve">n the context of </w:t>
      </w:r>
      <w:r>
        <w:t xml:space="preserve">a </w:t>
      </w:r>
      <w:r w:rsidR="008D7A4F">
        <w:t>casino</w:t>
      </w:r>
      <w:r>
        <w:t xml:space="preserve">, the corresponding source documents will not be readily available. </w:t>
      </w:r>
    </w:p>
    <w:p w:rsidR="00585156" w:rsidRDefault="00585156" w:rsidP="00CF0537">
      <w:pPr>
        <w:pStyle w:val="ListParagraph"/>
        <w:numPr>
          <w:ilvl w:val="0"/>
          <w:numId w:val="3"/>
        </w:numPr>
        <w:tabs>
          <w:tab w:val="left" w:pos="2958"/>
        </w:tabs>
        <w:jc w:val="both"/>
      </w:pPr>
      <w:r>
        <w:t xml:space="preserve">The </w:t>
      </w:r>
      <w:r w:rsidR="00C11DD6">
        <w:t xml:space="preserve">accurate </w:t>
      </w:r>
      <w:r>
        <w:t xml:space="preserve">determination of time periods that would qualify </w:t>
      </w:r>
      <w:r w:rsidR="00C11DD6">
        <w:t xml:space="preserve">persons as </w:t>
      </w:r>
      <w:r>
        <w:t xml:space="preserve">domestic influential prominent persons. </w:t>
      </w:r>
      <w:bookmarkStart w:id="0" w:name="_GoBack"/>
      <w:bookmarkEnd w:id="0"/>
    </w:p>
    <w:p w:rsidR="00585156" w:rsidRDefault="00585156" w:rsidP="00585156">
      <w:pPr>
        <w:tabs>
          <w:tab w:val="left" w:pos="2958"/>
        </w:tabs>
        <w:jc w:val="both"/>
      </w:pPr>
      <w:r>
        <w:t>To compound this matter further, South Africa lacks information sharing legislation such as section 314(b) of the USA Patriot Act.</w:t>
      </w:r>
    </w:p>
    <w:p w:rsidR="00BD0D01" w:rsidRPr="00BD0D01" w:rsidRDefault="00585156" w:rsidP="00585156">
      <w:pPr>
        <w:tabs>
          <w:tab w:val="left" w:pos="2958"/>
        </w:tabs>
        <w:jc w:val="both"/>
      </w:pPr>
      <w:r>
        <w:t xml:space="preserve">We believe that in the circumstances, it is a reasonable expectation for the legislation to be amended to accommodate for </w:t>
      </w:r>
      <w:r w:rsidRPr="00C11DD6">
        <w:rPr>
          <w:u w:val="single"/>
        </w:rPr>
        <w:t>reasonable measures</w:t>
      </w:r>
      <w:r>
        <w:t xml:space="preserve"> to be taken to identify influential or prominent persons or their family and close associates</w:t>
      </w:r>
      <w:r w:rsidR="00C11DD6">
        <w:t>,</w:t>
      </w:r>
      <w:r>
        <w:t xml:space="preserve"> and for such identification to be made after the fact.</w:t>
      </w:r>
    </w:p>
    <w:p w:rsidR="00BD0D01" w:rsidRDefault="00BD0D01" w:rsidP="000E6A8D">
      <w:pPr>
        <w:tabs>
          <w:tab w:val="left" w:pos="2958"/>
        </w:tabs>
        <w:jc w:val="both"/>
        <w:rPr>
          <w:b/>
        </w:rPr>
      </w:pPr>
      <w:r>
        <w:rPr>
          <w:b/>
        </w:rPr>
        <w:t xml:space="preserve"> </w:t>
      </w:r>
    </w:p>
    <w:p w:rsidR="00BD0D01" w:rsidRDefault="00BD0D01" w:rsidP="000E6A8D">
      <w:pPr>
        <w:tabs>
          <w:tab w:val="left" w:pos="2958"/>
        </w:tabs>
        <w:jc w:val="both"/>
        <w:rPr>
          <w:b/>
        </w:rPr>
      </w:pPr>
    </w:p>
    <w:p w:rsidR="00400290" w:rsidRDefault="0038445D" w:rsidP="000E6A8D">
      <w:pPr>
        <w:tabs>
          <w:tab w:val="left" w:pos="2958"/>
        </w:tabs>
        <w:jc w:val="both"/>
        <w:rPr>
          <w:b/>
        </w:rPr>
      </w:pPr>
      <w:r>
        <w:rPr>
          <w:b/>
        </w:rPr>
        <w:t>COMMENT</w:t>
      </w:r>
      <w:r w:rsidR="00400290" w:rsidRPr="00400290">
        <w:rPr>
          <w:b/>
        </w:rPr>
        <w:t>: CLAUSE 14</w:t>
      </w:r>
    </w:p>
    <w:p w:rsidR="00400290" w:rsidRPr="00400290" w:rsidRDefault="00400290" w:rsidP="000E6A8D">
      <w:pPr>
        <w:tabs>
          <w:tab w:val="left" w:pos="2958"/>
        </w:tabs>
        <w:jc w:val="both"/>
        <w:rPr>
          <w:u w:val="single"/>
        </w:rPr>
      </w:pPr>
      <w:r w:rsidRPr="00400290">
        <w:rPr>
          <w:u w:val="single"/>
        </w:rPr>
        <w:t>Script</w:t>
      </w:r>
    </w:p>
    <w:p w:rsidR="004658A4" w:rsidRDefault="00A207B4" w:rsidP="000E6A8D">
      <w:pPr>
        <w:tabs>
          <w:tab w:val="left" w:pos="2958"/>
        </w:tabs>
        <w:jc w:val="both"/>
      </w:pPr>
      <w:r w:rsidRPr="00A207B4">
        <w:t xml:space="preserve">We respectfully submit that the </w:t>
      </w:r>
      <w:r>
        <w:t xml:space="preserve">confining of </w:t>
      </w:r>
      <w:r w:rsidRPr="00A207B4">
        <w:t xml:space="preserve">electronic records to </w:t>
      </w:r>
      <w:r w:rsidR="004658A4">
        <w:t xml:space="preserve">be within </w:t>
      </w:r>
      <w:r w:rsidRPr="00A207B4">
        <w:t xml:space="preserve">the Republic </w:t>
      </w:r>
      <w:r w:rsidR="006C1E24">
        <w:t xml:space="preserve">would severely </w:t>
      </w:r>
      <w:r w:rsidRPr="00A207B4">
        <w:t>prejudice casinos from utilizing cloud</w:t>
      </w:r>
      <w:r>
        <w:t>-</w:t>
      </w:r>
      <w:r w:rsidRPr="00A207B4">
        <w:t>based technology situated in foreign jurisdictions</w:t>
      </w:r>
      <w:r w:rsidR="004658A4">
        <w:t>. This is</w:t>
      </w:r>
      <w:r>
        <w:t xml:space="preserve"> due to </w:t>
      </w:r>
      <w:r w:rsidRPr="00A207B4">
        <w:t xml:space="preserve">economies of scale </w:t>
      </w:r>
      <w:r>
        <w:t>being</w:t>
      </w:r>
      <w:r w:rsidRPr="00A207B4">
        <w:t xml:space="preserve"> readily available at </w:t>
      </w:r>
      <w:r>
        <w:t xml:space="preserve">more </w:t>
      </w:r>
      <w:r w:rsidR="00E07C9B">
        <w:t>favourable costs in foreign jurisdictions.</w:t>
      </w:r>
    </w:p>
    <w:p w:rsidR="00400290" w:rsidRDefault="004658A4" w:rsidP="000E6A8D">
      <w:pPr>
        <w:tabs>
          <w:tab w:val="left" w:pos="2958"/>
        </w:tabs>
        <w:jc w:val="both"/>
      </w:pPr>
      <w:r>
        <w:t xml:space="preserve">We propose that </w:t>
      </w:r>
      <w:r w:rsidR="00E07C9B">
        <w:t xml:space="preserve">cloud computing in foreign jurisdiction be permissible provided that it is readily accessible from within the Republic. </w:t>
      </w:r>
      <w:r w:rsidR="00A207B4" w:rsidRPr="00A207B4">
        <w:t xml:space="preserve">   </w:t>
      </w:r>
    </w:p>
    <w:p w:rsidR="009A2AD2" w:rsidRDefault="009A2AD2" w:rsidP="000E6A8D">
      <w:pPr>
        <w:tabs>
          <w:tab w:val="left" w:pos="2958"/>
        </w:tabs>
        <w:jc w:val="both"/>
      </w:pPr>
    </w:p>
    <w:p w:rsidR="0088555D" w:rsidRDefault="0088555D" w:rsidP="000E6A8D">
      <w:pPr>
        <w:tabs>
          <w:tab w:val="left" w:pos="2958"/>
        </w:tabs>
        <w:jc w:val="both"/>
      </w:pPr>
    </w:p>
    <w:p w:rsidR="0088555D" w:rsidRDefault="0088555D" w:rsidP="000E6A8D">
      <w:pPr>
        <w:tabs>
          <w:tab w:val="left" w:pos="2958"/>
        </w:tabs>
        <w:jc w:val="both"/>
      </w:pPr>
    </w:p>
    <w:p w:rsidR="0088555D" w:rsidRDefault="0088555D" w:rsidP="000E6A8D">
      <w:pPr>
        <w:tabs>
          <w:tab w:val="left" w:pos="2958"/>
        </w:tabs>
        <w:jc w:val="both"/>
      </w:pPr>
    </w:p>
    <w:p w:rsidR="0038445D" w:rsidRDefault="0038445D" w:rsidP="0038445D">
      <w:pPr>
        <w:tabs>
          <w:tab w:val="left" w:pos="2958"/>
        </w:tabs>
        <w:jc w:val="both"/>
        <w:rPr>
          <w:b/>
        </w:rPr>
      </w:pPr>
      <w:r w:rsidRPr="00400290">
        <w:rPr>
          <w:b/>
        </w:rPr>
        <w:t xml:space="preserve">COMMENT: CLAUSE </w:t>
      </w:r>
      <w:r>
        <w:rPr>
          <w:b/>
        </w:rPr>
        <w:t>27</w:t>
      </w:r>
    </w:p>
    <w:p w:rsidR="009A2AD2" w:rsidRDefault="0038445D" w:rsidP="0038445D">
      <w:pPr>
        <w:tabs>
          <w:tab w:val="left" w:pos="2958"/>
        </w:tabs>
        <w:jc w:val="both"/>
      </w:pPr>
      <w:r w:rsidRPr="00400290">
        <w:rPr>
          <w:u w:val="single"/>
        </w:rPr>
        <w:t>Script</w:t>
      </w:r>
    </w:p>
    <w:p w:rsidR="009A2AD2" w:rsidRDefault="0038445D" w:rsidP="000E6A8D">
      <w:pPr>
        <w:tabs>
          <w:tab w:val="left" w:pos="2958"/>
        </w:tabs>
        <w:jc w:val="both"/>
      </w:pPr>
      <w:r>
        <w:t xml:space="preserve">We respectfully submit that </w:t>
      </w:r>
      <w:r w:rsidR="0088555D">
        <w:t xml:space="preserve">casinos could comply with the requirements for a Risk Management and Compliance Programme to the extent that </w:t>
      </w:r>
      <w:r w:rsidR="002C428B">
        <w:t xml:space="preserve">their existing exemptions remain intact and </w:t>
      </w:r>
      <w:r w:rsidR="0088555D">
        <w:t xml:space="preserve">the legislation is amended to provide for </w:t>
      </w:r>
      <w:r w:rsidR="0088555D" w:rsidRPr="000735AA">
        <w:rPr>
          <w:u w:val="single"/>
        </w:rPr>
        <w:t>reasonable step</w:t>
      </w:r>
      <w:r w:rsidR="0088555D">
        <w:t>s to be taken as opposed to the absolute measures purported by the words “</w:t>
      </w:r>
      <w:r w:rsidR="0088555D" w:rsidRPr="0088555D">
        <w:rPr>
          <w:u w:val="single"/>
        </w:rPr>
        <w:t>must enable</w:t>
      </w:r>
      <w:r w:rsidR="0088555D">
        <w:t xml:space="preserve">”. </w:t>
      </w:r>
      <w:r w:rsidR="002C428B">
        <w:t xml:space="preserve">Furthermore, </w:t>
      </w:r>
      <w:r w:rsidR="000735AA">
        <w:t xml:space="preserve">the </w:t>
      </w:r>
      <w:r w:rsidR="0088555D">
        <w:t xml:space="preserve">Risk Management and Compliance Programme </w:t>
      </w:r>
      <w:r w:rsidR="000735AA">
        <w:t xml:space="preserve">is meant to be founded on </w:t>
      </w:r>
      <w:r w:rsidR="0088555D">
        <w:t xml:space="preserve">a risk-based approach whereas the language used </w:t>
      </w:r>
      <w:r w:rsidR="002C428B">
        <w:t xml:space="preserve">in this version </w:t>
      </w:r>
      <w:r w:rsidR="000735AA">
        <w:t xml:space="preserve">does not support this notion. </w:t>
      </w:r>
    </w:p>
    <w:p w:rsidR="00AC380C" w:rsidRDefault="002C428B" w:rsidP="000735AA">
      <w:pPr>
        <w:tabs>
          <w:tab w:val="left" w:pos="2958"/>
        </w:tabs>
        <w:jc w:val="both"/>
      </w:pPr>
      <w:r>
        <w:lastRenderedPageBreak/>
        <w:t xml:space="preserve">In addition, the </w:t>
      </w:r>
      <w:r w:rsidR="00AC380C">
        <w:t xml:space="preserve">legislation should provide that the </w:t>
      </w:r>
      <w:r>
        <w:t xml:space="preserve">Risk Management and Compliance Programme should only be implemented in a casino’s foreign operation if </w:t>
      </w:r>
      <w:r w:rsidR="00AC380C">
        <w:t xml:space="preserve">client funds are transferred directly between the local and foreign </w:t>
      </w:r>
      <w:r>
        <w:t>operation</w:t>
      </w:r>
      <w:r w:rsidR="00AC380C">
        <w:t>.</w:t>
      </w:r>
    </w:p>
    <w:p w:rsidR="00AC380C" w:rsidRDefault="00AC380C" w:rsidP="000735AA">
      <w:pPr>
        <w:tabs>
          <w:tab w:val="left" w:pos="2958"/>
        </w:tabs>
        <w:jc w:val="both"/>
      </w:pPr>
    </w:p>
    <w:p w:rsidR="000735AA" w:rsidRDefault="000735AA" w:rsidP="000735AA">
      <w:pPr>
        <w:tabs>
          <w:tab w:val="left" w:pos="2958"/>
        </w:tabs>
        <w:jc w:val="both"/>
        <w:rPr>
          <w:b/>
        </w:rPr>
      </w:pPr>
      <w:r w:rsidRPr="00400290">
        <w:rPr>
          <w:b/>
        </w:rPr>
        <w:t xml:space="preserve">COMMENT: CLAUSE </w:t>
      </w:r>
      <w:r>
        <w:rPr>
          <w:b/>
        </w:rPr>
        <w:t>58</w:t>
      </w:r>
    </w:p>
    <w:p w:rsidR="009A2AD2" w:rsidRDefault="000735AA" w:rsidP="000735AA">
      <w:pPr>
        <w:tabs>
          <w:tab w:val="left" w:pos="2958"/>
        </w:tabs>
        <w:jc w:val="both"/>
      </w:pPr>
      <w:r w:rsidRPr="00400290">
        <w:rPr>
          <w:u w:val="single"/>
        </w:rPr>
        <w:t>Script</w:t>
      </w:r>
    </w:p>
    <w:p w:rsidR="009A2AD2" w:rsidRDefault="001B47BC" w:rsidP="000E6A8D">
      <w:pPr>
        <w:tabs>
          <w:tab w:val="left" w:pos="2958"/>
        </w:tabs>
        <w:jc w:val="both"/>
      </w:pPr>
      <w:r>
        <w:t>We note that no provision has been made for transitional arrangements</w:t>
      </w:r>
      <w:r w:rsidR="002C428B">
        <w:t>, or that the amendments will come into operation on a date later than the promulgation date.</w:t>
      </w:r>
      <w:r w:rsidR="00AC380C">
        <w:t xml:space="preserve"> It must be appreciated that sufficient time is necessary for the development of the Risk Management and Compliance Programme, training and any system developments. As with the Banking Association of South Africa, we support a minimum transition period of 12 to 18 months.</w:t>
      </w:r>
    </w:p>
    <w:p w:rsidR="00AC380C" w:rsidRDefault="00AC380C" w:rsidP="000E6A8D">
      <w:pPr>
        <w:tabs>
          <w:tab w:val="left" w:pos="2958"/>
        </w:tabs>
        <w:jc w:val="both"/>
      </w:pPr>
    </w:p>
    <w:p w:rsidR="00AC380C" w:rsidRPr="00A207B4" w:rsidRDefault="00AC380C" w:rsidP="000E6A8D">
      <w:pPr>
        <w:tabs>
          <w:tab w:val="left" w:pos="2958"/>
        </w:tabs>
        <w:jc w:val="both"/>
      </w:pPr>
    </w:p>
    <w:sectPr w:rsidR="00AC380C" w:rsidRPr="00A207B4" w:rsidSect="00136D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2D" w:rsidRDefault="00EB1D2D" w:rsidP="000735AA">
      <w:pPr>
        <w:spacing w:after="0" w:line="240" w:lineRule="auto"/>
      </w:pPr>
      <w:r>
        <w:separator/>
      </w:r>
    </w:p>
  </w:endnote>
  <w:endnote w:type="continuationSeparator" w:id="0">
    <w:p w:rsidR="00EB1D2D" w:rsidRDefault="00EB1D2D" w:rsidP="00073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3515"/>
      <w:docPartObj>
        <w:docPartGallery w:val="Page Numbers (Bottom of Page)"/>
        <w:docPartUnique/>
      </w:docPartObj>
    </w:sdtPr>
    <w:sdtEndPr>
      <w:rPr>
        <w:noProof/>
      </w:rPr>
    </w:sdtEndPr>
    <w:sdtContent>
      <w:p w:rsidR="000735AA" w:rsidRDefault="00136DE1">
        <w:pPr>
          <w:pStyle w:val="Footer"/>
          <w:jc w:val="right"/>
        </w:pPr>
        <w:r>
          <w:fldChar w:fldCharType="begin"/>
        </w:r>
        <w:r w:rsidR="000735AA">
          <w:instrText xml:space="preserve"> PAGE   \* MERGEFORMAT </w:instrText>
        </w:r>
        <w:r>
          <w:fldChar w:fldCharType="separate"/>
        </w:r>
        <w:r w:rsidR="0090461A">
          <w:rPr>
            <w:noProof/>
          </w:rPr>
          <w:t>1</w:t>
        </w:r>
        <w:r>
          <w:rPr>
            <w:noProof/>
          </w:rPr>
          <w:fldChar w:fldCharType="end"/>
        </w:r>
      </w:p>
    </w:sdtContent>
  </w:sdt>
  <w:p w:rsidR="000735AA" w:rsidRDefault="00073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2D" w:rsidRDefault="00EB1D2D" w:rsidP="000735AA">
      <w:pPr>
        <w:spacing w:after="0" w:line="240" w:lineRule="auto"/>
      </w:pPr>
      <w:r>
        <w:separator/>
      </w:r>
    </w:p>
  </w:footnote>
  <w:footnote w:type="continuationSeparator" w:id="0">
    <w:p w:rsidR="00EB1D2D" w:rsidRDefault="00EB1D2D" w:rsidP="000735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F43EA"/>
    <w:multiLevelType w:val="hybridMultilevel"/>
    <w:tmpl w:val="44E69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33C2309"/>
    <w:multiLevelType w:val="hybridMultilevel"/>
    <w:tmpl w:val="84E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D06FE"/>
    <w:multiLevelType w:val="hybridMultilevel"/>
    <w:tmpl w:val="E0501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FB226C"/>
    <w:rsid w:val="000471C4"/>
    <w:rsid w:val="000735AA"/>
    <w:rsid w:val="000E6A8D"/>
    <w:rsid w:val="000F331F"/>
    <w:rsid w:val="0010651B"/>
    <w:rsid w:val="00136DE1"/>
    <w:rsid w:val="001B47BC"/>
    <w:rsid w:val="001E3224"/>
    <w:rsid w:val="001E3711"/>
    <w:rsid w:val="002656CF"/>
    <w:rsid w:val="002C428B"/>
    <w:rsid w:val="002D294E"/>
    <w:rsid w:val="002F6ECA"/>
    <w:rsid w:val="0031558F"/>
    <w:rsid w:val="003173DB"/>
    <w:rsid w:val="0038445D"/>
    <w:rsid w:val="003F2F06"/>
    <w:rsid w:val="00400290"/>
    <w:rsid w:val="004658A4"/>
    <w:rsid w:val="004838D5"/>
    <w:rsid w:val="004A4877"/>
    <w:rsid w:val="004A4F6B"/>
    <w:rsid w:val="00514DFC"/>
    <w:rsid w:val="00572307"/>
    <w:rsid w:val="00585156"/>
    <w:rsid w:val="006C1E24"/>
    <w:rsid w:val="006C3612"/>
    <w:rsid w:val="0088555D"/>
    <w:rsid w:val="008D7A4F"/>
    <w:rsid w:val="0090461A"/>
    <w:rsid w:val="009A2AD2"/>
    <w:rsid w:val="00A207B4"/>
    <w:rsid w:val="00A64F1C"/>
    <w:rsid w:val="00A770C7"/>
    <w:rsid w:val="00A86EBA"/>
    <w:rsid w:val="00AC380C"/>
    <w:rsid w:val="00B27D19"/>
    <w:rsid w:val="00B42FE3"/>
    <w:rsid w:val="00B66057"/>
    <w:rsid w:val="00BB581C"/>
    <w:rsid w:val="00BD0D01"/>
    <w:rsid w:val="00BD5BF5"/>
    <w:rsid w:val="00BD6D64"/>
    <w:rsid w:val="00C11DD6"/>
    <w:rsid w:val="00C14DB7"/>
    <w:rsid w:val="00C45045"/>
    <w:rsid w:val="00CA1505"/>
    <w:rsid w:val="00CD7FA2"/>
    <w:rsid w:val="00CF0537"/>
    <w:rsid w:val="00D86ABB"/>
    <w:rsid w:val="00D91B51"/>
    <w:rsid w:val="00DA0BF7"/>
    <w:rsid w:val="00E07C9B"/>
    <w:rsid w:val="00EB1D2D"/>
    <w:rsid w:val="00EB2107"/>
    <w:rsid w:val="00EB7946"/>
    <w:rsid w:val="00EE7EB1"/>
    <w:rsid w:val="00F54F7C"/>
    <w:rsid w:val="00FB226C"/>
    <w:rsid w:val="00FE0A68"/>
    <w:rsid w:val="00FE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6C"/>
    <w:pPr>
      <w:ind w:left="720"/>
      <w:contextualSpacing/>
    </w:pPr>
  </w:style>
  <w:style w:type="paragraph" w:styleId="NormalWeb">
    <w:name w:val="Normal (Web)"/>
    <w:basedOn w:val="Normal"/>
    <w:uiPriority w:val="99"/>
    <w:semiHidden/>
    <w:unhideWhenUsed/>
    <w:rsid w:val="00C14D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5AA"/>
  </w:style>
  <w:style w:type="paragraph" w:styleId="Footer">
    <w:name w:val="footer"/>
    <w:basedOn w:val="Normal"/>
    <w:link w:val="FooterChar"/>
    <w:uiPriority w:val="99"/>
    <w:unhideWhenUsed/>
    <w:rsid w:val="00073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5AA"/>
  </w:style>
  <w:style w:type="paragraph" w:styleId="BalloonText">
    <w:name w:val="Balloon Text"/>
    <w:basedOn w:val="Normal"/>
    <w:link w:val="BalloonTextChar"/>
    <w:uiPriority w:val="99"/>
    <w:semiHidden/>
    <w:unhideWhenUsed/>
    <w:rsid w:val="00EB2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1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8687219">
      <w:bodyDiv w:val="1"/>
      <w:marLeft w:val="0"/>
      <w:marRight w:val="0"/>
      <w:marTop w:val="0"/>
      <w:marBottom w:val="0"/>
      <w:divBdr>
        <w:top w:val="none" w:sz="0" w:space="0" w:color="auto"/>
        <w:left w:val="none" w:sz="0" w:space="0" w:color="auto"/>
        <w:bottom w:val="none" w:sz="0" w:space="0" w:color="auto"/>
        <w:right w:val="none" w:sz="0" w:space="0" w:color="auto"/>
      </w:divBdr>
    </w:div>
    <w:div w:id="6336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Sun International</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Reddy</dc:creator>
  <cp:lastModifiedBy>PUMZA</cp:lastModifiedBy>
  <cp:revision>2</cp:revision>
  <cp:lastPrinted>2016-01-28T10:30:00Z</cp:lastPrinted>
  <dcterms:created xsi:type="dcterms:W3CDTF">2016-02-04T08:18:00Z</dcterms:created>
  <dcterms:modified xsi:type="dcterms:W3CDTF">2016-02-04T08:18:00Z</dcterms:modified>
</cp:coreProperties>
</file>