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70" w:rsidRDefault="00780470" w:rsidP="00780470">
      <w:pPr>
        <w:spacing w:line="300" w:lineRule="auto"/>
        <w:jc w:val="left"/>
        <w:rPr>
          <w:rFonts w:cs="Arial"/>
          <w:b/>
          <w:sz w:val="22"/>
        </w:rPr>
      </w:pPr>
      <w:bookmarkStart w:id="0" w:name="_GoBack"/>
      <w:bookmarkEnd w:id="0"/>
      <w:r w:rsidRPr="00780470">
        <w:rPr>
          <w:rFonts w:cs="Arial"/>
          <w:b/>
          <w:sz w:val="22"/>
        </w:rPr>
        <w:t>WRITTEN SUBMISSIONS ON FINANCIAL INTELLIGENCE CENTRE AMENDMENT BILL [B 33–2015]</w:t>
      </w:r>
    </w:p>
    <w:p w:rsidR="007A2F64" w:rsidRPr="00780470" w:rsidRDefault="007A2F64" w:rsidP="00780470">
      <w:pPr>
        <w:spacing w:line="300" w:lineRule="auto"/>
        <w:jc w:val="left"/>
        <w:rPr>
          <w:rFonts w:cs="Arial"/>
          <w:b/>
          <w:sz w:val="22"/>
        </w:rPr>
      </w:pPr>
      <w:r>
        <w:rPr>
          <w:rFonts w:cs="Arial"/>
          <w:b/>
          <w:sz w:val="22"/>
        </w:rPr>
        <w:t>BARLOWORLD AUTOMOTIVE</w:t>
      </w:r>
    </w:p>
    <w:p w:rsidR="00780470" w:rsidRPr="00780470" w:rsidRDefault="00780470">
      <w:pPr>
        <w:rPr>
          <w:rFonts w:cs="Arial"/>
          <w:sz w:val="18"/>
          <w:szCs w:val="18"/>
        </w:rPr>
      </w:pPr>
    </w:p>
    <w:tbl>
      <w:tblPr>
        <w:tblStyle w:val="TableGrid"/>
        <w:tblW w:w="0" w:type="auto"/>
        <w:tblLook w:val="04A0"/>
      </w:tblPr>
      <w:tblGrid>
        <w:gridCol w:w="7733"/>
        <w:gridCol w:w="7733"/>
      </w:tblGrid>
      <w:tr w:rsidR="001321F3" w:rsidRPr="00780470" w:rsidTr="00511794">
        <w:trPr>
          <w:trHeight w:val="397"/>
        </w:trPr>
        <w:tc>
          <w:tcPr>
            <w:tcW w:w="7733" w:type="dxa"/>
            <w:shd w:val="clear" w:color="auto" w:fill="D9D9D9" w:themeFill="background1" w:themeFillShade="D9"/>
            <w:vAlign w:val="center"/>
          </w:tcPr>
          <w:p w:rsidR="001321F3" w:rsidRPr="00780470" w:rsidRDefault="00511794" w:rsidP="00C83FF6">
            <w:pPr>
              <w:autoSpaceDE w:val="0"/>
              <w:autoSpaceDN w:val="0"/>
              <w:adjustRightInd w:val="0"/>
              <w:jc w:val="center"/>
              <w:rPr>
                <w:rFonts w:cs="Arial"/>
                <w:b/>
                <w:bCs/>
                <w:sz w:val="18"/>
                <w:szCs w:val="18"/>
              </w:rPr>
            </w:pPr>
            <w:r w:rsidRPr="00780470">
              <w:rPr>
                <w:rFonts w:cs="Arial"/>
                <w:b/>
                <w:bCs/>
                <w:sz w:val="18"/>
                <w:szCs w:val="18"/>
              </w:rPr>
              <w:t>Amendment</w:t>
            </w:r>
          </w:p>
        </w:tc>
        <w:tc>
          <w:tcPr>
            <w:tcW w:w="7733" w:type="dxa"/>
            <w:shd w:val="clear" w:color="auto" w:fill="D9D9D9" w:themeFill="background1" w:themeFillShade="D9"/>
            <w:vAlign w:val="center"/>
          </w:tcPr>
          <w:p w:rsidR="001321F3" w:rsidRPr="00780470" w:rsidRDefault="000C344D" w:rsidP="00C83FF6">
            <w:pPr>
              <w:jc w:val="center"/>
              <w:rPr>
                <w:rFonts w:cs="Arial"/>
                <w:b/>
                <w:sz w:val="18"/>
                <w:szCs w:val="18"/>
              </w:rPr>
            </w:pPr>
            <w:r w:rsidRPr="00780470">
              <w:rPr>
                <w:rFonts w:cs="Arial"/>
                <w:b/>
                <w:sz w:val="18"/>
                <w:szCs w:val="18"/>
              </w:rPr>
              <w:t>Comment</w:t>
            </w:r>
          </w:p>
        </w:tc>
      </w:tr>
      <w:tr w:rsidR="002179B4" w:rsidRPr="00780470" w:rsidTr="002E232A">
        <w:tc>
          <w:tcPr>
            <w:tcW w:w="7733" w:type="dxa"/>
            <w:vAlign w:val="center"/>
          </w:tcPr>
          <w:p w:rsidR="00335C30" w:rsidRPr="00780470" w:rsidRDefault="00335C30" w:rsidP="002E232A">
            <w:pPr>
              <w:autoSpaceDE w:val="0"/>
              <w:autoSpaceDN w:val="0"/>
              <w:adjustRightInd w:val="0"/>
              <w:rPr>
                <w:rFonts w:cs="Arial"/>
                <w:b/>
                <w:bCs/>
                <w:sz w:val="18"/>
                <w:szCs w:val="18"/>
              </w:rPr>
            </w:pPr>
            <w:r w:rsidRPr="00780470">
              <w:rPr>
                <w:rFonts w:cs="Arial"/>
                <w:b/>
                <w:bCs/>
                <w:sz w:val="18"/>
                <w:szCs w:val="18"/>
              </w:rPr>
              <w:t>Insertion of Part 2A and sections 26A, 26B and 26C in Act 38 of 2001</w:t>
            </w:r>
          </w:p>
          <w:p w:rsidR="006E2F8A" w:rsidRPr="00780470" w:rsidRDefault="006E2F8A" w:rsidP="002E232A">
            <w:pPr>
              <w:autoSpaceDE w:val="0"/>
              <w:autoSpaceDN w:val="0"/>
              <w:adjustRightInd w:val="0"/>
              <w:rPr>
                <w:rFonts w:cs="Arial"/>
                <w:b/>
                <w:bCs/>
                <w:sz w:val="18"/>
                <w:szCs w:val="18"/>
              </w:rPr>
            </w:pPr>
          </w:p>
          <w:p w:rsidR="00335C30" w:rsidRPr="00780470" w:rsidRDefault="00335C30" w:rsidP="002E232A">
            <w:pPr>
              <w:autoSpaceDE w:val="0"/>
              <w:autoSpaceDN w:val="0"/>
              <w:adjustRightInd w:val="0"/>
              <w:rPr>
                <w:rFonts w:cs="Arial"/>
                <w:sz w:val="18"/>
                <w:szCs w:val="18"/>
              </w:rPr>
            </w:pPr>
            <w:r w:rsidRPr="00780470">
              <w:rPr>
                <w:rFonts w:cs="Arial"/>
                <w:b/>
                <w:bCs/>
                <w:sz w:val="18"/>
                <w:szCs w:val="18"/>
              </w:rPr>
              <w:t xml:space="preserve">17. </w:t>
            </w:r>
            <w:r w:rsidRPr="00780470">
              <w:rPr>
                <w:rFonts w:cs="Arial"/>
                <w:sz w:val="18"/>
                <w:szCs w:val="18"/>
              </w:rPr>
              <w:t>The following heading and sections are hereby inserted in the principal Act after</w:t>
            </w:r>
          </w:p>
          <w:p w:rsidR="00335C30" w:rsidRPr="00780470" w:rsidRDefault="00335C30" w:rsidP="002E232A">
            <w:pPr>
              <w:autoSpaceDE w:val="0"/>
              <w:autoSpaceDN w:val="0"/>
              <w:adjustRightInd w:val="0"/>
              <w:rPr>
                <w:rFonts w:cs="Arial"/>
                <w:sz w:val="18"/>
                <w:szCs w:val="18"/>
              </w:rPr>
            </w:pPr>
            <w:r w:rsidRPr="00780470">
              <w:rPr>
                <w:rFonts w:cs="Arial"/>
                <w:sz w:val="18"/>
                <w:szCs w:val="18"/>
              </w:rPr>
              <w:t>section 26:</w:t>
            </w:r>
          </w:p>
          <w:p w:rsidR="00335C30" w:rsidRPr="00780470" w:rsidRDefault="00335C30" w:rsidP="002E232A">
            <w:pPr>
              <w:autoSpaceDE w:val="0"/>
              <w:autoSpaceDN w:val="0"/>
              <w:adjustRightInd w:val="0"/>
              <w:rPr>
                <w:rFonts w:cs="Arial"/>
                <w:sz w:val="18"/>
                <w:szCs w:val="18"/>
              </w:rPr>
            </w:pPr>
          </w:p>
          <w:p w:rsidR="00335C30" w:rsidRPr="00780470" w:rsidRDefault="00335C30" w:rsidP="002E232A">
            <w:pPr>
              <w:autoSpaceDE w:val="0"/>
              <w:autoSpaceDN w:val="0"/>
              <w:adjustRightInd w:val="0"/>
              <w:rPr>
                <w:rFonts w:cs="Arial"/>
                <w:b/>
                <w:bCs/>
                <w:i/>
                <w:iCs/>
                <w:sz w:val="18"/>
                <w:szCs w:val="18"/>
              </w:rPr>
            </w:pPr>
            <w:r w:rsidRPr="00780470">
              <w:rPr>
                <w:rFonts w:cs="Arial"/>
                <w:sz w:val="18"/>
                <w:szCs w:val="18"/>
              </w:rPr>
              <w:t>‘‘</w:t>
            </w:r>
            <w:r w:rsidRPr="00780470">
              <w:rPr>
                <w:rFonts w:cs="Arial"/>
                <w:b/>
                <w:bCs/>
                <w:i/>
                <w:iCs/>
                <w:sz w:val="18"/>
                <w:szCs w:val="18"/>
              </w:rPr>
              <w:t>Part 2A</w:t>
            </w:r>
          </w:p>
          <w:p w:rsidR="00335C30" w:rsidRPr="00780470" w:rsidRDefault="00335C30" w:rsidP="002E232A">
            <w:pPr>
              <w:autoSpaceDE w:val="0"/>
              <w:autoSpaceDN w:val="0"/>
              <w:adjustRightInd w:val="0"/>
              <w:rPr>
                <w:rFonts w:cs="Arial"/>
                <w:b/>
                <w:bCs/>
                <w:i/>
                <w:iCs/>
                <w:sz w:val="18"/>
                <w:szCs w:val="18"/>
              </w:rPr>
            </w:pPr>
          </w:p>
          <w:p w:rsidR="00335C30" w:rsidRPr="00780470" w:rsidRDefault="00335C30" w:rsidP="002E232A">
            <w:pPr>
              <w:autoSpaceDE w:val="0"/>
              <w:autoSpaceDN w:val="0"/>
              <w:adjustRightInd w:val="0"/>
              <w:rPr>
                <w:rFonts w:cs="Arial"/>
                <w:b/>
                <w:bCs/>
                <w:i/>
                <w:iCs/>
                <w:sz w:val="18"/>
                <w:szCs w:val="18"/>
              </w:rPr>
            </w:pPr>
            <w:r w:rsidRPr="00780470">
              <w:rPr>
                <w:rFonts w:cs="Arial"/>
                <w:b/>
                <w:bCs/>
                <w:i/>
                <w:iCs/>
                <w:sz w:val="18"/>
                <w:szCs w:val="18"/>
              </w:rPr>
              <w:t>Financial sanctions</w:t>
            </w:r>
          </w:p>
          <w:p w:rsidR="00335C30" w:rsidRPr="00780470" w:rsidRDefault="00335C30" w:rsidP="002E232A">
            <w:pPr>
              <w:autoSpaceDE w:val="0"/>
              <w:autoSpaceDN w:val="0"/>
              <w:adjustRightInd w:val="0"/>
              <w:rPr>
                <w:rFonts w:cs="Arial"/>
                <w:b/>
                <w:bCs/>
                <w:sz w:val="18"/>
                <w:szCs w:val="18"/>
              </w:rPr>
            </w:pPr>
          </w:p>
          <w:p w:rsidR="001321F3" w:rsidRPr="00780470" w:rsidRDefault="001321F3" w:rsidP="002E232A">
            <w:pPr>
              <w:autoSpaceDE w:val="0"/>
              <w:autoSpaceDN w:val="0"/>
              <w:adjustRightInd w:val="0"/>
              <w:rPr>
                <w:rFonts w:cs="Arial"/>
                <w:b/>
                <w:bCs/>
                <w:sz w:val="18"/>
                <w:szCs w:val="18"/>
              </w:rPr>
            </w:pPr>
            <w:r w:rsidRPr="00780470">
              <w:rPr>
                <w:rFonts w:cs="Arial"/>
                <w:b/>
                <w:bCs/>
                <w:sz w:val="18"/>
                <w:szCs w:val="18"/>
              </w:rPr>
              <w:t>Prohibitions relating to persons and entities identified by Security</w:t>
            </w:r>
          </w:p>
          <w:p w:rsidR="001321F3" w:rsidRPr="00780470" w:rsidRDefault="001321F3" w:rsidP="002E232A">
            <w:pPr>
              <w:autoSpaceDE w:val="0"/>
              <w:autoSpaceDN w:val="0"/>
              <w:adjustRightInd w:val="0"/>
              <w:rPr>
                <w:rFonts w:cs="Arial"/>
                <w:b/>
                <w:bCs/>
                <w:sz w:val="18"/>
                <w:szCs w:val="18"/>
              </w:rPr>
            </w:pPr>
            <w:r w:rsidRPr="00780470">
              <w:rPr>
                <w:rFonts w:cs="Arial"/>
                <w:b/>
                <w:bCs/>
                <w:sz w:val="18"/>
                <w:szCs w:val="18"/>
              </w:rPr>
              <w:t>Council of the United Nations</w:t>
            </w:r>
          </w:p>
          <w:p w:rsidR="001321F3" w:rsidRPr="00780470" w:rsidRDefault="001321F3" w:rsidP="002E232A">
            <w:pPr>
              <w:autoSpaceDE w:val="0"/>
              <w:autoSpaceDN w:val="0"/>
              <w:adjustRightInd w:val="0"/>
              <w:rPr>
                <w:rFonts w:cs="Arial"/>
                <w:b/>
                <w:bCs/>
                <w:sz w:val="18"/>
                <w:szCs w:val="18"/>
              </w:rPr>
            </w:pPr>
          </w:p>
          <w:p w:rsidR="001321F3" w:rsidRPr="00780470" w:rsidRDefault="001321F3" w:rsidP="002E232A">
            <w:pPr>
              <w:autoSpaceDE w:val="0"/>
              <w:autoSpaceDN w:val="0"/>
              <w:adjustRightInd w:val="0"/>
              <w:rPr>
                <w:rFonts w:cs="Arial"/>
                <w:sz w:val="18"/>
                <w:szCs w:val="18"/>
                <w:highlight w:val="yellow"/>
              </w:rPr>
            </w:pPr>
            <w:r w:rsidRPr="00780470">
              <w:rPr>
                <w:rFonts w:cs="Arial"/>
                <w:b/>
                <w:bCs/>
                <w:sz w:val="18"/>
                <w:szCs w:val="18"/>
                <w:highlight w:val="yellow"/>
              </w:rPr>
              <w:t xml:space="preserve">26B. </w:t>
            </w:r>
            <w:r w:rsidRPr="00780470">
              <w:rPr>
                <w:rFonts w:cs="Arial"/>
                <w:sz w:val="18"/>
                <w:szCs w:val="18"/>
                <w:highlight w:val="yellow"/>
              </w:rPr>
              <w:t>(1) No person may, directly or indirectly, in whole or in part, and by</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any means or method—</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(a) </w:t>
            </w:r>
            <w:r w:rsidRPr="00780470">
              <w:rPr>
                <w:rFonts w:cs="Arial"/>
                <w:sz w:val="18"/>
                <w:szCs w:val="18"/>
                <w:highlight w:val="yellow"/>
              </w:rPr>
              <w:t>acquire, collect, use, possess or own property;</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(b) </w:t>
            </w:r>
            <w:r w:rsidRPr="00780470">
              <w:rPr>
                <w:rFonts w:cs="Arial"/>
                <w:sz w:val="18"/>
                <w:szCs w:val="18"/>
                <w:highlight w:val="yellow"/>
              </w:rPr>
              <w:t>provide or make available, or invite a person to provide or make</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available property;</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(c) </w:t>
            </w:r>
            <w:r w:rsidRPr="00780470">
              <w:rPr>
                <w:rFonts w:cs="Arial"/>
                <w:sz w:val="18"/>
                <w:szCs w:val="18"/>
                <w:highlight w:val="yellow"/>
              </w:rPr>
              <w:t>provide or make available, or invite a person to provide or make</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available any financial or other service;</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(d) </w:t>
            </w:r>
            <w:r w:rsidRPr="00780470">
              <w:rPr>
                <w:rFonts w:cs="Arial"/>
                <w:sz w:val="18"/>
                <w:szCs w:val="18"/>
                <w:highlight w:val="yellow"/>
              </w:rPr>
              <w:t>provide or make available, or invite a person to provide or make</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available economic support; or</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(e) </w:t>
            </w:r>
            <w:r w:rsidRPr="00780470">
              <w:rPr>
                <w:rFonts w:cs="Arial"/>
                <w:sz w:val="18"/>
                <w:szCs w:val="18"/>
                <w:highlight w:val="yellow"/>
              </w:rPr>
              <w:t>facilitate the acquisition, collection, use or provision of property, or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the provision of any financial or other service, or the provision of</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economic support, intending that the property, financial or other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service or economic support,</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as the case may be, be used, or while the person knows or ought reasonably</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to have known or suspected that the property, service or support concerned</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will be used, directly or indirectly, in whole or in part, for the benefit of, or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on behalf of, or at the direction of, or under the control of a person or an</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entity identified pursuant to a resolution of the Security Council of the</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 xml:space="preserve">United Nations contemplated in a notice referred to in section </w:t>
            </w:r>
            <w:proofErr w:type="gramStart"/>
            <w:r w:rsidRPr="00780470">
              <w:rPr>
                <w:rFonts w:cs="Arial"/>
                <w:sz w:val="18"/>
                <w:szCs w:val="18"/>
                <w:highlight w:val="yellow"/>
              </w:rPr>
              <w:t>26A(</w:t>
            </w:r>
            <w:proofErr w:type="gramEnd"/>
            <w:r w:rsidRPr="00780470">
              <w:rPr>
                <w:rFonts w:cs="Arial"/>
                <w:sz w:val="18"/>
                <w:szCs w:val="18"/>
                <w:highlight w:val="yellow"/>
              </w:rPr>
              <w:t>1).</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(2) No person may, directly or indirectly, in whole or in part, and by any</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means or method deal with, enter into or facilitate any transaction or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perform any other act in connection with property which such person</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knows or ought reasonably to have known or suspected to have been</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acquired, collected, used, possessed, owned or provided for the benefit of,</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or on behalf of, or at the direction of, or under the control of a person or an</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entity identified pursuant to a resolution of the Security Council of the</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 xml:space="preserve">United Nations contemplated in a notice referred to in section </w:t>
            </w:r>
            <w:proofErr w:type="gramStart"/>
            <w:r w:rsidRPr="00780470">
              <w:rPr>
                <w:rFonts w:cs="Arial"/>
                <w:sz w:val="18"/>
                <w:szCs w:val="18"/>
                <w:highlight w:val="yellow"/>
              </w:rPr>
              <w:t>26A(</w:t>
            </w:r>
            <w:proofErr w:type="gramEnd"/>
            <w:r w:rsidRPr="00780470">
              <w:rPr>
                <w:rFonts w:cs="Arial"/>
                <w:sz w:val="18"/>
                <w:szCs w:val="18"/>
                <w:highlight w:val="yellow"/>
              </w:rPr>
              <w:t>1).</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(3) No person who knows or ought reasonably to have known or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suspected that property is property referred to in subsection (1), may enter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into, or become concerned in, an arrangement which in any way has or is</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likely to have the effect of—</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lastRenderedPageBreak/>
              <w:t xml:space="preserve">(a) </w:t>
            </w:r>
            <w:r w:rsidRPr="00780470">
              <w:rPr>
                <w:rFonts w:cs="Arial"/>
                <w:sz w:val="18"/>
                <w:szCs w:val="18"/>
                <w:highlight w:val="yellow"/>
              </w:rPr>
              <w:t>making it possible for a person or an entity identified pursuant to a</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resolution of the Security Council of the United Nations contemplated</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in a notice referred to in section 26A(1) to retain or control the</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property;</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(b) </w:t>
            </w:r>
            <w:r w:rsidRPr="00780470">
              <w:rPr>
                <w:rFonts w:cs="Arial"/>
                <w:sz w:val="18"/>
                <w:szCs w:val="18"/>
                <w:highlight w:val="yellow"/>
              </w:rPr>
              <w:t>converting the property;</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(c) </w:t>
            </w:r>
            <w:r w:rsidRPr="00780470">
              <w:rPr>
                <w:rFonts w:cs="Arial"/>
                <w:sz w:val="18"/>
                <w:szCs w:val="18"/>
                <w:highlight w:val="yellow"/>
              </w:rPr>
              <w:t>concealing or disguising the nature, source, location, disposition or</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movement of the property, the ownership thereof or any interest</w:t>
            </w:r>
          </w:p>
          <w:p w:rsidR="001321F3" w:rsidRPr="00780470" w:rsidRDefault="001321F3" w:rsidP="002E232A">
            <w:pPr>
              <w:autoSpaceDE w:val="0"/>
              <w:autoSpaceDN w:val="0"/>
              <w:adjustRightInd w:val="0"/>
              <w:rPr>
                <w:rFonts w:cs="Arial"/>
                <w:sz w:val="18"/>
                <w:szCs w:val="18"/>
                <w:highlight w:val="yellow"/>
              </w:rPr>
            </w:pPr>
            <w:r w:rsidRPr="00780470">
              <w:rPr>
                <w:rFonts w:cs="Arial"/>
                <w:sz w:val="18"/>
                <w:szCs w:val="18"/>
                <w:highlight w:val="yellow"/>
              </w:rPr>
              <w:t>anyone may have therein;</w:t>
            </w:r>
          </w:p>
          <w:p w:rsidR="001321F3" w:rsidRPr="00780470" w:rsidRDefault="001321F3" w:rsidP="002E232A">
            <w:pPr>
              <w:autoSpaceDE w:val="0"/>
              <w:autoSpaceDN w:val="0"/>
              <w:adjustRightInd w:val="0"/>
              <w:rPr>
                <w:rFonts w:cs="Arial"/>
                <w:sz w:val="18"/>
                <w:szCs w:val="18"/>
                <w:highlight w:val="yellow"/>
              </w:rPr>
            </w:pPr>
            <w:r w:rsidRPr="00780470">
              <w:rPr>
                <w:rFonts w:cs="Arial"/>
                <w:i/>
                <w:iCs/>
                <w:sz w:val="18"/>
                <w:szCs w:val="18"/>
                <w:highlight w:val="yellow"/>
              </w:rPr>
              <w:t xml:space="preserve">(d) </w:t>
            </w:r>
            <w:r w:rsidRPr="00780470">
              <w:rPr>
                <w:rFonts w:cs="Arial"/>
                <w:sz w:val="18"/>
                <w:szCs w:val="18"/>
                <w:highlight w:val="yellow"/>
              </w:rPr>
              <w:t>removing the property from a jurisdiction; or</w:t>
            </w:r>
          </w:p>
          <w:p w:rsidR="002179B4" w:rsidRPr="00780470" w:rsidRDefault="001321F3" w:rsidP="002E232A">
            <w:pPr>
              <w:autoSpaceDE w:val="0"/>
              <w:autoSpaceDN w:val="0"/>
              <w:adjustRightInd w:val="0"/>
              <w:rPr>
                <w:rFonts w:cs="Arial"/>
                <w:sz w:val="18"/>
                <w:szCs w:val="18"/>
              </w:rPr>
            </w:pPr>
            <w:r w:rsidRPr="00780470">
              <w:rPr>
                <w:rFonts w:cs="Arial"/>
                <w:i/>
                <w:iCs/>
                <w:sz w:val="18"/>
                <w:szCs w:val="18"/>
                <w:highlight w:val="yellow"/>
              </w:rPr>
              <w:t xml:space="preserve">(e) </w:t>
            </w:r>
            <w:proofErr w:type="gramStart"/>
            <w:r w:rsidRPr="00780470">
              <w:rPr>
                <w:rFonts w:cs="Arial"/>
                <w:sz w:val="18"/>
                <w:szCs w:val="18"/>
                <w:highlight w:val="yellow"/>
              </w:rPr>
              <w:t>transferring</w:t>
            </w:r>
            <w:proofErr w:type="gramEnd"/>
            <w:r w:rsidRPr="00780470">
              <w:rPr>
                <w:rFonts w:cs="Arial"/>
                <w:sz w:val="18"/>
                <w:szCs w:val="18"/>
                <w:highlight w:val="yellow"/>
              </w:rPr>
              <w:t xml:space="preserve"> the property to a nominee.</w:t>
            </w:r>
          </w:p>
        </w:tc>
        <w:tc>
          <w:tcPr>
            <w:tcW w:w="7733" w:type="dxa"/>
            <w:vAlign w:val="center"/>
          </w:tcPr>
          <w:p w:rsidR="008E3D92" w:rsidRPr="00780470" w:rsidRDefault="008E3D92" w:rsidP="002E232A">
            <w:pPr>
              <w:rPr>
                <w:rFonts w:cs="Arial"/>
                <w:sz w:val="18"/>
                <w:szCs w:val="18"/>
              </w:rPr>
            </w:pPr>
            <w:r w:rsidRPr="00780470">
              <w:rPr>
                <w:rFonts w:cs="Arial"/>
                <w:b/>
                <w:sz w:val="18"/>
                <w:szCs w:val="18"/>
              </w:rPr>
              <w:lastRenderedPageBreak/>
              <w:t xml:space="preserve">Clause </w:t>
            </w:r>
            <w:r w:rsidR="006E2F8A" w:rsidRPr="00780470">
              <w:rPr>
                <w:rFonts w:cs="Arial"/>
                <w:b/>
                <w:sz w:val="18"/>
                <w:szCs w:val="18"/>
              </w:rPr>
              <w:t>17 (insertion of 26B</w:t>
            </w:r>
            <w:r w:rsidR="00674243" w:rsidRPr="00780470">
              <w:rPr>
                <w:rFonts w:cs="Arial"/>
                <w:b/>
                <w:sz w:val="18"/>
                <w:szCs w:val="18"/>
              </w:rPr>
              <w:t xml:space="preserve"> in </w:t>
            </w:r>
            <w:r w:rsidR="00AC2EFF" w:rsidRPr="00780470">
              <w:rPr>
                <w:rFonts w:cs="Arial"/>
                <w:b/>
                <w:sz w:val="18"/>
                <w:szCs w:val="18"/>
              </w:rPr>
              <w:t xml:space="preserve">the </w:t>
            </w:r>
            <w:r w:rsidR="00674243" w:rsidRPr="00780470">
              <w:rPr>
                <w:rFonts w:cs="Arial"/>
                <w:b/>
                <w:sz w:val="18"/>
                <w:szCs w:val="18"/>
              </w:rPr>
              <w:t>Principal Act</w:t>
            </w:r>
            <w:r w:rsidR="006E2F8A" w:rsidRPr="00780470">
              <w:rPr>
                <w:rFonts w:cs="Arial"/>
                <w:b/>
                <w:sz w:val="18"/>
                <w:szCs w:val="18"/>
              </w:rPr>
              <w:t xml:space="preserve">) </w:t>
            </w:r>
            <w:r w:rsidRPr="00780470">
              <w:rPr>
                <w:rFonts w:cs="Arial"/>
                <w:b/>
                <w:sz w:val="18"/>
                <w:szCs w:val="18"/>
              </w:rPr>
              <w:t>–</w:t>
            </w:r>
            <w:r w:rsidRPr="00780470">
              <w:rPr>
                <w:rFonts w:cs="Arial"/>
                <w:sz w:val="18"/>
                <w:szCs w:val="18"/>
              </w:rPr>
              <w:t xml:space="preserve"> w</w:t>
            </w:r>
            <w:r w:rsidR="005F6522" w:rsidRPr="00780470">
              <w:rPr>
                <w:rFonts w:cs="Arial"/>
                <w:sz w:val="18"/>
                <w:szCs w:val="18"/>
              </w:rPr>
              <w:t>hilst the intent of</w:t>
            </w:r>
            <w:r w:rsidRPr="00780470">
              <w:rPr>
                <w:rFonts w:cs="Arial"/>
                <w:sz w:val="18"/>
                <w:szCs w:val="18"/>
              </w:rPr>
              <w:t xml:space="preserve"> the </w:t>
            </w:r>
            <w:r w:rsidR="005F6522" w:rsidRPr="00780470">
              <w:rPr>
                <w:rFonts w:cs="Arial"/>
                <w:sz w:val="18"/>
                <w:szCs w:val="18"/>
              </w:rPr>
              <w:t xml:space="preserve">prohibition </w:t>
            </w:r>
            <w:r w:rsidRPr="00780470">
              <w:rPr>
                <w:rFonts w:cs="Arial"/>
                <w:sz w:val="18"/>
                <w:szCs w:val="18"/>
              </w:rPr>
              <w:t xml:space="preserve">relating to persons and entities identified by the Security Council of the United Nations </w:t>
            </w:r>
            <w:r w:rsidR="005F6522" w:rsidRPr="00780470">
              <w:rPr>
                <w:rFonts w:cs="Arial"/>
                <w:sz w:val="18"/>
                <w:szCs w:val="18"/>
              </w:rPr>
              <w:t xml:space="preserve">is appreciated, an unintended consequence </w:t>
            </w:r>
            <w:r w:rsidRPr="00780470">
              <w:rPr>
                <w:rFonts w:cs="Arial"/>
                <w:sz w:val="18"/>
                <w:szCs w:val="18"/>
              </w:rPr>
              <w:t xml:space="preserve">of this </w:t>
            </w:r>
            <w:r w:rsidR="001321F3" w:rsidRPr="00780470">
              <w:rPr>
                <w:rFonts w:cs="Arial"/>
                <w:sz w:val="18"/>
                <w:szCs w:val="18"/>
              </w:rPr>
              <w:t xml:space="preserve">is that it </w:t>
            </w:r>
            <w:r w:rsidR="00335CA1" w:rsidRPr="00780470">
              <w:rPr>
                <w:rFonts w:cs="Arial"/>
                <w:sz w:val="18"/>
                <w:szCs w:val="18"/>
              </w:rPr>
              <w:t xml:space="preserve">requires a business </w:t>
            </w:r>
            <w:r w:rsidR="001321F3" w:rsidRPr="00780470">
              <w:rPr>
                <w:rFonts w:cs="Arial"/>
                <w:sz w:val="18"/>
                <w:szCs w:val="18"/>
              </w:rPr>
              <w:t xml:space="preserve">to have </w:t>
            </w:r>
            <w:r w:rsidRPr="00780470">
              <w:rPr>
                <w:rFonts w:cs="Arial"/>
                <w:sz w:val="18"/>
                <w:szCs w:val="18"/>
              </w:rPr>
              <w:t xml:space="preserve">a </w:t>
            </w:r>
            <w:r w:rsidR="005F6522" w:rsidRPr="00780470">
              <w:rPr>
                <w:rFonts w:cs="Arial"/>
                <w:sz w:val="18"/>
                <w:szCs w:val="18"/>
              </w:rPr>
              <w:t>screening sy</w:t>
            </w:r>
            <w:r w:rsidRPr="00780470">
              <w:rPr>
                <w:rFonts w:cs="Arial"/>
                <w:sz w:val="18"/>
                <w:szCs w:val="18"/>
              </w:rPr>
              <w:t xml:space="preserve">stem or tool </w:t>
            </w:r>
            <w:r w:rsidR="005F6522" w:rsidRPr="00780470">
              <w:rPr>
                <w:rFonts w:cs="Arial"/>
                <w:sz w:val="18"/>
                <w:szCs w:val="18"/>
              </w:rPr>
              <w:t xml:space="preserve">in place </w:t>
            </w:r>
            <w:r w:rsidR="001321F3" w:rsidRPr="00780470">
              <w:rPr>
                <w:rFonts w:cs="Arial"/>
                <w:sz w:val="18"/>
                <w:szCs w:val="18"/>
              </w:rPr>
              <w:t>to screen the transac</w:t>
            </w:r>
            <w:r w:rsidR="005F6522" w:rsidRPr="00780470">
              <w:rPr>
                <w:rFonts w:cs="Arial"/>
                <w:sz w:val="18"/>
                <w:szCs w:val="18"/>
              </w:rPr>
              <w:t xml:space="preserve">tions against the designated United Nations Security Council sanctions lists.  </w:t>
            </w:r>
          </w:p>
          <w:p w:rsidR="008E3D92" w:rsidRPr="00780470" w:rsidRDefault="008E3D92" w:rsidP="002E232A">
            <w:pPr>
              <w:rPr>
                <w:rFonts w:cs="Arial"/>
                <w:sz w:val="18"/>
                <w:szCs w:val="18"/>
              </w:rPr>
            </w:pPr>
          </w:p>
          <w:p w:rsidR="005F6522" w:rsidRPr="00780470" w:rsidRDefault="00335CA1" w:rsidP="002E232A">
            <w:pPr>
              <w:rPr>
                <w:rFonts w:cs="Arial"/>
                <w:sz w:val="18"/>
                <w:szCs w:val="18"/>
              </w:rPr>
            </w:pPr>
            <w:r w:rsidRPr="00780470">
              <w:rPr>
                <w:rFonts w:cs="Arial"/>
                <w:sz w:val="18"/>
                <w:szCs w:val="18"/>
              </w:rPr>
              <w:t>It must be borne in mind that n</w:t>
            </w:r>
            <w:r w:rsidR="005F6522" w:rsidRPr="00780470">
              <w:rPr>
                <w:rFonts w:cs="Arial"/>
                <w:sz w:val="18"/>
                <w:szCs w:val="18"/>
              </w:rPr>
              <w:t>ot all</w:t>
            </w:r>
            <w:r w:rsidRPr="00780470">
              <w:rPr>
                <w:rFonts w:cs="Arial"/>
                <w:sz w:val="18"/>
                <w:szCs w:val="18"/>
              </w:rPr>
              <w:t xml:space="preserve"> businesses, in particular smaller businesses, </w:t>
            </w:r>
            <w:r w:rsidR="005F6522" w:rsidRPr="00780470">
              <w:rPr>
                <w:rFonts w:cs="Arial"/>
                <w:sz w:val="18"/>
                <w:szCs w:val="18"/>
              </w:rPr>
              <w:t xml:space="preserve">cannot afford to purchase screening </w:t>
            </w:r>
            <w:r w:rsidRPr="00780470">
              <w:rPr>
                <w:rFonts w:cs="Arial"/>
                <w:sz w:val="18"/>
                <w:szCs w:val="18"/>
              </w:rPr>
              <w:t>tools, which m</w:t>
            </w:r>
            <w:r w:rsidR="008E3D92" w:rsidRPr="00780470">
              <w:rPr>
                <w:rFonts w:cs="Arial"/>
                <w:sz w:val="18"/>
                <w:szCs w:val="18"/>
              </w:rPr>
              <w:t>a</w:t>
            </w:r>
            <w:r w:rsidRPr="00780470">
              <w:rPr>
                <w:rFonts w:cs="Arial"/>
                <w:sz w:val="18"/>
                <w:szCs w:val="18"/>
              </w:rPr>
              <w:t xml:space="preserve">y result in a </w:t>
            </w:r>
            <w:r w:rsidR="005F6522" w:rsidRPr="00780470">
              <w:rPr>
                <w:rFonts w:cs="Arial"/>
                <w:sz w:val="18"/>
                <w:szCs w:val="18"/>
              </w:rPr>
              <w:t>challenge to monitor clients against the sanction lists as it is impractical to do it man</w:t>
            </w:r>
            <w:r w:rsidR="008E3D92" w:rsidRPr="00780470">
              <w:rPr>
                <w:rFonts w:cs="Arial"/>
                <w:sz w:val="18"/>
                <w:szCs w:val="18"/>
              </w:rPr>
              <w:t>ually without a screening tool.</w:t>
            </w:r>
          </w:p>
        </w:tc>
      </w:tr>
      <w:tr w:rsidR="002179B4" w:rsidRPr="00780470" w:rsidTr="002E232A">
        <w:tc>
          <w:tcPr>
            <w:tcW w:w="7733" w:type="dxa"/>
            <w:vAlign w:val="center"/>
          </w:tcPr>
          <w:p w:rsidR="002179B4" w:rsidRPr="00780470" w:rsidRDefault="002179B4" w:rsidP="002E232A">
            <w:pPr>
              <w:autoSpaceDE w:val="0"/>
              <w:autoSpaceDN w:val="0"/>
              <w:adjustRightInd w:val="0"/>
              <w:rPr>
                <w:rFonts w:cs="Arial"/>
                <w:b/>
                <w:bCs/>
                <w:sz w:val="18"/>
                <w:szCs w:val="18"/>
              </w:rPr>
            </w:pPr>
            <w:r w:rsidRPr="00780470">
              <w:rPr>
                <w:rFonts w:cs="Arial"/>
                <w:b/>
                <w:bCs/>
                <w:sz w:val="18"/>
                <w:szCs w:val="18"/>
              </w:rPr>
              <w:lastRenderedPageBreak/>
              <w:t>Amendment of section 29 of Act 38 of 2001, as amended by section 27 of Act 33 of</w:t>
            </w:r>
          </w:p>
          <w:p w:rsidR="002179B4" w:rsidRPr="00780470" w:rsidRDefault="002179B4" w:rsidP="002E232A">
            <w:pPr>
              <w:autoSpaceDE w:val="0"/>
              <w:autoSpaceDN w:val="0"/>
              <w:adjustRightInd w:val="0"/>
              <w:rPr>
                <w:rFonts w:cs="Arial"/>
                <w:b/>
                <w:bCs/>
                <w:sz w:val="18"/>
                <w:szCs w:val="18"/>
              </w:rPr>
            </w:pPr>
            <w:r w:rsidRPr="00780470">
              <w:rPr>
                <w:rFonts w:cs="Arial"/>
                <w:b/>
                <w:bCs/>
                <w:sz w:val="18"/>
                <w:szCs w:val="18"/>
              </w:rPr>
              <w:t>2004</w:t>
            </w:r>
          </w:p>
          <w:p w:rsidR="002179B4" w:rsidRPr="00780470" w:rsidRDefault="002179B4" w:rsidP="002E232A">
            <w:pPr>
              <w:autoSpaceDE w:val="0"/>
              <w:autoSpaceDN w:val="0"/>
              <w:adjustRightInd w:val="0"/>
              <w:rPr>
                <w:rFonts w:cs="Arial"/>
                <w:b/>
                <w:bCs/>
                <w:sz w:val="18"/>
                <w:szCs w:val="18"/>
              </w:rPr>
            </w:pPr>
          </w:p>
          <w:p w:rsidR="002179B4" w:rsidRPr="00780470" w:rsidRDefault="002179B4" w:rsidP="002E232A">
            <w:pPr>
              <w:autoSpaceDE w:val="0"/>
              <w:autoSpaceDN w:val="0"/>
              <w:adjustRightInd w:val="0"/>
              <w:rPr>
                <w:rFonts w:cs="Arial"/>
                <w:sz w:val="18"/>
                <w:szCs w:val="18"/>
              </w:rPr>
            </w:pPr>
            <w:r w:rsidRPr="00780470">
              <w:rPr>
                <w:rFonts w:cs="Arial"/>
                <w:b/>
                <w:bCs/>
                <w:sz w:val="18"/>
                <w:szCs w:val="18"/>
              </w:rPr>
              <w:t xml:space="preserve">21. </w:t>
            </w:r>
            <w:r w:rsidRPr="00780470">
              <w:rPr>
                <w:rFonts w:cs="Arial"/>
                <w:sz w:val="18"/>
                <w:szCs w:val="18"/>
              </w:rPr>
              <w:t>Section 29 of the principal Act is hereby amended—</w:t>
            </w:r>
          </w:p>
          <w:p w:rsidR="002179B4" w:rsidRPr="00780470" w:rsidRDefault="002179B4" w:rsidP="002E232A">
            <w:pPr>
              <w:autoSpaceDE w:val="0"/>
              <w:autoSpaceDN w:val="0"/>
              <w:adjustRightInd w:val="0"/>
              <w:rPr>
                <w:rFonts w:cs="Arial"/>
                <w:sz w:val="18"/>
                <w:szCs w:val="18"/>
              </w:rPr>
            </w:pPr>
            <w:r w:rsidRPr="00780470">
              <w:rPr>
                <w:rFonts w:cs="Arial"/>
                <w:i/>
                <w:iCs/>
                <w:sz w:val="18"/>
                <w:szCs w:val="18"/>
              </w:rPr>
              <w:t xml:space="preserve">(a) </w:t>
            </w:r>
            <w:r w:rsidRPr="00780470">
              <w:rPr>
                <w:rFonts w:cs="Arial"/>
                <w:sz w:val="18"/>
                <w:szCs w:val="18"/>
              </w:rPr>
              <w:t>by the substitution in subsection (1)</w:t>
            </w:r>
            <w:r w:rsidRPr="00780470">
              <w:rPr>
                <w:rFonts w:cs="Arial"/>
                <w:i/>
                <w:iCs/>
                <w:sz w:val="18"/>
                <w:szCs w:val="18"/>
              </w:rPr>
              <w:t xml:space="preserve">(b) </w:t>
            </w:r>
            <w:r w:rsidRPr="00780470">
              <w:rPr>
                <w:rFonts w:cs="Arial"/>
                <w:sz w:val="18"/>
                <w:szCs w:val="18"/>
              </w:rPr>
              <w:t>for subparagraph (iv) of the following</w:t>
            </w:r>
          </w:p>
          <w:p w:rsidR="002179B4" w:rsidRPr="00780470" w:rsidRDefault="002179B4" w:rsidP="002E232A">
            <w:pPr>
              <w:autoSpaceDE w:val="0"/>
              <w:autoSpaceDN w:val="0"/>
              <w:adjustRightInd w:val="0"/>
              <w:rPr>
                <w:rFonts w:cs="Arial"/>
                <w:sz w:val="18"/>
                <w:szCs w:val="18"/>
              </w:rPr>
            </w:pPr>
            <w:r w:rsidRPr="00780470">
              <w:rPr>
                <w:rFonts w:cs="Arial"/>
                <w:sz w:val="18"/>
                <w:szCs w:val="18"/>
              </w:rPr>
              <w:t>subparagraph:</w:t>
            </w:r>
          </w:p>
          <w:p w:rsidR="002179B4" w:rsidRPr="00780470" w:rsidRDefault="002179B4" w:rsidP="002E232A">
            <w:pPr>
              <w:autoSpaceDE w:val="0"/>
              <w:autoSpaceDN w:val="0"/>
              <w:adjustRightInd w:val="0"/>
              <w:rPr>
                <w:rFonts w:cs="Arial"/>
                <w:sz w:val="18"/>
                <w:szCs w:val="18"/>
              </w:rPr>
            </w:pPr>
            <w:r w:rsidRPr="00780470">
              <w:rPr>
                <w:rFonts w:cs="Arial"/>
                <w:sz w:val="18"/>
                <w:szCs w:val="18"/>
              </w:rPr>
              <w:t>‘‘(iv) may be relevant to the investigation of an evasion or attempted</w:t>
            </w:r>
          </w:p>
          <w:p w:rsidR="002179B4" w:rsidRPr="00780470" w:rsidRDefault="002179B4" w:rsidP="002E232A">
            <w:pPr>
              <w:autoSpaceDE w:val="0"/>
              <w:autoSpaceDN w:val="0"/>
              <w:adjustRightInd w:val="0"/>
              <w:rPr>
                <w:rFonts w:cs="Arial"/>
                <w:sz w:val="18"/>
                <w:szCs w:val="18"/>
              </w:rPr>
            </w:pPr>
            <w:r w:rsidRPr="00780470">
              <w:rPr>
                <w:rFonts w:cs="Arial"/>
                <w:sz w:val="18"/>
                <w:szCs w:val="18"/>
              </w:rPr>
              <w:t>evasion of a duty to pay any tax, duty or levy imposed by</w:t>
            </w:r>
          </w:p>
          <w:p w:rsidR="002179B4" w:rsidRPr="00780470" w:rsidRDefault="002179B4" w:rsidP="002E232A">
            <w:pPr>
              <w:autoSpaceDE w:val="0"/>
              <w:autoSpaceDN w:val="0"/>
              <w:adjustRightInd w:val="0"/>
              <w:rPr>
                <w:rFonts w:cs="Arial"/>
                <w:sz w:val="18"/>
                <w:szCs w:val="18"/>
              </w:rPr>
            </w:pPr>
            <w:r w:rsidRPr="00780470">
              <w:rPr>
                <w:rFonts w:cs="Arial"/>
                <w:sz w:val="18"/>
                <w:szCs w:val="18"/>
              </w:rPr>
              <w:t>legislation administered by the Commissioner for the South</w:t>
            </w:r>
          </w:p>
          <w:p w:rsidR="002179B4" w:rsidRPr="00780470" w:rsidRDefault="002179B4" w:rsidP="002E232A">
            <w:pPr>
              <w:autoSpaceDE w:val="0"/>
              <w:autoSpaceDN w:val="0"/>
              <w:adjustRightInd w:val="0"/>
              <w:rPr>
                <w:rFonts w:cs="Arial"/>
                <w:sz w:val="18"/>
                <w:szCs w:val="18"/>
              </w:rPr>
            </w:pPr>
            <w:r w:rsidRPr="00780470">
              <w:rPr>
                <w:rFonts w:cs="Arial"/>
                <w:sz w:val="18"/>
                <w:szCs w:val="18"/>
              </w:rPr>
              <w:t xml:space="preserve">African Revenue Service; </w:t>
            </w:r>
            <w:r w:rsidRPr="00780470">
              <w:rPr>
                <w:rFonts w:cs="Arial"/>
                <w:b/>
                <w:bCs/>
                <w:sz w:val="18"/>
                <w:szCs w:val="18"/>
              </w:rPr>
              <w:t>[or]</w:t>
            </w:r>
            <w:r w:rsidRPr="00780470">
              <w:rPr>
                <w:rFonts w:cs="Arial"/>
                <w:sz w:val="18"/>
                <w:szCs w:val="18"/>
              </w:rPr>
              <w:t>’’; and</w:t>
            </w:r>
          </w:p>
          <w:p w:rsidR="002179B4" w:rsidRPr="00780470" w:rsidRDefault="002179B4" w:rsidP="002E232A">
            <w:pPr>
              <w:autoSpaceDE w:val="0"/>
              <w:autoSpaceDN w:val="0"/>
              <w:adjustRightInd w:val="0"/>
              <w:rPr>
                <w:rFonts w:cs="Arial"/>
                <w:sz w:val="18"/>
                <w:szCs w:val="18"/>
                <w:highlight w:val="yellow"/>
              </w:rPr>
            </w:pPr>
            <w:r w:rsidRPr="00780470">
              <w:rPr>
                <w:rFonts w:cs="Arial"/>
                <w:i/>
                <w:iCs/>
                <w:sz w:val="18"/>
                <w:szCs w:val="18"/>
                <w:highlight w:val="yellow"/>
              </w:rPr>
              <w:t xml:space="preserve">(b) </w:t>
            </w:r>
            <w:r w:rsidRPr="00780470">
              <w:rPr>
                <w:rFonts w:cs="Arial"/>
                <w:sz w:val="18"/>
                <w:szCs w:val="18"/>
                <w:highlight w:val="yellow"/>
              </w:rPr>
              <w:t>by the addition to subsection (1)</w:t>
            </w:r>
            <w:r w:rsidRPr="00780470">
              <w:rPr>
                <w:rFonts w:cs="Arial"/>
                <w:i/>
                <w:iCs/>
                <w:sz w:val="18"/>
                <w:szCs w:val="18"/>
                <w:highlight w:val="yellow"/>
              </w:rPr>
              <w:t xml:space="preserve">(b) </w:t>
            </w:r>
            <w:r w:rsidRPr="00780470">
              <w:rPr>
                <w:rFonts w:cs="Arial"/>
                <w:sz w:val="18"/>
                <w:szCs w:val="18"/>
                <w:highlight w:val="yellow"/>
              </w:rPr>
              <w:t>of the following subparagraph:</w:t>
            </w:r>
          </w:p>
          <w:p w:rsidR="002179B4" w:rsidRPr="00780470" w:rsidRDefault="002179B4" w:rsidP="002E232A">
            <w:pPr>
              <w:autoSpaceDE w:val="0"/>
              <w:autoSpaceDN w:val="0"/>
              <w:adjustRightInd w:val="0"/>
              <w:rPr>
                <w:rFonts w:cs="Arial"/>
                <w:sz w:val="18"/>
                <w:szCs w:val="18"/>
                <w:highlight w:val="yellow"/>
              </w:rPr>
            </w:pPr>
            <w:r w:rsidRPr="00780470">
              <w:rPr>
                <w:rFonts w:cs="Arial"/>
                <w:sz w:val="18"/>
                <w:szCs w:val="18"/>
                <w:highlight w:val="yellow"/>
              </w:rPr>
              <w:t>‘‘(vi) relates to the contravention of a prohibition under section 26B;</w:t>
            </w:r>
          </w:p>
          <w:p w:rsidR="002179B4" w:rsidRPr="00780470" w:rsidRDefault="002179B4" w:rsidP="002E232A">
            <w:pPr>
              <w:autoSpaceDE w:val="0"/>
              <w:autoSpaceDN w:val="0"/>
              <w:adjustRightInd w:val="0"/>
              <w:rPr>
                <w:rFonts w:cs="Arial"/>
                <w:sz w:val="18"/>
                <w:szCs w:val="18"/>
              </w:rPr>
            </w:pPr>
            <w:proofErr w:type="gramStart"/>
            <w:r w:rsidRPr="00780470">
              <w:rPr>
                <w:rFonts w:cs="Arial"/>
                <w:sz w:val="18"/>
                <w:szCs w:val="18"/>
                <w:highlight w:val="yellow"/>
              </w:rPr>
              <w:t>or</w:t>
            </w:r>
            <w:proofErr w:type="gramEnd"/>
            <w:r w:rsidRPr="00780470">
              <w:rPr>
                <w:rFonts w:cs="Arial"/>
                <w:sz w:val="18"/>
                <w:szCs w:val="18"/>
                <w:highlight w:val="yellow"/>
              </w:rPr>
              <w:t>.’’;</w:t>
            </w:r>
          </w:p>
          <w:p w:rsidR="002179B4" w:rsidRPr="00780470" w:rsidRDefault="002179B4" w:rsidP="002E232A">
            <w:pPr>
              <w:autoSpaceDE w:val="0"/>
              <w:autoSpaceDN w:val="0"/>
              <w:adjustRightInd w:val="0"/>
              <w:rPr>
                <w:rFonts w:cs="Arial"/>
                <w:sz w:val="18"/>
                <w:szCs w:val="18"/>
              </w:rPr>
            </w:pPr>
            <w:r w:rsidRPr="00780470">
              <w:rPr>
                <w:rFonts w:cs="Arial"/>
                <w:i/>
                <w:iCs/>
                <w:sz w:val="18"/>
                <w:szCs w:val="18"/>
              </w:rPr>
              <w:t xml:space="preserve">(c) </w:t>
            </w:r>
            <w:r w:rsidRPr="00780470">
              <w:rPr>
                <w:rFonts w:cs="Arial"/>
                <w:sz w:val="18"/>
                <w:szCs w:val="18"/>
              </w:rPr>
              <w:t xml:space="preserve">by the substitution in subsection (3) for the words preceding paragraph </w:t>
            </w:r>
            <w:r w:rsidRPr="00780470">
              <w:rPr>
                <w:rFonts w:cs="Arial"/>
                <w:i/>
                <w:iCs/>
                <w:sz w:val="18"/>
                <w:szCs w:val="18"/>
              </w:rPr>
              <w:t xml:space="preserve">(a) </w:t>
            </w:r>
            <w:r w:rsidRPr="00780470">
              <w:rPr>
                <w:rFonts w:cs="Arial"/>
                <w:sz w:val="18"/>
                <w:szCs w:val="18"/>
              </w:rPr>
              <w:t>of</w:t>
            </w:r>
          </w:p>
          <w:p w:rsidR="002179B4" w:rsidRPr="00780470" w:rsidRDefault="002179B4" w:rsidP="002E232A">
            <w:pPr>
              <w:autoSpaceDE w:val="0"/>
              <w:autoSpaceDN w:val="0"/>
              <w:adjustRightInd w:val="0"/>
              <w:rPr>
                <w:rFonts w:cs="Arial"/>
                <w:sz w:val="18"/>
                <w:szCs w:val="18"/>
              </w:rPr>
            </w:pPr>
            <w:r w:rsidRPr="00780470">
              <w:rPr>
                <w:rFonts w:cs="Arial"/>
                <w:sz w:val="18"/>
                <w:szCs w:val="18"/>
              </w:rPr>
              <w:t>the following words:</w:t>
            </w:r>
          </w:p>
          <w:p w:rsidR="002179B4" w:rsidRPr="00780470" w:rsidRDefault="002179B4" w:rsidP="002E232A">
            <w:pPr>
              <w:autoSpaceDE w:val="0"/>
              <w:autoSpaceDN w:val="0"/>
              <w:adjustRightInd w:val="0"/>
              <w:rPr>
                <w:rFonts w:cs="Arial"/>
                <w:sz w:val="18"/>
                <w:szCs w:val="18"/>
              </w:rPr>
            </w:pPr>
            <w:r w:rsidRPr="00780470">
              <w:rPr>
                <w:rFonts w:cs="Arial"/>
                <w:sz w:val="18"/>
                <w:szCs w:val="18"/>
              </w:rPr>
              <w:t>‘‘(3) No person who made or must make a report in terms of this</w:t>
            </w:r>
          </w:p>
          <w:p w:rsidR="002179B4" w:rsidRPr="00780470" w:rsidRDefault="002179B4" w:rsidP="002E232A">
            <w:pPr>
              <w:autoSpaceDE w:val="0"/>
              <w:autoSpaceDN w:val="0"/>
              <w:adjustRightInd w:val="0"/>
              <w:rPr>
                <w:rFonts w:cs="Arial"/>
                <w:sz w:val="18"/>
                <w:szCs w:val="18"/>
              </w:rPr>
            </w:pPr>
            <w:r w:rsidRPr="00780470">
              <w:rPr>
                <w:rFonts w:cs="Arial"/>
                <w:sz w:val="18"/>
                <w:szCs w:val="18"/>
              </w:rPr>
              <w:t>section may, subject to subsection 45B(2A), disclose that fact or any</w:t>
            </w:r>
          </w:p>
          <w:p w:rsidR="002179B4" w:rsidRPr="00780470" w:rsidRDefault="002179B4" w:rsidP="002E232A">
            <w:pPr>
              <w:autoSpaceDE w:val="0"/>
              <w:autoSpaceDN w:val="0"/>
              <w:adjustRightInd w:val="0"/>
              <w:rPr>
                <w:rFonts w:cs="Arial"/>
                <w:sz w:val="18"/>
                <w:szCs w:val="18"/>
              </w:rPr>
            </w:pPr>
            <w:r w:rsidRPr="00780470">
              <w:rPr>
                <w:rFonts w:cs="Arial"/>
                <w:sz w:val="18"/>
                <w:szCs w:val="18"/>
              </w:rPr>
              <w:t>information regarding the contents of any such report to any other</w:t>
            </w:r>
          </w:p>
          <w:p w:rsidR="002179B4" w:rsidRPr="00780470" w:rsidRDefault="002179B4" w:rsidP="002E232A">
            <w:pPr>
              <w:rPr>
                <w:rFonts w:cs="Arial"/>
                <w:sz w:val="18"/>
                <w:szCs w:val="18"/>
              </w:rPr>
            </w:pPr>
            <w:r w:rsidRPr="00780470">
              <w:rPr>
                <w:rFonts w:cs="Arial"/>
                <w:sz w:val="18"/>
                <w:szCs w:val="18"/>
              </w:rPr>
              <w:t>person, including the person in</w:t>
            </w:r>
          </w:p>
        </w:tc>
        <w:tc>
          <w:tcPr>
            <w:tcW w:w="7733" w:type="dxa"/>
            <w:vAlign w:val="center"/>
          </w:tcPr>
          <w:p w:rsidR="008E3D92" w:rsidRPr="00780470" w:rsidRDefault="006E2F8A" w:rsidP="002E232A">
            <w:pPr>
              <w:rPr>
                <w:rFonts w:cs="Arial"/>
                <w:sz w:val="18"/>
                <w:szCs w:val="18"/>
              </w:rPr>
            </w:pPr>
            <w:r w:rsidRPr="00780470">
              <w:rPr>
                <w:rFonts w:cs="Arial"/>
                <w:b/>
                <w:sz w:val="18"/>
                <w:szCs w:val="18"/>
              </w:rPr>
              <w:t>Clause 21(b) (addition of 29(1)(b)(vi)</w:t>
            </w:r>
            <w:r w:rsidR="00674243" w:rsidRPr="00780470">
              <w:rPr>
                <w:rFonts w:cs="Arial"/>
                <w:b/>
                <w:sz w:val="18"/>
                <w:szCs w:val="18"/>
              </w:rPr>
              <w:t xml:space="preserve"> in </w:t>
            </w:r>
            <w:r w:rsidR="00AC2EFF" w:rsidRPr="00780470">
              <w:rPr>
                <w:rFonts w:cs="Arial"/>
                <w:b/>
                <w:sz w:val="18"/>
                <w:szCs w:val="18"/>
              </w:rPr>
              <w:t xml:space="preserve">the </w:t>
            </w:r>
            <w:r w:rsidR="00674243" w:rsidRPr="00780470">
              <w:rPr>
                <w:rFonts w:cs="Arial"/>
                <w:b/>
                <w:sz w:val="18"/>
                <w:szCs w:val="18"/>
              </w:rPr>
              <w:t>Principal Act</w:t>
            </w:r>
            <w:r w:rsidRPr="00780470">
              <w:rPr>
                <w:rFonts w:cs="Arial"/>
                <w:b/>
                <w:sz w:val="18"/>
                <w:szCs w:val="18"/>
              </w:rPr>
              <w:t xml:space="preserve">) </w:t>
            </w:r>
            <w:r w:rsidR="008E3D92" w:rsidRPr="00780470">
              <w:rPr>
                <w:rFonts w:cs="Arial"/>
                <w:b/>
                <w:sz w:val="18"/>
                <w:szCs w:val="18"/>
              </w:rPr>
              <w:t>–</w:t>
            </w:r>
            <w:r w:rsidR="008E3D92" w:rsidRPr="00780470">
              <w:rPr>
                <w:rFonts w:cs="Arial"/>
                <w:sz w:val="18"/>
                <w:szCs w:val="18"/>
              </w:rPr>
              <w:t xml:space="preserve"> refer comments above regarding the requirement for a screening system or tool.</w:t>
            </w:r>
          </w:p>
          <w:p w:rsidR="001321F3" w:rsidRPr="00780470" w:rsidRDefault="001321F3" w:rsidP="002E232A">
            <w:pPr>
              <w:rPr>
                <w:rFonts w:cs="Arial"/>
                <w:sz w:val="18"/>
                <w:szCs w:val="18"/>
              </w:rPr>
            </w:pPr>
          </w:p>
        </w:tc>
      </w:tr>
      <w:tr w:rsidR="002179B4" w:rsidRPr="00780470" w:rsidTr="002E232A">
        <w:tc>
          <w:tcPr>
            <w:tcW w:w="7733" w:type="dxa"/>
            <w:vAlign w:val="center"/>
          </w:tcPr>
          <w:p w:rsidR="00CF3BF6" w:rsidRPr="00780470" w:rsidRDefault="00CF3BF6" w:rsidP="002E232A">
            <w:pPr>
              <w:autoSpaceDE w:val="0"/>
              <w:autoSpaceDN w:val="0"/>
              <w:adjustRightInd w:val="0"/>
              <w:rPr>
                <w:rFonts w:cs="Arial"/>
                <w:b/>
                <w:bCs/>
                <w:sz w:val="18"/>
                <w:szCs w:val="18"/>
              </w:rPr>
            </w:pPr>
            <w:r w:rsidRPr="00780470">
              <w:rPr>
                <w:rFonts w:cs="Arial"/>
                <w:b/>
                <w:bCs/>
                <w:sz w:val="18"/>
                <w:szCs w:val="18"/>
              </w:rPr>
              <w:t>Substitution of section 51 of Act 38 of 2001</w:t>
            </w:r>
          </w:p>
          <w:p w:rsidR="00CF3BF6" w:rsidRPr="00780470" w:rsidRDefault="00CF3BF6" w:rsidP="002E232A">
            <w:pPr>
              <w:autoSpaceDE w:val="0"/>
              <w:autoSpaceDN w:val="0"/>
              <w:adjustRightInd w:val="0"/>
              <w:rPr>
                <w:rFonts w:cs="Arial"/>
                <w:b/>
                <w:bCs/>
                <w:sz w:val="18"/>
                <w:szCs w:val="18"/>
              </w:rPr>
            </w:pPr>
          </w:p>
          <w:p w:rsidR="00CF3BF6" w:rsidRPr="00780470" w:rsidRDefault="00CF3BF6" w:rsidP="002E232A">
            <w:pPr>
              <w:autoSpaceDE w:val="0"/>
              <w:autoSpaceDN w:val="0"/>
              <w:adjustRightInd w:val="0"/>
              <w:rPr>
                <w:rFonts w:cs="Arial"/>
                <w:sz w:val="18"/>
                <w:szCs w:val="18"/>
              </w:rPr>
            </w:pPr>
            <w:r w:rsidRPr="00780470">
              <w:rPr>
                <w:rFonts w:cs="Arial"/>
                <w:b/>
                <w:bCs/>
                <w:sz w:val="18"/>
                <w:szCs w:val="18"/>
              </w:rPr>
              <w:t xml:space="preserve">41. </w:t>
            </w:r>
            <w:r w:rsidRPr="00780470">
              <w:rPr>
                <w:rFonts w:cs="Arial"/>
                <w:sz w:val="18"/>
                <w:szCs w:val="18"/>
              </w:rPr>
              <w:t>The following section is hereby substituted for section 51 of the principal Act:</w:t>
            </w:r>
          </w:p>
          <w:p w:rsidR="00CF3BF6" w:rsidRPr="00780470" w:rsidRDefault="00CF3BF6" w:rsidP="002E232A">
            <w:pPr>
              <w:autoSpaceDE w:val="0"/>
              <w:autoSpaceDN w:val="0"/>
              <w:adjustRightInd w:val="0"/>
              <w:rPr>
                <w:rFonts w:cs="Arial"/>
                <w:sz w:val="18"/>
                <w:szCs w:val="18"/>
              </w:rPr>
            </w:pPr>
          </w:p>
          <w:p w:rsidR="00CF3BF6" w:rsidRPr="00780470" w:rsidRDefault="00CF3BF6" w:rsidP="002E232A">
            <w:pPr>
              <w:autoSpaceDE w:val="0"/>
              <w:autoSpaceDN w:val="0"/>
              <w:adjustRightInd w:val="0"/>
              <w:rPr>
                <w:rFonts w:cs="Arial"/>
                <w:b/>
                <w:bCs/>
                <w:sz w:val="18"/>
                <w:szCs w:val="18"/>
              </w:rPr>
            </w:pPr>
            <w:r w:rsidRPr="00780470">
              <w:rPr>
                <w:rFonts w:cs="Arial"/>
                <w:sz w:val="18"/>
                <w:szCs w:val="18"/>
              </w:rPr>
              <w:t>‘‘</w:t>
            </w:r>
            <w:r w:rsidRPr="00780470">
              <w:rPr>
                <w:rFonts w:cs="Arial"/>
                <w:b/>
                <w:bCs/>
                <w:sz w:val="18"/>
                <w:szCs w:val="18"/>
              </w:rPr>
              <w:t>Failure to report cash transactions</w:t>
            </w:r>
          </w:p>
          <w:p w:rsidR="00CF3BF6" w:rsidRPr="00780470" w:rsidRDefault="00CF3BF6" w:rsidP="002E232A">
            <w:pPr>
              <w:autoSpaceDE w:val="0"/>
              <w:autoSpaceDN w:val="0"/>
              <w:adjustRightInd w:val="0"/>
              <w:rPr>
                <w:rFonts w:cs="Arial"/>
                <w:b/>
                <w:bCs/>
                <w:sz w:val="18"/>
                <w:szCs w:val="18"/>
              </w:rPr>
            </w:pPr>
          </w:p>
          <w:p w:rsidR="00CF3BF6" w:rsidRPr="00780470" w:rsidRDefault="00CF3BF6" w:rsidP="002E232A">
            <w:pPr>
              <w:autoSpaceDE w:val="0"/>
              <w:autoSpaceDN w:val="0"/>
              <w:adjustRightInd w:val="0"/>
              <w:rPr>
                <w:rFonts w:cs="Arial"/>
                <w:sz w:val="18"/>
                <w:szCs w:val="18"/>
              </w:rPr>
            </w:pPr>
            <w:r w:rsidRPr="00780470">
              <w:rPr>
                <w:rFonts w:cs="Arial"/>
                <w:b/>
                <w:bCs/>
                <w:sz w:val="18"/>
                <w:szCs w:val="18"/>
              </w:rPr>
              <w:t xml:space="preserve">51. </w:t>
            </w:r>
            <w:r w:rsidRPr="00780470">
              <w:rPr>
                <w:rFonts w:cs="Arial"/>
                <w:sz w:val="18"/>
                <w:szCs w:val="18"/>
              </w:rPr>
              <w:t>(1) An accountable institution or reporting institution that fails,</w:t>
            </w:r>
          </w:p>
          <w:p w:rsidR="00CF3BF6" w:rsidRPr="00780470" w:rsidRDefault="00CF3BF6" w:rsidP="002E232A">
            <w:pPr>
              <w:autoSpaceDE w:val="0"/>
              <w:autoSpaceDN w:val="0"/>
              <w:adjustRightInd w:val="0"/>
              <w:rPr>
                <w:rFonts w:cs="Arial"/>
                <w:sz w:val="18"/>
                <w:szCs w:val="18"/>
              </w:rPr>
            </w:pPr>
            <w:r w:rsidRPr="00780470">
              <w:rPr>
                <w:rFonts w:cs="Arial"/>
                <w:sz w:val="18"/>
                <w:szCs w:val="18"/>
              </w:rPr>
              <w:t>within the prescribed period, to report to the Centre the prescribed</w:t>
            </w:r>
          </w:p>
          <w:p w:rsidR="00CF3BF6" w:rsidRPr="00780470" w:rsidRDefault="00CF3BF6" w:rsidP="002E232A">
            <w:pPr>
              <w:autoSpaceDE w:val="0"/>
              <w:autoSpaceDN w:val="0"/>
              <w:adjustRightInd w:val="0"/>
              <w:rPr>
                <w:rFonts w:cs="Arial"/>
                <w:sz w:val="18"/>
                <w:szCs w:val="18"/>
              </w:rPr>
            </w:pPr>
            <w:r w:rsidRPr="00780470">
              <w:rPr>
                <w:rFonts w:cs="Arial"/>
                <w:sz w:val="18"/>
                <w:szCs w:val="18"/>
              </w:rPr>
              <w:t>information in respect of a cash transaction in accordance with section 28,</w:t>
            </w:r>
          </w:p>
          <w:p w:rsidR="00CF3BF6" w:rsidRPr="00780470" w:rsidRDefault="00CF3BF6" w:rsidP="002E232A">
            <w:pPr>
              <w:autoSpaceDE w:val="0"/>
              <w:autoSpaceDN w:val="0"/>
              <w:adjustRightInd w:val="0"/>
              <w:rPr>
                <w:rFonts w:cs="Arial"/>
                <w:sz w:val="18"/>
                <w:szCs w:val="18"/>
              </w:rPr>
            </w:pPr>
            <w:proofErr w:type="gramStart"/>
            <w:r w:rsidRPr="00780470">
              <w:rPr>
                <w:rFonts w:cs="Arial"/>
                <w:sz w:val="18"/>
                <w:szCs w:val="18"/>
              </w:rPr>
              <w:t>is</w:t>
            </w:r>
            <w:proofErr w:type="gramEnd"/>
            <w:r w:rsidRPr="00780470">
              <w:rPr>
                <w:rFonts w:cs="Arial"/>
                <w:sz w:val="18"/>
                <w:szCs w:val="18"/>
              </w:rPr>
              <w:t xml:space="preserve"> guilty of an offence.</w:t>
            </w:r>
          </w:p>
          <w:p w:rsidR="00CF3BF6" w:rsidRPr="00780470" w:rsidRDefault="00CF3BF6" w:rsidP="002E232A">
            <w:pPr>
              <w:autoSpaceDE w:val="0"/>
              <w:autoSpaceDN w:val="0"/>
              <w:adjustRightInd w:val="0"/>
              <w:rPr>
                <w:rFonts w:cs="Arial"/>
                <w:sz w:val="18"/>
                <w:szCs w:val="18"/>
                <w:highlight w:val="yellow"/>
              </w:rPr>
            </w:pPr>
            <w:r w:rsidRPr="00780470">
              <w:rPr>
                <w:rFonts w:cs="Arial"/>
                <w:sz w:val="18"/>
                <w:szCs w:val="18"/>
                <w:highlight w:val="yellow"/>
              </w:rPr>
              <w:t>(2) An accountable institution or reporting institution that fails, within</w:t>
            </w:r>
          </w:p>
          <w:p w:rsidR="00CF3BF6" w:rsidRPr="00780470" w:rsidRDefault="00CF3BF6" w:rsidP="002E232A">
            <w:pPr>
              <w:autoSpaceDE w:val="0"/>
              <w:autoSpaceDN w:val="0"/>
              <w:adjustRightInd w:val="0"/>
              <w:rPr>
                <w:rFonts w:cs="Arial"/>
                <w:sz w:val="18"/>
                <w:szCs w:val="18"/>
                <w:highlight w:val="yellow"/>
              </w:rPr>
            </w:pPr>
            <w:r w:rsidRPr="00780470">
              <w:rPr>
                <w:rFonts w:cs="Arial"/>
                <w:sz w:val="18"/>
                <w:szCs w:val="18"/>
                <w:highlight w:val="yellow"/>
              </w:rPr>
              <w:t>the prescribed period, to report to the Centre the prescribed information in</w:t>
            </w:r>
          </w:p>
          <w:p w:rsidR="00CF3BF6" w:rsidRPr="00780470" w:rsidRDefault="00CF3BF6" w:rsidP="002E232A">
            <w:pPr>
              <w:autoSpaceDE w:val="0"/>
              <w:autoSpaceDN w:val="0"/>
              <w:adjustRightInd w:val="0"/>
              <w:rPr>
                <w:rFonts w:cs="Arial"/>
                <w:sz w:val="18"/>
                <w:szCs w:val="18"/>
                <w:highlight w:val="yellow"/>
              </w:rPr>
            </w:pPr>
            <w:r w:rsidRPr="00780470">
              <w:rPr>
                <w:rFonts w:cs="Arial"/>
                <w:sz w:val="18"/>
                <w:szCs w:val="18"/>
                <w:highlight w:val="yellow"/>
              </w:rPr>
              <w:t>respect of a cash transaction in accordance with section 28, commits an act</w:t>
            </w:r>
          </w:p>
          <w:p w:rsidR="002179B4" w:rsidRPr="00780470" w:rsidRDefault="00CF3BF6" w:rsidP="002E232A">
            <w:pPr>
              <w:rPr>
                <w:rFonts w:cs="Arial"/>
                <w:sz w:val="18"/>
                <w:szCs w:val="18"/>
              </w:rPr>
            </w:pPr>
            <w:proofErr w:type="gramStart"/>
            <w:r w:rsidRPr="00780470">
              <w:rPr>
                <w:rFonts w:cs="Arial"/>
                <w:sz w:val="18"/>
                <w:szCs w:val="18"/>
                <w:highlight w:val="yellow"/>
              </w:rPr>
              <w:t>of</w:t>
            </w:r>
            <w:proofErr w:type="gramEnd"/>
            <w:r w:rsidRPr="00780470">
              <w:rPr>
                <w:rFonts w:cs="Arial"/>
                <w:sz w:val="18"/>
                <w:szCs w:val="18"/>
                <w:highlight w:val="yellow"/>
              </w:rPr>
              <w:t xml:space="preserve"> non-compliance and is subject to an administrative sanction.’’.</w:t>
            </w:r>
          </w:p>
        </w:tc>
        <w:tc>
          <w:tcPr>
            <w:tcW w:w="7733" w:type="dxa"/>
            <w:vAlign w:val="center"/>
          </w:tcPr>
          <w:p w:rsidR="00FE373B" w:rsidRPr="00780470" w:rsidRDefault="00CF3BF6" w:rsidP="002E232A">
            <w:pPr>
              <w:rPr>
                <w:rFonts w:cs="Arial"/>
                <w:sz w:val="18"/>
                <w:szCs w:val="18"/>
              </w:rPr>
            </w:pPr>
            <w:r w:rsidRPr="00780470">
              <w:rPr>
                <w:rFonts w:cs="Arial"/>
                <w:b/>
                <w:sz w:val="18"/>
                <w:szCs w:val="18"/>
              </w:rPr>
              <w:t>Clause 41 (</w:t>
            </w:r>
            <w:r w:rsidR="00AC2EFF" w:rsidRPr="00780470">
              <w:rPr>
                <w:rFonts w:cs="Arial"/>
                <w:b/>
                <w:sz w:val="18"/>
                <w:szCs w:val="18"/>
              </w:rPr>
              <w:t>addition of 51(2) in the Principal Act) –</w:t>
            </w:r>
            <w:r w:rsidR="00AC2EFF" w:rsidRPr="00780470">
              <w:rPr>
                <w:rFonts w:cs="Arial"/>
                <w:sz w:val="18"/>
                <w:szCs w:val="18"/>
              </w:rPr>
              <w:t xml:space="preserve"> whilst every effort is made to report cash transactions within the prescribed period, there are instances when cash is deposited into an institution’s bank account </w:t>
            </w:r>
            <w:r w:rsidR="008D0BDA" w:rsidRPr="00780470">
              <w:rPr>
                <w:rFonts w:cs="Arial"/>
                <w:sz w:val="18"/>
                <w:szCs w:val="18"/>
              </w:rPr>
              <w:t xml:space="preserve">by a person unknown to the institution </w:t>
            </w:r>
            <w:r w:rsidR="00AC2EFF" w:rsidRPr="00780470">
              <w:rPr>
                <w:rFonts w:cs="Arial"/>
                <w:sz w:val="18"/>
                <w:szCs w:val="18"/>
              </w:rPr>
              <w:t xml:space="preserve">or </w:t>
            </w:r>
            <w:r w:rsidR="008D0BDA" w:rsidRPr="00780470">
              <w:rPr>
                <w:rFonts w:cs="Arial"/>
                <w:sz w:val="18"/>
                <w:szCs w:val="18"/>
              </w:rPr>
              <w:t xml:space="preserve">whom the institution does not have details for, save </w:t>
            </w:r>
            <w:r w:rsidR="00AC2EFF" w:rsidRPr="00780470">
              <w:rPr>
                <w:rFonts w:cs="Arial"/>
                <w:sz w:val="18"/>
                <w:szCs w:val="18"/>
              </w:rPr>
              <w:t>for the reference on the bank statement.  In these instances, the instituti</w:t>
            </w:r>
            <w:r w:rsidR="008D0BDA" w:rsidRPr="00780470">
              <w:rPr>
                <w:rFonts w:cs="Arial"/>
                <w:sz w:val="18"/>
                <w:szCs w:val="18"/>
              </w:rPr>
              <w:t>on approaches the bank to obtain further details about the depositor</w:t>
            </w:r>
            <w:r w:rsidR="00FE373B" w:rsidRPr="00780470">
              <w:rPr>
                <w:rFonts w:cs="Arial"/>
                <w:sz w:val="18"/>
                <w:szCs w:val="18"/>
              </w:rPr>
              <w:t xml:space="preserve">, which may </w:t>
            </w:r>
            <w:r w:rsidR="008D0BDA" w:rsidRPr="00780470">
              <w:rPr>
                <w:rFonts w:cs="Arial"/>
                <w:sz w:val="18"/>
                <w:szCs w:val="18"/>
              </w:rPr>
              <w:t xml:space="preserve">delay the reporting of the cash transaction depending on when the bank responds.  </w:t>
            </w:r>
          </w:p>
          <w:p w:rsidR="00FE373B" w:rsidRPr="00780470" w:rsidRDefault="00FE373B" w:rsidP="002E232A">
            <w:pPr>
              <w:rPr>
                <w:rFonts w:cs="Arial"/>
                <w:sz w:val="18"/>
                <w:szCs w:val="18"/>
              </w:rPr>
            </w:pPr>
          </w:p>
          <w:p w:rsidR="00816BDD" w:rsidRPr="00780470" w:rsidRDefault="008D0BDA" w:rsidP="002E232A">
            <w:pPr>
              <w:rPr>
                <w:rFonts w:cs="Arial"/>
                <w:sz w:val="18"/>
                <w:szCs w:val="18"/>
              </w:rPr>
            </w:pPr>
            <w:r w:rsidRPr="00780470">
              <w:rPr>
                <w:rFonts w:cs="Arial"/>
                <w:sz w:val="18"/>
                <w:szCs w:val="18"/>
              </w:rPr>
              <w:t>There are times when no contact details are provided o</w:t>
            </w:r>
            <w:r w:rsidR="00FE373B" w:rsidRPr="00780470">
              <w:rPr>
                <w:rFonts w:cs="Arial"/>
                <w:sz w:val="18"/>
                <w:szCs w:val="18"/>
              </w:rPr>
              <w:t xml:space="preserve">n the deposit slip.  This </w:t>
            </w:r>
            <w:r w:rsidRPr="00780470">
              <w:rPr>
                <w:rFonts w:cs="Arial"/>
                <w:sz w:val="18"/>
                <w:szCs w:val="18"/>
              </w:rPr>
              <w:t xml:space="preserve">makes </w:t>
            </w:r>
            <w:r w:rsidR="00FE373B" w:rsidRPr="00780470">
              <w:rPr>
                <w:rFonts w:cs="Arial"/>
                <w:sz w:val="18"/>
                <w:szCs w:val="18"/>
              </w:rPr>
              <w:t>tracing even more difficult and in such instances, the institution literally has to wait for the depositor to make contact with the institution.  Accordingly, it is not possible to report the cash transaction with the prescribed period as not all of the depositor’s details are known</w:t>
            </w:r>
            <w:r w:rsidR="00C154F3" w:rsidRPr="00780470">
              <w:rPr>
                <w:rFonts w:cs="Arial"/>
                <w:sz w:val="18"/>
                <w:szCs w:val="18"/>
              </w:rPr>
              <w:t xml:space="preserve"> to the institution</w:t>
            </w:r>
            <w:r w:rsidR="00FE373B" w:rsidRPr="00780470">
              <w:rPr>
                <w:rFonts w:cs="Arial"/>
                <w:sz w:val="18"/>
                <w:szCs w:val="18"/>
              </w:rPr>
              <w:t xml:space="preserve">.  </w:t>
            </w:r>
          </w:p>
          <w:p w:rsidR="00816BDD" w:rsidRPr="00780470" w:rsidRDefault="00816BDD" w:rsidP="002E232A">
            <w:pPr>
              <w:rPr>
                <w:rFonts w:cs="Arial"/>
                <w:sz w:val="18"/>
                <w:szCs w:val="18"/>
              </w:rPr>
            </w:pPr>
          </w:p>
          <w:p w:rsidR="00CF3BF6" w:rsidRPr="00780470" w:rsidRDefault="00816BDD" w:rsidP="002E232A">
            <w:pPr>
              <w:rPr>
                <w:rFonts w:cs="Arial"/>
                <w:sz w:val="18"/>
                <w:szCs w:val="18"/>
              </w:rPr>
            </w:pPr>
            <w:r w:rsidRPr="00780470">
              <w:rPr>
                <w:rFonts w:cs="Arial"/>
                <w:sz w:val="18"/>
                <w:szCs w:val="18"/>
              </w:rPr>
              <w:t>The above i</w:t>
            </w:r>
            <w:r w:rsidR="00FE373B" w:rsidRPr="00780470">
              <w:rPr>
                <w:rFonts w:cs="Arial"/>
                <w:sz w:val="18"/>
                <w:szCs w:val="18"/>
              </w:rPr>
              <w:t>n</w:t>
            </w:r>
            <w:r w:rsidRPr="00780470">
              <w:rPr>
                <w:rFonts w:cs="Arial"/>
                <w:sz w:val="18"/>
                <w:szCs w:val="18"/>
              </w:rPr>
              <w:t xml:space="preserve">stances </w:t>
            </w:r>
            <w:r w:rsidR="00FE373B" w:rsidRPr="00780470">
              <w:rPr>
                <w:rFonts w:cs="Arial"/>
                <w:sz w:val="18"/>
                <w:szCs w:val="18"/>
              </w:rPr>
              <w:t xml:space="preserve">should be eligible to receive leniency and </w:t>
            </w:r>
            <w:r w:rsidR="00295DBD" w:rsidRPr="00780470">
              <w:rPr>
                <w:rFonts w:cs="Arial"/>
                <w:sz w:val="18"/>
                <w:szCs w:val="18"/>
              </w:rPr>
              <w:t xml:space="preserve">should </w:t>
            </w:r>
            <w:r w:rsidR="00FE373B" w:rsidRPr="00780470">
              <w:rPr>
                <w:rFonts w:cs="Arial"/>
                <w:sz w:val="18"/>
                <w:szCs w:val="18"/>
              </w:rPr>
              <w:t>not be subject to an administrati</w:t>
            </w:r>
            <w:r w:rsidRPr="00780470">
              <w:rPr>
                <w:rFonts w:cs="Arial"/>
                <w:sz w:val="18"/>
                <w:szCs w:val="18"/>
              </w:rPr>
              <w:t xml:space="preserve">ve sanction due to circumstances beyond </w:t>
            </w:r>
            <w:r w:rsidR="00295DBD" w:rsidRPr="00780470">
              <w:rPr>
                <w:rFonts w:cs="Arial"/>
                <w:sz w:val="18"/>
                <w:szCs w:val="18"/>
              </w:rPr>
              <w:t>the institution’s control.</w:t>
            </w:r>
          </w:p>
        </w:tc>
      </w:tr>
    </w:tbl>
    <w:p w:rsidR="00403CCE" w:rsidRPr="00780470" w:rsidRDefault="00403CCE" w:rsidP="00CF3BF6">
      <w:pPr>
        <w:rPr>
          <w:rFonts w:cs="Arial"/>
          <w:sz w:val="18"/>
          <w:szCs w:val="18"/>
        </w:rPr>
      </w:pPr>
    </w:p>
    <w:sectPr w:rsidR="00403CCE" w:rsidRPr="00780470" w:rsidSect="002179B4">
      <w:footerReference w:type="default" r:id="rId6"/>
      <w:pgSz w:w="16838" w:h="11906" w:orient="landscape"/>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4B" w:rsidRDefault="001B054B" w:rsidP="00BE1E63">
      <w:r>
        <w:separator/>
      </w:r>
    </w:p>
  </w:endnote>
  <w:endnote w:type="continuationSeparator" w:id="0">
    <w:p w:rsidR="001B054B" w:rsidRDefault="001B054B" w:rsidP="00BE1E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63" w:rsidRPr="00BE1E63" w:rsidRDefault="000A721E" w:rsidP="00BE1E63">
    <w:pPr>
      <w:pStyle w:val="Footer"/>
      <w:jc w:val="right"/>
      <w:rPr>
        <w:sz w:val="14"/>
        <w:szCs w:val="14"/>
      </w:rPr>
    </w:pPr>
    <w:fldSimple w:instr=" FILENAME   \* MERGEFORMAT ">
      <w:r w:rsidR="00BE1E63" w:rsidRPr="00BE1E63">
        <w:rPr>
          <w:noProof/>
          <w:sz w:val="14"/>
          <w:szCs w:val="14"/>
        </w:rPr>
        <w:t>Written Submissions - FIC Amendment Bill [B 33-2015]</w:t>
      </w:r>
    </w:fldSimple>
    <w:r w:rsidR="00BE1E63" w:rsidRPr="00BE1E63">
      <w:rPr>
        <w:sz w:val="14"/>
        <w:szCs w:val="14"/>
      </w:rPr>
      <w:t xml:space="preserve">, Page </w:t>
    </w:r>
    <w:r w:rsidRPr="00BE1E63">
      <w:rPr>
        <w:sz w:val="14"/>
        <w:szCs w:val="14"/>
      </w:rPr>
      <w:fldChar w:fldCharType="begin"/>
    </w:r>
    <w:r w:rsidR="00BE1E63" w:rsidRPr="00BE1E63">
      <w:rPr>
        <w:sz w:val="14"/>
        <w:szCs w:val="14"/>
      </w:rPr>
      <w:instrText xml:space="preserve"> PAGE  \* Arabic  \* MERGEFORMAT </w:instrText>
    </w:r>
    <w:r w:rsidRPr="00BE1E63">
      <w:rPr>
        <w:sz w:val="14"/>
        <w:szCs w:val="14"/>
      </w:rPr>
      <w:fldChar w:fldCharType="separate"/>
    </w:r>
    <w:r w:rsidR="00763C98">
      <w:rPr>
        <w:noProof/>
        <w:sz w:val="14"/>
        <w:szCs w:val="14"/>
      </w:rPr>
      <w:t>1</w:t>
    </w:r>
    <w:r w:rsidRPr="00BE1E63">
      <w:rPr>
        <w:sz w:val="14"/>
        <w:szCs w:val="14"/>
      </w:rPr>
      <w:fldChar w:fldCharType="end"/>
    </w:r>
    <w:r w:rsidR="00BE1E63" w:rsidRPr="00BE1E63">
      <w:rPr>
        <w:sz w:val="14"/>
        <w:szCs w:val="14"/>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4B" w:rsidRDefault="001B054B" w:rsidP="00BE1E63">
      <w:r>
        <w:separator/>
      </w:r>
    </w:p>
  </w:footnote>
  <w:footnote w:type="continuationSeparator" w:id="0">
    <w:p w:rsidR="001B054B" w:rsidRDefault="001B054B" w:rsidP="00BE1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179B4"/>
    <w:rsid w:val="000A721E"/>
    <w:rsid w:val="000C344D"/>
    <w:rsid w:val="001321F3"/>
    <w:rsid w:val="00193F35"/>
    <w:rsid w:val="001B054B"/>
    <w:rsid w:val="002179B4"/>
    <w:rsid w:val="00295DBD"/>
    <w:rsid w:val="002E232A"/>
    <w:rsid w:val="00335C30"/>
    <w:rsid w:val="00335CA1"/>
    <w:rsid w:val="00403CCE"/>
    <w:rsid w:val="00467984"/>
    <w:rsid w:val="00511794"/>
    <w:rsid w:val="005F6522"/>
    <w:rsid w:val="00674243"/>
    <w:rsid w:val="006E2F8A"/>
    <w:rsid w:val="00763C98"/>
    <w:rsid w:val="00780470"/>
    <w:rsid w:val="007A2F64"/>
    <w:rsid w:val="00816BDD"/>
    <w:rsid w:val="008711D8"/>
    <w:rsid w:val="008D0BDA"/>
    <w:rsid w:val="008E3D92"/>
    <w:rsid w:val="00AC2EFF"/>
    <w:rsid w:val="00BE1E63"/>
    <w:rsid w:val="00C154F3"/>
    <w:rsid w:val="00C83FF6"/>
    <w:rsid w:val="00CC3DF2"/>
    <w:rsid w:val="00CF3BF6"/>
    <w:rsid w:val="00D42852"/>
    <w:rsid w:val="00D7264B"/>
    <w:rsid w:val="00E42CF4"/>
    <w:rsid w:val="00F62929"/>
    <w:rsid w:val="00FE37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F3"/>
    <w:rPr>
      <w:rFonts w:ascii="Segoe UI" w:hAnsi="Segoe UI" w:cs="Segoe UI"/>
      <w:sz w:val="18"/>
      <w:szCs w:val="18"/>
    </w:rPr>
  </w:style>
  <w:style w:type="paragraph" w:styleId="Header">
    <w:name w:val="header"/>
    <w:basedOn w:val="Normal"/>
    <w:link w:val="HeaderChar"/>
    <w:uiPriority w:val="99"/>
    <w:unhideWhenUsed/>
    <w:rsid w:val="00BE1E63"/>
    <w:pPr>
      <w:tabs>
        <w:tab w:val="center" w:pos="4513"/>
        <w:tab w:val="right" w:pos="9026"/>
      </w:tabs>
    </w:pPr>
  </w:style>
  <w:style w:type="character" w:customStyle="1" w:styleId="HeaderChar">
    <w:name w:val="Header Char"/>
    <w:basedOn w:val="DefaultParagraphFont"/>
    <w:link w:val="Header"/>
    <w:uiPriority w:val="99"/>
    <w:rsid w:val="00BE1E63"/>
  </w:style>
  <w:style w:type="paragraph" w:styleId="Footer">
    <w:name w:val="footer"/>
    <w:basedOn w:val="Normal"/>
    <w:link w:val="FooterChar"/>
    <w:uiPriority w:val="99"/>
    <w:unhideWhenUsed/>
    <w:rsid w:val="00BE1E63"/>
    <w:pPr>
      <w:tabs>
        <w:tab w:val="center" w:pos="4513"/>
        <w:tab w:val="right" w:pos="9026"/>
      </w:tabs>
    </w:pPr>
  </w:style>
  <w:style w:type="character" w:customStyle="1" w:styleId="FooterChar">
    <w:name w:val="Footer Char"/>
    <w:basedOn w:val="DefaultParagraphFont"/>
    <w:link w:val="Footer"/>
    <w:uiPriority w:val="99"/>
    <w:rsid w:val="00BE1E63"/>
  </w:style>
</w:styles>
</file>

<file path=word/webSettings.xml><?xml version="1.0" encoding="utf-8"?>
<w:webSettings xmlns:r="http://schemas.openxmlformats.org/officeDocument/2006/relationships" xmlns:w="http://schemas.openxmlformats.org/wordprocessingml/2006/main">
  <w:divs>
    <w:div w:id="1360665516">
      <w:bodyDiv w:val="1"/>
      <w:marLeft w:val="0"/>
      <w:marRight w:val="0"/>
      <w:marTop w:val="0"/>
      <w:marBottom w:val="0"/>
      <w:divBdr>
        <w:top w:val="none" w:sz="0" w:space="0" w:color="auto"/>
        <w:left w:val="none" w:sz="0" w:space="0" w:color="auto"/>
        <w:bottom w:val="none" w:sz="0" w:space="0" w:color="auto"/>
        <w:right w:val="none" w:sz="0" w:space="0" w:color="auto"/>
      </w:divBdr>
    </w:div>
    <w:div w:id="2061586345">
      <w:bodyDiv w:val="1"/>
      <w:marLeft w:val="0"/>
      <w:marRight w:val="0"/>
      <w:marTop w:val="0"/>
      <w:marBottom w:val="0"/>
      <w:divBdr>
        <w:top w:val="none" w:sz="0" w:space="0" w:color="auto"/>
        <w:left w:val="none" w:sz="0" w:space="0" w:color="auto"/>
        <w:bottom w:val="none" w:sz="0" w:space="0" w:color="auto"/>
        <w:right w:val="none" w:sz="0" w:space="0" w:color="auto"/>
      </w:divBdr>
    </w:div>
    <w:div w:id="2087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Klemke</dc:creator>
  <cp:lastModifiedBy>PUMZA</cp:lastModifiedBy>
  <cp:revision>2</cp:revision>
  <cp:lastPrinted>2015-11-09T08:44:00Z</cp:lastPrinted>
  <dcterms:created xsi:type="dcterms:W3CDTF">2015-11-12T08:52:00Z</dcterms:created>
  <dcterms:modified xsi:type="dcterms:W3CDTF">2015-11-12T08:52:00Z</dcterms:modified>
</cp:coreProperties>
</file>