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41" w:rsidRDefault="007A41CF" w:rsidP="002E1742">
      <w:pPr>
        <w:jc w:val="center"/>
      </w:pPr>
      <w:r>
        <w:rPr>
          <w:noProof/>
          <w:lang w:val="en-ZA"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31.9pt;margin-top:15.6pt;width:120.2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" fillcolor="white [3201]" strokeweight=".5pt">
            <v:textbox>
              <w:txbxContent>
                <w:p w:rsidR="002E1742" w:rsidRPr="002E1742" w:rsidRDefault="002E1742" w:rsidP="002E1742">
                  <w:pPr>
                    <w:jc w:val="center"/>
                    <w:rPr>
                      <w:b/>
                    </w:rPr>
                  </w:pPr>
                  <w:bookmarkStart w:id="0" w:name="_GoBack"/>
                  <w:r w:rsidRPr="002E1742">
                    <w:rPr>
                      <w:b/>
                    </w:rPr>
                    <w:t>AGENDA ITEM 4</w:t>
                  </w:r>
                  <w:bookmarkEnd w:id="0"/>
                </w:p>
              </w:txbxContent>
            </v:textbox>
          </v:shape>
        </w:pict>
      </w:r>
      <w:r w:rsidR="00D51892">
        <w:rPr>
          <w:noProof/>
          <w:lang w:val="en-ZA" w:eastAsia="en-ZA"/>
        </w:rPr>
        <w:drawing>
          <wp:inline distT="0" distB="0" distL="0" distR="0">
            <wp:extent cx="2181482" cy="1032934"/>
            <wp:effectExtent l="0" t="0" r="0" b="0"/>
            <wp:docPr id="3" name="Picture 3" descr="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perative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642" cy="1136707"/>
                    </a:xfrm>
                    <a:prstGeom prst="rect">
                      <a:avLst/>
                    </a:prstGeom>
                    <a:noFill/>
                    <a:ln>
                      <a:noFill/>
                    </a:ln>
                  </pic:spPr>
                </pic:pic>
              </a:graphicData>
            </a:graphic>
          </wp:inline>
        </w:drawing>
      </w:r>
    </w:p>
    <w:p w:rsidR="0078418E" w:rsidRPr="006E7EB8" w:rsidRDefault="007A41CF" w:rsidP="00B22A33">
      <w:pPr>
        <w:spacing w:after="0" w:line="360" w:lineRule="auto"/>
        <w:rPr>
          <w:b/>
          <w:sz w:val="40"/>
          <w:szCs w:val="40"/>
        </w:rPr>
      </w:pPr>
      <w:r w:rsidRPr="007A41CF">
        <w:rPr>
          <w:rFonts w:ascii="Arial" w:hAnsi="Arial" w:cs="Arial"/>
          <w:b/>
          <w:noProof/>
          <w:sz w:val="40"/>
          <w:szCs w:val="40"/>
          <w:lang w:val="en-ZA" w:eastAsia="en-ZA"/>
        </w:rPr>
        <w:pict>
          <v:line id="Straight Connector 4" o:spid="_x0000_s1027"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43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" strokecolor="#5b9bd5 [3204]" strokeweight=".5pt">
            <v:stroke joinstyle="miter"/>
          </v:line>
        </w:pict>
      </w:r>
      <w:r w:rsidR="0078418E" w:rsidRPr="006E7EB8">
        <w:rPr>
          <w:b/>
          <w:sz w:val="40"/>
          <w:szCs w:val="40"/>
        </w:rPr>
        <w:t xml:space="preserve">                   </w:t>
      </w:r>
      <w:r w:rsidR="00A02B54">
        <w:rPr>
          <w:b/>
          <w:sz w:val="40"/>
          <w:szCs w:val="40"/>
        </w:rPr>
        <w:t xml:space="preserve">                               </w:t>
      </w:r>
    </w:p>
    <w:p w:rsidR="00825CD9" w:rsidRDefault="0078418E" w:rsidP="002E1742">
      <w:pPr>
        <w:spacing w:after="0" w:line="240" w:lineRule="auto"/>
        <w:rPr>
          <w:rFonts w:ascii="Arial" w:hAnsi="Arial" w:cs="Arial"/>
          <w:b/>
          <w:sz w:val="24"/>
          <w:szCs w:val="24"/>
        </w:rPr>
      </w:pPr>
      <w:r w:rsidRPr="004B4B8C">
        <w:rPr>
          <w:rFonts w:ascii="Arial" w:hAnsi="Arial" w:cs="Arial"/>
          <w:b/>
          <w:sz w:val="18"/>
          <w:szCs w:val="18"/>
        </w:rPr>
        <w:t xml:space="preserve">                                                                                                                     </w:t>
      </w:r>
      <w:r w:rsidR="000721C9">
        <w:rPr>
          <w:rFonts w:ascii="Arial" w:hAnsi="Arial" w:cs="Arial"/>
          <w:b/>
          <w:sz w:val="18"/>
          <w:szCs w:val="18"/>
        </w:rPr>
        <w:tab/>
      </w:r>
      <w:r w:rsidR="00413243">
        <w:rPr>
          <w:rFonts w:ascii="Arial" w:hAnsi="Arial" w:cs="Arial"/>
          <w:b/>
          <w:sz w:val="18"/>
          <w:szCs w:val="18"/>
        </w:rPr>
        <w:t xml:space="preserve"> </w:t>
      </w:r>
    </w:p>
    <w:p w:rsidR="00783250" w:rsidRPr="00783250" w:rsidRDefault="00AC6134" w:rsidP="00B22A33">
      <w:pPr>
        <w:spacing w:after="0" w:line="360" w:lineRule="auto"/>
        <w:jc w:val="both"/>
        <w:rPr>
          <w:rFonts w:ascii="Arial" w:hAnsi="Arial" w:cs="Arial"/>
          <w:b/>
          <w:sz w:val="24"/>
          <w:szCs w:val="24"/>
        </w:rPr>
      </w:pPr>
      <w:r>
        <w:rPr>
          <w:rFonts w:ascii="Arial" w:hAnsi="Arial" w:cs="Arial"/>
          <w:b/>
          <w:sz w:val="24"/>
          <w:szCs w:val="24"/>
        </w:rPr>
        <w:t>PROGRESS REPORT IN RESPECT OF</w:t>
      </w:r>
      <w:r w:rsidR="00377C3F">
        <w:rPr>
          <w:rFonts w:ascii="Arial" w:hAnsi="Arial" w:cs="Arial"/>
          <w:b/>
          <w:sz w:val="24"/>
          <w:szCs w:val="24"/>
        </w:rPr>
        <w:t xml:space="preserve"> IMPLEMENTATION OF</w:t>
      </w:r>
      <w:r>
        <w:rPr>
          <w:rFonts w:ascii="Arial" w:hAnsi="Arial" w:cs="Arial"/>
          <w:b/>
          <w:sz w:val="24"/>
          <w:szCs w:val="24"/>
        </w:rPr>
        <w:t xml:space="preserve"> THE RECOMMENDATIONS SET OUT IN THE FORENSIC REPORTS COMMISSIONED BY THE PROVINCIAL DEPARTMENT AND / OR RESPECTIVE MUNICIPALITIES</w:t>
      </w:r>
      <w:r w:rsidR="00813F14">
        <w:rPr>
          <w:rFonts w:ascii="Arial" w:hAnsi="Arial" w:cs="Arial"/>
          <w:b/>
          <w:sz w:val="24"/>
          <w:szCs w:val="24"/>
        </w:rPr>
        <w:t xml:space="preserve">. </w:t>
      </w:r>
    </w:p>
    <w:p w:rsidR="003D1954" w:rsidRPr="00783250" w:rsidRDefault="003D1954" w:rsidP="00B22A33">
      <w:pPr>
        <w:spacing w:after="0" w:line="360" w:lineRule="auto"/>
        <w:jc w:val="both"/>
        <w:rPr>
          <w:rFonts w:ascii="Arial" w:hAnsi="Arial" w:cs="Arial"/>
          <w:b/>
          <w:sz w:val="24"/>
          <w:szCs w:val="24"/>
        </w:rPr>
      </w:pPr>
    </w:p>
    <w:p w:rsidR="003D1954" w:rsidRPr="00783250" w:rsidRDefault="00783250" w:rsidP="00B22A33">
      <w:pPr>
        <w:spacing w:after="0" w:line="360" w:lineRule="auto"/>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3D1954" w:rsidRPr="00783250">
        <w:rPr>
          <w:rFonts w:ascii="Arial" w:hAnsi="Arial" w:cs="Arial"/>
          <w:b/>
          <w:sz w:val="24"/>
          <w:szCs w:val="24"/>
        </w:rPr>
        <w:t xml:space="preserve">PURPOSE </w:t>
      </w:r>
    </w:p>
    <w:p w:rsidR="001730B6" w:rsidRPr="00783250" w:rsidRDefault="001730B6" w:rsidP="00B22A33">
      <w:pPr>
        <w:pStyle w:val="ListParagraph"/>
        <w:spacing w:after="0" w:line="360" w:lineRule="auto"/>
        <w:ind w:left="0"/>
        <w:jc w:val="both"/>
        <w:rPr>
          <w:rFonts w:ascii="Arial" w:hAnsi="Arial" w:cs="Arial"/>
          <w:b/>
          <w:sz w:val="24"/>
          <w:szCs w:val="24"/>
        </w:rPr>
      </w:pPr>
    </w:p>
    <w:p w:rsidR="007558ED" w:rsidRPr="00377C3F" w:rsidRDefault="00377C3F" w:rsidP="00377C3F">
      <w:pPr>
        <w:pStyle w:val="ListParagraph"/>
        <w:numPr>
          <w:ilvl w:val="1"/>
          <w:numId w:val="25"/>
        </w:numPr>
        <w:spacing w:line="360" w:lineRule="auto"/>
        <w:jc w:val="both"/>
        <w:rPr>
          <w:rFonts w:ascii="Arial" w:hAnsi="Arial" w:cs="Arial"/>
          <w:sz w:val="24"/>
          <w:szCs w:val="24"/>
        </w:rPr>
      </w:pPr>
      <w:r w:rsidRPr="00377C3F">
        <w:rPr>
          <w:rFonts w:ascii="Arial" w:hAnsi="Arial" w:cs="Arial"/>
          <w:sz w:val="24"/>
          <w:szCs w:val="24"/>
        </w:rPr>
        <w:t xml:space="preserve">The purpose of this report is to brief the </w:t>
      </w:r>
      <w:r w:rsidR="00825CD9">
        <w:rPr>
          <w:rFonts w:ascii="Arial" w:hAnsi="Arial" w:cs="Arial"/>
          <w:sz w:val="24"/>
          <w:szCs w:val="24"/>
        </w:rPr>
        <w:t>Portfolio Committee</w:t>
      </w:r>
      <w:r w:rsidRPr="00377C3F">
        <w:rPr>
          <w:rFonts w:ascii="Arial" w:hAnsi="Arial" w:cs="Arial"/>
          <w:sz w:val="24"/>
          <w:szCs w:val="24"/>
        </w:rPr>
        <w:t xml:space="preserve"> on the progress regarding </w:t>
      </w:r>
      <w:r w:rsidR="00BD1E29" w:rsidRPr="00377C3F">
        <w:rPr>
          <w:rFonts w:ascii="Arial" w:hAnsi="Arial" w:cs="Arial"/>
          <w:sz w:val="24"/>
          <w:szCs w:val="24"/>
        </w:rPr>
        <w:t xml:space="preserve">the </w:t>
      </w:r>
      <w:r w:rsidR="00BD1E29">
        <w:rPr>
          <w:rFonts w:ascii="Arial" w:hAnsi="Arial" w:cs="Arial"/>
          <w:sz w:val="24"/>
          <w:szCs w:val="24"/>
        </w:rPr>
        <w:t>implementation</w:t>
      </w:r>
      <w:r w:rsidR="007A62B2">
        <w:rPr>
          <w:rFonts w:ascii="Arial" w:hAnsi="Arial" w:cs="Arial"/>
          <w:sz w:val="24"/>
          <w:szCs w:val="24"/>
        </w:rPr>
        <w:t xml:space="preserve"> of the recommendations emanating from forensic reports </w:t>
      </w:r>
      <w:r w:rsidRPr="00377C3F">
        <w:rPr>
          <w:rFonts w:ascii="Arial" w:hAnsi="Arial" w:cs="Arial"/>
          <w:sz w:val="24"/>
          <w:szCs w:val="24"/>
        </w:rPr>
        <w:t>for the period</w:t>
      </w:r>
      <w:r w:rsidR="00456782">
        <w:rPr>
          <w:rFonts w:ascii="Arial" w:hAnsi="Arial" w:cs="Arial"/>
          <w:sz w:val="24"/>
          <w:szCs w:val="24"/>
        </w:rPr>
        <w:t xml:space="preserve"> April 2009 to September 2014.</w:t>
      </w:r>
    </w:p>
    <w:p w:rsidR="00377C3F" w:rsidRPr="00377C3F" w:rsidRDefault="00377C3F" w:rsidP="00377C3F">
      <w:pPr>
        <w:pStyle w:val="ListParagraph"/>
        <w:spacing w:line="360" w:lineRule="auto"/>
        <w:jc w:val="both"/>
        <w:rPr>
          <w:rFonts w:ascii="Arial" w:hAnsi="Arial" w:cs="Arial"/>
          <w:sz w:val="24"/>
          <w:szCs w:val="24"/>
        </w:rPr>
      </w:pPr>
    </w:p>
    <w:p w:rsidR="004B5AE1" w:rsidRDefault="00783250" w:rsidP="006655DB">
      <w:pPr>
        <w:spacing w:after="0" w:line="360" w:lineRule="auto"/>
        <w:jc w:val="both"/>
        <w:rPr>
          <w:rFonts w:ascii="Arial" w:hAnsi="Arial" w:cs="Arial"/>
          <w:sz w:val="24"/>
          <w:szCs w:val="24"/>
        </w:rPr>
      </w:pPr>
      <w:r>
        <w:rPr>
          <w:rFonts w:ascii="Arial" w:hAnsi="Arial" w:cs="Arial"/>
          <w:b/>
          <w:sz w:val="24"/>
          <w:szCs w:val="24"/>
        </w:rPr>
        <w:t>2.</w:t>
      </w:r>
      <w:r>
        <w:rPr>
          <w:rFonts w:ascii="Arial" w:hAnsi="Arial" w:cs="Arial"/>
          <w:b/>
          <w:sz w:val="24"/>
          <w:szCs w:val="24"/>
        </w:rPr>
        <w:tab/>
      </w:r>
      <w:r w:rsidR="0019624B">
        <w:rPr>
          <w:rFonts w:ascii="Arial" w:hAnsi="Arial" w:cs="Arial"/>
          <w:b/>
          <w:sz w:val="24"/>
          <w:szCs w:val="24"/>
        </w:rPr>
        <w:t>BACKGROUND</w:t>
      </w:r>
      <w:r w:rsidR="001730B6" w:rsidRPr="00783250">
        <w:rPr>
          <w:rFonts w:ascii="Arial" w:hAnsi="Arial" w:cs="Arial"/>
          <w:sz w:val="24"/>
          <w:szCs w:val="24"/>
        </w:rPr>
        <w:t xml:space="preserve"> </w:t>
      </w:r>
    </w:p>
    <w:p w:rsidR="006655DB" w:rsidRPr="00E234AF" w:rsidRDefault="006655DB" w:rsidP="006655DB">
      <w:pPr>
        <w:spacing w:after="0" w:line="360" w:lineRule="auto"/>
        <w:jc w:val="both"/>
        <w:rPr>
          <w:rFonts w:ascii="Arial" w:hAnsi="Arial" w:cs="Arial"/>
          <w:sz w:val="24"/>
          <w:szCs w:val="24"/>
        </w:rPr>
      </w:pPr>
    </w:p>
    <w:p w:rsidR="00E94E39" w:rsidRPr="00DB6E62" w:rsidRDefault="0018189B" w:rsidP="00DB6E62">
      <w:pPr>
        <w:pStyle w:val="ListParagraph"/>
        <w:numPr>
          <w:ilvl w:val="1"/>
          <w:numId w:val="12"/>
        </w:numPr>
        <w:spacing w:after="200" w:line="360" w:lineRule="auto"/>
        <w:ind w:hanging="720"/>
        <w:jc w:val="both"/>
        <w:rPr>
          <w:rFonts w:ascii="Arial" w:hAnsi="Arial" w:cs="Arial"/>
          <w:sz w:val="24"/>
          <w:szCs w:val="24"/>
        </w:rPr>
      </w:pPr>
      <w:r>
        <w:rPr>
          <w:rFonts w:ascii="Arial" w:hAnsi="Arial" w:cs="Arial"/>
          <w:sz w:val="24"/>
          <w:szCs w:val="24"/>
        </w:rPr>
        <w:t xml:space="preserve">The </w:t>
      </w:r>
      <w:r w:rsidR="00796503">
        <w:rPr>
          <w:rFonts w:ascii="Arial" w:hAnsi="Arial" w:cs="Arial"/>
          <w:sz w:val="24"/>
          <w:szCs w:val="24"/>
        </w:rPr>
        <w:t>D</w:t>
      </w:r>
      <w:r>
        <w:rPr>
          <w:rFonts w:ascii="Arial" w:hAnsi="Arial" w:cs="Arial"/>
          <w:sz w:val="24"/>
          <w:szCs w:val="24"/>
        </w:rPr>
        <w:t xml:space="preserve">epartment </w:t>
      </w:r>
      <w:r w:rsidR="00ED7BD1" w:rsidRPr="00ED7BD1">
        <w:rPr>
          <w:rFonts w:ascii="Arial" w:hAnsi="Arial" w:cs="Arial"/>
          <w:sz w:val="24"/>
          <w:szCs w:val="24"/>
        </w:rPr>
        <w:t>conduct</w:t>
      </w:r>
      <w:r>
        <w:rPr>
          <w:rFonts w:ascii="Arial" w:hAnsi="Arial" w:cs="Arial"/>
          <w:sz w:val="24"/>
          <w:szCs w:val="24"/>
        </w:rPr>
        <w:t xml:space="preserve">ed an assessment of </w:t>
      </w:r>
      <w:r w:rsidR="00ED7BD1" w:rsidRPr="00ED7BD1">
        <w:rPr>
          <w:rFonts w:ascii="Arial" w:hAnsi="Arial" w:cs="Arial"/>
          <w:sz w:val="24"/>
          <w:szCs w:val="24"/>
        </w:rPr>
        <w:t xml:space="preserve">forensic reports commissioned by municipalities for the </w:t>
      </w:r>
      <w:r w:rsidR="00796503">
        <w:rPr>
          <w:rFonts w:ascii="Arial" w:hAnsi="Arial" w:cs="Arial"/>
          <w:sz w:val="24"/>
          <w:szCs w:val="24"/>
        </w:rPr>
        <w:t xml:space="preserve">above mentioned </w:t>
      </w:r>
      <w:r w:rsidR="00ED7BD1" w:rsidRPr="00ED7BD1">
        <w:rPr>
          <w:rFonts w:ascii="Arial" w:hAnsi="Arial" w:cs="Arial"/>
          <w:sz w:val="24"/>
          <w:szCs w:val="24"/>
        </w:rPr>
        <w:t>period</w:t>
      </w:r>
      <w:r w:rsidR="00796503">
        <w:rPr>
          <w:rFonts w:ascii="Arial" w:hAnsi="Arial" w:cs="Arial"/>
          <w:sz w:val="24"/>
          <w:szCs w:val="24"/>
        </w:rPr>
        <w:t>.</w:t>
      </w:r>
      <w:r w:rsidR="00D02A41">
        <w:rPr>
          <w:rFonts w:ascii="Arial" w:hAnsi="Arial" w:cs="Arial"/>
          <w:sz w:val="24"/>
          <w:szCs w:val="24"/>
        </w:rPr>
        <w:t xml:space="preserve"> </w:t>
      </w:r>
      <w:r w:rsidR="006655DB">
        <w:rPr>
          <w:rFonts w:ascii="Arial" w:hAnsi="Arial" w:cs="Arial"/>
          <w:sz w:val="24"/>
          <w:szCs w:val="24"/>
        </w:rPr>
        <w:t xml:space="preserve"> </w:t>
      </w:r>
      <w:r w:rsidR="006655DB">
        <w:rPr>
          <w:rFonts w:ascii="Arial"/>
          <w:sz w:val="24"/>
          <w:szCs w:val="24"/>
        </w:rPr>
        <w:t xml:space="preserve">In October 2014, the </w:t>
      </w:r>
      <w:r w:rsidR="00A312DF">
        <w:rPr>
          <w:rFonts w:ascii="Arial"/>
          <w:sz w:val="24"/>
          <w:szCs w:val="24"/>
        </w:rPr>
        <w:t>D</w:t>
      </w:r>
      <w:r w:rsidR="006655DB">
        <w:rPr>
          <w:rFonts w:ascii="Arial"/>
          <w:sz w:val="24"/>
          <w:szCs w:val="24"/>
        </w:rPr>
        <w:t>epartment requested provincial CoGTAs and municipalities to submit copies of forensic reports commissioned since April 2009.</w:t>
      </w:r>
      <w:r w:rsidR="00DB6E62">
        <w:rPr>
          <w:rFonts w:ascii="Arial"/>
          <w:sz w:val="24"/>
          <w:szCs w:val="24"/>
        </w:rPr>
        <w:t xml:space="preserve">  </w:t>
      </w:r>
      <w:r w:rsidR="00DB6E62" w:rsidRPr="00E94E39">
        <w:rPr>
          <w:rFonts w:ascii="Arial"/>
          <w:sz w:val="24"/>
          <w:szCs w:val="24"/>
        </w:rPr>
        <w:t>The failure by municipalities to implement recommendations emanating from forensic reports still remains a matter of concern</w:t>
      </w:r>
      <w:r w:rsidR="00DB6E62">
        <w:rPr>
          <w:rFonts w:ascii="Arial"/>
          <w:sz w:val="24"/>
          <w:szCs w:val="24"/>
        </w:rPr>
        <w:t xml:space="preserve">.  </w:t>
      </w:r>
      <w:r w:rsidR="00E94E39" w:rsidRPr="00DB6E62">
        <w:rPr>
          <w:rFonts w:ascii="Arial"/>
          <w:sz w:val="24"/>
          <w:szCs w:val="24"/>
        </w:rPr>
        <w:t xml:space="preserve">  </w:t>
      </w:r>
      <w:r w:rsidR="00434577" w:rsidRPr="00DB6E62">
        <w:rPr>
          <w:rFonts w:ascii="Arial"/>
          <w:sz w:val="24"/>
          <w:szCs w:val="24"/>
        </w:rPr>
        <w:t xml:space="preserve">  </w:t>
      </w:r>
    </w:p>
    <w:p w:rsidR="00E94E39" w:rsidRPr="00E94E39" w:rsidRDefault="00E94E39" w:rsidP="00E94E39">
      <w:pPr>
        <w:pStyle w:val="ListParagraph"/>
        <w:spacing w:after="200" w:line="360" w:lineRule="auto"/>
        <w:jc w:val="both"/>
        <w:rPr>
          <w:rFonts w:ascii="Arial" w:hAnsi="Arial" w:cs="Arial"/>
          <w:sz w:val="24"/>
          <w:szCs w:val="24"/>
        </w:rPr>
      </w:pPr>
    </w:p>
    <w:p w:rsidR="0077697A" w:rsidRPr="00DB6E62" w:rsidRDefault="00DB6E62" w:rsidP="0018189B">
      <w:pPr>
        <w:pStyle w:val="ListParagraph"/>
        <w:numPr>
          <w:ilvl w:val="1"/>
          <w:numId w:val="12"/>
        </w:numPr>
        <w:spacing w:after="200" w:line="360" w:lineRule="auto"/>
        <w:ind w:hanging="720"/>
        <w:jc w:val="both"/>
        <w:rPr>
          <w:rFonts w:ascii="Arial" w:hAnsi="Arial" w:cs="Arial"/>
          <w:sz w:val="24"/>
          <w:szCs w:val="24"/>
        </w:rPr>
      </w:pPr>
      <w:r w:rsidRPr="00E94E39">
        <w:rPr>
          <w:rFonts w:ascii="Arial" w:hAnsi="Arial" w:cs="Arial"/>
          <w:sz w:val="24"/>
          <w:szCs w:val="24"/>
        </w:rPr>
        <w:t>The assessment of forensic reports will assist in terms of facilitating criminal, civil and disciplinary actions emanating from the forensic reports</w:t>
      </w:r>
      <w:r>
        <w:rPr>
          <w:rFonts w:ascii="Arial" w:hAnsi="Arial" w:cs="Arial"/>
          <w:sz w:val="24"/>
          <w:szCs w:val="24"/>
        </w:rPr>
        <w:t xml:space="preserve">.  </w:t>
      </w:r>
      <w:r w:rsidR="00ED7BD1" w:rsidRPr="00E94E39">
        <w:rPr>
          <w:rFonts w:ascii="Arial" w:hAnsi="Arial" w:cs="Arial"/>
          <w:sz w:val="24"/>
          <w:szCs w:val="24"/>
        </w:rPr>
        <w:t xml:space="preserve">The assessment </w:t>
      </w:r>
      <w:r w:rsidR="0018189B">
        <w:rPr>
          <w:rFonts w:ascii="Arial" w:hAnsi="Arial" w:cs="Arial"/>
          <w:sz w:val="24"/>
          <w:szCs w:val="24"/>
        </w:rPr>
        <w:t>was</w:t>
      </w:r>
      <w:r w:rsidR="00ED7BD1" w:rsidRPr="00E94E39">
        <w:rPr>
          <w:rFonts w:ascii="Arial" w:hAnsi="Arial" w:cs="Arial"/>
          <w:sz w:val="24"/>
          <w:szCs w:val="24"/>
        </w:rPr>
        <w:t xml:space="preserve"> conducted with</w:t>
      </w:r>
      <w:r w:rsidR="008E7A18">
        <w:rPr>
          <w:rFonts w:ascii="Arial" w:hAnsi="Arial" w:cs="Arial"/>
          <w:sz w:val="24"/>
          <w:szCs w:val="24"/>
        </w:rPr>
        <w:t xml:space="preserve"> the</w:t>
      </w:r>
      <w:r w:rsidR="00ED7BD1" w:rsidRPr="00E94E39">
        <w:rPr>
          <w:rFonts w:ascii="Arial" w:hAnsi="Arial" w:cs="Arial"/>
          <w:sz w:val="24"/>
          <w:szCs w:val="24"/>
        </w:rPr>
        <w:t xml:space="preserve"> assistance of law enforcement agencies</w:t>
      </w:r>
      <w:r w:rsidR="006655DB" w:rsidRPr="00E94E39">
        <w:rPr>
          <w:rFonts w:ascii="Arial" w:hAnsi="Arial" w:cs="Arial"/>
          <w:sz w:val="24"/>
          <w:szCs w:val="24"/>
        </w:rPr>
        <w:t xml:space="preserve"> such as the Asset Forfeiture Unit (AFU), Special Investigating Unit (SIU), Directorate for Priority Crime Investigation (DPCI);</w:t>
      </w:r>
      <w:r w:rsidR="00ED7BD1" w:rsidRPr="00E94E39">
        <w:rPr>
          <w:rFonts w:ascii="Arial" w:hAnsi="Arial" w:cs="Arial"/>
          <w:sz w:val="24"/>
          <w:szCs w:val="24"/>
        </w:rPr>
        <w:t xml:space="preserve"> the National Treasury and office of the State Attorney.   </w:t>
      </w:r>
    </w:p>
    <w:p w:rsidR="009658A1" w:rsidRDefault="00BB5205" w:rsidP="00B22A33">
      <w:pPr>
        <w:tabs>
          <w:tab w:val="left" w:pos="567"/>
        </w:tabs>
        <w:spacing w:after="0" w:line="360" w:lineRule="auto"/>
        <w:jc w:val="both"/>
        <w:rPr>
          <w:rFonts w:ascii="Arial" w:hAnsi="Arial" w:cs="Arial"/>
          <w:b/>
          <w:sz w:val="24"/>
          <w:szCs w:val="24"/>
        </w:rPr>
      </w:pPr>
      <w:r w:rsidRPr="00BB5205">
        <w:rPr>
          <w:rFonts w:ascii="Arial" w:hAnsi="Arial" w:cs="Arial"/>
          <w:b/>
          <w:sz w:val="24"/>
          <w:szCs w:val="24"/>
        </w:rPr>
        <w:t>3.</w:t>
      </w:r>
      <w:r w:rsidRPr="00BB5205">
        <w:rPr>
          <w:rFonts w:ascii="Arial" w:hAnsi="Arial" w:cs="Arial"/>
          <w:b/>
          <w:sz w:val="24"/>
          <w:szCs w:val="24"/>
        </w:rPr>
        <w:tab/>
        <w:t>DISCUSSION</w:t>
      </w:r>
    </w:p>
    <w:p w:rsidR="0051631C" w:rsidRDefault="0051631C" w:rsidP="00647888">
      <w:pPr>
        <w:tabs>
          <w:tab w:val="left" w:pos="567"/>
        </w:tabs>
        <w:spacing w:after="0" w:line="360" w:lineRule="auto"/>
        <w:jc w:val="both"/>
        <w:rPr>
          <w:rFonts w:ascii="Arial" w:hAnsi="Arial" w:cs="Arial"/>
          <w:sz w:val="24"/>
          <w:szCs w:val="24"/>
        </w:rPr>
      </w:pPr>
    </w:p>
    <w:p w:rsidR="00F46BBB" w:rsidRDefault="006E2BA4" w:rsidP="00E94E39">
      <w:pPr>
        <w:tabs>
          <w:tab w:val="left" w:pos="567"/>
        </w:tabs>
        <w:spacing w:after="0" w:line="360" w:lineRule="auto"/>
        <w:ind w:left="567" w:hanging="567"/>
        <w:jc w:val="both"/>
        <w:rPr>
          <w:rFonts w:ascii="Arial" w:eastAsia="Times New Roman" w:hAnsi="Arial" w:cs="Arial"/>
          <w:color w:val="212125"/>
          <w:sz w:val="24"/>
          <w:szCs w:val="24"/>
        </w:rPr>
      </w:pPr>
      <w:r>
        <w:rPr>
          <w:rFonts w:ascii="Arial" w:hAnsi="Arial" w:cs="Arial"/>
          <w:sz w:val="24"/>
          <w:szCs w:val="24"/>
        </w:rPr>
        <w:t>3.1</w:t>
      </w:r>
      <w:r>
        <w:rPr>
          <w:rFonts w:ascii="Arial" w:hAnsi="Arial" w:cs="Arial"/>
          <w:sz w:val="24"/>
          <w:szCs w:val="24"/>
        </w:rPr>
        <w:tab/>
      </w:r>
      <w:r w:rsidR="00E94E39" w:rsidRPr="00E94E39">
        <w:rPr>
          <w:rFonts w:ascii="Arial" w:hAnsi="Arial" w:cs="Arial"/>
          <w:sz w:val="24"/>
          <w:szCs w:val="24"/>
        </w:rPr>
        <w:t>So far</w:t>
      </w:r>
      <w:r w:rsidR="00456782">
        <w:rPr>
          <w:rFonts w:ascii="Arial" w:hAnsi="Arial" w:cs="Arial"/>
          <w:sz w:val="24"/>
          <w:szCs w:val="24"/>
        </w:rPr>
        <w:t>,</w:t>
      </w:r>
      <w:r w:rsidR="00E94E39" w:rsidRPr="00E94E39">
        <w:rPr>
          <w:rFonts w:ascii="Arial" w:hAnsi="Arial" w:cs="Arial"/>
          <w:sz w:val="24"/>
          <w:szCs w:val="24"/>
        </w:rPr>
        <w:t xml:space="preserve"> 1</w:t>
      </w:r>
      <w:r w:rsidR="00604F0E">
        <w:rPr>
          <w:rFonts w:ascii="Arial" w:hAnsi="Arial" w:cs="Arial"/>
          <w:sz w:val="24"/>
          <w:szCs w:val="24"/>
        </w:rPr>
        <w:t>15</w:t>
      </w:r>
      <w:r w:rsidR="00590976">
        <w:rPr>
          <w:rFonts w:ascii="Arial" w:hAnsi="Arial" w:cs="Arial"/>
          <w:sz w:val="24"/>
          <w:szCs w:val="24"/>
        </w:rPr>
        <w:t xml:space="preserve"> </w:t>
      </w:r>
      <w:r w:rsidR="00E94E39">
        <w:rPr>
          <w:rFonts w:ascii="Arial" w:hAnsi="Arial" w:cs="Arial"/>
          <w:sz w:val="24"/>
          <w:szCs w:val="24"/>
        </w:rPr>
        <w:t xml:space="preserve">copies of forensic </w:t>
      </w:r>
      <w:r w:rsidR="00E94E39" w:rsidRPr="00E94E39">
        <w:rPr>
          <w:rFonts w:ascii="Arial" w:hAnsi="Arial" w:cs="Arial"/>
          <w:sz w:val="24"/>
          <w:szCs w:val="24"/>
        </w:rPr>
        <w:t>reports</w:t>
      </w:r>
      <w:r w:rsidR="00590976">
        <w:rPr>
          <w:rFonts w:ascii="Arial" w:hAnsi="Arial" w:cs="Arial"/>
          <w:sz w:val="24"/>
          <w:szCs w:val="24"/>
        </w:rPr>
        <w:t xml:space="preserve"> from provinces and municipalities</w:t>
      </w:r>
      <w:r w:rsidR="00E94E39" w:rsidRPr="00E94E39">
        <w:rPr>
          <w:rFonts w:ascii="Arial" w:hAnsi="Arial" w:cs="Arial"/>
          <w:sz w:val="24"/>
          <w:szCs w:val="24"/>
        </w:rPr>
        <w:t xml:space="preserve"> have been </w:t>
      </w:r>
      <w:r w:rsidR="00604F0E">
        <w:rPr>
          <w:rFonts w:ascii="Arial" w:hAnsi="Arial" w:cs="Arial"/>
          <w:sz w:val="24"/>
          <w:szCs w:val="24"/>
        </w:rPr>
        <w:t>received</w:t>
      </w:r>
      <w:r w:rsidR="00E94E39" w:rsidRPr="00E94E39">
        <w:rPr>
          <w:rFonts w:ascii="Arial" w:hAnsi="Arial" w:cs="Arial"/>
          <w:sz w:val="24"/>
          <w:szCs w:val="24"/>
        </w:rPr>
        <w:t>.</w:t>
      </w:r>
      <w:r w:rsidR="00604F0E">
        <w:rPr>
          <w:rFonts w:ascii="Arial" w:hAnsi="Arial" w:cs="Arial"/>
          <w:sz w:val="24"/>
          <w:szCs w:val="24"/>
        </w:rPr>
        <w:t xml:space="preserve">  Out of the 115 copies received, 106 have been assessed.</w:t>
      </w:r>
      <w:r w:rsidR="007C7EB7">
        <w:rPr>
          <w:rFonts w:ascii="Arial" w:hAnsi="Arial" w:cs="Arial"/>
          <w:sz w:val="24"/>
          <w:szCs w:val="24"/>
        </w:rPr>
        <w:t xml:space="preserve">  </w:t>
      </w:r>
      <w:r w:rsidR="003C7E47">
        <w:rPr>
          <w:rFonts w:ascii="Arial" w:hAnsi="Arial" w:cs="Arial"/>
          <w:sz w:val="24"/>
          <w:szCs w:val="24"/>
        </w:rPr>
        <w:t>Most of the forensic reports made recommendation that certain remedial or other corrective measures should be taken.</w:t>
      </w:r>
      <w:r w:rsidR="00E4778F">
        <w:rPr>
          <w:rFonts w:ascii="Arial" w:hAnsi="Arial" w:cs="Arial"/>
          <w:sz w:val="24"/>
          <w:szCs w:val="24"/>
        </w:rPr>
        <w:t xml:space="preserve">  </w:t>
      </w:r>
      <w:r w:rsidR="00590976">
        <w:rPr>
          <w:rFonts w:ascii="Arial" w:hAnsi="Arial" w:cs="Arial"/>
          <w:sz w:val="24"/>
          <w:szCs w:val="24"/>
        </w:rPr>
        <w:t>However, t</w:t>
      </w:r>
      <w:r w:rsidR="00E4778F">
        <w:rPr>
          <w:rFonts w:ascii="Arial" w:eastAsia="Times New Roman" w:hAnsi="Arial" w:cs="Arial"/>
          <w:color w:val="212125"/>
          <w:sz w:val="24"/>
          <w:szCs w:val="24"/>
        </w:rPr>
        <w:t>he outcomes of the assessment in some of the reports points to the need for further investigations.</w:t>
      </w:r>
      <w:r w:rsidR="00F46BBB">
        <w:rPr>
          <w:rFonts w:ascii="Arial" w:eastAsia="Times New Roman" w:hAnsi="Arial" w:cs="Arial"/>
          <w:color w:val="212125"/>
          <w:sz w:val="24"/>
          <w:szCs w:val="24"/>
        </w:rPr>
        <w:t xml:space="preserve">  The table below show forensic reports assessed per province.</w:t>
      </w:r>
    </w:p>
    <w:p w:rsidR="00F46BBB" w:rsidRDefault="00F46BBB" w:rsidP="00E94E39">
      <w:pPr>
        <w:tabs>
          <w:tab w:val="left" w:pos="567"/>
        </w:tabs>
        <w:spacing w:after="0" w:line="360" w:lineRule="auto"/>
        <w:ind w:left="567" w:hanging="567"/>
        <w:jc w:val="both"/>
        <w:rPr>
          <w:rFonts w:ascii="Arial" w:eastAsia="Times New Roman" w:hAnsi="Arial" w:cs="Arial"/>
          <w:color w:val="212125"/>
          <w:sz w:val="24"/>
          <w:szCs w:val="24"/>
        </w:rPr>
      </w:pPr>
      <w:r>
        <w:rPr>
          <w:rFonts w:ascii="Arial" w:eastAsia="Times New Roman" w:hAnsi="Arial" w:cs="Arial"/>
          <w:color w:val="212125"/>
          <w:sz w:val="24"/>
          <w:szCs w:val="24"/>
        </w:rPr>
        <w:tab/>
      </w:r>
    </w:p>
    <w:p w:rsidR="00F46BBB" w:rsidRDefault="00F46BBB" w:rsidP="00E94E39">
      <w:pPr>
        <w:tabs>
          <w:tab w:val="left" w:pos="567"/>
        </w:tabs>
        <w:spacing w:after="0" w:line="360" w:lineRule="auto"/>
        <w:ind w:left="567" w:hanging="567"/>
        <w:jc w:val="both"/>
        <w:rPr>
          <w:rFonts w:ascii="Arial" w:eastAsia="Times New Roman" w:hAnsi="Arial" w:cs="Arial"/>
          <w:color w:val="212125"/>
          <w:sz w:val="24"/>
          <w:szCs w:val="24"/>
        </w:rPr>
      </w:pPr>
      <w:r>
        <w:rPr>
          <w:rFonts w:ascii="Arial" w:eastAsia="Times New Roman" w:hAnsi="Arial" w:cs="Arial"/>
          <w:color w:val="212125"/>
          <w:sz w:val="24"/>
          <w:szCs w:val="24"/>
        </w:rPr>
        <w:tab/>
      </w:r>
    </w:p>
    <w:tbl>
      <w:tblPr>
        <w:tblStyle w:val="TableGrid"/>
        <w:tblW w:w="0" w:type="auto"/>
        <w:tblInd w:w="567" w:type="dxa"/>
        <w:tblLook w:val="04A0"/>
      </w:tblPr>
      <w:tblGrid>
        <w:gridCol w:w="5098"/>
        <w:gridCol w:w="3685"/>
      </w:tblGrid>
      <w:tr w:rsidR="00F46BBB" w:rsidTr="00F46BBB">
        <w:tc>
          <w:tcPr>
            <w:tcW w:w="5098" w:type="dxa"/>
          </w:tcPr>
          <w:p w:rsidR="00F46BBB" w:rsidRPr="00F46BBB" w:rsidRDefault="00F46BBB" w:rsidP="00E94E39">
            <w:pPr>
              <w:tabs>
                <w:tab w:val="left" w:pos="567"/>
              </w:tabs>
              <w:spacing w:line="360" w:lineRule="auto"/>
              <w:jc w:val="both"/>
              <w:rPr>
                <w:rFonts w:ascii="Arial" w:eastAsia="Times New Roman" w:hAnsi="Arial" w:cs="Arial"/>
                <w:b/>
                <w:color w:val="212125"/>
                <w:sz w:val="24"/>
                <w:szCs w:val="24"/>
              </w:rPr>
            </w:pPr>
            <w:r w:rsidRPr="00F46BBB">
              <w:rPr>
                <w:rFonts w:ascii="Arial" w:eastAsia="Times New Roman" w:hAnsi="Arial" w:cs="Arial"/>
                <w:b/>
                <w:color w:val="212125"/>
                <w:sz w:val="24"/>
                <w:szCs w:val="24"/>
              </w:rPr>
              <w:t>Province</w:t>
            </w:r>
          </w:p>
        </w:tc>
        <w:tc>
          <w:tcPr>
            <w:tcW w:w="3685" w:type="dxa"/>
          </w:tcPr>
          <w:p w:rsidR="00F46BBB" w:rsidRPr="00F46BBB" w:rsidRDefault="00F46BBB" w:rsidP="00E94E39">
            <w:pPr>
              <w:tabs>
                <w:tab w:val="left" w:pos="567"/>
              </w:tabs>
              <w:spacing w:line="360" w:lineRule="auto"/>
              <w:jc w:val="both"/>
              <w:rPr>
                <w:rFonts w:ascii="Arial" w:eastAsia="Times New Roman" w:hAnsi="Arial" w:cs="Arial"/>
                <w:b/>
                <w:color w:val="212125"/>
                <w:sz w:val="24"/>
                <w:szCs w:val="24"/>
              </w:rPr>
            </w:pPr>
            <w:r w:rsidRPr="00F46BBB">
              <w:rPr>
                <w:rFonts w:ascii="Arial" w:eastAsia="Times New Roman" w:hAnsi="Arial" w:cs="Arial"/>
                <w:b/>
                <w:color w:val="212125"/>
                <w:sz w:val="24"/>
                <w:szCs w:val="24"/>
              </w:rPr>
              <w:t>Number of reports</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Eastern Cape</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34</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Free State</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05</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Gauteng</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01</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KZN</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18</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Limpopo</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10</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Mpumalanga</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15</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Northern Cape</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03</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North West</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04</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Western Cape</w:t>
            </w:r>
          </w:p>
        </w:tc>
        <w:tc>
          <w:tcPr>
            <w:tcW w:w="3685"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16</w:t>
            </w:r>
          </w:p>
        </w:tc>
      </w:tr>
      <w:tr w:rsidR="00F46BBB" w:rsidTr="00F46BBB">
        <w:tc>
          <w:tcPr>
            <w:tcW w:w="5098" w:type="dxa"/>
          </w:tcPr>
          <w:p w:rsidR="00F46BBB" w:rsidRDefault="00F46BBB" w:rsidP="00E94E39">
            <w:pPr>
              <w:tabs>
                <w:tab w:val="left" w:pos="567"/>
              </w:tabs>
              <w:spacing w:line="360" w:lineRule="auto"/>
              <w:jc w:val="both"/>
              <w:rPr>
                <w:rFonts w:ascii="Arial" w:eastAsia="Times New Roman" w:hAnsi="Arial" w:cs="Arial"/>
                <w:color w:val="212125"/>
                <w:sz w:val="24"/>
                <w:szCs w:val="24"/>
              </w:rPr>
            </w:pPr>
            <w:r>
              <w:rPr>
                <w:rFonts w:ascii="Arial" w:eastAsia="Times New Roman" w:hAnsi="Arial" w:cs="Arial"/>
                <w:color w:val="212125"/>
                <w:sz w:val="24"/>
                <w:szCs w:val="24"/>
              </w:rPr>
              <w:t>Total</w:t>
            </w:r>
          </w:p>
        </w:tc>
        <w:tc>
          <w:tcPr>
            <w:tcW w:w="3685" w:type="dxa"/>
          </w:tcPr>
          <w:p w:rsidR="00F46BBB" w:rsidRPr="00F46BBB" w:rsidRDefault="00F46BBB" w:rsidP="00E94E39">
            <w:pPr>
              <w:tabs>
                <w:tab w:val="left" w:pos="567"/>
              </w:tabs>
              <w:spacing w:line="360" w:lineRule="auto"/>
              <w:jc w:val="both"/>
              <w:rPr>
                <w:rFonts w:ascii="Arial" w:eastAsia="Times New Roman" w:hAnsi="Arial" w:cs="Arial"/>
                <w:b/>
                <w:color w:val="212125"/>
                <w:sz w:val="24"/>
                <w:szCs w:val="24"/>
              </w:rPr>
            </w:pPr>
            <w:r w:rsidRPr="00F46BBB">
              <w:rPr>
                <w:rFonts w:ascii="Arial" w:eastAsia="Times New Roman" w:hAnsi="Arial" w:cs="Arial"/>
                <w:b/>
                <w:color w:val="212125"/>
                <w:sz w:val="24"/>
                <w:szCs w:val="24"/>
              </w:rPr>
              <w:t>106</w:t>
            </w:r>
          </w:p>
        </w:tc>
      </w:tr>
    </w:tbl>
    <w:p w:rsidR="00207EF1" w:rsidRDefault="00207EF1" w:rsidP="000C0629">
      <w:pPr>
        <w:tabs>
          <w:tab w:val="left" w:pos="567"/>
        </w:tabs>
        <w:spacing w:after="0" w:line="360" w:lineRule="auto"/>
        <w:jc w:val="both"/>
        <w:rPr>
          <w:rFonts w:ascii="Arial" w:hAnsi="Arial" w:cs="Arial"/>
          <w:sz w:val="24"/>
          <w:szCs w:val="24"/>
        </w:rPr>
      </w:pPr>
    </w:p>
    <w:p w:rsidR="00962EB0" w:rsidRDefault="00962EB0" w:rsidP="00E94E39">
      <w:pPr>
        <w:tabs>
          <w:tab w:val="left" w:pos="567"/>
        </w:tabs>
        <w:spacing w:after="0" w:line="360" w:lineRule="auto"/>
        <w:ind w:left="567" w:hanging="567"/>
        <w:jc w:val="both"/>
        <w:rPr>
          <w:rFonts w:ascii="Arial" w:hAnsi="Arial" w:cs="Arial"/>
          <w:sz w:val="24"/>
          <w:szCs w:val="24"/>
        </w:rPr>
      </w:pPr>
    </w:p>
    <w:p w:rsidR="00001187" w:rsidRDefault="00962EB0" w:rsidP="00001187">
      <w:pPr>
        <w:autoSpaceDE w:val="0"/>
        <w:autoSpaceDN w:val="0"/>
        <w:adjustRightInd w:val="0"/>
        <w:spacing w:after="0" w:line="360" w:lineRule="auto"/>
        <w:ind w:left="567" w:hanging="567"/>
        <w:jc w:val="both"/>
        <w:rPr>
          <w:rFonts w:ascii="Arial" w:eastAsia="Times New Roman" w:hAnsi="Arial" w:cs="Arial"/>
          <w:color w:val="212125"/>
          <w:sz w:val="24"/>
          <w:szCs w:val="24"/>
        </w:rPr>
      </w:pPr>
      <w:r w:rsidRPr="00001187">
        <w:rPr>
          <w:rFonts w:ascii="Arial" w:hAnsi="Arial" w:cs="Arial"/>
          <w:sz w:val="24"/>
          <w:szCs w:val="24"/>
        </w:rPr>
        <w:t>3.2</w:t>
      </w:r>
      <w:r w:rsidRPr="00001187">
        <w:rPr>
          <w:rFonts w:ascii="Arial" w:hAnsi="Arial" w:cs="Arial"/>
          <w:sz w:val="24"/>
          <w:szCs w:val="24"/>
        </w:rPr>
        <w:tab/>
        <w:t xml:space="preserve">The </w:t>
      </w:r>
      <w:r w:rsidR="005378FC">
        <w:rPr>
          <w:rFonts w:ascii="Arial" w:hAnsi="Arial" w:cs="Arial"/>
          <w:sz w:val="24"/>
          <w:szCs w:val="24"/>
        </w:rPr>
        <w:t>Asset Forfeiture Unit (</w:t>
      </w:r>
      <w:r w:rsidRPr="00001187">
        <w:rPr>
          <w:rFonts w:ascii="Arial" w:hAnsi="Arial" w:cs="Arial"/>
          <w:sz w:val="24"/>
          <w:szCs w:val="24"/>
        </w:rPr>
        <w:t>AFU</w:t>
      </w:r>
      <w:r w:rsidR="005378FC">
        <w:rPr>
          <w:rFonts w:ascii="Arial" w:hAnsi="Arial" w:cs="Arial"/>
          <w:sz w:val="24"/>
          <w:szCs w:val="24"/>
        </w:rPr>
        <w:t>)</w:t>
      </w:r>
      <w:r w:rsidRPr="00001187">
        <w:rPr>
          <w:rFonts w:ascii="Arial" w:hAnsi="Arial" w:cs="Arial"/>
          <w:sz w:val="24"/>
          <w:szCs w:val="24"/>
        </w:rPr>
        <w:t xml:space="preserve"> has identified that there is potential for AFU in 18 forensic reports</w:t>
      </w:r>
      <w:r w:rsidR="007069B8">
        <w:rPr>
          <w:rFonts w:ascii="Arial" w:hAnsi="Arial" w:cs="Arial"/>
          <w:sz w:val="24"/>
          <w:szCs w:val="24"/>
        </w:rPr>
        <w:t xml:space="preserve">, such reports have been referred to the AFU to ensure the </w:t>
      </w:r>
      <w:r w:rsidR="0020594D">
        <w:rPr>
          <w:rFonts w:ascii="Arial" w:hAnsi="Arial" w:cs="Arial"/>
          <w:sz w:val="24"/>
          <w:szCs w:val="24"/>
        </w:rPr>
        <w:t>recovery of losses</w:t>
      </w:r>
      <w:r w:rsidRPr="00001187">
        <w:rPr>
          <w:rFonts w:ascii="Arial" w:hAnsi="Arial" w:cs="Arial"/>
          <w:sz w:val="24"/>
          <w:szCs w:val="24"/>
        </w:rPr>
        <w:t>.  In some instances, the AFU is still tracing criminal case dockets in order to make final decision regarding the forfeiture of assets.</w:t>
      </w:r>
      <w:r w:rsidR="00001187" w:rsidRPr="00001187">
        <w:rPr>
          <w:rFonts w:ascii="Arial" w:hAnsi="Arial" w:cs="Arial"/>
          <w:sz w:val="24"/>
          <w:szCs w:val="24"/>
        </w:rPr>
        <w:t xml:space="preserve"> </w:t>
      </w:r>
      <w:r w:rsidR="00001187" w:rsidRPr="00001187">
        <w:rPr>
          <w:rFonts w:ascii="Arial" w:eastAsia="Times New Roman" w:hAnsi="Arial" w:cs="Arial"/>
          <w:color w:val="212125"/>
          <w:sz w:val="24"/>
          <w:szCs w:val="24"/>
        </w:rPr>
        <w:t xml:space="preserve"> </w:t>
      </w:r>
    </w:p>
    <w:p w:rsidR="00580472" w:rsidRDefault="00580472" w:rsidP="00001187">
      <w:pPr>
        <w:autoSpaceDE w:val="0"/>
        <w:autoSpaceDN w:val="0"/>
        <w:adjustRightInd w:val="0"/>
        <w:spacing w:after="0" w:line="360" w:lineRule="auto"/>
        <w:ind w:left="567" w:hanging="567"/>
        <w:jc w:val="both"/>
        <w:rPr>
          <w:rFonts w:ascii="Arial" w:eastAsia="Times New Roman" w:hAnsi="Arial" w:cs="Arial"/>
          <w:color w:val="212125"/>
          <w:sz w:val="24"/>
          <w:szCs w:val="24"/>
        </w:rPr>
      </w:pPr>
    </w:p>
    <w:p w:rsidR="00221BF9" w:rsidRPr="00221BF9" w:rsidRDefault="00580472" w:rsidP="00221BF9">
      <w:pPr>
        <w:autoSpaceDE w:val="0"/>
        <w:autoSpaceDN w:val="0"/>
        <w:adjustRightInd w:val="0"/>
        <w:spacing w:after="0" w:line="360" w:lineRule="auto"/>
        <w:ind w:left="567" w:hanging="567"/>
        <w:jc w:val="both"/>
        <w:rPr>
          <w:rFonts w:ascii="Arial" w:eastAsia="Times New Roman" w:hAnsi="Arial" w:cs="Arial"/>
          <w:color w:val="212125"/>
          <w:sz w:val="24"/>
          <w:szCs w:val="24"/>
        </w:rPr>
      </w:pPr>
      <w:r>
        <w:rPr>
          <w:rFonts w:ascii="Arial" w:eastAsia="Times New Roman" w:hAnsi="Arial" w:cs="Arial"/>
          <w:color w:val="212125"/>
          <w:sz w:val="24"/>
          <w:szCs w:val="24"/>
        </w:rPr>
        <w:t>3.3</w:t>
      </w:r>
      <w:r>
        <w:rPr>
          <w:rFonts w:ascii="Arial" w:eastAsia="Times New Roman" w:hAnsi="Arial" w:cs="Arial"/>
          <w:color w:val="212125"/>
          <w:sz w:val="24"/>
          <w:szCs w:val="24"/>
        </w:rPr>
        <w:tab/>
      </w:r>
      <w:r w:rsidR="003458A6">
        <w:rPr>
          <w:rFonts w:ascii="Arial" w:eastAsia="Times New Roman" w:hAnsi="Arial" w:cs="Arial"/>
          <w:color w:val="212125"/>
          <w:sz w:val="24"/>
          <w:szCs w:val="24"/>
        </w:rPr>
        <w:t xml:space="preserve">Further, </w:t>
      </w:r>
      <w:r>
        <w:rPr>
          <w:rFonts w:ascii="Arial" w:eastAsia="Times New Roman" w:hAnsi="Arial" w:cs="Arial"/>
          <w:color w:val="212125"/>
          <w:sz w:val="24"/>
          <w:szCs w:val="24"/>
        </w:rPr>
        <w:t>9</w:t>
      </w:r>
      <w:r>
        <w:rPr>
          <w:rFonts w:ascii="Arial" w:hAnsi="Arial" w:cs="Arial"/>
          <w:sz w:val="24"/>
          <w:szCs w:val="24"/>
        </w:rPr>
        <w:t xml:space="preserve"> forensic reports have been referred to the SIU for further assessment to determine if the cases meet the requirements to be investigated under the Presidential Proclamation.</w:t>
      </w:r>
      <w:r w:rsidR="00221BF9">
        <w:rPr>
          <w:rFonts w:ascii="Arial" w:hAnsi="Arial" w:cs="Arial"/>
          <w:sz w:val="24"/>
          <w:szCs w:val="24"/>
        </w:rPr>
        <w:t xml:space="preserve">  </w:t>
      </w:r>
      <w:r>
        <w:rPr>
          <w:rFonts w:ascii="Arial" w:hAnsi="Arial" w:cs="Arial"/>
          <w:sz w:val="24"/>
          <w:szCs w:val="24"/>
        </w:rPr>
        <w:t xml:space="preserve">  </w:t>
      </w:r>
      <w:r w:rsidR="00221BF9">
        <w:rPr>
          <w:rFonts w:ascii="Arial" w:hAnsi="Arial" w:cs="Arial"/>
          <w:sz w:val="24"/>
          <w:szCs w:val="24"/>
        </w:rPr>
        <w:t xml:space="preserve">  </w:t>
      </w:r>
    </w:p>
    <w:p w:rsidR="00221BF9" w:rsidRDefault="00221BF9" w:rsidP="00221BF9">
      <w:pPr>
        <w:tabs>
          <w:tab w:val="left" w:pos="567"/>
        </w:tabs>
        <w:spacing w:after="0" w:line="360" w:lineRule="auto"/>
        <w:ind w:left="567" w:hanging="567"/>
        <w:jc w:val="both"/>
        <w:rPr>
          <w:rFonts w:ascii="Arial" w:hAnsi="Arial" w:cs="Arial"/>
          <w:sz w:val="24"/>
          <w:szCs w:val="24"/>
        </w:rPr>
      </w:pPr>
    </w:p>
    <w:p w:rsidR="000F27C9" w:rsidRDefault="00221BF9" w:rsidP="00221BF9">
      <w:pPr>
        <w:tabs>
          <w:tab w:val="left" w:pos="567"/>
        </w:tabs>
        <w:spacing w:after="0" w:line="360" w:lineRule="auto"/>
        <w:ind w:left="567" w:hanging="567"/>
        <w:jc w:val="both"/>
        <w:rPr>
          <w:rFonts w:ascii="Arial" w:hAnsi="Arial" w:cs="Arial"/>
          <w:sz w:val="24"/>
          <w:szCs w:val="24"/>
        </w:rPr>
      </w:pPr>
      <w:r>
        <w:rPr>
          <w:rFonts w:ascii="Arial" w:hAnsi="Arial" w:cs="Arial"/>
          <w:sz w:val="24"/>
          <w:szCs w:val="24"/>
        </w:rPr>
        <w:tab/>
      </w:r>
    </w:p>
    <w:p w:rsidR="000F27C9" w:rsidRDefault="000F27C9" w:rsidP="000F27C9">
      <w:pPr>
        <w:tabs>
          <w:tab w:val="left" w:pos="567"/>
        </w:tabs>
        <w:spacing w:after="0" w:line="360" w:lineRule="auto"/>
        <w:ind w:left="567" w:hanging="567"/>
        <w:jc w:val="both"/>
        <w:rPr>
          <w:rFonts w:ascii="Arial" w:eastAsia="Times New Roman" w:hAnsi="Arial" w:cs="Arial"/>
          <w:color w:val="212125"/>
          <w:sz w:val="24"/>
          <w:szCs w:val="24"/>
        </w:rPr>
      </w:pPr>
      <w:r>
        <w:rPr>
          <w:rFonts w:ascii="Arial" w:hAnsi="Arial" w:cs="Arial"/>
          <w:sz w:val="24"/>
          <w:szCs w:val="24"/>
        </w:rPr>
        <w:lastRenderedPageBreak/>
        <w:t>3.4</w:t>
      </w:r>
      <w:r>
        <w:rPr>
          <w:rFonts w:ascii="Arial" w:hAnsi="Arial" w:cs="Arial"/>
          <w:sz w:val="24"/>
          <w:szCs w:val="24"/>
        </w:rPr>
        <w:tab/>
        <w:t>Some of the cases are already being investigated by Directorate for Priority Crimes Investigations (DPCI).  Some of the cases are already in court, while other cases are awaiting decision by the Senior Public Prosecutor (SPP) / Director of Public Prosecutions (DPP); and some are currently under investigation.</w:t>
      </w:r>
    </w:p>
    <w:p w:rsidR="000F27C9" w:rsidRPr="008B3DDA" w:rsidRDefault="000F27C9" w:rsidP="008B3DDA">
      <w:pPr>
        <w:tabs>
          <w:tab w:val="left" w:pos="567"/>
        </w:tabs>
        <w:spacing w:after="0" w:line="360" w:lineRule="auto"/>
        <w:ind w:left="567" w:hanging="567"/>
        <w:jc w:val="both"/>
        <w:rPr>
          <w:rFonts w:ascii="Arial" w:hAnsi="Arial" w:cs="Arial"/>
          <w:sz w:val="24"/>
          <w:szCs w:val="24"/>
        </w:rPr>
      </w:pPr>
      <w:r>
        <w:rPr>
          <w:rFonts w:ascii="Arial" w:hAnsi="Arial" w:cs="Arial"/>
          <w:sz w:val="24"/>
          <w:szCs w:val="24"/>
        </w:rPr>
        <w:t xml:space="preserve"> </w:t>
      </w:r>
    </w:p>
    <w:p w:rsidR="002C66C3" w:rsidRDefault="002C66C3" w:rsidP="002C66C3">
      <w:pPr>
        <w:tabs>
          <w:tab w:val="left" w:pos="567"/>
        </w:tabs>
        <w:spacing w:after="0" w:line="360" w:lineRule="auto"/>
        <w:ind w:left="567" w:hanging="567"/>
        <w:jc w:val="both"/>
        <w:rPr>
          <w:rFonts w:ascii="Arial" w:hAnsi="Arial" w:cs="Arial"/>
          <w:sz w:val="24"/>
          <w:szCs w:val="24"/>
        </w:rPr>
      </w:pPr>
      <w:r>
        <w:rPr>
          <w:rFonts w:ascii="Arial" w:eastAsia="Times New Roman" w:hAnsi="Arial" w:cs="Arial"/>
          <w:color w:val="212125"/>
          <w:sz w:val="24"/>
          <w:szCs w:val="24"/>
        </w:rPr>
        <w:t>3.</w:t>
      </w:r>
      <w:r w:rsidR="000F27C9">
        <w:rPr>
          <w:rFonts w:ascii="Arial" w:eastAsia="Times New Roman" w:hAnsi="Arial" w:cs="Arial"/>
          <w:color w:val="212125"/>
          <w:sz w:val="24"/>
          <w:szCs w:val="24"/>
        </w:rPr>
        <w:t>5</w:t>
      </w:r>
      <w:r>
        <w:rPr>
          <w:rFonts w:ascii="Arial" w:eastAsia="Times New Roman" w:hAnsi="Arial" w:cs="Arial"/>
          <w:color w:val="212125"/>
          <w:sz w:val="24"/>
          <w:szCs w:val="24"/>
        </w:rPr>
        <w:tab/>
      </w:r>
      <w:r w:rsidR="00EA0580">
        <w:rPr>
          <w:rFonts w:ascii="Arial" w:eastAsia="Times New Roman" w:hAnsi="Arial" w:cs="Arial"/>
          <w:color w:val="212125"/>
          <w:sz w:val="24"/>
          <w:szCs w:val="24"/>
        </w:rPr>
        <w:t>Further</w:t>
      </w:r>
      <w:r w:rsidR="00785D82">
        <w:rPr>
          <w:rFonts w:ascii="Arial" w:eastAsia="Times New Roman" w:hAnsi="Arial" w:cs="Arial"/>
          <w:color w:val="212125"/>
          <w:sz w:val="24"/>
          <w:szCs w:val="24"/>
        </w:rPr>
        <w:t>, l</w:t>
      </w:r>
      <w:r>
        <w:rPr>
          <w:rFonts w:ascii="Arial" w:eastAsia="Times New Roman" w:hAnsi="Arial" w:cs="Arial"/>
          <w:color w:val="212125"/>
          <w:sz w:val="24"/>
          <w:szCs w:val="24"/>
        </w:rPr>
        <w:t>etters</w:t>
      </w:r>
      <w:r w:rsidR="005C4939">
        <w:rPr>
          <w:rFonts w:ascii="Arial" w:eastAsia="Times New Roman" w:hAnsi="Arial" w:cs="Arial"/>
          <w:color w:val="212125"/>
          <w:sz w:val="24"/>
          <w:szCs w:val="24"/>
        </w:rPr>
        <w:t xml:space="preserve"> and annexures</w:t>
      </w:r>
      <w:r w:rsidR="00EA0580">
        <w:rPr>
          <w:rFonts w:ascii="Arial" w:eastAsia="Times New Roman" w:hAnsi="Arial" w:cs="Arial"/>
          <w:color w:val="212125"/>
          <w:sz w:val="24"/>
          <w:szCs w:val="24"/>
        </w:rPr>
        <w:t xml:space="preserve"> of recommendations</w:t>
      </w:r>
      <w:r>
        <w:rPr>
          <w:rFonts w:ascii="Arial" w:eastAsia="Times New Roman" w:hAnsi="Arial" w:cs="Arial"/>
          <w:color w:val="212125"/>
          <w:sz w:val="24"/>
          <w:szCs w:val="24"/>
        </w:rPr>
        <w:t xml:space="preserve"> have </w:t>
      </w:r>
      <w:r>
        <w:rPr>
          <w:rFonts w:ascii="Arial" w:hAnsi="Arial" w:cs="Arial"/>
          <w:sz w:val="24"/>
          <w:szCs w:val="24"/>
        </w:rPr>
        <w:t xml:space="preserve">been </w:t>
      </w:r>
      <w:r w:rsidR="00EA0580">
        <w:rPr>
          <w:rFonts w:ascii="Arial" w:hAnsi="Arial" w:cs="Arial"/>
          <w:sz w:val="24"/>
          <w:szCs w:val="24"/>
        </w:rPr>
        <w:t>sent</w:t>
      </w:r>
      <w:r>
        <w:rPr>
          <w:rFonts w:ascii="Arial" w:hAnsi="Arial" w:cs="Arial"/>
          <w:sz w:val="24"/>
          <w:szCs w:val="24"/>
        </w:rPr>
        <w:t xml:space="preserve"> to all MECs requesting them to provide progress report in respect of the recommendations set out in </w:t>
      </w:r>
      <w:r w:rsidR="003D7796">
        <w:rPr>
          <w:rFonts w:ascii="Arial" w:hAnsi="Arial" w:cs="Arial"/>
          <w:sz w:val="24"/>
          <w:szCs w:val="24"/>
        </w:rPr>
        <w:t>the forensic reports</w:t>
      </w:r>
      <w:r>
        <w:rPr>
          <w:rFonts w:ascii="Arial" w:hAnsi="Arial" w:cs="Arial"/>
          <w:sz w:val="24"/>
          <w:szCs w:val="24"/>
        </w:rPr>
        <w:t>.</w:t>
      </w:r>
      <w:r w:rsidR="003C7E47">
        <w:rPr>
          <w:rFonts w:ascii="Arial" w:hAnsi="Arial" w:cs="Arial"/>
          <w:sz w:val="24"/>
          <w:szCs w:val="24"/>
        </w:rPr>
        <w:t xml:space="preserve">  The feedback from the provinces will be assessed in order to determine the extent in which Provinces and municipalities are implementing the recommendations.</w:t>
      </w:r>
      <w:r>
        <w:rPr>
          <w:rFonts w:ascii="Arial" w:hAnsi="Arial" w:cs="Arial"/>
          <w:sz w:val="24"/>
          <w:szCs w:val="24"/>
        </w:rPr>
        <w:t xml:space="preserve">   </w:t>
      </w:r>
    </w:p>
    <w:p w:rsidR="00866244" w:rsidRPr="00CD1FC8" w:rsidRDefault="00866244" w:rsidP="00BD1E29">
      <w:pPr>
        <w:tabs>
          <w:tab w:val="left" w:pos="567"/>
        </w:tabs>
        <w:spacing w:after="0" w:line="360" w:lineRule="auto"/>
        <w:jc w:val="both"/>
        <w:rPr>
          <w:rFonts w:ascii="Arial" w:hAnsi="Arial" w:cs="Arial"/>
          <w:sz w:val="24"/>
          <w:szCs w:val="24"/>
        </w:rPr>
      </w:pPr>
    </w:p>
    <w:p w:rsidR="00B025BF" w:rsidRPr="00F621B8" w:rsidRDefault="0004402A" w:rsidP="00B22A33">
      <w:pPr>
        <w:spacing w:after="0" w:line="360" w:lineRule="auto"/>
        <w:jc w:val="both"/>
        <w:rPr>
          <w:rFonts w:ascii="Arial" w:hAnsi="Arial" w:cs="Arial"/>
          <w:b/>
          <w:sz w:val="24"/>
          <w:szCs w:val="24"/>
        </w:rPr>
      </w:pPr>
      <w:r>
        <w:rPr>
          <w:rFonts w:ascii="Arial" w:hAnsi="Arial" w:cs="Arial"/>
          <w:b/>
          <w:sz w:val="24"/>
          <w:szCs w:val="24"/>
        </w:rPr>
        <w:t>4</w:t>
      </w:r>
      <w:r w:rsidR="00F621B8">
        <w:rPr>
          <w:rFonts w:ascii="Arial" w:hAnsi="Arial" w:cs="Arial"/>
          <w:b/>
          <w:sz w:val="24"/>
          <w:szCs w:val="24"/>
        </w:rPr>
        <w:t>.</w:t>
      </w:r>
      <w:r w:rsidR="00F621B8">
        <w:rPr>
          <w:rFonts w:ascii="Arial" w:hAnsi="Arial" w:cs="Arial"/>
          <w:b/>
          <w:sz w:val="24"/>
          <w:szCs w:val="24"/>
        </w:rPr>
        <w:tab/>
      </w:r>
      <w:r w:rsidR="00B025BF" w:rsidRPr="00F621B8">
        <w:rPr>
          <w:rFonts w:ascii="Arial" w:hAnsi="Arial" w:cs="Arial"/>
          <w:b/>
          <w:sz w:val="24"/>
          <w:szCs w:val="24"/>
        </w:rPr>
        <w:t>RECOMMENDATIONS</w:t>
      </w:r>
    </w:p>
    <w:p w:rsidR="00107C07" w:rsidRDefault="00107C07" w:rsidP="00107C07">
      <w:pPr>
        <w:spacing w:after="0" w:line="360" w:lineRule="auto"/>
        <w:ind w:left="720"/>
        <w:jc w:val="both"/>
        <w:rPr>
          <w:rFonts w:ascii="Arial" w:hAnsi="Arial" w:cs="Arial"/>
          <w:sz w:val="24"/>
          <w:szCs w:val="24"/>
        </w:rPr>
      </w:pPr>
    </w:p>
    <w:p w:rsidR="00BD1E29" w:rsidRPr="00BD1E29" w:rsidRDefault="0022214A" w:rsidP="00BD1E29">
      <w:pPr>
        <w:pStyle w:val="ListParagraph"/>
        <w:spacing w:after="0" w:line="360" w:lineRule="auto"/>
        <w:ind w:left="360"/>
        <w:jc w:val="both"/>
        <w:rPr>
          <w:rFonts w:ascii="Arial" w:hAnsi="Arial" w:cs="Arial"/>
          <w:sz w:val="24"/>
          <w:szCs w:val="24"/>
        </w:rPr>
      </w:pPr>
      <w:r w:rsidRPr="003C7E47">
        <w:rPr>
          <w:rFonts w:ascii="Arial" w:hAnsi="Arial" w:cs="Arial"/>
          <w:sz w:val="24"/>
          <w:szCs w:val="24"/>
        </w:rPr>
        <w:t xml:space="preserve">It is recommended that the </w:t>
      </w:r>
      <w:r w:rsidR="00825CD9">
        <w:rPr>
          <w:rFonts w:ascii="Arial" w:hAnsi="Arial" w:cs="Arial"/>
          <w:sz w:val="24"/>
          <w:szCs w:val="24"/>
        </w:rPr>
        <w:t>Portfolio Committee</w:t>
      </w:r>
      <w:r w:rsidRPr="003C7E47">
        <w:rPr>
          <w:rFonts w:ascii="Arial" w:hAnsi="Arial" w:cs="Arial"/>
          <w:sz w:val="24"/>
          <w:szCs w:val="24"/>
        </w:rPr>
        <w:t xml:space="preserve"> </w:t>
      </w:r>
      <w:r w:rsidR="007A62B2">
        <w:rPr>
          <w:rFonts w:ascii="Arial" w:hAnsi="Arial" w:cs="Arial"/>
          <w:sz w:val="24"/>
          <w:szCs w:val="24"/>
        </w:rPr>
        <w:t xml:space="preserve">notes </w:t>
      </w:r>
      <w:r w:rsidR="00BD1E29">
        <w:rPr>
          <w:rFonts w:ascii="Arial" w:hAnsi="Arial" w:cs="Arial"/>
          <w:sz w:val="24"/>
          <w:szCs w:val="24"/>
        </w:rPr>
        <w:t xml:space="preserve">the </w:t>
      </w:r>
      <w:r w:rsidR="00BD1E29" w:rsidRPr="00BD1E29">
        <w:rPr>
          <w:rFonts w:ascii="Arial" w:hAnsi="Arial" w:cs="Arial"/>
          <w:sz w:val="24"/>
          <w:szCs w:val="24"/>
        </w:rPr>
        <w:t xml:space="preserve">progress regarding the implementation of the recommendations emanating from forensic reports for the period April 2009 to September 2014.  </w:t>
      </w:r>
    </w:p>
    <w:p w:rsidR="00BD1E29" w:rsidRPr="00377C3F" w:rsidRDefault="00BD1E29" w:rsidP="00BD1E29">
      <w:pPr>
        <w:pStyle w:val="ListParagraph"/>
        <w:spacing w:line="360" w:lineRule="auto"/>
        <w:jc w:val="both"/>
        <w:rPr>
          <w:rFonts w:ascii="Arial" w:hAnsi="Arial" w:cs="Arial"/>
          <w:sz w:val="24"/>
          <w:szCs w:val="24"/>
        </w:rPr>
      </w:pPr>
    </w:p>
    <w:p w:rsidR="0022214A" w:rsidRPr="00470032" w:rsidRDefault="0022214A" w:rsidP="0022214A">
      <w:pPr>
        <w:spacing w:after="0" w:line="360" w:lineRule="auto"/>
        <w:jc w:val="both"/>
        <w:rPr>
          <w:rFonts w:ascii="Arial" w:hAnsi="Arial" w:cs="Arial"/>
          <w:sz w:val="24"/>
          <w:szCs w:val="24"/>
        </w:rPr>
      </w:pPr>
    </w:p>
    <w:p w:rsidR="00B30717" w:rsidRDefault="0038637F" w:rsidP="003C7E47">
      <w:pPr>
        <w:spacing w:after="0" w:line="360" w:lineRule="auto"/>
        <w:ind w:left="720" w:hanging="720"/>
        <w:jc w:val="both"/>
        <w:rPr>
          <w:rFonts w:ascii="Arial" w:hAnsi="Arial" w:cs="Arial"/>
          <w:sz w:val="24"/>
          <w:szCs w:val="24"/>
        </w:rPr>
      </w:pPr>
      <w:r>
        <w:rPr>
          <w:rFonts w:ascii="Arial" w:hAnsi="Arial" w:cs="Arial"/>
          <w:sz w:val="24"/>
          <w:szCs w:val="24"/>
        </w:rPr>
        <w:t xml:space="preserve"> </w:t>
      </w:r>
    </w:p>
    <w:p w:rsidR="00933ED0" w:rsidRDefault="00933ED0" w:rsidP="00933ED0">
      <w:pPr>
        <w:spacing w:after="0" w:line="360" w:lineRule="auto"/>
        <w:jc w:val="both"/>
        <w:rPr>
          <w:rFonts w:ascii="Arial" w:hAnsi="Arial" w:cs="Arial"/>
          <w:sz w:val="24"/>
          <w:szCs w:val="24"/>
        </w:rPr>
      </w:pPr>
    </w:p>
    <w:sectPr w:rsidR="00933ED0" w:rsidSect="00902A3E">
      <w:footerReference w:type="default" r:id="rId9"/>
      <w:pgSz w:w="12240" w:h="15840"/>
      <w:pgMar w:top="42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7C" w:rsidRDefault="00041E7C" w:rsidP="00817257">
      <w:pPr>
        <w:spacing w:after="0" w:line="240" w:lineRule="auto"/>
      </w:pPr>
      <w:r>
        <w:separator/>
      </w:r>
    </w:p>
  </w:endnote>
  <w:endnote w:type="continuationSeparator" w:id="0">
    <w:p w:rsidR="00041E7C" w:rsidRDefault="00041E7C" w:rsidP="0081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57" w:rsidRPr="00817257" w:rsidRDefault="007A41CF">
    <w:pPr>
      <w:pStyle w:val="Footer"/>
      <w:jc w:val="center"/>
      <w:rPr>
        <w:caps/>
        <w:noProof/>
      </w:rPr>
    </w:pPr>
    <w:r w:rsidRPr="00817257">
      <w:rPr>
        <w:caps/>
      </w:rPr>
      <w:fldChar w:fldCharType="begin"/>
    </w:r>
    <w:r w:rsidR="00817257" w:rsidRPr="00817257">
      <w:rPr>
        <w:caps/>
      </w:rPr>
      <w:instrText xml:space="preserve"> PAGE   \* MERGEFORMAT </w:instrText>
    </w:r>
    <w:r w:rsidRPr="00817257">
      <w:rPr>
        <w:caps/>
      </w:rPr>
      <w:fldChar w:fldCharType="separate"/>
    </w:r>
    <w:r w:rsidR="00B83817">
      <w:rPr>
        <w:caps/>
        <w:noProof/>
      </w:rPr>
      <w:t>2</w:t>
    </w:r>
    <w:r w:rsidRPr="00817257">
      <w:rPr>
        <w:caps/>
        <w:noProof/>
      </w:rPr>
      <w:fldChar w:fldCharType="end"/>
    </w:r>
  </w:p>
  <w:p w:rsidR="00817257" w:rsidRDefault="00817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7C" w:rsidRDefault="00041E7C" w:rsidP="00817257">
      <w:pPr>
        <w:spacing w:after="0" w:line="240" w:lineRule="auto"/>
      </w:pPr>
      <w:r>
        <w:separator/>
      </w:r>
    </w:p>
  </w:footnote>
  <w:footnote w:type="continuationSeparator" w:id="0">
    <w:p w:rsidR="00041E7C" w:rsidRDefault="00041E7C" w:rsidP="00817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226"/>
    <w:multiLevelType w:val="multilevel"/>
    <w:tmpl w:val="9782F1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3E1D44"/>
    <w:multiLevelType w:val="multilevel"/>
    <w:tmpl w:val="D24EA3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996914"/>
    <w:multiLevelType w:val="multilevel"/>
    <w:tmpl w:val="D9CA93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591E09"/>
    <w:multiLevelType w:val="multilevel"/>
    <w:tmpl w:val="00A8A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AB7974"/>
    <w:multiLevelType w:val="multilevel"/>
    <w:tmpl w:val="9F5C0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8D27497"/>
    <w:multiLevelType w:val="multilevel"/>
    <w:tmpl w:val="42260B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294409"/>
    <w:multiLevelType w:val="multilevel"/>
    <w:tmpl w:val="96469784"/>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1E3A93"/>
    <w:multiLevelType w:val="multilevel"/>
    <w:tmpl w:val="BB3C63A4"/>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CE3506"/>
    <w:multiLevelType w:val="hybridMultilevel"/>
    <w:tmpl w:val="FF22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55302"/>
    <w:multiLevelType w:val="multilevel"/>
    <w:tmpl w:val="80387F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6B233E"/>
    <w:multiLevelType w:val="multilevel"/>
    <w:tmpl w:val="72EC2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0A5643"/>
    <w:multiLevelType w:val="hybridMultilevel"/>
    <w:tmpl w:val="08FABFCE"/>
    <w:lvl w:ilvl="0" w:tplc="9D56862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C3171A9"/>
    <w:multiLevelType w:val="hybridMultilevel"/>
    <w:tmpl w:val="602A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F14ED"/>
    <w:multiLevelType w:val="hybridMultilevel"/>
    <w:tmpl w:val="411E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00120"/>
    <w:multiLevelType w:val="multilevel"/>
    <w:tmpl w:val="91F28C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1855CF0"/>
    <w:multiLevelType w:val="hybridMultilevel"/>
    <w:tmpl w:val="C7A0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9707A9"/>
    <w:multiLevelType w:val="hybridMultilevel"/>
    <w:tmpl w:val="26FCFA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8BC23A6"/>
    <w:multiLevelType w:val="multilevel"/>
    <w:tmpl w:val="804C4A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72F50"/>
    <w:multiLevelType w:val="multilevel"/>
    <w:tmpl w:val="B824AA72"/>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50E39F4"/>
    <w:multiLevelType w:val="multilevel"/>
    <w:tmpl w:val="109ECC64"/>
    <w:lvl w:ilvl="0">
      <w:start w:val="3"/>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68455B5"/>
    <w:multiLevelType w:val="multilevel"/>
    <w:tmpl w:val="97D8D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DA31336"/>
    <w:multiLevelType w:val="multilevel"/>
    <w:tmpl w:val="9954D8A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C316BF7"/>
    <w:multiLevelType w:val="multilevel"/>
    <w:tmpl w:val="4DCE28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0320B6D"/>
    <w:multiLevelType w:val="hybridMultilevel"/>
    <w:tmpl w:val="E71E182E"/>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8"/>
  </w:num>
  <w:num w:numId="3">
    <w:abstractNumId w:val="13"/>
  </w:num>
  <w:num w:numId="4">
    <w:abstractNumId w:val="15"/>
  </w:num>
  <w:num w:numId="5">
    <w:abstractNumId w:val="21"/>
  </w:num>
  <w:num w:numId="6">
    <w:abstractNumId w:val="3"/>
  </w:num>
  <w:num w:numId="7">
    <w:abstractNumId w:val="1"/>
  </w:num>
  <w:num w:numId="8">
    <w:abstractNumId w:val="16"/>
  </w:num>
  <w:num w:numId="9">
    <w:abstractNumId w:val="18"/>
  </w:num>
  <w:num w:numId="10">
    <w:abstractNumId w:val="22"/>
  </w:num>
  <w:num w:numId="11">
    <w:abstractNumId w:val="24"/>
  </w:num>
  <w:num w:numId="12">
    <w:abstractNumId w:val="4"/>
  </w:num>
  <w:num w:numId="13">
    <w:abstractNumId w:val="17"/>
  </w:num>
  <w:num w:numId="14">
    <w:abstractNumId w:val="14"/>
  </w:num>
  <w:num w:numId="15">
    <w:abstractNumId w:val="10"/>
  </w:num>
  <w:num w:numId="16">
    <w:abstractNumId w:val="9"/>
  </w:num>
  <w:num w:numId="17">
    <w:abstractNumId w:val="20"/>
  </w:num>
  <w:num w:numId="18">
    <w:abstractNumId w:val="6"/>
  </w:num>
  <w:num w:numId="19">
    <w:abstractNumId w:val="7"/>
  </w:num>
  <w:num w:numId="20">
    <w:abstractNumId w:val="19"/>
  </w:num>
  <w:num w:numId="21">
    <w:abstractNumId w:val="11"/>
  </w:num>
  <w:num w:numId="22">
    <w:abstractNumId w:val="2"/>
  </w:num>
  <w:num w:numId="23">
    <w:abstractNumId w:val="0"/>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51892"/>
    <w:rsid w:val="00001187"/>
    <w:rsid w:val="000012D0"/>
    <w:rsid w:val="00010F2A"/>
    <w:rsid w:val="0001409C"/>
    <w:rsid w:val="0002106C"/>
    <w:rsid w:val="0002124E"/>
    <w:rsid w:val="00026FBF"/>
    <w:rsid w:val="00033D72"/>
    <w:rsid w:val="000347EF"/>
    <w:rsid w:val="00041E7C"/>
    <w:rsid w:val="0004363C"/>
    <w:rsid w:val="0004402A"/>
    <w:rsid w:val="000455F8"/>
    <w:rsid w:val="000635B7"/>
    <w:rsid w:val="00066595"/>
    <w:rsid w:val="000721C9"/>
    <w:rsid w:val="00083A7F"/>
    <w:rsid w:val="00085679"/>
    <w:rsid w:val="00094A4A"/>
    <w:rsid w:val="00097BA9"/>
    <w:rsid w:val="000A05B6"/>
    <w:rsid w:val="000A221A"/>
    <w:rsid w:val="000B08BB"/>
    <w:rsid w:val="000B1FC1"/>
    <w:rsid w:val="000C0629"/>
    <w:rsid w:val="000C5363"/>
    <w:rsid w:val="000C71FA"/>
    <w:rsid w:val="000D3302"/>
    <w:rsid w:val="000D5AFB"/>
    <w:rsid w:val="000D7EFA"/>
    <w:rsid w:val="000E752A"/>
    <w:rsid w:val="000F27C9"/>
    <w:rsid w:val="000F5560"/>
    <w:rsid w:val="000F59A4"/>
    <w:rsid w:val="00105404"/>
    <w:rsid w:val="0010666F"/>
    <w:rsid w:val="00107C07"/>
    <w:rsid w:val="001126FD"/>
    <w:rsid w:val="00124F91"/>
    <w:rsid w:val="00143523"/>
    <w:rsid w:val="00143A43"/>
    <w:rsid w:val="0015729C"/>
    <w:rsid w:val="00164C2F"/>
    <w:rsid w:val="00167473"/>
    <w:rsid w:val="001724A8"/>
    <w:rsid w:val="001730B6"/>
    <w:rsid w:val="00177BC1"/>
    <w:rsid w:val="0018189B"/>
    <w:rsid w:val="00192DFC"/>
    <w:rsid w:val="0019624B"/>
    <w:rsid w:val="00197999"/>
    <w:rsid w:val="001A36D7"/>
    <w:rsid w:val="001B174B"/>
    <w:rsid w:val="001C5870"/>
    <w:rsid w:val="001D644C"/>
    <w:rsid w:val="0020594D"/>
    <w:rsid w:val="002076AA"/>
    <w:rsid w:val="00207EF1"/>
    <w:rsid w:val="00214E1F"/>
    <w:rsid w:val="00221BF9"/>
    <w:rsid w:val="0022214A"/>
    <w:rsid w:val="00222BBC"/>
    <w:rsid w:val="00226563"/>
    <w:rsid w:val="00230079"/>
    <w:rsid w:val="00232B6E"/>
    <w:rsid w:val="00242E69"/>
    <w:rsid w:val="00250974"/>
    <w:rsid w:val="00251B3A"/>
    <w:rsid w:val="00260C58"/>
    <w:rsid w:val="002718C7"/>
    <w:rsid w:val="002719A8"/>
    <w:rsid w:val="00280F7D"/>
    <w:rsid w:val="00282286"/>
    <w:rsid w:val="00293BD1"/>
    <w:rsid w:val="00295302"/>
    <w:rsid w:val="002978A0"/>
    <w:rsid w:val="002B0DCE"/>
    <w:rsid w:val="002B231C"/>
    <w:rsid w:val="002C66C3"/>
    <w:rsid w:val="002D08B2"/>
    <w:rsid w:val="002E1742"/>
    <w:rsid w:val="003014CB"/>
    <w:rsid w:val="00304D30"/>
    <w:rsid w:val="00305790"/>
    <w:rsid w:val="00314BA2"/>
    <w:rsid w:val="00331A41"/>
    <w:rsid w:val="0033279D"/>
    <w:rsid w:val="003458A6"/>
    <w:rsid w:val="00347B7E"/>
    <w:rsid w:val="00352490"/>
    <w:rsid w:val="003551BD"/>
    <w:rsid w:val="003638BF"/>
    <w:rsid w:val="00366477"/>
    <w:rsid w:val="00373BCA"/>
    <w:rsid w:val="00377C3F"/>
    <w:rsid w:val="00381BFA"/>
    <w:rsid w:val="0038637F"/>
    <w:rsid w:val="003877AF"/>
    <w:rsid w:val="00394AF9"/>
    <w:rsid w:val="00394B2F"/>
    <w:rsid w:val="003A0BD9"/>
    <w:rsid w:val="003B4D54"/>
    <w:rsid w:val="003C089C"/>
    <w:rsid w:val="003C2EB1"/>
    <w:rsid w:val="003C70A3"/>
    <w:rsid w:val="003C7E47"/>
    <w:rsid w:val="003D1954"/>
    <w:rsid w:val="003D7216"/>
    <w:rsid w:val="003D7796"/>
    <w:rsid w:val="003F49AB"/>
    <w:rsid w:val="003F686D"/>
    <w:rsid w:val="00400CAC"/>
    <w:rsid w:val="00412DAC"/>
    <w:rsid w:val="00413243"/>
    <w:rsid w:val="00416A5B"/>
    <w:rsid w:val="00417F8B"/>
    <w:rsid w:val="004209FE"/>
    <w:rsid w:val="00433638"/>
    <w:rsid w:val="00434577"/>
    <w:rsid w:val="00443E91"/>
    <w:rsid w:val="00447DC0"/>
    <w:rsid w:val="004553DA"/>
    <w:rsid w:val="004558F0"/>
    <w:rsid w:val="00456782"/>
    <w:rsid w:val="004673B0"/>
    <w:rsid w:val="00470032"/>
    <w:rsid w:val="00471F16"/>
    <w:rsid w:val="004828DF"/>
    <w:rsid w:val="004859CE"/>
    <w:rsid w:val="00485CB7"/>
    <w:rsid w:val="0048605C"/>
    <w:rsid w:val="00486F4B"/>
    <w:rsid w:val="0049685B"/>
    <w:rsid w:val="004A06C5"/>
    <w:rsid w:val="004A53D3"/>
    <w:rsid w:val="004B09FB"/>
    <w:rsid w:val="004B1B1D"/>
    <w:rsid w:val="004B357F"/>
    <w:rsid w:val="004B41FF"/>
    <w:rsid w:val="004B4422"/>
    <w:rsid w:val="004B4B8C"/>
    <w:rsid w:val="004B57D1"/>
    <w:rsid w:val="004B5AE1"/>
    <w:rsid w:val="004B76A2"/>
    <w:rsid w:val="004B77BE"/>
    <w:rsid w:val="004C20C8"/>
    <w:rsid w:val="004D2FD8"/>
    <w:rsid w:val="004D3E20"/>
    <w:rsid w:val="004E0FCC"/>
    <w:rsid w:val="004E2D98"/>
    <w:rsid w:val="005056EF"/>
    <w:rsid w:val="0051104D"/>
    <w:rsid w:val="00513B7A"/>
    <w:rsid w:val="00515E12"/>
    <w:rsid w:val="0051631C"/>
    <w:rsid w:val="00523C89"/>
    <w:rsid w:val="00525B23"/>
    <w:rsid w:val="00525D87"/>
    <w:rsid w:val="0053144B"/>
    <w:rsid w:val="00531CD7"/>
    <w:rsid w:val="00536E02"/>
    <w:rsid w:val="00537011"/>
    <w:rsid w:val="005378FC"/>
    <w:rsid w:val="00560ABA"/>
    <w:rsid w:val="00564C32"/>
    <w:rsid w:val="00571FC6"/>
    <w:rsid w:val="00575CB1"/>
    <w:rsid w:val="00580472"/>
    <w:rsid w:val="00581493"/>
    <w:rsid w:val="00590976"/>
    <w:rsid w:val="00592C6D"/>
    <w:rsid w:val="00595DA3"/>
    <w:rsid w:val="005A087B"/>
    <w:rsid w:val="005B5231"/>
    <w:rsid w:val="005B6D74"/>
    <w:rsid w:val="005C4939"/>
    <w:rsid w:val="005C591E"/>
    <w:rsid w:val="005C5DD6"/>
    <w:rsid w:val="005D0FD9"/>
    <w:rsid w:val="005D1A0E"/>
    <w:rsid w:val="005D482F"/>
    <w:rsid w:val="005E4A4D"/>
    <w:rsid w:val="005E6214"/>
    <w:rsid w:val="005E7212"/>
    <w:rsid w:val="005F4498"/>
    <w:rsid w:val="00604BC4"/>
    <w:rsid w:val="00604F0E"/>
    <w:rsid w:val="0061071E"/>
    <w:rsid w:val="00612858"/>
    <w:rsid w:val="00621280"/>
    <w:rsid w:val="00621E4C"/>
    <w:rsid w:val="00632FA3"/>
    <w:rsid w:val="006346EC"/>
    <w:rsid w:val="006429C3"/>
    <w:rsid w:val="00647888"/>
    <w:rsid w:val="0065763F"/>
    <w:rsid w:val="00664D0E"/>
    <w:rsid w:val="006655DB"/>
    <w:rsid w:val="00667B84"/>
    <w:rsid w:val="0067141E"/>
    <w:rsid w:val="0067799F"/>
    <w:rsid w:val="00693A55"/>
    <w:rsid w:val="00697947"/>
    <w:rsid w:val="006A1F03"/>
    <w:rsid w:val="006A49C8"/>
    <w:rsid w:val="006B432A"/>
    <w:rsid w:val="006B5585"/>
    <w:rsid w:val="006C23D6"/>
    <w:rsid w:val="006C3CDC"/>
    <w:rsid w:val="006D4452"/>
    <w:rsid w:val="006D517C"/>
    <w:rsid w:val="006D701D"/>
    <w:rsid w:val="006E2BA4"/>
    <w:rsid w:val="006E7EB8"/>
    <w:rsid w:val="006F35F9"/>
    <w:rsid w:val="006F6E5A"/>
    <w:rsid w:val="006F7F4F"/>
    <w:rsid w:val="00701056"/>
    <w:rsid w:val="00701573"/>
    <w:rsid w:val="00706602"/>
    <w:rsid w:val="007069B8"/>
    <w:rsid w:val="00710EDA"/>
    <w:rsid w:val="00711C34"/>
    <w:rsid w:val="00717AFC"/>
    <w:rsid w:val="00722FE7"/>
    <w:rsid w:val="0072348E"/>
    <w:rsid w:val="00732439"/>
    <w:rsid w:val="00733A65"/>
    <w:rsid w:val="007558ED"/>
    <w:rsid w:val="007566F9"/>
    <w:rsid w:val="007601CD"/>
    <w:rsid w:val="007674A5"/>
    <w:rsid w:val="00767943"/>
    <w:rsid w:val="00772C7E"/>
    <w:rsid w:val="0077697A"/>
    <w:rsid w:val="00781405"/>
    <w:rsid w:val="00783250"/>
    <w:rsid w:val="0078418E"/>
    <w:rsid w:val="00785D82"/>
    <w:rsid w:val="0078730F"/>
    <w:rsid w:val="00796503"/>
    <w:rsid w:val="007A2EF5"/>
    <w:rsid w:val="007A41CF"/>
    <w:rsid w:val="007A62B2"/>
    <w:rsid w:val="007B7050"/>
    <w:rsid w:val="007C1B8E"/>
    <w:rsid w:val="007C79AD"/>
    <w:rsid w:val="007C7EB7"/>
    <w:rsid w:val="007D336D"/>
    <w:rsid w:val="007D565B"/>
    <w:rsid w:val="007D641A"/>
    <w:rsid w:val="007E01C4"/>
    <w:rsid w:val="007E0782"/>
    <w:rsid w:val="007E479F"/>
    <w:rsid w:val="007E517F"/>
    <w:rsid w:val="007F2DDB"/>
    <w:rsid w:val="007F5AC0"/>
    <w:rsid w:val="007F6CAE"/>
    <w:rsid w:val="0080646E"/>
    <w:rsid w:val="008120FB"/>
    <w:rsid w:val="00813F14"/>
    <w:rsid w:val="00817257"/>
    <w:rsid w:val="00823861"/>
    <w:rsid w:val="00823EBA"/>
    <w:rsid w:val="00825CD9"/>
    <w:rsid w:val="00842421"/>
    <w:rsid w:val="008427D8"/>
    <w:rsid w:val="00863B49"/>
    <w:rsid w:val="00866244"/>
    <w:rsid w:val="0086747A"/>
    <w:rsid w:val="0087545F"/>
    <w:rsid w:val="008771BA"/>
    <w:rsid w:val="0088202E"/>
    <w:rsid w:val="008854CD"/>
    <w:rsid w:val="0089041E"/>
    <w:rsid w:val="00890B01"/>
    <w:rsid w:val="008A3DAC"/>
    <w:rsid w:val="008B3DDA"/>
    <w:rsid w:val="008C20C0"/>
    <w:rsid w:val="008C296C"/>
    <w:rsid w:val="008C4427"/>
    <w:rsid w:val="008E4D3B"/>
    <w:rsid w:val="008E5C61"/>
    <w:rsid w:val="008E7A18"/>
    <w:rsid w:val="008E7FA7"/>
    <w:rsid w:val="008F0324"/>
    <w:rsid w:val="008F0A3A"/>
    <w:rsid w:val="008F7896"/>
    <w:rsid w:val="00902A3E"/>
    <w:rsid w:val="009072BC"/>
    <w:rsid w:val="009161DA"/>
    <w:rsid w:val="00917107"/>
    <w:rsid w:val="009270F1"/>
    <w:rsid w:val="009301AA"/>
    <w:rsid w:val="00933ED0"/>
    <w:rsid w:val="00933FB3"/>
    <w:rsid w:val="00934091"/>
    <w:rsid w:val="00937C8A"/>
    <w:rsid w:val="00943626"/>
    <w:rsid w:val="00954441"/>
    <w:rsid w:val="009544B9"/>
    <w:rsid w:val="00962EB0"/>
    <w:rsid w:val="009658A1"/>
    <w:rsid w:val="009673ED"/>
    <w:rsid w:val="009734A5"/>
    <w:rsid w:val="00974FD5"/>
    <w:rsid w:val="00975464"/>
    <w:rsid w:val="00990BC4"/>
    <w:rsid w:val="009A2BFE"/>
    <w:rsid w:val="009A5914"/>
    <w:rsid w:val="009A7979"/>
    <w:rsid w:val="009B5B4C"/>
    <w:rsid w:val="009C7021"/>
    <w:rsid w:val="009D23DA"/>
    <w:rsid w:val="009D577D"/>
    <w:rsid w:val="009E1891"/>
    <w:rsid w:val="009E3242"/>
    <w:rsid w:val="009E3924"/>
    <w:rsid w:val="009F0D66"/>
    <w:rsid w:val="009F5B28"/>
    <w:rsid w:val="00A01D2C"/>
    <w:rsid w:val="00A02B54"/>
    <w:rsid w:val="00A13622"/>
    <w:rsid w:val="00A17190"/>
    <w:rsid w:val="00A234F7"/>
    <w:rsid w:val="00A312DF"/>
    <w:rsid w:val="00A54B54"/>
    <w:rsid w:val="00A752DA"/>
    <w:rsid w:val="00A75EDB"/>
    <w:rsid w:val="00A77F8E"/>
    <w:rsid w:val="00A849A6"/>
    <w:rsid w:val="00A9330B"/>
    <w:rsid w:val="00AA04E3"/>
    <w:rsid w:val="00AA7374"/>
    <w:rsid w:val="00AB0BF3"/>
    <w:rsid w:val="00AB1AF6"/>
    <w:rsid w:val="00AB782D"/>
    <w:rsid w:val="00AB7C8D"/>
    <w:rsid w:val="00AC0F06"/>
    <w:rsid w:val="00AC2670"/>
    <w:rsid w:val="00AC2BCA"/>
    <w:rsid w:val="00AC6134"/>
    <w:rsid w:val="00AC6842"/>
    <w:rsid w:val="00AC7EBA"/>
    <w:rsid w:val="00AD2143"/>
    <w:rsid w:val="00AD531A"/>
    <w:rsid w:val="00AF0E34"/>
    <w:rsid w:val="00AF5135"/>
    <w:rsid w:val="00B01329"/>
    <w:rsid w:val="00B025BF"/>
    <w:rsid w:val="00B0450F"/>
    <w:rsid w:val="00B0677B"/>
    <w:rsid w:val="00B11662"/>
    <w:rsid w:val="00B12324"/>
    <w:rsid w:val="00B14FC7"/>
    <w:rsid w:val="00B16916"/>
    <w:rsid w:val="00B20C7E"/>
    <w:rsid w:val="00B21E00"/>
    <w:rsid w:val="00B22A33"/>
    <w:rsid w:val="00B25321"/>
    <w:rsid w:val="00B26E62"/>
    <w:rsid w:val="00B30717"/>
    <w:rsid w:val="00B3073F"/>
    <w:rsid w:val="00B32FEF"/>
    <w:rsid w:val="00B45570"/>
    <w:rsid w:val="00B463CC"/>
    <w:rsid w:val="00B56581"/>
    <w:rsid w:val="00B56630"/>
    <w:rsid w:val="00B6018F"/>
    <w:rsid w:val="00B63021"/>
    <w:rsid w:val="00B67B88"/>
    <w:rsid w:val="00B70709"/>
    <w:rsid w:val="00B83817"/>
    <w:rsid w:val="00B84B19"/>
    <w:rsid w:val="00B859F4"/>
    <w:rsid w:val="00B91A47"/>
    <w:rsid w:val="00B95B1D"/>
    <w:rsid w:val="00BA46A0"/>
    <w:rsid w:val="00BA72CB"/>
    <w:rsid w:val="00BB5205"/>
    <w:rsid w:val="00BC0097"/>
    <w:rsid w:val="00BC2ECB"/>
    <w:rsid w:val="00BD07B6"/>
    <w:rsid w:val="00BD1E29"/>
    <w:rsid w:val="00BD3064"/>
    <w:rsid w:val="00BE083C"/>
    <w:rsid w:val="00BF1D7A"/>
    <w:rsid w:val="00BF25EB"/>
    <w:rsid w:val="00BF4259"/>
    <w:rsid w:val="00BF4BA8"/>
    <w:rsid w:val="00C05A3A"/>
    <w:rsid w:val="00C06FC8"/>
    <w:rsid w:val="00C07160"/>
    <w:rsid w:val="00C07D67"/>
    <w:rsid w:val="00C11405"/>
    <w:rsid w:val="00C171B8"/>
    <w:rsid w:val="00C22CFE"/>
    <w:rsid w:val="00C26908"/>
    <w:rsid w:val="00C27A6D"/>
    <w:rsid w:val="00C3238B"/>
    <w:rsid w:val="00C324A8"/>
    <w:rsid w:val="00C47C49"/>
    <w:rsid w:val="00C53129"/>
    <w:rsid w:val="00C57D38"/>
    <w:rsid w:val="00C71A2E"/>
    <w:rsid w:val="00C73382"/>
    <w:rsid w:val="00C77EA7"/>
    <w:rsid w:val="00C82081"/>
    <w:rsid w:val="00C85DB8"/>
    <w:rsid w:val="00C9640A"/>
    <w:rsid w:val="00CB736F"/>
    <w:rsid w:val="00CB7CFA"/>
    <w:rsid w:val="00CC4263"/>
    <w:rsid w:val="00CD022F"/>
    <w:rsid w:val="00CD0757"/>
    <w:rsid w:val="00CD1FC8"/>
    <w:rsid w:val="00CD2496"/>
    <w:rsid w:val="00CD332E"/>
    <w:rsid w:val="00CD623C"/>
    <w:rsid w:val="00CE31E2"/>
    <w:rsid w:val="00CE6297"/>
    <w:rsid w:val="00CF3FA8"/>
    <w:rsid w:val="00CF7EA8"/>
    <w:rsid w:val="00CF7FB7"/>
    <w:rsid w:val="00D02A41"/>
    <w:rsid w:val="00D11C11"/>
    <w:rsid w:val="00D121DE"/>
    <w:rsid w:val="00D17383"/>
    <w:rsid w:val="00D176CF"/>
    <w:rsid w:val="00D24B12"/>
    <w:rsid w:val="00D312D7"/>
    <w:rsid w:val="00D36911"/>
    <w:rsid w:val="00D4479D"/>
    <w:rsid w:val="00D4633C"/>
    <w:rsid w:val="00D46D81"/>
    <w:rsid w:val="00D51892"/>
    <w:rsid w:val="00D51FA4"/>
    <w:rsid w:val="00D64668"/>
    <w:rsid w:val="00D66C6A"/>
    <w:rsid w:val="00D67B88"/>
    <w:rsid w:val="00D77B00"/>
    <w:rsid w:val="00D842C0"/>
    <w:rsid w:val="00D86442"/>
    <w:rsid w:val="00D93D02"/>
    <w:rsid w:val="00D955F1"/>
    <w:rsid w:val="00DA3801"/>
    <w:rsid w:val="00DB6E62"/>
    <w:rsid w:val="00DC4B57"/>
    <w:rsid w:val="00DD52FF"/>
    <w:rsid w:val="00DE27EF"/>
    <w:rsid w:val="00DE4AE4"/>
    <w:rsid w:val="00DE4ECF"/>
    <w:rsid w:val="00DE7F77"/>
    <w:rsid w:val="00DF0F8B"/>
    <w:rsid w:val="00DF1D4F"/>
    <w:rsid w:val="00DF5046"/>
    <w:rsid w:val="00E01CEE"/>
    <w:rsid w:val="00E07D04"/>
    <w:rsid w:val="00E15E37"/>
    <w:rsid w:val="00E22E63"/>
    <w:rsid w:val="00E234AF"/>
    <w:rsid w:val="00E23DDA"/>
    <w:rsid w:val="00E320AA"/>
    <w:rsid w:val="00E32B26"/>
    <w:rsid w:val="00E3427B"/>
    <w:rsid w:val="00E35BB3"/>
    <w:rsid w:val="00E3724E"/>
    <w:rsid w:val="00E4778F"/>
    <w:rsid w:val="00E50E61"/>
    <w:rsid w:val="00E5145E"/>
    <w:rsid w:val="00E71AC1"/>
    <w:rsid w:val="00E74591"/>
    <w:rsid w:val="00E82880"/>
    <w:rsid w:val="00E867EF"/>
    <w:rsid w:val="00E94E39"/>
    <w:rsid w:val="00EA0580"/>
    <w:rsid w:val="00EA2BEF"/>
    <w:rsid w:val="00EA7796"/>
    <w:rsid w:val="00EC060F"/>
    <w:rsid w:val="00EC32C1"/>
    <w:rsid w:val="00EC78CE"/>
    <w:rsid w:val="00ED3EF4"/>
    <w:rsid w:val="00ED7BD1"/>
    <w:rsid w:val="00EE39C5"/>
    <w:rsid w:val="00EE5A20"/>
    <w:rsid w:val="00F03F4C"/>
    <w:rsid w:val="00F126C9"/>
    <w:rsid w:val="00F1284D"/>
    <w:rsid w:val="00F22A82"/>
    <w:rsid w:val="00F30BA8"/>
    <w:rsid w:val="00F3666E"/>
    <w:rsid w:val="00F41181"/>
    <w:rsid w:val="00F4133D"/>
    <w:rsid w:val="00F414D8"/>
    <w:rsid w:val="00F41B2B"/>
    <w:rsid w:val="00F46BBB"/>
    <w:rsid w:val="00F52B9B"/>
    <w:rsid w:val="00F52D75"/>
    <w:rsid w:val="00F54E75"/>
    <w:rsid w:val="00F56CB6"/>
    <w:rsid w:val="00F621B8"/>
    <w:rsid w:val="00F62B4F"/>
    <w:rsid w:val="00F649F3"/>
    <w:rsid w:val="00F65161"/>
    <w:rsid w:val="00F67310"/>
    <w:rsid w:val="00F67441"/>
    <w:rsid w:val="00F75261"/>
    <w:rsid w:val="00F8232A"/>
    <w:rsid w:val="00F83EB5"/>
    <w:rsid w:val="00F8412E"/>
    <w:rsid w:val="00F972B0"/>
    <w:rsid w:val="00FA4BAD"/>
    <w:rsid w:val="00FA7DFC"/>
    <w:rsid w:val="00FB0723"/>
    <w:rsid w:val="00FB55B0"/>
    <w:rsid w:val="00FB72F9"/>
    <w:rsid w:val="00FC210A"/>
    <w:rsid w:val="00FE3E79"/>
    <w:rsid w:val="00FF0371"/>
    <w:rsid w:val="00FF7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54"/>
    <w:pPr>
      <w:ind w:left="720"/>
      <w:contextualSpacing/>
    </w:pPr>
  </w:style>
  <w:style w:type="table" w:styleId="TableGrid">
    <w:name w:val="Table Grid"/>
    <w:basedOn w:val="TableNormal"/>
    <w:uiPriority w:val="39"/>
    <w:rsid w:val="00AB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383"/>
    <w:rPr>
      <w:rFonts w:ascii="Tahoma" w:hAnsi="Tahoma" w:cs="Tahoma"/>
      <w:sz w:val="16"/>
      <w:szCs w:val="16"/>
    </w:rPr>
  </w:style>
  <w:style w:type="paragraph" w:styleId="BodyTextIndent2">
    <w:name w:val="Body Text Indent 2"/>
    <w:basedOn w:val="Normal"/>
    <w:link w:val="BodyTextIndent2Char"/>
    <w:rsid w:val="00933ED0"/>
    <w:pPr>
      <w:spacing w:after="0" w:line="240" w:lineRule="auto"/>
      <w:ind w:left="720" w:hanging="720"/>
      <w:jc w:val="both"/>
    </w:pPr>
    <w:rPr>
      <w:rFonts w:ascii="Arial Narrow" w:eastAsia="Times New Roman" w:hAnsi="Arial Narrow" w:cs="Times New Roman"/>
      <w:sz w:val="24"/>
      <w:szCs w:val="24"/>
      <w:lang w:val="en-ZA"/>
    </w:rPr>
  </w:style>
  <w:style w:type="character" w:customStyle="1" w:styleId="BodyTextIndent2Char">
    <w:name w:val="Body Text Indent 2 Char"/>
    <w:basedOn w:val="DefaultParagraphFont"/>
    <w:link w:val="BodyTextIndent2"/>
    <w:rsid w:val="00933ED0"/>
    <w:rPr>
      <w:rFonts w:ascii="Arial Narrow" w:eastAsia="Times New Roman" w:hAnsi="Arial Narrow" w:cs="Times New Roman"/>
      <w:sz w:val="24"/>
      <w:szCs w:val="24"/>
      <w:lang w:val="en-ZA"/>
    </w:rPr>
  </w:style>
  <w:style w:type="paragraph" w:styleId="Header">
    <w:name w:val="header"/>
    <w:basedOn w:val="Normal"/>
    <w:link w:val="HeaderChar"/>
    <w:uiPriority w:val="99"/>
    <w:unhideWhenUsed/>
    <w:rsid w:val="00817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7"/>
  </w:style>
  <w:style w:type="paragraph" w:styleId="Footer">
    <w:name w:val="footer"/>
    <w:basedOn w:val="Normal"/>
    <w:link w:val="FooterChar"/>
    <w:uiPriority w:val="99"/>
    <w:unhideWhenUsed/>
    <w:rsid w:val="00817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7"/>
  </w:style>
  <w:style w:type="paragraph" w:customStyle="1" w:styleId="BodyA">
    <w:name w:val="Body A"/>
    <w:rsid w:val="00EE5A2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1">
    <w:name w:val="Table Grid1"/>
    <w:basedOn w:val="TableNormal"/>
    <w:next w:val="TableGrid"/>
    <w:uiPriority w:val="39"/>
    <w:rsid w:val="00B1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5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9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2E22-575A-4124-89B7-71652EAE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Rangata</dc:creator>
  <cp:lastModifiedBy>PUMZA</cp:lastModifiedBy>
  <cp:revision>2</cp:revision>
  <cp:lastPrinted>2015-10-26T10:09:00Z</cp:lastPrinted>
  <dcterms:created xsi:type="dcterms:W3CDTF">2015-10-29T13:00:00Z</dcterms:created>
  <dcterms:modified xsi:type="dcterms:W3CDTF">2015-10-29T13:00:00Z</dcterms:modified>
</cp:coreProperties>
</file>