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C33" w:rsidRDefault="00ED7C33" w:rsidP="00A33604">
      <w:pPr>
        <w:jc w:val="both"/>
        <w:rPr>
          <w:rFonts w:cs="Arial"/>
          <w:b/>
          <w:sz w:val="24"/>
          <w:szCs w:val="24"/>
        </w:rPr>
      </w:pPr>
      <w:bookmarkStart w:id="0" w:name="_GoBack"/>
      <w:bookmarkEnd w:id="0"/>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Pr="00ED7C33" w:rsidRDefault="00ED7C33" w:rsidP="00ED7C33">
      <w:pPr>
        <w:jc w:val="center"/>
        <w:rPr>
          <w:rFonts w:cs="Arial"/>
          <w:b/>
          <w:sz w:val="24"/>
          <w:szCs w:val="24"/>
        </w:rPr>
      </w:pPr>
      <w:r w:rsidRPr="00ED7C33">
        <w:rPr>
          <w:rFonts w:cs="Arial"/>
          <w:b/>
          <w:sz w:val="24"/>
          <w:szCs w:val="24"/>
        </w:rPr>
        <w:t>THE NATIONAL MINIMUM WAGE:</w:t>
      </w:r>
      <w:r w:rsidR="00AC2A55">
        <w:rPr>
          <w:rFonts w:cs="Arial"/>
          <w:b/>
          <w:sz w:val="24"/>
          <w:szCs w:val="24"/>
        </w:rPr>
        <w:t xml:space="preserve"> FURTHER COMMENTS </w:t>
      </w:r>
    </w:p>
    <w:p w:rsidR="00ED7C33" w:rsidRDefault="00ED7C33" w:rsidP="00ED7C33">
      <w:pPr>
        <w:jc w:val="center"/>
        <w:rPr>
          <w:rFonts w:cs="Arial"/>
          <w:b/>
          <w:sz w:val="24"/>
          <w:szCs w:val="24"/>
        </w:rPr>
      </w:pPr>
      <w:r w:rsidRPr="00ED7C33">
        <w:rPr>
          <w:rFonts w:cs="Arial"/>
          <w:b/>
          <w:sz w:val="24"/>
          <w:szCs w:val="24"/>
        </w:rPr>
        <w:t>A DISCUSSION DOCUMENT FOR THE PORTFOLIO COMMITTEE ON LABOUR</w:t>
      </w: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Default="004B3852" w:rsidP="00ED7C33">
      <w:pPr>
        <w:jc w:val="center"/>
        <w:rPr>
          <w:rFonts w:cs="Arial"/>
          <w:b/>
          <w:sz w:val="24"/>
          <w:szCs w:val="24"/>
        </w:rPr>
      </w:pPr>
    </w:p>
    <w:p w:rsidR="004B3852" w:rsidRPr="00ED7C33" w:rsidRDefault="00446B99" w:rsidP="00ED7C33">
      <w:pPr>
        <w:jc w:val="center"/>
        <w:rPr>
          <w:rFonts w:cs="Arial"/>
          <w:b/>
          <w:sz w:val="24"/>
          <w:szCs w:val="24"/>
        </w:rPr>
      </w:pPr>
      <w:r>
        <w:rPr>
          <w:rFonts w:cs="Arial"/>
          <w:b/>
          <w:sz w:val="24"/>
          <w:szCs w:val="24"/>
        </w:rPr>
        <w:t xml:space="preserve">21 </w:t>
      </w:r>
      <w:r w:rsidR="00AC2A55">
        <w:rPr>
          <w:rFonts w:cs="Arial"/>
          <w:b/>
          <w:sz w:val="24"/>
          <w:szCs w:val="24"/>
        </w:rPr>
        <w:t xml:space="preserve">October </w:t>
      </w:r>
      <w:r w:rsidR="004B3852">
        <w:rPr>
          <w:rFonts w:cs="Arial"/>
          <w:b/>
          <w:sz w:val="24"/>
          <w:szCs w:val="24"/>
        </w:rPr>
        <w:t>2015</w:t>
      </w: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ED7C33">
      <w:pPr>
        <w:jc w:val="center"/>
        <w:rPr>
          <w:rFonts w:cs="Arial"/>
          <w:b/>
          <w:sz w:val="24"/>
          <w:szCs w:val="24"/>
        </w:rPr>
      </w:pPr>
      <w:r>
        <w:rPr>
          <w:rFonts w:cs="Arial"/>
          <w:b/>
          <w:sz w:val="24"/>
          <w:szCs w:val="24"/>
        </w:rPr>
        <w:lastRenderedPageBreak/>
        <w:t>TABLE OF CONTENTS</w:t>
      </w:r>
    </w:p>
    <w:p w:rsidR="00ED7C33" w:rsidRDefault="00ED7C33" w:rsidP="00A33604">
      <w:pPr>
        <w:jc w:val="both"/>
        <w:rPr>
          <w:rFonts w:cs="Arial"/>
          <w:b/>
          <w:sz w:val="24"/>
          <w:szCs w:val="24"/>
        </w:rPr>
      </w:pPr>
    </w:p>
    <w:p w:rsidR="007D0E81" w:rsidRDefault="007D0E81" w:rsidP="00A33604">
      <w:pPr>
        <w:jc w:val="both"/>
        <w:rPr>
          <w:rFonts w:cs="Arial"/>
          <w:b/>
          <w:sz w:val="24"/>
          <w:szCs w:val="24"/>
        </w:rPr>
      </w:pPr>
    </w:p>
    <w:p w:rsidR="00ED7C33" w:rsidRDefault="00ED7C33" w:rsidP="00A33604">
      <w:pPr>
        <w:jc w:val="both"/>
        <w:rPr>
          <w:rFonts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75"/>
        <w:gridCol w:w="1427"/>
      </w:tblGrid>
      <w:tr w:rsidR="00ED7C33" w:rsidTr="007D0E81">
        <w:tc>
          <w:tcPr>
            <w:tcW w:w="8075" w:type="dxa"/>
            <w:tcBorders>
              <w:right w:val="single" w:sz="4" w:space="0" w:color="auto"/>
            </w:tcBorders>
          </w:tcPr>
          <w:p w:rsidR="00ED7C33" w:rsidRDefault="00ED7C33" w:rsidP="00ED7C33">
            <w:pPr>
              <w:jc w:val="both"/>
              <w:rPr>
                <w:rFonts w:cs="Arial"/>
                <w:b/>
                <w:sz w:val="24"/>
                <w:szCs w:val="24"/>
              </w:rPr>
            </w:pPr>
          </w:p>
          <w:p w:rsidR="00ED7C33" w:rsidRPr="00ED7C33" w:rsidRDefault="00EF2E4E" w:rsidP="00ED7C33">
            <w:pPr>
              <w:pStyle w:val="ListParagraph"/>
              <w:numPr>
                <w:ilvl w:val="0"/>
                <w:numId w:val="24"/>
              </w:numPr>
              <w:jc w:val="both"/>
              <w:rPr>
                <w:rFonts w:cs="Arial"/>
                <w:sz w:val="24"/>
                <w:szCs w:val="24"/>
              </w:rPr>
            </w:pPr>
            <w:r>
              <w:rPr>
                <w:rFonts w:cs="Arial"/>
                <w:sz w:val="24"/>
                <w:szCs w:val="24"/>
              </w:rPr>
              <w:t>The Agricultural Economy</w:t>
            </w:r>
          </w:p>
          <w:p w:rsidR="00ED7C33" w:rsidRPr="00ED7C33" w:rsidRDefault="00ED7C33" w:rsidP="00A33604">
            <w:pPr>
              <w:jc w:val="both"/>
              <w:rPr>
                <w:rFonts w:cs="Arial"/>
                <w:sz w:val="24"/>
                <w:szCs w:val="24"/>
              </w:rPr>
            </w:pPr>
          </w:p>
          <w:p w:rsidR="00B632BA" w:rsidRDefault="00B632BA" w:rsidP="00AC2A55">
            <w:pPr>
              <w:pStyle w:val="ListParagraph"/>
              <w:numPr>
                <w:ilvl w:val="0"/>
                <w:numId w:val="24"/>
              </w:numPr>
              <w:jc w:val="both"/>
              <w:rPr>
                <w:rFonts w:cs="Arial"/>
                <w:sz w:val="24"/>
                <w:szCs w:val="24"/>
              </w:rPr>
            </w:pPr>
            <w:r>
              <w:rPr>
                <w:rFonts w:cs="Arial"/>
                <w:sz w:val="24"/>
                <w:szCs w:val="24"/>
              </w:rPr>
              <w:t>Employment statistics in the Agriculture Sector</w:t>
            </w:r>
          </w:p>
          <w:p w:rsidR="00B632BA" w:rsidRPr="00B632BA" w:rsidRDefault="00B632BA" w:rsidP="00B632BA">
            <w:pPr>
              <w:pStyle w:val="ListParagraph"/>
              <w:rPr>
                <w:rFonts w:cs="Arial"/>
                <w:sz w:val="24"/>
                <w:szCs w:val="24"/>
              </w:rPr>
            </w:pPr>
          </w:p>
          <w:p w:rsidR="00AB6DAF" w:rsidRDefault="00A05F3C" w:rsidP="00AC2A55">
            <w:pPr>
              <w:pStyle w:val="ListParagraph"/>
              <w:numPr>
                <w:ilvl w:val="0"/>
                <w:numId w:val="24"/>
              </w:numPr>
              <w:jc w:val="both"/>
              <w:rPr>
                <w:rFonts w:cs="Arial"/>
                <w:sz w:val="24"/>
                <w:szCs w:val="24"/>
              </w:rPr>
            </w:pPr>
            <w:r>
              <w:rPr>
                <w:rFonts w:cs="Arial"/>
                <w:sz w:val="24"/>
                <w:szCs w:val="24"/>
              </w:rPr>
              <w:t xml:space="preserve">Living and Working Conditions on South </w:t>
            </w:r>
            <w:r w:rsidR="00351A09">
              <w:rPr>
                <w:rFonts w:cs="Arial"/>
                <w:sz w:val="24"/>
                <w:szCs w:val="24"/>
              </w:rPr>
              <w:t>A</w:t>
            </w:r>
            <w:r>
              <w:rPr>
                <w:rFonts w:cs="Arial"/>
                <w:sz w:val="24"/>
                <w:szCs w:val="24"/>
              </w:rPr>
              <w:t>fr</w:t>
            </w:r>
            <w:r w:rsidR="00351A09">
              <w:rPr>
                <w:rFonts w:cs="Arial"/>
                <w:sz w:val="24"/>
                <w:szCs w:val="24"/>
              </w:rPr>
              <w:t xml:space="preserve">ican Farms </w:t>
            </w:r>
          </w:p>
          <w:p w:rsidR="00AB6DAF" w:rsidRPr="00AB6DAF" w:rsidRDefault="00AB6DAF" w:rsidP="00AB6DAF">
            <w:pPr>
              <w:pStyle w:val="ListParagraph"/>
              <w:rPr>
                <w:rFonts w:cs="Arial"/>
                <w:sz w:val="24"/>
                <w:szCs w:val="24"/>
              </w:rPr>
            </w:pPr>
          </w:p>
          <w:p w:rsidR="00B348DA" w:rsidRDefault="004B3852" w:rsidP="004B3852">
            <w:pPr>
              <w:pStyle w:val="ListParagraph"/>
              <w:numPr>
                <w:ilvl w:val="0"/>
                <w:numId w:val="24"/>
              </w:numPr>
              <w:jc w:val="both"/>
              <w:rPr>
                <w:rFonts w:cs="Arial"/>
                <w:sz w:val="24"/>
                <w:szCs w:val="24"/>
              </w:rPr>
            </w:pPr>
            <w:r>
              <w:rPr>
                <w:rFonts w:cs="Arial"/>
                <w:sz w:val="24"/>
                <w:szCs w:val="24"/>
              </w:rPr>
              <w:t>Conclusion</w:t>
            </w:r>
          </w:p>
          <w:p w:rsidR="004B3852" w:rsidRPr="004B3852" w:rsidRDefault="004B3852" w:rsidP="004B3852">
            <w:pPr>
              <w:pStyle w:val="ListParagraph"/>
              <w:rPr>
                <w:rFonts w:cs="Arial"/>
                <w:sz w:val="24"/>
                <w:szCs w:val="24"/>
              </w:rPr>
            </w:pPr>
          </w:p>
          <w:p w:rsidR="004B3852" w:rsidRPr="004B3852" w:rsidRDefault="004B3852" w:rsidP="004B3852">
            <w:pPr>
              <w:pStyle w:val="ListParagraph"/>
              <w:numPr>
                <w:ilvl w:val="0"/>
                <w:numId w:val="24"/>
              </w:numPr>
              <w:jc w:val="both"/>
              <w:rPr>
                <w:rFonts w:cs="Arial"/>
                <w:sz w:val="24"/>
                <w:szCs w:val="24"/>
              </w:rPr>
            </w:pPr>
            <w:r>
              <w:rPr>
                <w:rFonts w:cs="Arial"/>
                <w:sz w:val="24"/>
                <w:szCs w:val="24"/>
              </w:rPr>
              <w:t>References</w:t>
            </w:r>
          </w:p>
          <w:p w:rsidR="00230B83" w:rsidRDefault="00230B83" w:rsidP="00A33604">
            <w:pPr>
              <w:jc w:val="both"/>
              <w:rPr>
                <w:rFonts w:cs="Arial"/>
                <w:b/>
                <w:sz w:val="24"/>
                <w:szCs w:val="24"/>
              </w:rPr>
            </w:pPr>
          </w:p>
        </w:tc>
        <w:tc>
          <w:tcPr>
            <w:tcW w:w="1427" w:type="dxa"/>
            <w:tcBorders>
              <w:left w:val="single" w:sz="4" w:space="0" w:color="auto"/>
              <w:right w:val="single" w:sz="4" w:space="0" w:color="auto"/>
            </w:tcBorders>
          </w:tcPr>
          <w:p w:rsidR="00ED7C33" w:rsidRDefault="00ED7C33" w:rsidP="004B3852">
            <w:pPr>
              <w:jc w:val="center"/>
              <w:rPr>
                <w:rFonts w:cs="Arial"/>
                <w:b/>
                <w:sz w:val="24"/>
                <w:szCs w:val="24"/>
              </w:rPr>
            </w:pPr>
          </w:p>
          <w:p w:rsidR="000C525F" w:rsidRDefault="005E695F" w:rsidP="007D0E81">
            <w:pPr>
              <w:jc w:val="center"/>
              <w:rPr>
                <w:rFonts w:cs="Arial"/>
                <w:b/>
                <w:sz w:val="24"/>
                <w:szCs w:val="24"/>
              </w:rPr>
            </w:pPr>
            <w:r>
              <w:rPr>
                <w:rFonts w:cs="Arial"/>
                <w:b/>
                <w:sz w:val="24"/>
                <w:szCs w:val="24"/>
              </w:rPr>
              <w:t>3</w:t>
            </w:r>
          </w:p>
          <w:p w:rsidR="00AC2A55" w:rsidRDefault="00AC2A55" w:rsidP="007D0E81">
            <w:pPr>
              <w:jc w:val="center"/>
              <w:rPr>
                <w:rFonts w:cs="Arial"/>
                <w:b/>
                <w:sz w:val="24"/>
                <w:szCs w:val="24"/>
              </w:rPr>
            </w:pPr>
          </w:p>
          <w:p w:rsidR="005E695F" w:rsidRDefault="005E695F" w:rsidP="007D0E81">
            <w:pPr>
              <w:jc w:val="center"/>
              <w:rPr>
                <w:rFonts w:cs="Arial"/>
                <w:b/>
                <w:sz w:val="24"/>
                <w:szCs w:val="24"/>
              </w:rPr>
            </w:pPr>
            <w:r>
              <w:rPr>
                <w:rFonts w:cs="Arial"/>
                <w:b/>
                <w:sz w:val="24"/>
                <w:szCs w:val="24"/>
              </w:rPr>
              <w:t>5</w:t>
            </w:r>
          </w:p>
          <w:p w:rsidR="005E695F" w:rsidRDefault="005E695F" w:rsidP="007D0E81">
            <w:pPr>
              <w:jc w:val="center"/>
              <w:rPr>
                <w:rFonts w:cs="Arial"/>
                <w:b/>
                <w:sz w:val="24"/>
                <w:szCs w:val="24"/>
              </w:rPr>
            </w:pPr>
          </w:p>
          <w:p w:rsidR="005E695F" w:rsidRDefault="005E695F" w:rsidP="007D0E81">
            <w:pPr>
              <w:jc w:val="center"/>
              <w:rPr>
                <w:rFonts w:cs="Arial"/>
                <w:b/>
                <w:sz w:val="24"/>
                <w:szCs w:val="24"/>
              </w:rPr>
            </w:pPr>
            <w:r>
              <w:rPr>
                <w:rFonts w:cs="Arial"/>
                <w:b/>
                <w:sz w:val="24"/>
                <w:szCs w:val="24"/>
              </w:rPr>
              <w:t>7</w:t>
            </w:r>
          </w:p>
          <w:p w:rsidR="00AC2A55" w:rsidRDefault="00AC2A55" w:rsidP="007D0E81">
            <w:pPr>
              <w:jc w:val="center"/>
              <w:rPr>
                <w:rFonts w:cs="Arial"/>
                <w:b/>
                <w:sz w:val="24"/>
                <w:szCs w:val="24"/>
              </w:rPr>
            </w:pPr>
          </w:p>
          <w:p w:rsidR="005E695F" w:rsidRDefault="005E695F" w:rsidP="007D0E81">
            <w:pPr>
              <w:jc w:val="center"/>
              <w:rPr>
                <w:rFonts w:cs="Arial"/>
                <w:b/>
                <w:sz w:val="24"/>
                <w:szCs w:val="24"/>
              </w:rPr>
            </w:pPr>
          </w:p>
          <w:p w:rsidR="005E695F" w:rsidRDefault="005E695F" w:rsidP="007D0E81">
            <w:pPr>
              <w:jc w:val="center"/>
              <w:rPr>
                <w:rFonts w:cs="Arial"/>
                <w:b/>
                <w:sz w:val="24"/>
                <w:szCs w:val="24"/>
              </w:rPr>
            </w:pPr>
            <w:r>
              <w:rPr>
                <w:rFonts w:cs="Arial"/>
                <w:b/>
                <w:sz w:val="24"/>
                <w:szCs w:val="24"/>
              </w:rPr>
              <w:t>8</w:t>
            </w:r>
          </w:p>
          <w:p w:rsidR="005E695F" w:rsidRDefault="005E695F" w:rsidP="007D0E81">
            <w:pPr>
              <w:jc w:val="center"/>
              <w:rPr>
                <w:rFonts w:cs="Arial"/>
                <w:b/>
                <w:sz w:val="24"/>
                <w:szCs w:val="24"/>
              </w:rPr>
            </w:pPr>
          </w:p>
          <w:p w:rsidR="005E695F" w:rsidRDefault="005E695F" w:rsidP="007D0E81">
            <w:pPr>
              <w:jc w:val="center"/>
              <w:rPr>
                <w:rFonts w:cs="Arial"/>
                <w:b/>
                <w:sz w:val="24"/>
                <w:szCs w:val="24"/>
              </w:rPr>
            </w:pPr>
            <w:r>
              <w:rPr>
                <w:rFonts w:cs="Arial"/>
                <w:b/>
                <w:sz w:val="24"/>
                <w:szCs w:val="24"/>
              </w:rPr>
              <w:t>9</w:t>
            </w:r>
          </w:p>
          <w:p w:rsidR="00AC2A55" w:rsidRDefault="00AC2A55" w:rsidP="007D0E81">
            <w:pPr>
              <w:jc w:val="center"/>
              <w:rPr>
                <w:rFonts w:cs="Arial"/>
                <w:b/>
                <w:sz w:val="24"/>
                <w:szCs w:val="24"/>
              </w:rPr>
            </w:pPr>
          </w:p>
        </w:tc>
      </w:tr>
    </w:tbl>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ED7C33" w:rsidRDefault="00ED7C33" w:rsidP="00A33604">
      <w:pPr>
        <w:jc w:val="both"/>
        <w:rPr>
          <w:rFonts w:cs="Arial"/>
          <w:b/>
          <w:sz w:val="24"/>
          <w:szCs w:val="24"/>
        </w:rPr>
      </w:pPr>
    </w:p>
    <w:p w:rsidR="00AC2A55" w:rsidRDefault="00AC2A55" w:rsidP="00A33604">
      <w:pPr>
        <w:jc w:val="both"/>
        <w:rPr>
          <w:rFonts w:cs="Arial"/>
          <w:b/>
          <w:sz w:val="24"/>
          <w:szCs w:val="24"/>
        </w:rPr>
      </w:pPr>
    </w:p>
    <w:p w:rsidR="00AC2A55" w:rsidRDefault="00AC2A55" w:rsidP="00A33604">
      <w:pPr>
        <w:jc w:val="both"/>
        <w:rPr>
          <w:rFonts w:cs="Arial"/>
          <w:b/>
          <w:sz w:val="24"/>
          <w:szCs w:val="24"/>
        </w:rPr>
      </w:pPr>
    </w:p>
    <w:p w:rsidR="00327D43" w:rsidRDefault="00327D43" w:rsidP="00A33604">
      <w:pPr>
        <w:jc w:val="both"/>
        <w:rPr>
          <w:rFonts w:cs="Arial"/>
          <w:b/>
          <w:sz w:val="24"/>
          <w:szCs w:val="24"/>
        </w:rPr>
      </w:pPr>
    </w:p>
    <w:p w:rsidR="00327D43" w:rsidRDefault="00327D43" w:rsidP="00A33604">
      <w:pPr>
        <w:jc w:val="both"/>
        <w:rPr>
          <w:rFonts w:cs="Arial"/>
          <w:b/>
          <w:sz w:val="24"/>
          <w:szCs w:val="24"/>
        </w:rPr>
      </w:pPr>
    </w:p>
    <w:p w:rsidR="00327D43" w:rsidRDefault="00327D43" w:rsidP="00A33604">
      <w:pPr>
        <w:jc w:val="both"/>
        <w:rPr>
          <w:rFonts w:cs="Arial"/>
          <w:b/>
          <w:sz w:val="24"/>
          <w:szCs w:val="24"/>
        </w:rPr>
      </w:pPr>
    </w:p>
    <w:p w:rsidR="00327D43" w:rsidRDefault="00327D43" w:rsidP="00A33604">
      <w:pPr>
        <w:jc w:val="both"/>
        <w:rPr>
          <w:rFonts w:cs="Arial"/>
          <w:b/>
          <w:sz w:val="24"/>
          <w:szCs w:val="24"/>
        </w:rPr>
      </w:pPr>
    </w:p>
    <w:p w:rsidR="005E695F" w:rsidRDefault="005E695F" w:rsidP="00A33604">
      <w:pPr>
        <w:jc w:val="both"/>
        <w:rPr>
          <w:rFonts w:cs="Arial"/>
          <w:b/>
          <w:sz w:val="24"/>
          <w:szCs w:val="24"/>
        </w:rPr>
      </w:pPr>
    </w:p>
    <w:p w:rsidR="005E695F" w:rsidRDefault="005E695F" w:rsidP="00A33604">
      <w:pPr>
        <w:jc w:val="both"/>
        <w:rPr>
          <w:rFonts w:cs="Arial"/>
          <w:b/>
          <w:sz w:val="24"/>
          <w:szCs w:val="24"/>
        </w:rPr>
      </w:pPr>
    </w:p>
    <w:p w:rsidR="00327D43" w:rsidRDefault="00327D43" w:rsidP="00A33604">
      <w:pPr>
        <w:jc w:val="both"/>
        <w:rPr>
          <w:rFonts w:cs="Arial"/>
          <w:b/>
          <w:sz w:val="24"/>
          <w:szCs w:val="24"/>
        </w:rPr>
      </w:pPr>
    </w:p>
    <w:p w:rsidR="00327D43" w:rsidRDefault="00327D43" w:rsidP="00A33604">
      <w:pPr>
        <w:jc w:val="both"/>
        <w:rPr>
          <w:rFonts w:cs="Arial"/>
          <w:b/>
          <w:sz w:val="24"/>
          <w:szCs w:val="24"/>
        </w:rPr>
      </w:pPr>
    </w:p>
    <w:p w:rsidR="00ED7C33" w:rsidRDefault="003F596C" w:rsidP="004B3852">
      <w:pPr>
        <w:jc w:val="center"/>
        <w:rPr>
          <w:rFonts w:cs="Arial"/>
          <w:b/>
          <w:sz w:val="24"/>
          <w:szCs w:val="24"/>
        </w:rPr>
      </w:pPr>
      <w:r w:rsidRPr="00A33604">
        <w:rPr>
          <w:rFonts w:cs="Arial"/>
          <w:b/>
          <w:sz w:val="24"/>
          <w:szCs w:val="24"/>
        </w:rPr>
        <w:lastRenderedPageBreak/>
        <w:t>THE NATIONAL MINIMUM WAGE</w:t>
      </w:r>
      <w:r w:rsidR="00ED7C33">
        <w:rPr>
          <w:rFonts w:cs="Arial"/>
          <w:b/>
          <w:sz w:val="24"/>
          <w:szCs w:val="24"/>
        </w:rPr>
        <w:t>:</w:t>
      </w:r>
      <w:r w:rsidR="00AC2A55">
        <w:rPr>
          <w:rFonts w:cs="Arial"/>
          <w:b/>
          <w:sz w:val="24"/>
          <w:szCs w:val="24"/>
        </w:rPr>
        <w:t xml:space="preserve"> FURTHER COMMENTS</w:t>
      </w:r>
    </w:p>
    <w:p w:rsidR="00286D61" w:rsidRPr="00A33604" w:rsidRDefault="00ED7C33" w:rsidP="004B3852">
      <w:pPr>
        <w:jc w:val="center"/>
        <w:rPr>
          <w:rFonts w:cs="Arial"/>
          <w:b/>
          <w:sz w:val="24"/>
          <w:szCs w:val="24"/>
        </w:rPr>
      </w:pPr>
      <w:r>
        <w:rPr>
          <w:rFonts w:cs="Arial"/>
          <w:b/>
          <w:sz w:val="24"/>
          <w:szCs w:val="24"/>
        </w:rPr>
        <w:t>A DISCUSSION DOCUMENT FOR THE PORTFOLIO COMMITTEE ON LABOUR</w:t>
      </w:r>
    </w:p>
    <w:p w:rsidR="00286D61" w:rsidRPr="00A33604" w:rsidRDefault="00286D61" w:rsidP="00A33604">
      <w:pPr>
        <w:jc w:val="both"/>
        <w:rPr>
          <w:rFonts w:cs="Arial"/>
          <w:b/>
          <w:sz w:val="24"/>
          <w:szCs w:val="24"/>
        </w:rPr>
      </w:pPr>
    </w:p>
    <w:p w:rsidR="00286D61" w:rsidRPr="00AC2A55" w:rsidRDefault="00AC2A55" w:rsidP="00AC2A55">
      <w:pPr>
        <w:pStyle w:val="ListParagraph"/>
        <w:numPr>
          <w:ilvl w:val="0"/>
          <w:numId w:val="27"/>
        </w:numPr>
        <w:spacing w:after="160"/>
        <w:jc w:val="both"/>
        <w:rPr>
          <w:rFonts w:eastAsia="Calibri" w:cs="Arial"/>
          <w:b/>
          <w:color w:val="auto"/>
          <w:spacing w:val="0"/>
          <w:sz w:val="22"/>
          <w:szCs w:val="22"/>
          <w:lang w:val="en-ZA" w:eastAsia="en-US"/>
        </w:rPr>
      </w:pPr>
      <w:r>
        <w:rPr>
          <w:rFonts w:eastAsia="Calibri" w:cs="Arial"/>
          <w:b/>
          <w:color w:val="auto"/>
          <w:spacing w:val="0"/>
          <w:sz w:val="22"/>
          <w:szCs w:val="22"/>
          <w:lang w:val="en-ZA" w:eastAsia="en-US"/>
        </w:rPr>
        <w:t xml:space="preserve"> </w:t>
      </w:r>
      <w:r>
        <w:rPr>
          <w:rFonts w:eastAsia="Calibri" w:cs="Arial"/>
          <w:b/>
          <w:color w:val="auto"/>
          <w:spacing w:val="0"/>
          <w:sz w:val="22"/>
          <w:szCs w:val="22"/>
          <w:lang w:val="en-ZA" w:eastAsia="en-US"/>
        </w:rPr>
        <w:tab/>
      </w:r>
      <w:r w:rsidR="00EF2E4E">
        <w:rPr>
          <w:rFonts w:eastAsia="Calibri" w:cs="Arial"/>
          <w:b/>
          <w:color w:val="auto"/>
          <w:spacing w:val="0"/>
          <w:sz w:val="22"/>
          <w:szCs w:val="22"/>
          <w:lang w:val="en-ZA" w:eastAsia="en-US"/>
        </w:rPr>
        <w:t>THE AGRICULTURAL ECONOMY</w:t>
      </w:r>
    </w:p>
    <w:p w:rsidR="00AC2A55" w:rsidRDefault="00AC2A55" w:rsidP="00645BF4">
      <w:pPr>
        <w:jc w:val="both"/>
        <w:rPr>
          <w:rFonts w:eastAsia="Calibri"/>
          <w:color w:val="auto"/>
          <w:sz w:val="22"/>
          <w:szCs w:val="22"/>
          <w:lang w:val="en-ZA" w:eastAsia="en-US"/>
        </w:rPr>
      </w:pPr>
    </w:p>
    <w:p w:rsidR="004508F0" w:rsidRPr="004C18F2" w:rsidRDefault="004508F0" w:rsidP="004C18F2">
      <w:pPr>
        <w:jc w:val="both"/>
        <w:rPr>
          <w:rFonts w:eastAsia="Calibri"/>
          <w:sz w:val="22"/>
          <w:szCs w:val="22"/>
          <w:lang w:val="en-ZA" w:eastAsia="en-US"/>
        </w:rPr>
      </w:pPr>
      <w:r w:rsidRPr="004C18F2">
        <w:rPr>
          <w:sz w:val="22"/>
          <w:szCs w:val="22"/>
          <w:lang w:val="en-ZA" w:eastAsia="en-ZA"/>
        </w:rPr>
        <w:t>The value of primary agricultural production in South Africa was R218, 0 billion in 2014, while its contribution to the GDP was R62, 8 billion in 2013. Over the years, the other sectors of the South African economy have grown faster than the agriculture, forestry, hunting and fishing sector, resulting in a drop in agriculture’s sh</w:t>
      </w:r>
      <w:r w:rsidR="004C18F2" w:rsidRPr="004C18F2">
        <w:rPr>
          <w:sz w:val="22"/>
          <w:szCs w:val="22"/>
          <w:lang w:val="en-ZA" w:eastAsia="en-ZA"/>
        </w:rPr>
        <w:t>are of the GDP from more than 6 per cent</w:t>
      </w:r>
      <w:r w:rsidRPr="004C18F2">
        <w:rPr>
          <w:sz w:val="22"/>
          <w:szCs w:val="22"/>
          <w:lang w:val="en-ZA" w:eastAsia="en-ZA"/>
        </w:rPr>
        <w:t xml:space="preserve"> in the 1970s to 1,</w:t>
      </w:r>
      <w:r w:rsidR="004C18F2" w:rsidRPr="004C18F2">
        <w:rPr>
          <w:sz w:val="22"/>
          <w:szCs w:val="22"/>
          <w:lang w:val="en-ZA" w:eastAsia="en-ZA"/>
        </w:rPr>
        <w:t xml:space="preserve"> 9 per cent</w:t>
      </w:r>
      <w:r w:rsidRPr="004C18F2">
        <w:rPr>
          <w:sz w:val="22"/>
          <w:szCs w:val="22"/>
          <w:lang w:val="en-ZA" w:eastAsia="en-ZA"/>
        </w:rPr>
        <w:t xml:space="preserve"> in 2013. Despite its relatively small share of the total GDP, primary agriculture is an important sector in the South African economy. Agriculture remains a significant provider of employment, especially in the rural areas, and a major earner of foreign exchange. Agriculture’s prominent, indirect role in the economy is a function of backward and forward linkages to other sectors. Purchases of goods such as fertilisers, chemicals and implements form backward linkages with the manufacturing sector, while forward linkages are established through the supply of raw materials to the m</w:t>
      </w:r>
      <w:r w:rsidR="004C18F2" w:rsidRPr="004C18F2">
        <w:rPr>
          <w:sz w:val="22"/>
          <w:szCs w:val="22"/>
          <w:lang w:val="en-ZA" w:eastAsia="en-ZA"/>
        </w:rPr>
        <w:t>anufacturing industry. About 70 per cent</w:t>
      </w:r>
      <w:r w:rsidRPr="004C18F2">
        <w:rPr>
          <w:sz w:val="22"/>
          <w:szCs w:val="22"/>
          <w:lang w:val="en-ZA" w:eastAsia="en-ZA"/>
        </w:rPr>
        <w:t xml:space="preserve"> of agricultural output is used as intermediate products in the sector. Agriculture is therefore a crucial sector and an important engine of growth for the rest of the economy.</w:t>
      </w:r>
    </w:p>
    <w:p w:rsidR="004508F0" w:rsidRPr="004C18F2" w:rsidRDefault="004508F0" w:rsidP="004C18F2">
      <w:pPr>
        <w:jc w:val="both"/>
        <w:rPr>
          <w:rFonts w:eastAsia="Calibri"/>
          <w:sz w:val="22"/>
          <w:szCs w:val="22"/>
          <w:lang w:val="en-ZA" w:eastAsia="en-US"/>
        </w:rPr>
      </w:pPr>
    </w:p>
    <w:p w:rsidR="000B5127" w:rsidRPr="004C18F2" w:rsidRDefault="000B5127" w:rsidP="004C18F2">
      <w:pPr>
        <w:jc w:val="both"/>
        <w:rPr>
          <w:sz w:val="22"/>
          <w:szCs w:val="22"/>
          <w:lang w:val="en-ZA" w:eastAsia="en-ZA"/>
        </w:rPr>
      </w:pPr>
      <w:r w:rsidRPr="004C18F2">
        <w:rPr>
          <w:sz w:val="22"/>
          <w:szCs w:val="22"/>
          <w:lang w:val="en-ZA" w:eastAsia="en-ZA"/>
        </w:rPr>
        <w:t>While the primary agricult</w:t>
      </w:r>
      <w:r w:rsidR="004C18F2" w:rsidRPr="004C18F2">
        <w:rPr>
          <w:sz w:val="22"/>
          <w:szCs w:val="22"/>
          <w:lang w:val="en-ZA" w:eastAsia="en-ZA"/>
        </w:rPr>
        <w:t>ural sector contributes about 3 per cent</w:t>
      </w:r>
      <w:r w:rsidRPr="004C18F2">
        <w:rPr>
          <w:sz w:val="22"/>
          <w:szCs w:val="22"/>
          <w:lang w:val="en-ZA" w:eastAsia="en-ZA"/>
        </w:rPr>
        <w:t xml:space="preserve"> to the country's gross domestic produ</w:t>
      </w:r>
      <w:r w:rsidR="004C18F2" w:rsidRPr="004C18F2">
        <w:rPr>
          <w:sz w:val="22"/>
          <w:szCs w:val="22"/>
          <w:lang w:val="en-ZA" w:eastAsia="en-ZA"/>
        </w:rPr>
        <w:t>ct (GDP), it represents about 7 per cent</w:t>
      </w:r>
      <w:r w:rsidRPr="004C18F2">
        <w:rPr>
          <w:sz w:val="22"/>
          <w:szCs w:val="22"/>
          <w:lang w:val="en-ZA" w:eastAsia="en-ZA"/>
        </w:rPr>
        <w:t xml:space="preserve"> of formal employment. If the entire value chain of agriculture is taken into account, its contr</w:t>
      </w:r>
      <w:r w:rsidR="004C18F2" w:rsidRPr="004C18F2">
        <w:rPr>
          <w:sz w:val="22"/>
          <w:szCs w:val="22"/>
          <w:lang w:val="en-ZA" w:eastAsia="en-ZA"/>
        </w:rPr>
        <w:t>ibution to GDP reaches about 12 per cent</w:t>
      </w:r>
      <w:r w:rsidRPr="004C18F2">
        <w:rPr>
          <w:sz w:val="22"/>
          <w:szCs w:val="22"/>
          <w:lang w:val="en-ZA" w:eastAsia="en-ZA"/>
        </w:rPr>
        <w:t xml:space="preserve">. Agricultural activities range from intensive crop production and mixed farming to cattle-ranching in the bushveld and sheep-farming in </w:t>
      </w:r>
      <w:r w:rsidR="004C18F2" w:rsidRPr="004C18F2">
        <w:rPr>
          <w:sz w:val="22"/>
          <w:szCs w:val="22"/>
          <w:lang w:val="en-ZA" w:eastAsia="en-ZA"/>
        </w:rPr>
        <w:t>the more arid regions. About 12 per cent</w:t>
      </w:r>
      <w:r w:rsidRPr="004C18F2">
        <w:rPr>
          <w:sz w:val="22"/>
          <w:szCs w:val="22"/>
          <w:lang w:val="en-ZA" w:eastAsia="en-ZA"/>
        </w:rPr>
        <w:t xml:space="preserve"> of South Africa's surface area can be used for crop production. High-potential arable </w:t>
      </w:r>
      <w:r w:rsidR="004C18F2" w:rsidRPr="004C18F2">
        <w:rPr>
          <w:sz w:val="22"/>
          <w:szCs w:val="22"/>
          <w:lang w:val="en-ZA" w:eastAsia="en-ZA"/>
        </w:rPr>
        <w:t>land comprises only 22 per cent</w:t>
      </w:r>
      <w:r w:rsidRPr="004C18F2">
        <w:rPr>
          <w:sz w:val="22"/>
          <w:szCs w:val="22"/>
          <w:lang w:val="en-ZA" w:eastAsia="en-ZA"/>
        </w:rPr>
        <w:t xml:space="preserve"> of total arable land. Some 1,3 million ha are under irrigation.</w:t>
      </w:r>
    </w:p>
    <w:p w:rsidR="00645BF4" w:rsidRPr="004C18F2" w:rsidRDefault="00645BF4" w:rsidP="004C18F2">
      <w:pPr>
        <w:jc w:val="both"/>
        <w:rPr>
          <w:rFonts w:cs="Arial"/>
          <w:sz w:val="22"/>
          <w:szCs w:val="22"/>
          <w:lang w:val="en-ZA" w:eastAsia="en-ZA"/>
        </w:rPr>
      </w:pPr>
    </w:p>
    <w:p w:rsidR="00645BF4" w:rsidRPr="004C18F2" w:rsidRDefault="00645BF4" w:rsidP="004C18F2">
      <w:pPr>
        <w:jc w:val="both"/>
        <w:rPr>
          <w:rFonts w:cs="Arial"/>
          <w:sz w:val="22"/>
          <w:szCs w:val="22"/>
          <w:lang w:val="en-ZA" w:eastAsia="en-ZA"/>
        </w:rPr>
      </w:pPr>
      <w:r w:rsidRPr="004C18F2">
        <w:rPr>
          <w:rFonts w:cs="Arial"/>
          <w:spacing w:val="0"/>
          <w:sz w:val="22"/>
          <w:szCs w:val="22"/>
          <w:lang w:val="en-ZA" w:eastAsia="en-ZA"/>
        </w:rPr>
        <w:t>The field crop planted over the largest area of farmland is maize, followed by wheat and, to a lesser extent, sugar cane and sunflower seed. The grain industry is one of the largest industries in South Africa and is a very strategic one. Agriculture forms a critical part of South Africa's socio-economic and socio-political stability. Animal producti</w:t>
      </w:r>
      <w:r w:rsidR="004C18F2" w:rsidRPr="004C18F2">
        <w:rPr>
          <w:rFonts w:cs="Arial"/>
          <w:spacing w:val="0"/>
          <w:sz w:val="22"/>
          <w:szCs w:val="22"/>
          <w:lang w:val="en-ZA" w:eastAsia="en-ZA"/>
        </w:rPr>
        <w:t>on contributes approximately 48 per cent</w:t>
      </w:r>
      <w:r w:rsidRPr="004C18F2">
        <w:rPr>
          <w:rFonts w:cs="Arial"/>
          <w:spacing w:val="0"/>
          <w:sz w:val="22"/>
          <w:szCs w:val="22"/>
          <w:lang w:val="en-ZA" w:eastAsia="en-ZA"/>
        </w:rPr>
        <w:t xml:space="preserve"> to the country's agricultural output in terms of value. The industry employs about 500 000 people.</w:t>
      </w:r>
    </w:p>
    <w:p w:rsidR="000B5127" w:rsidRPr="004C18F2" w:rsidRDefault="000B5127" w:rsidP="004C18F2">
      <w:pPr>
        <w:jc w:val="both"/>
        <w:rPr>
          <w:rFonts w:eastAsia="Calibri" w:cs="Arial"/>
          <w:sz w:val="22"/>
          <w:szCs w:val="22"/>
          <w:lang w:val="en-ZA" w:eastAsia="en-US"/>
        </w:rPr>
      </w:pPr>
    </w:p>
    <w:p w:rsidR="00AC2A55" w:rsidRPr="004C18F2" w:rsidRDefault="00AC2A55" w:rsidP="004C18F2">
      <w:pPr>
        <w:jc w:val="both"/>
        <w:rPr>
          <w:rFonts w:cs="Arial"/>
          <w:sz w:val="22"/>
          <w:szCs w:val="22"/>
          <w:lang w:val="en-ZA" w:eastAsia="en-ZA"/>
        </w:rPr>
      </w:pPr>
      <w:r w:rsidRPr="004C18F2">
        <w:rPr>
          <w:rFonts w:eastAsia="Calibri" w:cs="Arial"/>
          <w:sz w:val="22"/>
          <w:szCs w:val="22"/>
          <w:lang w:val="en-ZA" w:eastAsia="en-US"/>
        </w:rPr>
        <w:t>Statistics South Africa notes that total income earned by the commercial farming sector was R182 980 million in 2013 compared with R164 363 million in 2012. The total income figures reflect growth of 11</w:t>
      </w:r>
      <w:r w:rsidR="00E359D8" w:rsidRPr="004C18F2">
        <w:rPr>
          <w:rFonts w:eastAsia="Calibri" w:cs="Arial"/>
          <w:sz w:val="22"/>
          <w:szCs w:val="22"/>
          <w:lang w:val="en-ZA" w:eastAsia="en-US"/>
        </w:rPr>
        <w:t>, 3</w:t>
      </w:r>
      <w:r w:rsidR="004C18F2" w:rsidRPr="004C18F2">
        <w:rPr>
          <w:rFonts w:eastAsia="Calibri" w:cs="Arial"/>
          <w:sz w:val="22"/>
          <w:szCs w:val="22"/>
          <w:lang w:val="en-ZA" w:eastAsia="en-US"/>
        </w:rPr>
        <w:t xml:space="preserve"> per cent</w:t>
      </w:r>
      <w:r w:rsidRPr="004C18F2">
        <w:rPr>
          <w:rFonts w:eastAsia="Calibri" w:cs="Arial"/>
          <w:sz w:val="22"/>
          <w:szCs w:val="22"/>
          <w:lang w:val="en-ZA" w:eastAsia="en-US"/>
        </w:rPr>
        <w:t xml:space="preserve"> between 2012 and 2013.</w:t>
      </w:r>
      <w:r w:rsidR="004508F0" w:rsidRPr="004C18F2">
        <w:rPr>
          <w:rFonts w:eastAsia="Calibri" w:cs="Arial"/>
          <w:sz w:val="22"/>
          <w:szCs w:val="22"/>
          <w:lang w:val="en-ZA" w:eastAsia="en-US"/>
        </w:rPr>
        <w:t xml:space="preserve"> </w:t>
      </w:r>
      <w:r w:rsidR="004508F0" w:rsidRPr="004C18F2">
        <w:rPr>
          <w:rFonts w:cs="Arial"/>
          <w:sz w:val="22"/>
          <w:szCs w:val="22"/>
          <w:lang w:val="en-ZA" w:eastAsia="en-ZA"/>
        </w:rPr>
        <w:t>Gross farming income from all agricultural products for the year ended 31 December 2014 is estimated at</w:t>
      </w:r>
      <w:r w:rsidR="00E359D8" w:rsidRPr="004C18F2">
        <w:rPr>
          <w:rFonts w:cs="Arial"/>
          <w:sz w:val="22"/>
          <w:szCs w:val="22"/>
          <w:lang w:val="en-ZA" w:eastAsia="en-ZA"/>
        </w:rPr>
        <w:t xml:space="preserve"> </w:t>
      </w:r>
      <w:r w:rsidR="004C18F2" w:rsidRPr="004C18F2">
        <w:rPr>
          <w:rFonts w:cs="Arial"/>
          <w:sz w:val="22"/>
          <w:szCs w:val="22"/>
          <w:lang w:val="en-ZA" w:eastAsia="en-ZA"/>
        </w:rPr>
        <w:t>R215 135 million, which is 13,2 per cent</w:t>
      </w:r>
      <w:r w:rsidR="004508F0" w:rsidRPr="004C18F2">
        <w:rPr>
          <w:rFonts w:cs="Arial"/>
          <w:sz w:val="22"/>
          <w:szCs w:val="22"/>
          <w:lang w:val="en-ZA" w:eastAsia="en-ZA"/>
        </w:rPr>
        <w:t xml:space="preserve"> higher than the previous year.</w:t>
      </w:r>
    </w:p>
    <w:p w:rsidR="004508F0" w:rsidRPr="004C18F2" w:rsidRDefault="004508F0" w:rsidP="004C18F2">
      <w:pPr>
        <w:jc w:val="both"/>
        <w:rPr>
          <w:rFonts w:eastAsia="Calibri" w:cs="Arial"/>
          <w:sz w:val="22"/>
          <w:szCs w:val="22"/>
          <w:lang w:val="en-ZA" w:eastAsia="en-US"/>
        </w:rPr>
      </w:pPr>
    </w:p>
    <w:p w:rsidR="00AC2A55" w:rsidRDefault="003F5104" w:rsidP="004C18F2">
      <w:pPr>
        <w:jc w:val="both"/>
        <w:rPr>
          <w:sz w:val="22"/>
          <w:szCs w:val="22"/>
        </w:rPr>
      </w:pPr>
      <w:r w:rsidRPr="004C18F2">
        <w:rPr>
          <w:sz w:val="22"/>
          <w:szCs w:val="22"/>
        </w:rPr>
        <w:lastRenderedPageBreak/>
        <w:t>With regard to overall employment Statistics South Africa notes that the number of employed people increased for five subsequent quarters since Q2: 2014, with the largest gain recorded in Q4: 2014 at 203 000. Employment increased by 198 000 in the second quarter of 2015 after an increase of 140 000 in the first quarter of 2015. Historically employment gains have been observed in the second quarter of every year.</w:t>
      </w:r>
    </w:p>
    <w:p w:rsidR="004C18F2" w:rsidRPr="004C18F2" w:rsidRDefault="004C18F2" w:rsidP="004C18F2">
      <w:pPr>
        <w:jc w:val="both"/>
        <w:rPr>
          <w:sz w:val="22"/>
          <w:szCs w:val="22"/>
        </w:rPr>
      </w:pPr>
    </w:p>
    <w:p w:rsidR="002671AF" w:rsidRPr="004C18F2" w:rsidRDefault="002671AF" w:rsidP="004C18F2">
      <w:pPr>
        <w:jc w:val="both"/>
        <w:rPr>
          <w:sz w:val="22"/>
          <w:szCs w:val="22"/>
        </w:rPr>
      </w:pPr>
      <w:r w:rsidRPr="004C18F2">
        <w:rPr>
          <w:sz w:val="22"/>
          <w:szCs w:val="22"/>
        </w:rPr>
        <w:t>According to the 2011 Census, 759 127 households with an aggregate popul</w:t>
      </w:r>
      <w:r w:rsidR="004C18F2" w:rsidRPr="004C18F2">
        <w:rPr>
          <w:sz w:val="22"/>
          <w:szCs w:val="22"/>
        </w:rPr>
        <w:t>ation of 2 732 605 people (5.28 per cent</w:t>
      </w:r>
      <w:r w:rsidRPr="004C18F2">
        <w:rPr>
          <w:sz w:val="22"/>
          <w:szCs w:val="22"/>
        </w:rPr>
        <w:t xml:space="preserve"> of South Africa’s population) lived in </w:t>
      </w:r>
      <w:r w:rsidRPr="004C18F2">
        <w:rPr>
          <w:i/>
          <w:iCs/>
          <w:sz w:val="22"/>
          <w:szCs w:val="22"/>
        </w:rPr>
        <w:t xml:space="preserve">Farm areas </w:t>
      </w:r>
      <w:r w:rsidRPr="004C18F2">
        <w:rPr>
          <w:sz w:val="22"/>
          <w:szCs w:val="22"/>
        </w:rPr>
        <w:t xml:space="preserve">of South Africa in 2011, of whom 592 298 households with a population of 2 078 723 people lived on farms. At least 91.2 per cent of the </w:t>
      </w:r>
      <w:r w:rsidRPr="004C18F2">
        <w:rPr>
          <w:i/>
          <w:iCs/>
          <w:sz w:val="22"/>
          <w:szCs w:val="22"/>
        </w:rPr>
        <w:t xml:space="preserve">Farm Area </w:t>
      </w:r>
      <w:r w:rsidRPr="004C18F2">
        <w:rPr>
          <w:sz w:val="22"/>
          <w:szCs w:val="22"/>
        </w:rPr>
        <w:t xml:space="preserve">population was South African citizens, and at least 4.9 per cent was not. Excluding employed people who earn no income (typically business owners and family members working in those businesses) and those who did not specify their incomes, 65.1 per cent of employed Farm dwellers earned R1 600 or less per month, and a further 17.2 per cent earned between R16 001 and R3 200 per month in 2011. However, 2.5 per cent earned more than R25 600 per month. </w:t>
      </w:r>
    </w:p>
    <w:p w:rsidR="002671AF" w:rsidRPr="004C18F2" w:rsidRDefault="002671AF" w:rsidP="004C18F2">
      <w:pPr>
        <w:jc w:val="both"/>
        <w:rPr>
          <w:sz w:val="22"/>
          <w:szCs w:val="22"/>
        </w:rPr>
      </w:pPr>
    </w:p>
    <w:p w:rsidR="00953851" w:rsidRDefault="00E359D8" w:rsidP="004C18F2">
      <w:pPr>
        <w:jc w:val="both"/>
        <w:rPr>
          <w:sz w:val="22"/>
          <w:szCs w:val="22"/>
        </w:rPr>
      </w:pPr>
      <w:r w:rsidRPr="004C18F2">
        <w:rPr>
          <w:sz w:val="22"/>
          <w:szCs w:val="22"/>
        </w:rPr>
        <w:t>Employment relations between farm workers and their employers are in the spotlight following violent farm worker protests in the Western Cape in November 2012 and the revision of the Sectoral Determination 13: Farm Worker Sector in March 2013.</w:t>
      </w:r>
      <w:r w:rsidR="006F4295" w:rsidRPr="004C18F2">
        <w:rPr>
          <w:sz w:val="22"/>
          <w:szCs w:val="22"/>
        </w:rPr>
        <w:t xml:space="preserve"> The literature highlights several impacts that an introduction of a minimum wage might have on a sector. The South African agricultural sector highlights that this impact is dynamic and can change over time. </w:t>
      </w:r>
    </w:p>
    <w:p w:rsidR="00953851" w:rsidRDefault="00953851" w:rsidP="004C18F2">
      <w:pPr>
        <w:jc w:val="both"/>
        <w:rPr>
          <w:sz w:val="22"/>
          <w:szCs w:val="22"/>
        </w:rPr>
      </w:pPr>
    </w:p>
    <w:p w:rsidR="00E359D8" w:rsidRPr="004C18F2" w:rsidRDefault="006F4295" w:rsidP="004C18F2">
      <w:pPr>
        <w:jc w:val="both"/>
        <w:rPr>
          <w:sz w:val="22"/>
          <w:szCs w:val="22"/>
        </w:rPr>
      </w:pPr>
      <w:r w:rsidRPr="004C18F2">
        <w:rPr>
          <w:sz w:val="22"/>
          <w:szCs w:val="22"/>
        </w:rPr>
        <w:t>Some of the impact of a minimum wage on a sector can include:</w:t>
      </w:r>
    </w:p>
    <w:p w:rsidR="006F4295" w:rsidRPr="004C18F2" w:rsidRDefault="006F4295" w:rsidP="004C18F2">
      <w:pPr>
        <w:jc w:val="both"/>
        <w:rPr>
          <w:sz w:val="22"/>
          <w:szCs w:val="22"/>
        </w:rPr>
      </w:pPr>
    </w:p>
    <w:p w:rsidR="006F4295" w:rsidRPr="00CC216E" w:rsidRDefault="006F4295" w:rsidP="00CC216E">
      <w:pPr>
        <w:pStyle w:val="ListParagraph"/>
        <w:numPr>
          <w:ilvl w:val="0"/>
          <w:numId w:val="33"/>
        </w:numPr>
        <w:jc w:val="both"/>
        <w:rPr>
          <w:sz w:val="22"/>
          <w:szCs w:val="22"/>
        </w:rPr>
      </w:pPr>
      <w:r w:rsidRPr="00CC216E">
        <w:rPr>
          <w:sz w:val="22"/>
          <w:szCs w:val="22"/>
        </w:rPr>
        <w:t>Reduction in hours worked</w:t>
      </w:r>
    </w:p>
    <w:p w:rsidR="006F4295" w:rsidRPr="00CC216E" w:rsidRDefault="006F4295" w:rsidP="00CC216E">
      <w:pPr>
        <w:pStyle w:val="ListParagraph"/>
        <w:numPr>
          <w:ilvl w:val="0"/>
          <w:numId w:val="33"/>
        </w:numPr>
        <w:jc w:val="both"/>
        <w:rPr>
          <w:sz w:val="22"/>
          <w:szCs w:val="22"/>
        </w:rPr>
      </w:pPr>
      <w:r w:rsidRPr="00CC216E">
        <w:rPr>
          <w:sz w:val="22"/>
          <w:szCs w:val="22"/>
        </w:rPr>
        <w:t>Reduction in non-wage benefits</w:t>
      </w:r>
    </w:p>
    <w:p w:rsidR="006F4295" w:rsidRPr="00CC216E" w:rsidRDefault="006F4295" w:rsidP="00CC216E">
      <w:pPr>
        <w:pStyle w:val="ListParagraph"/>
        <w:numPr>
          <w:ilvl w:val="0"/>
          <w:numId w:val="33"/>
        </w:numPr>
        <w:jc w:val="both"/>
        <w:rPr>
          <w:sz w:val="22"/>
          <w:szCs w:val="22"/>
        </w:rPr>
      </w:pPr>
      <w:r w:rsidRPr="00CC216E">
        <w:rPr>
          <w:sz w:val="22"/>
          <w:szCs w:val="22"/>
        </w:rPr>
        <w:t>Reduction in training</w:t>
      </w:r>
    </w:p>
    <w:p w:rsidR="006F4295" w:rsidRPr="00CC216E" w:rsidRDefault="006F4295" w:rsidP="00CC216E">
      <w:pPr>
        <w:pStyle w:val="ListParagraph"/>
        <w:numPr>
          <w:ilvl w:val="0"/>
          <w:numId w:val="33"/>
        </w:numPr>
        <w:jc w:val="both"/>
        <w:rPr>
          <w:sz w:val="22"/>
          <w:szCs w:val="22"/>
        </w:rPr>
      </w:pPr>
      <w:r w:rsidRPr="00CC216E">
        <w:rPr>
          <w:sz w:val="22"/>
          <w:szCs w:val="22"/>
        </w:rPr>
        <w:t>Changes in employment composition – skills profile of staff – from unskilled to skilled</w:t>
      </w:r>
    </w:p>
    <w:p w:rsidR="006F4295" w:rsidRPr="00CC216E" w:rsidRDefault="006F4295" w:rsidP="00CC216E">
      <w:pPr>
        <w:pStyle w:val="ListParagraph"/>
        <w:numPr>
          <w:ilvl w:val="0"/>
          <w:numId w:val="33"/>
        </w:numPr>
        <w:jc w:val="both"/>
        <w:rPr>
          <w:sz w:val="22"/>
          <w:szCs w:val="22"/>
        </w:rPr>
      </w:pPr>
      <w:r w:rsidRPr="00CC216E">
        <w:rPr>
          <w:sz w:val="22"/>
          <w:szCs w:val="22"/>
        </w:rPr>
        <w:t>Higher prices for consumers</w:t>
      </w:r>
    </w:p>
    <w:p w:rsidR="006F4295" w:rsidRPr="00CC216E" w:rsidRDefault="006F4295" w:rsidP="00CC216E">
      <w:pPr>
        <w:pStyle w:val="ListParagraph"/>
        <w:numPr>
          <w:ilvl w:val="0"/>
          <w:numId w:val="33"/>
        </w:numPr>
        <w:jc w:val="both"/>
        <w:rPr>
          <w:sz w:val="22"/>
          <w:szCs w:val="22"/>
        </w:rPr>
      </w:pPr>
      <w:r w:rsidRPr="00CC216E">
        <w:rPr>
          <w:sz w:val="22"/>
          <w:szCs w:val="22"/>
        </w:rPr>
        <w:t>Improvement in management efficiency</w:t>
      </w:r>
    </w:p>
    <w:p w:rsidR="006F4295" w:rsidRPr="00CC216E" w:rsidRDefault="006F4295" w:rsidP="00CC216E">
      <w:pPr>
        <w:pStyle w:val="ListParagraph"/>
        <w:numPr>
          <w:ilvl w:val="0"/>
          <w:numId w:val="33"/>
        </w:numPr>
        <w:jc w:val="both"/>
        <w:rPr>
          <w:sz w:val="22"/>
          <w:szCs w:val="22"/>
        </w:rPr>
      </w:pPr>
      <w:r w:rsidRPr="00CC216E">
        <w:rPr>
          <w:sz w:val="22"/>
          <w:szCs w:val="22"/>
        </w:rPr>
        <w:t>Efficiency responses from workers</w:t>
      </w:r>
    </w:p>
    <w:p w:rsidR="006F4295" w:rsidRPr="00CC216E" w:rsidRDefault="006F4295" w:rsidP="00CC216E">
      <w:pPr>
        <w:pStyle w:val="ListParagraph"/>
        <w:numPr>
          <w:ilvl w:val="0"/>
          <w:numId w:val="33"/>
        </w:numPr>
        <w:jc w:val="both"/>
        <w:rPr>
          <w:sz w:val="22"/>
          <w:szCs w:val="22"/>
        </w:rPr>
      </w:pPr>
      <w:r w:rsidRPr="00CC216E">
        <w:rPr>
          <w:sz w:val="22"/>
          <w:szCs w:val="22"/>
        </w:rPr>
        <w:t>Wage compression – reduction in salary of higher paid workers</w:t>
      </w:r>
    </w:p>
    <w:p w:rsidR="006F4295" w:rsidRPr="00CC216E" w:rsidRDefault="006F4295" w:rsidP="00CC216E">
      <w:pPr>
        <w:pStyle w:val="ListParagraph"/>
        <w:numPr>
          <w:ilvl w:val="0"/>
          <w:numId w:val="33"/>
        </w:numPr>
        <w:jc w:val="both"/>
        <w:rPr>
          <w:sz w:val="22"/>
          <w:szCs w:val="22"/>
        </w:rPr>
      </w:pPr>
      <w:r w:rsidRPr="00CC216E">
        <w:rPr>
          <w:sz w:val="22"/>
          <w:szCs w:val="22"/>
        </w:rPr>
        <w:t>Reduction in profit</w:t>
      </w:r>
    </w:p>
    <w:p w:rsidR="006F4295" w:rsidRPr="00CC216E" w:rsidRDefault="006F4295" w:rsidP="00CC216E">
      <w:pPr>
        <w:pStyle w:val="ListParagraph"/>
        <w:numPr>
          <w:ilvl w:val="0"/>
          <w:numId w:val="33"/>
        </w:numPr>
        <w:jc w:val="both"/>
        <w:rPr>
          <w:sz w:val="22"/>
          <w:szCs w:val="22"/>
        </w:rPr>
      </w:pPr>
      <w:r w:rsidRPr="00CC216E">
        <w:rPr>
          <w:sz w:val="22"/>
          <w:szCs w:val="22"/>
        </w:rPr>
        <w:t>Increases in demand</w:t>
      </w:r>
    </w:p>
    <w:p w:rsidR="006F4295" w:rsidRDefault="006F4295" w:rsidP="00CC216E">
      <w:pPr>
        <w:pStyle w:val="ListParagraph"/>
        <w:numPr>
          <w:ilvl w:val="0"/>
          <w:numId w:val="33"/>
        </w:numPr>
        <w:jc w:val="both"/>
        <w:rPr>
          <w:sz w:val="22"/>
          <w:szCs w:val="22"/>
        </w:rPr>
      </w:pPr>
      <w:r w:rsidRPr="00CC216E">
        <w:rPr>
          <w:sz w:val="22"/>
          <w:szCs w:val="22"/>
        </w:rPr>
        <w:t>Reduced turnover</w:t>
      </w:r>
    </w:p>
    <w:p w:rsidR="00CC216E" w:rsidRDefault="00CC216E" w:rsidP="00CC216E">
      <w:pPr>
        <w:jc w:val="both"/>
        <w:rPr>
          <w:sz w:val="22"/>
          <w:szCs w:val="22"/>
        </w:rPr>
      </w:pPr>
    </w:p>
    <w:p w:rsidR="00CC216E" w:rsidRPr="00CC216E" w:rsidRDefault="00CC216E" w:rsidP="00CC216E">
      <w:pPr>
        <w:jc w:val="both"/>
        <w:rPr>
          <w:sz w:val="22"/>
          <w:szCs w:val="22"/>
        </w:rPr>
      </w:pPr>
      <w:r w:rsidRPr="00CC216E">
        <w:rPr>
          <w:sz w:val="22"/>
          <w:szCs w:val="22"/>
        </w:rPr>
        <w:t>Other studies reinforce the point: a 2003-survey of 77 wine and fruit farms in six Western Cape districts found that 58.7 per cent of farms (and 70 per cent of deciduous fruit farms) had reduced their permanent labour force in the period just after deregulation while</w:t>
      </w:r>
      <w:r>
        <w:rPr>
          <w:sz w:val="22"/>
          <w:szCs w:val="22"/>
        </w:rPr>
        <w:t xml:space="preserve"> almost half of respondents (47 per cent</w:t>
      </w:r>
      <w:r w:rsidRPr="00CC216E">
        <w:rPr>
          <w:sz w:val="22"/>
          <w:szCs w:val="22"/>
        </w:rPr>
        <w:t>) planned to decrease labour in the future</w:t>
      </w:r>
      <w:r>
        <w:rPr>
          <w:sz w:val="22"/>
          <w:szCs w:val="22"/>
        </w:rPr>
        <w:t>.</w:t>
      </w:r>
      <w:r>
        <w:rPr>
          <w:rStyle w:val="FootnoteReference"/>
          <w:sz w:val="22"/>
          <w:szCs w:val="22"/>
        </w:rPr>
        <w:footnoteReference w:id="1"/>
      </w:r>
      <w:r w:rsidRPr="00CC216E">
        <w:rPr>
          <w:sz w:val="22"/>
          <w:szCs w:val="22"/>
        </w:rPr>
        <w:t xml:space="preserve"> A 2004-study of </w:t>
      </w:r>
      <w:r w:rsidRPr="00CC216E">
        <w:rPr>
          <w:sz w:val="22"/>
          <w:szCs w:val="22"/>
        </w:rPr>
        <w:lastRenderedPageBreak/>
        <w:t>18 apple producers in Grabouw and Ceres found that most producers were downsizing their permanent workforce, either by retrenching workers or through a process of attrition.</w:t>
      </w:r>
      <w:r>
        <w:rPr>
          <w:rStyle w:val="FootnoteReference"/>
          <w:sz w:val="22"/>
          <w:szCs w:val="22"/>
        </w:rPr>
        <w:footnoteReference w:id="2"/>
      </w:r>
      <w:r w:rsidRPr="00CC216E">
        <w:rPr>
          <w:sz w:val="22"/>
          <w:szCs w:val="22"/>
        </w:rPr>
        <w:t xml:space="preserve"> The fact that permanent workers in the total table grape industry fell from 28 per cent in 2007 to 20 per cent in 2010/11, testifies to the fact that the process of labour reduction cannot easily be tied to one specific event, but is rather an on-going process.</w:t>
      </w:r>
    </w:p>
    <w:p w:rsidR="00CC216E" w:rsidRDefault="00CC216E" w:rsidP="00CC216E">
      <w:pPr>
        <w:jc w:val="both"/>
        <w:rPr>
          <w:sz w:val="22"/>
          <w:szCs w:val="22"/>
        </w:rPr>
      </w:pPr>
    </w:p>
    <w:p w:rsidR="00B632BA" w:rsidRPr="00B632BA" w:rsidRDefault="00B632BA" w:rsidP="00B632BA">
      <w:pPr>
        <w:pStyle w:val="ListParagraph"/>
        <w:numPr>
          <w:ilvl w:val="0"/>
          <w:numId w:val="27"/>
        </w:numPr>
        <w:jc w:val="both"/>
        <w:rPr>
          <w:b/>
          <w:color w:val="auto"/>
          <w:sz w:val="22"/>
          <w:szCs w:val="22"/>
        </w:rPr>
      </w:pPr>
      <w:r w:rsidRPr="00B632BA">
        <w:rPr>
          <w:b/>
          <w:color w:val="auto"/>
          <w:sz w:val="22"/>
          <w:szCs w:val="22"/>
        </w:rPr>
        <w:t>EMPLOYMENT STATISTICS IN THE AGRICILTURE SECTOR</w:t>
      </w:r>
    </w:p>
    <w:p w:rsidR="00B632BA" w:rsidRDefault="00B632BA" w:rsidP="00B632BA">
      <w:pPr>
        <w:spacing w:after="160"/>
        <w:jc w:val="both"/>
        <w:rPr>
          <w:color w:val="auto"/>
          <w:sz w:val="22"/>
          <w:szCs w:val="22"/>
          <w:highlight w:val="yellow"/>
        </w:rPr>
      </w:pPr>
    </w:p>
    <w:p w:rsidR="008B7AA5" w:rsidRPr="00783CFA" w:rsidRDefault="008B7AA5" w:rsidP="00783CFA">
      <w:pPr>
        <w:jc w:val="both"/>
        <w:rPr>
          <w:rFonts w:eastAsia="Calibri"/>
          <w:sz w:val="22"/>
          <w:szCs w:val="22"/>
          <w:lang w:val="en-ZA" w:eastAsia="en-US"/>
        </w:rPr>
      </w:pPr>
      <w:r w:rsidRPr="00783CFA">
        <w:rPr>
          <w:rFonts w:eastAsia="Calibri"/>
          <w:sz w:val="22"/>
          <w:szCs w:val="22"/>
          <w:lang w:val="en-ZA" w:eastAsia="en-US"/>
        </w:rPr>
        <w:t xml:space="preserve">South Africa has the third highest unemployment rate in the world for people between the ages of 15 to 24 </w:t>
      </w:r>
      <w:r w:rsidR="00005072" w:rsidRPr="00783CFA">
        <w:rPr>
          <w:rFonts w:eastAsia="Calibri"/>
          <w:sz w:val="22"/>
          <w:szCs w:val="22"/>
          <w:lang w:val="en-ZA" w:eastAsia="en-US"/>
        </w:rPr>
        <w:t>and estimates that more than 50 per cent</w:t>
      </w:r>
      <w:r w:rsidRPr="00783CFA">
        <w:rPr>
          <w:rFonts w:eastAsia="Calibri"/>
          <w:sz w:val="22"/>
          <w:szCs w:val="22"/>
          <w:lang w:val="en-ZA" w:eastAsia="en-US"/>
        </w:rPr>
        <w:t xml:space="preserve"> of young South Africans between 15 and 24 are unemployed.</w:t>
      </w:r>
    </w:p>
    <w:p w:rsidR="008B7AA5" w:rsidRPr="00783CFA" w:rsidRDefault="008B7AA5" w:rsidP="00783CFA">
      <w:pPr>
        <w:jc w:val="both"/>
        <w:rPr>
          <w:rFonts w:eastAsia="Calibri" w:cs="Arial"/>
          <w:sz w:val="22"/>
          <w:szCs w:val="22"/>
          <w:lang w:val="en-ZA" w:eastAsia="en-US"/>
        </w:rPr>
      </w:pPr>
    </w:p>
    <w:p w:rsidR="008B7AA5" w:rsidRPr="00783CFA" w:rsidRDefault="008B7AA5" w:rsidP="00783CFA">
      <w:pPr>
        <w:jc w:val="both"/>
        <w:rPr>
          <w:rFonts w:eastAsia="Calibri"/>
          <w:sz w:val="22"/>
          <w:szCs w:val="22"/>
          <w:lang w:val="en-ZA" w:eastAsia="en-US"/>
        </w:rPr>
      </w:pPr>
      <w:r w:rsidRPr="00783CFA">
        <w:rPr>
          <w:rFonts w:eastAsia="Calibri"/>
          <w:sz w:val="22"/>
          <w:szCs w:val="22"/>
          <w:lang w:val="en-ZA" w:eastAsia="en-US"/>
        </w:rPr>
        <w:t>Recent statistics released by Stats SA (2015) show that joblessness in South Africa has reached its highest level since 2008, and is</w:t>
      </w:r>
      <w:r w:rsidR="00005072" w:rsidRPr="00783CFA">
        <w:rPr>
          <w:rFonts w:eastAsia="Calibri"/>
          <w:sz w:val="22"/>
          <w:szCs w:val="22"/>
          <w:lang w:val="en-ZA" w:eastAsia="en-US"/>
        </w:rPr>
        <w:t xml:space="preserve"> currently at a rate of 24.3 per cent</w:t>
      </w:r>
      <w:r w:rsidRPr="00783CFA">
        <w:rPr>
          <w:rFonts w:eastAsia="Calibri"/>
          <w:sz w:val="22"/>
          <w:szCs w:val="22"/>
          <w:lang w:val="en-ZA" w:eastAsia="en-US"/>
        </w:rPr>
        <w:t>. The number of unemployed persons increased to 4.9 million. Taking into account the expanded definition, which includes people who have given up looking for jobs, unemploym</w:t>
      </w:r>
      <w:r w:rsidR="00005072" w:rsidRPr="00783CFA">
        <w:rPr>
          <w:rFonts w:eastAsia="Calibri"/>
          <w:sz w:val="22"/>
          <w:szCs w:val="22"/>
          <w:lang w:val="en-ZA" w:eastAsia="en-US"/>
        </w:rPr>
        <w:t>ent has risen to 7.3million (36 per cent</w:t>
      </w:r>
      <w:r w:rsidRPr="00783CFA">
        <w:rPr>
          <w:rFonts w:eastAsia="Calibri"/>
          <w:sz w:val="22"/>
          <w:szCs w:val="22"/>
          <w:lang w:val="en-ZA" w:eastAsia="en-US"/>
        </w:rPr>
        <w:t>).</w:t>
      </w:r>
    </w:p>
    <w:p w:rsidR="008B7AA5" w:rsidRPr="00783CFA" w:rsidRDefault="008B7AA5" w:rsidP="00783CFA">
      <w:pPr>
        <w:jc w:val="both"/>
        <w:rPr>
          <w:rFonts w:eastAsia="Calibri" w:cs="Arial"/>
          <w:sz w:val="22"/>
          <w:szCs w:val="22"/>
          <w:lang w:val="en-ZA" w:eastAsia="en-US"/>
        </w:rPr>
      </w:pPr>
    </w:p>
    <w:p w:rsidR="008B7AA5" w:rsidRDefault="008B7AA5" w:rsidP="00783CFA">
      <w:pPr>
        <w:jc w:val="both"/>
        <w:rPr>
          <w:sz w:val="22"/>
          <w:szCs w:val="22"/>
        </w:rPr>
      </w:pPr>
      <w:r w:rsidRPr="00783CFA">
        <w:rPr>
          <w:sz w:val="22"/>
          <w:szCs w:val="22"/>
        </w:rPr>
        <w:t>In the agricultural sector between April-June 2014 to April-June 20</w:t>
      </w:r>
      <w:r w:rsidR="00005072" w:rsidRPr="00783CFA">
        <w:rPr>
          <w:sz w:val="22"/>
          <w:szCs w:val="22"/>
        </w:rPr>
        <w:t>15 employment increased by 29,8 per cent</w:t>
      </w:r>
      <w:r w:rsidRPr="00783CFA">
        <w:rPr>
          <w:sz w:val="22"/>
          <w:szCs w:val="22"/>
        </w:rPr>
        <w:t xml:space="preserve"> and with 200 000 jobs having being created for that year. The largest growt</w:t>
      </w:r>
      <w:r w:rsidR="00005072" w:rsidRPr="00783CFA">
        <w:rPr>
          <w:sz w:val="22"/>
          <w:szCs w:val="22"/>
        </w:rPr>
        <w:t>h in jobs was seen in KZN (75,5 per cent), followed by Limpopo (53,2 per cent</w:t>
      </w:r>
      <w:r w:rsidRPr="00783CFA">
        <w:rPr>
          <w:sz w:val="22"/>
          <w:szCs w:val="22"/>
        </w:rPr>
        <w:t>) and the Western Cape with</w:t>
      </w:r>
      <w:r w:rsidR="00005072" w:rsidRPr="00783CFA">
        <w:rPr>
          <w:sz w:val="22"/>
          <w:szCs w:val="22"/>
        </w:rPr>
        <w:t xml:space="preserve"> 51,2 per cent</w:t>
      </w:r>
      <w:r w:rsidRPr="00783CFA">
        <w:rPr>
          <w:sz w:val="22"/>
          <w:szCs w:val="22"/>
        </w:rPr>
        <w:t>. Job lo</w:t>
      </w:r>
      <w:r w:rsidR="00005072" w:rsidRPr="00783CFA">
        <w:rPr>
          <w:sz w:val="22"/>
          <w:szCs w:val="22"/>
        </w:rPr>
        <w:t>sses was seen in Gauteng (-42,4 per cent</w:t>
      </w:r>
      <w:r w:rsidRPr="00783CFA">
        <w:rPr>
          <w:sz w:val="22"/>
          <w:szCs w:val="22"/>
        </w:rPr>
        <w:t>)</w:t>
      </w:r>
      <w:r w:rsidR="00005072" w:rsidRPr="00783CFA">
        <w:rPr>
          <w:sz w:val="22"/>
          <w:szCs w:val="22"/>
        </w:rPr>
        <w:t xml:space="preserve"> and the Northern Cape at -15,8 per cent</w:t>
      </w:r>
      <w:r w:rsidRPr="00783CFA">
        <w:rPr>
          <w:sz w:val="22"/>
          <w:szCs w:val="22"/>
        </w:rPr>
        <w:t xml:space="preserve">. </w:t>
      </w:r>
    </w:p>
    <w:p w:rsidR="00783CFA" w:rsidRPr="00783CFA" w:rsidRDefault="00783CFA" w:rsidP="00783CFA">
      <w:pPr>
        <w:jc w:val="both"/>
        <w:rPr>
          <w:sz w:val="22"/>
          <w:szCs w:val="22"/>
        </w:rPr>
      </w:pPr>
    </w:p>
    <w:p w:rsidR="008B7AA5" w:rsidRDefault="008B7AA5" w:rsidP="00783CFA">
      <w:pPr>
        <w:jc w:val="both"/>
        <w:rPr>
          <w:rFonts w:eastAsia="Calibri" w:cs="Arial"/>
          <w:sz w:val="22"/>
          <w:szCs w:val="22"/>
          <w:lang w:val="en-ZA" w:eastAsia="en-US"/>
        </w:rPr>
      </w:pPr>
      <w:r w:rsidRPr="00783CFA">
        <w:rPr>
          <w:rFonts w:eastAsia="Calibri" w:cs="Arial"/>
          <w:sz w:val="22"/>
          <w:szCs w:val="22"/>
          <w:lang w:val="en-ZA" w:eastAsia="en-US"/>
        </w:rPr>
        <w:t>Research by Bhorat, Kanbur and Stanwick noted that there was significant employment reduction in agriculture from the minimum wage and in particular a noticeable move away from employment of part-time workers, an increase in wages on average, and a rise in non-wage compliance. The analysis also indicates that average hours of work adjusted in two ways: firstly, the overall average of hours worked fell in the post-law period, suggesting that employers adjusted to some extent on the intensive margin, and secondly, it appears that hours of work increased by more in areas where wages were lower in the pre-law period  driven largely by the fall in part-time employment.</w:t>
      </w:r>
    </w:p>
    <w:p w:rsidR="00783CFA" w:rsidRPr="00783CFA" w:rsidRDefault="00783CFA" w:rsidP="00783CFA">
      <w:pPr>
        <w:jc w:val="both"/>
        <w:rPr>
          <w:rFonts w:eastAsia="Calibri" w:cs="Arial"/>
          <w:sz w:val="22"/>
          <w:szCs w:val="22"/>
          <w:lang w:val="en-ZA" w:eastAsia="en-US"/>
        </w:rPr>
      </w:pPr>
    </w:p>
    <w:p w:rsidR="008B7AA5" w:rsidRPr="00783CFA" w:rsidRDefault="008B7AA5" w:rsidP="00783CFA">
      <w:pPr>
        <w:jc w:val="both"/>
        <w:rPr>
          <w:rFonts w:eastAsia="Calibri" w:cs="Arial"/>
          <w:sz w:val="22"/>
          <w:szCs w:val="22"/>
          <w:lang w:val="en-ZA" w:eastAsia="en-US"/>
        </w:rPr>
      </w:pPr>
      <w:r w:rsidRPr="00783CFA">
        <w:rPr>
          <w:rFonts w:eastAsia="Calibri" w:cs="Arial"/>
          <w:sz w:val="22"/>
          <w:szCs w:val="22"/>
          <w:lang w:val="en-ZA" w:eastAsia="en-US"/>
        </w:rPr>
        <w:t xml:space="preserve">Some of the reasons for recent employment losses in the agriculture sector include: </w:t>
      </w:r>
    </w:p>
    <w:p w:rsidR="008B7AA5" w:rsidRPr="00783CFA" w:rsidRDefault="008B7AA5" w:rsidP="00783CFA">
      <w:pPr>
        <w:jc w:val="both"/>
        <w:rPr>
          <w:rFonts w:eastAsia="Calibri" w:cs="Arial"/>
          <w:sz w:val="22"/>
          <w:szCs w:val="22"/>
          <w:lang w:val="en-ZA" w:eastAsia="en-US"/>
        </w:rPr>
      </w:pPr>
    </w:p>
    <w:p w:rsidR="008B7AA5" w:rsidRPr="00783CFA" w:rsidRDefault="008B7AA5" w:rsidP="00783CFA">
      <w:pPr>
        <w:pStyle w:val="ListParagraph"/>
        <w:numPr>
          <w:ilvl w:val="0"/>
          <w:numId w:val="34"/>
        </w:numPr>
        <w:jc w:val="both"/>
        <w:rPr>
          <w:rFonts w:eastAsia="Calibri" w:cs="Arial"/>
          <w:sz w:val="22"/>
          <w:szCs w:val="22"/>
          <w:lang w:val="en-ZA" w:eastAsia="en-US"/>
        </w:rPr>
      </w:pPr>
      <w:r w:rsidRPr="00783CFA">
        <w:rPr>
          <w:rFonts w:eastAsia="Calibri" w:cs="Arial"/>
          <w:sz w:val="22"/>
          <w:szCs w:val="22"/>
          <w:lang w:val="en-ZA" w:eastAsia="en-US"/>
        </w:rPr>
        <w:t>There was excess employment prior to the implementation of the sectoral determination and the higher wage bill encouraged farmers to shed the excess unskilled labour and replace them with more skilled workers.</w:t>
      </w:r>
    </w:p>
    <w:p w:rsidR="008B7AA5" w:rsidRPr="00783CFA" w:rsidRDefault="008B7AA5" w:rsidP="00783CFA">
      <w:pPr>
        <w:pStyle w:val="ListParagraph"/>
        <w:numPr>
          <w:ilvl w:val="0"/>
          <w:numId w:val="34"/>
        </w:numPr>
        <w:jc w:val="both"/>
        <w:rPr>
          <w:rFonts w:eastAsia="Calibri" w:cs="Arial"/>
          <w:sz w:val="22"/>
          <w:szCs w:val="22"/>
          <w:lang w:val="en-ZA" w:eastAsia="en-US"/>
        </w:rPr>
      </w:pPr>
      <w:r w:rsidRPr="00783CFA">
        <w:rPr>
          <w:rFonts w:eastAsia="Calibri" w:cs="Arial"/>
          <w:sz w:val="22"/>
          <w:szCs w:val="22"/>
          <w:lang w:val="en-ZA" w:eastAsia="en-US"/>
        </w:rPr>
        <w:t xml:space="preserve">Farmers anticipated the legislation and increased capital investment (tractors, </w:t>
      </w:r>
      <w:r w:rsidR="00005072" w:rsidRPr="00783CFA">
        <w:rPr>
          <w:rFonts w:eastAsia="Calibri" w:cs="Arial"/>
          <w:sz w:val="22"/>
          <w:szCs w:val="22"/>
          <w:lang w:val="en-ZA" w:eastAsia="en-US"/>
        </w:rPr>
        <w:t>machinery and implements) by 83 per cent</w:t>
      </w:r>
      <w:r w:rsidRPr="00783CFA">
        <w:rPr>
          <w:rFonts w:eastAsia="Calibri" w:cs="Arial"/>
          <w:sz w:val="22"/>
          <w:szCs w:val="22"/>
          <w:lang w:val="en-ZA" w:eastAsia="en-US"/>
        </w:rPr>
        <w:t xml:space="preserve"> thus displacing labour on the farms.</w:t>
      </w:r>
    </w:p>
    <w:p w:rsidR="008B7AA5" w:rsidRPr="00783CFA" w:rsidRDefault="008B7AA5" w:rsidP="00783CFA">
      <w:pPr>
        <w:pStyle w:val="ListParagraph"/>
        <w:numPr>
          <w:ilvl w:val="0"/>
          <w:numId w:val="34"/>
        </w:numPr>
        <w:jc w:val="both"/>
        <w:rPr>
          <w:rFonts w:eastAsia="Calibri" w:cs="Arial"/>
          <w:sz w:val="22"/>
          <w:szCs w:val="22"/>
          <w:lang w:val="en-ZA" w:eastAsia="en-US"/>
        </w:rPr>
      </w:pPr>
      <w:r w:rsidRPr="00783CFA">
        <w:rPr>
          <w:rFonts w:eastAsia="Calibri" w:cs="Arial"/>
          <w:sz w:val="22"/>
          <w:szCs w:val="22"/>
          <w:lang w:val="en-ZA" w:eastAsia="en-US"/>
        </w:rPr>
        <w:lastRenderedPageBreak/>
        <w:t>The Extension of Security of Tenure Act of 1997 (ESTA) and the minimum wage promulgation in 2003 were underpinned by strong political economy views amongst farmers about further state interventions (as in the case of Zimbabwe).</w:t>
      </w:r>
    </w:p>
    <w:p w:rsidR="008B7AA5" w:rsidRPr="00783CFA" w:rsidRDefault="008B7AA5" w:rsidP="00783CFA">
      <w:pPr>
        <w:pStyle w:val="ListParagraph"/>
        <w:numPr>
          <w:ilvl w:val="0"/>
          <w:numId w:val="34"/>
        </w:numPr>
        <w:jc w:val="both"/>
        <w:rPr>
          <w:rFonts w:eastAsia="Calibri" w:cs="Arial"/>
          <w:sz w:val="22"/>
          <w:szCs w:val="22"/>
          <w:lang w:val="en-ZA" w:eastAsia="en-US"/>
        </w:rPr>
      </w:pPr>
      <w:r w:rsidRPr="00783CFA">
        <w:rPr>
          <w:rFonts w:eastAsia="Calibri" w:cs="Arial"/>
          <w:sz w:val="22"/>
          <w:szCs w:val="22"/>
          <w:lang w:val="en-ZA" w:eastAsia="en-US"/>
        </w:rPr>
        <w:t>Workplace consolidation took place with the proportion of part-time workers falling through increased use of more skilled, permanent workers.</w:t>
      </w:r>
    </w:p>
    <w:p w:rsidR="008B7AA5" w:rsidRPr="00783CFA" w:rsidRDefault="008B7AA5" w:rsidP="00783CFA">
      <w:pPr>
        <w:jc w:val="both"/>
        <w:rPr>
          <w:rFonts w:eastAsia="Calibri" w:cs="Arial"/>
          <w:sz w:val="22"/>
          <w:szCs w:val="22"/>
          <w:lang w:val="en-ZA" w:eastAsia="en-US"/>
        </w:rPr>
      </w:pPr>
    </w:p>
    <w:p w:rsidR="008B7AA5" w:rsidRPr="00783CFA" w:rsidRDefault="008B7AA5" w:rsidP="00783CFA">
      <w:pPr>
        <w:jc w:val="both"/>
        <w:rPr>
          <w:rFonts w:eastAsia="Calibri" w:cs="Arial"/>
          <w:sz w:val="22"/>
          <w:szCs w:val="22"/>
          <w:lang w:val="en-ZA" w:eastAsia="en-US"/>
        </w:rPr>
      </w:pPr>
      <w:r w:rsidRPr="00783CFA">
        <w:rPr>
          <w:rFonts w:eastAsia="Calibri" w:cs="Arial"/>
          <w:sz w:val="22"/>
          <w:szCs w:val="22"/>
          <w:lang w:val="en-ZA" w:eastAsia="en-US"/>
        </w:rPr>
        <w:t>The Labour Research Services findings on employment in the agriculture sector over time indicates that the largest drop in employment took place in 2001 (just over 500 000), two years prior to the implementation of the 2003 sectoral determination. However, employment increased again between 2005 and 2006 by 181 000 jobs and dropped steadily until a low of 627 000 in 2011 then started to increase again to 891 000 in the first quarter of 2015. This represents an increase of</w:t>
      </w:r>
      <w:r w:rsidR="00005072" w:rsidRPr="00783CFA">
        <w:rPr>
          <w:rFonts w:eastAsia="Calibri" w:cs="Arial"/>
          <w:sz w:val="22"/>
          <w:szCs w:val="22"/>
          <w:lang w:val="en-ZA" w:eastAsia="en-US"/>
        </w:rPr>
        <w:t xml:space="preserve"> 20 per cent</w:t>
      </w:r>
      <w:r w:rsidRPr="00783CFA">
        <w:rPr>
          <w:rFonts w:eastAsia="Calibri" w:cs="Arial"/>
          <w:sz w:val="22"/>
          <w:szCs w:val="22"/>
          <w:lang w:val="en-ZA" w:eastAsia="en-US"/>
        </w:rPr>
        <w:t xml:space="preserve"> or an additional 182 000 jobs in the first quarter, year-on-year in 2015. Employment levels thus returned to the level of 2003 when the sectoral determination was first implemented.</w:t>
      </w:r>
    </w:p>
    <w:p w:rsidR="008B7AA5" w:rsidRPr="00783CFA" w:rsidRDefault="008B7AA5" w:rsidP="00783CFA">
      <w:pPr>
        <w:jc w:val="both"/>
        <w:rPr>
          <w:rFonts w:eastAsia="Calibri" w:cs="Arial"/>
          <w:sz w:val="22"/>
          <w:szCs w:val="22"/>
          <w:lang w:val="en-ZA" w:eastAsia="en-US"/>
        </w:rPr>
      </w:pPr>
    </w:p>
    <w:p w:rsidR="008B7AA5" w:rsidRPr="00783CFA" w:rsidRDefault="008B7AA5" w:rsidP="00783CFA">
      <w:pPr>
        <w:jc w:val="both"/>
        <w:rPr>
          <w:rFonts w:eastAsia="Calibri" w:cs="Arial"/>
          <w:sz w:val="22"/>
          <w:szCs w:val="22"/>
          <w:lang w:val="en-ZA" w:eastAsia="en-US"/>
        </w:rPr>
      </w:pPr>
      <w:r w:rsidRPr="00783CFA">
        <w:rPr>
          <w:rFonts w:eastAsia="Calibri" w:cs="Arial"/>
          <w:sz w:val="22"/>
          <w:szCs w:val="22"/>
          <w:lang w:val="en-ZA" w:eastAsia="en-US"/>
        </w:rPr>
        <w:t>The drop in employment of 55 000 workers by 2014 is thus a very small one given the magnitude of the increase in the minimum wage and looking at employment levels over the long-term. What the employment figures show is that most farmers had absorbed a massive increase in the new m</w:t>
      </w:r>
      <w:r w:rsidR="00005072" w:rsidRPr="00783CFA">
        <w:rPr>
          <w:rFonts w:eastAsia="Calibri" w:cs="Arial"/>
          <w:sz w:val="22"/>
          <w:szCs w:val="22"/>
          <w:lang w:val="en-ZA" w:eastAsia="en-US"/>
        </w:rPr>
        <w:t>inimum wage of R105 a day, a 50 per cent</w:t>
      </w:r>
      <w:r w:rsidRPr="00783CFA">
        <w:rPr>
          <w:rFonts w:eastAsia="Calibri" w:cs="Arial"/>
          <w:sz w:val="22"/>
          <w:szCs w:val="22"/>
          <w:lang w:val="en-ZA" w:eastAsia="en-US"/>
        </w:rPr>
        <w:t xml:space="preserve"> increase (on the prior R69 a day) in 2013. Workers also gained tremendously with an increase in the wage bill of R1, 5 billion in 2013 and a further R1, 6 billion in 2014. However the wage determination has modestly increased real average wages and the overall wage </w:t>
      </w:r>
      <w:r w:rsidR="00005072" w:rsidRPr="00783CFA">
        <w:rPr>
          <w:rFonts w:eastAsia="Calibri" w:cs="Arial"/>
          <w:sz w:val="22"/>
          <w:szCs w:val="22"/>
          <w:lang w:val="en-ZA" w:eastAsia="en-US"/>
        </w:rPr>
        <w:t>bill was only 10.6 per cent</w:t>
      </w:r>
      <w:r w:rsidRPr="00783CFA">
        <w:rPr>
          <w:rFonts w:eastAsia="Calibri" w:cs="Arial"/>
          <w:sz w:val="22"/>
          <w:szCs w:val="22"/>
          <w:lang w:val="en-ZA" w:eastAsia="en-US"/>
        </w:rPr>
        <w:t xml:space="preserve"> of total farming costs in 2013.</w:t>
      </w:r>
    </w:p>
    <w:p w:rsidR="008B7AA5" w:rsidRPr="00783CFA" w:rsidRDefault="008B7AA5" w:rsidP="00783CFA">
      <w:pPr>
        <w:jc w:val="both"/>
        <w:rPr>
          <w:rFonts w:eastAsia="Calibri" w:cs="Arial"/>
          <w:sz w:val="22"/>
          <w:szCs w:val="22"/>
          <w:lang w:val="en-ZA" w:eastAsia="en-US"/>
        </w:rPr>
      </w:pPr>
    </w:p>
    <w:p w:rsidR="008B7AA5" w:rsidRPr="00783CFA" w:rsidRDefault="008B7AA5" w:rsidP="00783CFA">
      <w:pPr>
        <w:jc w:val="both"/>
        <w:rPr>
          <w:rFonts w:eastAsia="Calibri" w:cs="Arial"/>
          <w:sz w:val="22"/>
          <w:szCs w:val="22"/>
          <w:lang w:val="en-ZA" w:eastAsia="en-US"/>
        </w:rPr>
      </w:pPr>
      <w:r w:rsidRPr="00783CFA">
        <w:rPr>
          <w:rFonts w:eastAsia="Calibri" w:cs="Arial"/>
          <w:sz w:val="22"/>
          <w:szCs w:val="22"/>
          <w:lang w:val="en-ZA" w:eastAsia="en-US"/>
        </w:rPr>
        <w:t>According to the Department of Agriculture, the sector reg</w:t>
      </w:r>
      <w:r w:rsidR="00005072" w:rsidRPr="00783CFA">
        <w:rPr>
          <w:rFonts w:eastAsia="Calibri" w:cs="Arial"/>
          <w:sz w:val="22"/>
          <w:szCs w:val="22"/>
          <w:lang w:val="en-ZA" w:eastAsia="en-US"/>
        </w:rPr>
        <w:t>istered strongest growth of 5.6 per cent</w:t>
      </w:r>
      <w:r w:rsidRPr="00783CFA">
        <w:rPr>
          <w:rFonts w:eastAsia="Calibri" w:cs="Arial"/>
          <w:sz w:val="22"/>
          <w:szCs w:val="22"/>
          <w:lang w:val="en-ZA" w:eastAsia="en-US"/>
        </w:rPr>
        <w:t xml:space="preserve"> in </w:t>
      </w:r>
      <w:r w:rsidR="00005072" w:rsidRPr="00783CFA">
        <w:rPr>
          <w:rFonts w:eastAsia="Calibri" w:cs="Arial"/>
          <w:sz w:val="22"/>
          <w:szCs w:val="22"/>
          <w:lang w:val="en-ZA" w:eastAsia="en-US"/>
        </w:rPr>
        <w:t>2014, up from 1.5 per cent</w:t>
      </w:r>
      <w:r w:rsidRPr="00783CFA">
        <w:rPr>
          <w:rFonts w:eastAsia="Calibri" w:cs="Arial"/>
          <w:sz w:val="22"/>
          <w:szCs w:val="22"/>
          <w:lang w:val="en-ZA" w:eastAsia="en-US"/>
        </w:rPr>
        <w:t xml:space="preserve"> in 2013. The sector’s growth was beca</w:t>
      </w:r>
      <w:r w:rsidR="00005072" w:rsidRPr="00783CFA">
        <w:rPr>
          <w:rFonts w:eastAsia="Calibri" w:cs="Arial"/>
          <w:sz w:val="22"/>
          <w:szCs w:val="22"/>
          <w:lang w:val="en-ZA" w:eastAsia="en-US"/>
        </w:rPr>
        <w:t>use of the R25, 1 billion (13.2 per cent</w:t>
      </w:r>
      <w:r w:rsidRPr="00783CFA">
        <w:rPr>
          <w:rFonts w:eastAsia="Calibri" w:cs="Arial"/>
          <w:sz w:val="22"/>
          <w:szCs w:val="22"/>
          <w:lang w:val="en-ZA" w:eastAsia="en-US"/>
        </w:rPr>
        <w:t>) increase in gross income from agricultural products in 2014 compared to 2013. Furth</w:t>
      </w:r>
      <w:r w:rsidR="00005072" w:rsidRPr="00783CFA">
        <w:rPr>
          <w:rFonts w:eastAsia="Calibri" w:cs="Arial"/>
          <w:sz w:val="22"/>
          <w:szCs w:val="22"/>
          <w:lang w:val="en-ZA" w:eastAsia="en-US"/>
        </w:rPr>
        <w:t>ermore, income increased by 8.6 per cent</w:t>
      </w:r>
      <w:r w:rsidRPr="00783CFA">
        <w:rPr>
          <w:rFonts w:eastAsia="Calibri" w:cs="Arial"/>
          <w:sz w:val="22"/>
          <w:szCs w:val="22"/>
          <w:lang w:val="en-ZA" w:eastAsia="en-US"/>
        </w:rPr>
        <w:t xml:space="preserve"> in 2013 from 2012 due to increases in production and higher commodity prices. Thus profit levels in the agriculture sector increased despite the introduction of the sectoral determination for farm workers</w:t>
      </w:r>
      <w:r w:rsidR="00005072" w:rsidRPr="00783CFA">
        <w:rPr>
          <w:rFonts w:eastAsia="Calibri" w:cs="Arial"/>
          <w:sz w:val="22"/>
          <w:szCs w:val="22"/>
          <w:lang w:val="en-ZA" w:eastAsia="en-US"/>
        </w:rPr>
        <w:t xml:space="preserve"> in 2003 and the increase of 50 per cent</w:t>
      </w:r>
      <w:r w:rsidRPr="00783CFA">
        <w:rPr>
          <w:rFonts w:eastAsia="Calibri" w:cs="Arial"/>
          <w:sz w:val="22"/>
          <w:szCs w:val="22"/>
          <w:lang w:val="en-ZA" w:eastAsia="en-US"/>
        </w:rPr>
        <w:t xml:space="preserve"> in farm worker wages in 2013.</w:t>
      </w:r>
    </w:p>
    <w:p w:rsidR="008B7AA5" w:rsidRPr="00783CFA" w:rsidRDefault="008B7AA5" w:rsidP="00783CFA">
      <w:pPr>
        <w:jc w:val="both"/>
        <w:rPr>
          <w:rFonts w:eastAsia="Calibri" w:cs="Arial"/>
          <w:sz w:val="22"/>
          <w:szCs w:val="22"/>
          <w:lang w:val="en-ZA" w:eastAsia="en-US"/>
        </w:rPr>
      </w:pPr>
    </w:p>
    <w:p w:rsidR="008B7AA5" w:rsidRPr="00783CFA" w:rsidRDefault="008B7AA5" w:rsidP="00783CFA">
      <w:pPr>
        <w:jc w:val="both"/>
        <w:rPr>
          <w:rFonts w:eastAsia="Calibri" w:cs="Arial"/>
          <w:sz w:val="22"/>
          <w:szCs w:val="22"/>
          <w:lang w:val="en-ZA" w:eastAsia="en-US"/>
        </w:rPr>
      </w:pPr>
      <w:r w:rsidRPr="00783CFA">
        <w:rPr>
          <w:rFonts w:eastAsia="Calibri" w:cs="Arial"/>
          <w:sz w:val="22"/>
          <w:szCs w:val="22"/>
          <w:lang w:val="en-ZA" w:eastAsia="en-US"/>
        </w:rPr>
        <w:t>The study by the Institute on Poverty, Land and Agrarian Studies (PLAAS) at the University of the Western Cape sums up the experience of the agricultural sector in relation to minimum wages by stating that employment figures in the agricultural sector indicate a trend toward stabilisation of employment along with a large shift from casual and seasonal to permanent employment – i.e. both these factors are reversals of previous trends.</w:t>
      </w:r>
    </w:p>
    <w:p w:rsidR="008B7AA5" w:rsidRPr="00783CFA" w:rsidRDefault="008B7AA5" w:rsidP="00783CFA">
      <w:pPr>
        <w:jc w:val="both"/>
        <w:rPr>
          <w:rFonts w:eastAsia="Calibri" w:cs="Arial"/>
          <w:color w:val="auto"/>
          <w:spacing w:val="0"/>
          <w:sz w:val="22"/>
          <w:szCs w:val="22"/>
          <w:lang w:val="en-ZA" w:eastAsia="en-US"/>
        </w:rPr>
      </w:pPr>
    </w:p>
    <w:p w:rsidR="008B7AA5" w:rsidRPr="00783CFA" w:rsidRDefault="008B7AA5" w:rsidP="00783CFA">
      <w:pPr>
        <w:jc w:val="both"/>
        <w:rPr>
          <w:rFonts w:eastAsia="Calibri" w:cs="Arial"/>
          <w:color w:val="auto"/>
          <w:spacing w:val="0"/>
          <w:sz w:val="22"/>
          <w:szCs w:val="22"/>
          <w:lang w:val="en-ZA" w:eastAsia="en-US"/>
        </w:rPr>
      </w:pPr>
      <w:r w:rsidRPr="00783CFA">
        <w:rPr>
          <w:rFonts w:eastAsia="Calibri" w:cs="Arial"/>
          <w:color w:val="auto"/>
          <w:spacing w:val="0"/>
          <w:sz w:val="22"/>
          <w:szCs w:val="22"/>
          <w:lang w:val="en-ZA" w:eastAsia="en-US"/>
        </w:rPr>
        <w:t>PLAAS indicates that the reasons for the stabilisation are:</w:t>
      </w:r>
    </w:p>
    <w:p w:rsidR="008B7AA5" w:rsidRPr="00783CFA" w:rsidRDefault="008B7AA5" w:rsidP="00783CFA">
      <w:pPr>
        <w:jc w:val="both"/>
        <w:rPr>
          <w:rFonts w:eastAsia="Calibri" w:cs="Arial"/>
          <w:color w:val="auto"/>
          <w:spacing w:val="0"/>
          <w:sz w:val="22"/>
          <w:szCs w:val="22"/>
          <w:lang w:val="en-ZA" w:eastAsia="en-US"/>
        </w:rPr>
      </w:pPr>
    </w:p>
    <w:p w:rsidR="008B7AA5" w:rsidRPr="00783CFA" w:rsidRDefault="008B7AA5" w:rsidP="00783CFA">
      <w:pPr>
        <w:pStyle w:val="ListParagraph"/>
        <w:numPr>
          <w:ilvl w:val="0"/>
          <w:numId w:val="35"/>
        </w:numPr>
        <w:jc w:val="both"/>
        <w:rPr>
          <w:rFonts w:eastAsia="Calibri" w:cs="Arial"/>
          <w:color w:val="auto"/>
          <w:spacing w:val="0"/>
          <w:sz w:val="22"/>
          <w:szCs w:val="22"/>
          <w:lang w:val="en-ZA" w:eastAsia="en-US"/>
        </w:rPr>
      </w:pPr>
      <w:r w:rsidRPr="00783CFA">
        <w:rPr>
          <w:rFonts w:eastAsia="Calibri" w:cs="Arial"/>
          <w:color w:val="auto"/>
          <w:spacing w:val="0"/>
          <w:sz w:val="22"/>
          <w:szCs w:val="22"/>
          <w:lang w:val="en-ZA" w:eastAsia="en-US"/>
        </w:rPr>
        <w:t>Labour-substituting mechanisation has been largely achieved</w:t>
      </w:r>
    </w:p>
    <w:p w:rsidR="008B7AA5" w:rsidRPr="00783CFA" w:rsidRDefault="008B7AA5" w:rsidP="00783CFA">
      <w:pPr>
        <w:pStyle w:val="ListParagraph"/>
        <w:numPr>
          <w:ilvl w:val="0"/>
          <w:numId w:val="35"/>
        </w:numPr>
        <w:jc w:val="both"/>
        <w:rPr>
          <w:rFonts w:eastAsia="Calibri" w:cs="Arial"/>
          <w:color w:val="auto"/>
          <w:spacing w:val="0"/>
          <w:sz w:val="22"/>
          <w:szCs w:val="22"/>
          <w:lang w:val="en-ZA" w:eastAsia="en-US"/>
        </w:rPr>
      </w:pPr>
      <w:r w:rsidRPr="00783CFA">
        <w:rPr>
          <w:rFonts w:eastAsia="Calibri" w:cs="Arial"/>
          <w:color w:val="auto"/>
          <w:spacing w:val="0"/>
          <w:sz w:val="22"/>
          <w:szCs w:val="22"/>
          <w:lang w:val="en-ZA" w:eastAsia="en-US"/>
        </w:rPr>
        <w:t>More marginal farm enterprises have already retrenched, or gone bankrupt</w:t>
      </w:r>
    </w:p>
    <w:p w:rsidR="008B7AA5" w:rsidRPr="00783CFA" w:rsidRDefault="008B7AA5" w:rsidP="00783CFA">
      <w:pPr>
        <w:pStyle w:val="ListParagraph"/>
        <w:numPr>
          <w:ilvl w:val="0"/>
          <w:numId w:val="35"/>
        </w:numPr>
        <w:jc w:val="both"/>
        <w:rPr>
          <w:rFonts w:eastAsia="Calibri" w:cs="Arial"/>
          <w:color w:val="auto"/>
          <w:spacing w:val="0"/>
          <w:sz w:val="22"/>
          <w:szCs w:val="22"/>
          <w:lang w:val="en-ZA" w:eastAsia="en-US"/>
        </w:rPr>
      </w:pPr>
      <w:r w:rsidRPr="00783CFA">
        <w:rPr>
          <w:rFonts w:eastAsia="Calibri" w:cs="Arial"/>
          <w:color w:val="auto"/>
          <w:spacing w:val="0"/>
          <w:sz w:val="22"/>
          <w:szCs w:val="22"/>
          <w:lang w:val="en-ZA" w:eastAsia="en-US"/>
        </w:rPr>
        <w:t>Farms need to retain a certain number of the labour-force to retain production levels</w:t>
      </w:r>
    </w:p>
    <w:p w:rsidR="002730DF" w:rsidRPr="002730DF" w:rsidRDefault="008B7AA5" w:rsidP="007A0D72">
      <w:pPr>
        <w:pStyle w:val="ListParagraph"/>
        <w:numPr>
          <w:ilvl w:val="0"/>
          <w:numId w:val="35"/>
        </w:numPr>
        <w:jc w:val="both"/>
        <w:rPr>
          <w:rFonts w:eastAsia="Calibri"/>
          <w:sz w:val="22"/>
          <w:szCs w:val="22"/>
          <w:lang w:val="en-ZA" w:eastAsia="en-US"/>
        </w:rPr>
      </w:pPr>
      <w:r w:rsidRPr="002730DF">
        <w:rPr>
          <w:rFonts w:eastAsia="Calibri" w:cs="Arial"/>
          <w:color w:val="auto"/>
          <w:spacing w:val="0"/>
          <w:sz w:val="22"/>
          <w:szCs w:val="22"/>
          <w:lang w:val="en-ZA" w:eastAsia="en-US"/>
        </w:rPr>
        <w:lastRenderedPageBreak/>
        <w:t>Farmers have been able to adjust production systems to make the new wages affordable</w:t>
      </w:r>
    </w:p>
    <w:p w:rsidR="008B7AA5" w:rsidRPr="002730DF" w:rsidRDefault="008B7AA5" w:rsidP="007A0D72">
      <w:pPr>
        <w:pStyle w:val="ListParagraph"/>
        <w:numPr>
          <w:ilvl w:val="0"/>
          <w:numId w:val="35"/>
        </w:numPr>
        <w:jc w:val="both"/>
        <w:rPr>
          <w:rFonts w:eastAsia="Calibri"/>
          <w:sz w:val="22"/>
          <w:szCs w:val="22"/>
          <w:lang w:val="en-ZA" w:eastAsia="en-US"/>
        </w:rPr>
      </w:pPr>
      <w:r w:rsidRPr="002730DF">
        <w:rPr>
          <w:rFonts w:eastAsia="Calibri"/>
          <w:sz w:val="22"/>
          <w:szCs w:val="22"/>
          <w:lang w:val="en-ZA" w:eastAsia="en-US"/>
        </w:rPr>
        <w:t>Rising cost of intermediate goods (fuel, seeds, fertilisers, fencing, crop protections etc.) rather than labour, land or capital are the main explanatory factors in the cost-price squeeze in agriculture.</w:t>
      </w:r>
    </w:p>
    <w:p w:rsidR="004C18F2" w:rsidRPr="00783CFA" w:rsidRDefault="004C18F2" w:rsidP="00783CFA">
      <w:pPr>
        <w:jc w:val="both"/>
        <w:rPr>
          <w:rFonts w:eastAsia="Calibri"/>
          <w:sz w:val="22"/>
          <w:szCs w:val="22"/>
          <w:lang w:val="en-ZA" w:eastAsia="en-US"/>
        </w:rPr>
      </w:pPr>
    </w:p>
    <w:p w:rsidR="004C18F2" w:rsidRDefault="004C18F2" w:rsidP="00783CFA">
      <w:pPr>
        <w:jc w:val="both"/>
        <w:rPr>
          <w:rFonts w:eastAsia="Calibri"/>
          <w:sz w:val="22"/>
          <w:szCs w:val="22"/>
          <w:lang w:eastAsia="en-US"/>
        </w:rPr>
      </w:pPr>
      <w:r w:rsidRPr="00783CFA">
        <w:rPr>
          <w:rFonts w:eastAsia="Calibri"/>
          <w:sz w:val="22"/>
          <w:szCs w:val="22"/>
          <w:lang w:eastAsia="en-US"/>
        </w:rPr>
        <w:t>Further research by Theron also suggests that “it is impossible to disentangle the impact of the minimum wage on employment from other factors that might have had an equal, if not worse impact on employment levels. Such factors include trade liberalisation, exchange rates movements and adverse weather conditions”.</w:t>
      </w:r>
      <w:r w:rsidRPr="00783CFA">
        <w:rPr>
          <w:rFonts w:eastAsia="Calibri"/>
          <w:sz w:val="22"/>
          <w:szCs w:val="22"/>
          <w:vertAlign w:val="superscript"/>
          <w:lang w:eastAsia="en-US"/>
        </w:rPr>
        <w:footnoteReference w:id="3"/>
      </w:r>
      <w:r w:rsidRPr="00783CFA">
        <w:rPr>
          <w:rFonts w:eastAsia="Calibri"/>
          <w:sz w:val="22"/>
          <w:szCs w:val="22"/>
          <w:lang w:eastAsia="en-US"/>
        </w:rPr>
        <w:t xml:space="preserve"> To illustrate their argument,</w:t>
      </w:r>
      <w:r w:rsidRPr="00783CFA">
        <w:rPr>
          <w:sz w:val="22"/>
          <w:szCs w:val="22"/>
        </w:rPr>
        <w:t xml:space="preserve"> </w:t>
      </w:r>
      <w:r w:rsidRPr="00783CFA">
        <w:rPr>
          <w:rFonts w:eastAsia="Calibri"/>
          <w:sz w:val="22"/>
          <w:szCs w:val="22"/>
          <w:lang w:eastAsia="en-US"/>
        </w:rPr>
        <w:t xml:space="preserve">they note that from 1993 to 2001 – prior to the introduction of the minimum wage, but in the period in which trade liberalisation took effect - employment in </w:t>
      </w:r>
      <w:r w:rsidR="00852B3F">
        <w:rPr>
          <w:rFonts w:eastAsia="Calibri"/>
          <w:sz w:val="22"/>
          <w:szCs w:val="22"/>
          <w:lang w:eastAsia="en-US"/>
        </w:rPr>
        <w:t xml:space="preserve">agriculture fell by 32 per cent. </w:t>
      </w:r>
    </w:p>
    <w:p w:rsidR="0083485B" w:rsidRPr="00783CFA" w:rsidRDefault="0083485B" w:rsidP="00783CFA">
      <w:pPr>
        <w:jc w:val="both"/>
        <w:rPr>
          <w:rFonts w:eastAsia="Calibri"/>
          <w:sz w:val="22"/>
          <w:szCs w:val="22"/>
          <w:lang w:val="en-ZA" w:eastAsia="en-US"/>
        </w:rPr>
      </w:pPr>
    </w:p>
    <w:p w:rsidR="008B7AA5" w:rsidRPr="00783CFA" w:rsidRDefault="008B7AA5" w:rsidP="00783CFA">
      <w:pPr>
        <w:jc w:val="both"/>
        <w:rPr>
          <w:rFonts w:eastAsia="Calibri" w:cs="Arial"/>
          <w:sz w:val="22"/>
          <w:szCs w:val="22"/>
          <w:lang w:val="en-ZA" w:eastAsia="en-US"/>
        </w:rPr>
      </w:pPr>
      <w:r w:rsidRPr="00783CFA">
        <w:rPr>
          <w:rFonts w:eastAsia="Calibri"/>
          <w:sz w:val="22"/>
          <w:szCs w:val="22"/>
          <w:lang w:val="en-ZA" w:eastAsia="en-US"/>
        </w:rPr>
        <w:t>What the experience in agriculture (an export sector) and minimum wage determinations indicates is that there is no mechanical relationship between wages and employment where increases in wages automatically lead to unemployment. The simplistic argument that increased wages leads to unemployment is not supported by evidence and instead what we observe is increased employment and increased profitability. Thus, besides financial gains farm workers have also scored a change from casual to permanent employment, including a reduction of workers’ weekly hours from 47 (2008) to 46 hours (2014).</w:t>
      </w:r>
    </w:p>
    <w:p w:rsidR="00B632BA" w:rsidRPr="00783CFA" w:rsidRDefault="00B632BA" w:rsidP="00783CFA">
      <w:pPr>
        <w:jc w:val="both"/>
        <w:rPr>
          <w:sz w:val="22"/>
          <w:szCs w:val="22"/>
        </w:rPr>
      </w:pPr>
    </w:p>
    <w:p w:rsidR="00EF2E4E" w:rsidRPr="00351A09" w:rsidRDefault="00AB6DAF" w:rsidP="00351A09">
      <w:pPr>
        <w:pStyle w:val="ListParagraph"/>
        <w:numPr>
          <w:ilvl w:val="0"/>
          <w:numId w:val="27"/>
        </w:numPr>
        <w:jc w:val="both"/>
        <w:rPr>
          <w:b/>
          <w:color w:val="auto"/>
          <w:sz w:val="22"/>
          <w:szCs w:val="22"/>
        </w:rPr>
      </w:pPr>
      <w:r>
        <w:rPr>
          <w:b/>
          <w:color w:val="auto"/>
          <w:sz w:val="22"/>
          <w:szCs w:val="22"/>
        </w:rPr>
        <w:t xml:space="preserve">LIVING AND </w:t>
      </w:r>
      <w:r w:rsidR="00351A09" w:rsidRPr="00351A09">
        <w:rPr>
          <w:b/>
          <w:color w:val="auto"/>
          <w:sz w:val="22"/>
          <w:szCs w:val="22"/>
        </w:rPr>
        <w:t>WORKING CONDITIONS ON SOUTH AFRICAN FARMS</w:t>
      </w:r>
    </w:p>
    <w:p w:rsidR="00351A09" w:rsidRDefault="00351A09" w:rsidP="00351A09">
      <w:pPr>
        <w:jc w:val="both"/>
        <w:rPr>
          <w:color w:val="auto"/>
          <w:sz w:val="22"/>
          <w:szCs w:val="22"/>
        </w:rPr>
      </w:pPr>
    </w:p>
    <w:p w:rsidR="00351A09" w:rsidRDefault="00351A09" w:rsidP="00351A09">
      <w:pPr>
        <w:jc w:val="both"/>
        <w:rPr>
          <w:color w:val="auto"/>
          <w:sz w:val="22"/>
          <w:szCs w:val="22"/>
        </w:rPr>
      </w:pPr>
      <w:r>
        <w:rPr>
          <w:color w:val="auto"/>
          <w:sz w:val="22"/>
          <w:szCs w:val="22"/>
        </w:rPr>
        <w:t>A report commissioned by the International Labour Organisation (February 2015) entitled: Farm Workers Living Conditions in South Africa: Key Trends, emergent issues, and underlying and structural problems noted the following:</w:t>
      </w:r>
    </w:p>
    <w:p w:rsidR="00351A09" w:rsidRPr="00351A09" w:rsidRDefault="00351A09" w:rsidP="00351A09">
      <w:pPr>
        <w:rPr>
          <w:rFonts w:cs="Arial"/>
          <w:spacing w:val="0"/>
          <w:sz w:val="22"/>
          <w:szCs w:val="22"/>
          <w:lang w:val="en-ZA" w:eastAsia="en-ZA"/>
        </w:rPr>
      </w:pPr>
    </w:p>
    <w:p w:rsidR="00351A09" w:rsidRDefault="00351A09" w:rsidP="00EA752C">
      <w:pPr>
        <w:pStyle w:val="ListParagraph"/>
        <w:numPr>
          <w:ilvl w:val="0"/>
          <w:numId w:val="28"/>
        </w:numPr>
        <w:rPr>
          <w:rFonts w:cs="Arial"/>
          <w:spacing w:val="0"/>
          <w:sz w:val="22"/>
          <w:szCs w:val="22"/>
          <w:lang w:val="en-ZA" w:eastAsia="en-ZA"/>
        </w:rPr>
      </w:pPr>
      <w:r w:rsidRPr="00351A09">
        <w:rPr>
          <w:rFonts w:cs="Arial"/>
          <w:b/>
          <w:bCs/>
          <w:spacing w:val="0"/>
          <w:sz w:val="22"/>
          <w:szCs w:val="22"/>
          <w:lang w:val="en-ZA" w:eastAsia="en-ZA"/>
        </w:rPr>
        <w:t xml:space="preserve">Work status: </w:t>
      </w:r>
      <w:r w:rsidRPr="00351A09">
        <w:rPr>
          <w:rFonts w:cs="Arial"/>
          <w:spacing w:val="0"/>
          <w:sz w:val="22"/>
          <w:szCs w:val="22"/>
          <w:lang w:val="en-ZA" w:eastAsia="en-ZA"/>
        </w:rPr>
        <w:t xml:space="preserve">51.1 percent had employment of a permanent nature, 25.2 per cent had employment of limited duration, and 23.6 per cent had employment of unspecified duration. Women were less likely than men to have employment of a permanent nature. </w:t>
      </w:r>
    </w:p>
    <w:p w:rsidR="00351A09" w:rsidRDefault="00351A09" w:rsidP="00F002EC">
      <w:pPr>
        <w:pStyle w:val="ListParagraph"/>
        <w:numPr>
          <w:ilvl w:val="0"/>
          <w:numId w:val="28"/>
        </w:numPr>
        <w:rPr>
          <w:rFonts w:cs="Arial"/>
          <w:spacing w:val="0"/>
          <w:sz w:val="22"/>
          <w:szCs w:val="22"/>
          <w:lang w:val="en-ZA" w:eastAsia="en-ZA"/>
        </w:rPr>
      </w:pPr>
      <w:r w:rsidRPr="00351A09">
        <w:rPr>
          <w:rFonts w:cs="Arial"/>
          <w:b/>
          <w:bCs/>
          <w:spacing w:val="0"/>
          <w:sz w:val="22"/>
          <w:szCs w:val="22"/>
          <w:lang w:val="en-ZA" w:eastAsia="en-ZA"/>
        </w:rPr>
        <w:t xml:space="preserve">Employment contracts: </w:t>
      </w:r>
      <w:r w:rsidRPr="00351A09">
        <w:rPr>
          <w:rFonts w:cs="Arial"/>
          <w:spacing w:val="0"/>
          <w:sz w:val="22"/>
          <w:szCs w:val="22"/>
          <w:lang w:val="en-ZA" w:eastAsia="en-ZA"/>
        </w:rPr>
        <w:t>Over 92 per cent of workers with employment of a permanent nature and 80.8 per cent of workers with employment of a limited duration have written employment contracts. However, a mere 40 per cent of workers with employment on unspecified duration have written employment contracts.</w:t>
      </w:r>
    </w:p>
    <w:p w:rsidR="00351A09" w:rsidRDefault="00351A09" w:rsidP="00364C0E">
      <w:pPr>
        <w:pStyle w:val="ListParagraph"/>
        <w:numPr>
          <w:ilvl w:val="0"/>
          <w:numId w:val="28"/>
        </w:numPr>
        <w:rPr>
          <w:rFonts w:cs="Arial"/>
          <w:spacing w:val="0"/>
          <w:sz w:val="22"/>
          <w:szCs w:val="22"/>
          <w:lang w:val="en-ZA" w:eastAsia="en-ZA"/>
        </w:rPr>
      </w:pPr>
      <w:r w:rsidRPr="00351A09">
        <w:rPr>
          <w:rFonts w:cs="Arial"/>
          <w:b/>
          <w:bCs/>
          <w:spacing w:val="0"/>
          <w:sz w:val="22"/>
          <w:szCs w:val="22"/>
          <w:lang w:val="en-ZA" w:eastAsia="en-ZA"/>
        </w:rPr>
        <w:t xml:space="preserve">Work hours: </w:t>
      </w:r>
      <w:r w:rsidRPr="00351A09">
        <w:rPr>
          <w:rFonts w:cs="Arial"/>
          <w:spacing w:val="0"/>
          <w:sz w:val="22"/>
          <w:szCs w:val="22"/>
          <w:lang w:val="en-ZA" w:eastAsia="en-ZA"/>
        </w:rPr>
        <w:t xml:space="preserve">The modal range of hours usually worked per week was 41 to 45 hours per week (41% for men and 47% for women), followed by 36 to 40 hours per week (25% and 23%, respectively), and 46 to 50 hours per week (14% and 13%, respectively). On average, women usually work fewer hours than men, with 22 per cent of women and 30 per cent of men usually working more than 45 hours per week. </w:t>
      </w:r>
    </w:p>
    <w:p w:rsidR="00351A09" w:rsidRDefault="00351A09" w:rsidP="004C2DC3">
      <w:pPr>
        <w:pStyle w:val="ListParagraph"/>
        <w:numPr>
          <w:ilvl w:val="0"/>
          <w:numId w:val="28"/>
        </w:numPr>
        <w:rPr>
          <w:rFonts w:cs="Arial"/>
          <w:spacing w:val="0"/>
          <w:sz w:val="22"/>
          <w:szCs w:val="22"/>
          <w:lang w:val="en-ZA" w:eastAsia="en-ZA"/>
        </w:rPr>
      </w:pPr>
      <w:r w:rsidRPr="00351A09">
        <w:rPr>
          <w:rFonts w:cs="Arial"/>
          <w:b/>
          <w:bCs/>
          <w:spacing w:val="0"/>
          <w:sz w:val="22"/>
          <w:szCs w:val="22"/>
          <w:lang w:val="en-ZA" w:eastAsia="en-ZA"/>
        </w:rPr>
        <w:t xml:space="preserve">Paid vacation leave: </w:t>
      </w:r>
      <w:r w:rsidRPr="00351A09">
        <w:rPr>
          <w:rFonts w:cs="Arial"/>
          <w:spacing w:val="0"/>
          <w:sz w:val="22"/>
          <w:szCs w:val="22"/>
          <w:lang w:val="en-ZA" w:eastAsia="en-ZA"/>
        </w:rPr>
        <w:t xml:space="preserve">Only 46.4 per cent were entitled to paid vacation leave, however, the incidence ranged from 75.2 per cent for workers with employment of a permanent nature to approximately 15 per cent for workers with employment of a limited or unspecified duration. </w:t>
      </w:r>
    </w:p>
    <w:p w:rsidR="00351A09" w:rsidRDefault="00351A09" w:rsidP="005815AE">
      <w:pPr>
        <w:pStyle w:val="ListParagraph"/>
        <w:numPr>
          <w:ilvl w:val="0"/>
          <w:numId w:val="28"/>
        </w:numPr>
        <w:rPr>
          <w:rFonts w:cs="Arial"/>
          <w:spacing w:val="0"/>
          <w:sz w:val="22"/>
          <w:szCs w:val="22"/>
          <w:lang w:val="en-ZA" w:eastAsia="en-ZA"/>
        </w:rPr>
      </w:pPr>
      <w:r w:rsidRPr="00351A09">
        <w:rPr>
          <w:rFonts w:cs="Arial"/>
          <w:b/>
          <w:bCs/>
          <w:spacing w:val="0"/>
          <w:sz w:val="22"/>
          <w:szCs w:val="22"/>
          <w:lang w:val="en-ZA" w:eastAsia="en-ZA"/>
        </w:rPr>
        <w:lastRenderedPageBreak/>
        <w:t>Paid Sick Leave</w:t>
      </w:r>
      <w:r w:rsidRPr="00351A09">
        <w:rPr>
          <w:rFonts w:cs="Arial"/>
          <w:spacing w:val="0"/>
          <w:sz w:val="22"/>
          <w:szCs w:val="22"/>
          <w:lang w:val="en-ZA" w:eastAsia="en-ZA"/>
        </w:rPr>
        <w:t>: Only 35 per cent were entitled to paid sick leave, however, the incidence ranged from 58.7 per cent for workers with employment of a permanent nature to approximately 10 per cent for workers with employment of a limited or unspecified duration.</w:t>
      </w:r>
    </w:p>
    <w:p w:rsidR="00351A09" w:rsidRDefault="00351A09" w:rsidP="00F3164D">
      <w:pPr>
        <w:pStyle w:val="ListParagraph"/>
        <w:numPr>
          <w:ilvl w:val="0"/>
          <w:numId w:val="28"/>
        </w:numPr>
        <w:rPr>
          <w:rFonts w:cs="Arial"/>
          <w:spacing w:val="0"/>
          <w:sz w:val="22"/>
          <w:szCs w:val="22"/>
          <w:lang w:val="en-ZA" w:eastAsia="en-ZA"/>
        </w:rPr>
      </w:pPr>
      <w:r w:rsidRPr="00351A09">
        <w:rPr>
          <w:rFonts w:cs="Arial"/>
          <w:b/>
          <w:bCs/>
          <w:spacing w:val="0"/>
          <w:sz w:val="22"/>
          <w:szCs w:val="22"/>
          <w:lang w:val="en-ZA" w:eastAsia="en-ZA"/>
        </w:rPr>
        <w:t xml:space="preserve">Maternity/Paternity leave: </w:t>
      </w:r>
      <w:r w:rsidRPr="00351A09">
        <w:rPr>
          <w:rFonts w:cs="Arial"/>
          <w:spacing w:val="0"/>
          <w:sz w:val="22"/>
          <w:szCs w:val="22"/>
          <w:lang w:val="en-ZA" w:eastAsia="en-ZA"/>
        </w:rPr>
        <w:t>Few farmhands and labourers were entitled to maternity (5.6%) or paternity leave (1.5%).</w:t>
      </w:r>
    </w:p>
    <w:p w:rsidR="00351A09" w:rsidRDefault="00351A09" w:rsidP="00EA6236">
      <w:pPr>
        <w:pStyle w:val="ListParagraph"/>
        <w:numPr>
          <w:ilvl w:val="0"/>
          <w:numId w:val="28"/>
        </w:numPr>
        <w:rPr>
          <w:rFonts w:cs="Arial"/>
          <w:spacing w:val="0"/>
          <w:sz w:val="22"/>
          <w:szCs w:val="22"/>
          <w:lang w:val="en-ZA" w:eastAsia="en-ZA"/>
        </w:rPr>
      </w:pPr>
      <w:r w:rsidRPr="00351A09">
        <w:rPr>
          <w:rFonts w:cs="Arial"/>
          <w:b/>
          <w:bCs/>
          <w:spacing w:val="0"/>
          <w:sz w:val="22"/>
          <w:szCs w:val="22"/>
          <w:lang w:val="en-ZA" w:eastAsia="en-ZA"/>
        </w:rPr>
        <w:t>Contribution to pension or retirement fund</w:t>
      </w:r>
      <w:r w:rsidRPr="00351A09">
        <w:rPr>
          <w:rFonts w:cs="Arial"/>
          <w:spacing w:val="0"/>
          <w:sz w:val="22"/>
          <w:szCs w:val="22"/>
          <w:lang w:val="en-ZA" w:eastAsia="en-ZA"/>
        </w:rPr>
        <w:t>: Only 20.6 per cent of farmhands and labourers received a contribution to pension or a retirement fund, however, the incidence ranged from 38.6 per cent for workers with employment of a permanent nature to less than 3 per cent for workers with employment of a limited or unspecified duration.</w:t>
      </w:r>
    </w:p>
    <w:p w:rsidR="00073D1D" w:rsidRPr="00073D1D" w:rsidRDefault="00351A09" w:rsidP="004C5F0D">
      <w:pPr>
        <w:pStyle w:val="ListParagraph"/>
        <w:numPr>
          <w:ilvl w:val="0"/>
          <w:numId w:val="28"/>
        </w:numPr>
        <w:rPr>
          <w:sz w:val="22"/>
          <w:szCs w:val="22"/>
          <w:lang w:val="en-ZA" w:eastAsia="en-ZA"/>
        </w:rPr>
      </w:pPr>
      <w:r w:rsidRPr="00073D1D">
        <w:rPr>
          <w:rFonts w:cs="Arial"/>
          <w:b/>
          <w:bCs/>
          <w:spacing w:val="0"/>
          <w:sz w:val="22"/>
          <w:szCs w:val="22"/>
          <w:lang w:val="en-ZA" w:eastAsia="en-ZA"/>
        </w:rPr>
        <w:t xml:space="preserve">Medical aid or health insurance contribution: </w:t>
      </w:r>
      <w:r w:rsidRPr="00073D1D">
        <w:rPr>
          <w:rFonts w:cs="Arial"/>
          <w:spacing w:val="0"/>
          <w:sz w:val="22"/>
          <w:szCs w:val="22"/>
          <w:lang w:val="en-ZA" w:eastAsia="en-ZA"/>
        </w:rPr>
        <w:t xml:space="preserve">Only 1.5 per cent received contributions to medical or health insurance. </w:t>
      </w:r>
    </w:p>
    <w:p w:rsidR="00073D1D" w:rsidRDefault="00351A09" w:rsidP="00406D1A">
      <w:pPr>
        <w:pStyle w:val="ListParagraph"/>
        <w:numPr>
          <w:ilvl w:val="0"/>
          <w:numId w:val="28"/>
        </w:numPr>
        <w:rPr>
          <w:sz w:val="22"/>
          <w:szCs w:val="22"/>
          <w:lang w:val="en-ZA" w:eastAsia="en-ZA"/>
        </w:rPr>
      </w:pPr>
      <w:r w:rsidRPr="00073D1D">
        <w:rPr>
          <w:b/>
          <w:bCs/>
          <w:sz w:val="22"/>
          <w:szCs w:val="22"/>
          <w:lang w:val="en-ZA" w:eastAsia="en-ZA"/>
        </w:rPr>
        <w:t xml:space="preserve">UIF Deductions: </w:t>
      </w:r>
      <w:r w:rsidRPr="00073D1D">
        <w:rPr>
          <w:sz w:val="22"/>
          <w:szCs w:val="22"/>
          <w:lang w:val="en-ZA" w:eastAsia="en-ZA"/>
        </w:rPr>
        <w:t xml:space="preserve">Approximately two-thirds (67.1%) had deductions for UIF. The proportion was higher for workers with employment of a permanent nature (90.3%) vs. those with employment of a limited or unspecified duration (45.2% and 40.4%, respectively). </w:t>
      </w:r>
    </w:p>
    <w:p w:rsidR="00351A09" w:rsidRPr="00073D1D" w:rsidRDefault="00351A09" w:rsidP="00406D1A">
      <w:pPr>
        <w:pStyle w:val="ListParagraph"/>
        <w:numPr>
          <w:ilvl w:val="0"/>
          <w:numId w:val="28"/>
        </w:numPr>
        <w:rPr>
          <w:sz w:val="22"/>
          <w:szCs w:val="22"/>
          <w:lang w:val="en-ZA" w:eastAsia="en-ZA"/>
        </w:rPr>
      </w:pPr>
      <w:r w:rsidRPr="00073D1D">
        <w:rPr>
          <w:b/>
          <w:bCs/>
          <w:sz w:val="22"/>
          <w:szCs w:val="22"/>
          <w:lang w:val="en-ZA" w:eastAsia="en-ZA"/>
        </w:rPr>
        <w:t xml:space="preserve">Mode of salary negotiation: </w:t>
      </w:r>
      <w:r w:rsidRPr="00073D1D">
        <w:rPr>
          <w:sz w:val="22"/>
          <w:szCs w:val="22"/>
          <w:lang w:val="en-ZA" w:eastAsia="en-ZA"/>
        </w:rPr>
        <w:t xml:space="preserve">The most frequent mode of salary negotiation reported by farmhands and labourers is direct negotiation with their employers (81.4%). Negotiation between labour unions and employers is notably higher for permanent employees (9.0%) than for workers with employment of limited (0.7%) or unspecified duration (1.1%). Relatively fewer permanent workers reported having no regular salary increase (3.8%) relative to workers with employment of limited (14.7%) or unspecified (14.8%) duration. A higher proportion of women than men reported having no regular salary increase (11.3% of women vs. 7.9% of men). </w:t>
      </w:r>
    </w:p>
    <w:p w:rsidR="00351A09" w:rsidRDefault="00351A09" w:rsidP="00351A09">
      <w:pPr>
        <w:rPr>
          <w:rFonts w:cs="Arial"/>
          <w:sz w:val="22"/>
          <w:szCs w:val="22"/>
        </w:rPr>
      </w:pPr>
    </w:p>
    <w:p w:rsidR="00351A09" w:rsidRPr="00AB6DAF" w:rsidRDefault="00327D43" w:rsidP="00AB6DAF">
      <w:pPr>
        <w:pStyle w:val="ListParagraph"/>
        <w:numPr>
          <w:ilvl w:val="0"/>
          <w:numId w:val="27"/>
        </w:numPr>
        <w:jc w:val="both"/>
        <w:rPr>
          <w:rFonts w:cs="Arial"/>
          <w:b/>
          <w:color w:val="auto"/>
          <w:sz w:val="22"/>
          <w:szCs w:val="22"/>
        </w:rPr>
      </w:pPr>
      <w:r w:rsidRPr="00AB6DAF">
        <w:rPr>
          <w:rFonts w:cs="Arial"/>
          <w:b/>
          <w:color w:val="auto"/>
          <w:sz w:val="22"/>
          <w:szCs w:val="22"/>
        </w:rPr>
        <w:t>CONCLUSION</w:t>
      </w:r>
    </w:p>
    <w:p w:rsidR="00351A09" w:rsidRPr="00AB6DAF" w:rsidRDefault="00351A09" w:rsidP="00BC3DB5">
      <w:pPr>
        <w:jc w:val="both"/>
        <w:rPr>
          <w:rFonts w:cs="Arial"/>
          <w:color w:val="auto"/>
          <w:sz w:val="22"/>
          <w:szCs w:val="22"/>
        </w:rPr>
      </w:pPr>
    </w:p>
    <w:p w:rsidR="00B06F89" w:rsidRDefault="0083485B" w:rsidP="00BC3DB5">
      <w:pPr>
        <w:jc w:val="both"/>
        <w:rPr>
          <w:rFonts w:cs="Arial"/>
          <w:color w:val="auto"/>
          <w:sz w:val="22"/>
          <w:szCs w:val="22"/>
        </w:rPr>
      </w:pPr>
      <w:r>
        <w:rPr>
          <w:rFonts w:cs="Arial"/>
          <w:color w:val="auto"/>
          <w:sz w:val="22"/>
          <w:szCs w:val="22"/>
          <w:lang w:val="en-ZA"/>
        </w:rPr>
        <w:t xml:space="preserve">The agricultural sector faces many challenges that range from unique sectoral conditions, </w:t>
      </w:r>
      <w:r w:rsidR="00852B3F" w:rsidRPr="00852B3F">
        <w:rPr>
          <w:rFonts w:cs="Arial"/>
          <w:color w:val="auto"/>
          <w:sz w:val="22"/>
          <w:szCs w:val="22"/>
          <w:lang w:val="en-ZA"/>
        </w:rPr>
        <w:t>industrial strategy, trade dynamics as well as broader economic conditions (including domestic consumer demand),</w:t>
      </w:r>
      <w:r>
        <w:rPr>
          <w:rFonts w:cs="Arial"/>
          <w:color w:val="auto"/>
          <w:sz w:val="22"/>
          <w:szCs w:val="22"/>
          <w:lang w:val="en-ZA"/>
        </w:rPr>
        <w:t xml:space="preserve"> all these</w:t>
      </w:r>
      <w:r w:rsidR="00852B3F" w:rsidRPr="00852B3F">
        <w:rPr>
          <w:rFonts w:cs="Arial"/>
          <w:color w:val="auto"/>
          <w:sz w:val="22"/>
          <w:szCs w:val="22"/>
          <w:lang w:val="en-ZA"/>
        </w:rPr>
        <w:t xml:space="preserve"> have a critical role in determining how a sector performs.</w:t>
      </w:r>
      <w:r>
        <w:rPr>
          <w:rFonts w:cs="Arial"/>
          <w:color w:val="auto"/>
          <w:sz w:val="22"/>
          <w:szCs w:val="22"/>
          <w:lang w:val="en-ZA"/>
        </w:rPr>
        <w:t xml:space="preserve"> </w:t>
      </w:r>
      <w:r w:rsidR="00852B3F" w:rsidRPr="00852B3F">
        <w:rPr>
          <w:rFonts w:cs="Arial"/>
          <w:color w:val="auto"/>
          <w:sz w:val="22"/>
          <w:szCs w:val="22"/>
          <w:lang w:val="en-ZA"/>
        </w:rPr>
        <w:t xml:space="preserve"> Hence, </w:t>
      </w:r>
      <w:r>
        <w:rPr>
          <w:rFonts w:cs="Arial"/>
          <w:color w:val="auto"/>
          <w:sz w:val="22"/>
          <w:szCs w:val="22"/>
          <w:lang w:val="en-ZA"/>
        </w:rPr>
        <w:t xml:space="preserve">when designing a </w:t>
      </w:r>
      <w:r w:rsidR="00852B3F" w:rsidRPr="00852B3F">
        <w:rPr>
          <w:rFonts w:cs="Arial"/>
          <w:color w:val="auto"/>
          <w:sz w:val="22"/>
          <w:szCs w:val="22"/>
          <w:lang w:val="en-ZA"/>
        </w:rPr>
        <w:t>wage policy</w:t>
      </w:r>
      <w:r>
        <w:rPr>
          <w:rFonts w:cs="Arial"/>
          <w:color w:val="auto"/>
          <w:sz w:val="22"/>
          <w:szCs w:val="22"/>
          <w:lang w:val="en-ZA"/>
        </w:rPr>
        <w:t xml:space="preserve">, broader macro-economic and sectoral challenges have to be considered to ensure a balanced policy outcome.  </w:t>
      </w:r>
    </w:p>
    <w:p w:rsidR="00B06F89" w:rsidRDefault="00B06F89" w:rsidP="00BC3DB5">
      <w:pPr>
        <w:jc w:val="both"/>
        <w:rPr>
          <w:rFonts w:cs="Arial"/>
          <w:color w:val="auto"/>
          <w:sz w:val="22"/>
          <w:szCs w:val="22"/>
        </w:rPr>
      </w:pPr>
    </w:p>
    <w:p w:rsidR="00B06F89" w:rsidRDefault="00B06F89" w:rsidP="00BC3DB5">
      <w:pPr>
        <w:jc w:val="both"/>
        <w:rPr>
          <w:rFonts w:cs="Arial"/>
          <w:color w:val="auto"/>
          <w:sz w:val="22"/>
          <w:szCs w:val="22"/>
        </w:rPr>
      </w:pPr>
    </w:p>
    <w:p w:rsidR="00327D43" w:rsidRDefault="00327D43" w:rsidP="00BC3DB5">
      <w:pPr>
        <w:jc w:val="both"/>
        <w:rPr>
          <w:rFonts w:cs="Arial"/>
          <w:color w:val="auto"/>
          <w:sz w:val="22"/>
          <w:szCs w:val="22"/>
        </w:rPr>
      </w:pPr>
    </w:p>
    <w:p w:rsidR="00BC3DB5" w:rsidRDefault="00BC3DB5" w:rsidP="00351A09">
      <w:pPr>
        <w:rPr>
          <w:rFonts w:cs="Arial"/>
          <w:color w:val="auto"/>
          <w:sz w:val="22"/>
          <w:szCs w:val="22"/>
        </w:rPr>
      </w:pPr>
    </w:p>
    <w:p w:rsidR="00BC3DB5" w:rsidRDefault="00BC3DB5" w:rsidP="00351A09">
      <w:pPr>
        <w:rPr>
          <w:rFonts w:cs="Arial"/>
          <w:color w:val="auto"/>
          <w:sz w:val="22"/>
          <w:szCs w:val="22"/>
        </w:rPr>
      </w:pPr>
    </w:p>
    <w:p w:rsidR="00BC3DB5" w:rsidRDefault="00BC3DB5" w:rsidP="00351A09">
      <w:pPr>
        <w:rPr>
          <w:rFonts w:cs="Arial"/>
          <w:color w:val="auto"/>
          <w:sz w:val="22"/>
          <w:szCs w:val="22"/>
        </w:rPr>
      </w:pPr>
    </w:p>
    <w:p w:rsidR="00BC3DB5" w:rsidRDefault="00BC3DB5" w:rsidP="00351A09">
      <w:pPr>
        <w:rPr>
          <w:rFonts w:cs="Arial"/>
          <w:color w:val="auto"/>
          <w:sz w:val="22"/>
          <w:szCs w:val="22"/>
        </w:rPr>
      </w:pPr>
    </w:p>
    <w:p w:rsidR="00BC3DB5" w:rsidRDefault="00BC3DB5" w:rsidP="00351A09">
      <w:pPr>
        <w:rPr>
          <w:rFonts w:cs="Arial"/>
          <w:color w:val="auto"/>
          <w:sz w:val="22"/>
          <w:szCs w:val="22"/>
        </w:rPr>
      </w:pPr>
    </w:p>
    <w:p w:rsidR="00BC3DB5" w:rsidRDefault="00BC3DB5" w:rsidP="00351A09">
      <w:pPr>
        <w:rPr>
          <w:rFonts w:cs="Arial"/>
          <w:color w:val="auto"/>
          <w:sz w:val="22"/>
          <w:szCs w:val="22"/>
        </w:rPr>
      </w:pPr>
    </w:p>
    <w:p w:rsidR="00BC3DB5" w:rsidRDefault="00BC3DB5" w:rsidP="00351A09">
      <w:pPr>
        <w:rPr>
          <w:rFonts w:cs="Arial"/>
          <w:color w:val="auto"/>
          <w:sz w:val="22"/>
          <w:szCs w:val="22"/>
        </w:rPr>
      </w:pPr>
    </w:p>
    <w:p w:rsidR="00BC3DB5" w:rsidRDefault="00BC3DB5" w:rsidP="00351A09">
      <w:pPr>
        <w:rPr>
          <w:rFonts w:cs="Arial"/>
          <w:color w:val="auto"/>
          <w:sz w:val="22"/>
          <w:szCs w:val="22"/>
        </w:rPr>
      </w:pPr>
    </w:p>
    <w:p w:rsidR="00327D43" w:rsidRPr="00327D43" w:rsidRDefault="00327D43" w:rsidP="00351A09">
      <w:pPr>
        <w:rPr>
          <w:rFonts w:cs="Arial"/>
          <w:color w:val="auto"/>
          <w:sz w:val="22"/>
          <w:szCs w:val="22"/>
        </w:rPr>
      </w:pPr>
    </w:p>
    <w:p w:rsidR="002244C7" w:rsidRPr="00327D43" w:rsidRDefault="002244C7" w:rsidP="0063432F">
      <w:pPr>
        <w:pStyle w:val="ListParagraph"/>
        <w:numPr>
          <w:ilvl w:val="0"/>
          <w:numId w:val="27"/>
        </w:numPr>
        <w:rPr>
          <w:rFonts w:cs="Arial"/>
          <w:b/>
          <w:color w:val="auto"/>
          <w:sz w:val="22"/>
          <w:szCs w:val="22"/>
        </w:rPr>
      </w:pPr>
      <w:r w:rsidRPr="00327D43">
        <w:rPr>
          <w:rFonts w:cs="Arial"/>
          <w:b/>
          <w:color w:val="auto"/>
          <w:sz w:val="22"/>
          <w:szCs w:val="22"/>
        </w:rPr>
        <w:lastRenderedPageBreak/>
        <w:t>R</w:t>
      </w:r>
      <w:r w:rsidR="00327D43" w:rsidRPr="00327D43">
        <w:rPr>
          <w:rFonts w:cs="Arial"/>
          <w:b/>
          <w:color w:val="auto"/>
          <w:sz w:val="22"/>
          <w:szCs w:val="22"/>
        </w:rPr>
        <w:t xml:space="preserve">EFERENCES </w:t>
      </w:r>
    </w:p>
    <w:p w:rsidR="00327D43" w:rsidRPr="00327D43" w:rsidRDefault="00327D43" w:rsidP="00327D43">
      <w:pPr>
        <w:pStyle w:val="ListParagraph"/>
        <w:ind w:left="360"/>
        <w:rPr>
          <w:rFonts w:cs="Arial"/>
          <w:color w:val="auto"/>
          <w:sz w:val="22"/>
          <w:szCs w:val="22"/>
        </w:rPr>
      </w:pPr>
    </w:p>
    <w:p w:rsidR="002244C7" w:rsidRPr="00327D43" w:rsidRDefault="002244C7" w:rsidP="002244C7">
      <w:pPr>
        <w:autoSpaceDE w:val="0"/>
        <w:autoSpaceDN w:val="0"/>
        <w:adjustRightInd w:val="0"/>
        <w:spacing w:line="240" w:lineRule="auto"/>
        <w:rPr>
          <w:rFonts w:cs="Arial"/>
          <w:i/>
          <w:iCs/>
          <w:color w:val="auto"/>
          <w:spacing w:val="0"/>
          <w:sz w:val="22"/>
          <w:szCs w:val="22"/>
          <w:lang w:val="en-ZA" w:eastAsia="en-ZA"/>
        </w:rPr>
      </w:pPr>
      <w:r w:rsidRPr="00327D43">
        <w:rPr>
          <w:rFonts w:cs="Arial"/>
          <w:color w:val="auto"/>
          <w:spacing w:val="0"/>
          <w:sz w:val="22"/>
          <w:szCs w:val="22"/>
          <w:lang w:val="en-ZA" w:eastAsia="en-ZA"/>
        </w:rPr>
        <w:t xml:space="preserve">AGRI SA. 2014. </w:t>
      </w:r>
      <w:r w:rsidRPr="00327D43">
        <w:rPr>
          <w:rFonts w:cs="Arial"/>
          <w:i/>
          <w:iCs/>
          <w:color w:val="auto"/>
          <w:spacing w:val="0"/>
          <w:sz w:val="22"/>
          <w:szCs w:val="22"/>
          <w:lang w:val="en-ZA" w:eastAsia="en-ZA"/>
        </w:rPr>
        <w:t>‘Submission to Parliament’s Portfolio Committee on Labour: Workshop</w:t>
      </w:r>
    </w:p>
    <w:p w:rsidR="002244C7" w:rsidRPr="00327D43" w:rsidRDefault="002244C7" w:rsidP="002244C7">
      <w:pPr>
        <w:autoSpaceDE w:val="0"/>
        <w:autoSpaceDN w:val="0"/>
        <w:adjustRightInd w:val="0"/>
        <w:spacing w:line="240" w:lineRule="auto"/>
        <w:rPr>
          <w:rFonts w:cs="Arial"/>
          <w:color w:val="auto"/>
          <w:spacing w:val="0"/>
          <w:sz w:val="22"/>
          <w:szCs w:val="22"/>
          <w:lang w:val="en-ZA" w:eastAsia="en-ZA"/>
        </w:rPr>
      </w:pPr>
      <w:r w:rsidRPr="00327D43">
        <w:rPr>
          <w:rFonts w:cs="Arial"/>
          <w:i/>
          <w:iCs/>
          <w:color w:val="auto"/>
          <w:spacing w:val="0"/>
          <w:sz w:val="22"/>
          <w:szCs w:val="22"/>
          <w:lang w:val="en-ZA" w:eastAsia="en-ZA"/>
        </w:rPr>
        <w:t>Regarding a National Minimum Wage’</w:t>
      </w:r>
      <w:r w:rsidRPr="00327D43">
        <w:rPr>
          <w:rFonts w:cs="Arial"/>
          <w:color w:val="auto"/>
          <w:spacing w:val="0"/>
          <w:sz w:val="22"/>
          <w:szCs w:val="22"/>
          <w:lang w:val="en-ZA" w:eastAsia="en-ZA"/>
        </w:rPr>
        <w:t>. Cape Town, 17 September.</w:t>
      </w:r>
    </w:p>
    <w:p w:rsidR="002244C7" w:rsidRPr="00327D43" w:rsidRDefault="002244C7" w:rsidP="002244C7">
      <w:pPr>
        <w:autoSpaceDE w:val="0"/>
        <w:autoSpaceDN w:val="0"/>
        <w:adjustRightInd w:val="0"/>
        <w:spacing w:line="240" w:lineRule="auto"/>
        <w:rPr>
          <w:rFonts w:cs="Arial"/>
          <w:color w:val="auto"/>
          <w:spacing w:val="0"/>
          <w:sz w:val="22"/>
          <w:szCs w:val="22"/>
          <w:lang w:val="en-ZA" w:eastAsia="en-ZA"/>
        </w:rPr>
      </w:pPr>
    </w:p>
    <w:p w:rsidR="002244C7" w:rsidRPr="00327D43" w:rsidRDefault="002244C7" w:rsidP="002244C7">
      <w:pPr>
        <w:autoSpaceDE w:val="0"/>
        <w:autoSpaceDN w:val="0"/>
        <w:adjustRightInd w:val="0"/>
        <w:spacing w:line="240" w:lineRule="auto"/>
        <w:rPr>
          <w:rFonts w:cs="Arial"/>
          <w:i/>
          <w:iCs/>
          <w:color w:val="auto"/>
          <w:spacing w:val="0"/>
          <w:sz w:val="22"/>
          <w:szCs w:val="22"/>
          <w:lang w:val="en-ZA" w:eastAsia="en-ZA"/>
        </w:rPr>
      </w:pPr>
      <w:r w:rsidRPr="00327D43">
        <w:rPr>
          <w:rFonts w:cs="Arial"/>
          <w:color w:val="auto"/>
          <w:spacing w:val="0"/>
          <w:sz w:val="22"/>
          <w:szCs w:val="22"/>
          <w:lang w:val="en-ZA" w:eastAsia="en-ZA"/>
        </w:rPr>
        <w:t xml:space="preserve">Alternative Information Development Centre. 2014. </w:t>
      </w:r>
      <w:r w:rsidRPr="00327D43">
        <w:rPr>
          <w:rFonts w:cs="Arial"/>
          <w:i/>
          <w:iCs/>
          <w:color w:val="auto"/>
          <w:spacing w:val="0"/>
          <w:sz w:val="22"/>
          <w:szCs w:val="22"/>
          <w:lang w:val="en-ZA" w:eastAsia="en-ZA"/>
        </w:rPr>
        <w:t>The State of Labour 20 Years After</w:t>
      </w:r>
    </w:p>
    <w:p w:rsidR="002244C7" w:rsidRPr="00327D43" w:rsidRDefault="002244C7" w:rsidP="002244C7">
      <w:pPr>
        <w:autoSpaceDE w:val="0"/>
        <w:autoSpaceDN w:val="0"/>
        <w:adjustRightInd w:val="0"/>
        <w:spacing w:line="240" w:lineRule="auto"/>
        <w:rPr>
          <w:rFonts w:cs="Arial"/>
          <w:color w:val="auto"/>
          <w:spacing w:val="0"/>
          <w:sz w:val="22"/>
          <w:szCs w:val="22"/>
          <w:lang w:val="en-ZA" w:eastAsia="en-ZA"/>
        </w:rPr>
      </w:pPr>
      <w:r w:rsidRPr="00327D43">
        <w:rPr>
          <w:rFonts w:cs="Arial"/>
          <w:i/>
          <w:iCs/>
          <w:color w:val="auto"/>
          <w:spacing w:val="0"/>
          <w:sz w:val="22"/>
          <w:szCs w:val="22"/>
          <w:lang w:val="en-ZA" w:eastAsia="en-ZA"/>
        </w:rPr>
        <w:t>Democracy</w:t>
      </w:r>
      <w:r w:rsidRPr="00327D43">
        <w:rPr>
          <w:rFonts w:cs="Arial"/>
          <w:color w:val="auto"/>
          <w:spacing w:val="0"/>
          <w:sz w:val="22"/>
          <w:szCs w:val="22"/>
          <w:lang w:val="en-ZA" w:eastAsia="en-ZA"/>
        </w:rPr>
        <w:t>. Cape Town.</w:t>
      </w:r>
    </w:p>
    <w:p w:rsidR="002244C7" w:rsidRPr="00327D43" w:rsidRDefault="002244C7" w:rsidP="002244C7">
      <w:pPr>
        <w:autoSpaceDE w:val="0"/>
        <w:autoSpaceDN w:val="0"/>
        <w:adjustRightInd w:val="0"/>
        <w:spacing w:line="240" w:lineRule="auto"/>
        <w:rPr>
          <w:rFonts w:cs="Arial"/>
          <w:color w:val="auto"/>
          <w:spacing w:val="0"/>
          <w:sz w:val="22"/>
          <w:szCs w:val="22"/>
          <w:lang w:val="en-ZA" w:eastAsia="en-ZA"/>
        </w:rPr>
      </w:pPr>
    </w:p>
    <w:p w:rsidR="002244C7" w:rsidRPr="00327D43" w:rsidRDefault="002244C7" w:rsidP="002244C7">
      <w:pPr>
        <w:autoSpaceDE w:val="0"/>
        <w:autoSpaceDN w:val="0"/>
        <w:adjustRightInd w:val="0"/>
        <w:spacing w:line="240" w:lineRule="auto"/>
        <w:rPr>
          <w:rFonts w:cs="Arial"/>
          <w:i/>
          <w:iCs/>
          <w:color w:val="auto"/>
          <w:spacing w:val="0"/>
          <w:sz w:val="22"/>
          <w:szCs w:val="22"/>
          <w:lang w:val="en-ZA" w:eastAsia="en-ZA"/>
        </w:rPr>
      </w:pPr>
      <w:r w:rsidRPr="00327D43">
        <w:rPr>
          <w:rFonts w:cs="Arial"/>
          <w:color w:val="auto"/>
          <w:spacing w:val="0"/>
          <w:sz w:val="22"/>
          <w:szCs w:val="22"/>
          <w:lang w:val="en-ZA" w:eastAsia="en-ZA"/>
        </w:rPr>
        <w:t xml:space="preserve">Bhorat, H. &amp; Mayet, N. 2013. </w:t>
      </w:r>
      <w:r w:rsidRPr="00327D43">
        <w:rPr>
          <w:rFonts w:cs="Arial"/>
          <w:i/>
          <w:iCs/>
          <w:color w:val="auto"/>
          <w:spacing w:val="0"/>
          <w:sz w:val="22"/>
          <w:szCs w:val="22"/>
          <w:lang w:val="en-ZA" w:eastAsia="en-ZA"/>
        </w:rPr>
        <w:t>The Impact of Sectoral Minimum Wage Laws in South Africa.</w:t>
      </w:r>
    </w:p>
    <w:p w:rsidR="002244C7" w:rsidRPr="00327D43" w:rsidRDefault="002244C7" w:rsidP="002244C7">
      <w:pPr>
        <w:autoSpaceDE w:val="0"/>
        <w:autoSpaceDN w:val="0"/>
        <w:adjustRightInd w:val="0"/>
        <w:spacing w:line="240" w:lineRule="auto"/>
        <w:rPr>
          <w:rFonts w:cs="Arial"/>
          <w:color w:val="auto"/>
          <w:spacing w:val="0"/>
          <w:sz w:val="22"/>
          <w:szCs w:val="22"/>
          <w:lang w:val="en-ZA" w:eastAsia="en-ZA"/>
        </w:rPr>
      </w:pPr>
      <w:r w:rsidRPr="00327D43">
        <w:rPr>
          <w:rFonts w:cs="Arial"/>
          <w:color w:val="auto"/>
          <w:spacing w:val="0"/>
          <w:sz w:val="22"/>
          <w:szCs w:val="22"/>
          <w:lang w:val="en-ZA" w:eastAsia="en-ZA"/>
        </w:rPr>
        <w:t>Available at: http://www.econ3x3.org/article/impact-sectoral-minimum-wage-laws-southafrica#</w:t>
      </w:r>
    </w:p>
    <w:p w:rsidR="002244C7" w:rsidRPr="00327D43" w:rsidRDefault="002244C7" w:rsidP="002244C7">
      <w:pPr>
        <w:autoSpaceDE w:val="0"/>
        <w:autoSpaceDN w:val="0"/>
        <w:adjustRightInd w:val="0"/>
        <w:spacing w:line="240" w:lineRule="auto"/>
        <w:rPr>
          <w:rFonts w:cs="Arial"/>
          <w:color w:val="auto"/>
          <w:spacing w:val="0"/>
          <w:sz w:val="22"/>
          <w:szCs w:val="22"/>
          <w:lang w:val="en-ZA" w:eastAsia="en-ZA"/>
        </w:rPr>
      </w:pPr>
      <w:r w:rsidRPr="00327D43">
        <w:rPr>
          <w:rFonts w:cs="Arial"/>
          <w:color w:val="auto"/>
          <w:spacing w:val="0"/>
          <w:sz w:val="22"/>
          <w:szCs w:val="22"/>
          <w:lang w:val="en-ZA" w:eastAsia="en-ZA"/>
        </w:rPr>
        <w:t>sthash.GqzPw7tT.dpuf [Accessed 6 April 2015]</w:t>
      </w:r>
    </w:p>
    <w:p w:rsidR="002244C7" w:rsidRPr="00327D43" w:rsidRDefault="002244C7" w:rsidP="002244C7">
      <w:pPr>
        <w:autoSpaceDE w:val="0"/>
        <w:autoSpaceDN w:val="0"/>
        <w:adjustRightInd w:val="0"/>
        <w:spacing w:line="240" w:lineRule="auto"/>
        <w:rPr>
          <w:rFonts w:cs="Arial"/>
          <w:color w:val="auto"/>
          <w:spacing w:val="0"/>
          <w:sz w:val="22"/>
          <w:szCs w:val="22"/>
          <w:lang w:val="en-ZA" w:eastAsia="en-ZA"/>
        </w:rPr>
      </w:pPr>
    </w:p>
    <w:p w:rsidR="002244C7" w:rsidRPr="00327D43" w:rsidRDefault="002244C7" w:rsidP="002244C7">
      <w:pPr>
        <w:autoSpaceDE w:val="0"/>
        <w:autoSpaceDN w:val="0"/>
        <w:adjustRightInd w:val="0"/>
        <w:spacing w:line="240" w:lineRule="auto"/>
        <w:rPr>
          <w:rFonts w:cs="Arial"/>
          <w:color w:val="auto"/>
          <w:spacing w:val="0"/>
          <w:sz w:val="22"/>
          <w:szCs w:val="22"/>
          <w:lang w:val="en-ZA" w:eastAsia="en-ZA"/>
        </w:rPr>
      </w:pPr>
      <w:r w:rsidRPr="00327D43">
        <w:rPr>
          <w:rFonts w:cs="Arial"/>
          <w:color w:val="auto"/>
          <w:spacing w:val="0"/>
          <w:sz w:val="22"/>
          <w:szCs w:val="22"/>
          <w:lang w:val="en-ZA" w:eastAsia="en-ZA"/>
        </w:rPr>
        <w:t xml:space="preserve">Coleman, N. 2014. </w:t>
      </w:r>
      <w:r w:rsidRPr="00327D43">
        <w:rPr>
          <w:rFonts w:cs="Arial"/>
          <w:i/>
          <w:iCs/>
          <w:color w:val="auto"/>
          <w:spacing w:val="0"/>
          <w:sz w:val="22"/>
          <w:szCs w:val="22"/>
          <w:lang w:val="en-ZA" w:eastAsia="en-ZA"/>
        </w:rPr>
        <w:t xml:space="preserve">Myths and So-called ‘Facts’ About the National Minimum Wage. </w:t>
      </w:r>
      <w:r w:rsidRPr="00327D43">
        <w:rPr>
          <w:rFonts w:cs="Arial"/>
          <w:color w:val="auto"/>
          <w:spacing w:val="0"/>
          <w:sz w:val="22"/>
          <w:szCs w:val="22"/>
          <w:lang w:val="en-ZA" w:eastAsia="en-ZA"/>
        </w:rPr>
        <w:t>Available</w:t>
      </w:r>
    </w:p>
    <w:p w:rsidR="002244C7" w:rsidRPr="00327D43" w:rsidRDefault="002244C7" w:rsidP="002244C7">
      <w:pPr>
        <w:autoSpaceDE w:val="0"/>
        <w:autoSpaceDN w:val="0"/>
        <w:adjustRightInd w:val="0"/>
        <w:spacing w:line="240" w:lineRule="auto"/>
        <w:rPr>
          <w:rFonts w:cs="Arial"/>
          <w:color w:val="auto"/>
          <w:spacing w:val="0"/>
          <w:sz w:val="22"/>
          <w:szCs w:val="22"/>
          <w:lang w:val="en-ZA" w:eastAsia="en-ZA"/>
        </w:rPr>
      </w:pPr>
      <w:r w:rsidRPr="00327D43">
        <w:rPr>
          <w:rFonts w:cs="Arial"/>
          <w:color w:val="auto"/>
          <w:spacing w:val="0"/>
          <w:sz w:val="22"/>
          <w:szCs w:val="22"/>
          <w:lang w:val="en-ZA" w:eastAsia="en-ZA"/>
        </w:rPr>
        <w:t>at: http://www.dailymaverick.co.za/opinionista/2014-11-10-myths-and-so-called-facts-about-thenational-minimum-wage/#.VW1oUc-qqko [Accessed 15 January 2015]</w:t>
      </w:r>
    </w:p>
    <w:p w:rsidR="002244C7" w:rsidRPr="00327D43" w:rsidRDefault="002244C7" w:rsidP="002244C7">
      <w:pPr>
        <w:autoSpaceDE w:val="0"/>
        <w:autoSpaceDN w:val="0"/>
        <w:adjustRightInd w:val="0"/>
        <w:spacing w:line="240" w:lineRule="auto"/>
        <w:rPr>
          <w:rFonts w:cs="Arial"/>
          <w:color w:val="auto"/>
          <w:spacing w:val="0"/>
          <w:sz w:val="22"/>
          <w:szCs w:val="22"/>
          <w:lang w:val="en-ZA" w:eastAsia="en-ZA"/>
        </w:rPr>
      </w:pPr>
    </w:p>
    <w:p w:rsidR="002244C7" w:rsidRPr="00327D43" w:rsidRDefault="002244C7" w:rsidP="002244C7">
      <w:pPr>
        <w:autoSpaceDE w:val="0"/>
        <w:autoSpaceDN w:val="0"/>
        <w:adjustRightInd w:val="0"/>
        <w:spacing w:line="240" w:lineRule="auto"/>
        <w:rPr>
          <w:rFonts w:cs="Arial"/>
          <w:i/>
          <w:iCs/>
          <w:color w:val="auto"/>
          <w:spacing w:val="0"/>
          <w:sz w:val="22"/>
          <w:szCs w:val="22"/>
          <w:lang w:val="en-ZA" w:eastAsia="en-ZA"/>
        </w:rPr>
      </w:pPr>
      <w:r w:rsidRPr="00327D43">
        <w:rPr>
          <w:rFonts w:cs="Arial"/>
          <w:color w:val="auto"/>
          <w:spacing w:val="0"/>
          <w:sz w:val="22"/>
          <w:szCs w:val="22"/>
          <w:lang w:val="en-ZA" w:eastAsia="en-ZA"/>
        </w:rPr>
        <w:t xml:space="preserve">Department of Agriculture, Forestry and Fisheries. 2013. </w:t>
      </w:r>
      <w:r w:rsidRPr="00327D43">
        <w:rPr>
          <w:rFonts w:cs="Arial"/>
          <w:i/>
          <w:iCs/>
          <w:color w:val="auto"/>
          <w:spacing w:val="0"/>
          <w:sz w:val="22"/>
          <w:szCs w:val="22"/>
          <w:lang w:val="en-ZA" w:eastAsia="en-ZA"/>
        </w:rPr>
        <w:t>‘Economic Review of the South</w:t>
      </w:r>
    </w:p>
    <w:p w:rsidR="002244C7" w:rsidRPr="00327D43" w:rsidRDefault="002244C7" w:rsidP="002244C7">
      <w:pPr>
        <w:autoSpaceDE w:val="0"/>
        <w:autoSpaceDN w:val="0"/>
        <w:adjustRightInd w:val="0"/>
        <w:spacing w:line="240" w:lineRule="auto"/>
        <w:rPr>
          <w:rFonts w:cs="Arial"/>
          <w:color w:val="auto"/>
          <w:spacing w:val="0"/>
          <w:sz w:val="22"/>
          <w:szCs w:val="22"/>
          <w:lang w:val="en-ZA" w:eastAsia="en-ZA"/>
        </w:rPr>
      </w:pPr>
      <w:r w:rsidRPr="00327D43">
        <w:rPr>
          <w:rFonts w:cs="Arial"/>
          <w:i/>
          <w:iCs/>
          <w:color w:val="auto"/>
          <w:spacing w:val="0"/>
          <w:sz w:val="22"/>
          <w:szCs w:val="22"/>
          <w:lang w:val="en-ZA" w:eastAsia="en-ZA"/>
        </w:rPr>
        <w:t>African Agriculture 2013’</w:t>
      </w:r>
      <w:r w:rsidRPr="00327D43">
        <w:rPr>
          <w:rFonts w:cs="Arial"/>
          <w:color w:val="auto"/>
          <w:spacing w:val="0"/>
          <w:sz w:val="22"/>
          <w:szCs w:val="22"/>
          <w:lang w:val="en-ZA" w:eastAsia="en-ZA"/>
        </w:rPr>
        <w:t>. Pretoria.</w:t>
      </w:r>
    </w:p>
    <w:p w:rsidR="002244C7" w:rsidRPr="00327D43" w:rsidRDefault="002244C7" w:rsidP="002244C7">
      <w:pPr>
        <w:autoSpaceDE w:val="0"/>
        <w:autoSpaceDN w:val="0"/>
        <w:adjustRightInd w:val="0"/>
        <w:spacing w:line="240" w:lineRule="auto"/>
        <w:rPr>
          <w:rFonts w:cs="Arial"/>
          <w:color w:val="auto"/>
          <w:spacing w:val="0"/>
          <w:sz w:val="22"/>
          <w:szCs w:val="22"/>
          <w:lang w:val="en-ZA" w:eastAsia="en-ZA"/>
        </w:rPr>
      </w:pPr>
    </w:p>
    <w:p w:rsidR="002244C7" w:rsidRPr="00327D43" w:rsidRDefault="002244C7" w:rsidP="002244C7">
      <w:pPr>
        <w:autoSpaceDE w:val="0"/>
        <w:autoSpaceDN w:val="0"/>
        <w:adjustRightInd w:val="0"/>
        <w:spacing w:line="240" w:lineRule="auto"/>
        <w:rPr>
          <w:rFonts w:cs="Arial"/>
          <w:i/>
          <w:iCs/>
          <w:color w:val="auto"/>
          <w:spacing w:val="0"/>
          <w:sz w:val="22"/>
          <w:szCs w:val="22"/>
          <w:lang w:val="en-ZA" w:eastAsia="en-ZA"/>
        </w:rPr>
      </w:pPr>
      <w:r w:rsidRPr="00327D43">
        <w:rPr>
          <w:rFonts w:cs="Arial"/>
          <w:color w:val="auto"/>
          <w:spacing w:val="0"/>
          <w:sz w:val="22"/>
          <w:szCs w:val="22"/>
          <w:lang w:val="en-ZA" w:eastAsia="en-ZA"/>
        </w:rPr>
        <w:t xml:space="preserve">Department of Agriculture, Forestry and Fisheries. </w:t>
      </w:r>
      <w:r w:rsidRPr="00327D43">
        <w:rPr>
          <w:rFonts w:cs="Arial"/>
          <w:i/>
          <w:iCs/>
          <w:color w:val="auto"/>
          <w:spacing w:val="0"/>
          <w:sz w:val="22"/>
          <w:szCs w:val="22"/>
          <w:lang w:val="en-ZA" w:eastAsia="en-ZA"/>
        </w:rPr>
        <w:t>‘Quarterly Economic Overview of</w:t>
      </w:r>
    </w:p>
    <w:p w:rsidR="002244C7" w:rsidRDefault="002244C7" w:rsidP="002244C7">
      <w:pPr>
        <w:autoSpaceDE w:val="0"/>
        <w:autoSpaceDN w:val="0"/>
        <w:adjustRightInd w:val="0"/>
        <w:spacing w:line="240" w:lineRule="auto"/>
        <w:rPr>
          <w:rFonts w:cs="Arial"/>
          <w:color w:val="auto"/>
          <w:spacing w:val="0"/>
          <w:sz w:val="22"/>
          <w:szCs w:val="22"/>
          <w:lang w:val="en-ZA" w:eastAsia="en-ZA"/>
        </w:rPr>
      </w:pPr>
      <w:r w:rsidRPr="00327D43">
        <w:rPr>
          <w:rFonts w:cs="Arial"/>
          <w:i/>
          <w:iCs/>
          <w:color w:val="auto"/>
          <w:spacing w:val="0"/>
          <w:sz w:val="22"/>
          <w:szCs w:val="22"/>
          <w:lang w:val="en-ZA" w:eastAsia="en-ZA"/>
        </w:rPr>
        <w:t>Agriculture, Forestry and Fisheries 2014’</w:t>
      </w:r>
      <w:r w:rsidRPr="00327D43">
        <w:rPr>
          <w:rFonts w:cs="Arial"/>
          <w:color w:val="auto"/>
          <w:spacing w:val="0"/>
          <w:sz w:val="22"/>
          <w:szCs w:val="22"/>
          <w:lang w:val="en-ZA" w:eastAsia="en-ZA"/>
        </w:rPr>
        <w:t>. Pretoria.</w:t>
      </w:r>
    </w:p>
    <w:p w:rsidR="00B06F89" w:rsidRDefault="00B06F89" w:rsidP="002244C7">
      <w:pPr>
        <w:autoSpaceDE w:val="0"/>
        <w:autoSpaceDN w:val="0"/>
        <w:adjustRightInd w:val="0"/>
        <w:spacing w:line="240" w:lineRule="auto"/>
        <w:rPr>
          <w:rFonts w:cs="Arial"/>
          <w:color w:val="auto"/>
          <w:spacing w:val="0"/>
          <w:sz w:val="22"/>
          <w:szCs w:val="22"/>
          <w:lang w:val="en-ZA" w:eastAsia="en-ZA"/>
        </w:rPr>
      </w:pPr>
    </w:p>
    <w:p w:rsidR="00B06F89" w:rsidRPr="00B06F89" w:rsidRDefault="00B06F89" w:rsidP="00B06F89">
      <w:pPr>
        <w:autoSpaceDE w:val="0"/>
        <w:autoSpaceDN w:val="0"/>
        <w:adjustRightInd w:val="0"/>
        <w:spacing w:line="240" w:lineRule="auto"/>
        <w:rPr>
          <w:rFonts w:cs="Arial"/>
          <w:color w:val="auto"/>
          <w:spacing w:val="0"/>
          <w:sz w:val="22"/>
          <w:szCs w:val="22"/>
          <w:lang w:val="en-ZA" w:eastAsia="en-ZA"/>
        </w:rPr>
      </w:pPr>
      <w:r w:rsidRPr="00B06F89">
        <w:rPr>
          <w:rFonts w:cs="Arial"/>
          <w:color w:val="auto"/>
          <w:spacing w:val="0"/>
          <w:sz w:val="22"/>
          <w:szCs w:val="22"/>
          <w:lang w:eastAsia="en-ZA"/>
        </w:rPr>
        <w:t>Du Toit A &amp; Ally F (2003). The Externalisation and Casualisation of Farm Labour in Western Cape Horticulture. PLAAS Research Report 16. Belville: PLAAS, UWC</w:t>
      </w:r>
    </w:p>
    <w:p w:rsidR="002244C7" w:rsidRPr="00327D43" w:rsidRDefault="002244C7" w:rsidP="002244C7">
      <w:pPr>
        <w:autoSpaceDE w:val="0"/>
        <w:autoSpaceDN w:val="0"/>
        <w:adjustRightInd w:val="0"/>
        <w:spacing w:line="240" w:lineRule="auto"/>
        <w:rPr>
          <w:rFonts w:cs="Arial"/>
          <w:color w:val="auto"/>
          <w:spacing w:val="0"/>
          <w:sz w:val="22"/>
          <w:szCs w:val="22"/>
          <w:lang w:val="en-ZA" w:eastAsia="en-ZA"/>
        </w:rPr>
      </w:pPr>
    </w:p>
    <w:p w:rsidR="002244C7" w:rsidRPr="00327D43" w:rsidRDefault="002244C7" w:rsidP="002244C7">
      <w:pPr>
        <w:autoSpaceDE w:val="0"/>
        <w:autoSpaceDN w:val="0"/>
        <w:adjustRightInd w:val="0"/>
        <w:spacing w:line="240" w:lineRule="auto"/>
        <w:rPr>
          <w:rFonts w:cs="Arial"/>
          <w:i/>
          <w:iCs/>
          <w:color w:val="auto"/>
          <w:spacing w:val="0"/>
          <w:sz w:val="22"/>
          <w:szCs w:val="22"/>
          <w:lang w:val="en-ZA" w:eastAsia="en-ZA"/>
        </w:rPr>
      </w:pPr>
      <w:r w:rsidRPr="00327D43">
        <w:rPr>
          <w:rFonts w:cs="Arial"/>
          <w:color w:val="auto"/>
          <w:spacing w:val="0"/>
          <w:sz w:val="22"/>
          <w:szCs w:val="22"/>
          <w:lang w:val="en-ZA" w:eastAsia="en-ZA"/>
        </w:rPr>
        <w:t xml:space="preserve">Hall R. 2014. </w:t>
      </w:r>
      <w:r w:rsidRPr="00327D43">
        <w:rPr>
          <w:rFonts w:cs="Arial"/>
          <w:i/>
          <w:iCs/>
          <w:color w:val="auto"/>
          <w:spacing w:val="0"/>
          <w:sz w:val="22"/>
          <w:szCs w:val="22"/>
          <w:lang w:val="en-ZA" w:eastAsia="en-ZA"/>
        </w:rPr>
        <w:t>‘Towards a National Minimum Wage: What do we know about Wages and</w:t>
      </w:r>
    </w:p>
    <w:p w:rsidR="002244C7" w:rsidRPr="00327D43" w:rsidRDefault="002244C7" w:rsidP="002244C7">
      <w:pPr>
        <w:autoSpaceDE w:val="0"/>
        <w:autoSpaceDN w:val="0"/>
        <w:adjustRightInd w:val="0"/>
        <w:spacing w:line="240" w:lineRule="auto"/>
        <w:rPr>
          <w:rFonts w:cs="Arial"/>
          <w:color w:val="auto"/>
          <w:spacing w:val="0"/>
          <w:sz w:val="22"/>
          <w:szCs w:val="22"/>
          <w:lang w:val="en-ZA" w:eastAsia="en-ZA"/>
        </w:rPr>
      </w:pPr>
      <w:r w:rsidRPr="00327D43">
        <w:rPr>
          <w:rFonts w:cs="Arial"/>
          <w:i/>
          <w:iCs/>
          <w:color w:val="auto"/>
          <w:spacing w:val="0"/>
          <w:sz w:val="22"/>
          <w:szCs w:val="22"/>
          <w:lang w:val="en-ZA" w:eastAsia="en-ZA"/>
        </w:rPr>
        <w:t xml:space="preserve">Employment in Agriculture?’ </w:t>
      </w:r>
      <w:r w:rsidRPr="00327D43">
        <w:rPr>
          <w:rFonts w:cs="Arial"/>
          <w:color w:val="auto"/>
          <w:spacing w:val="0"/>
          <w:sz w:val="22"/>
          <w:szCs w:val="22"/>
          <w:lang w:val="en-ZA" w:eastAsia="en-ZA"/>
        </w:rPr>
        <w:t>Institute for Poverty, Land and Agrarian Studies, University of the</w:t>
      </w:r>
    </w:p>
    <w:p w:rsidR="002244C7" w:rsidRPr="00327D43" w:rsidRDefault="002244C7" w:rsidP="002244C7">
      <w:pPr>
        <w:autoSpaceDE w:val="0"/>
        <w:autoSpaceDN w:val="0"/>
        <w:adjustRightInd w:val="0"/>
        <w:spacing w:line="240" w:lineRule="auto"/>
        <w:rPr>
          <w:rFonts w:cs="Arial"/>
          <w:color w:val="auto"/>
          <w:spacing w:val="0"/>
          <w:sz w:val="22"/>
          <w:szCs w:val="22"/>
          <w:lang w:val="en-ZA" w:eastAsia="en-ZA"/>
        </w:rPr>
      </w:pPr>
      <w:r w:rsidRPr="00327D43">
        <w:rPr>
          <w:rFonts w:cs="Arial"/>
          <w:color w:val="auto"/>
          <w:spacing w:val="0"/>
          <w:sz w:val="22"/>
          <w:szCs w:val="22"/>
          <w:lang w:val="en-ZA" w:eastAsia="en-ZA"/>
        </w:rPr>
        <w:t>Western Cape, Parliamentary Hearings on 12 September.</w:t>
      </w:r>
    </w:p>
    <w:p w:rsidR="00327D43" w:rsidRPr="00327D43" w:rsidRDefault="00327D43" w:rsidP="002244C7">
      <w:pPr>
        <w:autoSpaceDE w:val="0"/>
        <w:autoSpaceDN w:val="0"/>
        <w:adjustRightInd w:val="0"/>
        <w:spacing w:line="240" w:lineRule="auto"/>
        <w:rPr>
          <w:rFonts w:cs="Arial"/>
          <w:color w:val="auto"/>
          <w:spacing w:val="0"/>
          <w:sz w:val="22"/>
          <w:szCs w:val="22"/>
          <w:lang w:val="en-ZA" w:eastAsia="en-ZA"/>
        </w:rPr>
      </w:pPr>
    </w:p>
    <w:p w:rsidR="002244C7" w:rsidRPr="00327D43" w:rsidRDefault="002244C7" w:rsidP="002244C7">
      <w:pPr>
        <w:autoSpaceDE w:val="0"/>
        <w:autoSpaceDN w:val="0"/>
        <w:adjustRightInd w:val="0"/>
        <w:spacing w:line="240" w:lineRule="auto"/>
        <w:rPr>
          <w:rFonts w:cs="Arial"/>
          <w:i/>
          <w:iCs/>
          <w:color w:val="auto"/>
          <w:spacing w:val="0"/>
          <w:sz w:val="22"/>
          <w:szCs w:val="22"/>
          <w:lang w:val="en-ZA" w:eastAsia="en-ZA"/>
        </w:rPr>
      </w:pPr>
      <w:r w:rsidRPr="00327D43">
        <w:rPr>
          <w:rFonts w:cs="Arial"/>
          <w:color w:val="auto"/>
          <w:spacing w:val="0"/>
          <w:sz w:val="22"/>
          <w:szCs w:val="22"/>
          <w:lang w:val="en-ZA" w:eastAsia="en-ZA"/>
        </w:rPr>
        <w:t xml:space="preserve">International Labour Organisation. 2015. </w:t>
      </w:r>
      <w:r w:rsidRPr="00327D43">
        <w:rPr>
          <w:rFonts w:cs="Arial"/>
          <w:i/>
          <w:iCs/>
          <w:color w:val="auto"/>
          <w:spacing w:val="0"/>
          <w:sz w:val="22"/>
          <w:szCs w:val="22"/>
          <w:lang w:val="en-ZA" w:eastAsia="en-ZA"/>
        </w:rPr>
        <w:t>Global Wage Report 2014/15: Wages and Income</w:t>
      </w:r>
    </w:p>
    <w:p w:rsidR="002244C7" w:rsidRDefault="002244C7" w:rsidP="002244C7">
      <w:pPr>
        <w:autoSpaceDE w:val="0"/>
        <w:autoSpaceDN w:val="0"/>
        <w:adjustRightInd w:val="0"/>
        <w:spacing w:line="240" w:lineRule="auto"/>
        <w:rPr>
          <w:rFonts w:cs="Arial"/>
          <w:color w:val="auto"/>
          <w:spacing w:val="0"/>
          <w:sz w:val="22"/>
          <w:szCs w:val="22"/>
          <w:lang w:val="en-ZA" w:eastAsia="en-ZA"/>
        </w:rPr>
      </w:pPr>
      <w:r w:rsidRPr="00327D43">
        <w:rPr>
          <w:rFonts w:cs="Arial"/>
          <w:i/>
          <w:iCs/>
          <w:color w:val="auto"/>
          <w:spacing w:val="0"/>
          <w:sz w:val="22"/>
          <w:szCs w:val="22"/>
          <w:lang w:val="en-ZA" w:eastAsia="en-ZA"/>
        </w:rPr>
        <w:t>Inequality</w:t>
      </w:r>
      <w:r w:rsidRPr="00327D43">
        <w:rPr>
          <w:rFonts w:cs="Arial"/>
          <w:color w:val="auto"/>
          <w:spacing w:val="0"/>
          <w:sz w:val="22"/>
          <w:szCs w:val="22"/>
          <w:lang w:val="en-ZA" w:eastAsia="en-ZA"/>
        </w:rPr>
        <w:t>. ILO. Geneva.</w:t>
      </w:r>
    </w:p>
    <w:p w:rsidR="00B06F89" w:rsidRDefault="00B06F89" w:rsidP="002244C7">
      <w:pPr>
        <w:autoSpaceDE w:val="0"/>
        <w:autoSpaceDN w:val="0"/>
        <w:adjustRightInd w:val="0"/>
        <w:spacing w:line="240" w:lineRule="auto"/>
        <w:rPr>
          <w:rFonts w:cs="Arial"/>
          <w:color w:val="auto"/>
          <w:spacing w:val="0"/>
          <w:sz w:val="22"/>
          <w:szCs w:val="22"/>
          <w:lang w:val="en-ZA" w:eastAsia="en-ZA"/>
        </w:rPr>
      </w:pPr>
    </w:p>
    <w:p w:rsidR="00B06F89" w:rsidRPr="00B06F89" w:rsidRDefault="00B06F89" w:rsidP="00B06F89">
      <w:pPr>
        <w:autoSpaceDE w:val="0"/>
        <w:autoSpaceDN w:val="0"/>
        <w:adjustRightInd w:val="0"/>
        <w:spacing w:line="240" w:lineRule="auto"/>
        <w:rPr>
          <w:rFonts w:cs="Arial"/>
          <w:color w:val="auto"/>
          <w:spacing w:val="0"/>
          <w:sz w:val="22"/>
          <w:szCs w:val="22"/>
          <w:lang w:val="en-ZA" w:eastAsia="en-ZA"/>
        </w:rPr>
      </w:pPr>
      <w:r w:rsidRPr="00B06F89">
        <w:rPr>
          <w:rFonts w:cs="Arial"/>
          <w:color w:val="auto"/>
          <w:spacing w:val="0"/>
          <w:sz w:val="22"/>
          <w:szCs w:val="22"/>
          <w:lang w:eastAsia="en-ZA"/>
        </w:rPr>
        <w:t>Kritzinger A &amp; Barrientos S (2004). Globalisation and Livelihoods in South African Fruit – the experience of contract workers. Sociologia Ruralis, 44(1): 17-40.</w:t>
      </w:r>
    </w:p>
    <w:p w:rsidR="00327D43" w:rsidRPr="00327D43" w:rsidRDefault="00327D43" w:rsidP="002244C7">
      <w:pPr>
        <w:autoSpaceDE w:val="0"/>
        <w:autoSpaceDN w:val="0"/>
        <w:adjustRightInd w:val="0"/>
        <w:spacing w:line="240" w:lineRule="auto"/>
        <w:rPr>
          <w:rFonts w:cs="Arial"/>
          <w:color w:val="auto"/>
          <w:spacing w:val="0"/>
          <w:sz w:val="22"/>
          <w:szCs w:val="22"/>
          <w:lang w:val="en-ZA" w:eastAsia="en-ZA"/>
        </w:rPr>
      </w:pPr>
    </w:p>
    <w:p w:rsidR="002244C7" w:rsidRPr="00327D43" w:rsidRDefault="002244C7" w:rsidP="002244C7">
      <w:pPr>
        <w:autoSpaceDE w:val="0"/>
        <w:autoSpaceDN w:val="0"/>
        <w:adjustRightInd w:val="0"/>
        <w:spacing w:line="240" w:lineRule="auto"/>
        <w:rPr>
          <w:rFonts w:cs="Arial"/>
          <w:i/>
          <w:iCs/>
          <w:color w:val="auto"/>
          <w:spacing w:val="0"/>
          <w:sz w:val="22"/>
          <w:szCs w:val="22"/>
          <w:lang w:val="en-ZA" w:eastAsia="en-ZA"/>
        </w:rPr>
      </w:pPr>
      <w:r w:rsidRPr="00327D43">
        <w:rPr>
          <w:rFonts w:cs="Arial"/>
          <w:color w:val="auto"/>
          <w:spacing w:val="0"/>
          <w:sz w:val="22"/>
          <w:szCs w:val="22"/>
          <w:lang w:val="en-ZA" w:eastAsia="en-ZA"/>
        </w:rPr>
        <w:t xml:space="preserve">National Labour and Economic Development Institute. 2011. </w:t>
      </w:r>
      <w:r w:rsidRPr="00327D43">
        <w:rPr>
          <w:rFonts w:cs="Arial"/>
          <w:i/>
          <w:iCs/>
          <w:color w:val="auto"/>
          <w:spacing w:val="0"/>
          <w:sz w:val="22"/>
          <w:szCs w:val="22"/>
          <w:lang w:val="en-ZA" w:eastAsia="en-ZA"/>
        </w:rPr>
        <w:t>Towards a COSATU Living Wage</w:t>
      </w:r>
    </w:p>
    <w:p w:rsidR="002244C7" w:rsidRPr="00327D43" w:rsidRDefault="002244C7" w:rsidP="002244C7">
      <w:pPr>
        <w:autoSpaceDE w:val="0"/>
        <w:autoSpaceDN w:val="0"/>
        <w:adjustRightInd w:val="0"/>
        <w:spacing w:line="240" w:lineRule="auto"/>
        <w:rPr>
          <w:rFonts w:cs="Arial"/>
          <w:color w:val="auto"/>
          <w:spacing w:val="0"/>
          <w:sz w:val="22"/>
          <w:szCs w:val="22"/>
          <w:lang w:val="en-ZA" w:eastAsia="en-ZA"/>
        </w:rPr>
      </w:pPr>
      <w:r w:rsidRPr="00327D43">
        <w:rPr>
          <w:rFonts w:cs="Arial"/>
          <w:i/>
          <w:iCs/>
          <w:color w:val="auto"/>
          <w:spacing w:val="0"/>
          <w:sz w:val="22"/>
          <w:szCs w:val="22"/>
          <w:lang w:val="en-ZA" w:eastAsia="en-ZA"/>
        </w:rPr>
        <w:t>Conference: A NALEDI Research Report</w:t>
      </w:r>
      <w:r w:rsidRPr="00327D43">
        <w:rPr>
          <w:rFonts w:cs="Arial"/>
          <w:color w:val="auto"/>
          <w:spacing w:val="0"/>
          <w:sz w:val="22"/>
          <w:szCs w:val="22"/>
          <w:lang w:val="en-ZA" w:eastAsia="en-ZA"/>
        </w:rPr>
        <w:t>. June 2011. Johannesburg.</w:t>
      </w:r>
    </w:p>
    <w:p w:rsidR="00327D43" w:rsidRPr="00327D43" w:rsidRDefault="00327D43" w:rsidP="002244C7">
      <w:pPr>
        <w:autoSpaceDE w:val="0"/>
        <w:autoSpaceDN w:val="0"/>
        <w:adjustRightInd w:val="0"/>
        <w:spacing w:line="240" w:lineRule="auto"/>
        <w:rPr>
          <w:rFonts w:cs="Arial"/>
          <w:color w:val="auto"/>
          <w:spacing w:val="0"/>
          <w:sz w:val="22"/>
          <w:szCs w:val="22"/>
          <w:lang w:val="en-ZA" w:eastAsia="en-ZA"/>
        </w:rPr>
      </w:pPr>
    </w:p>
    <w:p w:rsidR="002244C7" w:rsidRPr="00327D43" w:rsidRDefault="002244C7" w:rsidP="002244C7">
      <w:pPr>
        <w:autoSpaceDE w:val="0"/>
        <w:autoSpaceDN w:val="0"/>
        <w:adjustRightInd w:val="0"/>
        <w:spacing w:line="240" w:lineRule="auto"/>
        <w:rPr>
          <w:rFonts w:cs="Arial"/>
          <w:color w:val="auto"/>
          <w:spacing w:val="0"/>
          <w:sz w:val="22"/>
          <w:szCs w:val="22"/>
          <w:lang w:val="en-ZA" w:eastAsia="en-ZA"/>
        </w:rPr>
      </w:pPr>
      <w:r w:rsidRPr="00327D43">
        <w:rPr>
          <w:rFonts w:cs="Arial"/>
          <w:color w:val="auto"/>
          <w:spacing w:val="0"/>
          <w:sz w:val="22"/>
          <w:szCs w:val="22"/>
          <w:lang w:val="en-ZA" w:eastAsia="en-ZA"/>
        </w:rPr>
        <w:t xml:space="preserve">Seekings, J. &amp; Nattrass, N. 2015. </w:t>
      </w:r>
      <w:r w:rsidRPr="00327D43">
        <w:rPr>
          <w:rFonts w:cs="Arial"/>
          <w:i/>
          <w:iCs/>
          <w:color w:val="auto"/>
          <w:spacing w:val="0"/>
          <w:sz w:val="22"/>
          <w:szCs w:val="22"/>
          <w:lang w:val="en-ZA" w:eastAsia="en-ZA"/>
        </w:rPr>
        <w:t xml:space="preserve">What is at issue in the Minimum Wage Debate? </w:t>
      </w:r>
      <w:r w:rsidRPr="00327D43">
        <w:rPr>
          <w:rFonts w:cs="Arial"/>
          <w:color w:val="auto"/>
          <w:spacing w:val="0"/>
          <w:sz w:val="22"/>
          <w:szCs w:val="22"/>
          <w:lang w:val="en-ZA" w:eastAsia="en-ZA"/>
        </w:rPr>
        <w:t>Available</w:t>
      </w:r>
    </w:p>
    <w:p w:rsidR="002244C7" w:rsidRPr="00327D43" w:rsidRDefault="002244C7" w:rsidP="002244C7">
      <w:pPr>
        <w:autoSpaceDE w:val="0"/>
        <w:autoSpaceDN w:val="0"/>
        <w:adjustRightInd w:val="0"/>
        <w:spacing w:line="240" w:lineRule="auto"/>
        <w:rPr>
          <w:rFonts w:cs="Arial"/>
          <w:color w:val="auto"/>
          <w:spacing w:val="0"/>
          <w:sz w:val="22"/>
          <w:szCs w:val="22"/>
          <w:lang w:val="en-ZA" w:eastAsia="en-ZA"/>
        </w:rPr>
      </w:pPr>
      <w:r w:rsidRPr="00327D43">
        <w:rPr>
          <w:rFonts w:cs="Arial"/>
          <w:color w:val="auto"/>
          <w:spacing w:val="0"/>
          <w:sz w:val="22"/>
          <w:szCs w:val="22"/>
          <w:lang w:val="en-ZA" w:eastAsia="en-ZA"/>
        </w:rPr>
        <w:t>at: http://www.econ3x3.org/article/what-issue-minimum-wage-debate#sthash.5KakPkXU.dpuf</w:t>
      </w:r>
    </w:p>
    <w:p w:rsidR="00327D43" w:rsidRPr="00327D43" w:rsidRDefault="00327D43" w:rsidP="002244C7">
      <w:pPr>
        <w:autoSpaceDE w:val="0"/>
        <w:autoSpaceDN w:val="0"/>
        <w:adjustRightInd w:val="0"/>
        <w:spacing w:line="240" w:lineRule="auto"/>
        <w:rPr>
          <w:rFonts w:cs="Arial"/>
          <w:color w:val="auto"/>
          <w:spacing w:val="0"/>
          <w:sz w:val="22"/>
          <w:szCs w:val="22"/>
          <w:lang w:val="en-ZA" w:eastAsia="en-ZA"/>
        </w:rPr>
      </w:pPr>
    </w:p>
    <w:p w:rsidR="002244C7" w:rsidRPr="00327D43" w:rsidRDefault="002244C7" w:rsidP="002244C7">
      <w:pPr>
        <w:autoSpaceDE w:val="0"/>
        <w:autoSpaceDN w:val="0"/>
        <w:adjustRightInd w:val="0"/>
        <w:spacing w:line="240" w:lineRule="auto"/>
        <w:rPr>
          <w:rFonts w:cs="Arial"/>
          <w:color w:val="auto"/>
          <w:spacing w:val="0"/>
          <w:sz w:val="22"/>
          <w:szCs w:val="22"/>
          <w:lang w:val="en-ZA" w:eastAsia="en-ZA"/>
        </w:rPr>
      </w:pPr>
      <w:r w:rsidRPr="00327D43">
        <w:rPr>
          <w:rFonts w:cs="Arial"/>
          <w:color w:val="auto"/>
          <w:spacing w:val="0"/>
          <w:sz w:val="22"/>
          <w:szCs w:val="22"/>
          <w:lang w:val="en-ZA" w:eastAsia="en-ZA"/>
        </w:rPr>
        <w:t xml:space="preserve">South Africa (Republic). 2014. </w:t>
      </w:r>
      <w:r w:rsidRPr="00327D43">
        <w:rPr>
          <w:rFonts w:cs="Arial"/>
          <w:i/>
          <w:iCs/>
          <w:color w:val="auto"/>
          <w:spacing w:val="0"/>
          <w:sz w:val="22"/>
          <w:szCs w:val="22"/>
          <w:lang w:val="en-ZA" w:eastAsia="en-ZA"/>
        </w:rPr>
        <w:t>Poverty Trends in South Africa</w:t>
      </w:r>
      <w:r w:rsidRPr="00327D43">
        <w:rPr>
          <w:rFonts w:cs="Arial"/>
          <w:color w:val="auto"/>
          <w:spacing w:val="0"/>
          <w:sz w:val="22"/>
          <w:szCs w:val="22"/>
          <w:lang w:val="en-ZA" w:eastAsia="en-ZA"/>
        </w:rPr>
        <w:t>. Statistics South Africa. Available</w:t>
      </w:r>
    </w:p>
    <w:p w:rsidR="002244C7" w:rsidRPr="00327D43" w:rsidRDefault="002244C7" w:rsidP="002244C7">
      <w:pPr>
        <w:autoSpaceDE w:val="0"/>
        <w:autoSpaceDN w:val="0"/>
        <w:adjustRightInd w:val="0"/>
        <w:spacing w:line="240" w:lineRule="auto"/>
        <w:rPr>
          <w:rFonts w:cs="Arial"/>
          <w:color w:val="auto"/>
          <w:spacing w:val="0"/>
          <w:sz w:val="22"/>
          <w:szCs w:val="22"/>
          <w:lang w:val="en-ZA" w:eastAsia="en-ZA"/>
        </w:rPr>
      </w:pPr>
      <w:r w:rsidRPr="00327D43">
        <w:rPr>
          <w:rFonts w:cs="Arial"/>
          <w:color w:val="auto"/>
          <w:spacing w:val="0"/>
          <w:sz w:val="22"/>
          <w:szCs w:val="22"/>
          <w:lang w:val="en-ZA" w:eastAsia="en-ZA"/>
        </w:rPr>
        <w:t>at: http://beta2.statssa.gov.za/?p=2591 [Accessed 21 October 2014]</w:t>
      </w:r>
    </w:p>
    <w:p w:rsidR="00327D43" w:rsidRPr="00327D43" w:rsidRDefault="00327D43" w:rsidP="002244C7">
      <w:pPr>
        <w:autoSpaceDE w:val="0"/>
        <w:autoSpaceDN w:val="0"/>
        <w:adjustRightInd w:val="0"/>
        <w:spacing w:line="240" w:lineRule="auto"/>
        <w:rPr>
          <w:rFonts w:cs="Arial"/>
          <w:color w:val="auto"/>
          <w:spacing w:val="0"/>
          <w:sz w:val="22"/>
          <w:szCs w:val="22"/>
          <w:lang w:val="en-ZA" w:eastAsia="en-ZA"/>
        </w:rPr>
      </w:pPr>
    </w:p>
    <w:p w:rsidR="002244C7" w:rsidRPr="00327D43" w:rsidRDefault="002244C7" w:rsidP="002244C7">
      <w:pPr>
        <w:autoSpaceDE w:val="0"/>
        <w:autoSpaceDN w:val="0"/>
        <w:adjustRightInd w:val="0"/>
        <w:spacing w:line="240" w:lineRule="auto"/>
        <w:rPr>
          <w:rFonts w:cs="Arial"/>
          <w:color w:val="auto"/>
          <w:spacing w:val="0"/>
          <w:sz w:val="22"/>
          <w:szCs w:val="22"/>
          <w:lang w:val="en-ZA" w:eastAsia="en-ZA"/>
        </w:rPr>
      </w:pPr>
      <w:r w:rsidRPr="00327D43">
        <w:rPr>
          <w:rFonts w:cs="Arial"/>
          <w:color w:val="auto"/>
          <w:spacing w:val="0"/>
          <w:sz w:val="22"/>
          <w:szCs w:val="22"/>
          <w:lang w:val="en-ZA" w:eastAsia="en-ZA"/>
        </w:rPr>
        <w:t xml:space="preserve">South Africa (Republic). 2014. </w:t>
      </w:r>
      <w:r w:rsidRPr="00327D43">
        <w:rPr>
          <w:rFonts w:cs="Arial"/>
          <w:i/>
          <w:iCs/>
          <w:color w:val="auto"/>
          <w:spacing w:val="0"/>
          <w:sz w:val="22"/>
          <w:szCs w:val="22"/>
          <w:lang w:val="en-ZA" w:eastAsia="en-ZA"/>
        </w:rPr>
        <w:t>Labour Market Dynamics in South Africa 2014</w:t>
      </w:r>
      <w:r w:rsidRPr="00327D43">
        <w:rPr>
          <w:rFonts w:cs="Arial"/>
          <w:color w:val="auto"/>
          <w:spacing w:val="0"/>
          <w:sz w:val="22"/>
          <w:szCs w:val="22"/>
          <w:lang w:val="en-ZA" w:eastAsia="en-ZA"/>
        </w:rPr>
        <w:t>. Statistics South</w:t>
      </w:r>
    </w:p>
    <w:p w:rsidR="002244C7" w:rsidRPr="00327D43" w:rsidRDefault="002244C7" w:rsidP="002244C7">
      <w:pPr>
        <w:autoSpaceDE w:val="0"/>
        <w:autoSpaceDN w:val="0"/>
        <w:adjustRightInd w:val="0"/>
        <w:spacing w:line="240" w:lineRule="auto"/>
        <w:rPr>
          <w:rFonts w:cs="Arial"/>
          <w:color w:val="auto"/>
          <w:spacing w:val="0"/>
          <w:sz w:val="22"/>
          <w:szCs w:val="22"/>
          <w:lang w:val="en-ZA" w:eastAsia="en-ZA"/>
        </w:rPr>
      </w:pPr>
      <w:r w:rsidRPr="00327D43">
        <w:rPr>
          <w:rFonts w:cs="Arial"/>
          <w:color w:val="auto"/>
          <w:spacing w:val="0"/>
          <w:sz w:val="22"/>
          <w:szCs w:val="22"/>
          <w:lang w:val="en-ZA" w:eastAsia="en-ZA"/>
        </w:rPr>
        <w:t>Africa. Pretoria.</w:t>
      </w:r>
    </w:p>
    <w:p w:rsidR="00327D43" w:rsidRPr="00327D43" w:rsidRDefault="00327D43" w:rsidP="002244C7">
      <w:pPr>
        <w:autoSpaceDE w:val="0"/>
        <w:autoSpaceDN w:val="0"/>
        <w:adjustRightInd w:val="0"/>
        <w:spacing w:line="240" w:lineRule="auto"/>
        <w:rPr>
          <w:rFonts w:cs="Arial"/>
          <w:color w:val="auto"/>
          <w:spacing w:val="0"/>
          <w:sz w:val="22"/>
          <w:szCs w:val="22"/>
          <w:lang w:val="en-ZA" w:eastAsia="en-ZA"/>
        </w:rPr>
      </w:pPr>
    </w:p>
    <w:sectPr w:rsidR="00327D43" w:rsidRPr="00327D43" w:rsidSect="003B3D71">
      <w:headerReference w:type="default" r:id="rId8"/>
      <w:footerReference w:type="even" r:id="rId9"/>
      <w:footerReference w:type="default" r:id="rId10"/>
      <w:headerReference w:type="first" r:id="rId11"/>
      <w:footerReference w:type="first" r:id="rId12"/>
      <w:endnotePr>
        <w:numFmt w:val="decimal"/>
      </w:endnotePr>
      <w:pgSz w:w="11906" w:h="16838" w:code="9"/>
      <w:pgMar w:top="2696" w:right="1134" w:bottom="899" w:left="1260" w:header="1134" w:footer="90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B55" w:rsidRDefault="00E91B55">
      <w:r>
        <w:separator/>
      </w:r>
    </w:p>
  </w:endnote>
  <w:endnote w:type="continuationSeparator" w:id="0">
    <w:p w:rsidR="00E91B55" w:rsidRDefault="00E91B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2B" w:rsidRDefault="00ED4217" w:rsidP="00AE2952">
    <w:pPr>
      <w:pStyle w:val="Footer"/>
      <w:framePr w:wrap="around" w:vAnchor="text" w:hAnchor="margin" w:xAlign="right" w:y="1"/>
      <w:rPr>
        <w:rStyle w:val="PageNumber"/>
      </w:rPr>
    </w:pPr>
    <w:r>
      <w:rPr>
        <w:rStyle w:val="PageNumber"/>
      </w:rPr>
      <w:fldChar w:fldCharType="begin"/>
    </w:r>
    <w:r w:rsidR="0074352B">
      <w:rPr>
        <w:rStyle w:val="PageNumber"/>
      </w:rPr>
      <w:instrText xml:space="preserve">PAGE  </w:instrText>
    </w:r>
    <w:r>
      <w:rPr>
        <w:rStyle w:val="PageNumber"/>
      </w:rPr>
      <w:fldChar w:fldCharType="end"/>
    </w:r>
  </w:p>
  <w:p w:rsidR="0074352B" w:rsidRDefault="0074352B" w:rsidP="00AE29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2B" w:rsidRDefault="00ED4217" w:rsidP="00AE2952">
    <w:pPr>
      <w:pStyle w:val="Footer"/>
      <w:framePr w:wrap="around" w:vAnchor="text" w:hAnchor="margin" w:xAlign="right" w:y="1"/>
      <w:rPr>
        <w:rStyle w:val="PageNumber"/>
      </w:rPr>
    </w:pPr>
    <w:r>
      <w:rPr>
        <w:rStyle w:val="PageNumber"/>
      </w:rPr>
      <w:fldChar w:fldCharType="begin"/>
    </w:r>
    <w:r w:rsidR="0074352B">
      <w:rPr>
        <w:rStyle w:val="PageNumber"/>
      </w:rPr>
      <w:instrText xml:space="preserve">PAGE  </w:instrText>
    </w:r>
    <w:r>
      <w:rPr>
        <w:rStyle w:val="PageNumber"/>
      </w:rPr>
      <w:fldChar w:fldCharType="separate"/>
    </w:r>
    <w:r w:rsidR="00F45717">
      <w:rPr>
        <w:rStyle w:val="PageNumber"/>
        <w:noProof/>
      </w:rPr>
      <w:t>2</w:t>
    </w:r>
    <w:r>
      <w:rPr>
        <w:rStyle w:val="PageNumber"/>
      </w:rPr>
      <w:fldChar w:fldCharType="end"/>
    </w:r>
  </w:p>
  <w:p w:rsidR="0074352B" w:rsidRPr="009503CF" w:rsidRDefault="0074352B" w:rsidP="00172A26">
    <w:pPr>
      <w:autoSpaceDE w:val="0"/>
      <w:autoSpaceDN w:val="0"/>
      <w:adjustRightInd w:val="0"/>
      <w:jc w:val="center"/>
      <w:rPr>
        <w:rFonts w:cs="Arial"/>
        <w:sz w:val="14"/>
        <w:szCs w:val="14"/>
      </w:rPr>
    </w:pPr>
  </w:p>
  <w:p w:rsidR="0074352B" w:rsidRPr="009A0954" w:rsidRDefault="0074352B" w:rsidP="00172A26">
    <w:pPr>
      <w:pStyle w:val="Footer"/>
      <w:pBdr>
        <w:top w:val="single" w:sz="4" w:space="0" w:color="auto"/>
      </w:pBdr>
      <w:ind w:right="360"/>
    </w:pPr>
  </w:p>
  <w:p w:rsidR="0074352B" w:rsidRPr="00B81755" w:rsidRDefault="0074352B" w:rsidP="00B81755">
    <w:pPr>
      <w:autoSpaceDE w:val="0"/>
      <w:autoSpaceDN w:val="0"/>
      <w:adjustRightInd w:val="0"/>
      <w:jc w:val="both"/>
      <w:rPr>
        <w:sz w:val="16"/>
        <w:szCs w:val="16"/>
      </w:rPr>
    </w:pPr>
    <w:r>
      <w:rPr>
        <w:b/>
      </w:rPr>
      <w:t>Research unit</w:t>
    </w:r>
    <w:r>
      <w:t xml:space="preserve"> | National Minimum Wage Discussion Document</w:t>
    </w:r>
    <w:r w:rsidR="00EF2E4E">
      <w:t>: Further Comments</w:t>
    </w:r>
    <w:r>
      <w:t xml:space="preserve"> –</w:t>
    </w:r>
    <w:r w:rsidR="00EF2E4E">
      <w:t xml:space="preserve"> Portfolio Committee On Labour - October</w:t>
    </w:r>
    <w:r>
      <w:t xml:space="preserve"> 2015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2B" w:rsidRPr="006434E0" w:rsidRDefault="0074352B" w:rsidP="00AE2952">
    <w:pPr>
      <w:pStyle w:val="Footer"/>
      <w:pBdr>
        <w:top w:val="single" w:sz="4" w:space="1" w:color="auto"/>
      </w:pBdr>
    </w:pPr>
    <w:r w:rsidRPr="00B81755">
      <w:rPr>
        <w:b/>
        <w:sz w:val="16"/>
        <w:szCs w:val="16"/>
      </w:rPr>
      <w:t xml:space="preserve">Research Unit </w:t>
    </w:r>
    <w:r>
      <w:rPr>
        <w:sz w:val="16"/>
        <w:szCs w:val="16"/>
      </w:rPr>
      <w:t>| Author:</w:t>
    </w:r>
    <w:r w:rsidRPr="00B81755">
      <w:rPr>
        <w:sz w:val="16"/>
        <w:szCs w:val="16"/>
      </w:rPr>
      <w:t xml:space="preserve">  </w:t>
    </w:r>
    <w:r>
      <w:rPr>
        <w:sz w:val="16"/>
        <w:szCs w:val="16"/>
      </w:rPr>
      <w:t>Sindisiwe Mkhize &amp; Ekhsaan Jawoodeen</w:t>
    </w:r>
    <w:r w:rsidRPr="00B81755">
      <w:rPr>
        <w:sz w:val="16"/>
        <w:szCs w:val="16"/>
      </w:rPr>
      <w:t xml:space="preserve">              </w:t>
    </w:r>
    <w:r>
      <w:rPr>
        <w:sz w:val="16"/>
        <w:szCs w:val="16"/>
      </w:rPr>
      <w:t xml:space="preserve">              Author contact details: (021) 403 8334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B55" w:rsidRDefault="00E91B55">
      <w:r>
        <w:separator/>
      </w:r>
    </w:p>
  </w:footnote>
  <w:footnote w:type="continuationSeparator" w:id="0">
    <w:p w:rsidR="00E91B55" w:rsidRDefault="00E91B55">
      <w:r>
        <w:continuationSeparator/>
      </w:r>
    </w:p>
  </w:footnote>
  <w:footnote w:id="1">
    <w:p w:rsidR="00CC216E" w:rsidRPr="00CC216E" w:rsidRDefault="00CC216E">
      <w:pPr>
        <w:pStyle w:val="FootnoteText"/>
        <w:rPr>
          <w:rFonts w:ascii="Arial" w:hAnsi="Arial" w:cs="Arial"/>
          <w:sz w:val="18"/>
          <w:szCs w:val="18"/>
          <w:lang w:val="en-ZA"/>
        </w:rPr>
      </w:pPr>
      <w:r w:rsidRPr="00CC216E">
        <w:rPr>
          <w:rStyle w:val="FootnoteReference"/>
          <w:rFonts w:ascii="Arial" w:hAnsi="Arial" w:cs="Arial"/>
          <w:sz w:val="18"/>
          <w:szCs w:val="18"/>
        </w:rPr>
        <w:footnoteRef/>
      </w:r>
      <w:r w:rsidRPr="00CC216E">
        <w:rPr>
          <w:rFonts w:ascii="Arial" w:hAnsi="Arial" w:cs="Arial"/>
          <w:sz w:val="18"/>
          <w:szCs w:val="18"/>
        </w:rPr>
        <w:t xml:space="preserve"> </w:t>
      </w:r>
      <w:r w:rsidRPr="00CC216E">
        <w:rPr>
          <w:rFonts w:ascii="Arial" w:hAnsi="Arial" w:cs="Arial"/>
          <w:sz w:val="18"/>
          <w:szCs w:val="18"/>
          <w:lang w:val="en-GB"/>
        </w:rPr>
        <w:t xml:space="preserve">Du Toit A &amp; Ally F (2003). </w:t>
      </w:r>
    </w:p>
  </w:footnote>
  <w:footnote w:id="2">
    <w:p w:rsidR="00CC216E" w:rsidRPr="00CC216E" w:rsidRDefault="00CC216E">
      <w:pPr>
        <w:pStyle w:val="FootnoteText"/>
        <w:rPr>
          <w:rFonts w:ascii="Arial" w:hAnsi="Arial" w:cs="Arial"/>
          <w:sz w:val="18"/>
          <w:szCs w:val="18"/>
          <w:lang w:val="en-ZA"/>
        </w:rPr>
      </w:pPr>
      <w:r w:rsidRPr="00CC216E">
        <w:rPr>
          <w:rStyle w:val="FootnoteReference"/>
          <w:rFonts w:ascii="Arial" w:hAnsi="Arial" w:cs="Arial"/>
          <w:sz w:val="18"/>
          <w:szCs w:val="18"/>
        </w:rPr>
        <w:footnoteRef/>
      </w:r>
      <w:r w:rsidRPr="00CC216E">
        <w:rPr>
          <w:rFonts w:ascii="Arial" w:hAnsi="Arial" w:cs="Arial"/>
          <w:sz w:val="18"/>
          <w:szCs w:val="18"/>
        </w:rPr>
        <w:t xml:space="preserve"> </w:t>
      </w:r>
      <w:r w:rsidRPr="00CC216E">
        <w:rPr>
          <w:rFonts w:ascii="Arial" w:hAnsi="Arial" w:cs="Arial"/>
          <w:sz w:val="18"/>
          <w:szCs w:val="18"/>
          <w:lang w:val="en-GB"/>
        </w:rPr>
        <w:t xml:space="preserve">Kritzinger A &amp; Barrientos S (2004). </w:t>
      </w:r>
    </w:p>
  </w:footnote>
  <w:footnote w:id="3">
    <w:p w:rsidR="004C18F2" w:rsidRPr="00C36494" w:rsidRDefault="004C18F2" w:rsidP="004C18F2">
      <w:pPr>
        <w:pStyle w:val="FootnoteText"/>
        <w:rPr>
          <w:lang w:val="en-ZA"/>
        </w:rPr>
      </w:pPr>
      <w:r>
        <w:rPr>
          <w:rStyle w:val="FootnoteReference"/>
        </w:rPr>
        <w:footnoteRef/>
      </w:r>
      <w:r>
        <w:t xml:space="preserve"> </w:t>
      </w:r>
      <w:r>
        <w:rPr>
          <w:lang w:val="en-ZA"/>
        </w:rPr>
        <w:t xml:space="preserve">Theron, et al (2007)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2B" w:rsidRDefault="0074352B">
    <w:pPr>
      <w:pStyle w:val="Header"/>
    </w:pPr>
    <w:r>
      <w:rPr>
        <w:noProof/>
        <w:lang w:val="en-ZA" w:eastAsia="en-ZA"/>
      </w:rPr>
      <w:drawing>
        <wp:anchor distT="0" distB="0" distL="114300" distR="114300" simplePos="0" relativeHeight="251657216" behindDoc="0" locked="0" layoutInCell="1" allowOverlap="1">
          <wp:simplePos x="0" y="0"/>
          <wp:positionH relativeFrom="page">
            <wp:posOffset>720090</wp:posOffset>
          </wp:positionH>
          <wp:positionV relativeFrom="page">
            <wp:posOffset>720090</wp:posOffset>
          </wp:positionV>
          <wp:extent cx="800100" cy="824230"/>
          <wp:effectExtent l="0" t="0" r="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8547"/>
                  <a:stretch>
                    <a:fillRect/>
                  </a:stretch>
                </pic:blipFill>
                <pic:spPr bwMode="auto">
                  <a:xfrm>
                    <a:off x="0" y="0"/>
                    <a:ext cx="800100" cy="82423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2B" w:rsidRDefault="0074352B">
    <w:pPr>
      <w:pStyle w:val="Header"/>
    </w:pPr>
    <w:r>
      <w:rPr>
        <w:noProof/>
        <w:lang w:val="en-ZA" w:eastAsia="en-ZA"/>
      </w:rPr>
      <w:drawing>
        <wp:anchor distT="0" distB="0" distL="114300" distR="114300" simplePos="0" relativeHeight="251659264" behindDoc="1" locked="0" layoutInCell="1" allowOverlap="1">
          <wp:simplePos x="0" y="0"/>
          <wp:positionH relativeFrom="page">
            <wp:posOffset>4572635</wp:posOffset>
          </wp:positionH>
          <wp:positionV relativeFrom="page">
            <wp:posOffset>900430</wp:posOffset>
          </wp:positionV>
          <wp:extent cx="2279650" cy="611505"/>
          <wp:effectExtent l="0" t="0" r="6350" b="0"/>
          <wp:wrapNone/>
          <wp:docPr id="6" name="Picture 6" descr="RESEARCH-UNIT-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EARCH-UNIT-RGB-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79650" cy="611505"/>
                  </a:xfrm>
                  <a:prstGeom prst="rect">
                    <a:avLst/>
                  </a:prstGeom>
                  <a:noFill/>
                </pic:spPr>
              </pic:pic>
            </a:graphicData>
          </a:graphic>
        </wp:anchor>
      </w:drawing>
    </w:r>
    <w:r>
      <w:rPr>
        <w:noProof/>
        <w:lang w:val="en-ZA" w:eastAsia="en-ZA"/>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2543810" cy="824230"/>
          <wp:effectExtent l="0" t="0" r="8890"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3810" cy="824230"/>
                  </a:xfrm>
                  <a:prstGeom prst="rect">
                    <a:avLst/>
                  </a:prstGeom>
                  <a:noFill/>
                </pic:spPr>
              </pic:pic>
            </a:graphicData>
          </a:graphic>
        </wp:anchor>
      </w:drawing>
    </w:r>
    <w:r>
      <w:rPr>
        <w:noProof/>
        <w:lang w:val="en-ZA" w:eastAsia="en-ZA"/>
      </w:rPr>
      <w:drawing>
        <wp:anchor distT="0" distB="0" distL="114300" distR="114300" simplePos="0" relativeHeight="251658240" behindDoc="1" locked="0" layoutInCell="1" allowOverlap="1">
          <wp:simplePos x="0" y="0"/>
          <wp:positionH relativeFrom="page">
            <wp:posOffset>1764030</wp:posOffset>
          </wp:positionH>
          <wp:positionV relativeFrom="page">
            <wp:posOffset>3384550</wp:posOffset>
          </wp:positionV>
          <wp:extent cx="3998595" cy="3915410"/>
          <wp:effectExtent l="0" t="0" r="1905" b="8890"/>
          <wp:wrapNone/>
          <wp:docPr id="8" name="Picture 8"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8595" cy="39154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3C53"/>
    <w:multiLevelType w:val="hybridMultilevel"/>
    <w:tmpl w:val="ED5432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7809F0"/>
    <w:multiLevelType w:val="hybridMultilevel"/>
    <w:tmpl w:val="C94262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435C9E"/>
    <w:multiLevelType w:val="hybridMultilevel"/>
    <w:tmpl w:val="E4262F2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FF31A7D"/>
    <w:multiLevelType w:val="hybridMultilevel"/>
    <w:tmpl w:val="CEE25E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82325E8"/>
    <w:multiLevelType w:val="hybridMultilevel"/>
    <w:tmpl w:val="C8527D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8D83E94"/>
    <w:multiLevelType w:val="hybridMultilevel"/>
    <w:tmpl w:val="EEB05B9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91A32A4"/>
    <w:multiLevelType w:val="hybridMultilevel"/>
    <w:tmpl w:val="D88E78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A950D85"/>
    <w:multiLevelType w:val="hybridMultilevel"/>
    <w:tmpl w:val="C3E00B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F3274A7"/>
    <w:multiLevelType w:val="hybridMultilevel"/>
    <w:tmpl w:val="DF4E2E7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56A1110"/>
    <w:multiLevelType w:val="hybridMultilevel"/>
    <w:tmpl w:val="4FBE7EF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51066C"/>
    <w:multiLevelType w:val="hybridMultilevel"/>
    <w:tmpl w:val="606EC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7E5342F"/>
    <w:multiLevelType w:val="hybridMultilevel"/>
    <w:tmpl w:val="6A221F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D8632FD"/>
    <w:multiLevelType w:val="hybridMultilevel"/>
    <w:tmpl w:val="817261C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DA67C30"/>
    <w:multiLevelType w:val="hybridMultilevel"/>
    <w:tmpl w:val="849E2954"/>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25D64AF"/>
    <w:multiLevelType w:val="hybridMultilevel"/>
    <w:tmpl w:val="E27C63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38D5429"/>
    <w:multiLevelType w:val="hybridMultilevel"/>
    <w:tmpl w:val="DEC6F5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5844645"/>
    <w:multiLevelType w:val="hybridMultilevel"/>
    <w:tmpl w:val="003EA6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6BF787B"/>
    <w:multiLevelType w:val="hybridMultilevel"/>
    <w:tmpl w:val="962C88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8CB0C2B"/>
    <w:multiLevelType w:val="hybridMultilevel"/>
    <w:tmpl w:val="D08AFB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91E60B8"/>
    <w:multiLevelType w:val="hybridMultilevel"/>
    <w:tmpl w:val="8660A9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C000151"/>
    <w:multiLevelType w:val="multilevel"/>
    <w:tmpl w:val="F2343BF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40A82A05"/>
    <w:multiLevelType w:val="hybridMultilevel"/>
    <w:tmpl w:val="F0023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1772E11"/>
    <w:multiLevelType w:val="hybridMultilevel"/>
    <w:tmpl w:val="1024B0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C285EA8"/>
    <w:multiLevelType w:val="hybridMultilevel"/>
    <w:tmpl w:val="27926C3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CC557A6"/>
    <w:multiLevelType w:val="hybridMultilevel"/>
    <w:tmpl w:val="29B8E2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FE559DE"/>
    <w:multiLevelType w:val="hybridMultilevel"/>
    <w:tmpl w:val="D34A49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C282CB3"/>
    <w:multiLevelType w:val="hybridMultilevel"/>
    <w:tmpl w:val="FD2C489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624F362F"/>
    <w:multiLevelType w:val="hybridMultilevel"/>
    <w:tmpl w:val="DDB63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6354404"/>
    <w:multiLevelType w:val="hybridMultilevel"/>
    <w:tmpl w:val="42FACC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677843C0"/>
    <w:multiLevelType w:val="hybridMultilevel"/>
    <w:tmpl w:val="9DBE09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C6E779C"/>
    <w:multiLevelType w:val="hybridMultilevel"/>
    <w:tmpl w:val="D1483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D286D40"/>
    <w:multiLevelType w:val="hybridMultilevel"/>
    <w:tmpl w:val="2814FC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EC97197"/>
    <w:multiLevelType w:val="hybridMultilevel"/>
    <w:tmpl w:val="E01C39F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76364E6E"/>
    <w:multiLevelType w:val="hybridMultilevel"/>
    <w:tmpl w:val="3F9A79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F8E3CF3"/>
    <w:multiLevelType w:val="hybridMultilevel"/>
    <w:tmpl w:val="CCE868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5"/>
  </w:num>
  <w:num w:numId="2">
    <w:abstractNumId w:val="22"/>
  </w:num>
  <w:num w:numId="3">
    <w:abstractNumId w:val="26"/>
  </w:num>
  <w:num w:numId="4">
    <w:abstractNumId w:val="7"/>
  </w:num>
  <w:num w:numId="5">
    <w:abstractNumId w:val="5"/>
  </w:num>
  <w:num w:numId="6">
    <w:abstractNumId w:val="23"/>
  </w:num>
  <w:num w:numId="7">
    <w:abstractNumId w:val="13"/>
  </w:num>
  <w:num w:numId="8">
    <w:abstractNumId w:val="16"/>
  </w:num>
  <w:num w:numId="9">
    <w:abstractNumId w:val="10"/>
  </w:num>
  <w:num w:numId="10">
    <w:abstractNumId w:val="1"/>
  </w:num>
  <w:num w:numId="11">
    <w:abstractNumId w:val="3"/>
  </w:num>
  <w:num w:numId="12">
    <w:abstractNumId w:val="8"/>
  </w:num>
  <w:num w:numId="13">
    <w:abstractNumId w:val="27"/>
  </w:num>
  <w:num w:numId="14">
    <w:abstractNumId w:val="9"/>
  </w:num>
  <w:num w:numId="15">
    <w:abstractNumId w:val="34"/>
  </w:num>
  <w:num w:numId="16">
    <w:abstractNumId w:val="0"/>
  </w:num>
  <w:num w:numId="17">
    <w:abstractNumId w:val="21"/>
  </w:num>
  <w:num w:numId="18">
    <w:abstractNumId w:val="17"/>
  </w:num>
  <w:num w:numId="19">
    <w:abstractNumId w:val="19"/>
  </w:num>
  <w:num w:numId="20">
    <w:abstractNumId w:val="12"/>
  </w:num>
  <w:num w:numId="21">
    <w:abstractNumId w:val="29"/>
  </w:num>
  <w:num w:numId="22">
    <w:abstractNumId w:val="30"/>
  </w:num>
  <w:num w:numId="23">
    <w:abstractNumId w:val="31"/>
  </w:num>
  <w:num w:numId="24">
    <w:abstractNumId w:val="20"/>
  </w:num>
  <w:num w:numId="25">
    <w:abstractNumId w:val="18"/>
  </w:num>
  <w:num w:numId="26">
    <w:abstractNumId w:val="14"/>
  </w:num>
  <w:num w:numId="27">
    <w:abstractNumId w:val="2"/>
  </w:num>
  <w:num w:numId="28">
    <w:abstractNumId w:val="28"/>
  </w:num>
  <w:num w:numId="29">
    <w:abstractNumId w:val="6"/>
  </w:num>
  <w:num w:numId="30">
    <w:abstractNumId w:val="32"/>
  </w:num>
  <w:num w:numId="31">
    <w:abstractNumId w:val="4"/>
  </w:num>
  <w:num w:numId="32">
    <w:abstractNumId w:val="15"/>
  </w:num>
  <w:num w:numId="33">
    <w:abstractNumId w:val="11"/>
  </w:num>
  <w:num w:numId="34">
    <w:abstractNumId w:val="24"/>
  </w:num>
  <w:num w:numId="35">
    <w:abstractNumId w:val="3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numFmt w:val="decimal"/>
    <w:endnote w:id="-1"/>
    <w:endnote w:id="0"/>
  </w:endnotePr>
  <w:compat/>
  <w:rsids>
    <w:rsidRoot w:val="002260FB"/>
    <w:rsid w:val="00002A86"/>
    <w:rsid w:val="0000318F"/>
    <w:rsid w:val="00003538"/>
    <w:rsid w:val="00005072"/>
    <w:rsid w:val="00011772"/>
    <w:rsid w:val="00012331"/>
    <w:rsid w:val="0001558C"/>
    <w:rsid w:val="00015875"/>
    <w:rsid w:val="00015A2F"/>
    <w:rsid w:val="00017984"/>
    <w:rsid w:val="000203B7"/>
    <w:rsid w:val="000207BE"/>
    <w:rsid w:val="000208F4"/>
    <w:rsid w:val="00021862"/>
    <w:rsid w:val="00022CB3"/>
    <w:rsid w:val="00025ACB"/>
    <w:rsid w:val="00025B10"/>
    <w:rsid w:val="000272ED"/>
    <w:rsid w:val="000274BD"/>
    <w:rsid w:val="000275C7"/>
    <w:rsid w:val="00031C1D"/>
    <w:rsid w:val="00032AEB"/>
    <w:rsid w:val="00032D1A"/>
    <w:rsid w:val="00032F9D"/>
    <w:rsid w:val="00033667"/>
    <w:rsid w:val="00040BEB"/>
    <w:rsid w:val="00042059"/>
    <w:rsid w:val="00043277"/>
    <w:rsid w:val="0004436E"/>
    <w:rsid w:val="00046AB5"/>
    <w:rsid w:val="00047244"/>
    <w:rsid w:val="00047C0E"/>
    <w:rsid w:val="00051194"/>
    <w:rsid w:val="00052511"/>
    <w:rsid w:val="00054331"/>
    <w:rsid w:val="00056D68"/>
    <w:rsid w:val="0006096C"/>
    <w:rsid w:val="00060D63"/>
    <w:rsid w:val="00061BDF"/>
    <w:rsid w:val="000627F1"/>
    <w:rsid w:val="00062CA7"/>
    <w:rsid w:val="00064B41"/>
    <w:rsid w:val="00066892"/>
    <w:rsid w:val="000726CD"/>
    <w:rsid w:val="00073D1D"/>
    <w:rsid w:val="00075614"/>
    <w:rsid w:val="0007581B"/>
    <w:rsid w:val="00075D11"/>
    <w:rsid w:val="00076E4A"/>
    <w:rsid w:val="00077533"/>
    <w:rsid w:val="00077AA2"/>
    <w:rsid w:val="00082236"/>
    <w:rsid w:val="00086645"/>
    <w:rsid w:val="00093C9F"/>
    <w:rsid w:val="00093E6B"/>
    <w:rsid w:val="000A09FB"/>
    <w:rsid w:val="000A4375"/>
    <w:rsid w:val="000A55F8"/>
    <w:rsid w:val="000A6502"/>
    <w:rsid w:val="000A66BD"/>
    <w:rsid w:val="000B1B7E"/>
    <w:rsid w:val="000B29D0"/>
    <w:rsid w:val="000B5127"/>
    <w:rsid w:val="000B5956"/>
    <w:rsid w:val="000B63A5"/>
    <w:rsid w:val="000C0135"/>
    <w:rsid w:val="000C0289"/>
    <w:rsid w:val="000C1518"/>
    <w:rsid w:val="000C19D5"/>
    <w:rsid w:val="000C1FEE"/>
    <w:rsid w:val="000C28C4"/>
    <w:rsid w:val="000C2A01"/>
    <w:rsid w:val="000C3C63"/>
    <w:rsid w:val="000C4A6A"/>
    <w:rsid w:val="000C525F"/>
    <w:rsid w:val="000C7A11"/>
    <w:rsid w:val="000C7D49"/>
    <w:rsid w:val="000D0DAB"/>
    <w:rsid w:val="000D1986"/>
    <w:rsid w:val="000D251E"/>
    <w:rsid w:val="000D4CC1"/>
    <w:rsid w:val="000D4DC7"/>
    <w:rsid w:val="000D4DF7"/>
    <w:rsid w:val="000E0B3B"/>
    <w:rsid w:val="000E0FA6"/>
    <w:rsid w:val="000E2B20"/>
    <w:rsid w:val="000E65B4"/>
    <w:rsid w:val="000E6A62"/>
    <w:rsid w:val="000E72E6"/>
    <w:rsid w:val="000E7391"/>
    <w:rsid w:val="000E7FD4"/>
    <w:rsid w:val="000F0A98"/>
    <w:rsid w:val="000F2454"/>
    <w:rsid w:val="000F3C57"/>
    <w:rsid w:val="000F665C"/>
    <w:rsid w:val="000F6C5E"/>
    <w:rsid w:val="000F6ED1"/>
    <w:rsid w:val="000F7538"/>
    <w:rsid w:val="00101D77"/>
    <w:rsid w:val="001020FA"/>
    <w:rsid w:val="00102F13"/>
    <w:rsid w:val="00103826"/>
    <w:rsid w:val="00105F96"/>
    <w:rsid w:val="00107AE2"/>
    <w:rsid w:val="001107AB"/>
    <w:rsid w:val="00113ABC"/>
    <w:rsid w:val="00115FD6"/>
    <w:rsid w:val="0011701D"/>
    <w:rsid w:val="00121E49"/>
    <w:rsid w:val="00122D77"/>
    <w:rsid w:val="00131512"/>
    <w:rsid w:val="00134B68"/>
    <w:rsid w:val="001351A8"/>
    <w:rsid w:val="0013714C"/>
    <w:rsid w:val="0013761B"/>
    <w:rsid w:val="00141331"/>
    <w:rsid w:val="00142037"/>
    <w:rsid w:val="001426FA"/>
    <w:rsid w:val="00142FFC"/>
    <w:rsid w:val="001436C8"/>
    <w:rsid w:val="00144659"/>
    <w:rsid w:val="001505E8"/>
    <w:rsid w:val="00151DD7"/>
    <w:rsid w:val="00157915"/>
    <w:rsid w:val="00157B26"/>
    <w:rsid w:val="00157B45"/>
    <w:rsid w:val="00160940"/>
    <w:rsid w:val="0016249D"/>
    <w:rsid w:val="00162531"/>
    <w:rsid w:val="00163365"/>
    <w:rsid w:val="001636AA"/>
    <w:rsid w:val="0016566F"/>
    <w:rsid w:val="001668FA"/>
    <w:rsid w:val="00167078"/>
    <w:rsid w:val="00172A26"/>
    <w:rsid w:val="00174B96"/>
    <w:rsid w:val="00174D54"/>
    <w:rsid w:val="0017738E"/>
    <w:rsid w:val="00177ABB"/>
    <w:rsid w:val="00177D19"/>
    <w:rsid w:val="00182A64"/>
    <w:rsid w:val="00183347"/>
    <w:rsid w:val="00184857"/>
    <w:rsid w:val="00185152"/>
    <w:rsid w:val="00190FDA"/>
    <w:rsid w:val="001914C9"/>
    <w:rsid w:val="00192720"/>
    <w:rsid w:val="0019289D"/>
    <w:rsid w:val="00194B60"/>
    <w:rsid w:val="00195D91"/>
    <w:rsid w:val="00196C97"/>
    <w:rsid w:val="001971FA"/>
    <w:rsid w:val="001A227D"/>
    <w:rsid w:val="001B0F47"/>
    <w:rsid w:val="001B1348"/>
    <w:rsid w:val="001B1B4C"/>
    <w:rsid w:val="001B2BB5"/>
    <w:rsid w:val="001B2EA1"/>
    <w:rsid w:val="001B6E3A"/>
    <w:rsid w:val="001B746F"/>
    <w:rsid w:val="001B7689"/>
    <w:rsid w:val="001B79D3"/>
    <w:rsid w:val="001C16F3"/>
    <w:rsid w:val="001C196D"/>
    <w:rsid w:val="001C2F5A"/>
    <w:rsid w:val="001C3AAD"/>
    <w:rsid w:val="001C3ED1"/>
    <w:rsid w:val="001C67B7"/>
    <w:rsid w:val="001D0EA3"/>
    <w:rsid w:val="001D27C0"/>
    <w:rsid w:val="001D4634"/>
    <w:rsid w:val="001D4BCF"/>
    <w:rsid w:val="001D4DAA"/>
    <w:rsid w:val="001D5420"/>
    <w:rsid w:val="001D6648"/>
    <w:rsid w:val="001D7805"/>
    <w:rsid w:val="001E1ECF"/>
    <w:rsid w:val="001E465C"/>
    <w:rsid w:val="001E59CB"/>
    <w:rsid w:val="001E696A"/>
    <w:rsid w:val="001F44BC"/>
    <w:rsid w:val="001F7277"/>
    <w:rsid w:val="001F77D6"/>
    <w:rsid w:val="00200E4D"/>
    <w:rsid w:val="002011C9"/>
    <w:rsid w:val="002019B1"/>
    <w:rsid w:val="00202A3D"/>
    <w:rsid w:val="0020367F"/>
    <w:rsid w:val="002044F7"/>
    <w:rsid w:val="002074BB"/>
    <w:rsid w:val="00210D56"/>
    <w:rsid w:val="00211492"/>
    <w:rsid w:val="00211600"/>
    <w:rsid w:val="00212DB4"/>
    <w:rsid w:val="00214D74"/>
    <w:rsid w:val="00216BD9"/>
    <w:rsid w:val="00217FC7"/>
    <w:rsid w:val="002244C7"/>
    <w:rsid w:val="002246CC"/>
    <w:rsid w:val="002252A7"/>
    <w:rsid w:val="002260FB"/>
    <w:rsid w:val="00226E71"/>
    <w:rsid w:val="0022764F"/>
    <w:rsid w:val="002277FD"/>
    <w:rsid w:val="002307E4"/>
    <w:rsid w:val="00230AC7"/>
    <w:rsid w:val="00230B83"/>
    <w:rsid w:val="00233264"/>
    <w:rsid w:val="002340B4"/>
    <w:rsid w:val="00234F8A"/>
    <w:rsid w:val="00237BC2"/>
    <w:rsid w:val="00237F1E"/>
    <w:rsid w:val="00241238"/>
    <w:rsid w:val="0024135D"/>
    <w:rsid w:val="00242899"/>
    <w:rsid w:val="00251CC9"/>
    <w:rsid w:val="0025347D"/>
    <w:rsid w:val="00253C0D"/>
    <w:rsid w:val="0025551E"/>
    <w:rsid w:val="00255753"/>
    <w:rsid w:val="002605F3"/>
    <w:rsid w:val="002628FF"/>
    <w:rsid w:val="002652C5"/>
    <w:rsid w:val="00266810"/>
    <w:rsid w:val="002671AF"/>
    <w:rsid w:val="002730DF"/>
    <w:rsid w:val="00273E21"/>
    <w:rsid w:val="00276FFD"/>
    <w:rsid w:val="00280095"/>
    <w:rsid w:val="00280F11"/>
    <w:rsid w:val="002824B0"/>
    <w:rsid w:val="002850B8"/>
    <w:rsid w:val="002859D5"/>
    <w:rsid w:val="0028648B"/>
    <w:rsid w:val="00286D61"/>
    <w:rsid w:val="002914B7"/>
    <w:rsid w:val="0029155C"/>
    <w:rsid w:val="00292DFB"/>
    <w:rsid w:val="00297442"/>
    <w:rsid w:val="00297612"/>
    <w:rsid w:val="002A34A5"/>
    <w:rsid w:val="002A71FE"/>
    <w:rsid w:val="002B0418"/>
    <w:rsid w:val="002B2EE9"/>
    <w:rsid w:val="002B3BD8"/>
    <w:rsid w:val="002B4555"/>
    <w:rsid w:val="002B5909"/>
    <w:rsid w:val="002C1D89"/>
    <w:rsid w:val="002C498E"/>
    <w:rsid w:val="002C5260"/>
    <w:rsid w:val="002C6AEF"/>
    <w:rsid w:val="002D0270"/>
    <w:rsid w:val="002D3C56"/>
    <w:rsid w:val="002D5D66"/>
    <w:rsid w:val="002D6B5B"/>
    <w:rsid w:val="002D72C1"/>
    <w:rsid w:val="002E029A"/>
    <w:rsid w:val="002E02D0"/>
    <w:rsid w:val="002E14D4"/>
    <w:rsid w:val="002E1A63"/>
    <w:rsid w:val="002E2A66"/>
    <w:rsid w:val="002E3662"/>
    <w:rsid w:val="002E3B47"/>
    <w:rsid w:val="002E5798"/>
    <w:rsid w:val="002E6163"/>
    <w:rsid w:val="002F0072"/>
    <w:rsid w:val="002F0C66"/>
    <w:rsid w:val="002F1A30"/>
    <w:rsid w:val="002F1C29"/>
    <w:rsid w:val="002F233C"/>
    <w:rsid w:val="002F3836"/>
    <w:rsid w:val="002F6B8C"/>
    <w:rsid w:val="00301C5B"/>
    <w:rsid w:val="00303289"/>
    <w:rsid w:val="0030371F"/>
    <w:rsid w:val="00305AFD"/>
    <w:rsid w:val="00306E4A"/>
    <w:rsid w:val="0030749A"/>
    <w:rsid w:val="00311C48"/>
    <w:rsid w:val="00311EDF"/>
    <w:rsid w:val="0031247A"/>
    <w:rsid w:val="0031583C"/>
    <w:rsid w:val="00315B83"/>
    <w:rsid w:val="00316478"/>
    <w:rsid w:val="00316608"/>
    <w:rsid w:val="0032160E"/>
    <w:rsid w:val="0032202F"/>
    <w:rsid w:val="003257BD"/>
    <w:rsid w:val="00325D30"/>
    <w:rsid w:val="003262BC"/>
    <w:rsid w:val="00326A56"/>
    <w:rsid w:val="00327D43"/>
    <w:rsid w:val="00332DEE"/>
    <w:rsid w:val="00333D05"/>
    <w:rsid w:val="00334934"/>
    <w:rsid w:val="00334D81"/>
    <w:rsid w:val="00335ABF"/>
    <w:rsid w:val="00340067"/>
    <w:rsid w:val="003407ED"/>
    <w:rsid w:val="00341585"/>
    <w:rsid w:val="003458E4"/>
    <w:rsid w:val="00345B9B"/>
    <w:rsid w:val="00347A94"/>
    <w:rsid w:val="00351A09"/>
    <w:rsid w:val="003526E3"/>
    <w:rsid w:val="0035393A"/>
    <w:rsid w:val="0035601B"/>
    <w:rsid w:val="00360AE1"/>
    <w:rsid w:val="00361753"/>
    <w:rsid w:val="0036194C"/>
    <w:rsid w:val="00362594"/>
    <w:rsid w:val="00364ED2"/>
    <w:rsid w:val="00366FE9"/>
    <w:rsid w:val="00370803"/>
    <w:rsid w:val="00371206"/>
    <w:rsid w:val="00373041"/>
    <w:rsid w:val="00374198"/>
    <w:rsid w:val="00377EED"/>
    <w:rsid w:val="003800F2"/>
    <w:rsid w:val="00380730"/>
    <w:rsid w:val="003811A4"/>
    <w:rsid w:val="00382DF1"/>
    <w:rsid w:val="00383292"/>
    <w:rsid w:val="003856DA"/>
    <w:rsid w:val="003867D8"/>
    <w:rsid w:val="00393BD7"/>
    <w:rsid w:val="00393DE9"/>
    <w:rsid w:val="00396AC2"/>
    <w:rsid w:val="00396D71"/>
    <w:rsid w:val="003A600C"/>
    <w:rsid w:val="003A6D66"/>
    <w:rsid w:val="003B02A6"/>
    <w:rsid w:val="003B392F"/>
    <w:rsid w:val="003B3D71"/>
    <w:rsid w:val="003B4504"/>
    <w:rsid w:val="003B4B46"/>
    <w:rsid w:val="003B6C4C"/>
    <w:rsid w:val="003C0F49"/>
    <w:rsid w:val="003C1706"/>
    <w:rsid w:val="003C3C3D"/>
    <w:rsid w:val="003C426E"/>
    <w:rsid w:val="003C4B7A"/>
    <w:rsid w:val="003C5D85"/>
    <w:rsid w:val="003C793F"/>
    <w:rsid w:val="003D0923"/>
    <w:rsid w:val="003D09D0"/>
    <w:rsid w:val="003D1411"/>
    <w:rsid w:val="003D3A0C"/>
    <w:rsid w:val="003D4D33"/>
    <w:rsid w:val="003D5424"/>
    <w:rsid w:val="003D5B28"/>
    <w:rsid w:val="003D5C29"/>
    <w:rsid w:val="003D733A"/>
    <w:rsid w:val="003D74A4"/>
    <w:rsid w:val="003D7FEE"/>
    <w:rsid w:val="003E2287"/>
    <w:rsid w:val="003E2491"/>
    <w:rsid w:val="003E34B6"/>
    <w:rsid w:val="003E4B5D"/>
    <w:rsid w:val="003E5B58"/>
    <w:rsid w:val="003E62D0"/>
    <w:rsid w:val="003E7605"/>
    <w:rsid w:val="003F0A4C"/>
    <w:rsid w:val="003F17A6"/>
    <w:rsid w:val="003F5104"/>
    <w:rsid w:val="003F596C"/>
    <w:rsid w:val="003F70C5"/>
    <w:rsid w:val="00401711"/>
    <w:rsid w:val="00404830"/>
    <w:rsid w:val="00405106"/>
    <w:rsid w:val="00407267"/>
    <w:rsid w:val="004076A8"/>
    <w:rsid w:val="004135A4"/>
    <w:rsid w:val="0041473D"/>
    <w:rsid w:val="00415CBB"/>
    <w:rsid w:val="0041634A"/>
    <w:rsid w:val="00416C43"/>
    <w:rsid w:val="0041777A"/>
    <w:rsid w:val="00420437"/>
    <w:rsid w:val="004205F3"/>
    <w:rsid w:val="00421300"/>
    <w:rsid w:val="00422269"/>
    <w:rsid w:val="00424491"/>
    <w:rsid w:val="00432840"/>
    <w:rsid w:val="00433A2C"/>
    <w:rsid w:val="00433D09"/>
    <w:rsid w:val="00434B1A"/>
    <w:rsid w:val="00434E3C"/>
    <w:rsid w:val="004360A1"/>
    <w:rsid w:val="0043724B"/>
    <w:rsid w:val="00437DC4"/>
    <w:rsid w:val="00443F66"/>
    <w:rsid w:val="004444D4"/>
    <w:rsid w:val="00446B99"/>
    <w:rsid w:val="004508F0"/>
    <w:rsid w:val="0045120F"/>
    <w:rsid w:val="004530B1"/>
    <w:rsid w:val="00456B95"/>
    <w:rsid w:val="004605F6"/>
    <w:rsid w:val="004614B7"/>
    <w:rsid w:val="0046331C"/>
    <w:rsid w:val="00464BD7"/>
    <w:rsid w:val="00470922"/>
    <w:rsid w:val="00470E84"/>
    <w:rsid w:val="00472989"/>
    <w:rsid w:val="00474F95"/>
    <w:rsid w:val="00476571"/>
    <w:rsid w:val="00480124"/>
    <w:rsid w:val="004801D5"/>
    <w:rsid w:val="00481FFF"/>
    <w:rsid w:val="00483115"/>
    <w:rsid w:val="00485CC0"/>
    <w:rsid w:val="00486508"/>
    <w:rsid w:val="004868AF"/>
    <w:rsid w:val="00491EC6"/>
    <w:rsid w:val="00492419"/>
    <w:rsid w:val="0049608E"/>
    <w:rsid w:val="00497153"/>
    <w:rsid w:val="00497A7A"/>
    <w:rsid w:val="004A1600"/>
    <w:rsid w:val="004A2B51"/>
    <w:rsid w:val="004A35C9"/>
    <w:rsid w:val="004A3B6C"/>
    <w:rsid w:val="004A4286"/>
    <w:rsid w:val="004A5977"/>
    <w:rsid w:val="004A7EE9"/>
    <w:rsid w:val="004B08F5"/>
    <w:rsid w:val="004B3852"/>
    <w:rsid w:val="004B398F"/>
    <w:rsid w:val="004B3C07"/>
    <w:rsid w:val="004B5773"/>
    <w:rsid w:val="004C1740"/>
    <w:rsid w:val="004C18F2"/>
    <w:rsid w:val="004C3D5B"/>
    <w:rsid w:val="004C3E3B"/>
    <w:rsid w:val="004C5CE8"/>
    <w:rsid w:val="004C602F"/>
    <w:rsid w:val="004D3ABD"/>
    <w:rsid w:val="004D409B"/>
    <w:rsid w:val="004D4579"/>
    <w:rsid w:val="004D61F3"/>
    <w:rsid w:val="004D7835"/>
    <w:rsid w:val="004E333B"/>
    <w:rsid w:val="004E57E4"/>
    <w:rsid w:val="004E70AD"/>
    <w:rsid w:val="004F13E3"/>
    <w:rsid w:val="004F14B7"/>
    <w:rsid w:val="004F3521"/>
    <w:rsid w:val="004F3A30"/>
    <w:rsid w:val="004F41D7"/>
    <w:rsid w:val="004F5632"/>
    <w:rsid w:val="004F5C1E"/>
    <w:rsid w:val="004F77D7"/>
    <w:rsid w:val="005002AC"/>
    <w:rsid w:val="005009AA"/>
    <w:rsid w:val="005020E9"/>
    <w:rsid w:val="005022F2"/>
    <w:rsid w:val="00502769"/>
    <w:rsid w:val="0050281F"/>
    <w:rsid w:val="00502D7D"/>
    <w:rsid w:val="00504420"/>
    <w:rsid w:val="00506364"/>
    <w:rsid w:val="005107EE"/>
    <w:rsid w:val="005120A1"/>
    <w:rsid w:val="0051233C"/>
    <w:rsid w:val="00512D97"/>
    <w:rsid w:val="005160DC"/>
    <w:rsid w:val="00516361"/>
    <w:rsid w:val="00516572"/>
    <w:rsid w:val="00516B7B"/>
    <w:rsid w:val="00517158"/>
    <w:rsid w:val="00517977"/>
    <w:rsid w:val="00520784"/>
    <w:rsid w:val="00523578"/>
    <w:rsid w:val="00523C7F"/>
    <w:rsid w:val="00526651"/>
    <w:rsid w:val="005316DA"/>
    <w:rsid w:val="00532B20"/>
    <w:rsid w:val="005370C6"/>
    <w:rsid w:val="005373F3"/>
    <w:rsid w:val="00537E81"/>
    <w:rsid w:val="005507DF"/>
    <w:rsid w:val="005512A7"/>
    <w:rsid w:val="005558B9"/>
    <w:rsid w:val="00555964"/>
    <w:rsid w:val="0055661A"/>
    <w:rsid w:val="00557888"/>
    <w:rsid w:val="00557AC0"/>
    <w:rsid w:val="0056061B"/>
    <w:rsid w:val="005608B1"/>
    <w:rsid w:val="005625F0"/>
    <w:rsid w:val="0056484B"/>
    <w:rsid w:val="00565223"/>
    <w:rsid w:val="005701D1"/>
    <w:rsid w:val="005705DC"/>
    <w:rsid w:val="0057280B"/>
    <w:rsid w:val="00575F04"/>
    <w:rsid w:val="005763E2"/>
    <w:rsid w:val="005807E4"/>
    <w:rsid w:val="00580815"/>
    <w:rsid w:val="005820A3"/>
    <w:rsid w:val="00582F00"/>
    <w:rsid w:val="00583A70"/>
    <w:rsid w:val="005841AF"/>
    <w:rsid w:val="00584955"/>
    <w:rsid w:val="00592B82"/>
    <w:rsid w:val="0059413A"/>
    <w:rsid w:val="005A6FC3"/>
    <w:rsid w:val="005A7173"/>
    <w:rsid w:val="005B003D"/>
    <w:rsid w:val="005B005E"/>
    <w:rsid w:val="005B178D"/>
    <w:rsid w:val="005B2FEB"/>
    <w:rsid w:val="005B34E0"/>
    <w:rsid w:val="005B431F"/>
    <w:rsid w:val="005B4FF1"/>
    <w:rsid w:val="005C563D"/>
    <w:rsid w:val="005C5D2F"/>
    <w:rsid w:val="005C65D3"/>
    <w:rsid w:val="005D065B"/>
    <w:rsid w:val="005D26A4"/>
    <w:rsid w:val="005D28EC"/>
    <w:rsid w:val="005D30FB"/>
    <w:rsid w:val="005D527F"/>
    <w:rsid w:val="005D602D"/>
    <w:rsid w:val="005E016E"/>
    <w:rsid w:val="005E5584"/>
    <w:rsid w:val="005E695F"/>
    <w:rsid w:val="005E6A98"/>
    <w:rsid w:val="005F0E0A"/>
    <w:rsid w:val="005F36EF"/>
    <w:rsid w:val="005F3EC9"/>
    <w:rsid w:val="005F4053"/>
    <w:rsid w:val="005F44D0"/>
    <w:rsid w:val="005F537F"/>
    <w:rsid w:val="005F5E52"/>
    <w:rsid w:val="005F7698"/>
    <w:rsid w:val="006002D2"/>
    <w:rsid w:val="006002EC"/>
    <w:rsid w:val="00600E8A"/>
    <w:rsid w:val="0060624C"/>
    <w:rsid w:val="00610762"/>
    <w:rsid w:val="006125FA"/>
    <w:rsid w:val="0061363C"/>
    <w:rsid w:val="00613FA8"/>
    <w:rsid w:val="00616F99"/>
    <w:rsid w:val="00617B6B"/>
    <w:rsid w:val="0062171F"/>
    <w:rsid w:val="0063421E"/>
    <w:rsid w:val="0063494E"/>
    <w:rsid w:val="00634FE2"/>
    <w:rsid w:val="0063676C"/>
    <w:rsid w:val="0064018D"/>
    <w:rsid w:val="00641D0A"/>
    <w:rsid w:val="0064301E"/>
    <w:rsid w:val="006434E0"/>
    <w:rsid w:val="0064452C"/>
    <w:rsid w:val="00644F2D"/>
    <w:rsid w:val="00645BF4"/>
    <w:rsid w:val="006465CE"/>
    <w:rsid w:val="00653C57"/>
    <w:rsid w:val="006565A9"/>
    <w:rsid w:val="006578A2"/>
    <w:rsid w:val="00660819"/>
    <w:rsid w:val="00660BD6"/>
    <w:rsid w:val="006627C8"/>
    <w:rsid w:val="006631DD"/>
    <w:rsid w:val="00667A7A"/>
    <w:rsid w:val="00667D2E"/>
    <w:rsid w:val="006722A8"/>
    <w:rsid w:val="00672F46"/>
    <w:rsid w:val="00673042"/>
    <w:rsid w:val="00674D0F"/>
    <w:rsid w:val="00674D2A"/>
    <w:rsid w:val="00675263"/>
    <w:rsid w:val="0067633E"/>
    <w:rsid w:val="0067656E"/>
    <w:rsid w:val="00677BF4"/>
    <w:rsid w:val="00681EAC"/>
    <w:rsid w:val="006831B1"/>
    <w:rsid w:val="006847F2"/>
    <w:rsid w:val="00685897"/>
    <w:rsid w:val="006864FE"/>
    <w:rsid w:val="00690710"/>
    <w:rsid w:val="00690742"/>
    <w:rsid w:val="0069076E"/>
    <w:rsid w:val="006911FF"/>
    <w:rsid w:val="00693576"/>
    <w:rsid w:val="00697167"/>
    <w:rsid w:val="006A1065"/>
    <w:rsid w:val="006A37D6"/>
    <w:rsid w:val="006A475B"/>
    <w:rsid w:val="006A7B05"/>
    <w:rsid w:val="006B02FF"/>
    <w:rsid w:val="006B121A"/>
    <w:rsid w:val="006B26C6"/>
    <w:rsid w:val="006B6549"/>
    <w:rsid w:val="006C05EB"/>
    <w:rsid w:val="006C14AF"/>
    <w:rsid w:val="006C1CD0"/>
    <w:rsid w:val="006C3499"/>
    <w:rsid w:val="006C3FFD"/>
    <w:rsid w:val="006C5513"/>
    <w:rsid w:val="006C55EE"/>
    <w:rsid w:val="006C6A1C"/>
    <w:rsid w:val="006C6EDB"/>
    <w:rsid w:val="006C7267"/>
    <w:rsid w:val="006C73CC"/>
    <w:rsid w:val="006C7BAE"/>
    <w:rsid w:val="006D186F"/>
    <w:rsid w:val="006E4AD4"/>
    <w:rsid w:val="006E73ED"/>
    <w:rsid w:val="006F148A"/>
    <w:rsid w:val="006F29EB"/>
    <w:rsid w:val="006F2F12"/>
    <w:rsid w:val="006F4295"/>
    <w:rsid w:val="006F52D3"/>
    <w:rsid w:val="006F5597"/>
    <w:rsid w:val="007050DC"/>
    <w:rsid w:val="007069A6"/>
    <w:rsid w:val="00707976"/>
    <w:rsid w:val="00707E3C"/>
    <w:rsid w:val="00711AC6"/>
    <w:rsid w:val="00711ECE"/>
    <w:rsid w:val="00711F49"/>
    <w:rsid w:val="007121EA"/>
    <w:rsid w:val="007124C9"/>
    <w:rsid w:val="00715A7B"/>
    <w:rsid w:val="00716075"/>
    <w:rsid w:val="00716F44"/>
    <w:rsid w:val="0072229A"/>
    <w:rsid w:val="00726A84"/>
    <w:rsid w:val="00730471"/>
    <w:rsid w:val="0073454C"/>
    <w:rsid w:val="00734668"/>
    <w:rsid w:val="00734B1C"/>
    <w:rsid w:val="007359B9"/>
    <w:rsid w:val="00736643"/>
    <w:rsid w:val="0074309D"/>
    <w:rsid w:val="0074352B"/>
    <w:rsid w:val="00745483"/>
    <w:rsid w:val="00747868"/>
    <w:rsid w:val="00763FA4"/>
    <w:rsid w:val="00765D2B"/>
    <w:rsid w:val="007663B1"/>
    <w:rsid w:val="00767A08"/>
    <w:rsid w:val="007707C9"/>
    <w:rsid w:val="00770B10"/>
    <w:rsid w:val="0077323C"/>
    <w:rsid w:val="00773855"/>
    <w:rsid w:val="00774B01"/>
    <w:rsid w:val="007774AD"/>
    <w:rsid w:val="007838EB"/>
    <w:rsid w:val="00783CFA"/>
    <w:rsid w:val="00786807"/>
    <w:rsid w:val="007873DD"/>
    <w:rsid w:val="007915F3"/>
    <w:rsid w:val="007919DF"/>
    <w:rsid w:val="0079262E"/>
    <w:rsid w:val="00794539"/>
    <w:rsid w:val="00795EB2"/>
    <w:rsid w:val="0079707F"/>
    <w:rsid w:val="007A01FE"/>
    <w:rsid w:val="007A0C18"/>
    <w:rsid w:val="007A12DB"/>
    <w:rsid w:val="007A1EC7"/>
    <w:rsid w:val="007A2065"/>
    <w:rsid w:val="007A42DA"/>
    <w:rsid w:val="007A51E1"/>
    <w:rsid w:val="007A69B3"/>
    <w:rsid w:val="007B0CC5"/>
    <w:rsid w:val="007B2C63"/>
    <w:rsid w:val="007B39F4"/>
    <w:rsid w:val="007B6B64"/>
    <w:rsid w:val="007B70F7"/>
    <w:rsid w:val="007C2CE3"/>
    <w:rsid w:val="007C7D1B"/>
    <w:rsid w:val="007D0E81"/>
    <w:rsid w:val="007D4424"/>
    <w:rsid w:val="007D4FE1"/>
    <w:rsid w:val="007D5FC9"/>
    <w:rsid w:val="007D608F"/>
    <w:rsid w:val="007D7657"/>
    <w:rsid w:val="007E74B4"/>
    <w:rsid w:val="007F0E59"/>
    <w:rsid w:val="007F2645"/>
    <w:rsid w:val="007F27C5"/>
    <w:rsid w:val="007F28E8"/>
    <w:rsid w:val="007F398E"/>
    <w:rsid w:val="007F43E1"/>
    <w:rsid w:val="007F5C7C"/>
    <w:rsid w:val="007F6676"/>
    <w:rsid w:val="00801528"/>
    <w:rsid w:val="0080331C"/>
    <w:rsid w:val="008044F0"/>
    <w:rsid w:val="008059C7"/>
    <w:rsid w:val="008079B2"/>
    <w:rsid w:val="00810606"/>
    <w:rsid w:val="008116EC"/>
    <w:rsid w:val="00813214"/>
    <w:rsid w:val="008150ED"/>
    <w:rsid w:val="00815194"/>
    <w:rsid w:val="00815DFA"/>
    <w:rsid w:val="00816084"/>
    <w:rsid w:val="00823CDC"/>
    <w:rsid w:val="00826C1D"/>
    <w:rsid w:val="00834523"/>
    <w:rsid w:val="0083485B"/>
    <w:rsid w:val="00840A1C"/>
    <w:rsid w:val="0084132F"/>
    <w:rsid w:val="008423BD"/>
    <w:rsid w:val="00842A8D"/>
    <w:rsid w:val="00842D46"/>
    <w:rsid w:val="008450E7"/>
    <w:rsid w:val="00850611"/>
    <w:rsid w:val="00852B3F"/>
    <w:rsid w:val="00852E87"/>
    <w:rsid w:val="00853A38"/>
    <w:rsid w:val="00861E48"/>
    <w:rsid w:val="0086218B"/>
    <w:rsid w:val="008655B1"/>
    <w:rsid w:val="0086646C"/>
    <w:rsid w:val="00873766"/>
    <w:rsid w:val="00880603"/>
    <w:rsid w:val="00880AA6"/>
    <w:rsid w:val="0088140C"/>
    <w:rsid w:val="00882FBB"/>
    <w:rsid w:val="0088489F"/>
    <w:rsid w:val="00887098"/>
    <w:rsid w:val="00891257"/>
    <w:rsid w:val="00892842"/>
    <w:rsid w:val="008930F3"/>
    <w:rsid w:val="00895680"/>
    <w:rsid w:val="008A1F89"/>
    <w:rsid w:val="008A38E5"/>
    <w:rsid w:val="008A403C"/>
    <w:rsid w:val="008A476F"/>
    <w:rsid w:val="008A4CC1"/>
    <w:rsid w:val="008A59B9"/>
    <w:rsid w:val="008A5B9F"/>
    <w:rsid w:val="008A6401"/>
    <w:rsid w:val="008A7AEC"/>
    <w:rsid w:val="008B21D8"/>
    <w:rsid w:val="008B2375"/>
    <w:rsid w:val="008B34A2"/>
    <w:rsid w:val="008B3846"/>
    <w:rsid w:val="008B3FA5"/>
    <w:rsid w:val="008B42B0"/>
    <w:rsid w:val="008B45C7"/>
    <w:rsid w:val="008B75B3"/>
    <w:rsid w:val="008B7AA5"/>
    <w:rsid w:val="008C01B2"/>
    <w:rsid w:val="008C3D5A"/>
    <w:rsid w:val="008C428D"/>
    <w:rsid w:val="008C6DCA"/>
    <w:rsid w:val="008D731B"/>
    <w:rsid w:val="008E4A1E"/>
    <w:rsid w:val="008E4A22"/>
    <w:rsid w:val="008E52F4"/>
    <w:rsid w:val="008F105F"/>
    <w:rsid w:val="008F3EB4"/>
    <w:rsid w:val="008F4C81"/>
    <w:rsid w:val="008F4F50"/>
    <w:rsid w:val="00900784"/>
    <w:rsid w:val="009008EA"/>
    <w:rsid w:val="00905A40"/>
    <w:rsid w:val="00906DED"/>
    <w:rsid w:val="00907E36"/>
    <w:rsid w:val="009123DE"/>
    <w:rsid w:val="009127F9"/>
    <w:rsid w:val="00912A23"/>
    <w:rsid w:val="0091510A"/>
    <w:rsid w:val="00917066"/>
    <w:rsid w:val="009203E7"/>
    <w:rsid w:val="0092051B"/>
    <w:rsid w:val="0092151C"/>
    <w:rsid w:val="00921789"/>
    <w:rsid w:val="00922F48"/>
    <w:rsid w:val="00923588"/>
    <w:rsid w:val="009258AC"/>
    <w:rsid w:val="00926075"/>
    <w:rsid w:val="00926083"/>
    <w:rsid w:val="009322E1"/>
    <w:rsid w:val="009328F5"/>
    <w:rsid w:val="0093294C"/>
    <w:rsid w:val="00932E21"/>
    <w:rsid w:val="00932E8D"/>
    <w:rsid w:val="00933398"/>
    <w:rsid w:val="00935EDB"/>
    <w:rsid w:val="009419F2"/>
    <w:rsid w:val="00943462"/>
    <w:rsid w:val="00945BFC"/>
    <w:rsid w:val="009462B6"/>
    <w:rsid w:val="00947436"/>
    <w:rsid w:val="009503CF"/>
    <w:rsid w:val="00952D82"/>
    <w:rsid w:val="00953851"/>
    <w:rsid w:val="00955529"/>
    <w:rsid w:val="009567F1"/>
    <w:rsid w:val="0096017C"/>
    <w:rsid w:val="00960307"/>
    <w:rsid w:val="0096077F"/>
    <w:rsid w:val="00961D6F"/>
    <w:rsid w:val="0096330B"/>
    <w:rsid w:val="00964188"/>
    <w:rsid w:val="00964A78"/>
    <w:rsid w:val="00970E45"/>
    <w:rsid w:val="00973318"/>
    <w:rsid w:val="00977BA9"/>
    <w:rsid w:val="00982477"/>
    <w:rsid w:val="0098266C"/>
    <w:rsid w:val="0098347F"/>
    <w:rsid w:val="009846F5"/>
    <w:rsid w:val="0098624B"/>
    <w:rsid w:val="009863FF"/>
    <w:rsid w:val="00986832"/>
    <w:rsid w:val="00986B64"/>
    <w:rsid w:val="00990CA7"/>
    <w:rsid w:val="00996F05"/>
    <w:rsid w:val="0099712F"/>
    <w:rsid w:val="0099758C"/>
    <w:rsid w:val="009A2D65"/>
    <w:rsid w:val="009A4441"/>
    <w:rsid w:val="009A53EA"/>
    <w:rsid w:val="009A6918"/>
    <w:rsid w:val="009A7882"/>
    <w:rsid w:val="009B0AAE"/>
    <w:rsid w:val="009B56E8"/>
    <w:rsid w:val="009B748E"/>
    <w:rsid w:val="009B7B60"/>
    <w:rsid w:val="009C0777"/>
    <w:rsid w:val="009C1D9D"/>
    <w:rsid w:val="009C28FE"/>
    <w:rsid w:val="009C6021"/>
    <w:rsid w:val="009C6F6A"/>
    <w:rsid w:val="009C7A8B"/>
    <w:rsid w:val="009D05AE"/>
    <w:rsid w:val="009D3AA3"/>
    <w:rsid w:val="009D636B"/>
    <w:rsid w:val="009D743E"/>
    <w:rsid w:val="009E184C"/>
    <w:rsid w:val="009E1FCA"/>
    <w:rsid w:val="009E5BC9"/>
    <w:rsid w:val="009E7051"/>
    <w:rsid w:val="009F2447"/>
    <w:rsid w:val="009F3805"/>
    <w:rsid w:val="009F4E34"/>
    <w:rsid w:val="009F550C"/>
    <w:rsid w:val="009F70AD"/>
    <w:rsid w:val="009F7E60"/>
    <w:rsid w:val="00A00B5B"/>
    <w:rsid w:val="00A0134B"/>
    <w:rsid w:val="00A01930"/>
    <w:rsid w:val="00A04D24"/>
    <w:rsid w:val="00A05F3C"/>
    <w:rsid w:val="00A10192"/>
    <w:rsid w:val="00A10F56"/>
    <w:rsid w:val="00A11986"/>
    <w:rsid w:val="00A175E7"/>
    <w:rsid w:val="00A22584"/>
    <w:rsid w:val="00A2490D"/>
    <w:rsid w:val="00A24EE8"/>
    <w:rsid w:val="00A30AF6"/>
    <w:rsid w:val="00A30ED3"/>
    <w:rsid w:val="00A33604"/>
    <w:rsid w:val="00A35E3D"/>
    <w:rsid w:val="00A36518"/>
    <w:rsid w:val="00A3754C"/>
    <w:rsid w:val="00A41DD3"/>
    <w:rsid w:val="00A459B7"/>
    <w:rsid w:val="00A47062"/>
    <w:rsid w:val="00A50036"/>
    <w:rsid w:val="00A55488"/>
    <w:rsid w:val="00A556F1"/>
    <w:rsid w:val="00A55C18"/>
    <w:rsid w:val="00A5718F"/>
    <w:rsid w:val="00A64E0B"/>
    <w:rsid w:val="00A656AA"/>
    <w:rsid w:val="00A658BD"/>
    <w:rsid w:val="00A6766D"/>
    <w:rsid w:val="00A725F5"/>
    <w:rsid w:val="00A7265B"/>
    <w:rsid w:val="00A734C7"/>
    <w:rsid w:val="00A759D9"/>
    <w:rsid w:val="00A75FCE"/>
    <w:rsid w:val="00A83A09"/>
    <w:rsid w:val="00A85E3E"/>
    <w:rsid w:val="00A91AB3"/>
    <w:rsid w:val="00A93735"/>
    <w:rsid w:val="00A9711C"/>
    <w:rsid w:val="00AA035F"/>
    <w:rsid w:val="00AA06CA"/>
    <w:rsid w:val="00AA115F"/>
    <w:rsid w:val="00AA150F"/>
    <w:rsid w:val="00AA15EE"/>
    <w:rsid w:val="00AA364F"/>
    <w:rsid w:val="00AA40A6"/>
    <w:rsid w:val="00AA40C7"/>
    <w:rsid w:val="00AA593B"/>
    <w:rsid w:val="00AA5B11"/>
    <w:rsid w:val="00AA5D7F"/>
    <w:rsid w:val="00AA7B44"/>
    <w:rsid w:val="00AB260A"/>
    <w:rsid w:val="00AB4A63"/>
    <w:rsid w:val="00AB6DAF"/>
    <w:rsid w:val="00AB754D"/>
    <w:rsid w:val="00AC02AD"/>
    <w:rsid w:val="00AC16B7"/>
    <w:rsid w:val="00AC19A4"/>
    <w:rsid w:val="00AC2A55"/>
    <w:rsid w:val="00AC313E"/>
    <w:rsid w:val="00AC55D8"/>
    <w:rsid w:val="00AC6110"/>
    <w:rsid w:val="00AC6323"/>
    <w:rsid w:val="00AD0369"/>
    <w:rsid w:val="00AD0A97"/>
    <w:rsid w:val="00AD13C7"/>
    <w:rsid w:val="00AD2FEA"/>
    <w:rsid w:val="00AD3009"/>
    <w:rsid w:val="00AD6FA9"/>
    <w:rsid w:val="00AE0AC0"/>
    <w:rsid w:val="00AE18B0"/>
    <w:rsid w:val="00AE2952"/>
    <w:rsid w:val="00AE7ABF"/>
    <w:rsid w:val="00AF0794"/>
    <w:rsid w:val="00AF15D0"/>
    <w:rsid w:val="00AF36C9"/>
    <w:rsid w:val="00AF459E"/>
    <w:rsid w:val="00AF738B"/>
    <w:rsid w:val="00B00225"/>
    <w:rsid w:val="00B0096F"/>
    <w:rsid w:val="00B00D4A"/>
    <w:rsid w:val="00B01A18"/>
    <w:rsid w:val="00B01F6B"/>
    <w:rsid w:val="00B04B4F"/>
    <w:rsid w:val="00B04F36"/>
    <w:rsid w:val="00B05A6C"/>
    <w:rsid w:val="00B06F89"/>
    <w:rsid w:val="00B0724B"/>
    <w:rsid w:val="00B073FF"/>
    <w:rsid w:val="00B079F4"/>
    <w:rsid w:val="00B11AFA"/>
    <w:rsid w:val="00B14C6A"/>
    <w:rsid w:val="00B20628"/>
    <w:rsid w:val="00B21812"/>
    <w:rsid w:val="00B222BB"/>
    <w:rsid w:val="00B22E21"/>
    <w:rsid w:val="00B23BBA"/>
    <w:rsid w:val="00B23CCE"/>
    <w:rsid w:val="00B243EE"/>
    <w:rsid w:val="00B25548"/>
    <w:rsid w:val="00B2781B"/>
    <w:rsid w:val="00B27F60"/>
    <w:rsid w:val="00B30F38"/>
    <w:rsid w:val="00B348DA"/>
    <w:rsid w:val="00B34BBB"/>
    <w:rsid w:val="00B3536E"/>
    <w:rsid w:val="00B358B6"/>
    <w:rsid w:val="00B41D75"/>
    <w:rsid w:val="00B44F6C"/>
    <w:rsid w:val="00B46A64"/>
    <w:rsid w:val="00B50927"/>
    <w:rsid w:val="00B50B45"/>
    <w:rsid w:val="00B554DB"/>
    <w:rsid w:val="00B56E73"/>
    <w:rsid w:val="00B606E7"/>
    <w:rsid w:val="00B6141A"/>
    <w:rsid w:val="00B62F5F"/>
    <w:rsid w:val="00B632BA"/>
    <w:rsid w:val="00B65429"/>
    <w:rsid w:val="00B664EC"/>
    <w:rsid w:val="00B6779C"/>
    <w:rsid w:val="00B712D6"/>
    <w:rsid w:val="00B71F44"/>
    <w:rsid w:val="00B73A79"/>
    <w:rsid w:val="00B73FC2"/>
    <w:rsid w:val="00B74B8C"/>
    <w:rsid w:val="00B76754"/>
    <w:rsid w:val="00B768D5"/>
    <w:rsid w:val="00B76B97"/>
    <w:rsid w:val="00B804B1"/>
    <w:rsid w:val="00B80D32"/>
    <w:rsid w:val="00B81755"/>
    <w:rsid w:val="00B8199E"/>
    <w:rsid w:val="00B820BB"/>
    <w:rsid w:val="00B82578"/>
    <w:rsid w:val="00B8380A"/>
    <w:rsid w:val="00B84259"/>
    <w:rsid w:val="00B86ED5"/>
    <w:rsid w:val="00B8767D"/>
    <w:rsid w:val="00B93B6C"/>
    <w:rsid w:val="00B93FA2"/>
    <w:rsid w:val="00B94CCE"/>
    <w:rsid w:val="00B96515"/>
    <w:rsid w:val="00B968D2"/>
    <w:rsid w:val="00BA0AEB"/>
    <w:rsid w:val="00BA0D75"/>
    <w:rsid w:val="00BA2EBC"/>
    <w:rsid w:val="00BA4419"/>
    <w:rsid w:val="00BA45FF"/>
    <w:rsid w:val="00BA5338"/>
    <w:rsid w:val="00BA5818"/>
    <w:rsid w:val="00BA64C3"/>
    <w:rsid w:val="00BA7853"/>
    <w:rsid w:val="00BB02FA"/>
    <w:rsid w:val="00BB1651"/>
    <w:rsid w:val="00BB793B"/>
    <w:rsid w:val="00BC104A"/>
    <w:rsid w:val="00BC31B7"/>
    <w:rsid w:val="00BC3DB5"/>
    <w:rsid w:val="00BD12F8"/>
    <w:rsid w:val="00BD27A9"/>
    <w:rsid w:val="00BD47E3"/>
    <w:rsid w:val="00BD5C63"/>
    <w:rsid w:val="00BD6A1F"/>
    <w:rsid w:val="00BD6A96"/>
    <w:rsid w:val="00BE0C2C"/>
    <w:rsid w:val="00BE152E"/>
    <w:rsid w:val="00BE2039"/>
    <w:rsid w:val="00BE2089"/>
    <w:rsid w:val="00BE3409"/>
    <w:rsid w:val="00BE4C95"/>
    <w:rsid w:val="00BE5354"/>
    <w:rsid w:val="00BF02CC"/>
    <w:rsid w:val="00BF0662"/>
    <w:rsid w:val="00BF0BAA"/>
    <w:rsid w:val="00BF1235"/>
    <w:rsid w:val="00BF368C"/>
    <w:rsid w:val="00BF39F2"/>
    <w:rsid w:val="00BF4D03"/>
    <w:rsid w:val="00BF64CE"/>
    <w:rsid w:val="00BF7E21"/>
    <w:rsid w:val="00C00CD3"/>
    <w:rsid w:val="00C02CA4"/>
    <w:rsid w:val="00C03CA4"/>
    <w:rsid w:val="00C06F27"/>
    <w:rsid w:val="00C071F5"/>
    <w:rsid w:val="00C114C1"/>
    <w:rsid w:val="00C13280"/>
    <w:rsid w:val="00C16077"/>
    <w:rsid w:val="00C16B99"/>
    <w:rsid w:val="00C17073"/>
    <w:rsid w:val="00C17C51"/>
    <w:rsid w:val="00C20917"/>
    <w:rsid w:val="00C21B9E"/>
    <w:rsid w:val="00C23CAE"/>
    <w:rsid w:val="00C26892"/>
    <w:rsid w:val="00C270C1"/>
    <w:rsid w:val="00C34B58"/>
    <w:rsid w:val="00C40AC9"/>
    <w:rsid w:val="00C419E0"/>
    <w:rsid w:val="00C43377"/>
    <w:rsid w:val="00C4425F"/>
    <w:rsid w:val="00C47A62"/>
    <w:rsid w:val="00C50B67"/>
    <w:rsid w:val="00C51A9A"/>
    <w:rsid w:val="00C52F44"/>
    <w:rsid w:val="00C566EC"/>
    <w:rsid w:val="00C62996"/>
    <w:rsid w:val="00C62EC7"/>
    <w:rsid w:val="00C630E4"/>
    <w:rsid w:val="00C669A3"/>
    <w:rsid w:val="00C67757"/>
    <w:rsid w:val="00C71341"/>
    <w:rsid w:val="00C720D9"/>
    <w:rsid w:val="00C7286D"/>
    <w:rsid w:val="00C76A54"/>
    <w:rsid w:val="00C76AB9"/>
    <w:rsid w:val="00C77418"/>
    <w:rsid w:val="00C80533"/>
    <w:rsid w:val="00C80E36"/>
    <w:rsid w:val="00C8181B"/>
    <w:rsid w:val="00C82712"/>
    <w:rsid w:val="00C837A3"/>
    <w:rsid w:val="00C83DF9"/>
    <w:rsid w:val="00C84034"/>
    <w:rsid w:val="00C8550B"/>
    <w:rsid w:val="00C85C58"/>
    <w:rsid w:val="00C90EDA"/>
    <w:rsid w:val="00C915B0"/>
    <w:rsid w:val="00C92E41"/>
    <w:rsid w:val="00C9365C"/>
    <w:rsid w:val="00C937BF"/>
    <w:rsid w:val="00C95F81"/>
    <w:rsid w:val="00C967D3"/>
    <w:rsid w:val="00C96DC8"/>
    <w:rsid w:val="00CA0AFC"/>
    <w:rsid w:val="00CA3C73"/>
    <w:rsid w:val="00CA4776"/>
    <w:rsid w:val="00CA4A92"/>
    <w:rsid w:val="00CA55A3"/>
    <w:rsid w:val="00CA64CE"/>
    <w:rsid w:val="00CB0855"/>
    <w:rsid w:val="00CB17A3"/>
    <w:rsid w:val="00CB1ED3"/>
    <w:rsid w:val="00CB238A"/>
    <w:rsid w:val="00CB40DC"/>
    <w:rsid w:val="00CB6132"/>
    <w:rsid w:val="00CB7ED5"/>
    <w:rsid w:val="00CC02B0"/>
    <w:rsid w:val="00CC216E"/>
    <w:rsid w:val="00CC2628"/>
    <w:rsid w:val="00CC32E5"/>
    <w:rsid w:val="00CC586A"/>
    <w:rsid w:val="00CC59E8"/>
    <w:rsid w:val="00CC6458"/>
    <w:rsid w:val="00CC6F5E"/>
    <w:rsid w:val="00CD0C95"/>
    <w:rsid w:val="00CD10BD"/>
    <w:rsid w:val="00CD18A6"/>
    <w:rsid w:val="00CD2298"/>
    <w:rsid w:val="00CD4459"/>
    <w:rsid w:val="00CD7E50"/>
    <w:rsid w:val="00CE11D8"/>
    <w:rsid w:val="00CE148A"/>
    <w:rsid w:val="00CE15B4"/>
    <w:rsid w:val="00CE375E"/>
    <w:rsid w:val="00CE7E45"/>
    <w:rsid w:val="00CF00C3"/>
    <w:rsid w:val="00CF2EA6"/>
    <w:rsid w:val="00CF2F32"/>
    <w:rsid w:val="00CF4B4A"/>
    <w:rsid w:val="00CF56C8"/>
    <w:rsid w:val="00CF6248"/>
    <w:rsid w:val="00CF67D6"/>
    <w:rsid w:val="00CF6CA9"/>
    <w:rsid w:val="00CF71C4"/>
    <w:rsid w:val="00D024CD"/>
    <w:rsid w:val="00D03DFC"/>
    <w:rsid w:val="00D04408"/>
    <w:rsid w:val="00D05B25"/>
    <w:rsid w:val="00D070D6"/>
    <w:rsid w:val="00D07D6F"/>
    <w:rsid w:val="00D10631"/>
    <w:rsid w:val="00D16FDB"/>
    <w:rsid w:val="00D17737"/>
    <w:rsid w:val="00D17BD2"/>
    <w:rsid w:val="00D21851"/>
    <w:rsid w:val="00D249AF"/>
    <w:rsid w:val="00D26882"/>
    <w:rsid w:val="00D27D39"/>
    <w:rsid w:val="00D31C98"/>
    <w:rsid w:val="00D334B6"/>
    <w:rsid w:val="00D3356F"/>
    <w:rsid w:val="00D336A7"/>
    <w:rsid w:val="00D34AEE"/>
    <w:rsid w:val="00D34E28"/>
    <w:rsid w:val="00D36115"/>
    <w:rsid w:val="00D37222"/>
    <w:rsid w:val="00D378D5"/>
    <w:rsid w:val="00D44CD9"/>
    <w:rsid w:val="00D459F6"/>
    <w:rsid w:val="00D46AA3"/>
    <w:rsid w:val="00D47F6C"/>
    <w:rsid w:val="00D53A7C"/>
    <w:rsid w:val="00D55037"/>
    <w:rsid w:val="00D5533A"/>
    <w:rsid w:val="00D56B7B"/>
    <w:rsid w:val="00D5780F"/>
    <w:rsid w:val="00D60EC2"/>
    <w:rsid w:val="00D638AC"/>
    <w:rsid w:val="00D6466C"/>
    <w:rsid w:val="00D64DF5"/>
    <w:rsid w:val="00D65F70"/>
    <w:rsid w:val="00D70F3C"/>
    <w:rsid w:val="00D72561"/>
    <w:rsid w:val="00D732DE"/>
    <w:rsid w:val="00D733D7"/>
    <w:rsid w:val="00D8220A"/>
    <w:rsid w:val="00D84AD9"/>
    <w:rsid w:val="00D901EE"/>
    <w:rsid w:val="00D907D0"/>
    <w:rsid w:val="00D90A3D"/>
    <w:rsid w:val="00D90B9D"/>
    <w:rsid w:val="00D91612"/>
    <w:rsid w:val="00D91BC5"/>
    <w:rsid w:val="00D94385"/>
    <w:rsid w:val="00D97832"/>
    <w:rsid w:val="00D9785A"/>
    <w:rsid w:val="00D97AC4"/>
    <w:rsid w:val="00DA0625"/>
    <w:rsid w:val="00DA1465"/>
    <w:rsid w:val="00DA22B7"/>
    <w:rsid w:val="00DA3A97"/>
    <w:rsid w:val="00DA4CFA"/>
    <w:rsid w:val="00DA5B21"/>
    <w:rsid w:val="00DB0DEB"/>
    <w:rsid w:val="00DB0ECB"/>
    <w:rsid w:val="00DB2A8E"/>
    <w:rsid w:val="00DB3D94"/>
    <w:rsid w:val="00DB4371"/>
    <w:rsid w:val="00DB48CC"/>
    <w:rsid w:val="00DB5EE4"/>
    <w:rsid w:val="00DB662B"/>
    <w:rsid w:val="00DB6CB4"/>
    <w:rsid w:val="00DC3C1D"/>
    <w:rsid w:val="00DC4410"/>
    <w:rsid w:val="00DC6DAC"/>
    <w:rsid w:val="00DC7527"/>
    <w:rsid w:val="00DC79DF"/>
    <w:rsid w:val="00DD0398"/>
    <w:rsid w:val="00DD0B04"/>
    <w:rsid w:val="00DD21A7"/>
    <w:rsid w:val="00DD3C2A"/>
    <w:rsid w:val="00DD746B"/>
    <w:rsid w:val="00DE0864"/>
    <w:rsid w:val="00DE32A6"/>
    <w:rsid w:val="00DE5459"/>
    <w:rsid w:val="00DE5515"/>
    <w:rsid w:val="00DE6E0B"/>
    <w:rsid w:val="00DE6EFD"/>
    <w:rsid w:val="00DF1808"/>
    <w:rsid w:val="00DF3680"/>
    <w:rsid w:val="00DF635C"/>
    <w:rsid w:val="00E033DB"/>
    <w:rsid w:val="00E04191"/>
    <w:rsid w:val="00E046E9"/>
    <w:rsid w:val="00E070DE"/>
    <w:rsid w:val="00E1005C"/>
    <w:rsid w:val="00E12511"/>
    <w:rsid w:val="00E1404E"/>
    <w:rsid w:val="00E14C92"/>
    <w:rsid w:val="00E22EE8"/>
    <w:rsid w:val="00E231C9"/>
    <w:rsid w:val="00E24365"/>
    <w:rsid w:val="00E2551F"/>
    <w:rsid w:val="00E2589D"/>
    <w:rsid w:val="00E25F2E"/>
    <w:rsid w:val="00E27935"/>
    <w:rsid w:val="00E312D9"/>
    <w:rsid w:val="00E33825"/>
    <w:rsid w:val="00E339C5"/>
    <w:rsid w:val="00E3448E"/>
    <w:rsid w:val="00E35621"/>
    <w:rsid w:val="00E359D8"/>
    <w:rsid w:val="00E37B04"/>
    <w:rsid w:val="00E37B6A"/>
    <w:rsid w:val="00E41F42"/>
    <w:rsid w:val="00E45289"/>
    <w:rsid w:val="00E46C23"/>
    <w:rsid w:val="00E519D4"/>
    <w:rsid w:val="00E51E4D"/>
    <w:rsid w:val="00E53EE5"/>
    <w:rsid w:val="00E54A79"/>
    <w:rsid w:val="00E552F6"/>
    <w:rsid w:val="00E55701"/>
    <w:rsid w:val="00E55831"/>
    <w:rsid w:val="00E5662D"/>
    <w:rsid w:val="00E60A47"/>
    <w:rsid w:val="00E6150E"/>
    <w:rsid w:val="00E647EF"/>
    <w:rsid w:val="00E65C8B"/>
    <w:rsid w:val="00E6631C"/>
    <w:rsid w:val="00E67BE2"/>
    <w:rsid w:val="00E700B8"/>
    <w:rsid w:val="00E706A3"/>
    <w:rsid w:val="00E70AA1"/>
    <w:rsid w:val="00E7467E"/>
    <w:rsid w:val="00E751E2"/>
    <w:rsid w:val="00E7566B"/>
    <w:rsid w:val="00E80939"/>
    <w:rsid w:val="00E81704"/>
    <w:rsid w:val="00E81C23"/>
    <w:rsid w:val="00E834FB"/>
    <w:rsid w:val="00E866E7"/>
    <w:rsid w:val="00E8683C"/>
    <w:rsid w:val="00E86DE4"/>
    <w:rsid w:val="00E91B55"/>
    <w:rsid w:val="00E91E13"/>
    <w:rsid w:val="00E9269F"/>
    <w:rsid w:val="00E930C1"/>
    <w:rsid w:val="00E951F9"/>
    <w:rsid w:val="00E95951"/>
    <w:rsid w:val="00E95FA6"/>
    <w:rsid w:val="00E95FC5"/>
    <w:rsid w:val="00E969C7"/>
    <w:rsid w:val="00E9730F"/>
    <w:rsid w:val="00EA2378"/>
    <w:rsid w:val="00EA2FA3"/>
    <w:rsid w:val="00EB1070"/>
    <w:rsid w:val="00EB4325"/>
    <w:rsid w:val="00EB5B30"/>
    <w:rsid w:val="00EC0772"/>
    <w:rsid w:val="00EC0B7F"/>
    <w:rsid w:val="00EC1DBF"/>
    <w:rsid w:val="00EC2FC6"/>
    <w:rsid w:val="00EC403C"/>
    <w:rsid w:val="00EC47D0"/>
    <w:rsid w:val="00EC47D5"/>
    <w:rsid w:val="00EC4BCF"/>
    <w:rsid w:val="00ED0112"/>
    <w:rsid w:val="00ED1E09"/>
    <w:rsid w:val="00ED2F49"/>
    <w:rsid w:val="00ED4217"/>
    <w:rsid w:val="00ED5325"/>
    <w:rsid w:val="00ED604F"/>
    <w:rsid w:val="00ED6461"/>
    <w:rsid w:val="00ED7C33"/>
    <w:rsid w:val="00EE032D"/>
    <w:rsid w:val="00EE39E3"/>
    <w:rsid w:val="00EF2E4E"/>
    <w:rsid w:val="00EF46DF"/>
    <w:rsid w:val="00EF6E5E"/>
    <w:rsid w:val="00EF7D16"/>
    <w:rsid w:val="00F01345"/>
    <w:rsid w:val="00F01614"/>
    <w:rsid w:val="00F03668"/>
    <w:rsid w:val="00F03FD4"/>
    <w:rsid w:val="00F042BA"/>
    <w:rsid w:val="00F04A9D"/>
    <w:rsid w:val="00F05308"/>
    <w:rsid w:val="00F10A1E"/>
    <w:rsid w:val="00F145DE"/>
    <w:rsid w:val="00F146AC"/>
    <w:rsid w:val="00F147D5"/>
    <w:rsid w:val="00F14D9C"/>
    <w:rsid w:val="00F159B0"/>
    <w:rsid w:val="00F16B01"/>
    <w:rsid w:val="00F17BDA"/>
    <w:rsid w:val="00F17DA5"/>
    <w:rsid w:val="00F20F33"/>
    <w:rsid w:val="00F22193"/>
    <w:rsid w:val="00F22AAF"/>
    <w:rsid w:val="00F23DBF"/>
    <w:rsid w:val="00F30E84"/>
    <w:rsid w:val="00F318E5"/>
    <w:rsid w:val="00F3269F"/>
    <w:rsid w:val="00F3477F"/>
    <w:rsid w:val="00F34E2B"/>
    <w:rsid w:val="00F436AA"/>
    <w:rsid w:val="00F445D8"/>
    <w:rsid w:val="00F44D82"/>
    <w:rsid w:val="00F45717"/>
    <w:rsid w:val="00F46B04"/>
    <w:rsid w:val="00F505D6"/>
    <w:rsid w:val="00F506ED"/>
    <w:rsid w:val="00F54E91"/>
    <w:rsid w:val="00F55780"/>
    <w:rsid w:val="00F56D25"/>
    <w:rsid w:val="00F6094F"/>
    <w:rsid w:val="00F60BC3"/>
    <w:rsid w:val="00F618A8"/>
    <w:rsid w:val="00F635F4"/>
    <w:rsid w:val="00F63DFA"/>
    <w:rsid w:val="00F70A4E"/>
    <w:rsid w:val="00F71606"/>
    <w:rsid w:val="00F775F5"/>
    <w:rsid w:val="00F80404"/>
    <w:rsid w:val="00F84A95"/>
    <w:rsid w:val="00F85A3F"/>
    <w:rsid w:val="00F860DE"/>
    <w:rsid w:val="00F86AA9"/>
    <w:rsid w:val="00F86F75"/>
    <w:rsid w:val="00F87B43"/>
    <w:rsid w:val="00F90CAC"/>
    <w:rsid w:val="00F91BB2"/>
    <w:rsid w:val="00F9531E"/>
    <w:rsid w:val="00F95552"/>
    <w:rsid w:val="00F9573F"/>
    <w:rsid w:val="00FA13E3"/>
    <w:rsid w:val="00FA6A1C"/>
    <w:rsid w:val="00FA791D"/>
    <w:rsid w:val="00FA7ECA"/>
    <w:rsid w:val="00FB0B6A"/>
    <w:rsid w:val="00FB3238"/>
    <w:rsid w:val="00FB59B7"/>
    <w:rsid w:val="00FB7D2A"/>
    <w:rsid w:val="00FC03E5"/>
    <w:rsid w:val="00FC3603"/>
    <w:rsid w:val="00FC3BD0"/>
    <w:rsid w:val="00FC6031"/>
    <w:rsid w:val="00FC76FA"/>
    <w:rsid w:val="00FC7E7D"/>
    <w:rsid w:val="00FD0962"/>
    <w:rsid w:val="00FD1DF7"/>
    <w:rsid w:val="00FD33A9"/>
    <w:rsid w:val="00FD3F5D"/>
    <w:rsid w:val="00FD60E2"/>
    <w:rsid w:val="00FD7E16"/>
    <w:rsid w:val="00FE163C"/>
    <w:rsid w:val="00FE221F"/>
    <w:rsid w:val="00FE235A"/>
    <w:rsid w:val="00FE4726"/>
    <w:rsid w:val="00FE4EC9"/>
    <w:rsid w:val="00FE59A2"/>
    <w:rsid w:val="00FE620C"/>
    <w:rsid w:val="00FE6B21"/>
    <w:rsid w:val="00FE6D3A"/>
    <w:rsid w:val="00FE717D"/>
    <w:rsid w:val="00FF0ED2"/>
    <w:rsid w:val="00FF12E0"/>
    <w:rsid w:val="00FF52DA"/>
    <w:rsid w:val="00FF70B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FB"/>
    <w:pPr>
      <w:spacing w:line="280" w:lineRule="exact"/>
    </w:pPr>
    <w:rPr>
      <w:rFonts w:ascii="Arial" w:hAnsi="Arial"/>
      <w:color w:val="000000"/>
      <w:spacing w:val="6"/>
      <w:sz w:val="18"/>
      <w:szCs w:val="18"/>
      <w:lang w:val="en-GB" w:eastAsia="en-GB"/>
    </w:rPr>
  </w:style>
  <w:style w:type="paragraph" w:styleId="Heading1">
    <w:name w:val="heading 1"/>
    <w:basedOn w:val="Normal"/>
    <w:next w:val="Normal"/>
    <w:qFormat/>
    <w:rsid w:val="002260FB"/>
    <w:pPr>
      <w:keepNext/>
      <w:outlineLvl w:val="0"/>
    </w:pPr>
    <w:rPr>
      <w:rFonts w:cs="Arial"/>
      <w:b/>
      <w:bCs/>
      <w:kern w:val="32"/>
      <w:sz w:val="20"/>
      <w:szCs w:val="20"/>
    </w:rPr>
  </w:style>
  <w:style w:type="paragraph" w:styleId="Heading2">
    <w:name w:val="heading 2"/>
    <w:basedOn w:val="Normal"/>
    <w:next w:val="Normal"/>
    <w:qFormat/>
    <w:rsid w:val="002260FB"/>
    <w:pPr>
      <w:keepNext/>
      <w:outlineLvl w:val="1"/>
    </w:pPr>
    <w:rPr>
      <w:rFonts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60FB"/>
    <w:rPr>
      <w:color w:val="auto"/>
      <w:sz w:val="14"/>
      <w:szCs w:val="14"/>
    </w:rPr>
  </w:style>
  <w:style w:type="paragraph" w:styleId="Header">
    <w:name w:val="header"/>
    <w:basedOn w:val="Normal"/>
    <w:rsid w:val="002260FB"/>
    <w:pPr>
      <w:tabs>
        <w:tab w:val="center" w:pos="4153"/>
        <w:tab w:val="right" w:pos="8306"/>
      </w:tabs>
    </w:pPr>
  </w:style>
  <w:style w:type="character" w:customStyle="1" w:styleId="FooterChar">
    <w:name w:val="Footer Char"/>
    <w:link w:val="Footer"/>
    <w:rsid w:val="002260FB"/>
    <w:rPr>
      <w:rFonts w:ascii="Arial" w:hAnsi="Arial"/>
      <w:spacing w:val="6"/>
      <w:sz w:val="14"/>
      <w:szCs w:val="14"/>
      <w:lang w:val="en-GB" w:eastAsia="en-GB" w:bidi="ar-SA"/>
    </w:rPr>
  </w:style>
  <w:style w:type="character" w:styleId="PageNumber">
    <w:name w:val="page number"/>
    <w:basedOn w:val="DefaultParagraphFont"/>
    <w:rsid w:val="002260FB"/>
  </w:style>
  <w:style w:type="paragraph" w:styleId="FootnoteText">
    <w:name w:val="footnote text"/>
    <w:basedOn w:val="Normal"/>
    <w:link w:val="FootnoteTextChar"/>
    <w:uiPriority w:val="99"/>
    <w:rsid w:val="002260FB"/>
    <w:pPr>
      <w:spacing w:line="240" w:lineRule="auto"/>
    </w:pPr>
    <w:rPr>
      <w:rFonts w:ascii="Times New Roman" w:hAnsi="Times New Roman"/>
      <w:color w:val="auto"/>
      <w:spacing w:val="0"/>
      <w:sz w:val="20"/>
      <w:szCs w:val="20"/>
      <w:lang w:val="en-US" w:eastAsia="en-US"/>
    </w:rPr>
  </w:style>
  <w:style w:type="character" w:styleId="FootnoteReference">
    <w:name w:val="footnote reference"/>
    <w:uiPriority w:val="99"/>
    <w:rsid w:val="002260FB"/>
    <w:rPr>
      <w:vertAlign w:val="superscript"/>
    </w:rPr>
  </w:style>
  <w:style w:type="paragraph" w:styleId="BodyText">
    <w:name w:val="Body Text"/>
    <w:basedOn w:val="Normal"/>
    <w:rsid w:val="002260FB"/>
    <w:pPr>
      <w:spacing w:line="240" w:lineRule="auto"/>
    </w:pPr>
    <w:rPr>
      <w:rFonts w:cs="Arial"/>
      <w:color w:val="auto"/>
      <w:spacing w:val="0"/>
      <w:sz w:val="20"/>
      <w:szCs w:val="24"/>
      <w:lang w:val="en-US" w:eastAsia="en-US"/>
    </w:rPr>
  </w:style>
  <w:style w:type="paragraph" w:styleId="EndnoteText">
    <w:name w:val="endnote text"/>
    <w:basedOn w:val="Normal"/>
    <w:semiHidden/>
    <w:rsid w:val="002260FB"/>
    <w:rPr>
      <w:sz w:val="20"/>
      <w:szCs w:val="20"/>
    </w:rPr>
  </w:style>
  <w:style w:type="character" w:styleId="EndnoteReference">
    <w:name w:val="endnote reference"/>
    <w:semiHidden/>
    <w:rsid w:val="002260FB"/>
    <w:rPr>
      <w:vertAlign w:val="superscript"/>
    </w:rPr>
  </w:style>
  <w:style w:type="character" w:styleId="CommentReference">
    <w:name w:val="annotation reference"/>
    <w:semiHidden/>
    <w:rsid w:val="001E59CB"/>
    <w:rPr>
      <w:sz w:val="16"/>
      <w:szCs w:val="16"/>
    </w:rPr>
  </w:style>
  <w:style w:type="paragraph" w:styleId="BalloonText">
    <w:name w:val="Balloon Text"/>
    <w:basedOn w:val="Normal"/>
    <w:semiHidden/>
    <w:rsid w:val="00CD7E50"/>
    <w:rPr>
      <w:rFonts w:ascii="Tahoma" w:hAnsi="Tahoma" w:cs="Tahoma"/>
      <w:sz w:val="16"/>
      <w:szCs w:val="16"/>
    </w:rPr>
  </w:style>
  <w:style w:type="paragraph" w:styleId="CommentText">
    <w:name w:val="annotation text"/>
    <w:basedOn w:val="Normal"/>
    <w:semiHidden/>
    <w:rsid w:val="00CD7E50"/>
    <w:rPr>
      <w:sz w:val="20"/>
      <w:szCs w:val="20"/>
    </w:rPr>
  </w:style>
  <w:style w:type="paragraph" w:styleId="CommentSubject">
    <w:name w:val="annotation subject"/>
    <w:basedOn w:val="CommentText"/>
    <w:next w:val="CommentText"/>
    <w:semiHidden/>
    <w:rsid w:val="00CD7E50"/>
    <w:rPr>
      <w:b/>
      <w:bCs/>
    </w:rPr>
  </w:style>
  <w:style w:type="table" w:styleId="TableGrid">
    <w:name w:val="Table Grid"/>
    <w:basedOn w:val="TableNormal"/>
    <w:uiPriority w:val="59"/>
    <w:rsid w:val="00CA3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rsid w:val="009D743E"/>
    <w:rPr>
      <w:rFonts w:ascii="Courier New" w:eastAsia="Times New Roman" w:hAnsi="Courier New" w:cs="Courier New"/>
      <w:sz w:val="20"/>
      <w:szCs w:val="20"/>
    </w:rPr>
  </w:style>
  <w:style w:type="paragraph" w:styleId="NormalWeb">
    <w:name w:val="Normal (Web)"/>
    <w:basedOn w:val="Normal"/>
    <w:link w:val="NormalWebChar"/>
    <w:rsid w:val="00D070D6"/>
    <w:pPr>
      <w:spacing w:before="100" w:beforeAutospacing="1" w:after="100" w:afterAutospacing="1" w:line="240" w:lineRule="auto"/>
    </w:pPr>
    <w:rPr>
      <w:rFonts w:ascii="Times New Roman" w:hAnsi="Times New Roman"/>
      <w:spacing w:val="0"/>
      <w:sz w:val="24"/>
      <w:szCs w:val="24"/>
      <w:lang w:val="en-US" w:eastAsia="en-US"/>
    </w:rPr>
  </w:style>
  <w:style w:type="character" w:customStyle="1" w:styleId="highlightedsearchterm">
    <w:name w:val="highlightedsearchterm"/>
    <w:basedOn w:val="DefaultParagraphFont"/>
    <w:rsid w:val="00555964"/>
  </w:style>
  <w:style w:type="character" w:customStyle="1" w:styleId="NormalWebChar">
    <w:name w:val="Normal (Web) Char"/>
    <w:link w:val="NormalWeb"/>
    <w:locked/>
    <w:rsid w:val="00555964"/>
    <w:rPr>
      <w:color w:val="000000"/>
      <w:sz w:val="24"/>
      <w:szCs w:val="24"/>
      <w:lang w:val="en-US" w:eastAsia="en-US" w:bidi="ar-SA"/>
    </w:rPr>
  </w:style>
  <w:style w:type="paragraph" w:customStyle="1" w:styleId="Char">
    <w:name w:val="Char"/>
    <w:basedOn w:val="Normal"/>
    <w:rsid w:val="00113ABC"/>
    <w:pPr>
      <w:spacing w:after="160" w:line="240" w:lineRule="exact"/>
    </w:pPr>
    <w:rPr>
      <w:bCs/>
      <w:color w:val="auto"/>
      <w:spacing w:val="0"/>
      <w:sz w:val="22"/>
      <w:szCs w:val="24"/>
      <w:lang w:val="en-US" w:eastAsia="en-US"/>
    </w:rPr>
  </w:style>
  <w:style w:type="character" w:styleId="Hyperlink">
    <w:name w:val="Hyperlink"/>
    <w:rsid w:val="00113ABC"/>
    <w:rPr>
      <w:b/>
      <w:bCs/>
      <w:strike w:val="0"/>
      <w:dstrike w:val="0"/>
      <w:color w:val="3399CC"/>
      <w:u w:val="none"/>
      <w:effect w:val="none"/>
    </w:rPr>
  </w:style>
  <w:style w:type="character" w:customStyle="1" w:styleId="date-display-single">
    <w:name w:val="date-display-single"/>
    <w:basedOn w:val="DefaultParagraphFont"/>
    <w:rsid w:val="00113ABC"/>
  </w:style>
  <w:style w:type="character" w:styleId="Strong">
    <w:name w:val="Strong"/>
    <w:qFormat/>
    <w:rsid w:val="00113ABC"/>
    <w:rPr>
      <w:b/>
      <w:bCs/>
    </w:rPr>
  </w:style>
  <w:style w:type="character" w:styleId="HTMLCite">
    <w:name w:val="HTML Cite"/>
    <w:rsid w:val="006A37D6"/>
    <w:rPr>
      <w:i/>
      <w:iCs/>
    </w:rPr>
  </w:style>
  <w:style w:type="character" w:styleId="FollowedHyperlink">
    <w:name w:val="FollowedHyperlink"/>
    <w:rsid w:val="00F145DE"/>
    <w:rPr>
      <w:color w:val="800080"/>
      <w:u w:val="single"/>
    </w:rPr>
  </w:style>
  <w:style w:type="paragraph" w:styleId="ListParagraph">
    <w:name w:val="List Paragraph"/>
    <w:basedOn w:val="Normal"/>
    <w:link w:val="ListParagraphChar"/>
    <w:uiPriority w:val="34"/>
    <w:qFormat/>
    <w:rsid w:val="00BF0BAA"/>
    <w:pPr>
      <w:ind w:left="720"/>
    </w:pPr>
  </w:style>
  <w:style w:type="character" w:customStyle="1" w:styleId="ListParagraphChar">
    <w:name w:val="List Paragraph Char"/>
    <w:link w:val="ListParagraph"/>
    <w:uiPriority w:val="34"/>
    <w:locked/>
    <w:rsid w:val="00BA4419"/>
    <w:rPr>
      <w:rFonts w:ascii="Arial" w:hAnsi="Arial"/>
      <w:color w:val="000000"/>
      <w:spacing w:val="6"/>
      <w:sz w:val="18"/>
      <w:szCs w:val="18"/>
      <w:lang w:val="en-GB" w:eastAsia="en-GB"/>
    </w:rPr>
  </w:style>
  <w:style w:type="paragraph" w:customStyle="1" w:styleId="Default">
    <w:name w:val="Default"/>
    <w:rsid w:val="00BA4419"/>
    <w:pPr>
      <w:autoSpaceDE w:val="0"/>
      <w:autoSpaceDN w:val="0"/>
      <w:adjustRightInd w:val="0"/>
    </w:pPr>
    <w:rPr>
      <w:rFonts w:ascii="Arial" w:eastAsia="Calibri" w:hAnsi="Arial" w:cs="Arial"/>
      <w:color w:val="000000"/>
      <w:sz w:val="24"/>
      <w:szCs w:val="24"/>
      <w:lang w:eastAsia="en-US"/>
    </w:rPr>
  </w:style>
  <w:style w:type="character" w:customStyle="1" w:styleId="FootnoteTextChar">
    <w:name w:val="Footnote Text Char"/>
    <w:link w:val="FootnoteText"/>
    <w:uiPriority w:val="99"/>
    <w:rsid w:val="00BA4419"/>
    <w:rPr>
      <w:lang w:val="en-US" w:eastAsia="en-US"/>
    </w:rPr>
  </w:style>
  <w:style w:type="table" w:styleId="ColorfulGrid-Accent5">
    <w:name w:val="Colorful Grid Accent 5"/>
    <w:basedOn w:val="TableNormal"/>
    <w:uiPriority w:val="73"/>
    <w:rsid w:val="00F04A9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st">
    <w:name w:val="st"/>
    <w:basedOn w:val="DefaultParagraphFont"/>
    <w:rsid w:val="001B1348"/>
  </w:style>
  <w:style w:type="table" w:customStyle="1" w:styleId="GridTable2">
    <w:name w:val="Grid Table 2"/>
    <w:basedOn w:val="TableNormal"/>
    <w:uiPriority w:val="47"/>
    <w:rsid w:val="002D72C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1">
    <w:name w:val="Grid Table 5 Dark Accent 1"/>
    <w:basedOn w:val="TableNormal"/>
    <w:uiPriority w:val="50"/>
    <w:rsid w:val="003E4B5D"/>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1Light">
    <w:name w:val="List Table 1 Light"/>
    <w:basedOn w:val="TableNormal"/>
    <w:uiPriority w:val="46"/>
    <w:rsid w:val="003E4B5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3E4B5D"/>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
    <w:name w:val="Grid Table 6 Colorful Accent 1"/>
    <w:basedOn w:val="TableNormal"/>
    <w:uiPriority w:val="51"/>
    <w:rsid w:val="003E4B5D"/>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
    <w:name w:val="Grid Table 1 Light"/>
    <w:basedOn w:val="TableNormal"/>
    <w:uiPriority w:val="46"/>
    <w:rsid w:val="003E4B5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3E4B5D"/>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5Dark">
    <w:name w:val="Grid Table 5 Dark"/>
    <w:basedOn w:val="TableNormal"/>
    <w:uiPriority w:val="50"/>
    <w:rsid w:val="0007561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7Colorful">
    <w:name w:val="List Table 7 Colorful"/>
    <w:basedOn w:val="TableNormal"/>
    <w:uiPriority w:val="52"/>
    <w:rsid w:val="00075614"/>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
    <w:name w:val="Grid Table 4"/>
    <w:basedOn w:val="TableNormal"/>
    <w:uiPriority w:val="49"/>
    <w:rsid w:val="00075614"/>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205217338">
      <w:bodyDiv w:val="1"/>
      <w:marLeft w:val="0"/>
      <w:marRight w:val="0"/>
      <w:marTop w:val="0"/>
      <w:marBottom w:val="0"/>
      <w:divBdr>
        <w:top w:val="none" w:sz="0" w:space="0" w:color="auto"/>
        <w:left w:val="none" w:sz="0" w:space="0" w:color="auto"/>
        <w:bottom w:val="none" w:sz="0" w:space="0" w:color="auto"/>
        <w:right w:val="none" w:sz="0" w:space="0" w:color="auto"/>
      </w:divBdr>
      <w:divsChild>
        <w:div w:id="1067924101">
          <w:marLeft w:val="-7425"/>
          <w:marRight w:val="0"/>
          <w:marTop w:val="0"/>
          <w:marBottom w:val="0"/>
          <w:divBdr>
            <w:top w:val="none" w:sz="0" w:space="0" w:color="auto"/>
            <w:left w:val="none" w:sz="0" w:space="0" w:color="auto"/>
            <w:bottom w:val="none" w:sz="0" w:space="0" w:color="auto"/>
            <w:right w:val="none" w:sz="0" w:space="0" w:color="auto"/>
          </w:divBdr>
          <w:divsChild>
            <w:div w:id="1902475741">
              <w:marLeft w:val="0"/>
              <w:marRight w:val="0"/>
              <w:marTop w:val="0"/>
              <w:marBottom w:val="0"/>
              <w:divBdr>
                <w:top w:val="none" w:sz="0" w:space="0" w:color="auto"/>
                <w:left w:val="none" w:sz="0" w:space="0" w:color="auto"/>
                <w:bottom w:val="none" w:sz="0" w:space="0" w:color="auto"/>
                <w:right w:val="none" w:sz="0" w:space="0" w:color="auto"/>
              </w:divBdr>
              <w:divsChild>
                <w:div w:id="1760565350">
                  <w:marLeft w:val="0"/>
                  <w:marRight w:val="0"/>
                  <w:marTop w:val="0"/>
                  <w:marBottom w:val="225"/>
                  <w:divBdr>
                    <w:top w:val="none" w:sz="0" w:space="0" w:color="auto"/>
                    <w:left w:val="none" w:sz="0" w:space="0" w:color="auto"/>
                    <w:bottom w:val="none" w:sz="0" w:space="0" w:color="auto"/>
                    <w:right w:val="none" w:sz="0" w:space="0" w:color="auto"/>
                  </w:divBdr>
                  <w:divsChild>
                    <w:div w:id="345137445">
                      <w:marLeft w:val="0"/>
                      <w:marRight w:val="0"/>
                      <w:marTop w:val="0"/>
                      <w:marBottom w:val="0"/>
                      <w:divBdr>
                        <w:top w:val="none" w:sz="0" w:space="0" w:color="auto"/>
                        <w:left w:val="none" w:sz="0" w:space="0" w:color="auto"/>
                        <w:bottom w:val="single" w:sz="6" w:space="15" w:color="DDDDDD"/>
                        <w:right w:val="none" w:sz="0" w:space="0" w:color="auto"/>
                      </w:divBdr>
                      <w:divsChild>
                        <w:div w:id="173041695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283439">
      <w:bodyDiv w:val="1"/>
      <w:marLeft w:val="0"/>
      <w:marRight w:val="0"/>
      <w:marTop w:val="0"/>
      <w:marBottom w:val="0"/>
      <w:divBdr>
        <w:top w:val="none" w:sz="0" w:space="0" w:color="auto"/>
        <w:left w:val="none" w:sz="0" w:space="0" w:color="auto"/>
        <w:bottom w:val="none" w:sz="0" w:space="0" w:color="auto"/>
        <w:right w:val="none" w:sz="0" w:space="0" w:color="auto"/>
      </w:divBdr>
    </w:div>
    <w:div w:id="1011760609">
      <w:bodyDiv w:val="1"/>
      <w:marLeft w:val="0"/>
      <w:marRight w:val="0"/>
      <w:marTop w:val="0"/>
      <w:marBottom w:val="0"/>
      <w:divBdr>
        <w:top w:val="none" w:sz="0" w:space="0" w:color="auto"/>
        <w:left w:val="none" w:sz="0" w:space="0" w:color="auto"/>
        <w:bottom w:val="none" w:sz="0" w:space="0" w:color="auto"/>
        <w:right w:val="none" w:sz="0" w:space="0" w:color="auto"/>
      </w:divBdr>
      <w:divsChild>
        <w:div w:id="759569411">
          <w:marLeft w:val="0"/>
          <w:marRight w:val="0"/>
          <w:marTop w:val="0"/>
          <w:marBottom w:val="0"/>
          <w:divBdr>
            <w:top w:val="none" w:sz="0" w:space="0" w:color="auto"/>
            <w:left w:val="none" w:sz="0" w:space="0" w:color="auto"/>
            <w:bottom w:val="none" w:sz="0" w:space="0" w:color="auto"/>
            <w:right w:val="none" w:sz="0" w:space="0" w:color="auto"/>
          </w:divBdr>
          <w:divsChild>
            <w:div w:id="519200866">
              <w:marLeft w:val="0"/>
              <w:marRight w:val="-5850"/>
              <w:marTop w:val="0"/>
              <w:marBottom w:val="0"/>
              <w:divBdr>
                <w:top w:val="none" w:sz="0" w:space="0" w:color="auto"/>
                <w:left w:val="none" w:sz="0" w:space="0" w:color="auto"/>
                <w:bottom w:val="none" w:sz="0" w:space="0" w:color="auto"/>
                <w:right w:val="none" w:sz="0" w:space="0" w:color="auto"/>
              </w:divBdr>
              <w:divsChild>
                <w:div w:id="865868766">
                  <w:marLeft w:val="750"/>
                  <w:marRight w:val="5700"/>
                  <w:marTop w:val="0"/>
                  <w:marBottom w:val="0"/>
                  <w:divBdr>
                    <w:top w:val="none" w:sz="0" w:space="0" w:color="auto"/>
                    <w:left w:val="none" w:sz="0" w:space="0" w:color="auto"/>
                    <w:bottom w:val="none" w:sz="0" w:space="0" w:color="auto"/>
                    <w:right w:val="none" w:sz="0" w:space="0" w:color="auto"/>
                  </w:divBdr>
                  <w:divsChild>
                    <w:div w:id="1879856032">
                      <w:marLeft w:val="0"/>
                      <w:marRight w:val="0"/>
                      <w:marTop w:val="0"/>
                      <w:marBottom w:val="0"/>
                      <w:divBdr>
                        <w:top w:val="none" w:sz="0" w:space="0" w:color="auto"/>
                        <w:left w:val="none" w:sz="0" w:space="0" w:color="auto"/>
                        <w:bottom w:val="none" w:sz="0" w:space="0" w:color="auto"/>
                        <w:right w:val="none" w:sz="0" w:space="0" w:color="auto"/>
                      </w:divBdr>
                      <w:divsChild>
                        <w:div w:id="1280335344">
                          <w:marLeft w:val="0"/>
                          <w:marRight w:val="0"/>
                          <w:marTop w:val="0"/>
                          <w:marBottom w:val="0"/>
                          <w:divBdr>
                            <w:top w:val="none" w:sz="0" w:space="0" w:color="auto"/>
                            <w:left w:val="none" w:sz="0" w:space="0" w:color="auto"/>
                            <w:bottom w:val="none" w:sz="0" w:space="0" w:color="auto"/>
                            <w:right w:val="none" w:sz="0" w:space="0" w:color="auto"/>
                          </w:divBdr>
                          <w:divsChild>
                            <w:div w:id="374742584">
                              <w:marLeft w:val="0"/>
                              <w:marRight w:val="0"/>
                              <w:marTop w:val="0"/>
                              <w:marBottom w:val="0"/>
                              <w:divBdr>
                                <w:top w:val="none" w:sz="0" w:space="0" w:color="auto"/>
                                <w:left w:val="none" w:sz="0" w:space="0" w:color="auto"/>
                                <w:bottom w:val="none" w:sz="0" w:space="0" w:color="auto"/>
                                <w:right w:val="none" w:sz="0" w:space="0" w:color="auto"/>
                              </w:divBdr>
                            </w:div>
                            <w:div w:id="16934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735332">
      <w:bodyDiv w:val="1"/>
      <w:marLeft w:val="0"/>
      <w:marRight w:val="0"/>
      <w:marTop w:val="0"/>
      <w:marBottom w:val="0"/>
      <w:divBdr>
        <w:top w:val="none" w:sz="0" w:space="0" w:color="auto"/>
        <w:left w:val="none" w:sz="0" w:space="0" w:color="auto"/>
        <w:bottom w:val="none" w:sz="0" w:space="0" w:color="auto"/>
        <w:right w:val="none" w:sz="0" w:space="0" w:color="auto"/>
      </w:divBdr>
    </w:div>
    <w:div w:id="1268192492">
      <w:bodyDiv w:val="1"/>
      <w:marLeft w:val="0"/>
      <w:marRight w:val="0"/>
      <w:marTop w:val="0"/>
      <w:marBottom w:val="0"/>
      <w:divBdr>
        <w:top w:val="none" w:sz="0" w:space="0" w:color="auto"/>
        <w:left w:val="none" w:sz="0" w:space="0" w:color="auto"/>
        <w:bottom w:val="none" w:sz="0" w:space="0" w:color="auto"/>
        <w:right w:val="none" w:sz="0" w:space="0" w:color="auto"/>
      </w:divBdr>
    </w:div>
    <w:div w:id="1286933278">
      <w:bodyDiv w:val="1"/>
      <w:marLeft w:val="0"/>
      <w:marRight w:val="0"/>
      <w:marTop w:val="0"/>
      <w:marBottom w:val="0"/>
      <w:divBdr>
        <w:top w:val="none" w:sz="0" w:space="0" w:color="auto"/>
        <w:left w:val="none" w:sz="0" w:space="0" w:color="auto"/>
        <w:bottom w:val="none" w:sz="0" w:space="0" w:color="auto"/>
        <w:right w:val="none" w:sz="0" w:space="0" w:color="auto"/>
      </w:divBdr>
    </w:div>
    <w:div w:id="1325360503">
      <w:bodyDiv w:val="1"/>
      <w:marLeft w:val="0"/>
      <w:marRight w:val="0"/>
      <w:marTop w:val="0"/>
      <w:marBottom w:val="0"/>
      <w:divBdr>
        <w:top w:val="none" w:sz="0" w:space="0" w:color="auto"/>
        <w:left w:val="none" w:sz="0" w:space="0" w:color="auto"/>
        <w:bottom w:val="none" w:sz="0" w:space="0" w:color="auto"/>
        <w:right w:val="none" w:sz="0" w:space="0" w:color="auto"/>
      </w:divBdr>
      <w:divsChild>
        <w:div w:id="301233616">
          <w:marLeft w:val="0"/>
          <w:marRight w:val="0"/>
          <w:marTop w:val="0"/>
          <w:marBottom w:val="0"/>
          <w:divBdr>
            <w:top w:val="none" w:sz="0" w:space="0" w:color="auto"/>
            <w:left w:val="none" w:sz="0" w:space="0" w:color="auto"/>
            <w:bottom w:val="none" w:sz="0" w:space="0" w:color="auto"/>
            <w:right w:val="none" w:sz="0" w:space="0" w:color="auto"/>
          </w:divBdr>
          <w:divsChild>
            <w:div w:id="1820223876">
              <w:marLeft w:val="0"/>
              <w:marRight w:val="0"/>
              <w:marTop w:val="0"/>
              <w:marBottom w:val="0"/>
              <w:divBdr>
                <w:top w:val="none" w:sz="0" w:space="0" w:color="auto"/>
                <w:left w:val="none" w:sz="0" w:space="0" w:color="auto"/>
                <w:bottom w:val="none" w:sz="0" w:space="0" w:color="auto"/>
                <w:right w:val="none" w:sz="0" w:space="0" w:color="auto"/>
              </w:divBdr>
              <w:divsChild>
                <w:div w:id="415326905">
                  <w:marLeft w:val="0"/>
                  <w:marRight w:val="0"/>
                  <w:marTop w:val="0"/>
                  <w:marBottom w:val="0"/>
                  <w:divBdr>
                    <w:top w:val="none" w:sz="0" w:space="0" w:color="auto"/>
                    <w:left w:val="none" w:sz="0" w:space="0" w:color="auto"/>
                    <w:bottom w:val="none" w:sz="0" w:space="0" w:color="auto"/>
                    <w:right w:val="none" w:sz="0" w:space="0" w:color="auto"/>
                  </w:divBdr>
                  <w:divsChild>
                    <w:div w:id="169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06344">
      <w:bodyDiv w:val="1"/>
      <w:marLeft w:val="0"/>
      <w:marRight w:val="0"/>
      <w:marTop w:val="0"/>
      <w:marBottom w:val="0"/>
      <w:divBdr>
        <w:top w:val="none" w:sz="0" w:space="0" w:color="auto"/>
        <w:left w:val="none" w:sz="0" w:space="0" w:color="auto"/>
        <w:bottom w:val="none" w:sz="0" w:space="0" w:color="auto"/>
        <w:right w:val="none" w:sz="0" w:space="0" w:color="auto"/>
      </w:divBdr>
      <w:divsChild>
        <w:div w:id="293341050">
          <w:marLeft w:val="0"/>
          <w:marRight w:val="0"/>
          <w:marTop w:val="0"/>
          <w:marBottom w:val="0"/>
          <w:divBdr>
            <w:top w:val="none" w:sz="0" w:space="0" w:color="auto"/>
            <w:left w:val="none" w:sz="0" w:space="0" w:color="auto"/>
            <w:bottom w:val="none" w:sz="0" w:space="0" w:color="auto"/>
            <w:right w:val="none" w:sz="0" w:space="0" w:color="auto"/>
          </w:divBdr>
          <w:divsChild>
            <w:div w:id="184367992">
              <w:marLeft w:val="0"/>
              <w:marRight w:val="-5850"/>
              <w:marTop w:val="0"/>
              <w:marBottom w:val="0"/>
              <w:divBdr>
                <w:top w:val="none" w:sz="0" w:space="0" w:color="auto"/>
                <w:left w:val="none" w:sz="0" w:space="0" w:color="auto"/>
                <w:bottom w:val="none" w:sz="0" w:space="0" w:color="auto"/>
                <w:right w:val="none" w:sz="0" w:space="0" w:color="auto"/>
              </w:divBdr>
              <w:divsChild>
                <w:div w:id="922375735">
                  <w:marLeft w:val="750"/>
                  <w:marRight w:val="5700"/>
                  <w:marTop w:val="0"/>
                  <w:marBottom w:val="0"/>
                  <w:divBdr>
                    <w:top w:val="none" w:sz="0" w:space="0" w:color="auto"/>
                    <w:left w:val="none" w:sz="0" w:space="0" w:color="auto"/>
                    <w:bottom w:val="none" w:sz="0" w:space="0" w:color="auto"/>
                    <w:right w:val="none" w:sz="0" w:space="0" w:color="auto"/>
                  </w:divBdr>
                  <w:divsChild>
                    <w:div w:id="347294403">
                      <w:marLeft w:val="0"/>
                      <w:marRight w:val="0"/>
                      <w:marTop w:val="0"/>
                      <w:marBottom w:val="0"/>
                      <w:divBdr>
                        <w:top w:val="none" w:sz="0" w:space="0" w:color="auto"/>
                        <w:left w:val="none" w:sz="0" w:space="0" w:color="auto"/>
                        <w:bottom w:val="none" w:sz="0" w:space="0" w:color="auto"/>
                        <w:right w:val="none" w:sz="0" w:space="0" w:color="auto"/>
                      </w:divBdr>
                      <w:divsChild>
                        <w:div w:id="722826616">
                          <w:marLeft w:val="0"/>
                          <w:marRight w:val="0"/>
                          <w:marTop w:val="0"/>
                          <w:marBottom w:val="0"/>
                          <w:divBdr>
                            <w:top w:val="none" w:sz="0" w:space="0" w:color="auto"/>
                            <w:left w:val="none" w:sz="0" w:space="0" w:color="auto"/>
                            <w:bottom w:val="none" w:sz="0" w:space="0" w:color="auto"/>
                            <w:right w:val="none" w:sz="0" w:space="0" w:color="auto"/>
                          </w:divBdr>
                          <w:divsChild>
                            <w:div w:id="5834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129941">
      <w:bodyDiv w:val="1"/>
      <w:marLeft w:val="0"/>
      <w:marRight w:val="0"/>
      <w:marTop w:val="0"/>
      <w:marBottom w:val="0"/>
      <w:divBdr>
        <w:top w:val="none" w:sz="0" w:space="0" w:color="auto"/>
        <w:left w:val="none" w:sz="0" w:space="0" w:color="auto"/>
        <w:bottom w:val="none" w:sz="0" w:space="0" w:color="auto"/>
        <w:right w:val="none" w:sz="0" w:space="0" w:color="auto"/>
      </w:divBdr>
      <w:divsChild>
        <w:div w:id="290524256">
          <w:marLeft w:val="0"/>
          <w:marRight w:val="0"/>
          <w:marTop w:val="0"/>
          <w:marBottom w:val="0"/>
          <w:divBdr>
            <w:top w:val="none" w:sz="0" w:space="0" w:color="auto"/>
            <w:left w:val="none" w:sz="0" w:space="0" w:color="auto"/>
            <w:bottom w:val="none" w:sz="0" w:space="0" w:color="auto"/>
            <w:right w:val="none" w:sz="0" w:space="0" w:color="auto"/>
          </w:divBdr>
          <w:divsChild>
            <w:div w:id="1115907340">
              <w:marLeft w:val="0"/>
              <w:marRight w:val="0"/>
              <w:marTop w:val="0"/>
              <w:marBottom w:val="0"/>
              <w:divBdr>
                <w:top w:val="none" w:sz="0" w:space="0" w:color="auto"/>
                <w:left w:val="none" w:sz="0" w:space="0" w:color="auto"/>
                <w:bottom w:val="none" w:sz="0" w:space="0" w:color="auto"/>
                <w:right w:val="none" w:sz="0" w:space="0" w:color="auto"/>
              </w:divBdr>
              <w:divsChild>
                <w:div w:id="625741620">
                  <w:marLeft w:val="0"/>
                  <w:marRight w:val="0"/>
                  <w:marTop w:val="0"/>
                  <w:marBottom w:val="0"/>
                  <w:divBdr>
                    <w:top w:val="none" w:sz="0" w:space="0" w:color="auto"/>
                    <w:left w:val="none" w:sz="0" w:space="0" w:color="auto"/>
                    <w:bottom w:val="none" w:sz="0" w:space="0" w:color="auto"/>
                    <w:right w:val="none" w:sz="0" w:space="0" w:color="auto"/>
                  </w:divBdr>
                  <w:divsChild>
                    <w:div w:id="848762382">
                      <w:marLeft w:val="0"/>
                      <w:marRight w:val="0"/>
                      <w:marTop w:val="0"/>
                      <w:marBottom w:val="0"/>
                      <w:divBdr>
                        <w:top w:val="none" w:sz="0" w:space="0" w:color="auto"/>
                        <w:left w:val="none" w:sz="0" w:space="0" w:color="auto"/>
                        <w:bottom w:val="none" w:sz="0" w:space="0" w:color="auto"/>
                        <w:right w:val="none" w:sz="0" w:space="0" w:color="auto"/>
                      </w:divBdr>
                      <w:divsChild>
                        <w:div w:id="6108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4811">
      <w:bodyDiv w:val="1"/>
      <w:marLeft w:val="0"/>
      <w:marRight w:val="0"/>
      <w:marTop w:val="0"/>
      <w:marBottom w:val="0"/>
      <w:divBdr>
        <w:top w:val="none" w:sz="0" w:space="0" w:color="auto"/>
        <w:left w:val="none" w:sz="0" w:space="0" w:color="auto"/>
        <w:bottom w:val="none" w:sz="0" w:space="0" w:color="auto"/>
        <w:right w:val="none" w:sz="0" w:space="0" w:color="auto"/>
      </w:divBdr>
    </w:div>
    <w:div w:id="1515532163">
      <w:bodyDiv w:val="1"/>
      <w:marLeft w:val="0"/>
      <w:marRight w:val="0"/>
      <w:marTop w:val="0"/>
      <w:marBottom w:val="0"/>
      <w:divBdr>
        <w:top w:val="none" w:sz="0" w:space="0" w:color="auto"/>
        <w:left w:val="none" w:sz="0" w:space="0" w:color="auto"/>
        <w:bottom w:val="none" w:sz="0" w:space="0" w:color="auto"/>
        <w:right w:val="none" w:sz="0" w:space="0" w:color="auto"/>
      </w:divBdr>
    </w:div>
    <w:div w:id="1822426464">
      <w:bodyDiv w:val="1"/>
      <w:marLeft w:val="0"/>
      <w:marRight w:val="0"/>
      <w:marTop w:val="0"/>
      <w:marBottom w:val="0"/>
      <w:divBdr>
        <w:top w:val="none" w:sz="0" w:space="0" w:color="auto"/>
        <w:left w:val="none" w:sz="0" w:space="0" w:color="auto"/>
        <w:bottom w:val="none" w:sz="0" w:space="0" w:color="auto"/>
        <w:right w:val="none" w:sz="0" w:space="0" w:color="auto"/>
      </w:divBdr>
    </w:div>
    <w:div w:id="1930383248">
      <w:bodyDiv w:val="1"/>
      <w:marLeft w:val="0"/>
      <w:marRight w:val="0"/>
      <w:marTop w:val="0"/>
      <w:marBottom w:val="0"/>
      <w:divBdr>
        <w:top w:val="none" w:sz="0" w:space="0" w:color="auto"/>
        <w:left w:val="none" w:sz="0" w:space="0" w:color="auto"/>
        <w:bottom w:val="none" w:sz="0" w:space="0" w:color="auto"/>
        <w:right w:val="none" w:sz="0" w:space="0" w:color="auto"/>
      </w:divBdr>
      <w:divsChild>
        <w:div w:id="1414275808">
          <w:marLeft w:val="-7425"/>
          <w:marRight w:val="0"/>
          <w:marTop w:val="0"/>
          <w:marBottom w:val="0"/>
          <w:divBdr>
            <w:top w:val="none" w:sz="0" w:space="0" w:color="auto"/>
            <w:left w:val="none" w:sz="0" w:space="0" w:color="auto"/>
            <w:bottom w:val="none" w:sz="0" w:space="0" w:color="auto"/>
            <w:right w:val="none" w:sz="0" w:space="0" w:color="auto"/>
          </w:divBdr>
          <w:divsChild>
            <w:div w:id="1097865940">
              <w:marLeft w:val="0"/>
              <w:marRight w:val="0"/>
              <w:marTop w:val="0"/>
              <w:marBottom w:val="0"/>
              <w:divBdr>
                <w:top w:val="none" w:sz="0" w:space="0" w:color="auto"/>
                <w:left w:val="none" w:sz="0" w:space="0" w:color="auto"/>
                <w:bottom w:val="none" w:sz="0" w:space="0" w:color="auto"/>
                <w:right w:val="none" w:sz="0" w:space="0" w:color="auto"/>
              </w:divBdr>
              <w:divsChild>
                <w:div w:id="1378622103">
                  <w:marLeft w:val="0"/>
                  <w:marRight w:val="0"/>
                  <w:marTop w:val="0"/>
                  <w:marBottom w:val="225"/>
                  <w:divBdr>
                    <w:top w:val="none" w:sz="0" w:space="0" w:color="auto"/>
                    <w:left w:val="none" w:sz="0" w:space="0" w:color="auto"/>
                    <w:bottom w:val="none" w:sz="0" w:space="0" w:color="auto"/>
                    <w:right w:val="none" w:sz="0" w:space="0" w:color="auto"/>
                  </w:divBdr>
                  <w:divsChild>
                    <w:div w:id="900674142">
                      <w:marLeft w:val="0"/>
                      <w:marRight w:val="0"/>
                      <w:marTop w:val="0"/>
                      <w:marBottom w:val="0"/>
                      <w:divBdr>
                        <w:top w:val="none" w:sz="0" w:space="0" w:color="auto"/>
                        <w:left w:val="none" w:sz="0" w:space="0" w:color="auto"/>
                        <w:bottom w:val="single" w:sz="6" w:space="15" w:color="DDDDDD"/>
                        <w:right w:val="none" w:sz="0" w:space="0" w:color="auto"/>
                      </w:divBdr>
                      <w:divsChild>
                        <w:div w:id="33299947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88308">
      <w:bodyDiv w:val="1"/>
      <w:marLeft w:val="0"/>
      <w:marRight w:val="0"/>
      <w:marTop w:val="0"/>
      <w:marBottom w:val="0"/>
      <w:divBdr>
        <w:top w:val="none" w:sz="0" w:space="0" w:color="auto"/>
        <w:left w:val="none" w:sz="0" w:space="0" w:color="auto"/>
        <w:bottom w:val="none" w:sz="0" w:space="0" w:color="auto"/>
        <w:right w:val="none" w:sz="0" w:space="0" w:color="auto"/>
      </w:divBdr>
    </w:div>
    <w:div w:id="2078474784">
      <w:bodyDiv w:val="1"/>
      <w:marLeft w:val="0"/>
      <w:marRight w:val="0"/>
      <w:marTop w:val="0"/>
      <w:marBottom w:val="0"/>
      <w:divBdr>
        <w:top w:val="none" w:sz="0" w:space="0" w:color="auto"/>
        <w:left w:val="none" w:sz="0" w:space="0" w:color="auto"/>
        <w:bottom w:val="none" w:sz="0" w:space="0" w:color="auto"/>
        <w:right w:val="none" w:sz="0" w:space="0" w:color="auto"/>
      </w:divBdr>
    </w:div>
    <w:div w:id="2079206311">
      <w:bodyDiv w:val="1"/>
      <w:marLeft w:val="0"/>
      <w:marRight w:val="0"/>
      <w:marTop w:val="100"/>
      <w:marBottom w:val="100"/>
      <w:divBdr>
        <w:top w:val="none" w:sz="0" w:space="0" w:color="auto"/>
        <w:left w:val="none" w:sz="0" w:space="0" w:color="auto"/>
        <w:bottom w:val="none" w:sz="0" w:space="0" w:color="auto"/>
        <w:right w:val="none" w:sz="0" w:space="0" w:color="auto"/>
      </w:divBdr>
      <w:divsChild>
        <w:div w:id="159778516">
          <w:marLeft w:val="0"/>
          <w:marRight w:val="0"/>
          <w:marTop w:val="0"/>
          <w:marBottom w:val="0"/>
          <w:divBdr>
            <w:top w:val="none" w:sz="0" w:space="0" w:color="auto"/>
            <w:left w:val="none" w:sz="0" w:space="0" w:color="auto"/>
            <w:bottom w:val="none" w:sz="0" w:space="0" w:color="auto"/>
            <w:right w:val="none" w:sz="0" w:space="0" w:color="auto"/>
          </w:divBdr>
          <w:divsChild>
            <w:div w:id="1237713123">
              <w:marLeft w:val="0"/>
              <w:marRight w:val="0"/>
              <w:marTop w:val="100"/>
              <w:marBottom w:val="100"/>
              <w:divBdr>
                <w:top w:val="none" w:sz="0" w:space="0" w:color="auto"/>
                <w:left w:val="none" w:sz="0" w:space="0" w:color="auto"/>
                <w:bottom w:val="none" w:sz="0" w:space="0" w:color="auto"/>
                <w:right w:val="none" w:sz="0" w:space="0" w:color="auto"/>
              </w:divBdr>
              <w:divsChild>
                <w:div w:id="8492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E3D1B-1754-44D3-85A2-BDA9DC92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2941</Words>
  <Characters>15753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Department of Communications</vt:lpstr>
    </vt:vector>
  </TitlesOfParts>
  <Company>Parliament of South Africa</Company>
  <LinksUpToDate>false</LinksUpToDate>
  <CharactersWithSpaces>18657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Communications</dc:title>
  <dc:creator>Ekhsaan Jawoodeen</dc:creator>
  <cp:lastModifiedBy>PUMZA</cp:lastModifiedBy>
  <cp:revision>2</cp:revision>
  <cp:lastPrinted>2015-08-31T12:39:00Z</cp:lastPrinted>
  <dcterms:created xsi:type="dcterms:W3CDTF">2015-10-22T10:53:00Z</dcterms:created>
  <dcterms:modified xsi:type="dcterms:W3CDTF">2015-10-22T10:53:00Z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ingToolsShownOnce">
    <vt:lpwstr/>
  </property>
</Properties>
</file>