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1D" w:rsidRPr="00311B66" w:rsidRDefault="00FB611D" w:rsidP="00FB611D">
      <w:r>
        <w:rPr>
          <w:noProof/>
          <w:lang w:val="en-US"/>
        </w:rPr>
        <w:drawing>
          <wp:anchor distT="0" distB="0" distL="114300" distR="114300" simplePos="0" relativeHeight="251659264" behindDoc="1" locked="0" layoutInCell="1" allowOverlap="1">
            <wp:simplePos x="0" y="0"/>
            <wp:positionH relativeFrom="column">
              <wp:posOffset>-800100</wp:posOffset>
            </wp:positionH>
            <wp:positionV relativeFrom="paragraph">
              <wp:posOffset>-692150</wp:posOffset>
            </wp:positionV>
            <wp:extent cx="7324725" cy="1628775"/>
            <wp:effectExtent l="0" t="0" r="9525" b="9525"/>
            <wp:wrapNone/>
            <wp:docPr id="4" name="Picture 4" descr="Fedusa Lh new 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usa Lh new Cap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149" t="3928" b="80812"/>
                    <a:stretch>
                      <a:fillRect/>
                    </a:stretch>
                  </pic:blipFill>
                  <pic:spPr bwMode="auto">
                    <a:xfrm>
                      <a:off x="0" y="0"/>
                      <a:ext cx="7324725" cy="1628775"/>
                    </a:xfrm>
                    <a:prstGeom prst="rect">
                      <a:avLst/>
                    </a:prstGeom>
                    <a:noFill/>
                    <a:ln>
                      <a:noFill/>
                    </a:ln>
                  </pic:spPr>
                </pic:pic>
              </a:graphicData>
            </a:graphic>
          </wp:anchor>
        </w:drawing>
      </w:r>
    </w:p>
    <w:p w:rsidR="00FB611D" w:rsidRDefault="00FB611D" w:rsidP="00FB611D"/>
    <w:p w:rsidR="00FB611D" w:rsidRDefault="00FB611D" w:rsidP="00FB611D"/>
    <w:p w:rsidR="00FB611D" w:rsidRDefault="00FB611D" w:rsidP="00FB611D"/>
    <w:p w:rsidR="00FB611D" w:rsidRDefault="00FB611D" w:rsidP="00FB611D"/>
    <w:p w:rsidR="00FB611D" w:rsidRDefault="00FB611D" w:rsidP="00FB611D">
      <w:pPr>
        <w:rPr>
          <w:rFonts w:ascii="Arial Narrow" w:hAnsi="Arial Narrow"/>
          <w:b/>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537E09" w:rsidP="00FB611D">
      <w:pPr>
        <w:rPr>
          <w:rFonts w:ascii="Arial Narrow" w:hAnsi="Arial Narrow"/>
          <w:bCs/>
          <w:szCs w:val="24"/>
        </w:rPr>
      </w:pPr>
      <w:r>
        <w:rPr>
          <w:rFonts w:ascii="Arial Narrow" w:hAnsi="Arial Narrow"/>
          <w:bCs/>
          <w:noProof/>
          <w:szCs w:val="24"/>
          <w:lang w:val="en-US"/>
        </w:rPr>
        <w:pict>
          <v:shapetype id="_x0000_t202" coordsize="21600,21600" o:spt="202" path="m,l,21600r21600,l21600,xe">
            <v:stroke joinstyle="miter"/>
            <v:path gradientshapeok="t" o:connecttype="rect"/>
          </v:shapetype>
          <v:shape id="Text Box 2" o:spid="_x0000_s1026" type="#_x0000_t202" style="position:absolute;margin-left:13.05pt;margin-top:4.65pt;width:414pt;height:5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x8MAIAAF0EAAAOAAAAZHJzL2Uyb0RvYy54bWysVNtu2zAMfR+wfxD0vtjxkjYz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" strokeweight="5pt">
            <v:stroke linestyle="thinThin"/>
            <v:textbox>
              <w:txbxContent>
                <w:p w:rsidR="00B32EFA" w:rsidRDefault="00B32EFA" w:rsidP="00FB611D"/>
                <w:p w:rsidR="00B32EFA" w:rsidRDefault="00B32EFA" w:rsidP="00FB611D"/>
                <w:p w:rsidR="00B32EFA" w:rsidRDefault="00B32EFA" w:rsidP="00FB611D"/>
                <w:p w:rsidR="00B32EFA" w:rsidRDefault="00B32EFA" w:rsidP="00FB611D"/>
                <w:p w:rsidR="00B32EFA" w:rsidRPr="00B64D5B" w:rsidRDefault="00B32EFA" w:rsidP="00FB611D">
                  <w:pPr>
                    <w:jc w:val="center"/>
                    <w:rPr>
                      <w:rFonts w:ascii="Arial Narrow" w:hAnsi="Arial Narrow"/>
                      <w:b/>
                      <w:sz w:val="44"/>
                      <w:szCs w:val="44"/>
                      <w:u w:val="single"/>
                    </w:rPr>
                  </w:pPr>
                  <w:r>
                    <w:rPr>
                      <w:rFonts w:ascii="Arial Narrow" w:hAnsi="Arial Narrow"/>
                      <w:b/>
                      <w:sz w:val="44"/>
                      <w:szCs w:val="44"/>
                      <w:u w:val="single"/>
                    </w:rPr>
                    <w:t>FEDUSA SUBMISSION ON THE BUDGET 2015</w:t>
                  </w:r>
                  <w:r w:rsidRPr="00B64D5B">
                    <w:rPr>
                      <w:rFonts w:ascii="Arial Narrow" w:hAnsi="Arial Narrow"/>
                      <w:b/>
                      <w:sz w:val="44"/>
                      <w:szCs w:val="44"/>
                      <w:u w:val="single"/>
                    </w:rPr>
                    <w:t xml:space="preserve"> </w:t>
                  </w:r>
                </w:p>
                <w:p w:rsidR="00B32EFA" w:rsidRPr="00B64D5B" w:rsidRDefault="00B32EFA" w:rsidP="00FB611D">
                  <w:pPr>
                    <w:rPr>
                      <w:rFonts w:ascii="Arial Narrow" w:hAnsi="Arial Narrow"/>
                      <w:sz w:val="44"/>
                      <w:szCs w:val="44"/>
                    </w:rPr>
                  </w:pPr>
                </w:p>
                <w:p w:rsidR="00B32EFA" w:rsidRPr="00B64D5B" w:rsidRDefault="00B32EFA" w:rsidP="00FB611D">
                  <w:pPr>
                    <w:rPr>
                      <w:rFonts w:ascii="Arial Narrow" w:hAnsi="Arial Narrow"/>
                      <w:sz w:val="44"/>
                      <w:szCs w:val="44"/>
                    </w:rPr>
                  </w:pPr>
                </w:p>
                <w:p w:rsidR="00B32EFA" w:rsidRPr="00B64D5B" w:rsidRDefault="00B32EFA" w:rsidP="00FB611D">
                  <w:pPr>
                    <w:rPr>
                      <w:rFonts w:ascii="Arial Narrow" w:hAnsi="Arial Narrow"/>
                      <w:sz w:val="44"/>
                      <w:szCs w:val="44"/>
                    </w:rPr>
                  </w:pPr>
                </w:p>
                <w:p w:rsidR="00B32EFA" w:rsidRPr="00B64D5B" w:rsidRDefault="00B32EFA" w:rsidP="00FB611D">
                  <w:pPr>
                    <w:jc w:val="center"/>
                    <w:rPr>
                      <w:rFonts w:ascii="Arial Narrow" w:hAnsi="Arial Narrow"/>
                      <w:b/>
                      <w:bCs/>
                      <w:sz w:val="44"/>
                      <w:szCs w:val="44"/>
                    </w:rPr>
                  </w:pPr>
                </w:p>
                <w:p w:rsidR="00B32EFA" w:rsidRPr="00B64D5B" w:rsidRDefault="00B32EFA" w:rsidP="00FB611D">
                  <w:pPr>
                    <w:jc w:val="center"/>
                    <w:rPr>
                      <w:rFonts w:ascii="Arial Narrow" w:hAnsi="Arial Narrow"/>
                      <w:b/>
                      <w:bCs/>
                      <w:sz w:val="44"/>
                      <w:szCs w:val="44"/>
                    </w:rPr>
                  </w:pPr>
                  <w:r w:rsidRPr="00B64D5B">
                    <w:rPr>
                      <w:rFonts w:ascii="Arial Narrow" w:hAnsi="Arial Narrow"/>
                      <w:b/>
                      <w:bCs/>
                      <w:sz w:val="44"/>
                      <w:szCs w:val="44"/>
                    </w:rPr>
                    <w:t xml:space="preserve">The </w:t>
                  </w:r>
                  <w:r w:rsidRPr="00FB611D">
                    <w:rPr>
                      <w:rFonts w:ascii="Arial Narrow" w:hAnsi="Arial Narrow"/>
                      <w:b/>
                      <w:bCs/>
                      <w:sz w:val="44"/>
                      <w:szCs w:val="44"/>
                    </w:rPr>
                    <w:t>Standing and Select Committees on Finance</w:t>
                  </w:r>
                  <w:r w:rsidRPr="00B64D5B">
                    <w:rPr>
                      <w:rFonts w:ascii="Arial Narrow" w:hAnsi="Arial Narrow"/>
                      <w:b/>
                      <w:bCs/>
                      <w:sz w:val="44"/>
                      <w:szCs w:val="44"/>
                    </w:rPr>
                    <w:t xml:space="preserve"> </w:t>
                  </w:r>
                </w:p>
                <w:p w:rsidR="00B32EFA" w:rsidRPr="00B64D5B" w:rsidRDefault="00B32EFA" w:rsidP="00FB611D">
                  <w:pPr>
                    <w:jc w:val="center"/>
                    <w:rPr>
                      <w:rFonts w:ascii="Arial Narrow" w:hAnsi="Arial Narrow"/>
                      <w:b/>
                      <w:bCs/>
                      <w:sz w:val="44"/>
                      <w:szCs w:val="44"/>
                    </w:rPr>
                  </w:pPr>
                </w:p>
                <w:p w:rsidR="00B32EFA" w:rsidRPr="00B64D5B" w:rsidRDefault="00B32EFA" w:rsidP="00FB611D">
                  <w:pPr>
                    <w:jc w:val="center"/>
                    <w:rPr>
                      <w:rFonts w:ascii="Arial Narrow" w:hAnsi="Arial Narrow"/>
                      <w:b/>
                      <w:bCs/>
                      <w:sz w:val="44"/>
                      <w:szCs w:val="44"/>
                    </w:rPr>
                  </w:pPr>
                  <w:r w:rsidRPr="00B64D5B">
                    <w:rPr>
                      <w:rFonts w:ascii="Arial Narrow" w:hAnsi="Arial Narrow"/>
                      <w:b/>
                      <w:bCs/>
                      <w:sz w:val="44"/>
                      <w:szCs w:val="44"/>
                    </w:rPr>
                    <w:t xml:space="preserve">Cape Town </w:t>
                  </w:r>
                </w:p>
                <w:p w:rsidR="00B32EFA" w:rsidRPr="00B64D5B" w:rsidRDefault="00B32EFA" w:rsidP="00FB611D">
                  <w:pPr>
                    <w:jc w:val="center"/>
                    <w:rPr>
                      <w:rFonts w:ascii="Arial Narrow" w:hAnsi="Arial Narrow"/>
                      <w:b/>
                      <w:bCs/>
                      <w:sz w:val="44"/>
                      <w:szCs w:val="44"/>
                    </w:rPr>
                  </w:pPr>
                </w:p>
                <w:p w:rsidR="00B32EFA" w:rsidRPr="00B64D5B" w:rsidRDefault="00B32EFA" w:rsidP="00FB611D">
                  <w:pPr>
                    <w:jc w:val="center"/>
                    <w:rPr>
                      <w:rFonts w:ascii="Arial Narrow" w:hAnsi="Arial Narrow"/>
                      <w:b/>
                      <w:bCs/>
                      <w:sz w:val="44"/>
                      <w:szCs w:val="44"/>
                    </w:rPr>
                  </w:pPr>
                </w:p>
                <w:p w:rsidR="00B32EFA" w:rsidRPr="00B64D5B" w:rsidRDefault="00B32EFA" w:rsidP="00FB611D">
                  <w:pPr>
                    <w:jc w:val="center"/>
                    <w:rPr>
                      <w:rFonts w:ascii="Arial Narrow" w:hAnsi="Arial Narrow"/>
                      <w:b/>
                      <w:bCs/>
                      <w:sz w:val="44"/>
                      <w:szCs w:val="44"/>
                    </w:rPr>
                  </w:pPr>
                </w:p>
                <w:p w:rsidR="00B32EFA" w:rsidRPr="00B64D5B" w:rsidRDefault="00B32EFA" w:rsidP="00FB611D">
                  <w:pPr>
                    <w:jc w:val="center"/>
                    <w:rPr>
                      <w:rFonts w:ascii="Arial Narrow" w:hAnsi="Arial Narrow"/>
                      <w:b/>
                      <w:bCs/>
                      <w:sz w:val="44"/>
                      <w:szCs w:val="44"/>
                    </w:rPr>
                  </w:pPr>
                </w:p>
                <w:p w:rsidR="00B32EFA" w:rsidRPr="00B64D5B" w:rsidRDefault="00B32EFA" w:rsidP="00FB611D">
                  <w:pPr>
                    <w:jc w:val="center"/>
                    <w:rPr>
                      <w:rFonts w:ascii="Arial Narrow" w:hAnsi="Arial Narrow"/>
                      <w:b/>
                      <w:bCs/>
                      <w:sz w:val="44"/>
                      <w:szCs w:val="44"/>
                    </w:rPr>
                  </w:pPr>
                  <w:r>
                    <w:rPr>
                      <w:rFonts w:ascii="Arial Narrow" w:hAnsi="Arial Narrow"/>
                      <w:b/>
                      <w:bCs/>
                      <w:sz w:val="44"/>
                      <w:szCs w:val="44"/>
                    </w:rPr>
                    <w:t>Presented by: D</w:t>
                  </w:r>
                  <w:r w:rsidRPr="00B64D5B">
                    <w:rPr>
                      <w:rFonts w:ascii="Arial Narrow" w:hAnsi="Arial Narrow"/>
                      <w:b/>
                      <w:bCs/>
                      <w:sz w:val="44"/>
                      <w:szCs w:val="44"/>
                    </w:rPr>
                    <w:t>en</w:t>
                  </w:r>
                  <w:r>
                    <w:rPr>
                      <w:rFonts w:ascii="Arial Narrow" w:hAnsi="Arial Narrow"/>
                      <w:b/>
                      <w:bCs/>
                      <w:sz w:val="44"/>
                      <w:szCs w:val="44"/>
                    </w:rPr>
                    <w:t>nis</w:t>
                  </w:r>
                  <w:r w:rsidRPr="00B64D5B">
                    <w:rPr>
                      <w:rFonts w:ascii="Arial Narrow" w:hAnsi="Arial Narrow"/>
                      <w:b/>
                      <w:bCs/>
                      <w:sz w:val="44"/>
                      <w:szCs w:val="44"/>
                    </w:rPr>
                    <w:t xml:space="preserve"> </w:t>
                  </w:r>
                  <w:r>
                    <w:rPr>
                      <w:rFonts w:ascii="Arial Narrow" w:hAnsi="Arial Narrow"/>
                      <w:b/>
                      <w:bCs/>
                      <w:sz w:val="44"/>
                      <w:szCs w:val="44"/>
                    </w:rPr>
                    <w:t>George</w:t>
                  </w:r>
                  <w:r w:rsidRPr="00B64D5B">
                    <w:rPr>
                      <w:rFonts w:ascii="Arial Narrow" w:hAnsi="Arial Narrow"/>
                      <w:b/>
                      <w:bCs/>
                      <w:sz w:val="44"/>
                      <w:szCs w:val="44"/>
                    </w:rPr>
                    <w:t xml:space="preserve"> </w:t>
                  </w:r>
                </w:p>
                <w:p w:rsidR="00B32EFA" w:rsidRPr="00692346" w:rsidRDefault="00B32EFA" w:rsidP="00FB611D">
                  <w:pPr>
                    <w:jc w:val="center"/>
                    <w:rPr>
                      <w:rFonts w:ascii="Arial Narrow" w:hAnsi="Arial Narrow"/>
                      <w:b/>
                      <w:bCs/>
                      <w:sz w:val="24"/>
                      <w:szCs w:val="24"/>
                    </w:rPr>
                  </w:pPr>
                  <w:r>
                    <w:rPr>
                      <w:rFonts w:ascii="Arial Narrow" w:hAnsi="Arial Narrow"/>
                      <w:b/>
                      <w:bCs/>
                      <w:sz w:val="28"/>
                      <w:szCs w:val="28"/>
                    </w:rPr>
                    <w:t>FEDUSA</w:t>
                  </w:r>
                  <w:r w:rsidRPr="00692346">
                    <w:rPr>
                      <w:rFonts w:ascii="Arial Narrow" w:hAnsi="Arial Narrow"/>
                      <w:b/>
                      <w:bCs/>
                      <w:sz w:val="28"/>
                      <w:szCs w:val="28"/>
                    </w:rPr>
                    <w:t xml:space="preserve"> General Secretary </w:t>
                  </w:r>
                </w:p>
                <w:p w:rsidR="00B32EFA" w:rsidRPr="00692346" w:rsidRDefault="00B32EFA" w:rsidP="00FB611D">
                  <w:pPr>
                    <w:jc w:val="center"/>
                    <w:rPr>
                      <w:rFonts w:ascii="Arial Narrow" w:hAnsi="Arial Narrow"/>
                      <w:b/>
                      <w:bCs/>
                      <w:sz w:val="24"/>
                      <w:szCs w:val="24"/>
                    </w:rPr>
                  </w:pPr>
                  <w:r w:rsidRPr="00692346">
                    <w:rPr>
                      <w:rFonts w:ascii="Arial Narrow" w:hAnsi="Arial Narrow"/>
                      <w:b/>
                      <w:bCs/>
                      <w:sz w:val="24"/>
                      <w:szCs w:val="24"/>
                    </w:rPr>
                    <w:t xml:space="preserve"> 04 March 201</w:t>
                  </w:r>
                  <w:r>
                    <w:rPr>
                      <w:rFonts w:ascii="Arial Narrow" w:hAnsi="Arial Narrow"/>
                      <w:b/>
                      <w:bCs/>
                      <w:sz w:val="24"/>
                      <w:szCs w:val="24"/>
                    </w:rPr>
                    <w:t>5</w:t>
                  </w:r>
                  <w:r w:rsidRPr="00692346">
                    <w:rPr>
                      <w:rFonts w:ascii="Arial Narrow" w:hAnsi="Arial Narrow"/>
                      <w:b/>
                      <w:bCs/>
                      <w:sz w:val="24"/>
                      <w:szCs w:val="24"/>
                    </w:rPr>
                    <w:t xml:space="preserve">  </w:t>
                  </w:r>
                </w:p>
                <w:p w:rsidR="00B32EFA" w:rsidRPr="00B64D5B" w:rsidRDefault="00B32EFA" w:rsidP="00FB611D">
                  <w:pPr>
                    <w:rPr>
                      <w:rFonts w:ascii="Arial Narrow" w:hAnsi="Arial Narrow"/>
                      <w:sz w:val="44"/>
                      <w:szCs w:val="44"/>
                    </w:rPr>
                  </w:pPr>
                </w:p>
                <w:p w:rsidR="00B32EFA" w:rsidRPr="00B64D5B" w:rsidRDefault="00B32EFA" w:rsidP="00FB611D">
                  <w:pPr>
                    <w:rPr>
                      <w:rFonts w:ascii="Arial Narrow" w:hAnsi="Arial Narrow"/>
                      <w:sz w:val="44"/>
                      <w:szCs w:val="44"/>
                    </w:rPr>
                  </w:pPr>
                </w:p>
                <w:p w:rsidR="00B32EFA" w:rsidRPr="00B64D5B" w:rsidRDefault="00B32EFA" w:rsidP="00FB611D">
                  <w:pPr>
                    <w:rPr>
                      <w:rFonts w:ascii="Arial Narrow" w:hAnsi="Arial Narrow"/>
                      <w:sz w:val="44"/>
                      <w:szCs w:val="44"/>
                    </w:rPr>
                  </w:pPr>
                </w:p>
                <w:p w:rsidR="00B32EFA" w:rsidRPr="00B64D5B" w:rsidRDefault="00B32EFA" w:rsidP="00FB611D">
                  <w:pPr>
                    <w:rPr>
                      <w:rFonts w:ascii="Arial Narrow" w:hAnsi="Arial Narrow"/>
                      <w:sz w:val="44"/>
                      <w:szCs w:val="44"/>
                    </w:rPr>
                  </w:pPr>
                </w:p>
                <w:p w:rsidR="00B32EFA" w:rsidRPr="00B64D5B" w:rsidRDefault="00B32EFA" w:rsidP="00FB611D">
                  <w:pPr>
                    <w:rPr>
                      <w:rFonts w:ascii="Arial Narrow" w:hAnsi="Arial Narrow"/>
                      <w:sz w:val="44"/>
                      <w:szCs w:val="44"/>
                    </w:rPr>
                  </w:pPr>
                </w:p>
                <w:p w:rsidR="00B32EFA" w:rsidRPr="00B64D5B" w:rsidRDefault="00B32EFA" w:rsidP="00FB611D">
                  <w:pPr>
                    <w:rPr>
                      <w:rFonts w:ascii="Arial Narrow" w:hAnsi="Arial Narrow"/>
                      <w:sz w:val="44"/>
                      <w:szCs w:val="44"/>
                    </w:rPr>
                  </w:pPr>
                </w:p>
                <w:p w:rsidR="00B32EFA" w:rsidRDefault="00B32EFA" w:rsidP="00FB611D"/>
                <w:p w:rsidR="00B32EFA" w:rsidRDefault="00B32EFA" w:rsidP="00FB611D"/>
                <w:p w:rsidR="00B32EFA" w:rsidRDefault="00B32EFA" w:rsidP="00FB611D"/>
                <w:p w:rsidR="00B32EFA" w:rsidRDefault="00B32EFA" w:rsidP="00FB611D"/>
                <w:p w:rsidR="00B32EFA" w:rsidRDefault="00B32EFA" w:rsidP="00FB611D"/>
                <w:p w:rsidR="00B32EFA" w:rsidRDefault="00B32EFA" w:rsidP="00FB611D"/>
                <w:p w:rsidR="00B32EFA" w:rsidRDefault="00B32EFA" w:rsidP="00FB611D"/>
                <w:p w:rsidR="00B32EFA" w:rsidRDefault="00B32EFA" w:rsidP="00FB611D"/>
                <w:p w:rsidR="00B32EFA" w:rsidRDefault="00B32EFA" w:rsidP="00FB611D"/>
                <w:p w:rsidR="00B32EFA" w:rsidRDefault="00B32EFA" w:rsidP="00FB611D"/>
                <w:p w:rsidR="00B32EFA" w:rsidRDefault="00B32EFA" w:rsidP="00FB611D"/>
                <w:p w:rsidR="00B32EFA" w:rsidRDefault="00B32EFA" w:rsidP="00FB611D"/>
                <w:p w:rsidR="00B32EFA" w:rsidRDefault="00B32EFA" w:rsidP="00FB611D"/>
              </w:txbxContent>
            </v:textbox>
          </v:shape>
        </w:pict>
      </w: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FB611D" w:rsidRDefault="00FB611D" w:rsidP="00FB611D">
      <w:pPr>
        <w:rPr>
          <w:rFonts w:ascii="Arial Narrow" w:hAnsi="Arial Narrow"/>
          <w:bCs/>
          <w:szCs w:val="24"/>
        </w:rPr>
      </w:pPr>
    </w:p>
    <w:p w:rsidR="0025106B" w:rsidRDefault="0025106B" w:rsidP="0025106B">
      <w:pPr>
        <w:rPr>
          <w:rFonts w:asciiTheme="majorHAnsi" w:hAnsiTheme="majorHAnsi"/>
          <w:i/>
        </w:rPr>
      </w:pPr>
    </w:p>
    <w:p w:rsidR="00CD570C" w:rsidRDefault="00CD570C" w:rsidP="0025106B">
      <w:pPr>
        <w:rPr>
          <w:rFonts w:asciiTheme="majorHAnsi" w:hAnsiTheme="majorHAnsi"/>
          <w:i/>
        </w:rPr>
      </w:pPr>
    </w:p>
    <w:p w:rsidR="00CD570C" w:rsidRDefault="00CD570C" w:rsidP="0025106B">
      <w:pPr>
        <w:rPr>
          <w:rFonts w:asciiTheme="majorHAnsi" w:hAnsiTheme="majorHAnsi"/>
          <w:i/>
        </w:rPr>
      </w:pPr>
    </w:p>
    <w:p w:rsidR="00CD570C" w:rsidRDefault="00CD570C" w:rsidP="0025106B">
      <w:pPr>
        <w:rPr>
          <w:rFonts w:asciiTheme="majorHAnsi" w:hAnsiTheme="majorHAnsi"/>
          <w:i/>
        </w:rPr>
      </w:pPr>
    </w:p>
    <w:p w:rsidR="00FB611D" w:rsidRDefault="00FB611D" w:rsidP="00FB611D">
      <w:pPr>
        <w:rPr>
          <w:b/>
          <w:color w:val="4F81BD" w:themeColor="accent1"/>
          <w:sz w:val="32"/>
          <w:szCs w:val="32"/>
        </w:rPr>
      </w:pPr>
    </w:p>
    <w:p w:rsidR="0025106B" w:rsidRPr="006C080F" w:rsidRDefault="0025106B" w:rsidP="00F720AA">
      <w:pPr>
        <w:spacing w:line="360" w:lineRule="auto"/>
        <w:rPr>
          <w:rFonts w:asciiTheme="majorHAnsi" w:hAnsiTheme="majorHAnsi"/>
          <w:i/>
        </w:rPr>
      </w:pPr>
    </w:p>
    <w:sdt>
      <w:sdtPr>
        <w:rPr>
          <w:rFonts w:asciiTheme="minorHAnsi" w:eastAsiaTheme="minorEastAsia" w:hAnsiTheme="minorHAnsi" w:cstheme="minorBidi"/>
          <w:b w:val="0"/>
          <w:bCs w:val="0"/>
          <w:i w:val="0"/>
          <w:iCs w:val="0"/>
          <w:color w:val="auto"/>
          <w:sz w:val="20"/>
          <w:szCs w:val="20"/>
          <w:lang w:val="en-GB"/>
        </w:rPr>
        <w:id w:val="92450904"/>
        <w:docPartObj>
          <w:docPartGallery w:val="Table of Contents"/>
          <w:docPartUnique/>
        </w:docPartObj>
      </w:sdtPr>
      <w:sdtEndPr>
        <w:rPr>
          <w:rFonts w:ascii="Arial Narrow" w:hAnsi="Arial Narrow"/>
          <w:b/>
          <w:sz w:val="24"/>
          <w:szCs w:val="24"/>
        </w:rPr>
      </w:sdtEndPr>
      <w:sdtContent>
        <w:p w:rsidR="00A02C50" w:rsidRPr="00270770" w:rsidRDefault="00FB611D" w:rsidP="00270770">
          <w:pPr>
            <w:pStyle w:val="TOCHeading"/>
            <w:spacing w:line="360" w:lineRule="auto"/>
            <w:jc w:val="center"/>
            <w:rPr>
              <w:rStyle w:val="Heading2Char"/>
              <w:rFonts w:eastAsiaTheme="majorEastAsia"/>
              <w:b/>
            </w:rPr>
          </w:pPr>
          <w:r w:rsidRPr="00270770">
            <w:rPr>
              <w:rStyle w:val="Heading2Char"/>
              <w:rFonts w:eastAsiaTheme="minorEastAsia"/>
              <w:b/>
            </w:rPr>
            <w:t xml:space="preserve">Table of </w:t>
          </w:r>
          <w:r w:rsidR="00A02C50" w:rsidRPr="00270770">
            <w:rPr>
              <w:rStyle w:val="Heading2Char"/>
              <w:rFonts w:eastAsiaTheme="majorEastAsia"/>
              <w:b/>
            </w:rPr>
            <w:t>Contents</w:t>
          </w:r>
        </w:p>
        <w:p w:rsidR="00B32EFA" w:rsidRPr="00270770" w:rsidRDefault="00537E09">
          <w:pPr>
            <w:pStyle w:val="TOC1"/>
            <w:tabs>
              <w:tab w:val="right" w:leader="dot" w:pos="8290"/>
            </w:tabs>
            <w:rPr>
              <w:rFonts w:ascii="Arial Narrow" w:hAnsi="Arial Narrow"/>
              <w:b/>
              <w:noProof/>
              <w:sz w:val="22"/>
              <w:szCs w:val="22"/>
              <w:lang w:val="en-ZA" w:eastAsia="en-ZA"/>
            </w:rPr>
          </w:pPr>
          <w:r w:rsidRPr="00270770">
            <w:rPr>
              <w:rFonts w:ascii="Arial Narrow" w:hAnsi="Arial Narrow"/>
              <w:b/>
              <w:sz w:val="24"/>
              <w:szCs w:val="24"/>
            </w:rPr>
            <w:fldChar w:fldCharType="begin"/>
          </w:r>
          <w:r w:rsidR="00A02C50" w:rsidRPr="00270770">
            <w:rPr>
              <w:rFonts w:ascii="Arial Narrow" w:hAnsi="Arial Narrow"/>
              <w:b/>
              <w:sz w:val="24"/>
              <w:szCs w:val="24"/>
            </w:rPr>
            <w:instrText xml:space="preserve"> TOC \o "1-3" \h \z \u </w:instrText>
          </w:r>
          <w:r w:rsidRPr="00270770">
            <w:rPr>
              <w:rFonts w:ascii="Arial Narrow" w:hAnsi="Arial Narrow"/>
              <w:b/>
              <w:sz w:val="24"/>
              <w:szCs w:val="24"/>
            </w:rPr>
            <w:fldChar w:fldCharType="separate"/>
          </w:r>
          <w:hyperlink w:anchor="_Toc413130768" w:history="1">
            <w:r w:rsidR="00B32EFA" w:rsidRPr="00270770">
              <w:rPr>
                <w:rStyle w:val="Hyperlink"/>
                <w:rFonts w:ascii="Arial Narrow" w:hAnsi="Arial Narrow"/>
                <w:b/>
                <w:noProof/>
              </w:rPr>
              <w:t>INTRODUCTION</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_Toc413130768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4</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69" w:history="1">
            <w:r w:rsidR="00B32EFA" w:rsidRPr="00270770">
              <w:rPr>
                <w:rStyle w:val="Hyperlink"/>
                <w:rFonts w:ascii="Arial Narrow" w:hAnsi="Arial Narrow"/>
                <w:b/>
                <w:noProof/>
              </w:rPr>
              <w:t>GROWTH PRIORITIES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_Toc413130769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5</w:t>
            </w:r>
            <w:r w:rsidRPr="00270770">
              <w:rPr>
                <w:rFonts w:ascii="Arial Narrow" w:hAnsi="Arial Narrow"/>
                <w:b/>
                <w:noProof/>
                <w:webHidden/>
              </w:rPr>
              <w:fldChar w:fldCharType="end"/>
            </w:r>
          </w:hyperlink>
        </w:p>
        <w:p w:rsidR="00B32EFA" w:rsidRPr="00270770" w:rsidRDefault="00537E09">
          <w:pPr>
            <w:pStyle w:val="TOC2"/>
            <w:tabs>
              <w:tab w:val="right" w:leader="dot" w:pos="8290"/>
            </w:tabs>
            <w:rPr>
              <w:rFonts w:ascii="Arial Narrow" w:hAnsi="Arial Narrow"/>
              <w:b/>
              <w:noProof/>
              <w:sz w:val="22"/>
              <w:szCs w:val="22"/>
              <w:lang w:val="en-ZA" w:eastAsia="en-ZA"/>
            </w:rPr>
          </w:pPr>
          <w:hyperlink w:anchor="_Toc413130770" w:history="1">
            <w:r w:rsidR="00B32EFA" w:rsidRPr="00270770">
              <w:rPr>
                <w:rStyle w:val="Hyperlink"/>
                <w:rFonts w:ascii="Arial Narrow" w:hAnsi="Arial Narrow"/>
                <w:b/>
                <w:noProof/>
              </w:rPr>
              <w:t>Electricity constraint</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_Toc413130770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5</w:t>
            </w:r>
            <w:r w:rsidRPr="00270770">
              <w:rPr>
                <w:rFonts w:ascii="Arial Narrow" w:hAnsi="Arial Narrow"/>
                <w:b/>
                <w:noProof/>
                <w:webHidden/>
              </w:rPr>
              <w:fldChar w:fldCharType="end"/>
            </w:r>
          </w:hyperlink>
        </w:p>
        <w:p w:rsidR="00B32EFA" w:rsidRPr="00270770" w:rsidRDefault="00537E09">
          <w:pPr>
            <w:pStyle w:val="TOC2"/>
            <w:tabs>
              <w:tab w:val="right" w:leader="dot" w:pos="8290"/>
            </w:tabs>
            <w:rPr>
              <w:rFonts w:ascii="Arial Narrow" w:hAnsi="Arial Narrow"/>
              <w:b/>
              <w:noProof/>
              <w:sz w:val="22"/>
              <w:szCs w:val="22"/>
              <w:lang w:val="en-ZA" w:eastAsia="en-ZA"/>
            </w:rPr>
          </w:pPr>
          <w:hyperlink w:anchor="_Toc413130771" w:history="1">
            <w:r w:rsidR="00B32EFA" w:rsidRPr="00270770">
              <w:rPr>
                <w:rStyle w:val="Hyperlink"/>
                <w:rFonts w:ascii="Arial Narrow" w:hAnsi="Arial Narrow"/>
                <w:b/>
                <w:noProof/>
              </w:rPr>
              <w:t>Investments to transform townships and cities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_Toc413130771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5</w:t>
            </w:r>
            <w:r w:rsidRPr="00270770">
              <w:rPr>
                <w:rFonts w:ascii="Arial Narrow" w:hAnsi="Arial Narrow"/>
                <w:b/>
                <w:noProof/>
                <w:webHidden/>
              </w:rPr>
              <w:fldChar w:fldCharType="end"/>
            </w:r>
          </w:hyperlink>
        </w:p>
        <w:p w:rsidR="00B32EFA" w:rsidRPr="00270770" w:rsidRDefault="00537E09">
          <w:pPr>
            <w:pStyle w:val="TOC2"/>
            <w:tabs>
              <w:tab w:val="right" w:leader="dot" w:pos="8290"/>
            </w:tabs>
            <w:rPr>
              <w:rFonts w:ascii="Arial Narrow" w:hAnsi="Arial Narrow"/>
              <w:b/>
              <w:noProof/>
              <w:sz w:val="22"/>
              <w:szCs w:val="22"/>
              <w:lang w:val="en-ZA" w:eastAsia="en-ZA"/>
            </w:rPr>
          </w:pPr>
          <w:hyperlink w:anchor="_Toc413130772" w:history="1">
            <w:r w:rsidR="00B32EFA" w:rsidRPr="00270770">
              <w:rPr>
                <w:rStyle w:val="Hyperlink"/>
                <w:rFonts w:ascii="Arial Narrow" w:hAnsi="Arial Narrow"/>
                <w:b/>
                <w:noProof/>
              </w:rPr>
              <w:t>Investment-led growth</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_Toc413130772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6</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73" w:history="1">
            <w:r w:rsidR="00B32EFA" w:rsidRPr="00270770">
              <w:rPr>
                <w:rStyle w:val="Hyperlink"/>
                <w:rFonts w:ascii="Arial Narrow" w:hAnsi="Arial Narrow"/>
                <w:b/>
                <w:noProof/>
              </w:rPr>
              <w:t>ECONOMIC CONTEXT</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_Toc413130773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8</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74" w:history="1">
            <w:r w:rsidR="00B32EFA" w:rsidRPr="00270770">
              <w:rPr>
                <w:rStyle w:val="Hyperlink"/>
                <w:rFonts w:ascii="Arial Narrow" w:hAnsi="Arial Narrow"/>
                <w:b/>
                <w:noProof/>
              </w:rPr>
              <w:t>CHALLENGES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_Toc413130774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9</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75" w:history="1">
            <w:r w:rsidR="00B32EFA" w:rsidRPr="00270770">
              <w:rPr>
                <w:rStyle w:val="Hyperlink"/>
                <w:rFonts w:ascii="Arial Narrow" w:hAnsi="Arial Narrow"/>
                <w:b/>
                <w:noProof/>
              </w:rPr>
              <w:t>FISCAL POLICY</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_Toc413130775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9</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76" w:history="1">
            <w:r w:rsidR="00B32EFA" w:rsidRPr="00270770">
              <w:rPr>
                <w:rStyle w:val="Hyperlink"/>
                <w:rFonts w:ascii="Arial Narrow" w:hAnsi="Arial Narrow"/>
                <w:b/>
                <w:noProof/>
              </w:rPr>
              <w:t>GROSS DEBT</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_Toc413130776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10</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77" w:history="1">
            <w:r w:rsidR="00B32EFA" w:rsidRPr="00270770">
              <w:rPr>
                <w:rStyle w:val="Hyperlink"/>
                <w:rFonts w:ascii="Arial Narrow" w:hAnsi="Arial Narrow"/>
                <w:b/>
                <w:noProof/>
              </w:rPr>
              <w:t>AGRICULTURE</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_Toc413130777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10</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78" w:history="1">
            <w:r w:rsidR="00B32EFA" w:rsidRPr="00270770">
              <w:rPr>
                <w:rStyle w:val="Hyperlink"/>
                <w:rFonts w:ascii="Arial Narrow" w:hAnsi="Arial Narrow"/>
                <w:b/>
                <w:noProof/>
              </w:rPr>
              <w:t>EMPLOYMENT</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_Toc413130778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10</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79" w:history="1">
            <w:r w:rsidR="00B32EFA" w:rsidRPr="00270770">
              <w:rPr>
                <w:rStyle w:val="Hyperlink"/>
                <w:rFonts w:ascii="Arial Narrow" w:hAnsi="Arial Narrow"/>
                <w:b/>
                <w:noProof/>
              </w:rPr>
              <w:t>HEALTH AND SOCIAL PROTECTION</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_Toc413130779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11</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0" w:history="1">
            <w:r w:rsidR="00B32EFA" w:rsidRPr="00270770">
              <w:rPr>
                <w:rStyle w:val="Hyperlink"/>
                <w:rFonts w:ascii="Arial Narrow" w:hAnsi="Arial Narrow"/>
                <w:b/>
                <w:noProof/>
              </w:rPr>
              <w:t>SOCIAL SECURITY REFORM</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_Toc413130780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11</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1" w:history="1">
            <w:r w:rsidR="00B32EFA" w:rsidRPr="00270770">
              <w:rPr>
                <w:rStyle w:val="Hyperlink"/>
                <w:rFonts w:ascii="Arial Narrow" w:hAnsi="Arial Narrow"/>
                <w:b/>
                <w:noProof/>
              </w:rPr>
              <w:t>EDUCATION, SPORT AND CULTURE</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_Toc413130781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12</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2" w:history="1">
            <w:r w:rsidR="00B32EFA" w:rsidRPr="00270770">
              <w:rPr>
                <w:rStyle w:val="Hyperlink"/>
                <w:rFonts w:ascii="Arial Narrow" w:hAnsi="Arial Narrow"/>
                <w:b/>
                <w:noProof/>
              </w:rPr>
              <w:t>POST SCHOOL EDUCATION AND TRAINING</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_Toc413130782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12</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3" w:history="1">
            <w:r w:rsidR="00B32EFA" w:rsidRPr="00270770">
              <w:rPr>
                <w:rStyle w:val="Hyperlink"/>
                <w:rFonts w:ascii="Arial Narrow" w:hAnsi="Arial Narrow"/>
                <w:b/>
                <w:noProof/>
              </w:rPr>
              <w:t>TRANSPORT, ENERGY, COMMUNICATIONS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_Toc413130783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13</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4" w:history="1">
            <w:r w:rsidR="00B32EFA" w:rsidRPr="00270770">
              <w:rPr>
                <w:rStyle w:val="Hyperlink"/>
                <w:rFonts w:ascii="Arial Narrow" w:hAnsi="Arial Narrow"/>
                <w:b/>
                <w:noProof/>
              </w:rPr>
              <w:t>PUBLIC SECTOR SUPPLY CHAIN MANAGEMENT AND TENDERS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_Toc413130784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13</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5" w:history="1">
            <w:r w:rsidR="00B32EFA" w:rsidRPr="00270770">
              <w:rPr>
                <w:rStyle w:val="Hyperlink"/>
                <w:rFonts w:ascii="Arial Narrow" w:hAnsi="Arial Narrow"/>
                <w:b/>
                <w:noProof/>
              </w:rPr>
              <w:t>REVENUE, TAX MEASURES AND INCOME TAX</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_Toc413130785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14</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6" w:history="1">
            <w:r w:rsidR="00B32EFA" w:rsidRPr="00270770">
              <w:rPr>
                <w:rStyle w:val="Hyperlink"/>
                <w:rFonts w:ascii="Arial Narrow" w:hAnsi="Arial Narrow"/>
                <w:b/>
                <w:noProof/>
              </w:rPr>
              <w:t>FURTHER PROPOSALS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_Toc413130786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15</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7" w:history="1">
            <w:r w:rsidR="00B32EFA" w:rsidRPr="00270770">
              <w:rPr>
                <w:rStyle w:val="Hyperlink"/>
                <w:rFonts w:ascii="Arial Narrow" w:hAnsi="Arial Narrow"/>
                <w:b/>
                <w:noProof/>
              </w:rPr>
              <w:t>FINANCIAL LEAKAGES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_Toc413130787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15</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8" w:history="1">
            <w:r w:rsidR="00B32EFA" w:rsidRPr="00270770">
              <w:rPr>
                <w:rStyle w:val="Hyperlink"/>
                <w:rFonts w:ascii="Arial Narrow" w:hAnsi="Arial Narrow"/>
                <w:b/>
                <w:noProof/>
              </w:rPr>
              <w:t>STATE – OWNED ENTERPRISES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_Toc413130788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16</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89" w:history="1">
            <w:r w:rsidR="00B32EFA" w:rsidRPr="00270770">
              <w:rPr>
                <w:rStyle w:val="Hyperlink"/>
                <w:rFonts w:ascii="Arial Narrow" w:hAnsi="Arial Narrow"/>
                <w:b/>
                <w:noProof/>
              </w:rPr>
              <w:t>DEVELOPMENT FINANCE</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_Toc413130789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17</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90" w:history="1">
            <w:r w:rsidR="00B32EFA" w:rsidRPr="00270770">
              <w:rPr>
                <w:rStyle w:val="Hyperlink"/>
                <w:rFonts w:ascii="Arial Narrow" w:hAnsi="Arial Narrow"/>
                <w:b/>
                <w:noProof/>
              </w:rPr>
              <w:t>PENSIONS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_Toc413130790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18</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91" w:history="1">
            <w:r w:rsidR="00B32EFA" w:rsidRPr="00270770">
              <w:rPr>
                <w:rStyle w:val="Hyperlink"/>
                <w:rFonts w:ascii="Arial Narrow" w:hAnsi="Arial Narrow"/>
                <w:b/>
                <w:noProof/>
              </w:rPr>
              <w:t>FINANCIAL REFORMS</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_Toc413130791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18</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92" w:history="1">
            <w:r w:rsidR="00B32EFA" w:rsidRPr="00270770">
              <w:rPr>
                <w:rStyle w:val="Hyperlink"/>
                <w:rFonts w:ascii="Arial Narrow" w:hAnsi="Arial Narrow"/>
                <w:b/>
                <w:noProof/>
              </w:rPr>
              <w:t>CONCLUSION</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_Toc413130792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19</w:t>
            </w:r>
            <w:r w:rsidRPr="00270770">
              <w:rPr>
                <w:rFonts w:ascii="Arial Narrow" w:hAnsi="Arial Narrow"/>
                <w:b/>
                <w:noProof/>
                <w:webHidden/>
              </w:rPr>
              <w:fldChar w:fldCharType="end"/>
            </w:r>
          </w:hyperlink>
        </w:p>
        <w:p w:rsidR="00B32EFA" w:rsidRPr="00270770" w:rsidRDefault="00537E09">
          <w:pPr>
            <w:pStyle w:val="TOC1"/>
            <w:tabs>
              <w:tab w:val="right" w:leader="dot" w:pos="8290"/>
            </w:tabs>
            <w:rPr>
              <w:rFonts w:ascii="Arial Narrow" w:hAnsi="Arial Narrow"/>
              <w:b/>
              <w:noProof/>
              <w:sz w:val="22"/>
              <w:szCs w:val="22"/>
              <w:lang w:val="en-ZA" w:eastAsia="en-ZA"/>
            </w:rPr>
          </w:pPr>
          <w:hyperlink w:anchor="_Toc413130793" w:history="1">
            <w:r w:rsidR="00B32EFA" w:rsidRPr="00270770">
              <w:rPr>
                <w:rStyle w:val="Hyperlink"/>
                <w:rFonts w:ascii="Arial Narrow" w:hAnsi="Arial Narrow"/>
                <w:b/>
                <w:noProof/>
              </w:rPr>
              <w:t>BIBLIOGRAPHY</w:t>
            </w:r>
            <w:r w:rsidR="00B32EFA" w:rsidRPr="00270770">
              <w:rPr>
                <w:rFonts w:ascii="Arial Narrow" w:hAnsi="Arial Narrow"/>
                <w:b/>
                <w:noProof/>
                <w:webHidden/>
              </w:rPr>
              <w:tab/>
            </w:r>
            <w:r w:rsidRPr="00270770">
              <w:rPr>
                <w:rFonts w:ascii="Arial Narrow" w:hAnsi="Arial Narrow"/>
                <w:b/>
                <w:noProof/>
                <w:webHidden/>
              </w:rPr>
              <w:fldChar w:fldCharType="begin"/>
            </w:r>
            <w:r w:rsidR="00B32EFA" w:rsidRPr="00270770">
              <w:rPr>
                <w:rFonts w:ascii="Arial Narrow" w:hAnsi="Arial Narrow"/>
                <w:b/>
                <w:noProof/>
                <w:webHidden/>
              </w:rPr>
              <w:instrText xml:space="preserve"> PAGEREF _Toc413130793 \h </w:instrText>
            </w:r>
            <w:r w:rsidRPr="00270770">
              <w:rPr>
                <w:rFonts w:ascii="Arial Narrow" w:hAnsi="Arial Narrow"/>
                <w:b/>
                <w:noProof/>
                <w:webHidden/>
              </w:rPr>
            </w:r>
            <w:r w:rsidRPr="00270770">
              <w:rPr>
                <w:rFonts w:ascii="Arial Narrow" w:hAnsi="Arial Narrow"/>
                <w:b/>
                <w:noProof/>
                <w:webHidden/>
              </w:rPr>
              <w:fldChar w:fldCharType="separate"/>
            </w:r>
            <w:r w:rsidR="00B32EFA" w:rsidRPr="00270770">
              <w:rPr>
                <w:rFonts w:ascii="Arial Narrow" w:hAnsi="Arial Narrow"/>
                <w:b/>
                <w:noProof/>
                <w:webHidden/>
              </w:rPr>
              <w:t>20</w:t>
            </w:r>
            <w:r w:rsidRPr="00270770">
              <w:rPr>
                <w:rFonts w:ascii="Arial Narrow" w:hAnsi="Arial Narrow"/>
                <w:b/>
                <w:noProof/>
                <w:webHidden/>
              </w:rPr>
              <w:fldChar w:fldCharType="end"/>
            </w:r>
          </w:hyperlink>
        </w:p>
        <w:p w:rsidR="00F720AA" w:rsidRPr="00270770" w:rsidRDefault="00537E09" w:rsidP="006902B4">
          <w:pPr>
            <w:spacing w:line="360" w:lineRule="auto"/>
            <w:rPr>
              <w:rFonts w:ascii="Arial Narrow" w:hAnsi="Arial Narrow"/>
              <w:sz w:val="24"/>
              <w:szCs w:val="24"/>
            </w:rPr>
          </w:pPr>
          <w:r w:rsidRPr="00270770">
            <w:rPr>
              <w:rFonts w:ascii="Arial Narrow" w:hAnsi="Arial Narrow"/>
              <w:b/>
              <w:sz w:val="24"/>
              <w:szCs w:val="24"/>
            </w:rPr>
            <w:fldChar w:fldCharType="end"/>
          </w:r>
        </w:p>
      </w:sdtContent>
    </w:sdt>
    <w:p w:rsidR="006902B4" w:rsidRPr="00270770" w:rsidRDefault="006902B4">
      <w:pPr>
        <w:rPr>
          <w:rFonts w:ascii="Arial Narrow" w:eastAsiaTheme="majorEastAsia" w:hAnsi="Arial Narrow" w:cstheme="majorBidi"/>
          <w:b/>
          <w:bCs/>
          <w:i/>
          <w:color w:val="4F81BD" w:themeColor="accent1"/>
          <w:sz w:val="24"/>
          <w:szCs w:val="24"/>
        </w:rPr>
      </w:pPr>
      <w:r w:rsidRPr="00270770">
        <w:rPr>
          <w:rFonts w:ascii="Arial Narrow" w:hAnsi="Arial Narrow"/>
          <w:i/>
          <w:sz w:val="24"/>
          <w:szCs w:val="24"/>
        </w:rPr>
        <w:br w:type="page"/>
      </w:r>
    </w:p>
    <w:p w:rsidR="0025106B" w:rsidRPr="00270770" w:rsidRDefault="00822746" w:rsidP="00270770">
      <w:pPr>
        <w:pStyle w:val="Heading1"/>
      </w:pPr>
      <w:bookmarkStart w:id="0" w:name="_Toc413130768"/>
      <w:r w:rsidRPr="00822746">
        <w:lastRenderedPageBreak/>
        <w:t>INTRODUCTION</w:t>
      </w:r>
      <w:bookmarkEnd w:id="0"/>
    </w:p>
    <w:p w:rsidR="0025106B" w:rsidRPr="00270770" w:rsidRDefault="0025106B" w:rsidP="006C080F">
      <w:pPr>
        <w:spacing w:line="360" w:lineRule="auto"/>
        <w:rPr>
          <w:rFonts w:ascii="Arial Narrow" w:hAnsi="Arial Narrow"/>
          <w:i/>
          <w:sz w:val="24"/>
          <w:szCs w:val="24"/>
        </w:rPr>
      </w:pPr>
    </w:p>
    <w:p w:rsidR="0025106B" w:rsidRPr="00270770" w:rsidRDefault="006902B4" w:rsidP="006902B4">
      <w:pPr>
        <w:spacing w:line="360" w:lineRule="auto"/>
        <w:jc w:val="both"/>
        <w:rPr>
          <w:rFonts w:ascii="Arial Narrow" w:hAnsi="Arial Narrow"/>
          <w:sz w:val="24"/>
          <w:szCs w:val="24"/>
        </w:rPr>
      </w:pPr>
      <w:r w:rsidRPr="00270770">
        <w:rPr>
          <w:rFonts w:ascii="Arial Narrow" w:hAnsi="Arial Narrow"/>
          <w:sz w:val="24"/>
          <w:szCs w:val="24"/>
        </w:rPr>
        <w:t xml:space="preserve">The Minister of Finance argues that the 2015 </w:t>
      </w:r>
      <w:r w:rsidR="008E2A71" w:rsidRPr="00270770">
        <w:rPr>
          <w:rFonts w:ascii="Arial Narrow" w:hAnsi="Arial Narrow"/>
          <w:sz w:val="24"/>
          <w:szCs w:val="24"/>
        </w:rPr>
        <w:t xml:space="preserve">Budget is </w:t>
      </w:r>
      <w:r w:rsidRPr="00270770">
        <w:rPr>
          <w:rFonts w:ascii="Arial Narrow" w:hAnsi="Arial Narrow"/>
          <w:sz w:val="24"/>
          <w:szCs w:val="24"/>
        </w:rPr>
        <w:t>inhibited</w:t>
      </w:r>
      <w:r w:rsidR="008E2A71" w:rsidRPr="00270770">
        <w:rPr>
          <w:rFonts w:ascii="Arial Narrow" w:hAnsi="Arial Narrow"/>
          <w:sz w:val="24"/>
          <w:szCs w:val="24"/>
        </w:rPr>
        <w:t xml:space="preserve"> by</w:t>
      </w:r>
      <w:r w:rsidRPr="00270770">
        <w:rPr>
          <w:rFonts w:ascii="Arial Narrow" w:hAnsi="Arial Narrow"/>
          <w:sz w:val="24"/>
          <w:szCs w:val="24"/>
        </w:rPr>
        <w:t xml:space="preserve"> </w:t>
      </w:r>
      <w:r w:rsidR="002046DF" w:rsidRPr="00270770">
        <w:rPr>
          <w:rFonts w:ascii="Arial Narrow" w:hAnsi="Arial Narrow"/>
          <w:sz w:val="24"/>
          <w:szCs w:val="24"/>
        </w:rPr>
        <w:t xml:space="preserve">slower growth, </w:t>
      </w:r>
      <w:r w:rsidR="008E2A71" w:rsidRPr="00270770">
        <w:rPr>
          <w:rFonts w:ascii="Arial Narrow" w:hAnsi="Arial Narrow"/>
          <w:sz w:val="24"/>
          <w:szCs w:val="24"/>
        </w:rPr>
        <w:t>ris</w:t>
      </w:r>
      <w:r w:rsidRPr="00270770">
        <w:rPr>
          <w:rFonts w:ascii="Arial Narrow" w:hAnsi="Arial Narrow"/>
          <w:sz w:val="24"/>
          <w:szCs w:val="24"/>
        </w:rPr>
        <w:t>ing debt</w:t>
      </w:r>
      <w:r w:rsidR="002046DF" w:rsidRPr="00270770">
        <w:rPr>
          <w:rFonts w:ascii="Arial Narrow" w:hAnsi="Arial Narrow"/>
          <w:sz w:val="24"/>
          <w:szCs w:val="24"/>
        </w:rPr>
        <w:t xml:space="preserve">, </w:t>
      </w:r>
      <w:r w:rsidR="00B32EFA">
        <w:rPr>
          <w:rFonts w:ascii="Arial Narrow" w:hAnsi="Arial Narrow"/>
          <w:sz w:val="24"/>
          <w:szCs w:val="24"/>
        </w:rPr>
        <w:t xml:space="preserve">a </w:t>
      </w:r>
      <w:r w:rsidR="002046DF" w:rsidRPr="00270770">
        <w:rPr>
          <w:rFonts w:ascii="Arial Narrow" w:hAnsi="Arial Narrow"/>
          <w:sz w:val="24"/>
          <w:szCs w:val="24"/>
        </w:rPr>
        <w:t>weak global outlook and a number of domestic constraints to inclusive economic growth. Government debt has risen from R500 billion in 2008 to R1.6 trillion in 2015</w:t>
      </w:r>
      <w:r w:rsidR="00B32EFA">
        <w:rPr>
          <w:rFonts w:ascii="Arial Narrow" w:hAnsi="Arial Narrow"/>
          <w:sz w:val="24"/>
          <w:szCs w:val="24"/>
        </w:rPr>
        <w:t>, whilst</w:t>
      </w:r>
      <w:r w:rsidR="002046DF" w:rsidRPr="00270770">
        <w:rPr>
          <w:rFonts w:ascii="Arial Narrow" w:hAnsi="Arial Narrow"/>
          <w:sz w:val="24"/>
          <w:szCs w:val="24"/>
        </w:rPr>
        <w:t xml:space="preserve"> </w:t>
      </w:r>
      <w:r w:rsidR="00DA77F3" w:rsidRPr="00270770">
        <w:rPr>
          <w:rFonts w:ascii="Arial Narrow" w:hAnsi="Arial Narrow"/>
          <w:sz w:val="24"/>
          <w:szCs w:val="24"/>
        </w:rPr>
        <w:t xml:space="preserve">R126.4 billion is needed to service the total debt. Moreover, government intends to reduce expenditure by R25 billion in the next two years and it is necessary to introduce tax increases to support the falling revenue of government to raise an additional R16.8 billion in 2015/6. </w:t>
      </w:r>
      <w:r w:rsidR="00EF627A" w:rsidRPr="00270770">
        <w:rPr>
          <w:rFonts w:ascii="Arial Narrow" w:hAnsi="Arial Narrow"/>
          <w:sz w:val="24"/>
          <w:szCs w:val="24"/>
        </w:rPr>
        <w:t xml:space="preserve">Unplanned load shedding and the shortage of supply of electricity for the next few years </w:t>
      </w:r>
      <w:r w:rsidR="00B32EFA">
        <w:rPr>
          <w:rFonts w:ascii="Arial Narrow" w:hAnsi="Arial Narrow"/>
          <w:sz w:val="24"/>
          <w:szCs w:val="24"/>
        </w:rPr>
        <w:t>remains</w:t>
      </w:r>
      <w:r w:rsidR="00B32EFA" w:rsidRPr="00270770">
        <w:rPr>
          <w:rFonts w:ascii="Arial Narrow" w:hAnsi="Arial Narrow"/>
          <w:sz w:val="24"/>
          <w:szCs w:val="24"/>
        </w:rPr>
        <w:t xml:space="preserve"> </w:t>
      </w:r>
      <w:r w:rsidR="00EF627A" w:rsidRPr="00270770">
        <w:rPr>
          <w:rFonts w:ascii="Arial Narrow" w:hAnsi="Arial Narrow"/>
          <w:sz w:val="24"/>
          <w:szCs w:val="24"/>
        </w:rPr>
        <w:t>the furthermost critical constraint</w:t>
      </w:r>
      <w:r w:rsidR="00B32EFA">
        <w:rPr>
          <w:rFonts w:ascii="Arial Narrow" w:hAnsi="Arial Narrow"/>
          <w:sz w:val="24"/>
          <w:szCs w:val="24"/>
        </w:rPr>
        <w:t>,</w:t>
      </w:r>
      <w:r w:rsidR="00EF627A" w:rsidRPr="00270770">
        <w:rPr>
          <w:rFonts w:ascii="Arial Narrow" w:hAnsi="Arial Narrow"/>
          <w:sz w:val="24"/>
          <w:szCs w:val="24"/>
        </w:rPr>
        <w:t xml:space="preserve"> </w:t>
      </w:r>
      <w:r w:rsidR="00B32EFA">
        <w:rPr>
          <w:rFonts w:ascii="Arial Narrow" w:hAnsi="Arial Narrow"/>
          <w:sz w:val="24"/>
          <w:szCs w:val="24"/>
        </w:rPr>
        <w:t>with</w:t>
      </w:r>
      <w:r w:rsidR="00EF627A" w:rsidRPr="00270770">
        <w:rPr>
          <w:rFonts w:ascii="Arial Narrow" w:hAnsi="Arial Narrow"/>
          <w:sz w:val="24"/>
          <w:szCs w:val="24"/>
        </w:rPr>
        <w:t xml:space="preserve"> the potential to further undermine economic growth and social cohesion. </w:t>
      </w:r>
    </w:p>
    <w:p w:rsidR="00DA77F3" w:rsidRPr="00270770" w:rsidRDefault="00DA77F3" w:rsidP="006902B4">
      <w:pPr>
        <w:spacing w:line="360" w:lineRule="auto"/>
        <w:jc w:val="both"/>
        <w:rPr>
          <w:rFonts w:ascii="Arial Narrow" w:hAnsi="Arial Narrow"/>
          <w:sz w:val="24"/>
          <w:szCs w:val="24"/>
        </w:rPr>
      </w:pPr>
    </w:p>
    <w:p w:rsidR="0025106B" w:rsidRPr="00270770" w:rsidRDefault="00DA77F3" w:rsidP="00AD5E6D">
      <w:pPr>
        <w:spacing w:line="360" w:lineRule="auto"/>
        <w:jc w:val="both"/>
        <w:rPr>
          <w:rFonts w:ascii="Arial Narrow" w:hAnsi="Arial Narrow"/>
          <w:sz w:val="24"/>
          <w:szCs w:val="24"/>
        </w:rPr>
      </w:pPr>
      <w:r w:rsidRPr="00270770">
        <w:rPr>
          <w:rFonts w:ascii="Arial Narrow" w:hAnsi="Arial Narrow"/>
          <w:sz w:val="24"/>
          <w:szCs w:val="24"/>
        </w:rPr>
        <w:t xml:space="preserve">Notwithstanding the difficult situation, government aims </w:t>
      </w:r>
      <w:r w:rsidR="00AD5E6D" w:rsidRPr="00270770">
        <w:rPr>
          <w:rFonts w:ascii="Arial Narrow" w:hAnsi="Arial Narrow"/>
          <w:sz w:val="24"/>
          <w:szCs w:val="24"/>
        </w:rPr>
        <w:t>to prioritise infrastructure investment to support economic growth and social development to create employment, reduce poverty and inequality. It is argued that the country urgently needs higher inclusive economic growth, the</w:t>
      </w:r>
      <w:r w:rsidR="00E54E0C">
        <w:rPr>
          <w:rFonts w:ascii="Arial Narrow" w:hAnsi="Arial Narrow"/>
          <w:sz w:val="24"/>
          <w:szCs w:val="24"/>
        </w:rPr>
        <w:t xml:space="preserve"> rapid</w:t>
      </w:r>
      <w:r w:rsidR="00AD5E6D" w:rsidRPr="00270770">
        <w:rPr>
          <w:rFonts w:ascii="Arial Narrow" w:hAnsi="Arial Narrow"/>
          <w:sz w:val="24"/>
          <w:szCs w:val="24"/>
        </w:rPr>
        <w:t xml:space="preserve"> implementation of the National Development Plan, and a stronger social partnership with business, </w:t>
      </w:r>
      <w:r w:rsidR="00EF627A" w:rsidRPr="00270770">
        <w:rPr>
          <w:rFonts w:ascii="Arial Narrow" w:hAnsi="Arial Narrow"/>
          <w:sz w:val="24"/>
          <w:szCs w:val="24"/>
        </w:rPr>
        <w:t xml:space="preserve">organised </w:t>
      </w:r>
      <w:r w:rsidR="00AD5E6D" w:rsidRPr="00270770">
        <w:rPr>
          <w:rFonts w:ascii="Arial Narrow" w:hAnsi="Arial Narrow"/>
          <w:sz w:val="24"/>
          <w:szCs w:val="24"/>
        </w:rPr>
        <w:t>labour and civil society to collectively confront the structural challenges that the country faces. In addition to the above, t</w:t>
      </w:r>
      <w:r w:rsidR="008E2A71" w:rsidRPr="00270770">
        <w:rPr>
          <w:rFonts w:ascii="Arial Narrow" w:hAnsi="Arial Narrow"/>
          <w:sz w:val="24"/>
          <w:szCs w:val="24"/>
        </w:rPr>
        <w:t>he 2015 Bud</w:t>
      </w:r>
      <w:r w:rsidR="0025106B" w:rsidRPr="00270770">
        <w:rPr>
          <w:rFonts w:ascii="Arial Narrow" w:hAnsi="Arial Narrow"/>
          <w:sz w:val="24"/>
          <w:szCs w:val="24"/>
        </w:rPr>
        <w:t xml:space="preserve">get is aimed at </w:t>
      </w:r>
      <w:r w:rsidR="008E2A71" w:rsidRPr="00270770">
        <w:rPr>
          <w:rFonts w:ascii="Arial Narrow" w:hAnsi="Arial Narrow"/>
          <w:sz w:val="24"/>
          <w:szCs w:val="24"/>
        </w:rPr>
        <w:t xml:space="preserve">rebalancing fiscal policy to give greater impetus to investment, to support enterprise development, to promote agriculture and industry and to make our cities </w:t>
      </w:r>
      <w:r w:rsidR="003411F8" w:rsidRPr="00270770">
        <w:rPr>
          <w:rFonts w:ascii="Arial Narrow" w:hAnsi="Arial Narrow"/>
          <w:sz w:val="24"/>
          <w:szCs w:val="24"/>
        </w:rPr>
        <w:t>and disadvantaged townships</w:t>
      </w:r>
      <w:r w:rsidR="00E54E0C">
        <w:rPr>
          <w:rFonts w:ascii="Arial Narrow" w:hAnsi="Arial Narrow"/>
          <w:sz w:val="24"/>
          <w:szCs w:val="24"/>
        </w:rPr>
        <w:t>, the</w:t>
      </w:r>
      <w:r w:rsidR="003411F8" w:rsidRPr="00270770">
        <w:rPr>
          <w:rFonts w:ascii="Arial Narrow" w:hAnsi="Arial Narrow"/>
          <w:sz w:val="24"/>
          <w:szCs w:val="24"/>
        </w:rPr>
        <w:t xml:space="preserve"> </w:t>
      </w:r>
      <w:r w:rsidR="008E2A71" w:rsidRPr="00270770">
        <w:rPr>
          <w:rFonts w:ascii="Arial Narrow" w:hAnsi="Arial Narrow"/>
          <w:sz w:val="24"/>
          <w:szCs w:val="24"/>
        </w:rPr>
        <w:t>en</w:t>
      </w:r>
      <w:r w:rsidR="0025106B" w:rsidRPr="00270770">
        <w:rPr>
          <w:rFonts w:ascii="Arial Narrow" w:hAnsi="Arial Narrow"/>
          <w:sz w:val="24"/>
          <w:szCs w:val="24"/>
        </w:rPr>
        <w:t xml:space="preserve">gines of </w:t>
      </w:r>
      <w:r w:rsidR="003411F8" w:rsidRPr="00270770">
        <w:rPr>
          <w:rFonts w:ascii="Arial Narrow" w:hAnsi="Arial Narrow"/>
          <w:sz w:val="24"/>
          <w:szCs w:val="24"/>
        </w:rPr>
        <w:t xml:space="preserve">future inclusive economic </w:t>
      </w:r>
      <w:r w:rsidR="0025106B" w:rsidRPr="00270770">
        <w:rPr>
          <w:rFonts w:ascii="Arial Narrow" w:hAnsi="Arial Narrow"/>
          <w:sz w:val="24"/>
          <w:szCs w:val="24"/>
        </w:rPr>
        <w:t>growth.</w:t>
      </w:r>
    </w:p>
    <w:p w:rsidR="00AD5E6D" w:rsidRPr="00270770" w:rsidRDefault="00AD5E6D" w:rsidP="00AD5E6D">
      <w:pPr>
        <w:spacing w:line="360" w:lineRule="auto"/>
        <w:jc w:val="both"/>
        <w:rPr>
          <w:rFonts w:ascii="Arial Narrow" w:hAnsi="Arial Narrow"/>
          <w:sz w:val="24"/>
          <w:szCs w:val="24"/>
        </w:rPr>
      </w:pPr>
    </w:p>
    <w:p w:rsidR="00E54E0C" w:rsidRDefault="00AD5E6D" w:rsidP="00D22B4D">
      <w:pPr>
        <w:spacing w:line="360" w:lineRule="auto"/>
        <w:jc w:val="both"/>
        <w:rPr>
          <w:rFonts w:ascii="Arial Narrow" w:hAnsi="Arial Narrow"/>
          <w:sz w:val="24"/>
          <w:szCs w:val="24"/>
        </w:rPr>
      </w:pPr>
      <w:r w:rsidRPr="00270770">
        <w:rPr>
          <w:rFonts w:ascii="Arial Narrow" w:hAnsi="Arial Narrow"/>
          <w:sz w:val="24"/>
          <w:szCs w:val="24"/>
        </w:rPr>
        <w:t xml:space="preserve">Nevertheless, the post budget meeting between the Minister of Finance and the social partners in NEDLAC </w:t>
      </w:r>
      <w:r w:rsidR="00EF627A" w:rsidRPr="00270770">
        <w:rPr>
          <w:rFonts w:ascii="Arial Narrow" w:hAnsi="Arial Narrow"/>
          <w:sz w:val="24"/>
          <w:szCs w:val="24"/>
        </w:rPr>
        <w:t>illustrates the lack of trust between government and organised labou</w:t>
      </w:r>
      <w:r w:rsidR="00143772" w:rsidRPr="00270770">
        <w:rPr>
          <w:rFonts w:ascii="Arial Narrow" w:hAnsi="Arial Narrow"/>
          <w:sz w:val="24"/>
          <w:szCs w:val="24"/>
        </w:rPr>
        <w:t>r. Labour argues that the Ministry of Finance</w:t>
      </w:r>
      <w:r w:rsidR="00EF627A" w:rsidRPr="00270770">
        <w:rPr>
          <w:rFonts w:ascii="Arial Narrow" w:hAnsi="Arial Narrow"/>
          <w:sz w:val="24"/>
          <w:szCs w:val="24"/>
        </w:rPr>
        <w:t xml:space="preserve"> talks left about social partnerships but walks right with regard to uni</w:t>
      </w:r>
      <w:r w:rsidR="00143772" w:rsidRPr="00270770">
        <w:rPr>
          <w:rFonts w:ascii="Arial Narrow" w:hAnsi="Arial Narrow"/>
          <w:sz w:val="24"/>
          <w:szCs w:val="24"/>
        </w:rPr>
        <w:t>lateralism and the lack of genuine consultation, information sharing and negotiations. Labour illustrates this argument based</w:t>
      </w:r>
      <w:r w:rsidR="000E5F2A" w:rsidRPr="00270770">
        <w:rPr>
          <w:rFonts w:ascii="Arial Narrow" w:hAnsi="Arial Narrow"/>
          <w:sz w:val="24"/>
          <w:szCs w:val="24"/>
        </w:rPr>
        <w:t xml:space="preserve"> on the fact that</w:t>
      </w:r>
      <w:r w:rsidR="00143772" w:rsidRPr="00270770">
        <w:rPr>
          <w:rFonts w:ascii="Arial Narrow" w:hAnsi="Arial Narrow"/>
          <w:sz w:val="24"/>
          <w:szCs w:val="24"/>
        </w:rPr>
        <w:t xml:space="preserve"> the Finance Ministry </w:t>
      </w:r>
      <w:r w:rsidR="00B81609" w:rsidRPr="00270770">
        <w:rPr>
          <w:rFonts w:ascii="Arial Narrow" w:hAnsi="Arial Narrow"/>
          <w:sz w:val="24"/>
          <w:szCs w:val="24"/>
        </w:rPr>
        <w:t>has developed an approach of acting unilaterally</w:t>
      </w:r>
      <w:r w:rsidR="000E5F2A" w:rsidRPr="00270770">
        <w:rPr>
          <w:rFonts w:ascii="Arial Narrow" w:hAnsi="Arial Narrow"/>
          <w:sz w:val="24"/>
          <w:szCs w:val="24"/>
        </w:rPr>
        <w:t xml:space="preserve">. This is illustrated </w:t>
      </w:r>
      <w:r w:rsidR="008609B6" w:rsidRPr="00270770">
        <w:rPr>
          <w:rFonts w:ascii="Arial Narrow" w:hAnsi="Arial Narrow"/>
          <w:sz w:val="24"/>
          <w:szCs w:val="24"/>
        </w:rPr>
        <w:t xml:space="preserve">through the </w:t>
      </w:r>
      <w:r w:rsidR="00B81609" w:rsidRPr="00270770">
        <w:rPr>
          <w:rFonts w:ascii="Arial Narrow" w:hAnsi="Arial Narrow"/>
          <w:sz w:val="24"/>
          <w:szCs w:val="24"/>
        </w:rPr>
        <w:t xml:space="preserve">implementation of </w:t>
      </w:r>
      <w:r w:rsidR="008609B6" w:rsidRPr="00270770">
        <w:rPr>
          <w:rFonts w:ascii="Arial Narrow" w:hAnsi="Arial Narrow"/>
          <w:sz w:val="24"/>
          <w:szCs w:val="24"/>
        </w:rPr>
        <w:t>the Youth Employment Incentive S</w:t>
      </w:r>
      <w:r w:rsidR="00B81609" w:rsidRPr="00270770">
        <w:rPr>
          <w:rFonts w:ascii="Arial Narrow" w:hAnsi="Arial Narrow"/>
          <w:sz w:val="24"/>
          <w:szCs w:val="24"/>
        </w:rPr>
        <w:t>cheme</w:t>
      </w:r>
      <w:r w:rsidR="008609B6" w:rsidRPr="00270770">
        <w:rPr>
          <w:rFonts w:ascii="Arial Narrow" w:hAnsi="Arial Narrow"/>
          <w:sz w:val="24"/>
          <w:szCs w:val="24"/>
        </w:rPr>
        <w:t xml:space="preserve">, </w:t>
      </w:r>
      <w:r w:rsidR="00B81609" w:rsidRPr="00270770">
        <w:rPr>
          <w:rFonts w:ascii="Arial Narrow" w:hAnsi="Arial Narrow"/>
          <w:sz w:val="24"/>
          <w:szCs w:val="24"/>
        </w:rPr>
        <w:t>the submission of the social security protection</w:t>
      </w:r>
      <w:r w:rsidR="008609B6" w:rsidRPr="00270770">
        <w:rPr>
          <w:rFonts w:ascii="Arial Narrow" w:hAnsi="Arial Narrow"/>
          <w:sz w:val="24"/>
          <w:szCs w:val="24"/>
        </w:rPr>
        <w:t xml:space="preserve"> proposals to NEDLAC, the Retirement Reform </w:t>
      </w:r>
      <w:r w:rsidR="00B81609" w:rsidRPr="00270770">
        <w:rPr>
          <w:rFonts w:ascii="Arial Narrow" w:hAnsi="Arial Narrow"/>
          <w:sz w:val="24"/>
          <w:szCs w:val="24"/>
        </w:rPr>
        <w:t>and in 2015 the Unemployment Insurance Fund</w:t>
      </w:r>
      <w:r w:rsidR="008609B6" w:rsidRPr="00270770">
        <w:rPr>
          <w:rFonts w:ascii="Arial Narrow" w:hAnsi="Arial Narrow"/>
          <w:sz w:val="24"/>
          <w:szCs w:val="24"/>
        </w:rPr>
        <w:t xml:space="preserve">. </w:t>
      </w:r>
    </w:p>
    <w:p w:rsidR="00A02C50" w:rsidRPr="00270770" w:rsidRDefault="008609B6" w:rsidP="00D22B4D">
      <w:pPr>
        <w:spacing w:line="360" w:lineRule="auto"/>
        <w:jc w:val="both"/>
        <w:rPr>
          <w:rFonts w:ascii="Arial Narrow" w:hAnsi="Arial Narrow"/>
          <w:sz w:val="24"/>
          <w:szCs w:val="24"/>
        </w:rPr>
      </w:pPr>
      <w:r w:rsidRPr="00270770">
        <w:rPr>
          <w:rFonts w:ascii="Arial Narrow" w:hAnsi="Arial Narrow"/>
          <w:sz w:val="24"/>
          <w:szCs w:val="24"/>
        </w:rPr>
        <w:t>Notwithstanding, the aforem</w:t>
      </w:r>
      <w:r w:rsidR="008921CD" w:rsidRPr="00270770">
        <w:rPr>
          <w:rFonts w:ascii="Arial Narrow" w:hAnsi="Arial Narrow"/>
          <w:sz w:val="24"/>
          <w:szCs w:val="24"/>
        </w:rPr>
        <w:t>entioned the Federation of Unions of South Africa (FEDUSA) will discuss this negative</w:t>
      </w:r>
      <w:r w:rsidRPr="00270770">
        <w:rPr>
          <w:rFonts w:ascii="Arial Narrow" w:hAnsi="Arial Narrow"/>
          <w:sz w:val="24"/>
          <w:szCs w:val="24"/>
        </w:rPr>
        <w:t xml:space="preserve"> trend with the Leader of Government Business; the Deputy President</w:t>
      </w:r>
      <w:r w:rsidR="00E54E0C">
        <w:rPr>
          <w:rFonts w:ascii="Arial Narrow" w:hAnsi="Arial Narrow"/>
          <w:sz w:val="24"/>
          <w:szCs w:val="24"/>
        </w:rPr>
        <w:t>,</w:t>
      </w:r>
      <w:r w:rsidRPr="00270770">
        <w:rPr>
          <w:rFonts w:ascii="Arial Narrow" w:hAnsi="Arial Narrow"/>
          <w:sz w:val="24"/>
          <w:szCs w:val="24"/>
        </w:rPr>
        <w:t xml:space="preserve"> to ensure the principles of social partnership and collaboration with organised lab</w:t>
      </w:r>
      <w:r w:rsidR="008921CD" w:rsidRPr="00270770">
        <w:rPr>
          <w:rFonts w:ascii="Arial Narrow" w:hAnsi="Arial Narrow"/>
          <w:sz w:val="24"/>
          <w:szCs w:val="24"/>
        </w:rPr>
        <w:t>our is respected and honoured.</w:t>
      </w:r>
    </w:p>
    <w:p w:rsidR="0025106B" w:rsidRDefault="00822746" w:rsidP="00270770">
      <w:pPr>
        <w:pStyle w:val="Heading1"/>
      </w:pPr>
      <w:bookmarkStart w:id="1" w:name="_Toc413130769"/>
      <w:r w:rsidRPr="00822746">
        <w:lastRenderedPageBreak/>
        <w:t>GROWTH PRIORITIES</w:t>
      </w:r>
      <w:bookmarkEnd w:id="1"/>
    </w:p>
    <w:p w:rsidR="00822746" w:rsidRPr="00822746" w:rsidRDefault="00822746" w:rsidP="00270770"/>
    <w:p w:rsidR="0025106B" w:rsidRPr="00270770" w:rsidRDefault="00A275E3" w:rsidP="00270770">
      <w:pPr>
        <w:pStyle w:val="Heading2"/>
      </w:pPr>
      <w:bookmarkStart w:id="2" w:name="_Toc413130770"/>
      <w:r w:rsidRPr="00270770">
        <w:t>Electricity constraint</w:t>
      </w:r>
      <w:bookmarkEnd w:id="2"/>
      <w:r w:rsidRPr="00270770">
        <w:t xml:space="preserve"> </w:t>
      </w:r>
    </w:p>
    <w:p w:rsidR="00A275E3" w:rsidRPr="00270770" w:rsidRDefault="00A275E3" w:rsidP="00A275E3">
      <w:pPr>
        <w:rPr>
          <w:rFonts w:ascii="Arial Narrow" w:hAnsi="Arial Narrow"/>
          <w:sz w:val="24"/>
          <w:szCs w:val="24"/>
        </w:rPr>
      </w:pPr>
    </w:p>
    <w:p w:rsidR="00D342D1" w:rsidRPr="00270770" w:rsidRDefault="00E54E0C" w:rsidP="00B30D47">
      <w:pPr>
        <w:spacing w:line="360" w:lineRule="auto"/>
        <w:jc w:val="both"/>
        <w:rPr>
          <w:rFonts w:ascii="Arial Narrow" w:hAnsi="Arial Narrow"/>
          <w:sz w:val="24"/>
          <w:szCs w:val="24"/>
        </w:rPr>
      </w:pPr>
      <w:r>
        <w:rPr>
          <w:rFonts w:ascii="Arial Narrow" w:hAnsi="Arial Narrow"/>
          <w:sz w:val="24"/>
          <w:szCs w:val="24"/>
        </w:rPr>
        <w:t>FEDUSA</w:t>
      </w:r>
      <w:r w:rsidR="008A7595" w:rsidRPr="00270770">
        <w:rPr>
          <w:rFonts w:ascii="Arial Narrow" w:hAnsi="Arial Narrow"/>
          <w:sz w:val="24"/>
          <w:szCs w:val="24"/>
        </w:rPr>
        <w:t xml:space="preserve"> argues that the electricity constraint is the most pressing</w:t>
      </w:r>
      <w:r>
        <w:rPr>
          <w:rFonts w:ascii="Arial Narrow" w:hAnsi="Arial Narrow"/>
          <w:sz w:val="24"/>
          <w:szCs w:val="24"/>
        </w:rPr>
        <w:t xml:space="preserve"> issue</w:t>
      </w:r>
      <w:r w:rsidR="008A7595" w:rsidRPr="00270770">
        <w:rPr>
          <w:rFonts w:ascii="Arial Narrow" w:hAnsi="Arial Narrow"/>
          <w:sz w:val="24"/>
          <w:szCs w:val="24"/>
        </w:rPr>
        <w:t xml:space="preserve"> and unreliable levels of energy supply have the potential to undermine economic growth. The electricity constraint also has the ability to seriously affect investor confidence that could hinder investment </w:t>
      </w:r>
      <w:r w:rsidR="00D342D1" w:rsidRPr="00270770">
        <w:rPr>
          <w:rFonts w:ascii="Arial Narrow" w:hAnsi="Arial Narrow"/>
          <w:sz w:val="24"/>
          <w:szCs w:val="24"/>
        </w:rPr>
        <w:t>in the country.</w:t>
      </w:r>
      <w:r w:rsidR="008A7595" w:rsidRPr="00270770">
        <w:rPr>
          <w:rFonts w:ascii="Arial Narrow" w:hAnsi="Arial Narrow"/>
          <w:sz w:val="24"/>
          <w:szCs w:val="24"/>
        </w:rPr>
        <w:t xml:space="preserve"> </w:t>
      </w:r>
      <w:r w:rsidR="00D342D1" w:rsidRPr="00270770">
        <w:rPr>
          <w:rFonts w:ascii="Arial Narrow" w:hAnsi="Arial Narrow"/>
          <w:sz w:val="24"/>
          <w:szCs w:val="24"/>
        </w:rPr>
        <w:t xml:space="preserve">It is therefore essential for the social partners to address the crosscutting constraint of electricity supply and introduce new measures </w:t>
      </w:r>
      <w:r>
        <w:rPr>
          <w:rFonts w:ascii="Arial Narrow" w:hAnsi="Arial Narrow"/>
          <w:sz w:val="24"/>
          <w:szCs w:val="24"/>
        </w:rPr>
        <w:t xml:space="preserve">to </w:t>
      </w:r>
      <w:r w:rsidR="00D342D1" w:rsidRPr="00270770">
        <w:rPr>
          <w:rFonts w:ascii="Arial Narrow" w:hAnsi="Arial Narrow"/>
          <w:sz w:val="24"/>
          <w:szCs w:val="24"/>
        </w:rPr>
        <w:t>reduce the demand for electricity by at least 2500 megawatt</w:t>
      </w:r>
      <w:r>
        <w:rPr>
          <w:rFonts w:ascii="Arial Narrow" w:hAnsi="Arial Narrow"/>
          <w:sz w:val="24"/>
          <w:szCs w:val="24"/>
        </w:rPr>
        <w:t>s</w:t>
      </w:r>
      <w:r w:rsidR="00D342D1" w:rsidRPr="00270770">
        <w:rPr>
          <w:rFonts w:ascii="Arial Narrow" w:hAnsi="Arial Narrow"/>
          <w:sz w:val="24"/>
          <w:szCs w:val="24"/>
        </w:rPr>
        <w:t xml:space="preserve">. It is important for government to work together with labour and business in this regard through the participation in the war room interventions. FEDUSA welcomes the reduction of </w:t>
      </w:r>
      <w:r w:rsidR="00A0363B" w:rsidRPr="00270770">
        <w:rPr>
          <w:rFonts w:ascii="Arial Narrow" w:hAnsi="Arial Narrow"/>
          <w:sz w:val="24"/>
          <w:szCs w:val="24"/>
        </w:rPr>
        <w:t xml:space="preserve">the </w:t>
      </w:r>
      <w:r w:rsidR="00D342D1" w:rsidRPr="00270770">
        <w:rPr>
          <w:rFonts w:ascii="Arial Narrow" w:hAnsi="Arial Narrow"/>
          <w:sz w:val="24"/>
          <w:szCs w:val="24"/>
        </w:rPr>
        <w:t xml:space="preserve">price </w:t>
      </w:r>
      <w:r>
        <w:rPr>
          <w:rFonts w:ascii="Arial Narrow" w:hAnsi="Arial Narrow"/>
          <w:sz w:val="24"/>
          <w:szCs w:val="24"/>
        </w:rPr>
        <w:t xml:space="preserve">of </w:t>
      </w:r>
      <w:r w:rsidR="00D342D1" w:rsidRPr="00270770">
        <w:rPr>
          <w:rFonts w:ascii="Arial Narrow" w:hAnsi="Arial Narrow"/>
          <w:sz w:val="24"/>
          <w:szCs w:val="24"/>
        </w:rPr>
        <w:t>electric</w:t>
      </w:r>
      <w:r w:rsidR="00A0363B" w:rsidRPr="00270770">
        <w:rPr>
          <w:rFonts w:ascii="Arial Narrow" w:hAnsi="Arial Narrow"/>
          <w:sz w:val="24"/>
          <w:szCs w:val="24"/>
        </w:rPr>
        <w:t>i</w:t>
      </w:r>
      <w:r w:rsidR="00D342D1" w:rsidRPr="00270770">
        <w:rPr>
          <w:rFonts w:ascii="Arial Narrow" w:hAnsi="Arial Narrow"/>
          <w:sz w:val="24"/>
          <w:szCs w:val="24"/>
        </w:rPr>
        <w:t xml:space="preserve">ty generated from wind </w:t>
      </w:r>
      <w:r w:rsidR="00A0363B" w:rsidRPr="00270770">
        <w:rPr>
          <w:rFonts w:ascii="Arial Narrow" w:hAnsi="Arial Narrow"/>
          <w:sz w:val="24"/>
          <w:szCs w:val="24"/>
        </w:rPr>
        <w:t>–</w:t>
      </w:r>
      <w:r w:rsidR="00D342D1" w:rsidRPr="00270770">
        <w:rPr>
          <w:rFonts w:ascii="Arial Narrow" w:hAnsi="Arial Narrow"/>
          <w:sz w:val="24"/>
          <w:szCs w:val="24"/>
        </w:rPr>
        <w:t xml:space="preserve"> </w:t>
      </w:r>
      <w:r w:rsidR="00A0363B" w:rsidRPr="00270770">
        <w:rPr>
          <w:rFonts w:ascii="Arial Narrow" w:hAnsi="Arial Narrow"/>
          <w:sz w:val="24"/>
          <w:szCs w:val="24"/>
        </w:rPr>
        <w:t>that has</w:t>
      </w:r>
      <w:r w:rsidR="00D342D1" w:rsidRPr="00270770">
        <w:rPr>
          <w:rFonts w:ascii="Arial Narrow" w:hAnsi="Arial Narrow"/>
          <w:sz w:val="24"/>
          <w:szCs w:val="24"/>
        </w:rPr>
        <w:t xml:space="preserve"> dropped from R11.43 per kilowatt hour (kWh) in the first round to R6.65/kWh in the third round.</w:t>
      </w:r>
    </w:p>
    <w:p w:rsidR="00D342D1" w:rsidRPr="00270770" w:rsidRDefault="00D342D1" w:rsidP="00B30D47">
      <w:pPr>
        <w:spacing w:line="360" w:lineRule="auto"/>
        <w:jc w:val="both"/>
        <w:rPr>
          <w:rFonts w:ascii="Arial Narrow" w:hAnsi="Arial Narrow"/>
          <w:sz w:val="24"/>
          <w:szCs w:val="24"/>
        </w:rPr>
      </w:pPr>
    </w:p>
    <w:p w:rsidR="00361C03" w:rsidRPr="00270770" w:rsidRDefault="008921CD" w:rsidP="00B30D47">
      <w:pPr>
        <w:spacing w:line="360" w:lineRule="auto"/>
        <w:jc w:val="both"/>
        <w:rPr>
          <w:rFonts w:ascii="Arial Narrow" w:hAnsi="Arial Narrow"/>
          <w:sz w:val="24"/>
          <w:szCs w:val="24"/>
        </w:rPr>
      </w:pPr>
      <w:r w:rsidRPr="00270770">
        <w:rPr>
          <w:rFonts w:ascii="Arial Narrow" w:hAnsi="Arial Narrow"/>
          <w:sz w:val="24"/>
          <w:szCs w:val="24"/>
        </w:rPr>
        <w:t xml:space="preserve">FEDUSA supports the prioritisation </w:t>
      </w:r>
      <w:r w:rsidR="00D342D1" w:rsidRPr="00270770">
        <w:rPr>
          <w:rFonts w:ascii="Arial Narrow" w:hAnsi="Arial Narrow"/>
          <w:sz w:val="24"/>
          <w:szCs w:val="24"/>
        </w:rPr>
        <w:t xml:space="preserve">of </w:t>
      </w:r>
      <w:r w:rsidRPr="00270770">
        <w:rPr>
          <w:rFonts w:ascii="Arial Narrow" w:hAnsi="Arial Narrow"/>
          <w:sz w:val="24"/>
          <w:szCs w:val="24"/>
        </w:rPr>
        <w:t xml:space="preserve">special interventions </w:t>
      </w:r>
      <w:r w:rsidR="004A6320" w:rsidRPr="00270770">
        <w:rPr>
          <w:rFonts w:ascii="Arial Narrow" w:hAnsi="Arial Narrow"/>
          <w:sz w:val="24"/>
          <w:szCs w:val="24"/>
        </w:rPr>
        <w:t xml:space="preserve">in tourism, </w:t>
      </w:r>
      <w:r w:rsidR="004D4738" w:rsidRPr="00270770">
        <w:rPr>
          <w:rFonts w:ascii="Arial Narrow" w:hAnsi="Arial Narrow"/>
          <w:sz w:val="24"/>
          <w:szCs w:val="24"/>
        </w:rPr>
        <w:t>agro</w:t>
      </w:r>
      <w:r w:rsidR="004A6320" w:rsidRPr="00270770">
        <w:rPr>
          <w:rFonts w:ascii="Arial Narrow" w:hAnsi="Arial Narrow"/>
          <w:sz w:val="24"/>
          <w:szCs w:val="24"/>
        </w:rPr>
        <w:t xml:space="preserve">-processing, light manufacturing and services </w:t>
      </w:r>
      <w:r w:rsidRPr="00270770">
        <w:rPr>
          <w:rFonts w:ascii="Arial Narrow" w:hAnsi="Arial Narrow"/>
          <w:sz w:val="24"/>
          <w:szCs w:val="24"/>
        </w:rPr>
        <w:t>to create decent employment</w:t>
      </w:r>
      <w:r w:rsidR="004D4738" w:rsidRPr="00270770">
        <w:rPr>
          <w:rFonts w:ascii="Arial Narrow" w:hAnsi="Arial Narrow"/>
          <w:sz w:val="24"/>
          <w:szCs w:val="24"/>
        </w:rPr>
        <w:t xml:space="preserve"> and inclusive economic growth</w:t>
      </w:r>
      <w:r w:rsidR="00D342D1" w:rsidRPr="00270770">
        <w:rPr>
          <w:rFonts w:ascii="Arial Narrow" w:hAnsi="Arial Narrow"/>
          <w:sz w:val="24"/>
          <w:szCs w:val="24"/>
        </w:rPr>
        <w:t xml:space="preserve">. </w:t>
      </w:r>
      <w:r w:rsidR="00A0363B" w:rsidRPr="00270770">
        <w:rPr>
          <w:rFonts w:ascii="Arial Narrow" w:hAnsi="Arial Narrow"/>
          <w:sz w:val="24"/>
          <w:szCs w:val="24"/>
        </w:rPr>
        <w:t>It is essential to invigorate the agriculture sector, as this industry is extremely labour intensive and require</w:t>
      </w:r>
      <w:r w:rsidR="00E54E0C">
        <w:rPr>
          <w:rFonts w:ascii="Arial Narrow" w:hAnsi="Arial Narrow"/>
          <w:sz w:val="24"/>
          <w:szCs w:val="24"/>
        </w:rPr>
        <w:t>s</w:t>
      </w:r>
      <w:r w:rsidR="00A0363B" w:rsidRPr="00270770">
        <w:rPr>
          <w:rFonts w:ascii="Arial Narrow" w:hAnsi="Arial Narrow"/>
          <w:sz w:val="24"/>
          <w:szCs w:val="24"/>
        </w:rPr>
        <w:t xml:space="preserve"> low and medium skills. </w:t>
      </w:r>
      <w:r w:rsidR="00073372" w:rsidRPr="00270770">
        <w:rPr>
          <w:rFonts w:ascii="Arial Narrow" w:hAnsi="Arial Narrow"/>
          <w:sz w:val="24"/>
          <w:szCs w:val="24"/>
        </w:rPr>
        <w:t xml:space="preserve">The nine-point plan </w:t>
      </w:r>
      <w:r w:rsidR="00A0363B" w:rsidRPr="00270770">
        <w:rPr>
          <w:rFonts w:ascii="Arial Narrow" w:hAnsi="Arial Narrow"/>
          <w:sz w:val="24"/>
          <w:szCs w:val="24"/>
        </w:rPr>
        <w:t xml:space="preserve">could </w:t>
      </w:r>
      <w:r w:rsidR="00E54E0C" w:rsidRPr="00270770">
        <w:rPr>
          <w:rFonts w:ascii="Arial Narrow" w:hAnsi="Arial Narrow"/>
          <w:sz w:val="24"/>
          <w:szCs w:val="24"/>
        </w:rPr>
        <w:t>bo</w:t>
      </w:r>
      <w:r w:rsidR="00E54E0C">
        <w:rPr>
          <w:rFonts w:ascii="Arial Narrow" w:hAnsi="Arial Narrow"/>
          <w:sz w:val="24"/>
          <w:szCs w:val="24"/>
        </w:rPr>
        <w:t>o</w:t>
      </w:r>
      <w:r w:rsidR="00E54E0C" w:rsidRPr="00270770">
        <w:rPr>
          <w:rFonts w:ascii="Arial Narrow" w:hAnsi="Arial Narrow"/>
          <w:sz w:val="24"/>
          <w:szCs w:val="24"/>
        </w:rPr>
        <w:t xml:space="preserve">st </w:t>
      </w:r>
      <w:r w:rsidR="00A0363B" w:rsidRPr="00270770">
        <w:rPr>
          <w:rFonts w:ascii="Arial Narrow" w:hAnsi="Arial Narrow"/>
          <w:sz w:val="24"/>
          <w:szCs w:val="24"/>
        </w:rPr>
        <w:t xml:space="preserve">inclusive economic </w:t>
      </w:r>
      <w:r w:rsidR="00073372" w:rsidRPr="00270770">
        <w:rPr>
          <w:rFonts w:ascii="Arial Narrow" w:hAnsi="Arial Narrow"/>
          <w:sz w:val="24"/>
          <w:szCs w:val="24"/>
        </w:rPr>
        <w:t xml:space="preserve">growth and create jobs </w:t>
      </w:r>
      <w:r w:rsidR="00A0363B" w:rsidRPr="00270770">
        <w:rPr>
          <w:rFonts w:ascii="Arial Narrow" w:hAnsi="Arial Narrow"/>
          <w:sz w:val="24"/>
          <w:szCs w:val="24"/>
        </w:rPr>
        <w:t>through unlocking the potential of the small business, as well as the ocean economy. Government need</w:t>
      </w:r>
      <w:r w:rsidR="00E54E0C">
        <w:rPr>
          <w:rFonts w:ascii="Arial Narrow" w:hAnsi="Arial Narrow"/>
          <w:sz w:val="24"/>
          <w:szCs w:val="24"/>
        </w:rPr>
        <w:t>s</w:t>
      </w:r>
      <w:r w:rsidR="00A0363B" w:rsidRPr="00270770">
        <w:rPr>
          <w:rFonts w:ascii="Arial Narrow" w:hAnsi="Arial Narrow"/>
          <w:sz w:val="24"/>
          <w:szCs w:val="24"/>
        </w:rPr>
        <w:t xml:space="preserve"> to do more other than just encourag</w:t>
      </w:r>
      <w:r w:rsidR="008157FA" w:rsidRPr="00270770">
        <w:rPr>
          <w:rFonts w:ascii="Arial Narrow" w:hAnsi="Arial Narrow"/>
          <w:sz w:val="24"/>
          <w:szCs w:val="24"/>
        </w:rPr>
        <w:t>ing private sector investment as this segment</w:t>
      </w:r>
      <w:r w:rsidR="00A0363B" w:rsidRPr="00270770">
        <w:rPr>
          <w:rFonts w:ascii="Arial Narrow" w:hAnsi="Arial Narrow"/>
          <w:sz w:val="24"/>
          <w:szCs w:val="24"/>
        </w:rPr>
        <w:t xml:space="preserve"> </w:t>
      </w:r>
      <w:r w:rsidR="00E54E0C">
        <w:rPr>
          <w:rFonts w:ascii="Arial Narrow" w:hAnsi="Arial Narrow"/>
          <w:sz w:val="24"/>
          <w:szCs w:val="24"/>
        </w:rPr>
        <w:t xml:space="preserve">is the </w:t>
      </w:r>
      <w:r w:rsidR="00A0363B" w:rsidRPr="00270770">
        <w:rPr>
          <w:rFonts w:ascii="Arial Narrow" w:hAnsi="Arial Narrow"/>
          <w:sz w:val="24"/>
          <w:szCs w:val="24"/>
        </w:rPr>
        <w:t>driving force beh</w:t>
      </w:r>
      <w:r w:rsidR="008157FA" w:rsidRPr="00270770">
        <w:rPr>
          <w:rFonts w:ascii="Arial Narrow" w:hAnsi="Arial Narrow"/>
          <w:sz w:val="24"/>
          <w:szCs w:val="24"/>
        </w:rPr>
        <w:t>ind reducing poverty, which is our</w:t>
      </w:r>
      <w:r w:rsidR="00A0363B" w:rsidRPr="00270770">
        <w:rPr>
          <w:rFonts w:ascii="Arial Narrow" w:hAnsi="Arial Narrow"/>
          <w:sz w:val="24"/>
          <w:szCs w:val="24"/>
        </w:rPr>
        <w:t xml:space="preserve"> key development </w:t>
      </w:r>
      <w:r w:rsidR="008157FA" w:rsidRPr="00270770">
        <w:rPr>
          <w:rFonts w:ascii="Arial Narrow" w:hAnsi="Arial Narrow"/>
          <w:sz w:val="24"/>
          <w:szCs w:val="24"/>
        </w:rPr>
        <w:t xml:space="preserve">and economic </w:t>
      </w:r>
      <w:r w:rsidR="00A0363B" w:rsidRPr="00270770">
        <w:rPr>
          <w:rFonts w:ascii="Arial Narrow" w:hAnsi="Arial Narrow"/>
          <w:sz w:val="24"/>
          <w:szCs w:val="24"/>
        </w:rPr>
        <w:t xml:space="preserve">objective. </w:t>
      </w:r>
      <w:r w:rsidR="008157FA" w:rsidRPr="00270770">
        <w:rPr>
          <w:rFonts w:ascii="Arial Narrow" w:hAnsi="Arial Narrow"/>
          <w:sz w:val="24"/>
          <w:szCs w:val="24"/>
        </w:rPr>
        <w:t>FEDUSA suggest</w:t>
      </w:r>
      <w:r w:rsidR="00E54E0C">
        <w:rPr>
          <w:rFonts w:ascii="Arial Narrow" w:hAnsi="Arial Narrow"/>
          <w:sz w:val="24"/>
          <w:szCs w:val="24"/>
        </w:rPr>
        <w:t>s</w:t>
      </w:r>
      <w:r w:rsidR="008157FA" w:rsidRPr="00270770">
        <w:rPr>
          <w:rFonts w:ascii="Arial Narrow" w:hAnsi="Arial Narrow"/>
          <w:sz w:val="24"/>
          <w:szCs w:val="24"/>
        </w:rPr>
        <w:t xml:space="preserve"> that investment by the </w:t>
      </w:r>
      <w:r w:rsidR="00A0363B" w:rsidRPr="00270770">
        <w:rPr>
          <w:rFonts w:ascii="Arial Narrow" w:hAnsi="Arial Narrow"/>
          <w:sz w:val="24"/>
          <w:szCs w:val="24"/>
        </w:rPr>
        <w:t>private sector in</w:t>
      </w:r>
      <w:r w:rsidR="008157FA" w:rsidRPr="00270770">
        <w:rPr>
          <w:rFonts w:ascii="Arial Narrow" w:hAnsi="Arial Narrow"/>
          <w:sz w:val="24"/>
          <w:szCs w:val="24"/>
        </w:rPr>
        <w:t xml:space="preserve"> our townships requires market </w:t>
      </w:r>
      <w:r w:rsidR="00A0363B" w:rsidRPr="00270770">
        <w:rPr>
          <w:rFonts w:ascii="Arial Narrow" w:hAnsi="Arial Narrow"/>
          <w:sz w:val="24"/>
          <w:szCs w:val="24"/>
        </w:rPr>
        <w:t>knowledge</w:t>
      </w:r>
      <w:r w:rsidR="008157FA" w:rsidRPr="00270770">
        <w:rPr>
          <w:rFonts w:ascii="Arial Narrow" w:hAnsi="Arial Narrow"/>
          <w:sz w:val="24"/>
          <w:szCs w:val="24"/>
        </w:rPr>
        <w:t xml:space="preserve"> and the ability to manage risks</w:t>
      </w:r>
      <w:r w:rsidR="00A0363B" w:rsidRPr="00270770">
        <w:rPr>
          <w:rFonts w:ascii="Arial Narrow" w:hAnsi="Arial Narrow"/>
          <w:sz w:val="24"/>
          <w:szCs w:val="24"/>
        </w:rPr>
        <w:t>.</w:t>
      </w:r>
      <w:r w:rsidR="008157FA" w:rsidRPr="00270770">
        <w:rPr>
          <w:rFonts w:ascii="Arial Narrow" w:hAnsi="Arial Narrow"/>
          <w:sz w:val="24"/>
          <w:szCs w:val="24"/>
        </w:rPr>
        <w:t xml:space="preserve"> </w:t>
      </w:r>
    </w:p>
    <w:p w:rsidR="00361C03" w:rsidRPr="00270770" w:rsidRDefault="00361C03" w:rsidP="00B30D47">
      <w:pPr>
        <w:spacing w:line="360" w:lineRule="auto"/>
        <w:jc w:val="both"/>
        <w:rPr>
          <w:rFonts w:ascii="Arial Narrow" w:hAnsi="Arial Narrow"/>
          <w:sz w:val="24"/>
          <w:szCs w:val="24"/>
        </w:rPr>
      </w:pPr>
    </w:p>
    <w:p w:rsidR="00A275E3" w:rsidRPr="00270770" w:rsidRDefault="00A275E3" w:rsidP="00270770">
      <w:pPr>
        <w:pStyle w:val="Heading2"/>
      </w:pPr>
      <w:bookmarkStart w:id="3" w:name="_Toc413130771"/>
      <w:r w:rsidRPr="00270770">
        <w:t>Investments to transform townships and cities</w:t>
      </w:r>
      <w:bookmarkEnd w:id="3"/>
    </w:p>
    <w:p w:rsidR="00A275E3" w:rsidRPr="00270770" w:rsidRDefault="00A275E3" w:rsidP="00361C03">
      <w:pPr>
        <w:spacing w:line="360" w:lineRule="auto"/>
        <w:jc w:val="both"/>
        <w:rPr>
          <w:rFonts w:ascii="Arial Narrow" w:hAnsi="Arial Narrow"/>
          <w:sz w:val="24"/>
          <w:szCs w:val="24"/>
        </w:rPr>
      </w:pPr>
    </w:p>
    <w:p w:rsidR="00361C03" w:rsidRPr="00270770" w:rsidRDefault="00361C03" w:rsidP="00361C03">
      <w:pPr>
        <w:spacing w:line="360" w:lineRule="auto"/>
        <w:jc w:val="both"/>
        <w:rPr>
          <w:rFonts w:ascii="Arial Narrow" w:hAnsi="Arial Narrow"/>
          <w:sz w:val="24"/>
          <w:szCs w:val="24"/>
        </w:rPr>
      </w:pPr>
      <w:r w:rsidRPr="00270770">
        <w:rPr>
          <w:rFonts w:ascii="Arial Narrow" w:hAnsi="Arial Narrow"/>
          <w:sz w:val="24"/>
          <w:szCs w:val="24"/>
        </w:rPr>
        <w:t>The World Bank in its Jobs Report</w:t>
      </w:r>
      <w:r w:rsidR="00E54E0C">
        <w:rPr>
          <w:rFonts w:ascii="Arial Narrow" w:hAnsi="Arial Narrow"/>
          <w:sz w:val="24"/>
          <w:szCs w:val="24"/>
        </w:rPr>
        <w:t xml:space="preserve"> (date)</w:t>
      </w:r>
      <w:r w:rsidRPr="00270770">
        <w:rPr>
          <w:rFonts w:ascii="Arial Narrow" w:hAnsi="Arial Narrow"/>
          <w:sz w:val="24"/>
          <w:szCs w:val="24"/>
        </w:rPr>
        <w:t xml:space="preserve"> concludes that unemployment in South Africa emanates mostly from the fact the informal sector is relatively small in comparison with similar other countries. South Africa is also different from these countries in other ways, too. During the apartheid period, slum clearance, harsh licensing, and strict zoning regulations </w:t>
      </w:r>
      <w:r w:rsidR="00E54E0C">
        <w:rPr>
          <w:rFonts w:ascii="Arial Narrow" w:hAnsi="Arial Narrow"/>
          <w:sz w:val="24"/>
          <w:szCs w:val="24"/>
        </w:rPr>
        <w:t xml:space="preserve">has </w:t>
      </w:r>
      <w:r w:rsidRPr="00270770">
        <w:rPr>
          <w:rFonts w:ascii="Arial Narrow" w:hAnsi="Arial Narrow"/>
          <w:sz w:val="24"/>
          <w:szCs w:val="24"/>
        </w:rPr>
        <w:t xml:space="preserve">rid our cities of black-dominated informal sector niches. FEDUSA recognises that two decades after the end of apartheid, spatial segregation remains, and investment in our townships are low.  The legacy of separation also results in high transportation costs for the unemployed, who tend </w:t>
      </w:r>
      <w:r w:rsidRPr="00270770">
        <w:rPr>
          <w:rFonts w:ascii="Arial Narrow" w:hAnsi="Arial Narrow"/>
          <w:sz w:val="24"/>
          <w:szCs w:val="24"/>
        </w:rPr>
        <w:lastRenderedPageBreak/>
        <w:t xml:space="preserve">to live far from where the jobs are. </w:t>
      </w:r>
      <w:r w:rsidR="00270770">
        <w:rPr>
          <w:rFonts w:ascii="Arial Narrow" w:hAnsi="Arial Narrow"/>
          <w:sz w:val="24"/>
          <w:szCs w:val="24"/>
        </w:rPr>
        <w:t>Thus</w:t>
      </w:r>
      <w:r w:rsidR="00BF4A86">
        <w:rPr>
          <w:rFonts w:ascii="Arial Narrow" w:hAnsi="Arial Narrow"/>
          <w:sz w:val="24"/>
          <w:szCs w:val="24"/>
        </w:rPr>
        <w:t>,</w:t>
      </w:r>
      <w:r w:rsidRPr="00270770">
        <w:rPr>
          <w:rFonts w:ascii="Arial Narrow" w:hAnsi="Arial Narrow"/>
          <w:sz w:val="24"/>
          <w:szCs w:val="24"/>
        </w:rPr>
        <w:t xml:space="preserve"> South Africa’s job creation problems may stem primarily from urban issues.</w:t>
      </w:r>
    </w:p>
    <w:p w:rsidR="00361C03" w:rsidRPr="00270770" w:rsidRDefault="00361C03" w:rsidP="00B30D47">
      <w:pPr>
        <w:spacing w:line="360" w:lineRule="auto"/>
        <w:jc w:val="both"/>
        <w:rPr>
          <w:rFonts w:ascii="Arial Narrow" w:hAnsi="Arial Narrow"/>
          <w:sz w:val="24"/>
          <w:szCs w:val="24"/>
        </w:rPr>
      </w:pPr>
    </w:p>
    <w:p w:rsidR="00073372" w:rsidRDefault="00AA797F" w:rsidP="00B30D47">
      <w:pPr>
        <w:spacing w:line="360" w:lineRule="auto"/>
        <w:jc w:val="both"/>
        <w:rPr>
          <w:rFonts w:ascii="Arial Narrow" w:hAnsi="Arial Narrow"/>
          <w:sz w:val="24"/>
          <w:szCs w:val="24"/>
        </w:rPr>
      </w:pPr>
      <w:r w:rsidRPr="00270770">
        <w:rPr>
          <w:rFonts w:ascii="Arial Narrow" w:hAnsi="Arial Narrow"/>
          <w:sz w:val="24"/>
          <w:szCs w:val="24"/>
        </w:rPr>
        <w:t xml:space="preserve">Various research findings conclude that higher rates of social and economic returns from investment in township public infrastructure and the </w:t>
      </w:r>
      <w:r w:rsidR="00A0363B" w:rsidRPr="00270770">
        <w:rPr>
          <w:rFonts w:ascii="Arial Narrow" w:hAnsi="Arial Narrow"/>
          <w:sz w:val="24"/>
          <w:szCs w:val="24"/>
        </w:rPr>
        <w:t xml:space="preserve">business community </w:t>
      </w:r>
      <w:r w:rsidRPr="00270770">
        <w:rPr>
          <w:rFonts w:ascii="Arial Narrow" w:hAnsi="Arial Narrow"/>
          <w:sz w:val="24"/>
          <w:szCs w:val="24"/>
        </w:rPr>
        <w:t>should consider</w:t>
      </w:r>
      <w:r w:rsidR="00A0363B" w:rsidRPr="00270770">
        <w:rPr>
          <w:rFonts w:ascii="Arial Narrow" w:hAnsi="Arial Narrow"/>
          <w:sz w:val="24"/>
          <w:szCs w:val="24"/>
        </w:rPr>
        <w:t xml:space="preserve"> new investments in </w:t>
      </w:r>
      <w:r w:rsidRPr="00270770">
        <w:rPr>
          <w:rFonts w:ascii="Arial Narrow" w:hAnsi="Arial Narrow"/>
          <w:sz w:val="24"/>
          <w:szCs w:val="24"/>
        </w:rPr>
        <w:t xml:space="preserve">township </w:t>
      </w:r>
      <w:r w:rsidR="00A0363B" w:rsidRPr="00270770">
        <w:rPr>
          <w:rFonts w:ascii="Arial Narrow" w:hAnsi="Arial Narrow"/>
          <w:sz w:val="24"/>
          <w:szCs w:val="24"/>
        </w:rPr>
        <w:t>markets</w:t>
      </w:r>
      <w:r w:rsidRPr="00270770">
        <w:rPr>
          <w:rFonts w:ascii="Arial Narrow" w:hAnsi="Arial Narrow"/>
          <w:sz w:val="24"/>
          <w:szCs w:val="24"/>
        </w:rPr>
        <w:t xml:space="preserve"> and through partnerships with local entrepreneurs. Investments in</w:t>
      </w:r>
      <w:r w:rsidR="00A275E3" w:rsidRPr="00270770">
        <w:rPr>
          <w:rFonts w:ascii="Arial Narrow" w:hAnsi="Arial Narrow"/>
          <w:sz w:val="24"/>
          <w:szCs w:val="24"/>
        </w:rPr>
        <w:t xml:space="preserve"> townships could also develop and inspire </w:t>
      </w:r>
      <w:r w:rsidRPr="00270770">
        <w:rPr>
          <w:rFonts w:ascii="Arial Narrow" w:hAnsi="Arial Narrow"/>
          <w:sz w:val="24"/>
          <w:szCs w:val="24"/>
        </w:rPr>
        <w:t>new emergent entrepreneurs</w:t>
      </w:r>
      <w:r w:rsidR="00A275E3" w:rsidRPr="00270770">
        <w:rPr>
          <w:rFonts w:ascii="Arial Narrow" w:hAnsi="Arial Narrow"/>
          <w:sz w:val="24"/>
          <w:szCs w:val="24"/>
        </w:rPr>
        <w:t>, however</w:t>
      </w:r>
      <w:r w:rsidRPr="00270770">
        <w:rPr>
          <w:rFonts w:ascii="Arial Narrow" w:hAnsi="Arial Narrow"/>
          <w:sz w:val="24"/>
          <w:szCs w:val="24"/>
        </w:rPr>
        <w:t xml:space="preserve"> the bas</w:t>
      </w:r>
      <w:r w:rsidR="00CD102C" w:rsidRPr="00270770">
        <w:rPr>
          <w:rFonts w:ascii="Arial Narrow" w:hAnsi="Arial Narrow"/>
          <w:sz w:val="24"/>
          <w:szCs w:val="24"/>
        </w:rPr>
        <w:t>ic public infrastructure is needed to advance township renewal</w:t>
      </w:r>
      <w:r w:rsidR="00A275E3" w:rsidRPr="00270770">
        <w:rPr>
          <w:rFonts w:ascii="Arial Narrow" w:hAnsi="Arial Narrow"/>
          <w:sz w:val="24"/>
          <w:szCs w:val="24"/>
        </w:rPr>
        <w:t xml:space="preserve"> to ensure</w:t>
      </w:r>
      <w:r w:rsidR="00A0363B" w:rsidRPr="00270770">
        <w:rPr>
          <w:rFonts w:ascii="Arial Narrow" w:hAnsi="Arial Narrow"/>
          <w:sz w:val="24"/>
          <w:szCs w:val="24"/>
        </w:rPr>
        <w:t xml:space="preserve"> commercial success</w:t>
      </w:r>
      <w:r w:rsidR="00A275E3" w:rsidRPr="00270770">
        <w:rPr>
          <w:rFonts w:ascii="Arial Narrow" w:hAnsi="Arial Narrow"/>
          <w:sz w:val="24"/>
          <w:szCs w:val="24"/>
        </w:rPr>
        <w:t xml:space="preserve">. The social partners should work together to enhance </w:t>
      </w:r>
      <w:r w:rsidR="00A0363B" w:rsidRPr="00270770">
        <w:rPr>
          <w:rFonts w:ascii="Arial Narrow" w:hAnsi="Arial Narrow"/>
          <w:sz w:val="24"/>
          <w:szCs w:val="24"/>
        </w:rPr>
        <w:t>employment</w:t>
      </w:r>
      <w:r w:rsidR="00A275E3" w:rsidRPr="00270770">
        <w:rPr>
          <w:rFonts w:ascii="Arial Narrow" w:hAnsi="Arial Narrow"/>
          <w:sz w:val="24"/>
          <w:szCs w:val="24"/>
        </w:rPr>
        <w:t xml:space="preserve"> creation</w:t>
      </w:r>
      <w:r w:rsidR="00A0363B" w:rsidRPr="00270770">
        <w:rPr>
          <w:rFonts w:ascii="Arial Narrow" w:hAnsi="Arial Narrow"/>
          <w:sz w:val="24"/>
          <w:szCs w:val="24"/>
        </w:rPr>
        <w:t>, increased knowledge</w:t>
      </w:r>
      <w:r w:rsidR="00A275E3" w:rsidRPr="00270770">
        <w:rPr>
          <w:rFonts w:ascii="Arial Narrow" w:hAnsi="Arial Narrow"/>
          <w:sz w:val="24"/>
          <w:szCs w:val="24"/>
        </w:rPr>
        <w:t xml:space="preserve"> sharing</w:t>
      </w:r>
      <w:r w:rsidR="00A0363B" w:rsidRPr="00270770">
        <w:rPr>
          <w:rFonts w:ascii="Arial Narrow" w:hAnsi="Arial Narrow"/>
          <w:sz w:val="24"/>
          <w:szCs w:val="24"/>
        </w:rPr>
        <w:t xml:space="preserve"> and growing income </w:t>
      </w:r>
      <w:r w:rsidR="00A275E3" w:rsidRPr="00270770">
        <w:rPr>
          <w:rFonts w:ascii="Arial Narrow" w:hAnsi="Arial Narrow"/>
          <w:sz w:val="24"/>
          <w:szCs w:val="24"/>
        </w:rPr>
        <w:t xml:space="preserve">for our people in townships and to develop real </w:t>
      </w:r>
      <w:r w:rsidR="00A0363B" w:rsidRPr="00270770">
        <w:rPr>
          <w:rFonts w:ascii="Arial Narrow" w:hAnsi="Arial Narrow"/>
          <w:sz w:val="24"/>
          <w:szCs w:val="24"/>
        </w:rPr>
        <w:t>return</w:t>
      </w:r>
      <w:r w:rsidR="00A275E3" w:rsidRPr="00270770">
        <w:rPr>
          <w:rFonts w:ascii="Arial Narrow" w:hAnsi="Arial Narrow"/>
          <w:sz w:val="24"/>
          <w:szCs w:val="24"/>
        </w:rPr>
        <w:t>s</w:t>
      </w:r>
      <w:r w:rsidR="00A0363B" w:rsidRPr="00270770">
        <w:rPr>
          <w:rFonts w:ascii="Arial Narrow" w:hAnsi="Arial Narrow"/>
          <w:sz w:val="24"/>
          <w:szCs w:val="24"/>
        </w:rPr>
        <w:t xml:space="preserve"> </w:t>
      </w:r>
      <w:r w:rsidR="00A275E3" w:rsidRPr="00270770">
        <w:rPr>
          <w:rFonts w:ascii="Arial Narrow" w:hAnsi="Arial Narrow"/>
          <w:sz w:val="24"/>
          <w:szCs w:val="24"/>
        </w:rPr>
        <w:t xml:space="preserve">for entrepreneurs and investors. </w:t>
      </w:r>
    </w:p>
    <w:p w:rsidR="00B32EFA" w:rsidRPr="00270770" w:rsidRDefault="00B32EFA" w:rsidP="00B30D47">
      <w:pPr>
        <w:spacing w:line="360" w:lineRule="auto"/>
        <w:jc w:val="both"/>
        <w:rPr>
          <w:rFonts w:ascii="Arial Narrow" w:hAnsi="Arial Narrow"/>
          <w:sz w:val="16"/>
          <w:szCs w:val="16"/>
        </w:rPr>
      </w:pPr>
    </w:p>
    <w:p w:rsidR="00073372" w:rsidRPr="00270770" w:rsidRDefault="00073372" w:rsidP="00270770">
      <w:pPr>
        <w:pStyle w:val="Heading2"/>
      </w:pPr>
      <w:bookmarkStart w:id="4" w:name="_Toc413130772"/>
      <w:r w:rsidRPr="00270770">
        <w:t>Investment-led growth</w:t>
      </w:r>
      <w:bookmarkEnd w:id="4"/>
    </w:p>
    <w:p w:rsidR="00763899" w:rsidRPr="00270770" w:rsidRDefault="00763899" w:rsidP="008921CD">
      <w:pPr>
        <w:spacing w:line="360" w:lineRule="auto"/>
        <w:jc w:val="both"/>
        <w:rPr>
          <w:rFonts w:ascii="Arial Narrow" w:hAnsi="Arial Narrow"/>
          <w:sz w:val="24"/>
          <w:szCs w:val="24"/>
        </w:rPr>
      </w:pPr>
    </w:p>
    <w:p w:rsidR="00763899" w:rsidRPr="00270770" w:rsidRDefault="00BF4A86" w:rsidP="008921CD">
      <w:pPr>
        <w:spacing w:line="360" w:lineRule="auto"/>
        <w:jc w:val="both"/>
        <w:rPr>
          <w:rFonts w:ascii="Arial Narrow" w:hAnsi="Arial Narrow"/>
          <w:sz w:val="24"/>
          <w:szCs w:val="24"/>
        </w:rPr>
      </w:pPr>
      <w:r>
        <w:rPr>
          <w:rFonts w:ascii="Arial Narrow" w:hAnsi="Arial Narrow"/>
          <w:sz w:val="24"/>
          <w:szCs w:val="24"/>
        </w:rPr>
        <w:t>(</w:t>
      </w:r>
      <w:r w:rsidR="006B7899" w:rsidRPr="00270770">
        <w:rPr>
          <w:rFonts w:ascii="Arial Narrow" w:hAnsi="Arial Narrow"/>
          <w:sz w:val="24"/>
          <w:szCs w:val="24"/>
        </w:rPr>
        <w:t>Dani Rodrik</w:t>
      </w:r>
      <w:r>
        <w:rPr>
          <w:rFonts w:ascii="Arial Narrow" w:hAnsi="Arial Narrow"/>
          <w:sz w:val="24"/>
          <w:szCs w:val="24"/>
        </w:rPr>
        <w:t>, date)</w:t>
      </w:r>
      <w:r w:rsidR="006B7899" w:rsidRPr="00270770">
        <w:rPr>
          <w:rFonts w:ascii="Arial Narrow" w:hAnsi="Arial Narrow"/>
          <w:sz w:val="24"/>
          <w:szCs w:val="24"/>
        </w:rPr>
        <w:t xml:space="preserve"> argues that every growth and investment-led model has ended in an unsustainable debt burden, as a result of pricing signals and skewed incentives at the policy design level. It is necessary to understand that investment could become excessive and le</w:t>
      </w:r>
      <w:r>
        <w:rPr>
          <w:rFonts w:ascii="Arial Narrow" w:hAnsi="Arial Narrow"/>
          <w:sz w:val="24"/>
          <w:szCs w:val="24"/>
        </w:rPr>
        <w:t>a</w:t>
      </w:r>
      <w:r w:rsidR="006B7899" w:rsidRPr="00270770">
        <w:rPr>
          <w:rFonts w:ascii="Arial Narrow" w:hAnsi="Arial Narrow"/>
          <w:sz w:val="24"/>
          <w:szCs w:val="24"/>
        </w:rPr>
        <w:t>d to debt rising fast</w:t>
      </w:r>
      <w:r w:rsidR="00FD60ED" w:rsidRPr="00270770">
        <w:rPr>
          <w:rFonts w:ascii="Arial Narrow" w:hAnsi="Arial Narrow"/>
          <w:sz w:val="24"/>
          <w:szCs w:val="24"/>
        </w:rPr>
        <w:t>er than debt-servicing capacity</w:t>
      </w:r>
      <w:r w:rsidR="0047668B" w:rsidRPr="00270770">
        <w:rPr>
          <w:rFonts w:ascii="Arial Narrow" w:hAnsi="Arial Narrow"/>
          <w:sz w:val="24"/>
          <w:szCs w:val="24"/>
        </w:rPr>
        <w:t xml:space="preserve">. It is equally important to recognise that foreign direct investment (FDI) will probable boost long term economic growth, as well as technological progression and knowledge spread. It is also important to realise that country specific factors such as institutional capacity, trade regime, political risks and policy certainty could assist the entire investment-led growth model </w:t>
      </w:r>
      <w:sdt>
        <w:sdtPr>
          <w:rPr>
            <w:rFonts w:ascii="Arial Narrow" w:hAnsi="Arial Narrow"/>
            <w:sz w:val="24"/>
            <w:szCs w:val="24"/>
          </w:rPr>
          <w:id w:val="-1759052865"/>
          <w:citation/>
        </w:sdtPr>
        <w:sdtContent>
          <w:r w:rsidR="00537E09" w:rsidRPr="00270770">
            <w:rPr>
              <w:rFonts w:ascii="Arial Narrow" w:hAnsi="Arial Narrow"/>
              <w:sz w:val="24"/>
              <w:szCs w:val="24"/>
            </w:rPr>
            <w:fldChar w:fldCharType="begin"/>
          </w:r>
          <w:r w:rsidR="00AF6581" w:rsidRPr="00270770">
            <w:rPr>
              <w:rFonts w:ascii="Arial Narrow" w:hAnsi="Arial Narrow"/>
              <w:sz w:val="24"/>
              <w:szCs w:val="24"/>
              <w:lang w:val="en-US"/>
            </w:rPr>
            <w:instrText xml:space="preserve"> CITATION DeM99 \l 1033 </w:instrText>
          </w:r>
          <w:r w:rsidR="00537E09" w:rsidRPr="00270770">
            <w:rPr>
              <w:rFonts w:ascii="Arial Narrow" w:hAnsi="Arial Narrow"/>
              <w:sz w:val="24"/>
              <w:szCs w:val="24"/>
            </w:rPr>
            <w:fldChar w:fldCharType="separate"/>
          </w:r>
          <w:r w:rsidR="00AF6581" w:rsidRPr="00270770">
            <w:rPr>
              <w:rFonts w:ascii="Arial Narrow" w:hAnsi="Arial Narrow"/>
              <w:noProof/>
              <w:sz w:val="24"/>
              <w:szCs w:val="24"/>
              <w:lang w:val="en-US"/>
            </w:rPr>
            <w:t>(De Mello , 1999)</w:t>
          </w:r>
          <w:r w:rsidR="00537E09" w:rsidRPr="00270770">
            <w:rPr>
              <w:rFonts w:ascii="Arial Narrow" w:hAnsi="Arial Narrow"/>
              <w:sz w:val="24"/>
              <w:szCs w:val="24"/>
            </w:rPr>
            <w:fldChar w:fldCharType="end"/>
          </w:r>
        </w:sdtContent>
      </w:sdt>
      <w:r w:rsidR="00FD60ED" w:rsidRPr="00270770">
        <w:rPr>
          <w:rFonts w:ascii="Arial Narrow" w:hAnsi="Arial Narrow"/>
          <w:sz w:val="24"/>
          <w:szCs w:val="24"/>
        </w:rPr>
        <w:t xml:space="preserve">. </w:t>
      </w:r>
      <w:r w:rsidR="0047668B" w:rsidRPr="00270770">
        <w:rPr>
          <w:rFonts w:ascii="Arial Narrow" w:hAnsi="Arial Narrow"/>
          <w:sz w:val="24"/>
          <w:szCs w:val="24"/>
        </w:rPr>
        <w:t xml:space="preserve"> However, in the case of China, it was found that rapid investment slowed could have large spillover effects for commodity producers </w:t>
      </w:r>
      <w:r w:rsidR="009315F1" w:rsidRPr="00270770">
        <w:rPr>
          <w:rFonts w:ascii="Arial Narrow" w:hAnsi="Arial Narrow"/>
          <w:sz w:val="24"/>
          <w:szCs w:val="24"/>
        </w:rPr>
        <w:t xml:space="preserve">with large exposures. It was also found that these commodity producers could suffer substantial growth declines as a result of investment deterioration in China </w:t>
      </w:r>
      <w:sdt>
        <w:sdtPr>
          <w:rPr>
            <w:rFonts w:ascii="Arial Narrow" w:hAnsi="Arial Narrow"/>
            <w:sz w:val="24"/>
            <w:szCs w:val="24"/>
          </w:rPr>
          <w:id w:val="1384370328"/>
          <w:citation/>
        </w:sdtPr>
        <w:sdtContent>
          <w:r w:rsidR="00537E09" w:rsidRPr="00270770">
            <w:rPr>
              <w:rFonts w:ascii="Arial Narrow" w:hAnsi="Arial Narrow"/>
              <w:sz w:val="24"/>
              <w:szCs w:val="24"/>
            </w:rPr>
            <w:fldChar w:fldCharType="begin"/>
          </w:r>
          <w:r w:rsidR="00FD60ED" w:rsidRPr="00270770">
            <w:rPr>
              <w:rFonts w:ascii="Arial Narrow" w:hAnsi="Arial Narrow"/>
              <w:sz w:val="24"/>
              <w:szCs w:val="24"/>
              <w:lang w:val="en-US"/>
            </w:rPr>
            <w:instrText xml:space="preserve"> CITATION Ahu12 \l 1033 </w:instrText>
          </w:r>
          <w:r w:rsidR="00537E09" w:rsidRPr="00270770">
            <w:rPr>
              <w:rFonts w:ascii="Arial Narrow" w:hAnsi="Arial Narrow"/>
              <w:sz w:val="24"/>
              <w:szCs w:val="24"/>
            </w:rPr>
            <w:fldChar w:fldCharType="separate"/>
          </w:r>
          <w:r w:rsidR="00FD60ED" w:rsidRPr="00270770">
            <w:rPr>
              <w:rFonts w:ascii="Arial Narrow" w:hAnsi="Arial Narrow"/>
              <w:noProof/>
              <w:sz w:val="24"/>
              <w:szCs w:val="24"/>
              <w:lang w:val="en-US"/>
            </w:rPr>
            <w:t>(Ahuja &amp; Nabar, 2012)</w:t>
          </w:r>
          <w:r w:rsidR="00537E09" w:rsidRPr="00270770">
            <w:rPr>
              <w:rFonts w:ascii="Arial Narrow" w:hAnsi="Arial Narrow"/>
              <w:sz w:val="24"/>
              <w:szCs w:val="24"/>
            </w:rPr>
            <w:fldChar w:fldCharType="end"/>
          </w:r>
        </w:sdtContent>
      </w:sdt>
      <w:r w:rsidR="009315F1" w:rsidRPr="00270770">
        <w:rPr>
          <w:rFonts w:ascii="Arial Narrow" w:hAnsi="Arial Narrow"/>
          <w:sz w:val="24"/>
          <w:szCs w:val="24"/>
        </w:rPr>
        <w:t xml:space="preserve">. </w:t>
      </w:r>
      <w:r w:rsidR="008233AE" w:rsidRPr="00270770">
        <w:rPr>
          <w:rFonts w:ascii="Arial Narrow" w:hAnsi="Arial Narrow"/>
          <w:sz w:val="24"/>
          <w:szCs w:val="24"/>
        </w:rPr>
        <w:t xml:space="preserve">The diagram below, illustrates the investment-led approach of government to stimulate economic </w:t>
      </w:r>
      <w:r w:rsidR="00AF01A7" w:rsidRPr="00270770">
        <w:rPr>
          <w:rFonts w:ascii="Arial Narrow" w:hAnsi="Arial Narrow"/>
          <w:sz w:val="24"/>
          <w:szCs w:val="24"/>
        </w:rPr>
        <w:t xml:space="preserve">growth </w:t>
      </w:r>
      <w:r w:rsidR="008233AE" w:rsidRPr="00270770">
        <w:rPr>
          <w:rFonts w:ascii="Arial Narrow" w:hAnsi="Arial Narrow"/>
          <w:sz w:val="24"/>
          <w:szCs w:val="24"/>
        </w:rPr>
        <w:t xml:space="preserve">and employment creation in South Africa. </w:t>
      </w:r>
    </w:p>
    <w:p w:rsidR="00D22B4D" w:rsidRPr="00270770" w:rsidRDefault="00C650E7" w:rsidP="00D22B4D">
      <w:pPr>
        <w:keepNext/>
        <w:spacing w:line="360" w:lineRule="auto"/>
        <w:jc w:val="both"/>
        <w:rPr>
          <w:rFonts w:ascii="Arial Narrow" w:hAnsi="Arial Narrow"/>
          <w:sz w:val="24"/>
          <w:szCs w:val="24"/>
        </w:rPr>
      </w:pPr>
      <w:r w:rsidRPr="00270770">
        <w:rPr>
          <w:rFonts w:ascii="Arial Narrow" w:hAnsi="Arial Narrow"/>
          <w:sz w:val="24"/>
          <w:szCs w:val="24"/>
        </w:rPr>
        <w:lastRenderedPageBreak/>
        <w:t xml:space="preserve"> </w:t>
      </w:r>
      <w:r w:rsidR="00763899" w:rsidRPr="00270770">
        <w:rPr>
          <w:rFonts w:ascii="Arial Narrow" w:hAnsi="Arial Narrow"/>
          <w:noProof/>
          <w:sz w:val="24"/>
          <w:szCs w:val="24"/>
          <w:lang w:val="en-US"/>
        </w:rPr>
        <w:drawing>
          <wp:inline distT="0" distB="0" distL="0" distR="0">
            <wp:extent cx="5270500" cy="3074670"/>
            <wp:effectExtent l="0" t="19050" r="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E7A3E" w:rsidRPr="00270770" w:rsidRDefault="00D22B4D" w:rsidP="00D22B4D">
      <w:pPr>
        <w:pStyle w:val="Caption"/>
        <w:jc w:val="both"/>
        <w:rPr>
          <w:rFonts w:ascii="Arial Narrow" w:hAnsi="Arial Narrow"/>
          <w:sz w:val="24"/>
          <w:szCs w:val="24"/>
        </w:rPr>
      </w:pPr>
      <w:r w:rsidRPr="00270770">
        <w:rPr>
          <w:rFonts w:ascii="Arial Narrow" w:hAnsi="Arial Narrow"/>
          <w:sz w:val="24"/>
          <w:szCs w:val="24"/>
        </w:rPr>
        <w:t xml:space="preserve">Figure </w:t>
      </w:r>
      <w:r w:rsidR="00537E09" w:rsidRPr="00270770">
        <w:rPr>
          <w:rFonts w:ascii="Arial Narrow" w:hAnsi="Arial Narrow"/>
          <w:sz w:val="24"/>
          <w:szCs w:val="24"/>
        </w:rPr>
        <w:fldChar w:fldCharType="begin"/>
      </w:r>
      <w:r w:rsidRPr="00270770">
        <w:rPr>
          <w:rFonts w:ascii="Arial Narrow" w:hAnsi="Arial Narrow"/>
          <w:sz w:val="24"/>
          <w:szCs w:val="24"/>
        </w:rPr>
        <w:instrText xml:space="preserve"> SEQ Figure \* ARABIC </w:instrText>
      </w:r>
      <w:r w:rsidR="00537E09" w:rsidRPr="00270770">
        <w:rPr>
          <w:rFonts w:ascii="Arial Narrow" w:hAnsi="Arial Narrow"/>
          <w:sz w:val="24"/>
          <w:szCs w:val="24"/>
        </w:rPr>
        <w:fldChar w:fldCharType="separate"/>
      </w:r>
      <w:r w:rsidRPr="00270770">
        <w:rPr>
          <w:rFonts w:ascii="Arial Narrow" w:hAnsi="Arial Narrow"/>
          <w:noProof/>
          <w:sz w:val="24"/>
          <w:szCs w:val="24"/>
        </w:rPr>
        <w:t>1</w:t>
      </w:r>
      <w:r w:rsidR="00537E09" w:rsidRPr="00270770">
        <w:rPr>
          <w:rFonts w:ascii="Arial Narrow" w:hAnsi="Arial Narrow"/>
          <w:sz w:val="24"/>
          <w:szCs w:val="24"/>
        </w:rPr>
        <w:fldChar w:fldCharType="end"/>
      </w:r>
      <w:r w:rsidRPr="00270770">
        <w:rPr>
          <w:rFonts w:ascii="Arial Narrow" w:hAnsi="Arial Narrow"/>
          <w:sz w:val="24"/>
          <w:szCs w:val="24"/>
        </w:rPr>
        <w:t xml:space="preserve"> Investment Led Approach</w:t>
      </w:r>
    </w:p>
    <w:p w:rsidR="00763899" w:rsidRPr="00270770" w:rsidRDefault="00763899" w:rsidP="008921CD">
      <w:pPr>
        <w:spacing w:line="360" w:lineRule="auto"/>
        <w:jc w:val="both"/>
        <w:rPr>
          <w:rFonts w:ascii="Arial Narrow" w:hAnsi="Arial Narrow"/>
          <w:sz w:val="24"/>
          <w:szCs w:val="24"/>
        </w:rPr>
      </w:pPr>
    </w:p>
    <w:p w:rsidR="00D22B4D" w:rsidRPr="00270770" w:rsidRDefault="00763899" w:rsidP="00763899">
      <w:pPr>
        <w:spacing w:line="360" w:lineRule="auto"/>
        <w:jc w:val="both"/>
        <w:rPr>
          <w:rFonts w:ascii="Arial Narrow" w:hAnsi="Arial Narrow"/>
          <w:sz w:val="24"/>
          <w:szCs w:val="24"/>
        </w:rPr>
      </w:pPr>
      <w:r w:rsidRPr="00270770">
        <w:rPr>
          <w:rFonts w:ascii="Arial Narrow" w:hAnsi="Arial Narrow"/>
          <w:sz w:val="24"/>
          <w:szCs w:val="24"/>
        </w:rPr>
        <w:t>The Federation support</w:t>
      </w:r>
      <w:r w:rsidR="00BF4A86">
        <w:rPr>
          <w:rFonts w:ascii="Arial Narrow" w:hAnsi="Arial Narrow"/>
          <w:sz w:val="24"/>
          <w:szCs w:val="24"/>
        </w:rPr>
        <w:t>s</w:t>
      </w:r>
      <w:r w:rsidRPr="00270770">
        <w:rPr>
          <w:rFonts w:ascii="Arial Narrow" w:hAnsi="Arial Narrow"/>
          <w:sz w:val="24"/>
          <w:szCs w:val="24"/>
        </w:rPr>
        <w:t xml:space="preserve"> the adding of value to domestic raw minerals through the implementation of the Industrial Policy Action Plan</w:t>
      </w:r>
      <w:r w:rsidR="00BF4A86">
        <w:rPr>
          <w:rFonts w:ascii="Arial Narrow" w:hAnsi="Arial Narrow"/>
          <w:sz w:val="24"/>
          <w:szCs w:val="24"/>
        </w:rPr>
        <w:t xml:space="preserve"> (IPAP),</w:t>
      </w:r>
      <w:r w:rsidRPr="00270770">
        <w:rPr>
          <w:rFonts w:ascii="Arial Narrow" w:hAnsi="Arial Narrow"/>
          <w:sz w:val="24"/>
          <w:szCs w:val="24"/>
        </w:rPr>
        <w:t xml:space="preserve"> </w:t>
      </w:r>
      <w:r w:rsidR="00D22B4D" w:rsidRPr="00270770">
        <w:rPr>
          <w:rFonts w:ascii="Arial Narrow" w:hAnsi="Arial Narrow"/>
          <w:sz w:val="24"/>
          <w:szCs w:val="24"/>
        </w:rPr>
        <w:t xml:space="preserve">as it </w:t>
      </w:r>
      <w:r w:rsidRPr="00270770">
        <w:rPr>
          <w:rFonts w:ascii="Arial Narrow" w:hAnsi="Arial Narrow"/>
          <w:sz w:val="24"/>
          <w:szCs w:val="24"/>
        </w:rPr>
        <w:t>could encourage private s</w:t>
      </w:r>
      <w:r w:rsidR="009315F1" w:rsidRPr="00270770">
        <w:rPr>
          <w:rFonts w:ascii="Arial Narrow" w:hAnsi="Arial Narrow"/>
          <w:sz w:val="24"/>
          <w:szCs w:val="24"/>
        </w:rPr>
        <w:t xml:space="preserve">ector investment and employment creation. </w:t>
      </w:r>
      <w:r w:rsidRPr="00270770">
        <w:rPr>
          <w:rFonts w:ascii="Arial Narrow" w:hAnsi="Arial Narrow"/>
          <w:sz w:val="24"/>
          <w:szCs w:val="24"/>
        </w:rPr>
        <w:t>However, it is</w:t>
      </w:r>
      <w:r w:rsidR="00D22B4D" w:rsidRPr="00270770">
        <w:rPr>
          <w:rFonts w:ascii="Arial Narrow" w:hAnsi="Arial Narrow"/>
          <w:sz w:val="24"/>
          <w:szCs w:val="24"/>
        </w:rPr>
        <w:t xml:space="preserve"> also important for the labour </w:t>
      </w:r>
      <w:r w:rsidR="00073372" w:rsidRPr="00270770">
        <w:rPr>
          <w:rFonts w:ascii="Arial Narrow" w:hAnsi="Arial Narrow"/>
          <w:sz w:val="24"/>
          <w:szCs w:val="24"/>
        </w:rPr>
        <w:t xml:space="preserve">relations </w:t>
      </w:r>
      <w:r w:rsidR="00D22B4D" w:rsidRPr="00270770">
        <w:rPr>
          <w:rFonts w:ascii="Arial Narrow" w:hAnsi="Arial Narrow"/>
          <w:sz w:val="24"/>
          <w:szCs w:val="24"/>
        </w:rPr>
        <w:t>task team in</w:t>
      </w:r>
      <w:r w:rsidRPr="00270770">
        <w:rPr>
          <w:rFonts w:ascii="Arial Narrow" w:hAnsi="Arial Narrow"/>
          <w:sz w:val="24"/>
          <w:szCs w:val="24"/>
        </w:rPr>
        <w:t xml:space="preserve"> NEDLAC </w:t>
      </w:r>
      <w:r w:rsidR="00D22B4D" w:rsidRPr="00270770">
        <w:rPr>
          <w:rFonts w:ascii="Arial Narrow" w:hAnsi="Arial Narrow"/>
          <w:sz w:val="24"/>
          <w:szCs w:val="24"/>
        </w:rPr>
        <w:t>to complete it</w:t>
      </w:r>
      <w:r w:rsidR="008233AE" w:rsidRPr="00270770">
        <w:rPr>
          <w:rFonts w:ascii="Arial Narrow" w:hAnsi="Arial Narrow"/>
          <w:sz w:val="24"/>
          <w:szCs w:val="24"/>
        </w:rPr>
        <w:t>s</w:t>
      </w:r>
      <w:r w:rsidR="00D22B4D" w:rsidRPr="00270770">
        <w:rPr>
          <w:rFonts w:ascii="Arial Narrow" w:hAnsi="Arial Narrow"/>
          <w:sz w:val="24"/>
          <w:szCs w:val="24"/>
        </w:rPr>
        <w:t xml:space="preserve"> work </w:t>
      </w:r>
      <w:r w:rsidR="008233AE" w:rsidRPr="00270770">
        <w:rPr>
          <w:rFonts w:ascii="Arial Narrow" w:hAnsi="Arial Narrow"/>
          <w:sz w:val="24"/>
          <w:szCs w:val="24"/>
        </w:rPr>
        <w:t xml:space="preserve">to </w:t>
      </w:r>
      <w:r w:rsidR="00D22B4D" w:rsidRPr="00270770">
        <w:rPr>
          <w:rFonts w:ascii="Arial Narrow" w:hAnsi="Arial Narrow"/>
          <w:sz w:val="24"/>
          <w:szCs w:val="24"/>
        </w:rPr>
        <w:t>reduce</w:t>
      </w:r>
      <w:r w:rsidRPr="00270770">
        <w:rPr>
          <w:rFonts w:ascii="Arial Narrow" w:hAnsi="Arial Narrow"/>
          <w:sz w:val="24"/>
          <w:szCs w:val="24"/>
        </w:rPr>
        <w:t xml:space="preserve"> workplace conflict</w:t>
      </w:r>
      <w:r w:rsidR="008233AE" w:rsidRPr="00270770">
        <w:rPr>
          <w:rFonts w:ascii="Arial Narrow" w:hAnsi="Arial Narrow"/>
          <w:sz w:val="24"/>
          <w:szCs w:val="24"/>
        </w:rPr>
        <w:t>. T</w:t>
      </w:r>
      <w:r w:rsidR="009315F1" w:rsidRPr="00270770">
        <w:rPr>
          <w:rFonts w:ascii="Arial Narrow" w:hAnsi="Arial Narrow"/>
          <w:sz w:val="24"/>
          <w:szCs w:val="24"/>
        </w:rPr>
        <w:t>he introduction of the</w:t>
      </w:r>
      <w:r w:rsidRPr="00270770">
        <w:rPr>
          <w:rFonts w:ascii="Arial Narrow" w:hAnsi="Arial Narrow"/>
          <w:sz w:val="24"/>
          <w:szCs w:val="24"/>
        </w:rPr>
        <w:t xml:space="preserve"> national minimum wage </w:t>
      </w:r>
      <w:r w:rsidR="009315F1" w:rsidRPr="00270770">
        <w:rPr>
          <w:rFonts w:ascii="Arial Narrow" w:hAnsi="Arial Narrow"/>
          <w:sz w:val="24"/>
          <w:szCs w:val="24"/>
        </w:rPr>
        <w:t xml:space="preserve">could assist the process where workers benefit from investment and this could </w:t>
      </w:r>
      <w:r w:rsidRPr="00270770">
        <w:rPr>
          <w:rFonts w:ascii="Arial Narrow" w:hAnsi="Arial Narrow"/>
          <w:sz w:val="24"/>
          <w:szCs w:val="24"/>
        </w:rPr>
        <w:t xml:space="preserve">improve convergence and social cohesion. </w:t>
      </w:r>
    </w:p>
    <w:p w:rsidR="00D22B4D" w:rsidRPr="00270770" w:rsidRDefault="00D22B4D" w:rsidP="00763899">
      <w:pPr>
        <w:spacing w:line="360" w:lineRule="auto"/>
        <w:jc w:val="both"/>
        <w:rPr>
          <w:rFonts w:ascii="Arial Narrow" w:hAnsi="Arial Narrow"/>
          <w:sz w:val="24"/>
          <w:szCs w:val="24"/>
        </w:rPr>
      </w:pPr>
    </w:p>
    <w:p w:rsidR="00763899" w:rsidRPr="00270770" w:rsidRDefault="00D22B4D" w:rsidP="00763899">
      <w:pPr>
        <w:spacing w:line="360" w:lineRule="auto"/>
        <w:jc w:val="both"/>
        <w:rPr>
          <w:rFonts w:ascii="Arial Narrow" w:hAnsi="Arial Narrow"/>
          <w:sz w:val="24"/>
          <w:szCs w:val="24"/>
        </w:rPr>
      </w:pPr>
      <w:r w:rsidRPr="00270770">
        <w:rPr>
          <w:rFonts w:ascii="Arial Narrow" w:hAnsi="Arial Narrow"/>
          <w:sz w:val="24"/>
          <w:szCs w:val="24"/>
        </w:rPr>
        <w:t>In addition to the above, the country</w:t>
      </w:r>
      <w:r w:rsidR="00763899" w:rsidRPr="00270770">
        <w:rPr>
          <w:rFonts w:ascii="Arial Narrow" w:hAnsi="Arial Narrow"/>
          <w:sz w:val="24"/>
          <w:szCs w:val="24"/>
        </w:rPr>
        <w:t xml:space="preserve"> has not been as successful as other </w:t>
      </w:r>
      <w:r w:rsidRPr="00270770">
        <w:rPr>
          <w:rFonts w:ascii="Arial Narrow" w:hAnsi="Arial Narrow"/>
          <w:sz w:val="24"/>
          <w:szCs w:val="24"/>
        </w:rPr>
        <w:t xml:space="preserve">emerging economies </w:t>
      </w:r>
      <w:r w:rsidR="00763899" w:rsidRPr="00270770">
        <w:rPr>
          <w:rFonts w:ascii="Arial Narrow" w:hAnsi="Arial Narrow"/>
          <w:sz w:val="24"/>
          <w:szCs w:val="24"/>
        </w:rPr>
        <w:t>in attracting productive investment. South Africa has an average investment rate of below 20.5% over 20 years; the country received a much lower rate of investment than other emerging economies. The average for other emerging countries was 27% over that same period according to (Bhorat et al., 2014).</w:t>
      </w:r>
    </w:p>
    <w:p w:rsidR="00763899" w:rsidRPr="00270770" w:rsidRDefault="00763899" w:rsidP="00763899">
      <w:pPr>
        <w:spacing w:line="360" w:lineRule="auto"/>
        <w:jc w:val="both"/>
        <w:rPr>
          <w:rFonts w:ascii="Arial Narrow" w:hAnsi="Arial Narrow"/>
          <w:sz w:val="24"/>
          <w:szCs w:val="24"/>
        </w:rPr>
      </w:pPr>
    </w:p>
    <w:p w:rsidR="00763899" w:rsidRPr="00270770" w:rsidRDefault="00763899" w:rsidP="00763899">
      <w:pPr>
        <w:spacing w:line="360" w:lineRule="auto"/>
        <w:jc w:val="both"/>
        <w:rPr>
          <w:rFonts w:ascii="Arial Narrow" w:hAnsi="Arial Narrow"/>
          <w:sz w:val="24"/>
          <w:szCs w:val="24"/>
        </w:rPr>
      </w:pPr>
      <w:r w:rsidRPr="00270770">
        <w:rPr>
          <w:rFonts w:ascii="Arial Narrow" w:hAnsi="Arial Narrow"/>
          <w:sz w:val="24"/>
          <w:szCs w:val="24"/>
        </w:rPr>
        <w:t xml:space="preserve">Furthermore, when investment was made in South Africa, it was largely portfolio capital aimed at capturing strong returns in a high margin economy and not direct investment. In that way, investment was not transformed into that which could increase the output of the productive sector. Similarly, in terms of trade, South Africa’s dependence on short to medium capital flows tends to reproduce dependence on the resource sector. As such, the country’s export profile </w:t>
      </w:r>
      <w:r w:rsidRPr="00270770">
        <w:rPr>
          <w:rFonts w:ascii="Arial Narrow" w:hAnsi="Arial Narrow"/>
          <w:sz w:val="24"/>
          <w:szCs w:val="24"/>
        </w:rPr>
        <w:lastRenderedPageBreak/>
        <w:t>continues to be capital-intensive and driven by natural resources, resulting in relatively weak export diversification and no value add compared to emerging market peers (Bhorat et al., 2014).</w:t>
      </w:r>
    </w:p>
    <w:p w:rsidR="00763899" w:rsidRPr="00270770" w:rsidRDefault="00763899" w:rsidP="008921CD">
      <w:pPr>
        <w:spacing w:line="360" w:lineRule="auto"/>
        <w:jc w:val="both"/>
        <w:rPr>
          <w:rFonts w:ascii="Arial Narrow" w:hAnsi="Arial Narrow"/>
          <w:sz w:val="24"/>
          <w:szCs w:val="24"/>
        </w:rPr>
      </w:pPr>
    </w:p>
    <w:p w:rsidR="006F1FEE" w:rsidRPr="00270770" w:rsidRDefault="00D22B4D" w:rsidP="006F1FEE">
      <w:pPr>
        <w:spacing w:line="360" w:lineRule="auto"/>
        <w:jc w:val="both"/>
        <w:rPr>
          <w:rFonts w:ascii="Arial Narrow" w:hAnsi="Arial Narrow"/>
          <w:sz w:val="24"/>
          <w:szCs w:val="24"/>
        </w:rPr>
      </w:pPr>
      <w:r w:rsidRPr="00270770">
        <w:rPr>
          <w:rFonts w:ascii="Arial Narrow" w:hAnsi="Arial Narrow"/>
          <w:sz w:val="24"/>
          <w:szCs w:val="24"/>
        </w:rPr>
        <w:t>Nevertheless, g</w:t>
      </w:r>
      <w:r w:rsidR="004811DB" w:rsidRPr="00270770">
        <w:rPr>
          <w:rFonts w:ascii="Arial Narrow" w:hAnsi="Arial Narrow"/>
          <w:sz w:val="24"/>
          <w:szCs w:val="24"/>
        </w:rPr>
        <w:t xml:space="preserve">overnment argues for an investment-led growth approach to shift the economy from </w:t>
      </w:r>
      <w:r w:rsidR="007E5C7C" w:rsidRPr="00270770">
        <w:rPr>
          <w:rFonts w:ascii="Arial Narrow" w:hAnsi="Arial Narrow"/>
          <w:sz w:val="24"/>
          <w:szCs w:val="24"/>
        </w:rPr>
        <w:t xml:space="preserve">the current </w:t>
      </w:r>
      <w:r w:rsidR="004811DB" w:rsidRPr="00270770">
        <w:rPr>
          <w:rFonts w:ascii="Arial Narrow" w:hAnsi="Arial Narrow"/>
          <w:sz w:val="24"/>
          <w:szCs w:val="24"/>
        </w:rPr>
        <w:t xml:space="preserve">consumption-led </w:t>
      </w:r>
      <w:r w:rsidR="007E5C7C" w:rsidRPr="00270770">
        <w:rPr>
          <w:rFonts w:ascii="Arial Narrow" w:hAnsi="Arial Narrow"/>
          <w:sz w:val="24"/>
          <w:szCs w:val="24"/>
        </w:rPr>
        <w:t>so as to</w:t>
      </w:r>
      <w:r w:rsidR="004811DB" w:rsidRPr="00270770">
        <w:rPr>
          <w:rFonts w:ascii="Arial Narrow" w:hAnsi="Arial Narrow"/>
          <w:sz w:val="24"/>
          <w:szCs w:val="24"/>
        </w:rPr>
        <w:t xml:space="preserve"> enhance exports and employment creation. Public </w:t>
      </w:r>
      <w:r w:rsidR="00E90C2D" w:rsidRPr="00270770">
        <w:rPr>
          <w:rFonts w:ascii="Arial Narrow" w:hAnsi="Arial Narrow"/>
          <w:sz w:val="24"/>
          <w:szCs w:val="24"/>
        </w:rPr>
        <w:t>investments in economic and social infrastructure are</w:t>
      </w:r>
      <w:r w:rsidR="007E5C7C" w:rsidRPr="00270770">
        <w:rPr>
          <w:rFonts w:ascii="Arial Narrow" w:hAnsi="Arial Narrow"/>
          <w:sz w:val="24"/>
          <w:szCs w:val="24"/>
        </w:rPr>
        <w:t xml:space="preserve"> most</w:t>
      </w:r>
      <w:r w:rsidR="00BF4A86">
        <w:rPr>
          <w:rFonts w:ascii="Arial Narrow" w:hAnsi="Arial Narrow"/>
          <w:sz w:val="24"/>
          <w:szCs w:val="24"/>
        </w:rPr>
        <w:t>ly</w:t>
      </w:r>
      <w:r w:rsidR="007E5C7C" w:rsidRPr="00270770">
        <w:rPr>
          <w:rFonts w:ascii="Arial Narrow" w:hAnsi="Arial Narrow"/>
          <w:sz w:val="24"/>
          <w:szCs w:val="24"/>
        </w:rPr>
        <w:t xml:space="preserve"> done via the balance sheets of state-owned</w:t>
      </w:r>
      <w:r w:rsidR="00763899" w:rsidRPr="00270770">
        <w:rPr>
          <w:rFonts w:ascii="Arial Narrow" w:hAnsi="Arial Narrow"/>
          <w:sz w:val="24"/>
          <w:szCs w:val="24"/>
        </w:rPr>
        <w:t xml:space="preserve"> and</w:t>
      </w:r>
      <w:r w:rsidR="00E90C2D" w:rsidRPr="00270770">
        <w:rPr>
          <w:rFonts w:ascii="Arial Narrow" w:hAnsi="Arial Narrow"/>
          <w:sz w:val="24"/>
          <w:szCs w:val="24"/>
        </w:rPr>
        <w:t xml:space="preserve"> user-pay-system in electricity, rail, ports, and pipelines to advance higher economic growth.</w:t>
      </w:r>
      <w:r w:rsidR="007E5C7C" w:rsidRPr="00270770">
        <w:rPr>
          <w:rFonts w:ascii="Arial Narrow" w:hAnsi="Arial Narrow"/>
          <w:sz w:val="24"/>
          <w:szCs w:val="24"/>
        </w:rPr>
        <w:t xml:space="preserve"> </w:t>
      </w:r>
      <w:r w:rsidRPr="00270770">
        <w:rPr>
          <w:rFonts w:ascii="Arial Narrow" w:hAnsi="Arial Narrow"/>
          <w:sz w:val="24"/>
          <w:szCs w:val="24"/>
        </w:rPr>
        <w:t xml:space="preserve">Moreover, government is trying to lure the private sector to invest, based on the fact that these enterprises </w:t>
      </w:r>
      <w:r w:rsidR="00270770">
        <w:rPr>
          <w:rFonts w:ascii="Arial Narrow" w:hAnsi="Arial Narrow"/>
          <w:sz w:val="24"/>
          <w:szCs w:val="24"/>
        </w:rPr>
        <w:t xml:space="preserve">have very strong balance sheets. But this assumption has not produced results to eradicate poverty and unemployment. </w:t>
      </w:r>
      <w:r w:rsidRPr="00270770">
        <w:rPr>
          <w:rFonts w:ascii="Arial Narrow" w:hAnsi="Arial Narrow"/>
          <w:sz w:val="24"/>
          <w:szCs w:val="24"/>
        </w:rPr>
        <w:t xml:space="preserve"> </w:t>
      </w:r>
      <w:r w:rsidR="00270770">
        <w:rPr>
          <w:rFonts w:ascii="Arial Narrow" w:hAnsi="Arial Narrow"/>
          <w:sz w:val="24"/>
          <w:szCs w:val="24"/>
        </w:rPr>
        <w:t xml:space="preserve">The constraint removal approach where the </w:t>
      </w:r>
      <w:r w:rsidRPr="00270770">
        <w:rPr>
          <w:rFonts w:ascii="Arial Narrow" w:hAnsi="Arial Narrow"/>
          <w:sz w:val="24"/>
          <w:szCs w:val="24"/>
        </w:rPr>
        <w:t xml:space="preserve">regulatory </w:t>
      </w:r>
      <w:r w:rsidR="00270770">
        <w:rPr>
          <w:rFonts w:ascii="Arial Narrow" w:hAnsi="Arial Narrow"/>
          <w:sz w:val="24"/>
          <w:szCs w:val="24"/>
        </w:rPr>
        <w:t xml:space="preserve">environment is </w:t>
      </w:r>
      <w:r w:rsidRPr="00270770">
        <w:rPr>
          <w:rFonts w:ascii="Arial Narrow" w:hAnsi="Arial Narrow"/>
          <w:sz w:val="24"/>
          <w:szCs w:val="24"/>
        </w:rPr>
        <w:t>relaxed to encourage more investment</w:t>
      </w:r>
      <w:r w:rsidR="00270770">
        <w:rPr>
          <w:rFonts w:ascii="Arial Narrow" w:hAnsi="Arial Narrow"/>
          <w:sz w:val="24"/>
          <w:szCs w:val="24"/>
        </w:rPr>
        <w:t xml:space="preserve"> has also not delivered</w:t>
      </w:r>
      <w:r w:rsidRPr="00270770">
        <w:rPr>
          <w:rFonts w:ascii="Arial Narrow" w:hAnsi="Arial Narrow"/>
          <w:sz w:val="24"/>
          <w:szCs w:val="24"/>
        </w:rPr>
        <w:t xml:space="preserve">. </w:t>
      </w:r>
      <w:r w:rsidR="00270770">
        <w:rPr>
          <w:rFonts w:ascii="Arial Narrow" w:hAnsi="Arial Narrow"/>
          <w:sz w:val="24"/>
          <w:szCs w:val="24"/>
        </w:rPr>
        <w:t xml:space="preserve">The fact </w:t>
      </w:r>
      <w:r w:rsidR="00270770" w:rsidRPr="00270770">
        <w:rPr>
          <w:rFonts w:ascii="Arial Narrow" w:hAnsi="Arial Narrow"/>
          <w:sz w:val="24"/>
          <w:szCs w:val="24"/>
        </w:rPr>
        <w:t>g</w:t>
      </w:r>
      <w:r w:rsidR="006F1FEE" w:rsidRPr="00270770">
        <w:rPr>
          <w:rFonts w:ascii="Arial Narrow" w:hAnsi="Arial Narrow"/>
          <w:sz w:val="24"/>
          <w:szCs w:val="24"/>
        </w:rPr>
        <w:t xml:space="preserve">overnment </w:t>
      </w:r>
      <w:r w:rsidR="00270770" w:rsidRPr="00270770">
        <w:rPr>
          <w:rFonts w:ascii="Arial Narrow" w:hAnsi="Arial Narrow"/>
          <w:sz w:val="24"/>
          <w:szCs w:val="24"/>
        </w:rPr>
        <w:t xml:space="preserve">use the successful allocation of the </w:t>
      </w:r>
      <w:r w:rsidR="006F1FEE" w:rsidRPr="00270770">
        <w:rPr>
          <w:rFonts w:ascii="Arial Narrow" w:hAnsi="Arial Narrow"/>
          <w:sz w:val="24"/>
          <w:szCs w:val="24"/>
        </w:rPr>
        <w:t>17 renewable energy projects</w:t>
      </w:r>
      <w:r w:rsidR="00270770">
        <w:rPr>
          <w:rFonts w:ascii="Arial Narrow" w:hAnsi="Arial Narrow"/>
          <w:sz w:val="24"/>
          <w:szCs w:val="24"/>
        </w:rPr>
        <w:t xml:space="preserve"> model for investment attraction, is far fetching. </w:t>
      </w:r>
      <w:r w:rsidR="00AF01A7" w:rsidRPr="00270770">
        <w:rPr>
          <w:rFonts w:ascii="Arial Narrow" w:hAnsi="Arial Narrow"/>
          <w:sz w:val="24"/>
          <w:szCs w:val="24"/>
        </w:rPr>
        <w:t>It is important to note that investment in specific renewable</w:t>
      </w:r>
      <w:r w:rsidR="00270770">
        <w:rPr>
          <w:rFonts w:ascii="Arial Narrow" w:hAnsi="Arial Narrow"/>
          <w:sz w:val="24"/>
          <w:szCs w:val="24"/>
        </w:rPr>
        <w:t xml:space="preserve"> projects</w:t>
      </w:r>
      <w:r w:rsidR="00AF01A7" w:rsidRPr="00270770">
        <w:rPr>
          <w:rFonts w:ascii="Arial Narrow" w:hAnsi="Arial Narrow"/>
          <w:sz w:val="24"/>
          <w:szCs w:val="24"/>
        </w:rPr>
        <w:t xml:space="preserve"> is not a reflection on investment in other </w:t>
      </w:r>
      <w:r w:rsidR="00270770">
        <w:rPr>
          <w:rFonts w:ascii="Arial Narrow" w:hAnsi="Arial Narrow"/>
          <w:sz w:val="24"/>
          <w:szCs w:val="24"/>
        </w:rPr>
        <w:t>small business opportunity areas</w:t>
      </w:r>
      <w:r w:rsidR="00AF01A7" w:rsidRPr="00270770">
        <w:rPr>
          <w:rFonts w:ascii="Arial Narrow" w:hAnsi="Arial Narrow"/>
          <w:sz w:val="24"/>
          <w:szCs w:val="24"/>
        </w:rPr>
        <w:t xml:space="preserve">. </w:t>
      </w:r>
    </w:p>
    <w:p w:rsidR="006F1FEE" w:rsidRPr="00270770" w:rsidRDefault="006F1FEE" w:rsidP="006F1FEE">
      <w:pPr>
        <w:spacing w:line="360" w:lineRule="auto"/>
        <w:jc w:val="both"/>
        <w:rPr>
          <w:rFonts w:ascii="Arial Narrow" w:hAnsi="Arial Narrow"/>
          <w:sz w:val="24"/>
          <w:szCs w:val="24"/>
        </w:rPr>
      </w:pPr>
    </w:p>
    <w:p w:rsidR="00A02C50" w:rsidRPr="00270770" w:rsidRDefault="009315F1" w:rsidP="008921CD">
      <w:pPr>
        <w:spacing w:line="360" w:lineRule="auto"/>
        <w:jc w:val="both"/>
        <w:rPr>
          <w:rFonts w:ascii="Arial Narrow" w:hAnsi="Arial Narrow"/>
          <w:sz w:val="24"/>
          <w:szCs w:val="24"/>
        </w:rPr>
      </w:pPr>
      <w:r w:rsidRPr="00270770">
        <w:rPr>
          <w:rFonts w:ascii="Arial Narrow" w:hAnsi="Arial Narrow"/>
          <w:sz w:val="24"/>
          <w:szCs w:val="24"/>
        </w:rPr>
        <w:t>FEDUSA is</w:t>
      </w:r>
      <w:r w:rsidR="006F1FEE" w:rsidRPr="00270770">
        <w:rPr>
          <w:rFonts w:ascii="Arial Narrow" w:hAnsi="Arial Narrow"/>
          <w:sz w:val="24"/>
          <w:szCs w:val="24"/>
        </w:rPr>
        <w:t xml:space="preserve"> aware of the </w:t>
      </w:r>
      <w:r w:rsidR="00FD3A87" w:rsidRPr="00270770">
        <w:rPr>
          <w:rFonts w:ascii="Arial Narrow" w:hAnsi="Arial Narrow"/>
          <w:sz w:val="24"/>
          <w:szCs w:val="24"/>
        </w:rPr>
        <w:t>mind-set of</w:t>
      </w:r>
      <w:r w:rsidR="006F1FEE" w:rsidRPr="00270770">
        <w:rPr>
          <w:rFonts w:ascii="Arial Narrow" w:hAnsi="Arial Narrow"/>
          <w:sz w:val="24"/>
          <w:szCs w:val="24"/>
        </w:rPr>
        <w:t xml:space="preserve"> the private sector, and the </w:t>
      </w:r>
      <w:r w:rsidR="00FD3A87" w:rsidRPr="00270770">
        <w:rPr>
          <w:rFonts w:ascii="Arial Narrow" w:hAnsi="Arial Narrow"/>
          <w:sz w:val="24"/>
          <w:szCs w:val="24"/>
        </w:rPr>
        <w:t>experience of the past 20 years clearly illustrates</w:t>
      </w:r>
      <w:r w:rsidR="006F1FEE" w:rsidRPr="00270770">
        <w:rPr>
          <w:rFonts w:ascii="Arial Narrow" w:hAnsi="Arial Narrow"/>
          <w:sz w:val="24"/>
          <w:szCs w:val="24"/>
        </w:rPr>
        <w:t xml:space="preserve"> a story </w:t>
      </w:r>
      <w:r w:rsidR="00FD3A87" w:rsidRPr="00270770">
        <w:rPr>
          <w:rFonts w:ascii="Arial Narrow" w:hAnsi="Arial Narrow"/>
          <w:sz w:val="24"/>
          <w:szCs w:val="24"/>
        </w:rPr>
        <w:t xml:space="preserve">of investment weakness in the productive sector. This is also the argument of </w:t>
      </w:r>
      <w:r w:rsidR="00FD3A87" w:rsidRPr="00270770">
        <w:rPr>
          <w:rFonts w:ascii="Arial Narrow" w:hAnsi="Arial Narrow"/>
          <w:noProof/>
          <w:sz w:val="24"/>
          <w:szCs w:val="24"/>
          <w:lang w:val="en-US"/>
        </w:rPr>
        <w:t xml:space="preserve">Bhorat et al because South Africa has a curse of </w:t>
      </w:r>
      <w:r w:rsidR="00FD3A87" w:rsidRPr="00270770">
        <w:rPr>
          <w:rFonts w:ascii="Arial Narrow" w:hAnsi="Arial Narrow"/>
          <w:sz w:val="24"/>
          <w:szCs w:val="24"/>
        </w:rPr>
        <w:t>portfolio-high-margin-return and it is fairly easy for capital to flow in and out of the country witho</w:t>
      </w:r>
      <w:r w:rsidR="00133D31" w:rsidRPr="00270770">
        <w:rPr>
          <w:rFonts w:ascii="Arial Narrow" w:hAnsi="Arial Narrow"/>
          <w:sz w:val="24"/>
          <w:szCs w:val="24"/>
        </w:rPr>
        <w:t>ut creating any new employment.</w:t>
      </w:r>
      <w:r w:rsidRPr="00270770">
        <w:rPr>
          <w:rFonts w:ascii="Arial Narrow" w:hAnsi="Arial Narrow"/>
          <w:sz w:val="24"/>
          <w:szCs w:val="24"/>
        </w:rPr>
        <w:t xml:space="preserve"> The Federation calls on Government to convene</w:t>
      </w:r>
      <w:r w:rsidR="00BF4A86">
        <w:rPr>
          <w:rFonts w:ascii="Arial Narrow" w:hAnsi="Arial Narrow"/>
          <w:sz w:val="24"/>
          <w:szCs w:val="24"/>
        </w:rPr>
        <w:t xml:space="preserve"> a</w:t>
      </w:r>
      <w:r w:rsidRPr="00270770">
        <w:rPr>
          <w:rFonts w:ascii="Arial Narrow" w:hAnsi="Arial Narrow"/>
          <w:sz w:val="24"/>
          <w:szCs w:val="24"/>
        </w:rPr>
        <w:t xml:space="preserve"> national dialogue under the auspices of NEDLAC to take the process forward and to support higher economic growth and employment creation.  </w:t>
      </w:r>
    </w:p>
    <w:p w:rsidR="0025106B" w:rsidRPr="00270770" w:rsidRDefault="00822746" w:rsidP="00270770">
      <w:pPr>
        <w:pStyle w:val="Heading1"/>
      </w:pPr>
      <w:bookmarkStart w:id="5" w:name="_Toc413130773"/>
      <w:r w:rsidRPr="00822746">
        <w:t>ECONOMIC CONTEXT</w:t>
      </w:r>
      <w:bookmarkEnd w:id="5"/>
    </w:p>
    <w:p w:rsidR="0025106B" w:rsidRPr="00270770" w:rsidRDefault="0025106B" w:rsidP="006C080F">
      <w:pPr>
        <w:spacing w:line="360" w:lineRule="auto"/>
        <w:rPr>
          <w:rFonts w:ascii="Arial Narrow" w:hAnsi="Arial Narrow"/>
          <w:i/>
          <w:sz w:val="24"/>
          <w:szCs w:val="24"/>
        </w:rPr>
      </w:pPr>
    </w:p>
    <w:p w:rsidR="0025106B" w:rsidRPr="00270770" w:rsidRDefault="009A7831" w:rsidP="009A7831">
      <w:pPr>
        <w:spacing w:line="360" w:lineRule="auto"/>
        <w:jc w:val="both"/>
        <w:rPr>
          <w:rFonts w:ascii="Arial Narrow" w:hAnsi="Arial Narrow"/>
          <w:sz w:val="24"/>
          <w:szCs w:val="24"/>
        </w:rPr>
      </w:pPr>
      <w:r w:rsidRPr="00270770">
        <w:rPr>
          <w:rFonts w:ascii="Arial Narrow" w:hAnsi="Arial Narrow"/>
          <w:sz w:val="24"/>
          <w:szCs w:val="24"/>
        </w:rPr>
        <w:t>FEDUSA understand</w:t>
      </w:r>
      <w:r w:rsidR="00BF4A86">
        <w:rPr>
          <w:rFonts w:ascii="Arial Narrow" w:hAnsi="Arial Narrow"/>
          <w:sz w:val="24"/>
          <w:szCs w:val="24"/>
        </w:rPr>
        <w:t>s</w:t>
      </w:r>
      <w:r w:rsidRPr="00270770">
        <w:rPr>
          <w:rFonts w:ascii="Arial Narrow" w:hAnsi="Arial Narrow"/>
          <w:sz w:val="24"/>
          <w:szCs w:val="24"/>
        </w:rPr>
        <w:t xml:space="preserve"> that g</w:t>
      </w:r>
      <w:r w:rsidR="00FB5087" w:rsidRPr="00270770">
        <w:rPr>
          <w:rFonts w:ascii="Arial Narrow" w:hAnsi="Arial Narrow"/>
          <w:sz w:val="24"/>
          <w:szCs w:val="24"/>
        </w:rPr>
        <w:t>lobal economic growth is expected to remain sluggish over the period ahead</w:t>
      </w:r>
      <w:r w:rsidRPr="00270770">
        <w:rPr>
          <w:rFonts w:ascii="Arial Narrow" w:hAnsi="Arial Narrow"/>
          <w:sz w:val="24"/>
          <w:szCs w:val="24"/>
        </w:rPr>
        <w:t xml:space="preserve"> – </w:t>
      </w:r>
      <w:r w:rsidR="00FB5087" w:rsidRPr="00270770">
        <w:rPr>
          <w:rFonts w:ascii="Arial Narrow" w:hAnsi="Arial Narrow"/>
          <w:sz w:val="24"/>
          <w:szCs w:val="24"/>
        </w:rPr>
        <w:t>3.6 percent growth is ex</w:t>
      </w:r>
      <w:r w:rsidR="0025106B" w:rsidRPr="00270770">
        <w:rPr>
          <w:rFonts w:ascii="Arial Narrow" w:hAnsi="Arial Narrow"/>
          <w:sz w:val="24"/>
          <w:szCs w:val="24"/>
        </w:rPr>
        <w:t>pected t</w:t>
      </w:r>
      <w:r w:rsidR="00FB5087" w:rsidRPr="00270770">
        <w:rPr>
          <w:rFonts w:ascii="Arial Narrow" w:hAnsi="Arial Narrow"/>
          <w:sz w:val="24"/>
          <w:szCs w:val="24"/>
        </w:rPr>
        <w:t>his year</w:t>
      </w:r>
      <w:r w:rsidRPr="00270770">
        <w:rPr>
          <w:rFonts w:ascii="Arial Narrow" w:hAnsi="Arial Narrow"/>
          <w:sz w:val="24"/>
          <w:szCs w:val="24"/>
        </w:rPr>
        <w:t xml:space="preserve"> in the United States</w:t>
      </w:r>
      <w:r w:rsidR="00FB5087" w:rsidRPr="00270770">
        <w:rPr>
          <w:rFonts w:ascii="Arial Narrow" w:hAnsi="Arial Narrow"/>
          <w:sz w:val="24"/>
          <w:szCs w:val="24"/>
        </w:rPr>
        <w:t xml:space="preserve">, </w:t>
      </w:r>
      <w:r w:rsidRPr="00270770">
        <w:rPr>
          <w:rFonts w:ascii="Arial Narrow" w:hAnsi="Arial Narrow"/>
          <w:sz w:val="24"/>
          <w:szCs w:val="24"/>
        </w:rPr>
        <w:t xml:space="preserve">while the </w:t>
      </w:r>
      <w:r w:rsidR="00FB5087" w:rsidRPr="00270770">
        <w:rPr>
          <w:rFonts w:ascii="Arial Narrow" w:hAnsi="Arial Narrow"/>
          <w:sz w:val="24"/>
          <w:szCs w:val="24"/>
        </w:rPr>
        <w:t>Europe</w:t>
      </w:r>
      <w:r w:rsidRPr="00270770">
        <w:rPr>
          <w:rFonts w:ascii="Arial Narrow" w:hAnsi="Arial Narrow"/>
          <w:sz w:val="24"/>
          <w:szCs w:val="24"/>
        </w:rPr>
        <w:t xml:space="preserve">an </w:t>
      </w:r>
      <w:r w:rsidR="00FB5087" w:rsidRPr="00270770">
        <w:rPr>
          <w:rFonts w:ascii="Arial Narrow" w:hAnsi="Arial Narrow"/>
          <w:sz w:val="24"/>
          <w:szCs w:val="24"/>
        </w:rPr>
        <w:t>outlook re</w:t>
      </w:r>
      <w:r w:rsidR="0025106B" w:rsidRPr="00270770">
        <w:rPr>
          <w:rFonts w:ascii="Arial Narrow" w:hAnsi="Arial Narrow"/>
          <w:sz w:val="24"/>
          <w:szCs w:val="24"/>
        </w:rPr>
        <w:t>mains</w:t>
      </w:r>
      <w:r w:rsidR="00FB5087" w:rsidRPr="00270770">
        <w:rPr>
          <w:rFonts w:ascii="Arial Narrow" w:hAnsi="Arial Narrow"/>
          <w:sz w:val="24"/>
          <w:szCs w:val="24"/>
        </w:rPr>
        <w:t xml:space="preserve"> weak</w:t>
      </w:r>
      <w:r w:rsidRPr="00270770">
        <w:rPr>
          <w:rFonts w:ascii="Arial Narrow" w:hAnsi="Arial Narrow"/>
          <w:sz w:val="24"/>
          <w:szCs w:val="24"/>
        </w:rPr>
        <w:t>. The</w:t>
      </w:r>
      <w:r w:rsidR="00FB5087" w:rsidRPr="00270770">
        <w:rPr>
          <w:rFonts w:ascii="Arial Narrow" w:hAnsi="Arial Narrow"/>
          <w:sz w:val="24"/>
          <w:szCs w:val="24"/>
        </w:rPr>
        <w:t xml:space="preserve"> emerging markets and develop</w:t>
      </w:r>
      <w:r w:rsidR="0025106B" w:rsidRPr="00270770">
        <w:rPr>
          <w:rFonts w:ascii="Arial Narrow" w:hAnsi="Arial Narrow"/>
          <w:sz w:val="24"/>
          <w:szCs w:val="24"/>
        </w:rPr>
        <w:t>ing economies, gro</w:t>
      </w:r>
      <w:r w:rsidR="00FB5087" w:rsidRPr="00270770">
        <w:rPr>
          <w:rFonts w:ascii="Arial Narrow" w:hAnsi="Arial Narrow"/>
          <w:sz w:val="24"/>
          <w:szCs w:val="24"/>
        </w:rPr>
        <w:t>wth of about 4.5 per­cent is ex</w:t>
      </w:r>
      <w:r w:rsidR="0025106B" w:rsidRPr="00270770">
        <w:rPr>
          <w:rFonts w:ascii="Arial Narrow" w:hAnsi="Arial Narrow"/>
          <w:sz w:val="24"/>
          <w:szCs w:val="24"/>
        </w:rPr>
        <w:t>pected.</w:t>
      </w:r>
      <w:r w:rsidRPr="00270770">
        <w:rPr>
          <w:rFonts w:ascii="Arial Narrow" w:hAnsi="Arial Narrow"/>
          <w:sz w:val="24"/>
          <w:szCs w:val="24"/>
        </w:rPr>
        <w:t xml:space="preserve"> </w:t>
      </w:r>
      <w:r w:rsidR="00FB5087" w:rsidRPr="00270770">
        <w:rPr>
          <w:rFonts w:ascii="Arial Narrow" w:hAnsi="Arial Narrow"/>
          <w:sz w:val="24"/>
          <w:szCs w:val="24"/>
        </w:rPr>
        <w:t>China’s growth is ex</w:t>
      </w:r>
      <w:r w:rsidR="0025106B" w:rsidRPr="00270770">
        <w:rPr>
          <w:rFonts w:ascii="Arial Narrow" w:hAnsi="Arial Narrow"/>
          <w:sz w:val="24"/>
          <w:szCs w:val="24"/>
        </w:rPr>
        <w:t>pected to slow to 6.8 per­cent this year.</w:t>
      </w:r>
    </w:p>
    <w:p w:rsidR="009A7831" w:rsidRPr="00270770" w:rsidRDefault="009A7831" w:rsidP="006C080F">
      <w:pPr>
        <w:spacing w:line="360" w:lineRule="auto"/>
        <w:rPr>
          <w:rFonts w:ascii="Arial Narrow" w:hAnsi="Arial Narrow"/>
          <w:sz w:val="24"/>
          <w:szCs w:val="24"/>
        </w:rPr>
      </w:pPr>
    </w:p>
    <w:p w:rsidR="00891396" w:rsidRPr="00270770" w:rsidRDefault="009A7831" w:rsidP="009A7831">
      <w:pPr>
        <w:spacing w:line="360" w:lineRule="auto"/>
        <w:jc w:val="both"/>
        <w:rPr>
          <w:rFonts w:ascii="Arial Narrow" w:hAnsi="Arial Narrow"/>
          <w:sz w:val="24"/>
          <w:szCs w:val="24"/>
        </w:rPr>
      </w:pPr>
      <w:r w:rsidRPr="00270770">
        <w:rPr>
          <w:rFonts w:ascii="Arial Narrow" w:hAnsi="Arial Narrow"/>
          <w:sz w:val="24"/>
          <w:szCs w:val="24"/>
        </w:rPr>
        <w:t>The country</w:t>
      </w:r>
      <w:r w:rsidR="00FB5087" w:rsidRPr="00270770">
        <w:rPr>
          <w:rFonts w:ascii="Arial Narrow" w:hAnsi="Arial Narrow"/>
          <w:sz w:val="24"/>
          <w:szCs w:val="24"/>
        </w:rPr>
        <w:t xml:space="preserve"> will bene</w:t>
      </w:r>
      <w:r w:rsidR="0025106B" w:rsidRPr="00270770">
        <w:rPr>
          <w:rFonts w:ascii="Arial Narrow" w:hAnsi="Arial Narrow"/>
          <w:sz w:val="24"/>
          <w:szCs w:val="24"/>
        </w:rPr>
        <w:t xml:space="preserve">fit from </w:t>
      </w:r>
      <w:r w:rsidR="00FB5087" w:rsidRPr="00270770">
        <w:rPr>
          <w:rFonts w:ascii="Arial Narrow" w:hAnsi="Arial Narrow"/>
          <w:sz w:val="24"/>
          <w:szCs w:val="24"/>
        </w:rPr>
        <w:t>the lower oil</w:t>
      </w:r>
      <w:r w:rsidRPr="00270770">
        <w:rPr>
          <w:rFonts w:ascii="Arial Narrow" w:hAnsi="Arial Narrow"/>
          <w:sz w:val="24"/>
          <w:szCs w:val="24"/>
        </w:rPr>
        <w:t xml:space="preserve"> price, but our major commodity </w:t>
      </w:r>
      <w:r w:rsidR="00FB5087" w:rsidRPr="00270770">
        <w:rPr>
          <w:rFonts w:ascii="Arial Narrow" w:hAnsi="Arial Narrow"/>
          <w:sz w:val="24"/>
          <w:szCs w:val="24"/>
        </w:rPr>
        <w:t>exports have been negatively affected by the global slow</w:t>
      </w:r>
      <w:r w:rsidR="0025106B" w:rsidRPr="00270770">
        <w:rPr>
          <w:rFonts w:ascii="Arial Narrow" w:hAnsi="Arial Narrow"/>
          <w:sz w:val="24"/>
          <w:szCs w:val="24"/>
        </w:rPr>
        <w:t>down.</w:t>
      </w:r>
      <w:r w:rsidRPr="00270770">
        <w:rPr>
          <w:rFonts w:ascii="Arial Narrow" w:hAnsi="Arial Narrow"/>
          <w:sz w:val="24"/>
          <w:szCs w:val="24"/>
        </w:rPr>
        <w:t xml:space="preserve"> </w:t>
      </w:r>
      <w:r w:rsidR="00FB5087" w:rsidRPr="00270770">
        <w:rPr>
          <w:rFonts w:ascii="Arial Narrow" w:hAnsi="Arial Narrow"/>
          <w:sz w:val="24"/>
          <w:szCs w:val="24"/>
        </w:rPr>
        <w:t>Our deepening trade and invest</w:t>
      </w:r>
      <w:r w:rsidR="0025106B" w:rsidRPr="00270770">
        <w:rPr>
          <w:rFonts w:ascii="Arial Narrow" w:hAnsi="Arial Narrow"/>
          <w:sz w:val="24"/>
          <w:szCs w:val="24"/>
        </w:rPr>
        <w:t xml:space="preserve">ment links with </w:t>
      </w:r>
      <w:r w:rsidR="00FB5087" w:rsidRPr="00270770">
        <w:rPr>
          <w:rFonts w:ascii="Arial Narrow" w:hAnsi="Arial Narrow"/>
          <w:sz w:val="24"/>
          <w:szCs w:val="24"/>
        </w:rPr>
        <w:t xml:space="preserve">sub </w:t>
      </w:r>
      <w:r w:rsidR="00FB5087" w:rsidRPr="00270770">
        <w:rPr>
          <w:rFonts w:ascii="Arial Narrow" w:hAnsi="Arial Narrow"/>
          <w:sz w:val="24"/>
          <w:szCs w:val="24"/>
        </w:rPr>
        <w:lastRenderedPageBreak/>
        <w:t>Saharan Africa continue to of</w:t>
      </w:r>
      <w:r w:rsidR="0025106B" w:rsidRPr="00270770">
        <w:rPr>
          <w:rFonts w:ascii="Arial Narrow" w:hAnsi="Arial Narrow"/>
          <w:sz w:val="24"/>
          <w:szCs w:val="24"/>
        </w:rPr>
        <w:t xml:space="preserve">fer </w:t>
      </w:r>
      <w:r w:rsidR="00FB5087" w:rsidRPr="00270770">
        <w:rPr>
          <w:rFonts w:ascii="Arial Narrow" w:hAnsi="Arial Narrow"/>
          <w:sz w:val="24"/>
          <w:szCs w:val="24"/>
        </w:rPr>
        <w:t>favourable growth prospects. Exports to Africa grew by 19 percent in 2013 and 11 per</w:t>
      </w:r>
      <w:r w:rsidR="0025106B" w:rsidRPr="00270770">
        <w:rPr>
          <w:rFonts w:ascii="Arial Narrow" w:hAnsi="Arial Narrow"/>
          <w:sz w:val="24"/>
          <w:szCs w:val="24"/>
        </w:rPr>
        <w:t>cent in 2014.</w:t>
      </w:r>
      <w:r w:rsidRPr="00270770">
        <w:rPr>
          <w:rFonts w:ascii="Arial Narrow" w:hAnsi="Arial Narrow"/>
          <w:sz w:val="24"/>
          <w:szCs w:val="24"/>
        </w:rPr>
        <w:t xml:space="preserve"> </w:t>
      </w:r>
      <w:r w:rsidR="00FB5087" w:rsidRPr="00270770">
        <w:rPr>
          <w:rFonts w:ascii="Arial Narrow" w:hAnsi="Arial Narrow"/>
          <w:sz w:val="24"/>
          <w:szCs w:val="24"/>
        </w:rPr>
        <w:t>Our deepening trade and invest</w:t>
      </w:r>
      <w:r w:rsidR="0025106B" w:rsidRPr="00270770">
        <w:rPr>
          <w:rFonts w:ascii="Arial Narrow" w:hAnsi="Arial Narrow"/>
          <w:sz w:val="24"/>
          <w:szCs w:val="24"/>
        </w:rPr>
        <w:t>ment links with sub</w:t>
      </w:r>
      <w:r w:rsidR="00FB5087" w:rsidRPr="00270770">
        <w:rPr>
          <w:rFonts w:ascii="Arial Narrow" w:hAnsi="Arial Narrow"/>
          <w:sz w:val="24"/>
          <w:szCs w:val="24"/>
        </w:rPr>
        <w:t xml:space="preserve"> Saharan Africa con</w:t>
      </w:r>
      <w:r w:rsidR="0025106B" w:rsidRPr="00270770">
        <w:rPr>
          <w:rFonts w:ascii="Arial Narrow" w:hAnsi="Arial Narrow"/>
          <w:sz w:val="24"/>
          <w:szCs w:val="24"/>
        </w:rPr>
        <w:t xml:space="preserve">tinue to offer favourable growth prospects. </w:t>
      </w:r>
    </w:p>
    <w:p w:rsidR="0025106B" w:rsidRPr="00270770" w:rsidRDefault="00B32EFA" w:rsidP="00270770">
      <w:pPr>
        <w:pStyle w:val="Heading1"/>
      </w:pPr>
      <w:bookmarkStart w:id="6" w:name="_Toc413130774"/>
      <w:r w:rsidRPr="00B32EFA">
        <w:t>CHALLENGES</w:t>
      </w:r>
      <w:bookmarkEnd w:id="6"/>
    </w:p>
    <w:p w:rsidR="0025106B" w:rsidRPr="00270770" w:rsidRDefault="0025106B" w:rsidP="006C080F">
      <w:pPr>
        <w:spacing w:line="360" w:lineRule="auto"/>
        <w:rPr>
          <w:rFonts w:ascii="Arial Narrow" w:hAnsi="Arial Narrow"/>
          <w:i/>
          <w:sz w:val="24"/>
          <w:szCs w:val="24"/>
        </w:rPr>
      </w:pPr>
    </w:p>
    <w:p w:rsidR="00891396" w:rsidRPr="00270770" w:rsidRDefault="009A7831" w:rsidP="00655248">
      <w:pPr>
        <w:spacing w:line="360" w:lineRule="auto"/>
        <w:jc w:val="both"/>
        <w:rPr>
          <w:rFonts w:ascii="Arial Narrow" w:hAnsi="Arial Narrow"/>
          <w:i/>
          <w:sz w:val="24"/>
          <w:szCs w:val="24"/>
        </w:rPr>
      </w:pPr>
      <w:r w:rsidRPr="00270770">
        <w:rPr>
          <w:rFonts w:ascii="Arial Narrow" w:hAnsi="Arial Narrow"/>
          <w:sz w:val="24"/>
          <w:szCs w:val="24"/>
        </w:rPr>
        <w:t>The social partners in NEDLAC should confront the primary</w:t>
      </w:r>
      <w:r w:rsidR="00891396" w:rsidRPr="00270770">
        <w:rPr>
          <w:rFonts w:ascii="Arial Narrow" w:hAnsi="Arial Narrow"/>
          <w:sz w:val="24"/>
          <w:szCs w:val="24"/>
        </w:rPr>
        <w:t xml:space="preserve"> structural and competitiveness challenges that </w:t>
      </w:r>
      <w:r w:rsidR="00655248" w:rsidRPr="00270770">
        <w:rPr>
          <w:rFonts w:ascii="Arial Narrow" w:hAnsi="Arial Narrow"/>
          <w:sz w:val="24"/>
          <w:szCs w:val="24"/>
        </w:rPr>
        <w:t>constraint</w:t>
      </w:r>
      <w:r w:rsidR="00891396" w:rsidRPr="00270770">
        <w:rPr>
          <w:rFonts w:ascii="Arial Narrow" w:hAnsi="Arial Narrow"/>
          <w:sz w:val="24"/>
          <w:szCs w:val="24"/>
        </w:rPr>
        <w:t xml:space="preserve"> produ</w:t>
      </w:r>
      <w:r w:rsidR="00655248" w:rsidRPr="00270770">
        <w:rPr>
          <w:rFonts w:ascii="Arial Narrow" w:hAnsi="Arial Narrow"/>
          <w:sz w:val="24"/>
          <w:szCs w:val="24"/>
        </w:rPr>
        <w:t>ction and investment country</w:t>
      </w:r>
      <w:r w:rsidR="0025106B" w:rsidRPr="00270770">
        <w:rPr>
          <w:rFonts w:ascii="Arial Narrow" w:hAnsi="Arial Narrow"/>
          <w:sz w:val="24"/>
          <w:szCs w:val="24"/>
        </w:rPr>
        <w:t>.</w:t>
      </w:r>
      <w:r w:rsidR="00655248" w:rsidRPr="00270770">
        <w:rPr>
          <w:rFonts w:ascii="Arial Narrow" w:hAnsi="Arial Narrow"/>
          <w:i/>
          <w:sz w:val="24"/>
          <w:szCs w:val="24"/>
        </w:rPr>
        <w:t xml:space="preserve"> </w:t>
      </w:r>
      <w:r w:rsidR="00655248" w:rsidRPr="00270770">
        <w:rPr>
          <w:rFonts w:ascii="Arial Narrow" w:hAnsi="Arial Narrow"/>
          <w:sz w:val="24"/>
          <w:szCs w:val="24"/>
        </w:rPr>
        <w:t>It is important to recognise that e</w:t>
      </w:r>
      <w:r w:rsidR="0025106B" w:rsidRPr="00270770">
        <w:rPr>
          <w:rFonts w:ascii="Arial Narrow" w:hAnsi="Arial Narrow"/>
          <w:sz w:val="24"/>
          <w:szCs w:val="24"/>
        </w:rPr>
        <w:t>le</w:t>
      </w:r>
      <w:r w:rsidR="009D3310" w:rsidRPr="00270770">
        <w:rPr>
          <w:rFonts w:ascii="Arial Narrow" w:hAnsi="Arial Narrow"/>
          <w:sz w:val="24"/>
          <w:szCs w:val="24"/>
        </w:rPr>
        <w:t>ctricity con</w:t>
      </w:r>
      <w:r w:rsidR="0025106B" w:rsidRPr="00270770">
        <w:rPr>
          <w:rFonts w:ascii="Arial Narrow" w:hAnsi="Arial Narrow"/>
          <w:sz w:val="24"/>
          <w:szCs w:val="24"/>
        </w:rPr>
        <w:t>s</w:t>
      </w:r>
      <w:r w:rsidR="00655248" w:rsidRPr="00270770">
        <w:rPr>
          <w:rFonts w:ascii="Arial Narrow" w:hAnsi="Arial Narrow"/>
          <w:sz w:val="24"/>
          <w:szCs w:val="24"/>
        </w:rPr>
        <w:t>traints restricts</w:t>
      </w:r>
      <w:r w:rsidR="009D3310" w:rsidRPr="00270770">
        <w:rPr>
          <w:rFonts w:ascii="Arial Narrow" w:hAnsi="Arial Narrow"/>
          <w:sz w:val="24"/>
          <w:szCs w:val="24"/>
        </w:rPr>
        <w:t xml:space="preserve"> growth in manufacturing and mining, and also </w:t>
      </w:r>
      <w:r w:rsidR="00655248" w:rsidRPr="00270770">
        <w:rPr>
          <w:rFonts w:ascii="Arial Narrow" w:hAnsi="Arial Narrow"/>
          <w:sz w:val="24"/>
          <w:szCs w:val="24"/>
        </w:rPr>
        <w:t>hinder</w:t>
      </w:r>
      <w:r w:rsidR="009D3310" w:rsidRPr="00270770">
        <w:rPr>
          <w:rFonts w:ascii="Arial Narrow" w:hAnsi="Arial Narrow"/>
          <w:sz w:val="24"/>
          <w:szCs w:val="24"/>
        </w:rPr>
        <w:t xml:space="preserve"> investment in housing and raise costs for businesses and house</w:t>
      </w:r>
      <w:r w:rsidR="0025106B" w:rsidRPr="00270770">
        <w:rPr>
          <w:rFonts w:ascii="Arial Narrow" w:hAnsi="Arial Narrow"/>
          <w:sz w:val="24"/>
          <w:szCs w:val="24"/>
        </w:rPr>
        <w:t>holds.</w:t>
      </w:r>
      <w:r w:rsidR="00655248" w:rsidRPr="00270770">
        <w:rPr>
          <w:rFonts w:ascii="Arial Narrow" w:hAnsi="Arial Narrow"/>
          <w:sz w:val="24"/>
          <w:szCs w:val="24"/>
        </w:rPr>
        <w:t xml:space="preserve"> The </w:t>
      </w:r>
      <w:r w:rsidR="009D3310" w:rsidRPr="00270770">
        <w:rPr>
          <w:rFonts w:ascii="Arial Narrow" w:hAnsi="Arial Narrow"/>
          <w:sz w:val="24"/>
          <w:szCs w:val="24"/>
        </w:rPr>
        <w:t>projected eco</w:t>
      </w:r>
      <w:r w:rsidR="0025106B" w:rsidRPr="00270770">
        <w:rPr>
          <w:rFonts w:ascii="Arial Narrow" w:hAnsi="Arial Narrow"/>
          <w:sz w:val="24"/>
          <w:szCs w:val="24"/>
        </w:rPr>
        <w:t>nomi</w:t>
      </w:r>
      <w:r w:rsidR="009D3310" w:rsidRPr="00270770">
        <w:rPr>
          <w:rFonts w:ascii="Arial Narrow" w:hAnsi="Arial Narrow"/>
          <w:sz w:val="24"/>
          <w:szCs w:val="24"/>
        </w:rPr>
        <w:t>c growth for 2015 is just 2 per</w:t>
      </w:r>
      <w:r w:rsidR="0025106B" w:rsidRPr="00270770">
        <w:rPr>
          <w:rFonts w:ascii="Arial Narrow" w:hAnsi="Arial Narrow"/>
          <w:sz w:val="24"/>
          <w:szCs w:val="24"/>
        </w:rPr>
        <w:t>cent, dow</w:t>
      </w:r>
      <w:r w:rsidR="009D3310" w:rsidRPr="00270770">
        <w:rPr>
          <w:rFonts w:ascii="Arial Narrow" w:hAnsi="Arial Narrow"/>
          <w:sz w:val="24"/>
          <w:szCs w:val="24"/>
        </w:rPr>
        <w:t>n from 2.5 percent indicated in Octo</w:t>
      </w:r>
      <w:r w:rsidR="0025106B" w:rsidRPr="00270770">
        <w:rPr>
          <w:rFonts w:ascii="Arial Narrow" w:hAnsi="Arial Narrow"/>
          <w:sz w:val="24"/>
          <w:szCs w:val="24"/>
        </w:rPr>
        <w:t>ber last year.</w:t>
      </w:r>
      <w:r w:rsidR="00655248" w:rsidRPr="00270770">
        <w:rPr>
          <w:rFonts w:ascii="Arial Narrow" w:hAnsi="Arial Narrow"/>
          <w:i/>
          <w:sz w:val="24"/>
          <w:szCs w:val="24"/>
        </w:rPr>
        <w:t xml:space="preserve"> </w:t>
      </w:r>
      <w:r w:rsidR="009D3310" w:rsidRPr="00270770">
        <w:rPr>
          <w:rFonts w:ascii="Arial Narrow" w:hAnsi="Arial Narrow"/>
          <w:sz w:val="24"/>
          <w:szCs w:val="24"/>
        </w:rPr>
        <w:t>We expect growth to rise to 3 per</w:t>
      </w:r>
      <w:r w:rsidR="0003493F" w:rsidRPr="00270770">
        <w:rPr>
          <w:rFonts w:ascii="Arial Narrow" w:hAnsi="Arial Narrow"/>
          <w:sz w:val="24"/>
          <w:szCs w:val="24"/>
        </w:rPr>
        <w:t>cent by 2017. Consumer price inflation</w:t>
      </w:r>
      <w:r w:rsidR="00BF4A86">
        <w:rPr>
          <w:rFonts w:ascii="Arial Narrow" w:hAnsi="Arial Narrow"/>
          <w:sz w:val="24"/>
          <w:szCs w:val="24"/>
        </w:rPr>
        <w:t xml:space="preserve"> (CPI</w:t>
      </w:r>
      <w:r w:rsidR="0003493F" w:rsidRPr="00270770">
        <w:rPr>
          <w:rFonts w:ascii="Arial Narrow" w:hAnsi="Arial Narrow"/>
          <w:sz w:val="24"/>
          <w:szCs w:val="24"/>
        </w:rPr>
        <w:t xml:space="preserve"> peaked at 6.6 per</w:t>
      </w:r>
      <w:r w:rsidR="0025106B" w:rsidRPr="00270770">
        <w:rPr>
          <w:rFonts w:ascii="Arial Narrow" w:hAnsi="Arial Narrow"/>
          <w:sz w:val="24"/>
          <w:szCs w:val="24"/>
        </w:rPr>
        <w:t>cent in June last year. It has subsequently declined to just 4.4 per­cent last month, and is expected</w:t>
      </w:r>
      <w:r w:rsidR="0003493F" w:rsidRPr="00270770">
        <w:rPr>
          <w:rFonts w:ascii="Arial Narrow" w:hAnsi="Arial Narrow"/>
          <w:sz w:val="24"/>
          <w:szCs w:val="24"/>
        </w:rPr>
        <w:t xml:space="preserve"> to average 4.3 percent in 2015, laying a foundation for eco</w:t>
      </w:r>
      <w:r w:rsidR="0025106B" w:rsidRPr="00270770">
        <w:rPr>
          <w:rFonts w:ascii="Arial Narrow" w:hAnsi="Arial Narrow"/>
          <w:sz w:val="24"/>
          <w:szCs w:val="24"/>
        </w:rPr>
        <w:t>nomic growth.</w:t>
      </w:r>
      <w:r w:rsidR="00655248" w:rsidRPr="00270770">
        <w:rPr>
          <w:rFonts w:ascii="Arial Narrow" w:hAnsi="Arial Narrow"/>
          <w:sz w:val="24"/>
          <w:szCs w:val="24"/>
        </w:rPr>
        <w:t xml:space="preserve"> FEDUSA</w:t>
      </w:r>
      <w:r w:rsidR="0025106B" w:rsidRPr="00270770">
        <w:rPr>
          <w:rFonts w:ascii="Arial Narrow" w:hAnsi="Arial Narrow"/>
          <w:sz w:val="24"/>
          <w:szCs w:val="24"/>
        </w:rPr>
        <w:t xml:space="preserve"> </w:t>
      </w:r>
      <w:r w:rsidR="00655248" w:rsidRPr="00270770">
        <w:rPr>
          <w:rFonts w:ascii="Arial Narrow" w:hAnsi="Arial Narrow"/>
          <w:sz w:val="24"/>
          <w:szCs w:val="24"/>
        </w:rPr>
        <w:t xml:space="preserve">support the notion that the </w:t>
      </w:r>
      <w:r w:rsidR="0025106B" w:rsidRPr="00270770">
        <w:rPr>
          <w:rFonts w:ascii="Arial Narrow" w:hAnsi="Arial Narrow"/>
          <w:sz w:val="24"/>
          <w:szCs w:val="24"/>
        </w:rPr>
        <w:t>best short</w:t>
      </w:r>
      <w:r w:rsidR="0003493F" w:rsidRPr="00270770">
        <w:rPr>
          <w:rFonts w:ascii="Arial Narrow" w:hAnsi="Arial Narrow"/>
          <w:sz w:val="24"/>
          <w:szCs w:val="24"/>
        </w:rPr>
        <w:t xml:space="preserve"> </w:t>
      </w:r>
      <w:r w:rsidR="0025106B" w:rsidRPr="00270770">
        <w:rPr>
          <w:rFonts w:ascii="Arial Narrow" w:hAnsi="Arial Narrow"/>
          <w:sz w:val="24"/>
          <w:szCs w:val="24"/>
        </w:rPr>
        <w:t>term prospects fo</w:t>
      </w:r>
      <w:r w:rsidR="00655248" w:rsidRPr="00270770">
        <w:rPr>
          <w:rFonts w:ascii="Arial Narrow" w:hAnsi="Arial Narrow"/>
          <w:sz w:val="24"/>
          <w:szCs w:val="24"/>
        </w:rPr>
        <w:t>r faster growth is located in the</w:t>
      </w:r>
      <w:r w:rsidR="0003493F" w:rsidRPr="00270770">
        <w:rPr>
          <w:rFonts w:ascii="Arial Narrow" w:hAnsi="Arial Narrow"/>
          <w:sz w:val="24"/>
          <w:szCs w:val="24"/>
        </w:rPr>
        <w:t xml:space="preserve"> less en</w:t>
      </w:r>
      <w:r w:rsidR="0025106B" w:rsidRPr="00270770">
        <w:rPr>
          <w:rFonts w:ascii="Arial Narrow" w:hAnsi="Arial Narrow"/>
          <w:sz w:val="24"/>
          <w:szCs w:val="24"/>
        </w:rPr>
        <w:t>ergy</w:t>
      </w:r>
      <w:r w:rsidR="0003493F" w:rsidRPr="00270770">
        <w:rPr>
          <w:rFonts w:ascii="Arial Narrow" w:hAnsi="Arial Narrow"/>
          <w:sz w:val="24"/>
          <w:szCs w:val="24"/>
        </w:rPr>
        <w:t xml:space="preserve"> intensive sectors such as tourism, agriculture, light manufactur</w:t>
      </w:r>
      <w:r w:rsidR="0025106B" w:rsidRPr="00270770">
        <w:rPr>
          <w:rFonts w:ascii="Arial Narrow" w:hAnsi="Arial Narrow"/>
          <w:sz w:val="24"/>
          <w:szCs w:val="24"/>
        </w:rPr>
        <w:t>ing and hou</w:t>
      </w:r>
      <w:r w:rsidR="0003493F" w:rsidRPr="00270770">
        <w:rPr>
          <w:rFonts w:ascii="Arial Narrow" w:hAnsi="Arial Narrow"/>
          <w:sz w:val="24"/>
          <w:szCs w:val="24"/>
        </w:rPr>
        <w:t>sing construc</w:t>
      </w:r>
      <w:r w:rsidR="0025106B" w:rsidRPr="00270770">
        <w:rPr>
          <w:rFonts w:ascii="Arial Narrow" w:hAnsi="Arial Narrow"/>
          <w:sz w:val="24"/>
          <w:szCs w:val="24"/>
        </w:rPr>
        <w:t>tion.</w:t>
      </w:r>
      <w:r w:rsidR="00655248" w:rsidRPr="00270770">
        <w:rPr>
          <w:rFonts w:ascii="Arial Narrow" w:hAnsi="Arial Narrow"/>
          <w:sz w:val="24"/>
          <w:szCs w:val="24"/>
        </w:rPr>
        <w:t xml:space="preserve"> It is also important to incentivise the investment instruments to encourage new private sector investments. </w:t>
      </w:r>
    </w:p>
    <w:p w:rsidR="0025106B" w:rsidRPr="00270770" w:rsidRDefault="00B32EFA" w:rsidP="00270770">
      <w:pPr>
        <w:pStyle w:val="Heading1"/>
      </w:pPr>
      <w:bookmarkStart w:id="7" w:name="_Toc413130775"/>
      <w:r w:rsidRPr="00B32EFA">
        <w:t>FISCAL POLICY</w:t>
      </w:r>
      <w:bookmarkEnd w:id="7"/>
    </w:p>
    <w:p w:rsidR="0025106B" w:rsidRPr="00270770" w:rsidRDefault="0025106B" w:rsidP="006C080F">
      <w:pPr>
        <w:spacing w:line="360" w:lineRule="auto"/>
        <w:rPr>
          <w:rFonts w:ascii="Arial Narrow" w:hAnsi="Arial Narrow"/>
          <w:i/>
          <w:sz w:val="24"/>
          <w:szCs w:val="24"/>
        </w:rPr>
      </w:pPr>
    </w:p>
    <w:p w:rsidR="00AF01A7" w:rsidRPr="00270770" w:rsidRDefault="00AF01A7" w:rsidP="00AF01A7">
      <w:pPr>
        <w:spacing w:line="360" w:lineRule="auto"/>
        <w:jc w:val="both"/>
        <w:rPr>
          <w:rFonts w:ascii="Arial Narrow" w:hAnsi="Arial Narrow"/>
          <w:sz w:val="24"/>
          <w:szCs w:val="24"/>
        </w:rPr>
      </w:pPr>
      <w:r w:rsidRPr="00270770">
        <w:rPr>
          <w:rFonts w:ascii="Arial Narrow" w:hAnsi="Arial Narrow"/>
          <w:sz w:val="24"/>
          <w:szCs w:val="24"/>
        </w:rPr>
        <w:t>FEDUSA supports the</w:t>
      </w:r>
      <w:r w:rsidR="000B4F4F" w:rsidRPr="00270770">
        <w:rPr>
          <w:rFonts w:ascii="Arial Narrow" w:hAnsi="Arial Narrow"/>
          <w:sz w:val="24"/>
          <w:szCs w:val="24"/>
        </w:rPr>
        <w:t xml:space="preserve"> reduction in the main budget expendi</w:t>
      </w:r>
      <w:r w:rsidR="0025106B" w:rsidRPr="00270770">
        <w:rPr>
          <w:rFonts w:ascii="Arial Narrow" w:hAnsi="Arial Narrow"/>
          <w:sz w:val="24"/>
          <w:szCs w:val="24"/>
        </w:rPr>
        <w:t xml:space="preserve">ture ceiling of </w:t>
      </w:r>
      <w:r w:rsidR="000B4F4F" w:rsidRPr="00270770">
        <w:rPr>
          <w:rFonts w:ascii="Arial Narrow" w:hAnsi="Arial Narrow"/>
          <w:sz w:val="24"/>
          <w:szCs w:val="24"/>
        </w:rPr>
        <w:t>about R25 bil</w:t>
      </w:r>
      <w:r w:rsidR="0025106B" w:rsidRPr="00270770">
        <w:rPr>
          <w:rFonts w:ascii="Arial Narrow" w:hAnsi="Arial Narrow"/>
          <w:sz w:val="24"/>
          <w:szCs w:val="24"/>
        </w:rPr>
        <w:t>li</w:t>
      </w:r>
      <w:r w:rsidR="000B4F4F" w:rsidRPr="00270770">
        <w:rPr>
          <w:rFonts w:ascii="Arial Narrow" w:hAnsi="Arial Narrow"/>
          <w:sz w:val="24"/>
          <w:szCs w:val="24"/>
        </w:rPr>
        <w:t>on over the next two years, compared with the 2014 Budget base</w:t>
      </w:r>
      <w:r w:rsidR="0025106B" w:rsidRPr="00270770">
        <w:rPr>
          <w:rFonts w:ascii="Arial Narrow" w:hAnsi="Arial Narrow"/>
          <w:sz w:val="24"/>
          <w:szCs w:val="24"/>
        </w:rPr>
        <w:t>line.</w:t>
      </w:r>
      <w:r w:rsidRPr="00270770">
        <w:rPr>
          <w:rFonts w:ascii="Arial Narrow" w:hAnsi="Arial Narrow"/>
          <w:sz w:val="24"/>
          <w:szCs w:val="24"/>
        </w:rPr>
        <w:t xml:space="preserve"> It is also imperative to revise spending plans across all governmental departments, designed to enhance greater efficiency, reduced waste, eradicate corruption and the improve</w:t>
      </w:r>
      <w:r w:rsidR="00BF4A86">
        <w:rPr>
          <w:rFonts w:ascii="Arial Narrow" w:hAnsi="Arial Narrow"/>
          <w:sz w:val="24"/>
          <w:szCs w:val="24"/>
        </w:rPr>
        <w:t>d</w:t>
      </w:r>
      <w:r w:rsidRPr="00270770">
        <w:rPr>
          <w:rFonts w:ascii="Arial Narrow" w:hAnsi="Arial Narrow"/>
          <w:sz w:val="24"/>
          <w:szCs w:val="24"/>
        </w:rPr>
        <w:t xml:space="preserve"> alignment of spending. The </w:t>
      </w:r>
      <w:r w:rsidR="00036BC1" w:rsidRPr="00270770">
        <w:rPr>
          <w:rFonts w:ascii="Arial Narrow" w:hAnsi="Arial Narrow"/>
          <w:sz w:val="24"/>
          <w:szCs w:val="24"/>
        </w:rPr>
        <w:t>Federation would like to recommend that</w:t>
      </w:r>
      <w:r w:rsidRPr="00270770">
        <w:rPr>
          <w:rFonts w:ascii="Arial Narrow" w:hAnsi="Arial Narrow"/>
          <w:sz w:val="24"/>
          <w:szCs w:val="24"/>
        </w:rPr>
        <w:t xml:space="preserve"> </w:t>
      </w:r>
      <w:r w:rsidR="00036BC1" w:rsidRPr="00270770">
        <w:rPr>
          <w:rFonts w:ascii="Arial Narrow" w:hAnsi="Arial Narrow"/>
          <w:sz w:val="24"/>
          <w:szCs w:val="24"/>
        </w:rPr>
        <w:t xml:space="preserve">the </w:t>
      </w:r>
      <w:r w:rsidRPr="00270770">
        <w:rPr>
          <w:rFonts w:ascii="Arial Narrow" w:hAnsi="Arial Narrow"/>
          <w:sz w:val="24"/>
          <w:szCs w:val="24"/>
        </w:rPr>
        <w:t>consolidation of government personnel numbers</w:t>
      </w:r>
      <w:r w:rsidR="00036BC1" w:rsidRPr="00270770">
        <w:rPr>
          <w:rFonts w:ascii="Arial Narrow" w:hAnsi="Arial Narrow"/>
          <w:sz w:val="24"/>
          <w:szCs w:val="24"/>
        </w:rPr>
        <w:t xml:space="preserve"> is important but in the regard it essential to involve the trade unions in the process. Care should be taken that the appropriate number of teachers, nurses and police officers are employed to ensure quality service delivery. </w:t>
      </w:r>
    </w:p>
    <w:p w:rsidR="0025106B" w:rsidRPr="00270770" w:rsidRDefault="0025106B" w:rsidP="00AF01A7">
      <w:pPr>
        <w:spacing w:line="360" w:lineRule="auto"/>
        <w:jc w:val="both"/>
        <w:rPr>
          <w:rFonts w:ascii="Arial Narrow" w:hAnsi="Arial Narrow"/>
          <w:i/>
          <w:sz w:val="24"/>
          <w:szCs w:val="24"/>
        </w:rPr>
      </w:pPr>
    </w:p>
    <w:p w:rsidR="00891396" w:rsidRPr="00270770" w:rsidRDefault="00036BC1" w:rsidP="003E1B67">
      <w:pPr>
        <w:spacing w:line="360" w:lineRule="auto"/>
        <w:jc w:val="both"/>
        <w:rPr>
          <w:rFonts w:ascii="Arial Narrow" w:hAnsi="Arial Narrow"/>
          <w:sz w:val="24"/>
          <w:szCs w:val="24"/>
        </w:rPr>
      </w:pPr>
      <w:r w:rsidRPr="00270770">
        <w:rPr>
          <w:rFonts w:ascii="Arial Narrow" w:hAnsi="Arial Narrow"/>
          <w:sz w:val="24"/>
          <w:szCs w:val="24"/>
        </w:rPr>
        <w:t>The Federation understand</w:t>
      </w:r>
      <w:r w:rsidR="006B616B" w:rsidRPr="00270770">
        <w:rPr>
          <w:rFonts w:ascii="Arial Narrow" w:hAnsi="Arial Narrow"/>
          <w:sz w:val="24"/>
          <w:szCs w:val="24"/>
        </w:rPr>
        <w:t>s</w:t>
      </w:r>
      <w:r w:rsidRPr="00270770">
        <w:rPr>
          <w:rFonts w:ascii="Arial Narrow" w:hAnsi="Arial Narrow"/>
          <w:sz w:val="24"/>
          <w:szCs w:val="24"/>
        </w:rPr>
        <w:t xml:space="preserve"> the necessity to operate </w:t>
      </w:r>
      <w:r w:rsidR="006B616B" w:rsidRPr="00270770">
        <w:rPr>
          <w:rFonts w:ascii="Arial Narrow" w:hAnsi="Arial Narrow"/>
          <w:sz w:val="24"/>
          <w:szCs w:val="24"/>
        </w:rPr>
        <w:t>within the context of countercyclical fiscal policies</w:t>
      </w:r>
      <w:r w:rsidRPr="00270770">
        <w:rPr>
          <w:rFonts w:ascii="Arial Narrow" w:hAnsi="Arial Narrow"/>
          <w:sz w:val="24"/>
          <w:szCs w:val="24"/>
        </w:rPr>
        <w:t xml:space="preserve"> </w:t>
      </w:r>
      <w:r w:rsidR="006B616B" w:rsidRPr="00270770">
        <w:rPr>
          <w:rFonts w:ascii="Arial Narrow" w:hAnsi="Arial Narrow"/>
          <w:sz w:val="24"/>
          <w:szCs w:val="24"/>
        </w:rPr>
        <w:t xml:space="preserve">to provide support for the economy during difficult economic times. The </w:t>
      </w:r>
      <w:r w:rsidRPr="00270770">
        <w:rPr>
          <w:rFonts w:ascii="Arial Narrow" w:hAnsi="Arial Narrow"/>
          <w:sz w:val="24"/>
          <w:szCs w:val="24"/>
        </w:rPr>
        <w:t>conventional wisdom focus on how employment and personal income respond</w:t>
      </w:r>
      <w:r w:rsidR="00FA5F9E">
        <w:rPr>
          <w:rFonts w:ascii="Arial Narrow" w:hAnsi="Arial Narrow"/>
          <w:sz w:val="24"/>
          <w:szCs w:val="24"/>
        </w:rPr>
        <w:t>s</w:t>
      </w:r>
      <w:r w:rsidRPr="00270770">
        <w:rPr>
          <w:rFonts w:ascii="Arial Narrow" w:hAnsi="Arial Narrow"/>
          <w:sz w:val="24"/>
          <w:szCs w:val="24"/>
        </w:rPr>
        <w:t xml:space="preserve"> in the short run to changes in govern</w:t>
      </w:r>
      <w:r w:rsidR="006B616B" w:rsidRPr="00270770">
        <w:rPr>
          <w:rFonts w:ascii="Arial Narrow" w:hAnsi="Arial Narrow"/>
          <w:sz w:val="24"/>
          <w:szCs w:val="24"/>
        </w:rPr>
        <w:t>ment expenditures and taxes. However,</w:t>
      </w:r>
      <w:r w:rsidRPr="00270770">
        <w:rPr>
          <w:rFonts w:ascii="Arial Narrow" w:hAnsi="Arial Narrow"/>
          <w:sz w:val="24"/>
          <w:szCs w:val="24"/>
        </w:rPr>
        <w:t xml:space="preserve"> in economic </w:t>
      </w:r>
      <w:r w:rsidR="006B616B" w:rsidRPr="00270770">
        <w:rPr>
          <w:rFonts w:ascii="Arial Narrow" w:hAnsi="Arial Narrow"/>
          <w:sz w:val="24"/>
          <w:szCs w:val="24"/>
        </w:rPr>
        <w:t>recessions</w:t>
      </w:r>
      <w:r w:rsidRPr="00270770">
        <w:rPr>
          <w:rFonts w:ascii="Arial Narrow" w:hAnsi="Arial Narrow"/>
          <w:sz w:val="24"/>
          <w:szCs w:val="24"/>
        </w:rPr>
        <w:t xml:space="preserve">, countercyclical policies increase government indebtedness, raising future debt service obligations. </w:t>
      </w:r>
      <w:r w:rsidR="006B616B" w:rsidRPr="00270770">
        <w:rPr>
          <w:rFonts w:ascii="Arial Narrow" w:hAnsi="Arial Narrow"/>
          <w:sz w:val="24"/>
          <w:szCs w:val="24"/>
        </w:rPr>
        <w:t xml:space="preserve">On the </w:t>
      </w:r>
      <w:r w:rsidR="006B616B" w:rsidRPr="00270770">
        <w:rPr>
          <w:rFonts w:ascii="Arial Narrow" w:hAnsi="Arial Narrow"/>
          <w:sz w:val="24"/>
          <w:szCs w:val="24"/>
        </w:rPr>
        <w:lastRenderedPageBreak/>
        <w:t>downside, some mix of higher taxes, lower spending, or higher money growth must finance these new expenditure commitments</w:t>
      </w:r>
      <w:r w:rsidRPr="00270770">
        <w:rPr>
          <w:rFonts w:ascii="Arial Narrow" w:hAnsi="Arial Narrow"/>
          <w:sz w:val="24"/>
          <w:szCs w:val="24"/>
        </w:rPr>
        <w:t xml:space="preserve"> in the future. </w:t>
      </w:r>
      <w:r w:rsidR="006B616B" w:rsidRPr="00270770">
        <w:rPr>
          <w:rFonts w:ascii="Arial Narrow" w:hAnsi="Arial Narrow"/>
          <w:sz w:val="24"/>
          <w:szCs w:val="24"/>
        </w:rPr>
        <w:t>FEDUSA is concern</w:t>
      </w:r>
      <w:r w:rsidR="00FA5F9E">
        <w:rPr>
          <w:rFonts w:ascii="Arial Narrow" w:hAnsi="Arial Narrow"/>
          <w:sz w:val="24"/>
          <w:szCs w:val="24"/>
        </w:rPr>
        <w:t>ed</w:t>
      </w:r>
      <w:r w:rsidR="006B616B" w:rsidRPr="00270770">
        <w:rPr>
          <w:rFonts w:ascii="Arial Narrow" w:hAnsi="Arial Narrow"/>
          <w:sz w:val="24"/>
          <w:szCs w:val="24"/>
        </w:rPr>
        <w:t xml:space="preserve"> that the </w:t>
      </w:r>
      <w:r w:rsidR="000B4F4F" w:rsidRPr="00270770">
        <w:rPr>
          <w:rFonts w:ascii="Arial Narrow" w:hAnsi="Arial Narrow"/>
          <w:sz w:val="24"/>
          <w:szCs w:val="24"/>
        </w:rPr>
        <w:t>consolidated deficit of 3.9 percent of GDP was projected for 2015/16, falling to 2.5 per</w:t>
      </w:r>
      <w:r w:rsidR="006B616B" w:rsidRPr="00270770">
        <w:rPr>
          <w:rFonts w:ascii="Arial Narrow" w:hAnsi="Arial Narrow"/>
          <w:sz w:val="24"/>
          <w:szCs w:val="24"/>
        </w:rPr>
        <w:t>cent in 2017/18, and interest on state debt will rise from R115bn this year to R153bn in 2017/18.</w:t>
      </w:r>
      <w:r w:rsidR="00AD62B0" w:rsidRPr="00270770">
        <w:rPr>
          <w:rFonts w:ascii="Arial Narrow" w:hAnsi="Arial Narrow"/>
          <w:sz w:val="24"/>
          <w:szCs w:val="24"/>
        </w:rPr>
        <w:t xml:space="preserve"> </w:t>
      </w:r>
      <w:r w:rsidR="003E1B67" w:rsidRPr="00270770">
        <w:rPr>
          <w:rFonts w:ascii="Arial Narrow" w:hAnsi="Arial Narrow"/>
          <w:sz w:val="24"/>
          <w:szCs w:val="24"/>
        </w:rPr>
        <w:t>Government increased the taxes amounting to R17bn in 2015/16.</w:t>
      </w:r>
    </w:p>
    <w:p w:rsidR="0025106B" w:rsidRPr="00270770" w:rsidRDefault="00B32EFA" w:rsidP="00270770">
      <w:pPr>
        <w:pStyle w:val="Heading1"/>
      </w:pPr>
      <w:bookmarkStart w:id="8" w:name="_Toc413130776"/>
      <w:r w:rsidRPr="00B32EFA">
        <w:t>GROSS DEBT</w:t>
      </w:r>
      <w:bookmarkEnd w:id="8"/>
    </w:p>
    <w:p w:rsidR="0025106B" w:rsidRPr="00270770" w:rsidRDefault="0025106B" w:rsidP="006C080F">
      <w:pPr>
        <w:spacing w:line="360" w:lineRule="auto"/>
        <w:rPr>
          <w:rFonts w:ascii="Arial Narrow" w:hAnsi="Arial Narrow"/>
          <w:i/>
          <w:sz w:val="24"/>
          <w:szCs w:val="24"/>
        </w:rPr>
      </w:pPr>
    </w:p>
    <w:p w:rsidR="00891396" w:rsidRPr="00270770" w:rsidRDefault="003E1B67" w:rsidP="00AD62B0">
      <w:pPr>
        <w:spacing w:line="360" w:lineRule="auto"/>
        <w:jc w:val="both"/>
        <w:rPr>
          <w:rFonts w:ascii="Arial Narrow" w:hAnsi="Arial Narrow"/>
          <w:i/>
          <w:sz w:val="24"/>
          <w:szCs w:val="24"/>
        </w:rPr>
      </w:pPr>
      <w:r w:rsidRPr="00270770">
        <w:rPr>
          <w:rFonts w:ascii="Arial Narrow" w:hAnsi="Arial Narrow"/>
          <w:sz w:val="24"/>
          <w:szCs w:val="24"/>
        </w:rPr>
        <w:t xml:space="preserve">The projected gross </w:t>
      </w:r>
      <w:r w:rsidR="000B4F4F" w:rsidRPr="00270770">
        <w:rPr>
          <w:rFonts w:ascii="Arial Narrow" w:hAnsi="Arial Narrow"/>
          <w:sz w:val="24"/>
          <w:szCs w:val="24"/>
        </w:rPr>
        <w:t>debt stock is projected to in</w:t>
      </w:r>
      <w:r w:rsidR="0025106B" w:rsidRPr="00270770">
        <w:rPr>
          <w:rFonts w:ascii="Arial Narrow" w:hAnsi="Arial Narrow"/>
          <w:sz w:val="24"/>
          <w:szCs w:val="24"/>
        </w:rPr>
        <w:t>creas</w:t>
      </w:r>
      <w:r w:rsidR="000B4F4F" w:rsidRPr="00270770">
        <w:rPr>
          <w:rFonts w:ascii="Arial Narrow" w:hAnsi="Arial Narrow"/>
          <w:sz w:val="24"/>
          <w:szCs w:val="24"/>
        </w:rPr>
        <w:t>e to R2.3 tril</w:t>
      </w:r>
      <w:r w:rsidR="0025106B" w:rsidRPr="00270770">
        <w:rPr>
          <w:rFonts w:ascii="Arial Narrow" w:hAnsi="Arial Narrow"/>
          <w:sz w:val="24"/>
          <w:szCs w:val="24"/>
        </w:rPr>
        <w:t>lion in 2017/18</w:t>
      </w:r>
      <w:r w:rsidRPr="00270770">
        <w:rPr>
          <w:rFonts w:ascii="Arial Narrow" w:hAnsi="Arial Narrow"/>
          <w:sz w:val="24"/>
          <w:szCs w:val="24"/>
        </w:rPr>
        <w:t xml:space="preserve"> and that the r</w:t>
      </w:r>
      <w:r w:rsidR="000B4F4F" w:rsidRPr="00270770">
        <w:rPr>
          <w:rFonts w:ascii="Arial Narrow" w:hAnsi="Arial Narrow"/>
          <w:sz w:val="24"/>
          <w:szCs w:val="24"/>
        </w:rPr>
        <w:t>edemptions on debt is</w:t>
      </w:r>
      <w:r w:rsidR="0025106B" w:rsidRPr="00270770">
        <w:rPr>
          <w:rFonts w:ascii="Arial Narrow" w:hAnsi="Arial Narrow"/>
          <w:sz w:val="24"/>
          <w:szCs w:val="24"/>
        </w:rPr>
        <w:t>sued over the past decade will add R190bn to the medium</w:t>
      </w:r>
      <w:r w:rsidR="000B4F4F" w:rsidRPr="00270770">
        <w:rPr>
          <w:rFonts w:ascii="Arial Narrow" w:hAnsi="Arial Narrow"/>
          <w:sz w:val="24"/>
          <w:szCs w:val="24"/>
        </w:rPr>
        <w:t xml:space="preserve"> </w:t>
      </w:r>
      <w:r w:rsidR="0025106B" w:rsidRPr="00270770">
        <w:rPr>
          <w:rFonts w:ascii="Arial Narrow" w:hAnsi="Arial Narrow"/>
          <w:sz w:val="24"/>
          <w:szCs w:val="24"/>
        </w:rPr>
        <w:t>te</w:t>
      </w:r>
      <w:r w:rsidR="000B4F4F" w:rsidRPr="00270770">
        <w:rPr>
          <w:rFonts w:ascii="Arial Narrow" w:hAnsi="Arial Narrow"/>
          <w:sz w:val="24"/>
          <w:szCs w:val="24"/>
        </w:rPr>
        <w:t>rm borrowing require</w:t>
      </w:r>
      <w:r w:rsidR="0025106B" w:rsidRPr="00270770">
        <w:rPr>
          <w:rFonts w:ascii="Arial Narrow" w:hAnsi="Arial Narrow"/>
          <w:sz w:val="24"/>
          <w:szCs w:val="24"/>
        </w:rPr>
        <w:t>ment.</w:t>
      </w:r>
      <w:r w:rsidRPr="00270770">
        <w:rPr>
          <w:rFonts w:ascii="Arial Narrow" w:hAnsi="Arial Narrow"/>
          <w:i/>
          <w:sz w:val="24"/>
          <w:szCs w:val="24"/>
        </w:rPr>
        <w:t xml:space="preserve"> </w:t>
      </w:r>
      <w:r w:rsidR="000B4F4F" w:rsidRPr="00270770">
        <w:rPr>
          <w:rFonts w:ascii="Arial Narrow" w:hAnsi="Arial Narrow"/>
          <w:sz w:val="24"/>
          <w:szCs w:val="24"/>
        </w:rPr>
        <w:t>Net loan debt of the national government is expected to sta</w:t>
      </w:r>
      <w:r w:rsidR="00270770">
        <w:rPr>
          <w:rFonts w:ascii="Arial Narrow" w:hAnsi="Arial Narrow"/>
          <w:sz w:val="24"/>
          <w:szCs w:val="24"/>
        </w:rPr>
        <w:t>bilise at less than 45%</w:t>
      </w:r>
      <w:r w:rsidR="0025106B" w:rsidRPr="00270770">
        <w:rPr>
          <w:rFonts w:ascii="Arial Narrow" w:hAnsi="Arial Narrow"/>
          <w:sz w:val="24"/>
          <w:szCs w:val="24"/>
        </w:rPr>
        <w:t xml:space="preserve"> of GDP in three years’ time.</w:t>
      </w:r>
      <w:r w:rsidRPr="00270770">
        <w:rPr>
          <w:rFonts w:ascii="Arial Narrow" w:hAnsi="Arial Narrow"/>
          <w:sz w:val="24"/>
          <w:szCs w:val="24"/>
        </w:rPr>
        <w:t xml:space="preserve"> It is necessary to stabilise debt situation as it could become a major challenge and rating agencies could downgrade the investment status of the country. </w:t>
      </w:r>
      <w:r w:rsidR="00AD62B0" w:rsidRPr="00270770">
        <w:rPr>
          <w:rFonts w:ascii="Arial Narrow" w:hAnsi="Arial Narrow"/>
          <w:sz w:val="24"/>
          <w:szCs w:val="24"/>
        </w:rPr>
        <w:t>The downgrade of the country is dependent on th</w:t>
      </w:r>
      <w:r w:rsidR="00270770">
        <w:rPr>
          <w:rFonts w:ascii="Arial Narrow" w:hAnsi="Arial Narrow"/>
          <w:sz w:val="24"/>
          <w:szCs w:val="24"/>
        </w:rPr>
        <w:t xml:space="preserve">e public sector wage settlement, </w:t>
      </w:r>
      <w:r w:rsidR="00FA5F9E">
        <w:rPr>
          <w:rFonts w:ascii="Arial Narrow" w:hAnsi="Arial Narrow"/>
          <w:sz w:val="24"/>
          <w:szCs w:val="24"/>
        </w:rPr>
        <w:t xml:space="preserve">which </w:t>
      </w:r>
      <w:r w:rsidR="00270770">
        <w:rPr>
          <w:rFonts w:ascii="Arial Narrow" w:hAnsi="Arial Narrow"/>
          <w:sz w:val="24"/>
          <w:szCs w:val="24"/>
        </w:rPr>
        <w:t>would</w:t>
      </w:r>
      <w:r w:rsidR="00AD62B0" w:rsidRPr="00270770">
        <w:rPr>
          <w:rFonts w:ascii="Arial Narrow" w:hAnsi="Arial Narrow"/>
          <w:sz w:val="24"/>
          <w:szCs w:val="24"/>
        </w:rPr>
        <w:t xml:space="preserve"> slow GDP growth in relation to the NDP target of 5% </w:t>
      </w:r>
      <w:r w:rsidR="00FA5F9E">
        <w:rPr>
          <w:rFonts w:ascii="Arial Narrow" w:hAnsi="Arial Narrow"/>
          <w:sz w:val="24"/>
          <w:szCs w:val="24"/>
        </w:rPr>
        <w:t xml:space="preserve">of </w:t>
      </w:r>
      <w:r w:rsidR="00AD62B0" w:rsidRPr="00270770">
        <w:rPr>
          <w:rFonts w:ascii="Arial Narrow" w:hAnsi="Arial Narrow"/>
          <w:sz w:val="24"/>
          <w:szCs w:val="24"/>
        </w:rPr>
        <w:t>GDP</w:t>
      </w:r>
      <w:r w:rsidR="00FA5F9E">
        <w:rPr>
          <w:rFonts w:ascii="Arial Narrow" w:hAnsi="Arial Narrow"/>
          <w:sz w:val="24"/>
          <w:szCs w:val="24"/>
        </w:rPr>
        <w:t>,</w:t>
      </w:r>
      <w:r w:rsidR="00AD62B0" w:rsidRPr="00270770">
        <w:rPr>
          <w:rFonts w:ascii="Arial Narrow" w:hAnsi="Arial Narrow"/>
          <w:sz w:val="24"/>
          <w:szCs w:val="24"/>
        </w:rPr>
        <w:t xml:space="preserve"> and the ability of the country to improve national savings.</w:t>
      </w:r>
    </w:p>
    <w:p w:rsidR="0025106B" w:rsidRPr="00270770" w:rsidRDefault="00B32EFA" w:rsidP="00270770">
      <w:pPr>
        <w:pStyle w:val="Heading1"/>
      </w:pPr>
      <w:bookmarkStart w:id="9" w:name="_Toc413130777"/>
      <w:r w:rsidRPr="00B32EFA">
        <w:t>AGRICULTURE</w:t>
      </w:r>
      <w:bookmarkEnd w:id="9"/>
    </w:p>
    <w:p w:rsidR="0025106B" w:rsidRPr="00270770" w:rsidRDefault="0025106B" w:rsidP="006C080F">
      <w:pPr>
        <w:spacing w:line="360" w:lineRule="auto"/>
        <w:rPr>
          <w:rFonts w:ascii="Arial Narrow" w:hAnsi="Arial Narrow"/>
          <w:i/>
          <w:sz w:val="24"/>
          <w:szCs w:val="24"/>
        </w:rPr>
      </w:pPr>
    </w:p>
    <w:p w:rsidR="0025106B" w:rsidRPr="00270770" w:rsidRDefault="00AD62B0" w:rsidP="00AD62B0">
      <w:pPr>
        <w:spacing w:line="360" w:lineRule="auto"/>
        <w:jc w:val="both"/>
        <w:rPr>
          <w:rFonts w:ascii="Arial Narrow" w:hAnsi="Arial Narrow"/>
          <w:i/>
          <w:sz w:val="24"/>
          <w:szCs w:val="24"/>
        </w:rPr>
      </w:pPr>
      <w:r w:rsidRPr="00270770">
        <w:rPr>
          <w:rFonts w:ascii="Arial Narrow" w:hAnsi="Arial Narrow"/>
          <w:sz w:val="24"/>
          <w:szCs w:val="24"/>
        </w:rPr>
        <w:t>FEDUSA supports the notion that it is critical for</w:t>
      </w:r>
      <w:r w:rsidR="0025106B" w:rsidRPr="00270770">
        <w:rPr>
          <w:rFonts w:ascii="Arial Narrow" w:hAnsi="Arial Narrow"/>
          <w:sz w:val="24"/>
          <w:szCs w:val="24"/>
        </w:rPr>
        <w:t xml:space="preserve"> govern</w:t>
      </w:r>
      <w:r w:rsidR="00D62E04" w:rsidRPr="00270770">
        <w:rPr>
          <w:rFonts w:ascii="Arial Narrow" w:hAnsi="Arial Narrow"/>
          <w:sz w:val="24"/>
          <w:szCs w:val="24"/>
        </w:rPr>
        <w:t xml:space="preserve">ment </w:t>
      </w:r>
      <w:r w:rsidRPr="00270770">
        <w:rPr>
          <w:rFonts w:ascii="Arial Narrow" w:hAnsi="Arial Narrow"/>
          <w:sz w:val="24"/>
          <w:szCs w:val="24"/>
        </w:rPr>
        <w:t>to work together and support the</w:t>
      </w:r>
      <w:r w:rsidR="00D62E04" w:rsidRPr="00270770">
        <w:rPr>
          <w:rFonts w:ascii="Arial Narrow" w:hAnsi="Arial Narrow"/>
          <w:sz w:val="24"/>
          <w:szCs w:val="24"/>
        </w:rPr>
        <w:t xml:space="preserve"> agricultural develop</w:t>
      </w:r>
      <w:r w:rsidR="0025106B" w:rsidRPr="00270770">
        <w:rPr>
          <w:rFonts w:ascii="Arial Narrow" w:hAnsi="Arial Narrow"/>
          <w:sz w:val="24"/>
          <w:szCs w:val="24"/>
        </w:rPr>
        <w:t>ment and trade</w:t>
      </w:r>
      <w:r w:rsidRPr="00270770">
        <w:rPr>
          <w:rFonts w:ascii="Arial Narrow" w:hAnsi="Arial Narrow"/>
          <w:sz w:val="24"/>
          <w:szCs w:val="24"/>
        </w:rPr>
        <w:t xml:space="preserve"> in order to advance rural employment creation and exports</w:t>
      </w:r>
      <w:r w:rsidR="0025106B" w:rsidRPr="00270770">
        <w:rPr>
          <w:rFonts w:ascii="Arial Narrow" w:hAnsi="Arial Narrow"/>
          <w:sz w:val="24"/>
          <w:szCs w:val="24"/>
        </w:rPr>
        <w:t>.</w:t>
      </w:r>
      <w:r w:rsidRPr="00270770">
        <w:rPr>
          <w:rFonts w:ascii="Arial Narrow" w:hAnsi="Arial Narrow"/>
          <w:i/>
          <w:sz w:val="24"/>
          <w:szCs w:val="24"/>
        </w:rPr>
        <w:t xml:space="preserve"> </w:t>
      </w:r>
      <w:r w:rsidR="00FA5F9E">
        <w:rPr>
          <w:rFonts w:ascii="Arial Narrow" w:hAnsi="Arial Narrow"/>
          <w:sz w:val="24"/>
          <w:szCs w:val="24"/>
        </w:rPr>
        <w:t>C</w:t>
      </w:r>
      <w:r w:rsidRPr="00270770">
        <w:rPr>
          <w:rFonts w:ascii="Arial Narrow" w:hAnsi="Arial Narrow"/>
          <w:sz w:val="24"/>
          <w:szCs w:val="24"/>
        </w:rPr>
        <w:t xml:space="preserve">apacity building and greater </w:t>
      </w:r>
      <w:r w:rsidR="0064795C" w:rsidRPr="00270770">
        <w:rPr>
          <w:rFonts w:ascii="Arial Narrow" w:hAnsi="Arial Narrow"/>
          <w:sz w:val="24"/>
          <w:szCs w:val="24"/>
        </w:rPr>
        <w:t>teamwork</w:t>
      </w:r>
      <w:r w:rsidRPr="00270770">
        <w:rPr>
          <w:rFonts w:ascii="Arial Narrow" w:hAnsi="Arial Narrow"/>
          <w:sz w:val="24"/>
          <w:szCs w:val="24"/>
        </w:rPr>
        <w:t xml:space="preserve"> </w:t>
      </w:r>
      <w:r w:rsidR="0064795C" w:rsidRPr="00270770">
        <w:rPr>
          <w:rFonts w:ascii="Arial Narrow" w:hAnsi="Arial Narrow"/>
          <w:sz w:val="24"/>
          <w:szCs w:val="24"/>
        </w:rPr>
        <w:t xml:space="preserve">between emerging and established farmers </w:t>
      </w:r>
      <w:r w:rsidR="00FA5F9E">
        <w:rPr>
          <w:rFonts w:ascii="Arial Narrow" w:hAnsi="Arial Narrow"/>
          <w:sz w:val="24"/>
          <w:szCs w:val="24"/>
        </w:rPr>
        <w:t>is</w:t>
      </w:r>
      <w:r w:rsidR="0064795C" w:rsidRPr="00270770">
        <w:rPr>
          <w:rFonts w:ascii="Arial Narrow" w:hAnsi="Arial Narrow"/>
          <w:sz w:val="24"/>
          <w:szCs w:val="24"/>
        </w:rPr>
        <w:t xml:space="preserve"> critical for social cohesion, inclusive economic growth and rural development. The </w:t>
      </w:r>
      <w:r w:rsidR="00D62E04" w:rsidRPr="00270770">
        <w:rPr>
          <w:rFonts w:ascii="Arial Narrow" w:hAnsi="Arial Narrow"/>
          <w:sz w:val="24"/>
          <w:szCs w:val="24"/>
        </w:rPr>
        <w:t>projected con</w:t>
      </w:r>
      <w:r w:rsidR="00373F20" w:rsidRPr="00270770">
        <w:rPr>
          <w:rFonts w:ascii="Arial Narrow" w:hAnsi="Arial Narrow"/>
          <w:sz w:val="24"/>
          <w:szCs w:val="24"/>
        </w:rPr>
        <w:t>di</w:t>
      </w:r>
      <w:r w:rsidR="0025106B" w:rsidRPr="00270770">
        <w:rPr>
          <w:rFonts w:ascii="Arial Narrow" w:hAnsi="Arial Narrow"/>
          <w:sz w:val="24"/>
          <w:szCs w:val="24"/>
        </w:rPr>
        <w:t>tional</w:t>
      </w:r>
      <w:r w:rsidR="00373F20" w:rsidRPr="00270770">
        <w:rPr>
          <w:rFonts w:ascii="Arial Narrow" w:hAnsi="Arial Narrow"/>
          <w:sz w:val="24"/>
          <w:szCs w:val="24"/>
        </w:rPr>
        <w:t xml:space="preserve"> allocation </w:t>
      </w:r>
      <w:r w:rsidR="0025106B" w:rsidRPr="00270770">
        <w:rPr>
          <w:rFonts w:ascii="Arial Narrow" w:hAnsi="Arial Narrow"/>
          <w:sz w:val="24"/>
          <w:szCs w:val="24"/>
        </w:rPr>
        <w:t>R7bn</w:t>
      </w:r>
      <w:r w:rsidR="0064795C" w:rsidRPr="00270770">
        <w:rPr>
          <w:rFonts w:ascii="Arial Narrow" w:hAnsi="Arial Narrow"/>
          <w:sz w:val="24"/>
          <w:szCs w:val="24"/>
        </w:rPr>
        <w:t xml:space="preserve"> over the medium is essential to provide access to funding for</w:t>
      </w:r>
      <w:r w:rsidR="00373F20" w:rsidRPr="00270770">
        <w:rPr>
          <w:rFonts w:ascii="Arial Narrow" w:hAnsi="Arial Narrow"/>
          <w:sz w:val="24"/>
          <w:szCs w:val="24"/>
        </w:rPr>
        <w:t xml:space="preserve"> emerging farmers </w:t>
      </w:r>
      <w:r w:rsidR="0064795C" w:rsidRPr="00270770">
        <w:rPr>
          <w:rFonts w:ascii="Arial Narrow" w:hAnsi="Arial Narrow"/>
          <w:sz w:val="24"/>
          <w:szCs w:val="24"/>
        </w:rPr>
        <w:t xml:space="preserve">through the </w:t>
      </w:r>
      <w:r w:rsidR="00373F20" w:rsidRPr="00270770">
        <w:rPr>
          <w:rFonts w:ascii="Arial Narrow" w:hAnsi="Arial Narrow"/>
          <w:sz w:val="24"/>
          <w:szCs w:val="24"/>
        </w:rPr>
        <w:t>collabora</w:t>
      </w:r>
      <w:r w:rsidR="0025106B" w:rsidRPr="00270770">
        <w:rPr>
          <w:rFonts w:ascii="Arial Narrow" w:hAnsi="Arial Narrow"/>
          <w:sz w:val="24"/>
          <w:szCs w:val="24"/>
        </w:rPr>
        <w:t>tion with the Land Bank.</w:t>
      </w:r>
    </w:p>
    <w:p w:rsidR="0025106B" w:rsidRPr="00270770" w:rsidRDefault="00B32EFA" w:rsidP="00270770">
      <w:pPr>
        <w:pStyle w:val="Heading1"/>
      </w:pPr>
      <w:bookmarkStart w:id="10" w:name="_Toc413130778"/>
      <w:r w:rsidRPr="00B32EFA">
        <w:t>EMPLOYMENT</w:t>
      </w:r>
      <w:bookmarkEnd w:id="10"/>
    </w:p>
    <w:p w:rsidR="0025106B" w:rsidRPr="00270770" w:rsidRDefault="0025106B" w:rsidP="006C080F">
      <w:pPr>
        <w:spacing w:line="360" w:lineRule="auto"/>
        <w:rPr>
          <w:rFonts w:ascii="Arial Narrow" w:hAnsi="Arial Narrow"/>
          <w:i/>
          <w:sz w:val="24"/>
          <w:szCs w:val="24"/>
        </w:rPr>
      </w:pPr>
    </w:p>
    <w:p w:rsidR="00891396" w:rsidRPr="00B959F8" w:rsidRDefault="003912A7" w:rsidP="00B959F8">
      <w:pPr>
        <w:spacing w:line="360" w:lineRule="auto"/>
        <w:jc w:val="both"/>
        <w:rPr>
          <w:rFonts w:ascii="Arial Narrow" w:hAnsi="Arial Narrow"/>
          <w:i/>
          <w:sz w:val="24"/>
          <w:szCs w:val="24"/>
        </w:rPr>
      </w:pPr>
      <w:r w:rsidRPr="00270770">
        <w:rPr>
          <w:rFonts w:ascii="Arial Narrow" w:hAnsi="Arial Narrow"/>
          <w:sz w:val="24"/>
          <w:szCs w:val="24"/>
        </w:rPr>
        <w:t xml:space="preserve">FEDUSA supports </w:t>
      </w:r>
      <w:r w:rsidR="0064795C" w:rsidRPr="00270770">
        <w:rPr>
          <w:rFonts w:ascii="Arial Narrow" w:hAnsi="Arial Narrow"/>
          <w:sz w:val="24"/>
          <w:szCs w:val="24"/>
        </w:rPr>
        <w:t xml:space="preserve">allocation of </w:t>
      </w:r>
      <w:r w:rsidR="00373F20" w:rsidRPr="00270770">
        <w:rPr>
          <w:rFonts w:ascii="Arial Narrow" w:hAnsi="Arial Narrow"/>
          <w:sz w:val="24"/>
          <w:szCs w:val="24"/>
        </w:rPr>
        <w:t>R10.2bn over the Medium Term Expenditure Frame</w:t>
      </w:r>
      <w:r w:rsidR="0025106B" w:rsidRPr="00270770">
        <w:rPr>
          <w:rFonts w:ascii="Arial Narrow" w:hAnsi="Arial Narrow"/>
          <w:sz w:val="24"/>
          <w:szCs w:val="24"/>
        </w:rPr>
        <w:t>work pe</w:t>
      </w:r>
      <w:r w:rsidR="00373F20" w:rsidRPr="00270770">
        <w:rPr>
          <w:rFonts w:ascii="Arial Narrow" w:hAnsi="Arial Narrow"/>
          <w:sz w:val="24"/>
          <w:szCs w:val="24"/>
        </w:rPr>
        <w:t>riod to manufacturing development incentives</w:t>
      </w:r>
      <w:r w:rsidRPr="00270770">
        <w:rPr>
          <w:rFonts w:ascii="Arial Narrow" w:hAnsi="Arial Narrow"/>
          <w:sz w:val="24"/>
          <w:szCs w:val="24"/>
        </w:rPr>
        <w:t>, business process outsourcing</w:t>
      </w:r>
      <w:r w:rsidR="00373F20" w:rsidRPr="00270770">
        <w:rPr>
          <w:rFonts w:ascii="Arial Narrow" w:hAnsi="Arial Narrow"/>
          <w:sz w:val="24"/>
          <w:szCs w:val="24"/>
        </w:rPr>
        <w:t xml:space="preserve"> and </w:t>
      </w:r>
      <w:r w:rsidRPr="00270770">
        <w:rPr>
          <w:rFonts w:ascii="Arial Narrow" w:hAnsi="Arial Narrow"/>
          <w:sz w:val="24"/>
          <w:szCs w:val="24"/>
        </w:rPr>
        <w:t>additional maintenance</w:t>
      </w:r>
      <w:r w:rsidR="00373F20" w:rsidRPr="00270770">
        <w:rPr>
          <w:rFonts w:ascii="Arial Narrow" w:hAnsi="Arial Narrow"/>
          <w:sz w:val="24"/>
          <w:szCs w:val="24"/>
        </w:rPr>
        <w:t xml:space="preserve"> for growing service industries</w:t>
      </w:r>
      <w:r w:rsidRPr="00270770">
        <w:rPr>
          <w:rFonts w:ascii="Arial Narrow" w:hAnsi="Arial Narrow"/>
          <w:sz w:val="24"/>
          <w:szCs w:val="24"/>
        </w:rPr>
        <w:t>. As part of the IPAP, t</w:t>
      </w:r>
      <w:r w:rsidR="00373F20" w:rsidRPr="00270770">
        <w:rPr>
          <w:rFonts w:ascii="Arial Narrow" w:hAnsi="Arial Narrow"/>
          <w:sz w:val="24"/>
          <w:szCs w:val="24"/>
        </w:rPr>
        <w:t>he manufacturing competitiveness en</w:t>
      </w:r>
      <w:r w:rsidR="0025106B" w:rsidRPr="00270770">
        <w:rPr>
          <w:rFonts w:ascii="Arial Narrow" w:hAnsi="Arial Narrow"/>
          <w:sz w:val="24"/>
          <w:szCs w:val="24"/>
        </w:rPr>
        <w:t>hancement programm</w:t>
      </w:r>
      <w:r w:rsidR="00373F20" w:rsidRPr="00270770">
        <w:rPr>
          <w:rFonts w:ascii="Arial Narrow" w:hAnsi="Arial Narrow"/>
          <w:sz w:val="24"/>
          <w:szCs w:val="24"/>
        </w:rPr>
        <w:t>e will spend R5.4bn and will as</w:t>
      </w:r>
      <w:r w:rsidR="0025106B" w:rsidRPr="00270770">
        <w:rPr>
          <w:rFonts w:ascii="Arial Narrow" w:hAnsi="Arial Narrow"/>
          <w:sz w:val="24"/>
          <w:szCs w:val="24"/>
        </w:rPr>
        <w:t>sist 1 450 com</w:t>
      </w:r>
      <w:r w:rsidR="00373F20" w:rsidRPr="00270770">
        <w:rPr>
          <w:rFonts w:ascii="Arial Narrow" w:hAnsi="Arial Narrow"/>
          <w:sz w:val="24"/>
          <w:szCs w:val="24"/>
        </w:rPr>
        <w:t>panies with financial support to upgrade facilities and skills develop</w:t>
      </w:r>
      <w:r w:rsidR="0025106B" w:rsidRPr="00270770">
        <w:rPr>
          <w:rFonts w:ascii="Arial Narrow" w:hAnsi="Arial Narrow"/>
          <w:sz w:val="24"/>
          <w:szCs w:val="24"/>
        </w:rPr>
        <w:t>ment.</w:t>
      </w:r>
      <w:r w:rsidR="0064795C" w:rsidRPr="00270770">
        <w:rPr>
          <w:rFonts w:ascii="Arial Narrow" w:hAnsi="Arial Narrow"/>
          <w:i/>
          <w:sz w:val="24"/>
          <w:szCs w:val="24"/>
        </w:rPr>
        <w:t xml:space="preserve"> </w:t>
      </w:r>
      <w:r w:rsidR="0064795C" w:rsidRPr="00270770">
        <w:rPr>
          <w:rFonts w:ascii="Arial Narrow" w:hAnsi="Arial Narrow"/>
          <w:sz w:val="24"/>
          <w:szCs w:val="24"/>
        </w:rPr>
        <w:t>FEDUSA supports the</w:t>
      </w:r>
      <w:r w:rsidR="0064795C" w:rsidRPr="00270770">
        <w:rPr>
          <w:rFonts w:ascii="Arial Narrow" w:hAnsi="Arial Narrow"/>
          <w:i/>
          <w:sz w:val="24"/>
          <w:szCs w:val="24"/>
        </w:rPr>
        <w:t xml:space="preserve"> </w:t>
      </w:r>
      <w:r w:rsidR="0064795C" w:rsidRPr="00270770">
        <w:rPr>
          <w:rFonts w:ascii="Arial Narrow" w:hAnsi="Arial Narrow"/>
          <w:sz w:val="24"/>
          <w:szCs w:val="24"/>
        </w:rPr>
        <w:t>establishment</w:t>
      </w:r>
      <w:r w:rsidR="0064795C" w:rsidRPr="00270770">
        <w:rPr>
          <w:rFonts w:ascii="Arial Narrow" w:hAnsi="Arial Narrow"/>
          <w:i/>
          <w:sz w:val="24"/>
          <w:szCs w:val="24"/>
        </w:rPr>
        <w:t xml:space="preserve"> </w:t>
      </w:r>
      <w:r w:rsidR="0064795C" w:rsidRPr="00270770">
        <w:rPr>
          <w:rFonts w:ascii="Arial Narrow" w:hAnsi="Arial Narrow"/>
          <w:sz w:val="24"/>
          <w:szCs w:val="24"/>
        </w:rPr>
        <w:t>of</w:t>
      </w:r>
      <w:r w:rsidR="0064795C" w:rsidRPr="00270770">
        <w:rPr>
          <w:rFonts w:ascii="Arial Narrow" w:hAnsi="Arial Narrow"/>
          <w:i/>
          <w:sz w:val="24"/>
          <w:szCs w:val="24"/>
        </w:rPr>
        <w:t xml:space="preserve"> </w:t>
      </w:r>
      <w:r w:rsidR="0064795C" w:rsidRPr="00270770">
        <w:rPr>
          <w:rFonts w:ascii="Arial Narrow" w:hAnsi="Arial Narrow"/>
          <w:sz w:val="24"/>
          <w:szCs w:val="24"/>
        </w:rPr>
        <w:t>s</w:t>
      </w:r>
      <w:r w:rsidR="00373F20" w:rsidRPr="00270770">
        <w:rPr>
          <w:rFonts w:ascii="Arial Narrow" w:hAnsi="Arial Narrow"/>
          <w:sz w:val="24"/>
          <w:szCs w:val="24"/>
        </w:rPr>
        <w:t xml:space="preserve">pecial economic zones </w:t>
      </w:r>
      <w:r w:rsidR="0064795C" w:rsidRPr="00270770">
        <w:rPr>
          <w:rFonts w:ascii="Arial Narrow" w:hAnsi="Arial Narrow"/>
          <w:sz w:val="24"/>
          <w:szCs w:val="24"/>
        </w:rPr>
        <w:t xml:space="preserve">and the </w:t>
      </w:r>
      <w:r w:rsidR="00373F20" w:rsidRPr="00270770">
        <w:rPr>
          <w:rFonts w:ascii="Arial Narrow" w:hAnsi="Arial Narrow"/>
          <w:sz w:val="24"/>
          <w:szCs w:val="24"/>
        </w:rPr>
        <w:t>allo</w:t>
      </w:r>
      <w:r w:rsidR="0025106B" w:rsidRPr="00270770">
        <w:rPr>
          <w:rFonts w:ascii="Arial Narrow" w:hAnsi="Arial Narrow"/>
          <w:sz w:val="24"/>
          <w:szCs w:val="24"/>
        </w:rPr>
        <w:t>cat</w:t>
      </w:r>
      <w:r w:rsidR="0064795C" w:rsidRPr="00270770">
        <w:rPr>
          <w:rFonts w:ascii="Arial Narrow" w:hAnsi="Arial Narrow"/>
          <w:sz w:val="24"/>
          <w:szCs w:val="24"/>
        </w:rPr>
        <w:t xml:space="preserve">ion </w:t>
      </w:r>
      <w:r w:rsidR="0025106B" w:rsidRPr="00270770">
        <w:rPr>
          <w:rFonts w:ascii="Arial Narrow" w:hAnsi="Arial Narrow"/>
          <w:sz w:val="24"/>
          <w:szCs w:val="24"/>
        </w:rPr>
        <w:t>R3.5bn over</w:t>
      </w:r>
      <w:r w:rsidR="00373F20" w:rsidRPr="00270770">
        <w:rPr>
          <w:rFonts w:ascii="Arial Narrow" w:hAnsi="Arial Narrow"/>
          <w:sz w:val="24"/>
          <w:szCs w:val="24"/>
        </w:rPr>
        <w:t xml:space="preserve"> the medium term, </w:t>
      </w:r>
      <w:r w:rsidR="00373F20" w:rsidRPr="00270770">
        <w:rPr>
          <w:rFonts w:ascii="Arial Narrow" w:hAnsi="Arial Narrow"/>
          <w:sz w:val="24"/>
          <w:szCs w:val="24"/>
        </w:rPr>
        <w:lastRenderedPageBreak/>
        <w:t>mainly for infrastructure develop</w:t>
      </w:r>
      <w:r w:rsidR="0025106B" w:rsidRPr="00270770">
        <w:rPr>
          <w:rFonts w:ascii="Arial Narrow" w:hAnsi="Arial Narrow"/>
          <w:sz w:val="24"/>
          <w:szCs w:val="24"/>
        </w:rPr>
        <w:t>ment.</w:t>
      </w:r>
      <w:r w:rsidR="0064795C" w:rsidRPr="00270770">
        <w:rPr>
          <w:rFonts w:ascii="Arial Narrow" w:hAnsi="Arial Narrow"/>
          <w:i/>
          <w:sz w:val="24"/>
          <w:szCs w:val="24"/>
        </w:rPr>
        <w:t xml:space="preserve"> </w:t>
      </w:r>
      <w:r w:rsidR="0064795C" w:rsidRPr="00270770">
        <w:rPr>
          <w:rFonts w:ascii="Arial Narrow" w:hAnsi="Arial Narrow"/>
          <w:sz w:val="24"/>
          <w:szCs w:val="24"/>
        </w:rPr>
        <w:t>The Federation has argued previously that the investment in townships and cities are critical for local economic devel</w:t>
      </w:r>
      <w:r w:rsidRPr="00270770">
        <w:rPr>
          <w:rFonts w:ascii="Arial Narrow" w:hAnsi="Arial Narrow"/>
          <w:sz w:val="24"/>
          <w:szCs w:val="24"/>
        </w:rPr>
        <w:t xml:space="preserve">opment and employment creation and it is essential for government to contribute an additional </w:t>
      </w:r>
      <w:r w:rsidR="00373F20" w:rsidRPr="00270770">
        <w:rPr>
          <w:rFonts w:ascii="Arial Narrow" w:hAnsi="Arial Narrow"/>
          <w:sz w:val="24"/>
          <w:szCs w:val="24"/>
        </w:rPr>
        <w:t xml:space="preserve">R3.5bn </w:t>
      </w:r>
      <w:r w:rsidRPr="00270770">
        <w:rPr>
          <w:rFonts w:ascii="Arial Narrow" w:hAnsi="Arial Narrow"/>
          <w:sz w:val="24"/>
          <w:szCs w:val="24"/>
        </w:rPr>
        <w:t xml:space="preserve">towards </w:t>
      </w:r>
      <w:r w:rsidR="00373F20" w:rsidRPr="00270770">
        <w:rPr>
          <w:rFonts w:ascii="Arial Narrow" w:hAnsi="Arial Narrow"/>
          <w:sz w:val="24"/>
          <w:szCs w:val="24"/>
        </w:rPr>
        <w:t>mentoring and training sup</w:t>
      </w:r>
      <w:r w:rsidR="0025106B" w:rsidRPr="00270770">
        <w:rPr>
          <w:rFonts w:ascii="Arial Narrow" w:hAnsi="Arial Narrow"/>
          <w:sz w:val="24"/>
          <w:szCs w:val="24"/>
        </w:rPr>
        <w:t>p</w:t>
      </w:r>
      <w:r w:rsidR="00373F20" w:rsidRPr="00270770">
        <w:rPr>
          <w:rFonts w:ascii="Arial Narrow" w:hAnsi="Arial Narrow"/>
          <w:sz w:val="24"/>
          <w:szCs w:val="24"/>
        </w:rPr>
        <w:t>ort for small busi</w:t>
      </w:r>
      <w:r w:rsidR="0025106B" w:rsidRPr="00270770">
        <w:rPr>
          <w:rFonts w:ascii="Arial Narrow" w:hAnsi="Arial Narrow"/>
          <w:sz w:val="24"/>
          <w:szCs w:val="24"/>
        </w:rPr>
        <w:t>nesses.</w:t>
      </w:r>
      <w:r w:rsidRPr="00270770">
        <w:rPr>
          <w:rFonts w:ascii="Arial Narrow" w:hAnsi="Arial Narrow"/>
          <w:i/>
          <w:sz w:val="24"/>
          <w:szCs w:val="24"/>
        </w:rPr>
        <w:t xml:space="preserve"> </w:t>
      </w:r>
      <w:r w:rsidR="0025106B" w:rsidRPr="00270770">
        <w:rPr>
          <w:rFonts w:ascii="Arial Narrow" w:hAnsi="Arial Narrow"/>
          <w:sz w:val="24"/>
          <w:szCs w:val="24"/>
        </w:rPr>
        <w:t>The Job</w:t>
      </w:r>
      <w:r w:rsidR="00373F20" w:rsidRPr="00270770">
        <w:rPr>
          <w:rFonts w:ascii="Arial Narrow" w:hAnsi="Arial Narrow"/>
          <w:sz w:val="24"/>
          <w:szCs w:val="24"/>
        </w:rPr>
        <w:t xml:space="preserve">s Fund will spend R4bn. </w:t>
      </w:r>
      <w:r w:rsidRPr="00270770">
        <w:rPr>
          <w:rFonts w:ascii="Arial Narrow" w:hAnsi="Arial Narrow"/>
          <w:sz w:val="24"/>
          <w:szCs w:val="24"/>
        </w:rPr>
        <w:t>T</w:t>
      </w:r>
      <w:r w:rsidR="00373F20" w:rsidRPr="00270770">
        <w:rPr>
          <w:rFonts w:ascii="Arial Narrow" w:hAnsi="Arial Narrow"/>
          <w:sz w:val="24"/>
          <w:szCs w:val="24"/>
        </w:rPr>
        <w:t xml:space="preserve">he community work programme </w:t>
      </w:r>
      <w:r w:rsidR="00D87091" w:rsidRPr="00270770">
        <w:rPr>
          <w:rFonts w:ascii="Arial Narrow" w:hAnsi="Arial Narrow"/>
          <w:sz w:val="24"/>
          <w:szCs w:val="24"/>
        </w:rPr>
        <w:t>and Expanded Public Works Programmes</w:t>
      </w:r>
      <w:r w:rsidR="00FA5F9E">
        <w:rPr>
          <w:rFonts w:ascii="Arial Narrow" w:hAnsi="Arial Narrow"/>
          <w:sz w:val="24"/>
          <w:szCs w:val="24"/>
        </w:rPr>
        <w:t xml:space="preserve"> (EPWP)</w:t>
      </w:r>
      <w:r w:rsidR="00D87091" w:rsidRPr="00270770">
        <w:rPr>
          <w:rFonts w:ascii="Arial Narrow" w:hAnsi="Arial Narrow"/>
          <w:sz w:val="24"/>
          <w:szCs w:val="24"/>
        </w:rPr>
        <w:t xml:space="preserve"> provide</w:t>
      </w:r>
      <w:r w:rsidR="00FA5F9E">
        <w:rPr>
          <w:rFonts w:ascii="Arial Narrow" w:hAnsi="Arial Narrow"/>
          <w:sz w:val="24"/>
          <w:szCs w:val="24"/>
        </w:rPr>
        <w:t>s</w:t>
      </w:r>
      <w:r w:rsidR="00D87091" w:rsidRPr="00270770">
        <w:rPr>
          <w:rFonts w:ascii="Arial Narrow" w:hAnsi="Arial Narrow"/>
          <w:sz w:val="24"/>
          <w:szCs w:val="24"/>
        </w:rPr>
        <w:t xml:space="preserve"> valuable </w:t>
      </w:r>
      <w:r w:rsidR="00FA5F9E">
        <w:rPr>
          <w:rFonts w:ascii="Arial Narrow" w:hAnsi="Arial Narrow"/>
          <w:sz w:val="24"/>
          <w:szCs w:val="24"/>
        </w:rPr>
        <w:t>work</w:t>
      </w:r>
      <w:r w:rsidR="00FA5F9E" w:rsidRPr="00270770">
        <w:rPr>
          <w:rFonts w:ascii="Arial Narrow" w:hAnsi="Arial Narrow"/>
          <w:sz w:val="24"/>
          <w:szCs w:val="24"/>
        </w:rPr>
        <w:t xml:space="preserve"> </w:t>
      </w:r>
      <w:r w:rsidR="00D87091" w:rsidRPr="00270770">
        <w:rPr>
          <w:rFonts w:ascii="Arial Narrow" w:hAnsi="Arial Narrow"/>
          <w:sz w:val="24"/>
          <w:szCs w:val="24"/>
        </w:rPr>
        <w:t xml:space="preserve">opportunities for our people. </w:t>
      </w:r>
      <w:r w:rsidR="00373F20" w:rsidRPr="00270770">
        <w:rPr>
          <w:rFonts w:ascii="Arial Narrow" w:hAnsi="Arial Narrow"/>
          <w:sz w:val="24"/>
          <w:szCs w:val="24"/>
        </w:rPr>
        <w:t>A to</w:t>
      </w:r>
      <w:r w:rsidR="0025106B" w:rsidRPr="00270770">
        <w:rPr>
          <w:rFonts w:ascii="Arial Narrow" w:hAnsi="Arial Narrow"/>
          <w:sz w:val="24"/>
          <w:szCs w:val="24"/>
        </w:rPr>
        <w:t>tal of</w:t>
      </w:r>
      <w:r w:rsidR="00373F20" w:rsidRPr="00270770">
        <w:rPr>
          <w:rFonts w:ascii="Arial Narrow" w:hAnsi="Arial Narrow"/>
          <w:sz w:val="24"/>
          <w:szCs w:val="24"/>
        </w:rPr>
        <w:t xml:space="preserve"> R590m has been allo</w:t>
      </w:r>
      <w:r w:rsidR="0025106B" w:rsidRPr="00270770">
        <w:rPr>
          <w:rFonts w:ascii="Arial Narrow" w:hAnsi="Arial Narrow"/>
          <w:sz w:val="24"/>
          <w:szCs w:val="24"/>
        </w:rPr>
        <w:t>cated to the Green Fund over the medium term.</w:t>
      </w:r>
    </w:p>
    <w:p w:rsidR="0025106B" w:rsidRPr="00270770" w:rsidRDefault="00B32EFA" w:rsidP="00270770">
      <w:pPr>
        <w:pStyle w:val="Heading1"/>
      </w:pPr>
      <w:bookmarkStart w:id="11" w:name="_Toc413130779"/>
      <w:r w:rsidRPr="00B32EFA">
        <w:t>HEALTH AND SOCIAL PROTECTION</w:t>
      </w:r>
      <w:bookmarkEnd w:id="11"/>
    </w:p>
    <w:p w:rsidR="0025106B" w:rsidRPr="00270770" w:rsidRDefault="0025106B" w:rsidP="006C080F">
      <w:pPr>
        <w:spacing w:line="360" w:lineRule="auto"/>
        <w:rPr>
          <w:rFonts w:ascii="Arial Narrow" w:hAnsi="Arial Narrow"/>
          <w:i/>
          <w:sz w:val="24"/>
          <w:szCs w:val="24"/>
        </w:rPr>
      </w:pPr>
    </w:p>
    <w:p w:rsidR="00891396" w:rsidRPr="00270770" w:rsidRDefault="00D87091" w:rsidP="00560B58">
      <w:pPr>
        <w:spacing w:line="360" w:lineRule="auto"/>
        <w:jc w:val="both"/>
        <w:rPr>
          <w:rFonts w:ascii="Arial Narrow" w:hAnsi="Arial Narrow"/>
          <w:sz w:val="24"/>
          <w:szCs w:val="24"/>
        </w:rPr>
      </w:pPr>
      <w:r w:rsidRPr="00270770">
        <w:rPr>
          <w:rFonts w:ascii="Arial Narrow" w:hAnsi="Arial Narrow"/>
          <w:sz w:val="24"/>
          <w:szCs w:val="24"/>
        </w:rPr>
        <w:t>The Federation welcomes the decision to release the discussion paper on financing options and the National Health Insurance white paper. The establishment of the Office of Health Standards Compliance is an important development in implementing NHI. FEDUSA also</w:t>
      </w:r>
      <w:r w:rsidR="00FA5F9E">
        <w:rPr>
          <w:rFonts w:ascii="Arial Narrow" w:hAnsi="Arial Narrow"/>
          <w:sz w:val="24"/>
          <w:szCs w:val="24"/>
        </w:rPr>
        <w:t xml:space="preserve"> welcomes </w:t>
      </w:r>
      <w:r w:rsidR="00560B58" w:rsidRPr="00270770">
        <w:rPr>
          <w:rFonts w:ascii="Arial Narrow" w:hAnsi="Arial Narrow"/>
          <w:sz w:val="24"/>
          <w:szCs w:val="24"/>
        </w:rPr>
        <w:t xml:space="preserve">the fact that the </w:t>
      </w:r>
      <w:r w:rsidR="00373F20" w:rsidRPr="00270770">
        <w:rPr>
          <w:rFonts w:ascii="Arial Narrow" w:hAnsi="Arial Narrow"/>
          <w:sz w:val="24"/>
          <w:szCs w:val="24"/>
        </w:rPr>
        <w:t>antiretroviral treatment programme now reaches 3 million pa</w:t>
      </w:r>
      <w:r w:rsidR="00560B58" w:rsidRPr="00270770">
        <w:rPr>
          <w:rFonts w:ascii="Arial Narrow" w:hAnsi="Arial Narrow"/>
          <w:sz w:val="24"/>
          <w:szCs w:val="24"/>
        </w:rPr>
        <w:t>tients and t</w:t>
      </w:r>
      <w:r w:rsidR="0025106B" w:rsidRPr="00270770">
        <w:rPr>
          <w:rFonts w:ascii="Arial Narrow" w:hAnsi="Arial Narrow"/>
          <w:sz w:val="24"/>
          <w:szCs w:val="24"/>
        </w:rPr>
        <w:t>he mother</w:t>
      </w:r>
      <w:r w:rsidR="00373F20" w:rsidRPr="00270770">
        <w:rPr>
          <w:rFonts w:ascii="Arial Narrow" w:hAnsi="Arial Narrow"/>
          <w:sz w:val="24"/>
          <w:szCs w:val="24"/>
        </w:rPr>
        <w:t xml:space="preserve"> </w:t>
      </w:r>
      <w:r w:rsidR="0025106B" w:rsidRPr="00270770">
        <w:rPr>
          <w:rFonts w:ascii="Arial Narrow" w:hAnsi="Arial Narrow"/>
          <w:sz w:val="24"/>
          <w:szCs w:val="24"/>
        </w:rPr>
        <w:t>to</w:t>
      </w:r>
      <w:r w:rsidR="00373F20" w:rsidRPr="00270770">
        <w:rPr>
          <w:rFonts w:ascii="Arial Narrow" w:hAnsi="Arial Narrow"/>
          <w:sz w:val="24"/>
          <w:szCs w:val="24"/>
        </w:rPr>
        <w:t xml:space="preserve"> child transmis</w:t>
      </w:r>
      <w:r w:rsidR="0025106B" w:rsidRPr="00270770">
        <w:rPr>
          <w:rFonts w:ascii="Arial Narrow" w:hAnsi="Arial Narrow"/>
          <w:sz w:val="24"/>
          <w:szCs w:val="24"/>
        </w:rPr>
        <w:t>si</w:t>
      </w:r>
      <w:r w:rsidR="00373F20" w:rsidRPr="00270770">
        <w:rPr>
          <w:rFonts w:ascii="Arial Narrow" w:hAnsi="Arial Narrow"/>
          <w:sz w:val="24"/>
          <w:szCs w:val="24"/>
        </w:rPr>
        <w:t>on of HIV has decreased from 20 percent a decade ago to 2 percent last year</w:t>
      </w:r>
      <w:r w:rsidR="00560B58" w:rsidRPr="00270770">
        <w:rPr>
          <w:rFonts w:ascii="Arial Narrow" w:hAnsi="Arial Narrow"/>
          <w:sz w:val="24"/>
          <w:szCs w:val="24"/>
        </w:rPr>
        <w:t xml:space="preserve">.  The shifting of National Institute of Communicable Diseases, the National Health Laboratory Service, as well as Port health services to the National Department of Health is a positive development.  </w:t>
      </w:r>
    </w:p>
    <w:p w:rsidR="0025106B" w:rsidRPr="00270770" w:rsidRDefault="00B32EFA" w:rsidP="00270770">
      <w:pPr>
        <w:pStyle w:val="Heading1"/>
      </w:pPr>
      <w:bookmarkStart w:id="12" w:name="_Toc413130780"/>
      <w:r w:rsidRPr="00B32EFA">
        <w:t>SOCIAL SECURITY REFORM</w:t>
      </w:r>
      <w:bookmarkEnd w:id="12"/>
    </w:p>
    <w:p w:rsidR="0025106B" w:rsidRPr="00270770" w:rsidRDefault="0025106B" w:rsidP="006C080F">
      <w:pPr>
        <w:spacing w:line="360" w:lineRule="auto"/>
        <w:rPr>
          <w:rFonts w:ascii="Arial Narrow" w:hAnsi="Arial Narrow"/>
          <w:i/>
          <w:sz w:val="24"/>
          <w:szCs w:val="24"/>
        </w:rPr>
      </w:pPr>
    </w:p>
    <w:p w:rsidR="0025106B" w:rsidRPr="00270770" w:rsidRDefault="000C69A2" w:rsidP="00560B58">
      <w:pPr>
        <w:spacing w:line="360" w:lineRule="auto"/>
        <w:jc w:val="both"/>
        <w:rPr>
          <w:rFonts w:ascii="Arial Narrow" w:hAnsi="Arial Narrow"/>
          <w:i/>
          <w:sz w:val="24"/>
          <w:szCs w:val="24"/>
        </w:rPr>
      </w:pPr>
      <w:r w:rsidRPr="00270770">
        <w:rPr>
          <w:rFonts w:ascii="Arial Narrow" w:hAnsi="Arial Narrow"/>
          <w:sz w:val="24"/>
          <w:szCs w:val="24"/>
        </w:rPr>
        <w:t>FEDUSA is of the opinion that s</w:t>
      </w:r>
      <w:r w:rsidR="002D6386" w:rsidRPr="00270770">
        <w:rPr>
          <w:rFonts w:ascii="Arial Narrow" w:hAnsi="Arial Narrow"/>
          <w:sz w:val="24"/>
          <w:szCs w:val="24"/>
        </w:rPr>
        <w:t xml:space="preserve">ocial grants play an </w:t>
      </w:r>
      <w:r w:rsidRPr="00270770">
        <w:rPr>
          <w:rFonts w:ascii="Arial Narrow" w:hAnsi="Arial Narrow"/>
          <w:sz w:val="24"/>
          <w:szCs w:val="24"/>
        </w:rPr>
        <w:t>imperative</w:t>
      </w:r>
      <w:r w:rsidR="002D6386" w:rsidRPr="00270770">
        <w:rPr>
          <w:rFonts w:ascii="Arial Narrow" w:hAnsi="Arial Narrow"/>
          <w:sz w:val="24"/>
          <w:szCs w:val="24"/>
        </w:rPr>
        <w:t xml:space="preserve"> role in protecting the poorest house</w:t>
      </w:r>
      <w:r w:rsidR="0025106B" w:rsidRPr="00270770">
        <w:rPr>
          <w:rFonts w:ascii="Arial Narrow" w:hAnsi="Arial Narrow"/>
          <w:sz w:val="24"/>
          <w:szCs w:val="24"/>
        </w:rPr>
        <w:t>holds against poverty</w:t>
      </w:r>
      <w:r w:rsidRPr="00270770">
        <w:rPr>
          <w:rFonts w:ascii="Arial Narrow" w:hAnsi="Arial Narrow"/>
          <w:sz w:val="24"/>
          <w:szCs w:val="24"/>
        </w:rPr>
        <w:t xml:space="preserve"> and the Federation is pleased that the number of beneficiaries increased to 16,4 million in December 2014</w:t>
      </w:r>
      <w:r w:rsidR="0025106B" w:rsidRPr="00270770">
        <w:rPr>
          <w:rFonts w:ascii="Arial Narrow" w:hAnsi="Arial Narrow"/>
          <w:sz w:val="24"/>
          <w:szCs w:val="24"/>
        </w:rPr>
        <w:t>.</w:t>
      </w:r>
      <w:r w:rsidRPr="00270770">
        <w:rPr>
          <w:rFonts w:ascii="Arial Narrow" w:hAnsi="Arial Narrow"/>
          <w:sz w:val="24"/>
          <w:szCs w:val="24"/>
        </w:rPr>
        <w:t xml:space="preserve"> Empirical evidence demonstrates that people in households receiving social grants have increased both their labour force participation and employment rates faster than those who live in households that do not receive social grants. In addition, workers in households receiving social grants have realised more rapid wage increases </w:t>
      </w:r>
      <w:sdt>
        <w:sdtPr>
          <w:rPr>
            <w:rFonts w:ascii="Arial Narrow" w:hAnsi="Arial Narrow"/>
            <w:sz w:val="24"/>
            <w:szCs w:val="24"/>
          </w:rPr>
          <w:id w:val="2005701167"/>
          <w:citation/>
        </w:sdtPr>
        <w:sdtContent>
          <w:r w:rsidR="00537E09" w:rsidRPr="00270770">
            <w:rPr>
              <w:rFonts w:ascii="Arial Narrow" w:hAnsi="Arial Narrow"/>
              <w:sz w:val="24"/>
              <w:szCs w:val="24"/>
            </w:rPr>
            <w:fldChar w:fldCharType="begin"/>
          </w:r>
          <w:r w:rsidRPr="00270770">
            <w:rPr>
              <w:rFonts w:ascii="Arial Narrow" w:hAnsi="Arial Narrow"/>
              <w:sz w:val="24"/>
              <w:szCs w:val="24"/>
              <w:lang w:val="en-US"/>
            </w:rPr>
            <w:instrText xml:space="preserve"> CITATION Sam04 \l 1033 </w:instrText>
          </w:r>
          <w:r w:rsidR="00537E09" w:rsidRPr="00270770">
            <w:rPr>
              <w:rFonts w:ascii="Arial Narrow" w:hAnsi="Arial Narrow"/>
              <w:sz w:val="24"/>
              <w:szCs w:val="24"/>
            </w:rPr>
            <w:fldChar w:fldCharType="separate"/>
          </w:r>
          <w:r w:rsidRPr="00270770">
            <w:rPr>
              <w:rFonts w:ascii="Arial Narrow" w:hAnsi="Arial Narrow"/>
              <w:noProof/>
              <w:sz w:val="24"/>
              <w:szCs w:val="24"/>
              <w:lang w:val="en-US"/>
            </w:rPr>
            <w:t>(Samson et al., 2004)</w:t>
          </w:r>
          <w:r w:rsidR="00537E09" w:rsidRPr="00270770">
            <w:rPr>
              <w:rFonts w:ascii="Arial Narrow" w:hAnsi="Arial Narrow"/>
              <w:sz w:val="24"/>
              <w:szCs w:val="24"/>
            </w:rPr>
            <w:fldChar w:fldCharType="end"/>
          </w:r>
        </w:sdtContent>
      </w:sdt>
      <w:r w:rsidRPr="00270770">
        <w:rPr>
          <w:rFonts w:ascii="Arial Narrow" w:hAnsi="Arial Narrow"/>
          <w:sz w:val="24"/>
          <w:szCs w:val="24"/>
        </w:rPr>
        <w:t>.</w:t>
      </w:r>
    </w:p>
    <w:p w:rsidR="000C69A2" w:rsidRPr="00270770" w:rsidRDefault="000C69A2" w:rsidP="00560B58">
      <w:pPr>
        <w:spacing w:line="360" w:lineRule="auto"/>
        <w:jc w:val="both"/>
        <w:rPr>
          <w:rFonts w:ascii="Arial Narrow" w:hAnsi="Arial Narrow"/>
          <w:sz w:val="24"/>
          <w:szCs w:val="24"/>
        </w:rPr>
      </w:pPr>
    </w:p>
    <w:p w:rsidR="00891396" w:rsidRPr="00270770" w:rsidRDefault="000C69A2" w:rsidP="00D52A60">
      <w:pPr>
        <w:spacing w:line="360" w:lineRule="auto"/>
        <w:jc w:val="both"/>
        <w:rPr>
          <w:rFonts w:ascii="Arial Narrow" w:hAnsi="Arial Narrow"/>
          <w:i/>
          <w:sz w:val="24"/>
          <w:szCs w:val="24"/>
        </w:rPr>
      </w:pPr>
      <w:r w:rsidRPr="00270770">
        <w:rPr>
          <w:rFonts w:ascii="Arial Narrow" w:hAnsi="Arial Narrow"/>
          <w:sz w:val="24"/>
          <w:szCs w:val="24"/>
        </w:rPr>
        <w:t>Even thou</w:t>
      </w:r>
      <w:r w:rsidR="00FA5F9E">
        <w:rPr>
          <w:rFonts w:ascii="Arial Narrow" w:hAnsi="Arial Narrow"/>
          <w:sz w:val="24"/>
          <w:szCs w:val="24"/>
        </w:rPr>
        <w:t>gh</w:t>
      </w:r>
      <w:r w:rsidRPr="00270770">
        <w:rPr>
          <w:rFonts w:ascii="Arial Narrow" w:hAnsi="Arial Narrow"/>
          <w:sz w:val="24"/>
          <w:szCs w:val="24"/>
        </w:rPr>
        <w:t xml:space="preserve"> the a</w:t>
      </w:r>
      <w:r w:rsidR="002D6386" w:rsidRPr="00270770">
        <w:rPr>
          <w:rFonts w:ascii="Arial Narrow" w:hAnsi="Arial Narrow"/>
          <w:sz w:val="24"/>
          <w:szCs w:val="24"/>
        </w:rPr>
        <w:t>djust</w:t>
      </w:r>
      <w:r w:rsidR="00141614" w:rsidRPr="00270770">
        <w:rPr>
          <w:rFonts w:ascii="Arial Narrow" w:hAnsi="Arial Narrow"/>
          <w:sz w:val="24"/>
          <w:szCs w:val="24"/>
        </w:rPr>
        <w:t xml:space="preserve">ments </w:t>
      </w:r>
      <w:r w:rsidRPr="00270770">
        <w:rPr>
          <w:rFonts w:ascii="Arial Narrow" w:hAnsi="Arial Narrow"/>
          <w:sz w:val="24"/>
          <w:szCs w:val="24"/>
        </w:rPr>
        <w:t xml:space="preserve">for 2015 </w:t>
      </w:r>
      <w:r w:rsidR="00141614" w:rsidRPr="00270770">
        <w:rPr>
          <w:rFonts w:ascii="Arial Narrow" w:hAnsi="Arial Narrow"/>
          <w:sz w:val="24"/>
          <w:szCs w:val="24"/>
        </w:rPr>
        <w:t xml:space="preserve">to monthly social grants </w:t>
      </w:r>
      <w:r w:rsidRPr="00270770">
        <w:rPr>
          <w:rFonts w:ascii="Arial Narrow" w:hAnsi="Arial Narrow"/>
          <w:sz w:val="24"/>
          <w:szCs w:val="24"/>
        </w:rPr>
        <w:t xml:space="preserve">are less than inflation, the Federation welcomes the fact that it will be reviewed in October 2015. The adjustments </w:t>
      </w:r>
      <w:r w:rsidR="00075242" w:rsidRPr="00270770">
        <w:rPr>
          <w:rFonts w:ascii="Arial Narrow" w:hAnsi="Arial Narrow"/>
          <w:sz w:val="24"/>
          <w:szCs w:val="24"/>
        </w:rPr>
        <w:t>for</w:t>
      </w:r>
      <w:r w:rsidR="0025106B" w:rsidRPr="00270770">
        <w:rPr>
          <w:rFonts w:ascii="Arial Narrow" w:hAnsi="Arial Narrow"/>
          <w:sz w:val="24"/>
          <w:szCs w:val="24"/>
        </w:rPr>
        <w:t xml:space="preserve"> old</w:t>
      </w:r>
      <w:r w:rsidR="00141614" w:rsidRPr="00270770">
        <w:rPr>
          <w:rFonts w:ascii="Arial Narrow" w:hAnsi="Arial Narrow"/>
          <w:sz w:val="24"/>
          <w:szCs w:val="24"/>
        </w:rPr>
        <w:t xml:space="preserve"> age, war veter</w:t>
      </w:r>
      <w:r w:rsidR="0025106B" w:rsidRPr="00270770">
        <w:rPr>
          <w:rFonts w:ascii="Arial Narrow" w:hAnsi="Arial Narrow"/>
          <w:sz w:val="24"/>
          <w:szCs w:val="24"/>
        </w:rPr>
        <w:t xml:space="preserve">ans, </w:t>
      </w:r>
      <w:r w:rsidR="00141614" w:rsidRPr="00270770">
        <w:rPr>
          <w:rFonts w:ascii="Arial Narrow" w:hAnsi="Arial Narrow"/>
          <w:sz w:val="24"/>
          <w:szCs w:val="24"/>
        </w:rPr>
        <w:t>disability and care dependency grants will in</w:t>
      </w:r>
      <w:r w:rsidR="0025106B" w:rsidRPr="00270770">
        <w:rPr>
          <w:rFonts w:ascii="Arial Narrow" w:hAnsi="Arial Narrow"/>
          <w:sz w:val="24"/>
          <w:szCs w:val="24"/>
        </w:rPr>
        <w:t>crease by R60 to R1 410</w:t>
      </w:r>
      <w:r w:rsidR="00075242" w:rsidRPr="00270770">
        <w:rPr>
          <w:rFonts w:ascii="Arial Narrow" w:hAnsi="Arial Narrow"/>
          <w:sz w:val="24"/>
          <w:szCs w:val="24"/>
        </w:rPr>
        <w:t>, c</w:t>
      </w:r>
      <w:r w:rsidR="00141614" w:rsidRPr="00270770">
        <w:rPr>
          <w:rFonts w:ascii="Arial Narrow" w:hAnsi="Arial Narrow"/>
          <w:sz w:val="24"/>
          <w:szCs w:val="24"/>
        </w:rPr>
        <w:t>hild sup</w:t>
      </w:r>
      <w:r w:rsidR="0025106B" w:rsidRPr="00270770">
        <w:rPr>
          <w:rFonts w:ascii="Arial Narrow" w:hAnsi="Arial Narrow"/>
          <w:sz w:val="24"/>
          <w:szCs w:val="24"/>
        </w:rPr>
        <w:t>port grants</w:t>
      </w:r>
      <w:r w:rsidR="00075242" w:rsidRPr="00270770">
        <w:rPr>
          <w:rFonts w:ascii="Arial Narrow" w:hAnsi="Arial Narrow"/>
          <w:sz w:val="24"/>
          <w:szCs w:val="24"/>
        </w:rPr>
        <w:t xml:space="preserve"> are</w:t>
      </w:r>
      <w:r w:rsidR="0025106B" w:rsidRPr="00270770">
        <w:rPr>
          <w:rFonts w:ascii="Arial Narrow" w:hAnsi="Arial Narrow"/>
          <w:sz w:val="24"/>
          <w:szCs w:val="24"/>
        </w:rPr>
        <w:t xml:space="preserve"> </w:t>
      </w:r>
      <w:r w:rsidR="00075242" w:rsidRPr="00270770">
        <w:rPr>
          <w:rFonts w:ascii="Arial Narrow" w:hAnsi="Arial Narrow"/>
          <w:sz w:val="24"/>
          <w:szCs w:val="24"/>
        </w:rPr>
        <w:t>in</w:t>
      </w:r>
      <w:r w:rsidR="0025106B" w:rsidRPr="00270770">
        <w:rPr>
          <w:rFonts w:ascii="Arial Narrow" w:hAnsi="Arial Narrow"/>
          <w:sz w:val="24"/>
          <w:szCs w:val="24"/>
        </w:rPr>
        <w:t>crease</w:t>
      </w:r>
      <w:r w:rsidR="00D52A60" w:rsidRPr="00270770">
        <w:rPr>
          <w:rFonts w:ascii="Arial Narrow" w:hAnsi="Arial Narrow"/>
          <w:sz w:val="24"/>
          <w:szCs w:val="24"/>
        </w:rPr>
        <w:t>d</w:t>
      </w:r>
      <w:r w:rsidR="0025106B" w:rsidRPr="00270770">
        <w:rPr>
          <w:rFonts w:ascii="Arial Narrow" w:hAnsi="Arial Narrow"/>
          <w:sz w:val="24"/>
          <w:szCs w:val="24"/>
        </w:rPr>
        <w:t xml:space="preserve"> to R330</w:t>
      </w:r>
      <w:r w:rsidR="00075242" w:rsidRPr="00270770">
        <w:rPr>
          <w:rFonts w:ascii="Arial Narrow" w:hAnsi="Arial Narrow"/>
          <w:sz w:val="24"/>
          <w:szCs w:val="24"/>
        </w:rPr>
        <w:t xml:space="preserve"> and f</w:t>
      </w:r>
      <w:r w:rsidR="00141614" w:rsidRPr="00270770">
        <w:rPr>
          <w:rFonts w:ascii="Arial Narrow" w:hAnsi="Arial Narrow"/>
          <w:sz w:val="24"/>
          <w:szCs w:val="24"/>
        </w:rPr>
        <w:t>oster care grants in</w:t>
      </w:r>
      <w:r w:rsidR="0025106B" w:rsidRPr="00270770">
        <w:rPr>
          <w:rFonts w:ascii="Arial Narrow" w:hAnsi="Arial Narrow"/>
          <w:sz w:val="24"/>
          <w:szCs w:val="24"/>
        </w:rPr>
        <w:t>crease</w:t>
      </w:r>
      <w:r w:rsidR="00D52A60" w:rsidRPr="00270770">
        <w:rPr>
          <w:rFonts w:ascii="Arial Narrow" w:hAnsi="Arial Narrow"/>
          <w:sz w:val="24"/>
          <w:szCs w:val="24"/>
        </w:rPr>
        <w:t>d</w:t>
      </w:r>
      <w:r w:rsidR="0025106B" w:rsidRPr="00270770">
        <w:rPr>
          <w:rFonts w:ascii="Arial Narrow" w:hAnsi="Arial Narrow"/>
          <w:sz w:val="24"/>
          <w:szCs w:val="24"/>
        </w:rPr>
        <w:t xml:space="preserve"> by R30 to R860.</w:t>
      </w:r>
    </w:p>
    <w:p w:rsidR="0025106B" w:rsidRPr="00270770" w:rsidRDefault="00B32EFA" w:rsidP="00270770">
      <w:pPr>
        <w:pStyle w:val="Heading1"/>
      </w:pPr>
      <w:bookmarkStart w:id="13" w:name="_Toc413130781"/>
      <w:r w:rsidRPr="00B32EFA">
        <w:lastRenderedPageBreak/>
        <w:t>EDUCATION, SPORT AND CULTURE</w:t>
      </w:r>
      <w:bookmarkEnd w:id="13"/>
    </w:p>
    <w:p w:rsidR="0025106B" w:rsidRPr="00270770" w:rsidRDefault="0025106B" w:rsidP="006C080F">
      <w:pPr>
        <w:spacing w:line="360" w:lineRule="auto"/>
        <w:rPr>
          <w:rFonts w:ascii="Arial Narrow" w:hAnsi="Arial Narrow"/>
          <w:i/>
          <w:sz w:val="24"/>
          <w:szCs w:val="24"/>
        </w:rPr>
      </w:pPr>
    </w:p>
    <w:p w:rsidR="0025106B" w:rsidRPr="00270770" w:rsidRDefault="00075242" w:rsidP="00075242">
      <w:pPr>
        <w:spacing w:line="360" w:lineRule="auto"/>
        <w:jc w:val="both"/>
        <w:rPr>
          <w:rFonts w:ascii="Arial Narrow" w:hAnsi="Arial Narrow"/>
          <w:sz w:val="24"/>
          <w:szCs w:val="24"/>
        </w:rPr>
      </w:pPr>
      <w:r w:rsidRPr="00270770">
        <w:rPr>
          <w:rFonts w:ascii="Arial Narrow" w:hAnsi="Arial Narrow"/>
          <w:sz w:val="24"/>
          <w:szCs w:val="24"/>
        </w:rPr>
        <w:t>FEDUSA welcomes that fact that t</w:t>
      </w:r>
      <w:r w:rsidR="00141614" w:rsidRPr="00270770">
        <w:rPr>
          <w:rFonts w:ascii="Arial Narrow" w:hAnsi="Arial Narrow"/>
          <w:sz w:val="24"/>
          <w:szCs w:val="24"/>
        </w:rPr>
        <w:t>he number of qualified teachers entering the public service is projected to in</w:t>
      </w:r>
      <w:r w:rsidR="0025106B" w:rsidRPr="00270770">
        <w:rPr>
          <w:rFonts w:ascii="Arial Narrow" w:hAnsi="Arial Narrow"/>
          <w:sz w:val="24"/>
          <w:szCs w:val="24"/>
        </w:rPr>
        <w:t>crease from 8 227 in 2012/13 to 10 200 in 2017/18.</w:t>
      </w:r>
      <w:r w:rsidRPr="00270770">
        <w:rPr>
          <w:rFonts w:ascii="Arial Narrow" w:hAnsi="Arial Narrow"/>
          <w:sz w:val="24"/>
          <w:szCs w:val="24"/>
        </w:rPr>
        <w:t xml:space="preserve"> The implementation of the NPD and the Partnership between Trade Unions and the Department of Basic Education plays an important role to </w:t>
      </w:r>
      <w:r w:rsidR="00141614" w:rsidRPr="00270770">
        <w:rPr>
          <w:rFonts w:ascii="Arial Narrow" w:hAnsi="Arial Narrow"/>
          <w:sz w:val="24"/>
          <w:szCs w:val="24"/>
        </w:rPr>
        <w:t>support teacher train</w:t>
      </w:r>
      <w:r w:rsidR="0025106B" w:rsidRPr="00270770">
        <w:rPr>
          <w:rFonts w:ascii="Arial Narrow" w:hAnsi="Arial Narrow"/>
          <w:sz w:val="24"/>
          <w:szCs w:val="24"/>
        </w:rPr>
        <w:t xml:space="preserve">ing, </w:t>
      </w:r>
      <w:r w:rsidRPr="00270770">
        <w:rPr>
          <w:rFonts w:ascii="Arial Narrow" w:hAnsi="Arial Narrow"/>
          <w:sz w:val="24"/>
          <w:szCs w:val="24"/>
        </w:rPr>
        <w:t xml:space="preserve">through the </w:t>
      </w:r>
      <w:r w:rsidR="0025106B" w:rsidRPr="00270770">
        <w:rPr>
          <w:rFonts w:ascii="Arial Narrow" w:hAnsi="Arial Narrow"/>
          <w:sz w:val="24"/>
          <w:szCs w:val="24"/>
        </w:rPr>
        <w:t xml:space="preserve">R3.1bn </w:t>
      </w:r>
      <w:r w:rsidRPr="00270770">
        <w:rPr>
          <w:rFonts w:ascii="Arial Narrow" w:hAnsi="Arial Narrow"/>
          <w:sz w:val="24"/>
          <w:szCs w:val="24"/>
        </w:rPr>
        <w:t xml:space="preserve">that </w:t>
      </w:r>
      <w:r w:rsidR="00FA5F9E">
        <w:rPr>
          <w:rFonts w:ascii="Arial Narrow" w:hAnsi="Arial Narrow"/>
          <w:sz w:val="24"/>
          <w:szCs w:val="24"/>
        </w:rPr>
        <w:t>is</w:t>
      </w:r>
      <w:r w:rsidRPr="00270770">
        <w:rPr>
          <w:rFonts w:ascii="Arial Narrow" w:hAnsi="Arial Narrow"/>
          <w:sz w:val="24"/>
          <w:szCs w:val="24"/>
        </w:rPr>
        <w:t xml:space="preserve"> </w:t>
      </w:r>
      <w:r w:rsidR="00141614" w:rsidRPr="00270770">
        <w:rPr>
          <w:rFonts w:ascii="Arial Narrow" w:hAnsi="Arial Narrow"/>
          <w:sz w:val="24"/>
          <w:szCs w:val="24"/>
        </w:rPr>
        <w:t>awarded in Funza Lushaka bur</w:t>
      </w:r>
      <w:r w:rsidR="0025106B" w:rsidRPr="00270770">
        <w:rPr>
          <w:rFonts w:ascii="Arial Narrow" w:hAnsi="Arial Narrow"/>
          <w:sz w:val="24"/>
          <w:szCs w:val="24"/>
        </w:rPr>
        <w:t>saries</w:t>
      </w:r>
      <w:r w:rsidRPr="00270770">
        <w:rPr>
          <w:rFonts w:ascii="Arial Narrow" w:hAnsi="Arial Narrow"/>
          <w:sz w:val="24"/>
          <w:szCs w:val="24"/>
        </w:rPr>
        <w:t>. The</w:t>
      </w:r>
      <w:r w:rsidR="00141614" w:rsidRPr="00270770">
        <w:rPr>
          <w:rFonts w:ascii="Arial Narrow" w:hAnsi="Arial Narrow"/>
          <w:sz w:val="24"/>
          <w:szCs w:val="24"/>
        </w:rPr>
        <w:t xml:space="preserve"> print</w:t>
      </w:r>
      <w:r w:rsidRPr="00270770">
        <w:rPr>
          <w:rFonts w:ascii="Arial Narrow" w:hAnsi="Arial Narrow"/>
          <w:sz w:val="24"/>
          <w:szCs w:val="24"/>
        </w:rPr>
        <w:t>ing</w:t>
      </w:r>
      <w:r w:rsidR="00141614" w:rsidRPr="00270770">
        <w:rPr>
          <w:rFonts w:ascii="Arial Narrow" w:hAnsi="Arial Narrow"/>
          <w:sz w:val="24"/>
          <w:szCs w:val="24"/>
        </w:rPr>
        <w:t xml:space="preserve"> and dis</w:t>
      </w:r>
      <w:r w:rsidR="0025106B" w:rsidRPr="00270770">
        <w:rPr>
          <w:rFonts w:ascii="Arial Narrow" w:hAnsi="Arial Narrow"/>
          <w:sz w:val="24"/>
          <w:szCs w:val="24"/>
        </w:rPr>
        <w:t>trib</w:t>
      </w:r>
      <w:r w:rsidRPr="00270770">
        <w:rPr>
          <w:rFonts w:ascii="Arial Narrow" w:hAnsi="Arial Narrow"/>
          <w:sz w:val="24"/>
          <w:szCs w:val="24"/>
        </w:rPr>
        <w:t xml:space="preserve">ution </w:t>
      </w:r>
      <w:r w:rsidR="00141614" w:rsidRPr="00270770">
        <w:rPr>
          <w:rFonts w:ascii="Arial Narrow" w:hAnsi="Arial Narrow"/>
          <w:sz w:val="24"/>
          <w:szCs w:val="24"/>
        </w:rPr>
        <w:t>170 million workbooks at 23 562 pub</w:t>
      </w:r>
      <w:r w:rsidR="0025106B" w:rsidRPr="00270770">
        <w:rPr>
          <w:rFonts w:ascii="Arial Narrow" w:hAnsi="Arial Narrow"/>
          <w:sz w:val="24"/>
          <w:szCs w:val="24"/>
        </w:rPr>
        <w:t xml:space="preserve">lic schools </w:t>
      </w:r>
      <w:r w:rsidRPr="00270770">
        <w:rPr>
          <w:rFonts w:ascii="Arial Narrow" w:hAnsi="Arial Narrow"/>
          <w:sz w:val="24"/>
          <w:szCs w:val="24"/>
        </w:rPr>
        <w:t>is the embodiment of opening the doors of learning for all.</w:t>
      </w:r>
      <w:r w:rsidRPr="00270770">
        <w:rPr>
          <w:rFonts w:ascii="Arial Narrow" w:hAnsi="Arial Narrow"/>
          <w:i/>
          <w:sz w:val="24"/>
          <w:szCs w:val="24"/>
        </w:rPr>
        <w:t xml:space="preserve"> </w:t>
      </w:r>
      <w:r w:rsidRPr="00270770">
        <w:rPr>
          <w:rFonts w:ascii="Arial Narrow" w:hAnsi="Arial Narrow"/>
          <w:sz w:val="24"/>
          <w:szCs w:val="24"/>
        </w:rPr>
        <w:t>The distribution of two books to e</w:t>
      </w:r>
      <w:r w:rsidR="0025106B" w:rsidRPr="00270770">
        <w:rPr>
          <w:rFonts w:ascii="Arial Narrow" w:hAnsi="Arial Narrow"/>
          <w:sz w:val="24"/>
          <w:szCs w:val="24"/>
        </w:rPr>
        <w:t>ach l</w:t>
      </w:r>
      <w:r w:rsidR="00141614" w:rsidRPr="00270770">
        <w:rPr>
          <w:rFonts w:ascii="Arial Narrow" w:hAnsi="Arial Narrow"/>
          <w:sz w:val="24"/>
          <w:szCs w:val="24"/>
        </w:rPr>
        <w:t xml:space="preserve">earner in Grades R to 9 </w:t>
      </w:r>
      <w:r w:rsidRPr="00270770">
        <w:rPr>
          <w:rFonts w:ascii="Arial Narrow" w:hAnsi="Arial Narrow"/>
          <w:sz w:val="24"/>
          <w:szCs w:val="24"/>
        </w:rPr>
        <w:t xml:space="preserve">for subjects </w:t>
      </w:r>
      <w:r w:rsidR="00141614" w:rsidRPr="00270770">
        <w:rPr>
          <w:rFonts w:ascii="Arial Narrow" w:hAnsi="Arial Narrow"/>
          <w:sz w:val="24"/>
          <w:szCs w:val="24"/>
        </w:rPr>
        <w:t>in numeracy, mathematics, literacy, lan</w:t>
      </w:r>
      <w:r w:rsidR="0025106B" w:rsidRPr="00270770">
        <w:rPr>
          <w:rFonts w:ascii="Arial Narrow" w:hAnsi="Arial Narrow"/>
          <w:sz w:val="24"/>
          <w:szCs w:val="24"/>
        </w:rPr>
        <w:t>guage and life skills</w:t>
      </w:r>
      <w:r w:rsidR="00D52A60" w:rsidRPr="00270770">
        <w:rPr>
          <w:rFonts w:ascii="Arial Narrow" w:hAnsi="Arial Narrow"/>
          <w:sz w:val="24"/>
          <w:szCs w:val="24"/>
        </w:rPr>
        <w:t xml:space="preserve"> would also contribute to empowerment of our learners</w:t>
      </w:r>
      <w:r w:rsidR="0025106B" w:rsidRPr="00270770">
        <w:rPr>
          <w:rFonts w:ascii="Arial Narrow" w:hAnsi="Arial Narrow"/>
          <w:sz w:val="24"/>
          <w:szCs w:val="24"/>
        </w:rPr>
        <w:t>.</w:t>
      </w:r>
    </w:p>
    <w:p w:rsidR="00D52A60" w:rsidRPr="00270770" w:rsidRDefault="00D52A60" w:rsidP="00075242">
      <w:pPr>
        <w:spacing w:line="360" w:lineRule="auto"/>
        <w:jc w:val="both"/>
        <w:rPr>
          <w:rFonts w:ascii="Arial Narrow" w:hAnsi="Arial Narrow"/>
          <w:i/>
          <w:sz w:val="24"/>
          <w:szCs w:val="24"/>
        </w:rPr>
      </w:pPr>
    </w:p>
    <w:p w:rsidR="00891396" w:rsidRPr="00270770" w:rsidRDefault="00141614" w:rsidP="00D52A60">
      <w:pPr>
        <w:spacing w:line="360" w:lineRule="auto"/>
        <w:jc w:val="both"/>
        <w:rPr>
          <w:rFonts w:ascii="Arial Narrow" w:hAnsi="Arial Narrow"/>
          <w:sz w:val="24"/>
          <w:szCs w:val="24"/>
        </w:rPr>
      </w:pPr>
      <w:r w:rsidRPr="00270770">
        <w:rPr>
          <w:rFonts w:ascii="Arial Narrow" w:hAnsi="Arial Narrow"/>
          <w:sz w:val="24"/>
          <w:szCs w:val="24"/>
        </w:rPr>
        <w:t xml:space="preserve">The </w:t>
      </w:r>
      <w:r w:rsidR="00D52A60" w:rsidRPr="00270770">
        <w:rPr>
          <w:rFonts w:ascii="Arial Narrow" w:hAnsi="Arial Narrow"/>
          <w:sz w:val="24"/>
          <w:szCs w:val="24"/>
        </w:rPr>
        <w:t xml:space="preserve">centralisation and standardisation of the </w:t>
      </w:r>
      <w:r w:rsidRPr="00270770">
        <w:rPr>
          <w:rFonts w:ascii="Arial Narrow" w:hAnsi="Arial Narrow"/>
          <w:sz w:val="24"/>
          <w:szCs w:val="24"/>
        </w:rPr>
        <w:t xml:space="preserve">school infrastructure backlogs programme is </w:t>
      </w:r>
      <w:r w:rsidR="00D52A60" w:rsidRPr="00270770">
        <w:rPr>
          <w:rFonts w:ascii="Arial Narrow" w:hAnsi="Arial Narrow"/>
          <w:sz w:val="24"/>
          <w:szCs w:val="24"/>
        </w:rPr>
        <w:t xml:space="preserve">appropriate for the </w:t>
      </w:r>
      <w:r w:rsidRPr="00270770">
        <w:rPr>
          <w:rFonts w:ascii="Arial Narrow" w:hAnsi="Arial Narrow"/>
          <w:sz w:val="24"/>
          <w:szCs w:val="24"/>
        </w:rPr>
        <w:t>over 500 unsafe or poorly con</w:t>
      </w:r>
      <w:r w:rsidR="0025106B" w:rsidRPr="00270770">
        <w:rPr>
          <w:rFonts w:ascii="Arial Narrow" w:hAnsi="Arial Narrow"/>
          <w:sz w:val="24"/>
          <w:szCs w:val="24"/>
        </w:rPr>
        <w:t>str</w:t>
      </w:r>
      <w:r w:rsidRPr="00270770">
        <w:rPr>
          <w:rFonts w:ascii="Arial Narrow" w:hAnsi="Arial Narrow"/>
          <w:sz w:val="24"/>
          <w:szCs w:val="24"/>
        </w:rPr>
        <w:t>ucted schools, as well as to address water, sanitation and electric</w:t>
      </w:r>
      <w:r w:rsidR="0025106B" w:rsidRPr="00270770">
        <w:rPr>
          <w:rFonts w:ascii="Arial Narrow" w:hAnsi="Arial Narrow"/>
          <w:sz w:val="24"/>
          <w:szCs w:val="24"/>
        </w:rPr>
        <w:t>ity needs.</w:t>
      </w:r>
      <w:r w:rsidR="00D52A60" w:rsidRPr="00270770">
        <w:rPr>
          <w:rFonts w:ascii="Arial Narrow" w:hAnsi="Arial Narrow"/>
          <w:i/>
          <w:sz w:val="24"/>
          <w:szCs w:val="24"/>
        </w:rPr>
        <w:t xml:space="preserve"> </w:t>
      </w:r>
      <w:r w:rsidR="00D52A60" w:rsidRPr="00270770">
        <w:rPr>
          <w:rFonts w:ascii="Arial Narrow" w:hAnsi="Arial Narrow"/>
          <w:sz w:val="24"/>
          <w:szCs w:val="24"/>
        </w:rPr>
        <w:t>FEDUSA</w:t>
      </w:r>
      <w:r w:rsidRPr="00270770">
        <w:rPr>
          <w:rFonts w:ascii="Arial Narrow" w:hAnsi="Arial Narrow"/>
          <w:sz w:val="24"/>
          <w:szCs w:val="24"/>
        </w:rPr>
        <w:t xml:space="preserve"> </w:t>
      </w:r>
      <w:r w:rsidR="00D52A60" w:rsidRPr="00270770">
        <w:rPr>
          <w:rFonts w:ascii="Arial Narrow" w:hAnsi="Arial Narrow"/>
          <w:sz w:val="24"/>
          <w:szCs w:val="24"/>
        </w:rPr>
        <w:t xml:space="preserve">also supports the notion that </w:t>
      </w:r>
      <w:r w:rsidRPr="00270770">
        <w:rPr>
          <w:rFonts w:ascii="Arial Narrow" w:hAnsi="Arial Narrow"/>
          <w:sz w:val="24"/>
          <w:szCs w:val="24"/>
        </w:rPr>
        <w:t xml:space="preserve">all schools </w:t>
      </w:r>
      <w:r w:rsidR="00D52A60" w:rsidRPr="00270770">
        <w:rPr>
          <w:rFonts w:ascii="Arial Narrow" w:hAnsi="Arial Narrow"/>
          <w:sz w:val="24"/>
          <w:szCs w:val="24"/>
        </w:rPr>
        <w:t xml:space="preserve">should </w:t>
      </w:r>
      <w:r w:rsidRPr="00270770">
        <w:rPr>
          <w:rFonts w:ascii="Arial Narrow" w:hAnsi="Arial Narrow"/>
          <w:sz w:val="24"/>
          <w:szCs w:val="24"/>
        </w:rPr>
        <w:t>meet the minimum norms and stan</w:t>
      </w:r>
      <w:r w:rsidR="0025106B" w:rsidRPr="00270770">
        <w:rPr>
          <w:rFonts w:ascii="Arial Narrow" w:hAnsi="Arial Narrow"/>
          <w:sz w:val="24"/>
          <w:szCs w:val="24"/>
        </w:rPr>
        <w:t>dards for school in</w:t>
      </w:r>
      <w:r w:rsidRPr="00270770">
        <w:rPr>
          <w:rFonts w:ascii="Arial Narrow" w:hAnsi="Arial Narrow"/>
          <w:sz w:val="24"/>
          <w:szCs w:val="24"/>
        </w:rPr>
        <w:t>frastruc</w:t>
      </w:r>
      <w:r w:rsidR="0025106B" w:rsidRPr="00270770">
        <w:rPr>
          <w:rFonts w:ascii="Arial Narrow" w:hAnsi="Arial Narrow"/>
          <w:sz w:val="24"/>
          <w:szCs w:val="24"/>
        </w:rPr>
        <w:t>ture by 2016.</w:t>
      </w:r>
      <w:r w:rsidR="00D52A60" w:rsidRPr="00270770">
        <w:rPr>
          <w:rFonts w:ascii="Arial Narrow" w:hAnsi="Arial Narrow"/>
          <w:i/>
          <w:sz w:val="24"/>
          <w:szCs w:val="24"/>
        </w:rPr>
        <w:t xml:space="preserve"> </w:t>
      </w:r>
      <w:r w:rsidRPr="00270770">
        <w:rPr>
          <w:rFonts w:ascii="Arial Narrow" w:hAnsi="Arial Narrow"/>
          <w:sz w:val="24"/>
          <w:szCs w:val="24"/>
        </w:rPr>
        <w:t>School and community sport programmes and sports academies will receive R1.7bn in condi</w:t>
      </w:r>
      <w:r w:rsidR="0025106B" w:rsidRPr="00270770">
        <w:rPr>
          <w:rFonts w:ascii="Arial Narrow" w:hAnsi="Arial Narrow"/>
          <w:sz w:val="24"/>
          <w:szCs w:val="24"/>
        </w:rPr>
        <w:t xml:space="preserve">tional </w:t>
      </w:r>
      <w:r w:rsidRPr="00270770">
        <w:rPr>
          <w:rFonts w:ascii="Arial Narrow" w:hAnsi="Arial Narrow"/>
          <w:sz w:val="24"/>
          <w:szCs w:val="24"/>
        </w:rPr>
        <w:t>allocations to prov</w:t>
      </w:r>
      <w:r w:rsidR="0025106B" w:rsidRPr="00270770">
        <w:rPr>
          <w:rFonts w:ascii="Arial Narrow" w:hAnsi="Arial Narrow"/>
          <w:sz w:val="24"/>
          <w:szCs w:val="24"/>
        </w:rPr>
        <w:t>inces.</w:t>
      </w:r>
    </w:p>
    <w:p w:rsidR="00A450BD" w:rsidRPr="00270770" w:rsidRDefault="00A450BD" w:rsidP="00D52A60">
      <w:pPr>
        <w:spacing w:line="360" w:lineRule="auto"/>
        <w:jc w:val="both"/>
        <w:rPr>
          <w:rFonts w:ascii="Arial Narrow" w:hAnsi="Arial Narrow"/>
          <w:sz w:val="24"/>
          <w:szCs w:val="24"/>
        </w:rPr>
      </w:pPr>
    </w:p>
    <w:p w:rsidR="00A450BD" w:rsidRPr="00270770" w:rsidRDefault="00E41D02" w:rsidP="00D52A60">
      <w:pPr>
        <w:spacing w:line="360" w:lineRule="auto"/>
        <w:jc w:val="both"/>
        <w:rPr>
          <w:rFonts w:ascii="Arial Narrow" w:hAnsi="Arial Narrow"/>
          <w:sz w:val="24"/>
          <w:szCs w:val="24"/>
        </w:rPr>
      </w:pPr>
      <w:r w:rsidRPr="00270770">
        <w:rPr>
          <w:rFonts w:ascii="Arial Narrow" w:hAnsi="Arial Narrow"/>
          <w:sz w:val="24"/>
          <w:szCs w:val="24"/>
        </w:rPr>
        <w:t xml:space="preserve">FEDUSA </w:t>
      </w:r>
      <w:r w:rsidR="00270770">
        <w:rPr>
          <w:rFonts w:ascii="Arial Narrow" w:hAnsi="Arial Narrow"/>
          <w:sz w:val="24"/>
          <w:szCs w:val="24"/>
        </w:rPr>
        <w:t xml:space="preserve">supports </w:t>
      </w:r>
      <w:r w:rsidRPr="00270770">
        <w:rPr>
          <w:rFonts w:ascii="Arial Narrow" w:hAnsi="Arial Narrow"/>
          <w:sz w:val="24"/>
          <w:szCs w:val="24"/>
        </w:rPr>
        <w:t xml:space="preserve">the introduction of a centrally negotiated contract and the fact that </w:t>
      </w:r>
      <w:r w:rsidR="00A450BD" w:rsidRPr="00270770">
        <w:rPr>
          <w:rFonts w:ascii="Arial Narrow" w:hAnsi="Arial Narrow"/>
          <w:sz w:val="24"/>
          <w:szCs w:val="24"/>
        </w:rPr>
        <w:t xml:space="preserve">all school building plans will be standardised and the cost of construction </w:t>
      </w:r>
      <w:r w:rsidRPr="00270770">
        <w:rPr>
          <w:rFonts w:ascii="Arial Narrow" w:hAnsi="Arial Narrow"/>
          <w:sz w:val="24"/>
          <w:szCs w:val="24"/>
        </w:rPr>
        <w:t xml:space="preserve">to </w:t>
      </w:r>
      <w:r w:rsidR="00A450BD" w:rsidRPr="00270770">
        <w:rPr>
          <w:rFonts w:ascii="Arial Narrow" w:hAnsi="Arial Narrow"/>
          <w:sz w:val="24"/>
          <w:szCs w:val="24"/>
        </w:rPr>
        <w:t>be controlled by the Office of the Chief Procurement Officer.</w:t>
      </w:r>
      <w:r w:rsidRPr="00270770">
        <w:rPr>
          <w:rFonts w:ascii="Arial Narrow" w:hAnsi="Arial Narrow"/>
          <w:sz w:val="24"/>
          <w:szCs w:val="24"/>
        </w:rPr>
        <w:t xml:space="preserve"> The introduction and decentralisation of r</w:t>
      </w:r>
      <w:r w:rsidR="00A450BD" w:rsidRPr="00270770">
        <w:rPr>
          <w:rFonts w:ascii="Arial Narrow" w:hAnsi="Arial Narrow"/>
          <w:sz w:val="24"/>
          <w:szCs w:val="24"/>
        </w:rPr>
        <w:t xml:space="preserve">outine maintenance of school buildings and minor construction works </w:t>
      </w:r>
      <w:r w:rsidRPr="00270770">
        <w:rPr>
          <w:rFonts w:ascii="Arial Narrow" w:hAnsi="Arial Narrow"/>
          <w:sz w:val="24"/>
          <w:szCs w:val="24"/>
        </w:rPr>
        <w:t>are an important component for standardisation education infrastructure.</w:t>
      </w:r>
      <w:r w:rsidR="00270770">
        <w:rPr>
          <w:rFonts w:ascii="Arial Narrow" w:hAnsi="Arial Narrow"/>
          <w:sz w:val="24"/>
          <w:szCs w:val="24"/>
        </w:rPr>
        <w:t xml:space="preserve"> </w:t>
      </w:r>
      <w:r w:rsidRPr="00270770">
        <w:rPr>
          <w:rFonts w:ascii="Arial Narrow" w:hAnsi="Arial Narrow"/>
          <w:sz w:val="24"/>
          <w:szCs w:val="24"/>
        </w:rPr>
        <w:t>The</w:t>
      </w:r>
      <w:r w:rsidR="00A450BD" w:rsidRPr="00270770">
        <w:rPr>
          <w:rFonts w:ascii="Arial Narrow" w:hAnsi="Arial Narrow"/>
          <w:sz w:val="24"/>
          <w:szCs w:val="24"/>
        </w:rPr>
        <w:t xml:space="preserve"> </w:t>
      </w:r>
      <w:r w:rsidRPr="00270770">
        <w:rPr>
          <w:rFonts w:ascii="Arial Narrow" w:hAnsi="Arial Narrow"/>
          <w:sz w:val="24"/>
          <w:szCs w:val="24"/>
        </w:rPr>
        <w:t xml:space="preserve">Federation is of the view that these measures </w:t>
      </w:r>
      <w:r w:rsidR="00A450BD" w:rsidRPr="00270770">
        <w:rPr>
          <w:rFonts w:ascii="Arial Narrow" w:hAnsi="Arial Narrow"/>
          <w:sz w:val="24"/>
          <w:szCs w:val="24"/>
        </w:rPr>
        <w:t>will combat inefficiency and corruption at district and school level.</w:t>
      </w:r>
    </w:p>
    <w:p w:rsidR="0025106B" w:rsidRPr="00270770" w:rsidRDefault="00B32EFA" w:rsidP="00270770">
      <w:pPr>
        <w:pStyle w:val="Heading1"/>
      </w:pPr>
      <w:bookmarkStart w:id="14" w:name="_Toc413130782"/>
      <w:r w:rsidRPr="00B32EFA">
        <w:t>POST SCHOOL EDUCATION AND TRAINING</w:t>
      </w:r>
      <w:bookmarkEnd w:id="14"/>
    </w:p>
    <w:p w:rsidR="0025106B" w:rsidRPr="00270770" w:rsidRDefault="0025106B" w:rsidP="006C080F">
      <w:pPr>
        <w:spacing w:line="360" w:lineRule="auto"/>
        <w:rPr>
          <w:rFonts w:ascii="Arial Narrow" w:hAnsi="Arial Narrow"/>
          <w:i/>
          <w:sz w:val="24"/>
          <w:szCs w:val="24"/>
        </w:rPr>
      </w:pPr>
    </w:p>
    <w:p w:rsidR="00891396" w:rsidRPr="00270770" w:rsidRDefault="00FA5F9E" w:rsidP="008752ED">
      <w:pPr>
        <w:spacing w:line="360" w:lineRule="auto"/>
        <w:jc w:val="both"/>
        <w:rPr>
          <w:rFonts w:ascii="Arial Narrow" w:hAnsi="Arial Narrow"/>
          <w:i/>
          <w:sz w:val="24"/>
          <w:szCs w:val="24"/>
        </w:rPr>
      </w:pPr>
      <w:r>
        <w:rPr>
          <w:rFonts w:ascii="Arial Narrow" w:hAnsi="Arial Narrow"/>
          <w:sz w:val="24"/>
          <w:szCs w:val="24"/>
        </w:rPr>
        <w:t>An i</w:t>
      </w:r>
      <w:r w:rsidR="00D52A60" w:rsidRPr="00270770">
        <w:rPr>
          <w:rFonts w:ascii="Arial Narrow" w:hAnsi="Arial Narrow"/>
          <w:sz w:val="24"/>
          <w:szCs w:val="24"/>
        </w:rPr>
        <w:t xml:space="preserve">ncrease </w:t>
      </w:r>
      <w:r>
        <w:rPr>
          <w:rFonts w:ascii="Arial Narrow" w:hAnsi="Arial Narrow"/>
          <w:sz w:val="24"/>
          <w:szCs w:val="24"/>
        </w:rPr>
        <w:t>in</w:t>
      </w:r>
      <w:r w:rsidRPr="00270770">
        <w:rPr>
          <w:rFonts w:ascii="Arial Narrow" w:hAnsi="Arial Narrow"/>
          <w:sz w:val="24"/>
          <w:szCs w:val="24"/>
        </w:rPr>
        <w:t xml:space="preserve"> </w:t>
      </w:r>
      <w:r w:rsidR="00D52A60" w:rsidRPr="00270770">
        <w:rPr>
          <w:rFonts w:ascii="Arial Narrow" w:hAnsi="Arial Narrow"/>
          <w:sz w:val="24"/>
          <w:szCs w:val="24"/>
        </w:rPr>
        <w:t xml:space="preserve">the </w:t>
      </w:r>
      <w:r w:rsidR="00141614" w:rsidRPr="00270770">
        <w:rPr>
          <w:rFonts w:ascii="Arial Narrow" w:hAnsi="Arial Narrow"/>
          <w:sz w:val="24"/>
          <w:szCs w:val="24"/>
        </w:rPr>
        <w:t xml:space="preserve">post school education and training </w:t>
      </w:r>
      <w:r w:rsidR="00D52A60" w:rsidRPr="00270770">
        <w:rPr>
          <w:rFonts w:ascii="Arial Narrow" w:hAnsi="Arial Narrow"/>
          <w:sz w:val="24"/>
          <w:szCs w:val="24"/>
        </w:rPr>
        <w:t xml:space="preserve">budget to more than R195bn over the medium term and the </w:t>
      </w:r>
      <w:r w:rsidR="00141614" w:rsidRPr="00270770">
        <w:rPr>
          <w:rFonts w:ascii="Arial Narrow" w:hAnsi="Arial Narrow"/>
          <w:sz w:val="24"/>
          <w:szCs w:val="24"/>
        </w:rPr>
        <w:t>University operating subsi</w:t>
      </w:r>
      <w:r w:rsidR="00D52A60" w:rsidRPr="00270770">
        <w:rPr>
          <w:rFonts w:ascii="Arial Narrow" w:hAnsi="Arial Narrow"/>
          <w:sz w:val="24"/>
          <w:szCs w:val="24"/>
        </w:rPr>
        <w:t>dies</w:t>
      </w:r>
      <w:r w:rsidR="008752ED" w:rsidRPr="00270770">
        <w:rPr>
          <w:rFonts w:ascii="Arial Narrow" w:hAnsi="Arial Narrow"/>
          <w:sz w:val="24"/>
          <w:szCs w:val="24"/>
        </w:rPr>
        <w:t xml:space="preserve"> to R72.4bn </w:t>
      </w:r>
      <w:r>
        <w:rPr>
          <w:rFonts w:ascii="Arial Narrow" w:hAnsi="Arial Narrow"/>
          <w:sz w:val="24"/>
          <w:szCs w:val="24"/>
        </w:rPr>
        <w:t>is</w:t>
      </w:r>
      <w:r w:rsidR="008752ED" w:rsidRPr="00270770">
        <w:rPr>
          <w:rFonts w:ascii="Arial Narrow" w:hAnsi="Arial Narrow"/>
          <w:sz w:val="24"/>
          <w:szCs w:val="24"/>
        </w:rPr>
        <w:t xml:space="preserve"> a demonstration of the commitment to the implementation of the NDP. The</w:t>
      </w:r>
      <w:r w:rsidR="00141614" w:rsidRPr="00270770">
        <w:rPr>
          <w:rFonts w:ascii="Arial Narrow" w:hAnsi="Arial Narrow"/>
          <w:sz w:val="24"/>
          <w:szCs w:val="24"/>
        </w:rPr>
        <w:t xml:space="preserve"> infrastructure </w:t>
      </w:r>
      <w:r w:rsidR="008752ED" w:rsidRPr="00270770">
        <w:rPr>
          <w:rFonts w:ascii="Arial Narrow" w:hAnsi="Arial Narrow"/>
          <w:sz w:val="24"/>
          <w:szCs w:val="24"/>
        </w:rPr>
        <w:t xml:space="preserve">transfer to universities </w:t>
      </w:r>
      <w:r w:rsidR="00141614" w:rsidRPr="00270770">
        <w:rPr>
          <w:rFonts w:ascii="Arial Narrow" w:hAnsi="Arial Narrow"/>
          <w:sz w:val="24"/>
          <w:szCs w:val="24"/>
        </w:rPr>
        <w:t xml:space="preserve">of R10.5bn </w:t>
      </w:r>
      <w:r w:rsidR="008752ED" w:rsidRPr="00270770">
        <w:rPr>
          <w:rFonts w:ascii="Arial Narrow" w:hAnsi="Arial Narrow"/>
          <w:sz w:val="24"/>
          <w:szCs w:val="24"/>
        </w:rPr>
        <w:t xml:space="preserve">and </w:t>
      </w:r>
      <w:r w:rsidR="00141614" w:rsidRPr="00270770">
        <w:rPr>
          <w:rFonts w:ascii="Arial Narrow" w:hAnsi="Arial Narrow"/>
          <w:sz w:val="24"/>
          <w:szCs w:val="24"/>
        </w:rPr>
        <w:t>R3.2bn for the new universi</w:t>
      </w:r>
      <w:r w:rsidR="0025106B" w:rsidRPr="00270770">
        <w:rPr>
          <w:rFonts w:ascii="Arial Narrow" w:hAnsi="Arial Narrow"/>
          <w:sz w:val="24"/>
          <w:szCs w:val="24"/>
        </w:rPr>
        <w:t>ties of Mpumalanga and Sol Plaatje</w:t>
      </w:r>
      <w:r w:rsidR="008752ED" w:rsidRPr="00270770">
        <w:rPr>
          <w:rFonts w:ascii="Arial Narrow" w:hAnsi="Arial Narrow"/>
          <w:sz w:val="24"/>
          <w:szCs w:val="24"/>
        </w:rPr>
        <w:t xml:space="preserve"> confirms the focus of post school education and training</w:t>
      </w:r>
      <w:r w:rsidR="00EF4734" w:rsidRPr="00270770">
        <w:rPr>
          <w:rFonts w:ascii="Arial Narrow" w:hAnsi="Arial Narrow"/>
          <w:sz w:val="24"/>
          <w:szCs w:val="24"/>
        </w:rPr>
        <w:t>;</w:t>
      </w:r>
      <w:r w:rsidR="008752ED" w:rsidRPr="00270770">
        <w:rPr>
          <w:rFonts w:ascii="Arial Narrow" w:hAnsi="Arial Narrow"/>
          <w:sz w:val="24"/>
          <w:szCs w:val="24"/>
        </w:rPr>
        <w:t xml:space="preserve"> and </w:t>
      </w:r>
      <w:r w:rsidR="00EF4734" w:rsidRPr="00270770">
        <w:rPr>
          <w:rFonts w:ascii="Arial Narrow" w:hAnsi="Arial Narrow"/>
          <w:sz w:val="24"/>
          <w:szCs w:val="24"/>
        </w:rPr>
        <w:t xml:space="preserve">the importance of </w:t>
      </w:r>
      <w:r w:rsidR="008752ED" w:rsidRPr="00270770">
        <w:rPr>
          <w:rFonts w:ascii="Arial Narrow" w:hAnsi="Arial Narrow"/>
          <w:sz w:val="24"/>
          <w:szCs w:val="24"/>
        </w:rPr>
        <w:t>narrowing the gap between the world of learning and work. FEDUSA</w:t>
      </w:r>
      <w:r w:rsidR="008752ED" w:rsidRPr="00270770">
        <w:rPr>
          <w:rFonts w:ascii="Arial Narrow" w:hAnsi="Arial Narrow"/>
          <w:i/>
          <w:sz w:val="24"/>
          <w:szCs w:val="24"/>
        </w:rPr>
        <w:t xml:space="preserve"> </w:t>
      </w:r>
      <w:r w:rsidR="008752ED" w:rsidRPr="00270770">
        <w:rPr>
          <w:rFonts w:ascii="Arial Narrow" w:hAnsi="Arial Narrow"/>
          <w:sz w:val="24"/>
          <w:szCs w:val="24"/>
        </w:rPr>
        <w:t>hails t</w:t>
      </w:r>
      <w:r w:rsidR="00141614" w:rsidRPr="00270770">
        <w:rPr>
          <w:rFonts w:ascii="Arial Narrow" w:hAnsi="Arial Narrow"/>
          <w:sz w:val="24"/>
          <w:szCs w:val="24"/>
        </w:rPr>
        <w:t xml:space="preserve">he </w:t>
      </w:r>
      <w:r w:rsidR="008752ED" w:rsidRPr="00270770">
        <w:rPr>
          <w:rFonts w:ascii="Arial Narrow" w:hAnsi="Arial Narrow"/>
          <w:sz w:val="24"/>
          <w:szCs w:val="24"/>
        </w:rPr>
        <w:t xml:space="preserve">increase </w:t>
      </w:r>
      <w:r w:rsidR="00EF4734" w:rsidRPr="00270770">
        <w:rPr>
          <w:rFonts w:ascii="Arial Narrow" w:hAnsi="Arial Narrow"/>
          <w:sz w:val="24"/>
          <w:szCs w:val="24"/>
        </w:rPr>
        <w:t xml:space="preserve">of </w:t>
      </w:r>
      <w:r w:rsidR="008752ED" w:rsidRPr="00270770">
        <w:rPr>
          <w:rFonts w:ascii="Arial Narrow" w:hAnsi="Arial Narrow"/>
          <w:sz w:val="24"/>
          <w:szCs w:val="24"/>
        </w:rPr>
        <w:t xml:space="preserve">the </w:t>
      </w:r>
      <w:r w:rsidR="00141614" w:rsidRPr="00270770">
        <w:rPr>
          <w:rFonts w:ascii="Arial Narrow" w:hAnsi="Arial Narrow"/>
          <w:sz w:val="24"/>
          <w:szCs w:val="24"/>
        </w:rPr>
        <w:t>National Student Financial Aid Scheme</w:t>
      </w:r>
      <w:r w:rsidR="008752ED" w:rsidRPr="00270770">
        <w:rPr>
          <w:rFonts w:ascii="Arial Narrow" w:hAnsi="Arial Narrow"/>
          <w:sz w:val="24"/>
          <w:szCs w:val="24"/>
        </w:rPr>
        <w:t xml:space="preserve"> from R9.2bn in 2014/15 to </w:t>
      </w:r>
      <w:r w:rsidR="0025106B" w:rsidRPr="00270770">
        <w:rPr>
          <w:rFonts w:ascii="Arial Narrow" w:hAnsi="Arial Narrow"/>
          <w:sz w:val="24"/>
          <w:szCs w:val="24"/>
        </w:rPr>
        <w:t>R11.9bn in 2017/18</w:t>
      </w:r>
      <w:r w:rsidR="008752ED" w:rsidRPr="00270770">
        <w:rPr>
          <w:rFonts w:ascii="Arial Narrow" w:hAnsi="Arial Narrow"/>
          <w:sz w:val="24"/>
          <w:szCs w:val="24"/>
        </w:rPr>
        <w:t xml:space="preserve">, as it would </w:t>
      </w:r>
      <w:r w:rsidR="00141614" w:rsidRPr="00270770">
        <w:rPr>
          <w:rFonts w:ascii="Arial Narrow" w:hAnsi="Arial Narrow"/>
          <w:sz w:val="24"/>
          <w:szCs w:val="24"/>
        </w:rPr>
        <w:t xml:space="preserve">support </w:t>
      </w:r>
      <w:r w:rsidR="00EF4734" w:rsidRPr="00270770">
        <w:rPr>
          <w:rFonts w:ascii="Arial Narrow" w:hAnsi="Arial Narrow"/>
          <w:sz w:val="24"/>
          <w:szCs w:val="24"/>
        </w:rPr>
        <w:t xml:space="preserve">the human </w:t>
      </w:r>
      <w:r w:rsidR="00EF4734" w:rsidRPr="00270770">
        <w:rPr>
          <w:rFonts w:ascii="Arial Narrow" w:hAnsi="Arial Narrow"/>
          <w:sz w:val="24"/>
          <w:szCs w:val="24"/>
        </w:rPr>
        <w:lastRenderedPageBreak/>
        <w:t>resource development of the country and the</w:t>
      </w:r>
      <w:r w:rsidR="00141614" w:rsidRPr="00270770">
        <w:rPr>
          <w:rFonts w:ascii="Arial Narrow" w:hAnsi="Arial Narrow"/>
          <w:sz w:val="24"/>
          <w:szCs w:val="24"/>
        </w:rPr>
        <w:t xml:space="preserve"> university enrol</w:t>
      </w:r>
      <w:r w:rsidR="0025106B" w:rsidRPr="00270770">
        <w:rPr>
          <w:rFonts w:ascii="Arial Narrow" w:hAnsi="Arial Narrow"/>
          <w:sz w:val="24"/>
          <w:szCs w:val="24"/>
        </w:rPr>
        <w:t>ment</w:t>
      </w:r>
      <w:r w:rsidR="00141614" w:rsidRPr="00270770">
        <w:rPr>
          <w:rFonts w:ascii="Arial Narrow" w:hAnsi="Arial Narrow"/>
          <w:sz w:val="24"/>
          <w:szCs w:val="24"/>
        </w:rPr>
        <w:t>s and in technical and vocational col</w:t>
      </w:r>
      <w:r w:rsidR="0025106B" w:rsidRPr="00270770">
        <w:rPr>
          <w:rFonts w:ascii="Arial Narrow" w:hAnsi="Arial Narrow"/>
          <w:sz w:val="24"/>
          <w:szCs w:val="24"/>
        </w:rPr>
        <w:t>leges.</w:t>
      </w:r>
    </w:p>
    <w:p w:rsidR="0025106B" w:rsidRPr="00270770" w:rsidRDefault="00B32EFA" w:rsidP="00270770">
      <w:pPr>
        <w:pStyle w:val="Heading1"/>
      </w:pPr>
      <w:bookmarkStart w:id="15" w:name="_Toc413130783"/>
      <w:r w:rsidRPr="00B32EFA">
        <w:t>TRANSPORT, ENERGY, COMMUNICATIONS</w:t>
      </w:r>
      <w:bookmarkEnd w:id="15"/>
    </w:p>
    <w:p w:rsidR="0025106B" w:rsidRPr="00270770" w:rsidRDefault="0025106B" w:rsidP="006C080F">
      <w:pPr>
        <w:spacing w:line="360" w:lineRule="auto"/>
        <w:rPr>
          <w:rFonts w:ascii="Arial Narrow" w:hAnsi="Arial Narrow"/>
          <w:i/>
          <w:sz w:val="24"/>
          <w:szCs w:val="24"/>
        </w:rPr>
      </w:pPr>
    </w:p>
    <w:p w:rsidR="00891396" w:rsidRPr="00270770" w:rsidRDefault="00EC7318" w:rsidP="00A450BD">
      <w:pPr>
        <w:spacing w:line="360" w:lineRule="auto"/>
        <w:jc w:val="both"/>
        <w:rPr>
          <w:rFonts w:ascii="Arial Narrow" w:hAnsi="Arial Narrow"/>
          <w:i/>
          <w:sz w:val="24"/>
          <w:szCs w:val="24"/>
        </w:rPr>
      </w:pPr>
      <w:r w:rsidRPr="00270770">
        <w:rPr>
          <w:rFonts w:ascii="Arial Narrow" w:hAnsi="Arial Narrow"/>
          <w:sz w:val="24"/>
          <w:szCs w:val="24"/>
        </w:rPr>
        <w:t>FEDUSA is concern</w:t>
      </w:r>
      <w:r w:rsidR="00FA5F9E">
        <w:rPr>
          <w:rFonts w:ascii="Arial Narrow" w:hAnsi="Arial Narrow"/>
          <w:sz w:val="24"/>
          <w:szCs w:val="24"/>
        </w:rPr>
        <w:t>ed</w:t>
      </w:r>
      <w:r w:rsidRPr="00270770">
        <w:rPr>
          <w:rFonts w:ascii="Arial Narrow" w:hAnsi="Arial Narrow"/>
          <w:sz w:val="24"/>
          <w:szCs w:val="24"/>
        </w:rPr>
        <w:t xml:space="preserve"> that Government plays politics with the Gauteng Freeway financing matter and that the citizens of Gauteng feel that they are caught between national and provincial governments. It is also not fair for national government to introduce the principle of cost recovery for road users as the principal financing mechanism for the Gauteng Freeway. </w:t>
      </w:r>
      <w:r w:rsidR="00EF4734" w:rsidRPr="00270770">
        <w:rPr>
          <w:rFonts w:ascii="Arial Narrow" w:hAnsi="Arial Narrow"/>
          <w:sz w:val="24"/>
          <w:szCs w:val="24"/>
        </w:rPr>
        <w:t>The increase in the general fuel levy of 30.5c a litre is unilateral and this procedure could have been use</w:t>
      </w:r>
      <w:r w:rsidR="00764240">
        <w:rPr>
          <w:rFonts w:ascii="Arial Narrow" w:hAnsi="Arial Narrow"/>
          <w:sz w:val="24"/>
          <w:szCs w:val="24"/>
        </w:rPr>
        <w:t>d</w:t>
      </w:r>
      <w:r w:rsidR="00EF4734" w:rsidRPr="00270770">
        <w:rPr>
          <w:rFonts w:ascii="Arial Narrow" w:hAnsi="Arial Narrow"/>
          <w:sz w:val="24"/>
          <w:szCs w:val="24"/>
        </w:rPr>
        <w:t xml:space="preserve"> to find a permanent</w:t>
      </w:r>
      <w:r w:rsidR="00764240">
        <w:rPr>
          <w:rFonts w:ascii="Arial Narrow" w:hAnsi="Arial Narrow"/>
          <w:sz w:val="24"/>
          <w:szCs w:val="24"/>
        </w:rPr>
        <w:t>,</w:t>
      </w:r>
      <w:r w:rsidR="00EF4734" w:rsidRPr="00270770">
        <w:rPr>
          <w:rFonts w:ascii="Arial Narrow" w:hAnsi="Arial Narrow"/>
          <w:sz w:val="24"/>
          <w:szCs w:val="24"/>
        </w:rPr>
        <w:t xml:space="preserve"> sustainable solution to fund the Gauteng Road Improvement and other provincial road infrastructure. </w:t>
      </w:r>
      <w:r w:rsidRPr="00270770">
        <w:rPr>
          <w:rFonts w:ascii="Arial Narrow" w:hAnsi="Arial Narrow"/>
          <w:sz w:val="24"/>
          <w:szCs w:val="24"/>
        </w:rPr>
        <w:t xml:space="preserve">FEDUSA is of the opinion that a national fuel levy should be used to build roads for the country. </w:t>
      </w:r>
    </w:p>
    <w:p w:rsidR="0025106B" w:rsidRPr="00270770" w:rsidRDefault="00B32EFA" w:rsidP="00270770">
      <w:pPr>
        <w:pStyle w:val="Heading1"/>
      </w:pPr>
      <w:bookmarkStart w:id="16" w:name="_Toc413130784"/>
      <w:r w:rsidRPr="00B32EFA">
        <w:t>PUBLIC SECTOR SUPPLY CHAIN MANAGEMENT AND TENDERS</w:t>
      </w:r>
      <w:bookmarkEnd w:id="16"/>
    </w:p>
    <w:p w:rsidR="0025106B" w:rsidRPr="00270770" w:rsidRDefault="0025106B" w:rsidP="006C080F">
      <w:pPr>
        <w:spacing w:line="360" w:lineRule="auto"/>
        <w:rPr>
          <w:rFonts w:ascii="Arial Narrow" w:hAnsi="Arial Narrow"/>
          <w:i/>
          <w:sz w:val="24"/>
          <w:szCs w:val="24"/>
        </w:rPr>
      </w:pPr>
    </w:p>
    <w:p w:rsidR="0025106B" w:rsidRPr="00270770" w:rsidRDefault="00975FBA" w:rsidP="00975FBA">
      <w:pPr>
        <w:spacing w:line="360" w:lineRule="auto"/>
        <w:jc w:val="both"/>
        <w:rPr>
          <w:rFonts w:ascii="Arial Narrow" w:hAnsi="Arial Narrow"/>
          <w:i/>
          <w:sz w:val="24"/>
          <w:szCs w:val="24"/>
        </w:rPr>
      </w:pPr>
      <w:r w:rsidRPr="00270770">
        <w:rPr>
          <w:rFonts w:ascii="Arial Narrow" w:hAnsi="Arial Narrow"/>
          <w:sz w:val="24"/>
          <w:szCs w:val="24"/>
        </w:rPr>
        <w:t xml:space="preserve">The introduction of the </w:t>
      </w:r>
      <w:r w:rsidR="00C63C44" w:rsidRPr="00270770">
        <w:rPr>
          <w:rFonts w:ascii="Arial Narrow" w:hAnsi="Arial Narrow"/>
          <w:sz w:val="24"/>
          <w:szCs w:val="24"/>
        </w:rPr>
        <w:t>centra</w:t>
      </w:r>
      <w:r w:rsidRPr="00270770">
        <w:rPr>
          <w:rFonts w:ascii="Arial Narrow" w:hAnsi="Arial Narrow"/>
          <w:sz w:val="24"/>
          <w:szCs w:val="24"/>
        </w:rPr>
        <w:t xml:space="preserve">l supplier database would improve the supplier registration and administration burden of those enterprises interested to conduct business with the state. </w:t>
      </w:r>
      <w:r w:rsidR="00C63C44" w:rsidRPr="00270770">
        <w:rPr>
          <w:rFonts w:ascii="Arial Narrow" w:hAnsi="Arial Narrow"/>
          <w:sz w:val="24"/>
          <w:szCs w:val="24"/>
        </w:rPr>
        <w:t>This</w:t>
      </w:r>
      <w:r w:rsidRPr="00270770">
        <w:rPr>
          <w:rFonts w:ascii="Arial Narrow" w:hAnsi="Arial Narrow"/>
          <w:sz w:val="24"/>
          <w:szCs w:val="24"/>
        </w:rPr>
        <w:t xml:space="preserve"> approach would</w:t>
      </w:r>
      <w:r w:rsidR="00C63C44" w:rsidRPr="00270770">
        <w:rPr>
          <w:rFonts w:ascii="Arial Narrow" w:hAnsi="Arial Narrow"/>
          <w:sz w:val="24"/>
          <w:szCs w:val="24"/>
        </w:rPr>
        <w:t xml:space="preserve"> </w:t>
      </w:r>
      <w:r w:rsidRPr="00270770">
        <w:rPr>
          <w:rFonts w:ascii="Arial Narrow" w:hAnsi="Arial Narrow"/>
          <w:sz w:val="24"/>
          <w:szCs w:val="24"/>
        </w:rPr>
        <w:t>considerably</w:t>
      </w:r>
      <w:r w:rsidR="00C63C44" w:rsidRPr="00270770">
        <w:rPr>
          <w:rFonts w:ascii="Arial Narrow" w:hAnsi="Arial Narrow"/>
          <w:sz w:val="24"/>
          <w:szCs w:val="24"/>
        </w:rPr>
        <w:t xml:space="preserve"> reduce the administrative bur</w:t>
      </w:r>
      <w:r w:rsidR="0025106B" w:rsidRPr="00270770">
        <w:rPr>
          <w:rFonts w:ascii="Arial Narrow" w:hAnsi="Arial Narrow"/>
          <w:sz w:val="24"/>
          <w:szCs w:val="24"/>
        </w:rPr>
        <w:t>den for</w:t>
      </w:r>
      <w:r w:rsidRPr="00270770">
        <w:rPr>
          <w:rFonts w:ascii="Arial Narrow" w:hAnsi="Arial Narrow"/>
          <w:sz w:val="24"/>
          <w:szCs w:val="24"/>
        </w:rPr>
        <w:t xml:space="preserve"> enterprises</w:t>
      </w:r>
      <w:r w:rsidR="00C63C44" w:rsidRPr="00270770">
        <w:rPr>
          <w:rFonts w:ascii="Arial Narrow" w:hAnsi="Arial Narrow"/>
          <w:sz w:val="24"/>
          <w:szCs w:val="24"/>
        </w:rPr>
        <w:t>, espe</w:t>
      </w:r>
      <w:r w:rsidR="0025106B" w:rsidRPr="00270770">
        <w:rPr>
          <w:rFonts w:ascii="Arial Narrow" w:hAnsi="Arial Narrow"/>
          <w:sz w:val="24"/>
          <w:szCs w:val="24"/>
        </w:rPr>
        <w:t>cially small and medium</w:t>
      </w:r>
      <w:r w:rsidRPr="00270770">
        <w:rPr>
          <w:rFonts w:ascii="Arial Narrow" w:hAnsi="Arial Narrow"/>
          <w:sz w:val="24"/>
          <w:szCs w:val="24"/>
        </w:rPr>
        <w:t xml:space="preserve"> sized companies</w:t>
      </w:r>
      <w:r w:rsidR="0025106B" w:rsidRPr="00270770">
        <w:rPr>
          <w:rFonts w:ascii="Arial Narrow" w:hAnsi="Arial Narrow"/>
          <w:sz w:val="24"/>
          <w:szCs w:val="24"/>
        </w:rPr>
        <w:t>.</w:t>
      </w:r>
      <w:r w:rsidRPr="00270770">
        <w:rPr>
          <w:rFonts w:ascii="Arial Narrow" w:hAnsi="Arial Narrow"/>
          <w:i/>
          <w:sz w:val="24"/>
          <w:szCs w:val="24"/>
        </w:rPr>
        <w:t xml:space="preserve"> </w:t>
      </w:r>
      <w:r w:rsidR="00C63C44" w:rsidRPr="00270770">
        <w:rPr>
          <w:rFonts w:ascii="Arial Narrow" w:hAnsi="Arial Narrow"/>
          <w:sz w:val="24"/>
          <w:szCs w:val="24"/>
        </w:rPr>
        <w:t xml:space="preserve">The interface </w:t>
      </w:r>
      <w:r w:rsidRPr="00270770">
        <w:rPr>
          <w:rFonts w:ascii="Arial Narrow" w:hAnsi="Arial Narrow"/>
          <w:sz w:val="24"/>
          <w:szCs w:val="24"/>
        </w:rPr>
        <w:t>of the system with South African Revenue Services</w:t>
      </w:r>
      <w:r w:rsidR="00C63C44" w:rsidRPr="00270770">
        <w:rPr>
          <w:rFonts w:ascii="Arial Narrow" w:hAnsi="Arial Narrow"/>
          <w:sz w:val="24"/>
          <w:szCs w:val="24"/>
        </w:rPr>
        <w:t>, the Companies and Intellectual Property Commission and the payroll sys</w:t>
      </w:r>
      <w:r w:rsidR="0025106B" w:rsidRPr="00270770">
        <w:rPr>
          <w:rFonts w:ascii="Arial Narrow" w:hAnsi="Arial Narrow"/>
          <w:sz w:val="24"/>
          <w:szCs w:val="24"/>
        </w:rPr>
        <w:t>tem</w:t>
      </w:r>
      <w:r w:rsidRPr="00270770">
        <w:rPr>
          <w:rFonts w:ascii="Arial Narrow" w:hAnsi="Arial Narrow"/>
          <w:sz w:val="24"/>
          <w:szCs w:val="24"/>
        </w:rPr>
        <w:t xml:space="preserve"> would ensure compliance of supplier</w:t>
      </w:r>
      <w:r w:rsidR="00C63C44" w:rsidRPr="00270770">
        <w:rPr>
          <w:rFonts w:ascii="Arial Narrow" w:hAnsi="Arial Narrow"/>
          <w:sz w:val="24"/>
          <w:szCs w:val="24"/>
        </w:rPr>
        <w:t xml:space="preserve"> tax and BEE sta</w:t>
      </w:r>
      <w:r w:rsidR="0025106B" w:rsidRPr="00270770">
        <w:rPr>
          <w:rFonts w:ascii="Arial Narrow" w:hAnsi="Arial Narrow"/>
          <w:sz w:val="24"/>
          <w:szCs w:val="24"/>
        </w:rPr>
        <w:t>tus</w:t>
      </w:r>
      <w:r w:rsidRPr="00270770">
        <w:rPr>
          <w:rFonts w:ascii="Arial Narrow" w:hAnsi="Arial Narrow"/>
          <w:sz w:val="24"/>
          <w:szCs w:val="24"/>
        </w:rPr>
        <w:t xml:space="preserve">. This approach would ensure that </w:t>
      </w:r>
      <w:r w:rsidR="00C63C44" w:rsidRPr="00270770">
        <w:rPr>
          <w:rFonts w:ascii="Arial Narrow" w:hAnsi="Arial Narrow"/>
          <w:sz w:val="24"/>
          <w:szCs w:val="24"/>
        </w:rPr>
        <w:t xml:space="preserve">public sector officials doing business with the state </w:t>
      </w:r>
      <w:r w:rsidRPr="00270770">
        <w:rPr>
          <w:rFonts w:ascii="Arial Narrow" w:hAnsi="Arial Narrow"/>
          <w:sz w:val="24"/>
          <w:szCs w:val="24"/>
        </w:rPr>
        <w:t xml:space="preserve">were </w:t>
      </w:r>
      <w:r w:rsidR="00C63C44" w:rsidRPr="00270770">
        <w:rPr>
          <w:rFonts w:ascii="Arial Narrow" w:hAnsi="Arial Narrow"/>
          <w:sz w:val="24"/>
          <w:szCs w:val="24"/>
        </w:rPr>
        <w:t>identi</w:t>
      </w:r>
      <w:r w:rsidR="0025106B" w:rsidRPr="00270770">
        <w:rPr>
          <w:rFonts w:ascii="Arial Narrow" w:hAnsi="Arial Narrow"/>
          <w:sz w:val="24"/>
          <w:szCs w:val="24"/>
        </w:rPr>
        <w:t>fied</w:t>
      </w:r>
      <w:r w:rsidRPr="00270770">
        <w:rPr>
          <w:rFonts w:ascii="Arial Narrow" w:hAnsi="Arial Narrow"/>
          <w:sz w:val="24"/>
          <w:szCs w:val="24"/>
        </w:rPr>
        <w:t xml:space="preserve"> and rooted out</w:t>
      </w:r>
      <w:r w:rsidR="0025106B" w:rsidRPr="00270770">
        <w:rPr>
          <w:rFonts w:ascii="Arial Narrow" w:hAnsi="Arial Narrow"/>
          <w:sz w:val="24"/>
          <w:szCs w:val="24"/>
        </w:rPr>
        <w:t>.</w:t>
      </w:r>
    </w:p>
    <w:p w:rsidR="00975FBA" w:rsidRPr="00270770" w:rsidRDefault="00975FBA" w:rsidP="00975FBA">
      <w:pPr>
        <w:spacing w:line="360" w:lineRule="auto"/>
        <w:jc w:val="both"/>
        <w:rPr>
          <w:rFonts w:ascii="Arial Narrow" w:hAnsi="Arial Narrow"/>
          <w:sz w:val="24"/>
          <w:szCs w:val="24"/>
        </w:rPr>
      </w:pPr>
    </w:p>
    <w:p w:rsidR="00891396" w:rsidRPr="00270770" w:rsidRDefault="00975FBA" w:rsidP="00975FBA">
      <w:pPr>
        <w:spacing w:line="360" w:lineRule="auto"/>
        <w:jc w:val="both"/>
        <w:rPr>
          <w:rFonts w:ascii="Arial Narrow" w:hAnsi="Arial Narrow"/>
          <w:i/>
          <w:sz w:val="24"/>
          <w:szCs w:val="24"/>
        </w:rPr>
      </w:pPr>
      <w:r w:rsidRPr="00270770">
        <w:rPr>
          <w:rFonts w:ascii="Arial Narrow" w:hAnsi="Arial Narrow"/>
          <w:sz w:val="24"/>
          <w:szCs w:val="24"/>
        </w:rPr>
        <w:t xml:space="preserve">Research clearly indicates that procurement and </w:t>
      </w:r>
      <w:r w:rsidR="00C63C44" w:rsidRPr="00270770">
        <w:rPr>
          <w:rFonts w:ascii="Arial Narrow" w:hAnsi="Arial Narrow"/>
          <w:sz w:val="24"/>
          <w:szCs w:val="24"/>
        </w:rPr>
        <w:t>central</w:t>
      </w:r>
      <w:r w:rsidRPr="00270770">
        <w:rPr>
          <w:rFonts w:ascii="Arial Narrow" w:hAnsi="Arial Narrow"/>
          <w:sz w:val="24"/>
          <w:szCs w:val="24"/>
        </w:rPr>
        <w:t>isation</w:t>
      </w:r>
      <w:r w:rsidR="00C63C44" w:rsidRPr="00270770">
        <w:rPr>
          <w:rFonts w:ascii="Arial Narrow" w:hAnsi="Arial Narrow"/>
          <w:sz w:val="24"/>
          <w:szCs w:val="24"/>
        </w:rPr>
        <w:t xml:space="preserve"> tender</w:t>
      </w:r>
      <w:r w:rsidRPr="00270770">
        <w:rPr>
          <w:rFonts w:ascii="Arial Narrow" w:hAnsi="Arial Narrow"/>
          <w:sz w:val="24"/>
          <w:szCs w:val="24"/>
        </w:rPr>
        <w:t xml:space="preserve">s are the appropriate </w:t>
      </w:r>
      <w:r w:rsidR="00806BB3" w:rsidRPr="00270770">
        <w:rPr>
          <w:rFonts w:ascii="Arial Narrow" w:hAnsi="Arial Narrow"/>
          <w:sz w:val="24"/>
          <w:szCs w:val="24"/>
        </w:rPr>
        <w:t>avenues</w:t>
      </w:r>
      <w:r w:rsidRPr="00270770">
        <w:rPr>
          <w:rFonts w:ascii="Arial Narrow" w:hAnsi="Arial Narrow"/>
          <w:sz w:val="24"/>
          <w:szCs w:val="24"/>
        </w:rPr>
        <w:t xml:space="preserve"> to follow if corruption </w:t>
      </w:r>
      <w:r w:rsidR="00764240">
        <w:rPr>
          <w:rFonts w:ascii="Arial Narrow" w:hAnsi="Arial Narrow"/>
          <w:sz w:val="24"/>
          <w:szCs w:val="24"/>
        </w:rPr>
        <w:t>is</w:t>
      </w:r>
      <w:r w:rsidR="00806BB3" w:rsidRPr="00270770">
        <w:rPr>
          <w:rFonts w:ascii="Arial Narrow" w:hAnsi="Arial Narrow"/>
          <w:sz w:val="24"/>
          <w:szCs w:val="24"/>
        </w:rPr>
        <w:t xml:space="preserve"> address</w:t>
      </w:r>
      <w:r w:rsidR="00764240">
        <w:rPr>
          <w:rFonts w:ascii="Arial Narrow" w:hAnsi="Arial Narrow"/>
          <w:sz w:val="24"/>
          <w:szCs w:val="24"/>
        </w:rPr>
        <w:t>ed</w:t>
      </w:r>
      <w:r w:rsidR="00806BB3" w:rsidRPr="00270770">
        <w:rPr>
          <w:rFonts w:ascii="Arial Narrow" w:hAnsi="Arial Narrow"/>
          <w:sz w:val="24"/>
          <w:szCs w:val="24"/>
        </w:rPr>
        <w:t xml:space="preserve"> in the public sector. </w:t>
      </w:r>
      <w:r w:rsidR="0025106B" w:rsidRPr="00270770">
        <w:rPr>
          <w:rFonts w:ascii="Arial Narrow" w:hAnsi="Arial Narrow"/>
          <w:sz w:val="24"/>
          <w:szCs w:val="24"/>
        </w:rPr>
        <w:t>It will be com</w:t>
      </w:r>
      <w:r w:rsidR="00C63C44" w:rsidRPr="00270770">
        <w:rPr>
          <w:rFonts w:ascii="Arial Narrow" w:hAnsi="Arial Narrow"/>
          <w:sz w:val="24"/>
          <w:szCs w:val="24"/>
        </w:rPr>
        <w:t>pulsory that all tenders be advertised on this por</w:t>
      </w:r>
      <w:r w:rsidR="0025106B" w:rsidRPr="00270770">
        <w:rPr>
          <w:rFonts w:ascii="Arial Narrow" w:hAnsi="Arial Narrow"/>
          <w:sz w:val="24"/>
          <w:szCs w:val="24"/>
        </w:rPr>
        <w:t>tal,</w:t>
      </w:r>
      <w:r w:rsidR="00891396" w:rsidRPr="00270770">
        <w:rPr>
          <w:rFonts w:ascii="Arial Narrow" w:hAnsi="Arial Narrow"/>
          <w:sz w:val="24"/>
          <w:szCs w:val="24"/>
        </w:rPr>
        <w:t xml:space="preserve"> </w:t>
      </w:r>
      <w:r w:rsidR="00C63C44" w:rsidRPr="00270770">
        <w:rPr>
          <w:rFonts w:ascii="Arial Narrow" w:hAnsi="Arial Narrow"/>
          <w:sz w:val="24"/>
          <w:szCs w:val="24"/>
        </w:rPr>
        <w:t>and all ten</w:t>
      </w:r>
      <w:r w:rsidR="00891396" w:rsidRPr="00270770">
        <w:rPr>
          <w:rFonts w:ascii="Arial Narrow" w:hAnsi="Arial Narrow"/>
          <w:sz w:val="24"/>
          <w:szCs w:val="24"/>
        </w:rPr>
        <w:t>der</w:t>
      </w:r>
      <w:r w:rsidR="00C63C44" w:rsidRPr="00270770">
        <w:rPr>
          <w:rFonts w:ascii="Arial Narrow" w:hAnsi="Arial Narrow"/>
          <w:sz w:val="24"/>
          <w:szCs w:val="24"/>
        </w:rPr>
        <w:t xml:space="preserve"> documents will be freely available there. </w:t>
      </w:r>
      <w:r w:rsidR="00806BB3" w:rsidRPr="00270770">
        <w:rPr>
          <w:rFonts w:ascii="Arial Narrow" w:hAnsi="Arial Narrow"/>
          <w:sz w:val="24"/>
          <w:szCs w:val="24"/>
        </w:rPr>
        <w:t>FEDUSA agree</w:t>
      </w:r>
      <w:r w:rsidR="00764240">
        <w:rPr>
          <w:rFonts w:ascii="Arial Narrow" w:hAnsi="Arial Narrow"/>
          <w:sz w:val="24"/>
          <w:szCs w:val="24"/>
        </w:rPr>
        <w:t>s</w:t>
      </w:r>
      <w:r w:rsidR="00806BB3" w:rsidRPr="00270770">
        <w:rPr>
          <w:rFonts w:ascii="Arial Narrow" w:hAnsi="Arial Narrow"/>
          <w:sz w:val="24"/>
          <w:szCs w:val="24"/>
        </w:rPr>
        <w:t xml:space="preserve"> that the t</w:t>
      </w:r>
      <w:r w:rsidR="00C63C44" w:rsidRPr="00270770">
        <w:rPr>
          <w:rFonts w:ascii="Arial Narrow" w:hAnsi="Arial Narrow"/>
          <w:sz w:val="24"/>
          <w:szCs w:val="24"/>
        </w:rPr>
        <w:t>ender advertisements in newspapers and the govern</w:t>
      </w:r>
      <w:r w:rsidR="00891396" w:rsidRPr="00270770">
        <w:rPr>
          <w:rFonts w:ascii="Arial Narrow" w:hAnsi="Arial Narrow"/>
          <w:sz w:val="24"/>
          <w:szCs w:val="24"/>
        </w:rPr>
        <w:t xml:space="preserve">ment gazette </w:t>
      </w:r>
      <w:r w:rsidR="00806BB3" w:rsidRPr="00270770">
        <w:rPr>
          <w:rFonts w:ascii="Arial Narrow" w:hAnsi="Arial Narrow"/>
          <w:sz w:val="24"/>
          <w:szCs w:val="24"/>
        </w:rPr>
        <w:t xml:space="preserve">be </w:t>
      </w:r>
      <w:r w:rsidR="00891396" w:rsidRPr="00270770">
        <w:rPr>
          <w:rFonts w:ascii="Arial Narrow" w:hAnsi="Arial Narrow"/>
          <w:sz w:val="24"/>
          <w:szCs w:val="24"/>
        </w:rPr>
        <w:t>phased out.</w:t>
      </w:r>
      <w:r w:rsidR="00806BB3" w:rsidRPr="00270770">
        <w:rPr>
          <w:rFonts w:ascii="Arial Narrow" w:hAnsi="Arial Narrow"/>
          <w:i/>
          <w:sz w:val="24"/>
          <w:szCs w:val="24"/>
        </w:rPr>
        <w:t xml:space="preserve"> </w:t>
      </w:r>
      <w:r w:rsidR="00891396" w:rsidRPr="00270770">
        <w:rPr>
          <w:rFonts w:ascii="Arial Narrow" w:hAnsi="Arial Narrow"/>
          <w:sz w:val="24"/>
          <w:szCs w:val="24"/>
        </w:rPr>
        <w:t>The non</w:t>
      </w:r>
      <w:r w:rsidR="00806BB3" w:rsidRPr="00270770">
        <w:rPr>
          <w:rFonts w:ascii="Arial Narrow" w:hAnsi="Arial Narrow"/>
          <w:sz w:val="24"/>
          <w:szCs w:val="24"/>
        </w:rPr>
        <w:t>-</w:t>
      </w:r>
      <w:r w:rsidR="00C63C44" w:rsidRPr="00270770">
        <w:rPr>
          <w:rFonts w:ascii="Arial Narrow" w:hAnsi="Arial Narrow"/>
          <w:sz w:val="24"/>
          <w:szCs w:val="24"/>
        </w:rPr>
        <w:t>payment of suppliers on time is a perennial problem that needs serious attention. This prac</w:t>
      </w:r>
      <w:r w:rsidR="00891396" w:rsidRPr="00270770">
        <w:rPr>
          <w:rFonts w:ascii="Arial Narrow" w:hAnsi="Arial Narrow"/>
          <w:sz w:val="24"/>
          <w:szCs w:val="24"/>
        </w:rPr>
        <w:t>tice works agai</w:t>
      </w:r>
      <w:r w:rsidR="00C63C44" w:rsidRPr="00270770">
        <w:rPr>
          <w:rFonts w:ascii="Arial Narrow" w:hAnsi="Arial Narrow"/>
          <w:sz w:val="24"/>
          <w:szCs w:val="24"/>
        </w:rPr>
        <w:t>nst government’s efforts to grow the economy and de</w:t>
      </w:r>
      <w:r w:rsidR="00891396" w:rsidRPr="00270770">
        <w:rPr>
          <w:rFonts w:ascii="Arial Narrow" w:hAnsi="Arial Narrow"/>
          <w:sz w:val="24"/>
          <w:szCs w:val="24"/>
        </w:rPr>
        <w:t>velop the small and medium</w:t>
      </w:r>
      <w:r w:rsidR="00C63C44" w:rsidRPr="00270770">
        <w:rPr>
          <w:rFonts w:ascii="Arial Narrow" w:hAnsi="Arial Narrow"/>
          <w:sz w:val="24"/>
          <w:szCs w:val="24"/>
        </w:rPr>
        <w:t xml:space="preserve"> sized enterprises sec</w:t>
      </w:r>
      <w:r w:rsidR="00891396" w:rsidRPr="00270770">
        <w:rPr>
          <w:rFonts w:ascii="Arial Narrow" w:hAnsi="Arial Narrow"/>
          <w:sz w:val="24"/>
          <w:szCs w:val="24"/>
        </w:rPr>
        <w:t>tor.</w:t>
      </w:r>
      <w:r w:rsidR="00806BB3" w:rsidRPr="00270770">
        <w:rPr>
          <w:rFonts w:ascii="Arial Narrow" w:hAnsi="Arial Narrow"/>
          <w:i/>
          <w:sz w:val="24"/>
          <w:szCs w:val="24"/>
        </w:rPr>
        <w:t xml:space="preserve"> </w:t>
      </w:r>
      <w:r w:rsidR="00C63C44" w:rsidRPr="00270770">
        <w:rPr>
          <w:rFonts w:ascii="Arial Narrow" w:hAnsi="Arial Narrow"/>
          <w:sz w:val="24"/>
          <w:szCs w:val="24"/>
        </w:rPr>
        <w:t>Payment of suppli</w:t>
      </w:r>
      <w:r w:rsidR="00891396" w:rsidRPr="00270770">
        <w:rPr>
          <w:rFonts w:ascii="Arial Narrow" w:hAnsi="Arial Narrow"/>
          <w:sz w:val="24"/>
          <w:szCs w:val="24"/>
        </w:rPr>
        <w:t>er</w:t>
      </w:r>
      <w:r w:rsidR="00C63C44" w:rsidRPr="00270770">
        <w:rPr>
          <w:rFonts w:ascii="Arial Narrow" w:hAnsi="Arial Narrow"/>
          <w:sz w:val="24"/>
          <w:szCs w:val="24"/>
        </w:rPr>
        <w:t>s within 30 days will now be included among other supply chain management require</w:t>
      </w:r>
      <w:r w:rsidR="00891396" w:rsidRPr="00270770">
        <w:rPr>
          <w:rFonts w:ascii="Arial Narrow" w:hAnsi="Arial Narrow"/>
          <w:sz w:val="24"/>
          <w:szCs w:val="24"/>
        </w:rPr>
        <w:t>ments.</w:t>
      </w:r>
    </w:p>
    <w:p w:rsidR="00891396" w:rsidRPr="00270770" w:rsidRDefault="00891396" w:rsidP="006C080F">
      <w:pPr>
        <w:spacing w:line="360" w:lineRule="auto"/>
        <w:rPr>
          <w:rFonts w:ascii="Arial Narrow" w:hAnsi="Arial Narrow"/>
          <w:sz w:val="24"/>
          <w:szCs w:val="24"/>
        </w:rPr>
      </w:pPr>
    </w:p>
    <w:p w:rsidR="00891396" w:rsidRPr="00270770" w:rsidRDefault="00B32EFA" w:rsidP="00270770">
      <w:pPr>
        <w:pStyle w:val="Heading1"/>
      </w:pPr>
      <w:bookmarkStart w:id="17" w:name="_Toc413130785"/>
      <w:r w:rsidRPr="00B32EFA">
        <w:lastRenderedPageBreak/>
        <w:t>REVENUE, TAX MEASURES AND INCOME TAX</w:t>
      </w:r>
      <w:bookmarkEnd w:id="17"/>
    </w:p>
    <w:p w:rsidR="006C080F" w:rsidRPr="00270770" w:rsidRDefault="006C080F" w:rsidP="006C080F">
      <w:pPr>
        <w:spacing w:line="360" w:lineRule="auto"/>
        <w:rPr>
          <w:rFonts w:ascii="Arial Narrow" w:hAnsi="Arial Narrow"/>
          <w:sz w:val="24"/>
          <w:szCs w:val="24"/>
        </w:rPr>
      </w:pPr>
    </w:p>
    <w:p w:rsidR="00806BB3" w:rsidRPr="00270770" w:rsidRDefault="006C080F" w:rsidP="00806BB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Tax revenue will amount to R979bn in 2014/15, or about R14.7bn less than the budget estimate a year ago.</w:t>
      </w:r>
      <w:r w:rsidR="00806BB3" w:rsidRPr="00270770">
        <w:rPr>
          <w:rFonts w:ascii="Arial Narrow" w:eastAsia="Times New Roman" w:hAnsi="Arial Narrow" w:cs="Times New Roman"/>
          <w:color w:val="000000"/>
          <w:sz w:val="24"/>
          <w:szCs w:val="24"/>
          <w:lang w:eastAsia="en-ZA"/>
        </w:rPr>
        <w:t xml:space="preserve"> </w:t>
      </w:r>
      <w:r w:rsidRPr="00270770">
        <w:rPr>
          <w:rFonts w:ascii="Arial Narrow" w:eastAsia="Times New Roman" w:hAnsi="Arial Narrow" w:cs="Times New Roman"/>
          <w:color w:val="000000"/>
          <w:sz w:val="24"/>
          <w:szCs w:val="24"/>
          <w:lang w:eastAsia="en-ZA"/>
        </w:rPr>
        <w:t xml:space="preserve">Personal income tax remains a </w:t>
      </w:r>
      <w:r w:rsidR="00806BB3" w:rsidRPr="00270770">
        <w:rPr>
          <w:rFonts w:ascii="Arial Narrow" w:eastAsia="Times New Roman" w:hAnsi="Arial Narrow" w:cs="Times New Roman"/>
          <w:color w:val="000000"/>
          <w:sz w:val="24"/>
          <w:szCs w:val="24"/>
          <w:lang w:eastAsia="en-ZA"/>
        </w:rPr>
        <w:t>resilient</w:t>
      </w:r>
      <w:r w:rsidRPr="00270770">
        <w:rPr>
          <w:rFonts w:ascii="Arial Narrow" w:eastAsia="Times New Roman" w:hAnsi="Arial Narrow" w:cs="Times New Roman"/>
          <w:color w:val="000000"/>
          <w:sz w:val="24"/>
          <w:szCs w:val="24"/>
          <w:lang w:eastAsia="en-ZA"/>
        </w:rPr>
        <w:t xml:space="preserve"> source of revenue, but the slowdown in business conditions is reflected in lower than company </w:t>
      </w:r>
      <w:r w:rsidR="00806BB3" w:rsidRPr="00270770">
        <w:rPr>
          <w:rFonts w:ascii="Arial Narrow" w:eastAsia="Times New Roman" w:hAnsi="Arial Narrow" w:cs="Times New Roman"/>
          <w:color w:val="000000"/>
          <w:sz w:val="24"/>
          <w:szCs w:val="24"/>
          <w:lang w:eastAsia="en-ZA"/>
        </w:rPr>
        <w:t>tax;</w:t>
      </w:r>
      <w:r w:rsidRPr="00270770">
        <w:rPr>
          <w:rFonts w:ascii="Arial Narrow" w:eastAsia="Times New Roman" w:hAnsi="Arial Narrow" w:cs="Times New Roman"/>
          <w:color w:val="000000"/>
          <w:sz w:val="24"/>
          <w:szCs w:val="24"/>
          <w:lang w:eastAsia="en-ZA"/>
        </w:rPr>
        <w:t xml:space="preserve"> value added tax and customs revenue.</w:t>
      </w:r>
      <w:r w:rsidR="00806BB3" w:rsidRPr="00270770">
        <w:rPr>
          <w:rFonts w:ascii="Arial Narrow" w:eastAsia="Times New Roman" w:hAnsi="Arial Narrow" w:cs="Times New Roman"/>
          <w:color w:val="000000"/>
          <w:sz w:val="24"/>
          <w:szCs w:val="24"/>
          <w:lang w:eastAsia="en-ZA"/>
        </w:rPr>
        <w:t xml:space="preserve"> </w:t>
      </w:r>
      <w:r w:rsidRPr="00270770">
        <w:rPr>
          <w:rFonts w:ascii="Arial Narrow" w:eastAsia="Times New Roman" w:hAnsi="Arial Narrow" w:cs="Times New Roman"/>
          <w:color w:val="000000"/>
          <w:sz w:val="24"/>
          <w:szCs w:val="24"/>
          <w:lang w:eastAsia="en-ZA"/>
        </w:rPr>
        <w:t xml:space="preserve">The 2015 Budget tax proposals aim to increase tax revenues as required, limit the erosion of the corporate tax base, increase incentives for small businesses and promote a greener economy. </w:t>
      </w:r>
    </w:p>
    <w:p w:rsidR="00806BB3" w:rsidRPr="00270770" w:rsidRDefault="00806BB3" w:rsidP="00806BB3">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806BB3" w:rsidP="00806BB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P</w:t>
      </w:r>
      <w:r w:rsidR="006C080F" w:rsidRPr="00270770">
        <w:rPr>
          <w:rFonts w:ascii="Arial Narrow" w:eastAsia="Times New Roman" w:hAnsi="Arial Narrow" w:cs="Times New Roman"/>
          <w:color w:val="000000"/>
          <w:sz w:val="24"/>
          <w:szCs w:val="24"/>
          <w:lang w:eastAsia="en-ZA"/>
        </w:rPr>
        <w:t>ersonal income tax rates will be raised by one percentage point for all taxpayers earning more than R181 900 a year</w:t>
      </w:r>
      <w:r w:rsidRPr="00270770">
        <w:rPr>
          <w:rFonts w:ascii="Arial Narrow" w:eastAsia="Times New Roman" w:hAnsi="Arial Narrow" w:cs="Times New Roman"/>
          <w:color w:val="000000"/>
          <w:sz w:val="24"/>
          <w:szCs w:val="24"/>
          <w:lang w:eastAsia="en-ZA"/>
        </w:rPr>
        <w:t>, which is approximately</w:t>
      </w:r>
      <w:r w:rsidR="006C080F" w:rsidRPr="00270770">
        <w:rPr>
          <w:rFonts w:ascii="Arial Narrow" w:eastAsia="Times New Roman" w:hAnsi="Arial Narrow" w:cs="Times New Roman"/>
          <w:color w:val="000000"/>
          <w:sz w:val="24"/>
          <w:szCs w:val="24"/>
          <w:lang w:eastAsia="en-ZA"/>
        </w:rPr>
        <w:t xml:space="preserve"> R21 a month for a taxpayer below age 65 with an annual income of R200 000.</w:t>
      </w:r>
      <w:r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Those earning R500 000 would pay R271 a month more, and at R1.5m a year the tax increase is R1 105 a month.</w:t>
      </w:r>
      <w:r w:rsidR="00103F89" w:rsidRPr="00270770">
        <w:rPr>
          <w:rFonts w:ascii="Arial Narrow" w:eastAsia="Times New Roman" w:hAnsi="Arial Narrow" w:cs="Times New Roman"/>
          <w:color w:val="000000"/>
          <w:sz w:val="24"/>
          <w:szCs w:val="24"/>
          <w:lang w:eastAsia="en-ZA"/>
        </w:rPr>
        <w:t xml:space="preserve"> </w:t>
      </w:r>
      <w:r w:rsidRPr="00270770">
        <w:rPr>
          <w:rFonts w:ascii="Arial Narrow" w:eastAsia="Times New Roman" w:hAnsi="Arial Narrow" w:cs="Times New Roman"/>
          <w:color w:val="000000"/>
          <w:sz w:val="24"/>
          <w:szCs w:val="24"/>
          <w:lang w:eastAsia="en-ZA"/>
        </w:rPr>
        <w:t>FEDUSA welcomes the a</w:t>
      </w:r>
      <w:r w:rsidR="00450CFA" w:rsidRPr="00270770">
        <w:rPr>
          <w:rFonts w:ascii="Arial Narrow" w:eastAsia="Times New Roman" w:hAnsi="Arial Narrow" w:cs="Times New Roman"/>
          <w:color w:val="000000"/>
          <w:sz w:val="24"/>
          <w:szCs w:val="24"/>
          <w:lang w:eastAsia="en-ZA"/>
        </w:rPr>
        <w:t xml:space="preserve">djustments to make provision </w:t>
      </w:r>
      <w:r w:rsidR="00764240">
        <w:rPr>
          <w:rFonts w:ascii="Arial Narrow" w:eastAsia="Times New Roman" w:hAnsi="Arial Narrow" w:cs="Times New Roman"/>
          <w:color w:val="000000"/>
          <w:sz w:val="24"/>
          <w:szCs w:val="24"/>
          <w:lang w:eastAsia="en-ZA"/>
        </w:rPr>
        <w:t xml:space="preserve">for </w:t>
      </w:r>
      <w:r w:rsidR="00450CFA" w:rsidRPr="00270770">
        <w:rPr>
          <w:rFonts w:ascii="Arial Narrow" w:eastAsia="Times New Roman" w:hAnsi="Arial Narrow" w:cs="Times New Roman"/>
          <w:color w:val="000000"/>
          <w:sz w:val="24"/>
          <w:szCs w:val="24"/>
          <w:lang w:eastAsia="en-ZA"/>
        </w:rPr>
        <w:t>tax bracket creep</w:t>
      </w:r>
      <w:r w:rsidR="006C080F" w:rsidRPr="00270770">
        <w:rPr>
          <w:rFonts w:ascii="Arial Narrow" w:eastAsia="Times New Roman" w:hAnsi="Arial Narrow" w:cs="Times New Roman"/>
          <w:color w:val="000000"/>
          <w:sz w:val="24"/>
          <w:szCs w:val="24"/>
          <w:lang w:eastAsia="en-ZA"/>
        </w:rPr>
        <w:t>, rebates and medical scheme contribution credits</w:t>
      </w:r>
      <w:r w:rsidR="00450CFA"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The net effect is that there will be tax relief below about R450 000 a year, while those with higher incomes will pay more in tax.</w:t>
      </w:r>
    </w:p>
    <w:p w:rsidR="00450CFA" w:rsidRPr="00270770" w:rsidRDefault="00450CFA" w:rsidP="00806BB3">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EF4734" w:rsidP="00806BB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 supports the</w:t>
      </w:r>
      <w:r w:rsidR="006C080F" w:rsidRPr="00270770">
        <w:rPr>
          <w:rFonts w:ascii="Arial Narrow" w:eastAsia="Times New Roman" w:hAnsi="Arial Narrow" w:cs="Times New Roman"/>
          <w:color w:val="000000"/>
          <w:sz w:val="24"/>
          <w:szCs w:val="24"/>
          <w:lang w:eastAsia="en-ZA"/>
        </w:rPr>
        <w:t xml:space="preserve"> recommendations of the Davis Committee</w:t>
      </w:r>
      <w:r w:rsidRPr="00270770">
        <w:rPr>
          <w:rFonts w:ascii="Arial Narrow" w:eastAsia="Times New Roman" w:hAnsi="Arial Narrow" w:cs="Times New Roman"/>
          <w:color w:val="000000"/>
          <w:sz w:val="24"/>
          <w:szCs w:val="24"/>
          <w:lang w:eastAsia="en-ZA"/>
        </w:rPr>
        <w:t xml:space="preserve"> that it is important to provide </w:t>
      </w:r>
      <w:r w:rsidR="006C080F" w:rsidRPr="00270770">
        <w:rPr>
          <w:rFonts w:ascii="Arial Narrow" w:eastAsia="Times New Roman" w:hAnsi="Arial Narrow" w:cs="Times New Roman"/>
          <w:color w:val="000000"/>
          <w:sz w:val="24"/>
          <w:szCs w:val="24"/>
          <w:lang w:eastAsia="en-ZA"/>
        </w:rPr>
        <w:t xml:space="preserve">a more generous tax regime </w:t>
      </w:r>
      <w:r w:rsidRPr="00270770">
        <w:rPr>
          <w:rFonts w:ascii="Arial Narrow" w:eastAsia="Times New Roman" w:hAnsi="Arial Narrow" w:cs="Times New Roman"/>
          <w:color w:val="000000"/>
          <w:sz w:val="24"/>
          <w:szCs w:val="24"/>
          <w:lang w:eastAsia="en-ZA"/>
        </w:rPr>
        <w:t xml:space="preserve">for small </w:t>
      </w:r>
      <w:r w:rsidR="006C080F" w:rsidRPr="00270770">
        <w:rPr>
          <w:rFonts w:ascii="Arial Narrow" w:eastAsia="Times New Roman" w:hAnsi="Arial Narrow" w:cs="Times New Roman"/>
          <w:color w:val="000000"/>
          <w:sz w:val="24"/>
          <w:szCs w:val="24"/>
          <w:lang w:eastAsia="en-ZA"/>
        </w:rPr>
        <w:t>businesses with a turnover below R1m a year</w:t>
      </w:r>
      <w:r w:rsidRPr="00270770">
        <w:rPr>
          <w:rFonts w:ascii="Arial Narrow" w:eastAsia="Times New Roman" w:hAnsi="Arial Narrow" w:cs="Times New Roman"/>
          <w:color w:val="000000"/>
          <w:sz w:val="24"/>
          <w:szCs w:val="24"/>
          <w:lang w:eastAsia="en-ZA"/>
        </w:rPr>
        <w:t xml:space="preserve"> as it may assist employment creation</w:t>
      </w:r>
      <w:r w:rsidR="006C080F" w:rsidRPr="00270770">
        <w:rPr>
          <w:rFonts w:ascii="Arial Narrow" w:eastAsia="Times New Roman" w:hAnsi="Arial Narrow" w:cs="Times New Roman"/>
          <w:color w:val="000000"/>
          <w:sz w:val="24"/>
          <w:szCs w:val="24"/>
          <w:lang w:eastAsia="en-ZA"/>
        </w:rPr>
        <w:t>.</w:t>
      </w:r>
      <w:r w:rsidRPr="00270770">
        <w:rPr>
          <w:rFonts w:ascii="Arial Narrow" w:eastAsia="Times New Roman" w:hAnsi="Arial Narrow" w:cs="Times New Roman"/>
          <w:color w:val="000000"/>
          <w:sz w:val="24"/>
          <w:szCs w:val="24"/>
          <w:lang w:eastAsia="en-ZA"/>
        </w:rPr>
        <w:t xml:space="preserve"> The Federation is not oppose</w:t>
      </w:r>
      <w:r w:rsidR="00764240">
        <w:rPr>
          <w:rFonts w:ascii="Arial Narrow" w:eastAsia="Times New Roman" w:hAnsi="Arial Narrow" w:cs="Times New Roman"/>
          <w:color w:val="000000"/>
          <w:sz w:val="24"/>
          <w:szCs w:val="24"/>
          <w:lang w:eastAsia="en-ZA"/>
        </w:rPr>
        <w:t>d</w:t>
      </w:r>
      <w:r w:rsidRPr="00270770">
        <w:rPr>
          <w:rFonts w:ascii="Arial Narrow" w:eastAsia="Times New Roman" w:hAnsi="Arial Narrow" w:cs="Times New Roman"/>
          <w:color w:val="000000"/>
          <w:sz w:val="24"/>
          <w:szCs w:val="24"/>
          <w:lang w:eastAsia="en-ZA"/>
        </w:rPr>
        <w:t xml:space="preserve"> to granting </w:t>
      </w:r>
      <w:r w:rsidR="006C080F" w:rsidRPr="00270770">
        <w:rPr>
          <w:rFonts w:ascii="Arial Narrow" w:eastAsia="Times New Roman" w:hAnsi="Arial Narrow" w:cs="Times New Roman"/>
          <w:color w:val="000000"/>
          <w:sz w:val="24"/>
          <w:szCs w:val="24"/>
          <w:lang w:eastAsia="en-ZA"/>
        </w:rPr>
        <w:t>businesses with a turnover below R335 000 a year</w:t>
      </w:r>
      <w:r w:rsidRPr="00270770">
        <w:rPr>
          <w:rFonts w:ascii="Arial Narrow" w:eastAsia="Times New Roman" w:hAnsi="Arial Narrow" w:cs="Times New Roman"/>
          <w:color w:val="000000"/>
          <w:sz w:val="24"/>
          <w:szCs w:val="24"/>
          <w:lang w:eastAsia="en-ZA"/>
        </w:rPr>
        <w:t xml:space="preserve"> with an tax exception status provided that these companies complies with </w:t>
      </w:r>
      <w:r w:rsidR="00103F89" w:rsidRPr="00270770">
        <w:rPr>
          <w:rFonts w:ascii="Arial Narrow" w:eastAsia="Times New Roman" w:hAnsi="Arial Narrow" w:cs="Times New Roman"/>
          <w:color w:val="000000"/>
          <w:sz w:val="24"/>
          <w:szCs w:val="24"/>
          <w:lang w:eastAsia="en-ZA"/>
        </w:rPr>
        <w:t>all legislative requirements, and that</w:t>
      </w:r>
      <w:r w:rsidR="006C080F" w:rsidRPr="00270770">
        <w:rPr>
          <w:rFonts w:ascii="Arial Narrow" w:eastAsia="Times New Roman" w:hAnsi="Arial Narrow" w:cs="Times New Roman"/>
          <w:color w:val="000000"/>
          <w:sz w:val="24"/>
          <w:szCs w:val="24"/>
          <w:lang w:eastAsia="en-ZA"/>
        </w:rPr>
        <w:t xml:space="preserve"> maximum </w:t>
      </w:r>
      <w:r w:rsidR="00103F89" w:rsidRPr="00270770">
        <w:rPr>
          <w:rFonts w:ascii="Arial Narrow" w:eastAsia="Times New Roman" w:hAnsi="Arial Narrow" w:cs="Times New Roman"/>
          <w:color w:val="000000"/>
          <w:sz w:val="24"/>
          <w:szCs w:val="24"/>
          <w:lang w:eastAsia="en-ZA"/>
        </w:rPr>
        <w:t xml:space="preserve">tax </w:t>
      </w:r>
      <w:r w:rsidR="006C080F" w:rsidRPr="00270770">
        <w:rPr>
          <w:rFonts w:ascii="Arial Narrow" w:eastAsia="Times New Roman" w:hAnsi="Arial Narrow" w:cs="Times New Roman"/>
          <w:color w:val="000000"/>
          <w:sz w:val="24"/>
          <w:szCs w:val="24"/>
          <w:lang w:eastAsia="en-ZA"/>
        </w:rPr>
        <w:t>rate is red</w:t>
      </w:r>
      <w:r w:rsidR="00103F89" w:rsidRPr="00270770">
        <w:rPr>
          <w:rFonts w:ascii="Arial Narrow" w:eastAsia="Times New Roman" w:hAnsi="Arial Narrow" w:cs="Times New Roman"/>
          <w:color w:val="000000"/>
          <w:sz w:val="24"/>
          <w:szCs w:val="24"/>
          <w:lang w:eastAsia="en-ZA"/>
        </w:rPr>
        <w:t>uced from 6 percent to 3%</w:t>
      </w:r>
      <w:r w:rsidR="006C080F" w:rsidRPr="00270770">
        <w:rPr>
          <w:rFonts w:ascii="Arial Narrow" w:eastAsia="Times New Roman" w:hAnsi="Arial Narrow" w:cs="Times New Roman"/>
          <w:color w:val="000000"/>
          <w:sz w:val="24"/>
          <w:szCs w:val="24"/>
          <w:lang w:eastAsia="en-ZA"/>
        </w:rPr>
        <w:t>.</w:t>
      </w:r>
      <w:r w:rsidR="00103F89" w:rsidRPr="00270770">
        <w:rPr>
          <w:rFonts w:ascii="Arial Narrow" w:eastAsia="Times New Roman" w:hAnsi="Arial Narrow" w:cs="Times New Roman"/>
          <w:color w:val="000000"/>
          <w:sz w:val="24"/>
          <w:szCs w:val="24"/>
          <w:lang w:eastAsia="en-ZA"/>
        </w:rPr>
        <w:t xml:space="preserve"> The establishment of a small business desk</w:t>
      </w:r>
      <w:r w:rsidR="006C080F" w:rsidRPr="00270770">
        <w:rPr>
          <w:rFonts w:ascii="Arial Narrow" w:eastAsia="Times New Roman" w:hAnsi="Arial Narrow" w:cs="Times New Roman"/>
          <w:color w:val="000000"/>
          <w:sz w:val="24"/>
          <w:szCs w:val="24"/>
          <w:lang w:eastAsia="en-ZA"/>
        </w:rPr>
        <w:t xml:space="preserve"> in </w:t>
      </w:r>
      <w:r w:rsidR="00103F89" w:rsidRPr="00270770">
        <w:rPr>
          <w:rFonts w:ascii="Arial Narrow" w:eastAsia="Times New Roman" w:hAnsi="Arial Narrow" w:cs="Times New Roman"/>
          <w:color w:val="000000"/>
          <w:sz w:val="24"/>
          <w:szCs w:val="24"/>
          <w:lang w:eastAsia="en-ZA"/>
        </w:rPr>
        <w:t xml:space="preserve">SARS could assist and support the small business constituency </w:t>
      </w:r>
      <w:r w:rsidR="006C080F" w:rsidRPr="00270770">
        <w:rPr>
          <w:rFonts w:ascii="Arial Narrow" w:eastAsia="Times New Roman" w:hAnsi="Arial Narrow" w:cs="Times New Roman"/>
          <w:color w:val="000000"/>
          <w:sz w:val="24"/>
          <w:szCs w:val="24"/>
          <w:lang w:eastAsia="en-ZA"/>
        </w:rPr>
        <w:t xml:space="preserve">tax </w:t>
      </w:r>
      <w:r w:rsidR="00103F89" w:rsidRPr="00270770">
        <w:rPr>
          <w:rFonts w:ascii="Arial Narrow" w:eastAsia="Times New Roman" w:hAnsi="Arial Narrow" w:cs="Times New Roman"/>
          <w:color w:val="000000"/>
          <w:sz w:val="24"/>
          <w:szCs w:val="24"/>
          <w:lang w:eastAsia="en-ZA"/>
        </w:rPr>
        <w:t xml:space="preserve">compliance and reduce the administrative burden for SMMEs. </w:t>
      </w:r>
    </w:p>
    <w:p w:rsidR="00270770" w:rsidRDefault="00270770" w:rsidP="00806BB3">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6C080F" w:rsidP="00806BB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The </w:t>
      </w:r>
      <w:r w:rsidR="00103F89" w:rsidRPr="00270770">
        <w:rPr>
          <w:rFonts w:ascii="Arial Narrow" w:eastAsia="Times New Roman" w:hAnsi="Arial Narrow" w:cs="Times New Roman"/>
          <w:color w:val="000000"/>
          <w:sz w:val="24"/>
          <w:szCs w:val="24"/>
          <w:lang w:eastAsia="en-ZA"/>
        </w:rPr>
        <w:t xml:space="preserve">reduction and adjustments of the </w:t>
      </w:r>
      <w:r w:rsidRPr="00270770">
        <w:rPr>
          <w:rFonts w:ascii="Arial Narrow" w:eastAsia="Times New Roman" w:hAnsi="Arial Narrow" w:cs="Times New Roman"/>
          <w:color w:val="000000"/>
          <w:sz w:val="24"/>
          <w:szCs w:val="24"/>
          <w:lang w:eastAsia="en-ZA"/>
        </w:rPr>
        <w:t>rates and brackets for transfer dut</w:t>
      </w:r>
      <w:r w:rsidR="00103F89" w:rsidRPr="00270770">
        <w:rPr>
          <w:rFonts w:ascii="Arial Narrow" w:eastAsia="Times New Roman" w:hAnsi="Arial Narrow" w:cs="Times New Roman"/>
          <w:color w:val="000000"/>
          <w:sz w:val="24"/>
          <w:szCs w:val="24"/>
          <w:lang w:eastAsia="en-ZA"/>
        </w:rPr>
        <w:t>ies on the sale of property could</w:t>
      </w:r>
      <w:r w:rsidRPr="00270770">
        <w:rPr>
          <w:rFonts w:ascii="Arial Narrow" w:eastAsia="Times New Roman" w:hAnsi="Arial Narrow" w:cs="Times New Roman"/>
          <w:color w:val="000000"/>
          <w:sz w:val="24"/>
          <w:szCs w:val="24"/>
          <w:lang w:eastAsia="en-ZA"/>
        </w:rPr>
        <w:t xml:space="preserve"> to provide </w:t>
      </w:r>
      <w:r w:rsidR="00103F89" w:rsidRPr="00270770">
        <w:rPr>
          <w:rFonts w:ascii="Arial Narrow" w:eastAsia="Times New Roman" w:hAnsi="Arial Narrow" w:cs="Times New Roman"/>
          <w:color w:val="000000"/>
          <w:sz w:val="24"/>
          <w:szCs w:val="24"/>
          <w:lang w:eastAsia="en-ZA"/>
        </w:rPr>
        <w:t xml:space="preserve">tax </w:t>
      </w:r>
      <w:r w:rsidRPr="00270770">
        <w:rPr>
          <w:rFonts w:ascii="Arial Narrow" w:eastAsia="Times New Roman" w:hAnsi="Arial Narrow" w:cs="Times New Roman"/>
          <w:color w:val="000000"/>
          <w:sz w:val="24"/>
          <w:szCs w:val="24"/>
          <w:lang w:eastAsia="en-ZA"/>
        </w:rPr>
        <w:t xml:space="preserve">relief to </w:t>
      </w:r>
      <w:r w:rsidR="00103F89" w:rsidRPr="00270770">
        <w:rPr>
          <w:rFonts w:ascii="Arial Narrow" w:eastAsia="Times New Roman" w:hAnsi="Arial Narrow" w:cs="Times New Roman"/>
          <w:color w:val="000000"/>
          <w:sz w:val="24"/>
          <w:szCs w:val="24"/>
          <w:lang w:eastAsia="en-ZA"/>
        </w:rPr>
        <w:t>low and middle-income</w:t>
      </w:r>
      <w:r w:rsidRPr="00270770">
        <w:rPr>
          <w:rFonts w:ascii="Arial Narrow" w:eastAsia="Times New Roman" w:hAnsi="Arial Narrow" w:cs="Times New Roman"/>
          <w:color w:val="000000"/>
          <w:sz w:val="24"/>
          <w:szCs w:val="24"/>
          <w:lang w:eastAsia="en-ZA"/>
        </w:rPr>
        <w:t xml:space="preserve"> households.</w:t>
      </w:r>
      <w:r w:rsidR="00103F89" w:rsidRPr="00270770">
        <w:rPr>
          <w:rFonts w:ascii="Arial Narrow" w:eastAsia="Times New Roman" w:hAnsi="Arial Narrow" w:cs="Times New Roman"/>
          <w:color w:val="000000"/>
          <w:sz w:val="24"/>
          <w:szCs w:val="24"/>
          <w:lang w:eastAsia="en-ZA"/>
        </w:rPr>
        <w:t xml:space="preserve"> </w:t>
      </w:r>
      <w:r w:rsidRPr="00270770">
        <w:rPr>
          <w:rFonts w:ascii="Arial Narrow" w:eastAsia="Times New Roman" w:hAnsi="Arial Narrow" w:cs="Times New Roman"/>
          <w:color w:val="000000"/>
          <w:sz w:val="24"/>
          <w:szCs w:val="24"/>
          <w:lang w:eastAsia="en-ZA"/>
        </w:rPr>
        <w:t xml:space="preserve">The new rates </w:t>
      </w:r>
      <w:r w:rsidR="00103F89" w:rsidRPr="00270770">
        <w:rPr>
          <w:rFonts w:ascii="Arial Narrow" w:eastAsia="Times New Roman" w:hAnsi="Arial Narrow" w:cs="Times New Roman"/>
          <w:color w:val="000000"/>
          <w:sz w:val="24"/>
          <w:szCs w:val="24"/>
          <w:lang w:eastAsia="en-ZA"/>
        </w:rPr>
        <w:t>will eliminate transfer duties</w:t>
      </w:r>
      <w:r w:rsidRPr="00270770">
        <w:rPr>
          <w:rFonts w:ascii="Arial Narrow" w:eastAsia="Times New Roman" w:hAnsi="Arial Narrow" w:cs="Times New Roman"/>
          <w:color w:val="000000"/>
          <w:sz w:val="24"/>
          <w:szCs w:val="24"/>
          <w:lang w:eastAsia="en-ZA"/>
        </w:rPr>
        <w:t xml:space="preserve"> on properties below R750 000, while the rate on properties above R2.25m will </w:t>
      </w:r>
      <w:r w:rsidR="00103F89" w:rsidRPr="00270770">
        <w:rPr>
          <w:rFonts w:ascii="Arial Narrow" w:eastAsia="Times New Roman" w:hAnsi="Arial Narrow" w:cs="Times New Roman"/>
          <w:color w:val="000000"/>
          <w:sz w:val="24"/>
          <w:szCs w:val="24"/>
          <w:lang w:eastAsia="en-ZA"/>
        </w:rPr>
        <w:t xml:space="preserve">increase, which is very progressive. </w:t>
      </w:r>
    </w:p>
    <w:p w:rsidR="00103F89" w:rsidRPr="00270770" w:rsidRDefault="00103F89" w:rsidP="00103F89">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The increase of sin taxes </w:t>
      </w:r>
      <w:r w:rsidR="006C080F" w:rsidRPr="00270770">
        <w:rPr>
          <w:rFonts w:ascii="Arial Narrow" w:eastAsia="Times New Roman" w:hAnsi="Arial Narrow" w:cs="Times New Roman"/>
          <w:color w:val="000000"/>
          <w:sz w:val="24"/>
          <w:szCs w:val="24"/>
          <w:lang w:eastAsia="en-ZA"/>
        </w:rPr>
        <w:t xml:space="preserve">on alcoholic beverages and tobacco products will </w:t>
      </w:r>
      <w:r w:rsidRPr="00270770">
        <w:rPr>
          <w:rFonts w:ascii="Arial Narrow" w:eastAsia="Times New Roman" w:hAnsi="Arial Narrow" w:cs="Times New Roman"/>
          <w:color w:val="000000"/>
          <w:sz w:val="24"/>
          <w:szCs w:val="24"/>
          <w:lang w:eastAsia="en-ZA"/>
        </w:rPr>
        <w:t xml:space="preserve">provide for the harmful effects on the national health system. </w:t>
      </w:r>
    </w:p>
    <w:p w:rsidR="006C080F" w:rsidRPr="00270770" w:rsidRDefault="006C080F" w:rsidP="00806BB3">
      <w:pPr>
        <w:pStyle w:val="ListParagraph"/>
        <w:numPr>
          <w:ilvl w:val="0"/>
          <w:numId w:val="8"/>
        </w:num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The tax on a quart of beer goes up by 15.5c.</w:t>
      </w:r>
    </w:p>
    <w:p w:rsidR="006C080F" w:rsidRPr="00270770" w:rsidRDefault="006C080F" w:rsidP="00806BB3">
      <w:pPr>
        <w:pStyle w:val="ListParagraph"/>
        <w:numPr>
          <w:ilvl w:val="0"/>
          <w:numId w:val="8"/>
        </w:num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A bottle of wine will cost 15c more.</w:t>
      </w:r>
    </w:p>
    <w:p w:rsidR="006C080F" w:rsidRPr="00270770" w:rsidRDefault="006C080F" w:rsidP="00806BB3">
      <w:pPr>
        <w:pStyle w:val="ListParagraph"/>
        <w:numPr>
          <w:ilvl w:val="0"/>
          <w:numId w:val="8"/>
        </w:num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A bottle of sparkling wine goes up by 48c.</w:t>
      </w:r>
    </w:p>
    <w:p w:rsidR="006C080F" w:rsidRPr="00270770" w:rsidRDefault="006C080F" w:rsidP="00806BB3">
      <w:pPr>
        <w:pStyle w:val="ListParagraph"/>
        <w:numPr>
          <w:ilvl w:val="0"/>
          <w:numId w:val="8"/>
        </w:num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lastRenderedPageBreak/>
        <w:t>A bottle of whisky will be R3.77 more.</w:t>
      </w:r>
    </w:p>
    <w:p w:rsidR="006C080F" w:rsidRPr="00270770" w:rsidRDefault="006C080F" w:rsidP="00806BB3">
      <w:pPr>
        <w:pStyle w:val="ListParagraph"/>
        <w:numPr>
          <w:ilvl w:val="0"/>
          <w:numId w:val="8"/>
        </w:num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A pack of 20 cigarettes goes up by 82c.</w:t>
      </w:r>
    </w:p>
    <w:p w:rsidR="006C080F" w:rsidRPr="00270770" w:rsidRDefault="00135B72" w:rsidP="00806BB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 understands the importance of the a</w:t>
      </w:r>
      <w:r w:rsidR="006C080F" w:rsidRPr="00270770">
        <w:rPr>
          <w:rFonts w:ascii="Arial Narrow" w:eastAsia="Times New Roman" w:hAnsi="Arial Narrow" w:cs="Times New Roman"/>
          <w:color w:val="000000"/>
          <w:sz w:val="24"/>
          <w:szCs w:val="24"/>
          <w:lang w:eastAsia="en-ZA"/>
        </w:rPr>
        <w:t>mendments to the diesel refund sy</w:t>
      </w:r>
      <w:r w:rsidRPr="00270770">
        <w:rPr>
          <w:rFonts w:ascii="Arial Narrow" w:eastAsia="Times New Roman" w:hAnsi="Arial Narrow" w:cs="Times New Roman"/>
          <w:color w:val="000000"/>
          <w:sz w:val="24"/>
          <w:szCs w:val="24"/>
          <w:lang w:eastAsia="en-ZA"/>
        </w:rPr>
        <w:t xml:space="preserve">stem, </w:t>
      </w:r>
      <w:r w:rsidR="006C080F" w:rsidRPr="00270770">
        <w:rPr>
          <w:rFonts w:ascii="Arial Narrow" w:eastAsia="Times New Roman" w:hAnsi="Arial Narrow" w:cs="Times New Roman"/>
          <w:color w:val="000000"/>
          <w:sz w:val="24"/>
          <w:szCs w:val="24"/>
          <w:lang w:eastAsia="en-ZA"/>
        </w:rPr>
        <w:t>which applies in the agriculture, forestry, fishing and mining sectors.</w:t>
      </w:r>
      <w:r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Some of these changes will take ef</w:t>
      </w:r>
      <w:r w:rsidRPr="00270770">
        <w:rPr>
          <w:rFonts w:ascii="Arial Narrow" w:eastAsia="Times New Roman" w:hAnsi="Arial Narrow" w:cs="Times New Roman"/>
          <w:color w:val="000000"/>
          <w:sz w:val="24"/>
          <w:szCs w:val="24"/>
          <w:lang w:eastAsia="en-ZA"/>
        </w:rPr>
        <w:t xml:space="preserve">fect this year and some in 2016 to increase the revenue to the fiscus. </w:t>
      </w:r>
      <w:r w:rsidR="006C080F" w:rsidRPr="00270770">
        <w:rPr>
          <w:rFonts w:ascii="Arial Narrow" w:eastAsia="Times New Roman" w:hAnsi="Arial Narrow" w:cs="Times New Roman"/>
          <w:color w:val="000000"/>
          <w:sz w:val="24"/>
          <w:szCs w:val="24"/>
          <w:lang w:eastAsia="en-ZA"/>
        </w:rPr>
        <w:t>The net effect of these proposals on 2015/16 tax revenue is an increase of R8.3bn, which will bring tax revenue for the year to R1 081bn, or about 10.4 percent more than 2014/15 tax revenue.</w:t>
      </w:r>
    </w:p>
    <w:p w:rsidR="006C080F" w:rsidRDefault="00B32EFA" w:rsidP="00270770">
      <w:pPr>
        <w:pStyle w:val="Heading1"/>
      </w:pPr>
      <w:bookmarkStart w:id="18" w:name="_Toc413130786"/>
      <w:r w:rsidRPr="00B32EFA">
        <w:t>FURTHER PROPOSALS</w:t>
      </w:r>
      <w:bookmarkEnd w:id="18"/>
    </w:p>
    <w:p w:rsidR="00B32EFA" w:rsidRPr="00B32EFA" w:rsidRDefault="00B32EFA" w:rsidP="00270770"/>
    <w:p w:rsidR="006C080F" w:rsidRPr="00270770" w:rsidRDefault="00135B72" w:rsidP="00806BB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FEDUSA is of the opinion that the </w:t>
      </w:r>
      <w:r w:rsidR="006C080F" w:rsidRPr="00270770">
        <w:rPr>
          <w:rFonts w:ascii="Arial Narrow" w:eastAsia="Times New Roman" w:hAnsi="Arial Narrow" w:cs="Times New Roman"/>
          <w:color w:val="000000"/>
          <w:sz w:val="24"/>
          <w:szCs w:val="24"/>
          <w:lang w:eastAsia="en-ZA"/>
        </w:rPr>
        <w:t>tax measures to promote energy efficiency, with industry, the electricity regulator, Eskom and other interested parties</w:t>
      </w:r>
      <w:r w:rsidRPr="00270770">
        <w:rPr>
          <w:rFonts w:ascii="Arial Narrow" w:eastAsia="Times New Roman" w:hAnsi="Arial Narrow" w:cs="Times New Roman"/>
          <w:color w:val="000000"/>
          <w:sz w:val="24"/>
          <w:szCs w:val="24"/>
          <w:lang w:eastAsia="en-ZA"/>
        </w:rPr>
        <w:t xml:space="preserve"> need</w:t>
      </w:r>
      <w:r w:rsidR="0076424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to be discuss</w:t>
      </w:r>
      <w:r w:rsidR="00764240">
        <w:rPr>
          <w:rFonts w:ascii="Arial Narrow" w:eastAsia="Times New Roman" w:hAnsi="Arial Narrow" w:cs="Times New Roman"/>
          <w:color w:val="000000"/>
          <w:sz w:val="24"/>
          <w:szCs w:val="24"/>
          <w:lang w:eastAsia="en-ZA"/>
        </w:rPr>
        <w:t>ed</w:t>
      </w:r>
      <w:r w:rsidRPr="00270770">
        <w:rPr>
          <w:rFonts w:ascii="Arial Narrow" w:eastAsia="Times New Roman" w:hAnsi="Arial Narrow" w:cs="Times New Roman"/>
          <w:color w:val="000000"/>
          <w:sz w:val="24"/>
          <w:szCs w:val="24"/>
          <w:lang w:eastAsia="en-ZA"/>
        </w:rPr>
        <w:t xml:space="preserve"> in NEDLAC</w:t>
      </w:r>
      <w:r w:rsidR="006C080F" w:rsidRPr="00270770">
        <w:rPr>
          <w:rFonts w:ascii="Arial Narrow" w:eastAsia="Times New Roman" w:hAnsi="Arial Narrow" w:cs="Times New Roman"/>
          <w:color w:val="000000"/>
          <w:sz w:val="24"/>
          <w:szCs w:val="24"/>
          <w:lang w:eastAsia="en-ZA"/>
        </w:rPr>
        <w:t>.</w:t>
      </w:r>
      <w:r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The first proposal is a temporary increase in the electricity levy, from 3.5c/kWh to 5.5c/kWh, to assist in demand management.</w:t>
      </w:r>
      <w:r w:rsidRPr="00270770">
        <w:rPr>
          <w:rFonts w:ascii="Arial Narrow" w:eastAsia="Times New Roman" w:hAnsi="Arial Narrow" w:cs="Times New Roman"/>
          <w:color w:val="000000"/>
          <w:sz w:val="24"/>
          <w:szCs w:val="24"/>
          <w:lang w:eastAsia="en-ZA"/>
        </w:rPr>
        <w:t xml:space="preserve"> It is important for the social partners to agree to reduce the national MW by at least 2000 during peak times. It is also important to plan load shedding to avoid the damage that unplanned disruption</w:t>
      </w:r>
      <w:r w:rsidR="0076424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could have on the ability of the economy. </w:t>
      </w:r>
    </w:p>
    <w:p w:rsidR="00135B72" w:rsidRPr="00270770" w:rsidRDefault="00135B72" w:rsidP="00806BB3">
      <w:pPr>
        <w:spacing w:line="360" w:lineRule="auto"/>
        <w:jc w:val="both"/>
        <w:textAlignment w:val="baseline"/>
        <w:rPr>
          <w:rFonts w:ascii="Arial Narrow" w:eastAsia="Times New Roman" w:hAnsi="Arial Narrow" w:cs="Times New Roman"/>
          <w:color w:val="000000"/>
          <w:sz w:val="24"/>
          <w:szCs w:val="24"/>
          <w:lang w:eastAsia="en-ZA"/>
        </w:rPr>
      </w:pPr>
    </w:p>
    <w:p w:rsidR="00270770" w:rsidRPr="00270770" w:rsidRDefault="006C080F" w:rsidP="00270770">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This additional 2c/kWh will be withdrawn when the electricity shortage is over.</w:t>
      </w:r>
      <w:r w:rsidR="00135B72" w:rsidRPr="00270770">
        <w:rPr>
          <w:rFonts w:ascii="Arial Narrow" w:eastAsia="Times New Roman" w:hAnsi="Arial Narrow" w:cs="Times New Roman"/>
          <w:color w:val="000000"/>
          <w:sz w:val="24"/>
          <w:szCs w:val="24"/>
          <w:lang w:eastAsia="en-ZA"/>
        </w:rPr>
        <w:t xml:space="preserve"> </w:t>
      </w:r>
      <w:r w:rsidRPr="00270770">
        <w:rPr>
          <w:rFonts w:ascii="Arial Narrow" w:eastAsia="Times New Roman" w:hAnsi="Arial Narrow" w:cs="Times New Roman"/>
          <w:color w:val="000000"/>
          <w:sz w:val="24"/>
          <w:szCs w:val="24"/>
          <w:lang w:eastAsia="en-ZA"/>
        </w:rPr>
        <w:t>Secondly, an increase is proposed in the energy efficiency savings incentive from 45c/kWh to 95c/kWh, together with its extension to cogeneration projects.</w:t>
      </w:r>
      <w:r w:rsidR="00270770">
        <w:rPr>
          <w:rFonts w:ascii="Arial Narrow" w:eastAsia="Times New Roman" w:hAnsi="Arial Narrow" w:cs="Times New Roman"/>
          <w:color w:val="000000"/>
          <w:sz w:val="24"/>
          <w:szCs w:val="24"/>
          <w:lang w:eastAsia="en-ZA"/>
        </w:rPr>
        <w:t xml:space="preserve"> </w:t>
      </w:r>
      <w:r w:rsidR="00270770" w:rsidRPr="00270770">
        <w:rPr>
          <w:rFonts w:ascii="Arial Narrow" w:eastAsia="Times New Roman" w:hAnsi="Arial Narrow" w:cs="Times New Roman"/>
          <w:color w:val="000000"/>
          <w:sz w:val="24"/>
          <w:szCs w:val="24"/>
          <w:lang w:eastAsia="en-ZA"/>
        </w:rPr>
        <w:t xml:space="preserve">FEDUSA supports the new carbon tax to be introduced in 2016 to provide an additional tool to deal more sustainably with the current electricity shortage and to require the polluter to pay. </w:t>
      </w:r>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B32EFA" w:rsidP="00270770">
      <w:pPr>
        <w:pStyle w:val="Heading1"/>
      </w:pPr>
      <w:bookmarkStart w:id="19" w:name="_Toc413130787"/>
      <w:r w:rsidRPr="00B32EFA">
        <w:t>FINANCIAL LEAKAGES</w:t>
      </w:r>
      <w:bookmarkEnd w:id="19"/>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084147"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FEDUSA worked with the ITUC and the TUAC to the OECD to develop support for the </w:t>
      </w:r>
      <w:r w:rsidR="006C080F" w:rsidRPr="00270770">
        <w:rPr>
          <w:rFonts w:ascii="Arial Narrow" w:eastAsia="Times New Roman" w:hAnsi="Arial Narrow" w:cs="Times New Roman"/>
          <w:color w:val="000000"/>
          <w:sz w:val="24"/>
          <w:szCs w:val="24"/>
          <w:lang w:eastAsia="en-ZA"/>
        </w:rPr>
        <w:t xml:space="preserve">G20 </w:t>
      </w:r>
      <w:r w:rsidRPr="00270770">
        <w:rPr>
          <w:rFonts w:ascii="Arial Narrow" w:eastAsia="Times New Roman" w:hAnsi="Arial Narrow" w:cs="Times New Roman"/>
          <w:color w:val="000000"/>
          <w:sz w:val="24"/>
          <w:szCs w:val="24"/>
          <w:lang w:eastAsia="en-ZA"/>
        </w:rPr>
        <w:t xml:space="preserve">and OECD </w:t>
      </w:r>
      <w:r w:rsidR="006C080F" w:rsidRPr="00270770">
        <w:rPr>
          <w:rFonts w:ascii="Arial Narrow" w:eastAsia="Times New Roman" w:hAnsi="Arial Narrow" w:cs="Times New Roman"/>
          <w:color w:val="000000"/>
          <w:sz w:val="24"/>
          <w:szCs w:val="24"/>
          <w:lang w:eastAsia="en-ZA"/>
        </w:rPr>
        <w:t xml:space="preserve">decisions </w:t>
      </w:r>
      <w:r w:rsidRPr="00270770">
        <w:rPr>
          <w:rFonts w:ascii="Arial Narrow" w:eastAsia="Times New Roman" w:hAnsi="Arial Narrow" w:cs="Times New Roman"/>
          <w:color w:val="000000"/>
          <w:sz w:val="24"/>
          <w:szCs w:val="24"/>
          <w:lang w:eastAsia="en-ZA"/>
        </w:rPr>
        <w:t>with</w:t>
      </w:r>
      <w:r w:rsidR="006C080F" w:rsidRPr="00270770">
        <w:rPr>
          <w:rFonts w:ascii="Arial Narrow" w:eastAsia="Times New Roman" w:hAnsi="Arial Narrow" w:cs="Times New Roman"/>
          <w:color w:val="000000"/>
          <w:sz w:val="24"/>
          <w:szCs w:val="24"/>
          <w:lang w:eastAsia="en-ZA"/>
        </w:rPr>
        <w:t xml:space="preserve"> regard </w:t>
      </w:r>
      <w:r w:rsidRPr="00270770">
        <w:rPr>
          <w:rFonts w:ascii="Arial Narrow" w:eastAsia="Times New Roman" w:hAnsi="Arial Narrow" w:cs="Times New Roman"/>
          <w:color w:val="000000"/>
          <w:sz w:val="24"/>
          <w:szCs w:val="24"/>
          <w:lang w:eastAsia="en-ZA"/>
        </w:rPr>
        <w:t xml:space="preserve">to </w:t>
      </w:r>
      <w:r w:rsidR="006C080F" w:rsidRPr="00270770">
        <w:rPr>
          <w:rFonts w:ascii="Arial Narrow" w:eastAsia="Times New Roman" w:hAnsi="Arial Narrow" w:cs="Times New Roman"/>
          <w:color w:val="000000"/>
          <w:sz w:val="24"/>
          <w:szCs w:val="24"/>
          <w:lang w:eastAsia="en-ZA"/>
        </w:rPr>
        <w:t xml:space="preserve">the implementation of actions </w:t>
      </w:r>
      <w:r w:rsidRPr="00270770">
        <w:rPr>
          <w:rFonts w:ascii="Arial Narrow" w:eastAsia="Times New Roman" w:hAnsi="Arial Narrow" w:cs="Times New Roman"/>
          <w:color w:val="000000"/>
          <w:sz w:val="24"/>
          <w:szCs w:val="24"/>
          <w:lang w:eastAsia="en-ZA"/>
        </w:rPr>
        <w:t xml:space="preserve">and </w:t>
      </w:r>
      <w:r w:rsidR="006C080F" w:rsidRPr="00270770">
        <w:rPr>
          <w:rFonts w:ascii="Arial Narrow" w:eastAsia="Times New Roman" w:hAnsi="Arial Narrow" w:cs="Times New Roman"/>
          <w:color w:val="000000"/>
          <w:sz w:val="24"/>
          <w:szCs w:val="24"/>
          <w:lang w:eastAsia="en-ZA"/>
        </w:rPr>
        <w:t>in support of transparency and sharing of information</w:t>
      </w:r>
      <w:r w:rsidRPr="00270770">
        <w:rPr>
          <w:rFonts w:ascii="Arial Narrow" w:eastAsia="Times New Roman" w:hAnsi="Arial Narrow" w:cs="Times New Roman"/>
          <w:color w:val="000000"/>
          <w:sz w:val="24"/>
          <w:szCs w:val="24"/>
          <w:lang w:eastAsia="en-ZA"/>
        </w:rPr>
        <w:t xml:space="preserve"> on an international level</w:t>
      </w:r>
      <w:r w:rsidR="006C080F" w:rsidRPr="00270770">
        <w:rPr>
          <w:rFonts w:ascii="Arial Narrow" w:eastAsia="Times New Roman" w:hAnsi="Arial Narrow" w:cs="Times New Roman"/>
          <w:color w:val="000000"/>
          <w:sz w:val="24"/>
          <w:szCs w:val="24"/>
          <w:lang w:eastAsia="en-ZA"/>
        </w:rPr>
        <w:t>.</w:t>
      </w:r>
      <w:r w:rsidRPr="00270770">
        <w:rPr>
          <w:rFonts w:ascii="Arial Narrow" w:eastAsia="Times New Roman" w:hAnsi="Arial Narrow" w:cs="Times New Roman"/>
          <w:color w:val="000000"/>
          <w:sz w:val="24"/>
          <w:szCs w:val="24"/>
          <w:lang w:eastAsia="en-ZA"/>
        </w:rPr>
        <w:t xml:space="preserve"> The Federation is of the view that the country</w:t>
      </w:r>
      <w:r w:rsidR="006C080F" w:rsidRPr="00270770">
        <w:rPr>
          <w:rFonts w:ascii="Arial Narrow" w:eastAsia="Times New Roman" w:hAnsi="Arial Narrow" w:cs="Times New Roman"/>
          <w:color w:val="000000"/>
          <w:sz w:val="24"/>
          <w:szCs w:val="24"/>
          <w:lang w:eastAsia="en-ZA"/>
        </w:rPr>
        <w:t xml:space="preserve"> must similarly stand firm in the SADC against tax havens.</w:t>
      </w:r>
      <w:r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The S</w:t>
      </w:r>
      <w:r w:rsidRPr="00270770">
        <w:rPr>
          <w:rFonts w:ascii="Arial Narrow" w:eastAsia="Times New Roman" w:hAnsi="Arial Narrow" w:cs="Times New Roman"/>
          <w:color w:val="000000"/>
          <w:sz w:val="24"/>
          <w:szCs w:val="24"/>
          <w:lang w:eastAsia="en-ZA"/>
        </w:rPr>
        <w:t xml:space="preserve">outh </w:t>
      </w:r>
      <w:r w:rsidR="006C080F" w:rsidRPr="00270770">
        <w:rPr>
          <w:rFonts w:ascii="Arial Narrow" w:eastAsia="Times New Roman" w:hAnsi="Arial Narrow" w:cs="Times New Roman"/>
          <w:color w:val="000000"/>
          <w:sz w:val="24"/>
          <w:szCs w:val="24"/>
          <w:lang w:eastAsia="en-ZA"/>
        </w:rPr>
        <w:t>A</w:t>
      </w:r>
      <w:r w:rsidRPr="00270770">
        <w:rPr>
          <w:rFonts w:ascii="Arial Narrow" w:eastAsia="Times New Roman" w:hAnsi="Arial Narrow" w:cs="Times New Roman"/>
          <w:color w:val="000000"/>
          <w:sz w:val="24"/>
          <w:szCs w:val="24"/>
          <w:lang w:eastAsia="en-ZA"/>
        </w:rPr>
        <w:t>frican</w:t>
      </w:r>
      <w:r w:rsidR="006C080F" w:rsidRPr="00270770">
        <w:rPr>
          <w:rFonts w:ascii="Arial Narrow" w:eastAsia="Times New Roman" w:hAnsi="Arial Narrow" w:cs="Times New Roman"/>
          <w:color w:val="000000"/>
          <w:sz w:val="24"/>
          <w:szCs w:val="24"/>
          <w:lang w:eastAsia="en-ZA"/>
        </w:rPr>
        <w:t xml:space="preserve"> Reserve Bank </w:t>
      </w:r>
      <w:r w:rsidRPr="00270770">
        <w:rPr>
          <w:rFonts w:ascii="Arial Narrow" w:eastAsia="Times New Roman" w:hAnsi="Arial Narrow" w:cs="Times New Roman"/>
          <w:color w:val="000000"/>
          <w:sz w:val="24"/>
          <w:szCs w:val="24"/>
          <w:lang w:eastAsia="en-ZA"/>
        </w:rPr>
        <w:t>(SARB) and the SARS should</w:t>
      </w:r>
      <w:r w:rsidR="006C080F" w:rsidRPr="00270770">
        <w:rPr>
          <w:rFonts w:ascii="Arial Narrow" w:eastAsia="Times New Roman" w:hAnsi="Arial Narrow" w:cs="Times New Roman"/>
          <w:color w:val="000000"/>
          <w:sz w:val="24"/>
          <w:szCs w:val="24"/>
          <w:lang w:eastAsia="en-ZA"/>
        </w:rPr>
        <w:t xml:space="preserve"> work closely together to monitor capital flows</w:t>
      </w:r>
      <w:r w:rsidRPr="00270770">
        <w:rPr>
          <w:rFonts w:ascii="Arial Narrow" w:eastAsia="Times New Roman" w:hAnsi="Arial Narrow" w:cs="Times New Roman"/>
          <w:color w:val="000000"/>
          <w:sz w:val="24"/>
          <w:szCs w:val="24"/>
          <w:lang w:eastAsia="en-ZA"/>
        </w:rPr>
        <w:t xml:space="preserve"> and</w:t>
      </w:r>
      <w:r w:rsidR="006C080F" w:rsidRPr="00270770">
        <w:rPr>
          <w:rFonts w:ascii="Arial Narrow" w:eastAsia="Times New Roman" w:hAnsi="Arial Narrow" w:cs="Times New Roman"/>
          <w:color w:val="000000"/>
          <w:sz w:val="24"/>
          <w:szCs w:val="24"/>
          <w:lang w:eastAsia="en-ZA"/>
        </w:rPr>
        <w:t xml:space="preserve"> assists in identifying movements of funds for tax reasons.</w:t>
      </w:r>
      <w:r w:rsidRPr="00270770">
        <w:rPr>
          <w:rFonts w:ascii="Arial Narrow" w:eastAsia="Times New Roman" w:hAnsi="Arial Narrow" w:cs="Times New Roman"/>
          <w:color w:val="000000"/>
          <w:sz w:val="24"/>
          <w:szCs w:val="24"/>
          <w:lang w:eastAsia="en-ZA"/>
        </w:rPr>
        <w:t xml:space="preserve"> The Federation is</w:t>
      </w:r>
      <w:r w:rsidR="00764240">
        <w:rPr>
          <w:rFonts w:ascii="Arial Narrow" w:eastAsia="Times New Roman" w:hAnsi="Arial Narrow" w:cs="Times New Roman"/>
          <w:color w:val="000000"/>
          <w:sz w:val="24"/>
          <w:szCs w:val="24"/>
          <w:lang w:eastAsia="en-ZA"/>
        </w:rPr>
        <w:t xml:space="preserve"> of the opinion that </w:t>
      </w:r>
      <w:r w:rsidRPr="00270770">
        <w:rPr>
          <w:rFonts w:ascii="Arial Narrow" w:eastAsia="Times New Roman" w:hAnsi="Arial Narrow" w:cs="Times New Roman"/>
          <w:color w:val="000000"/>
          <w:sz w:val="24"/>
          <w:szCs w:val="24"/>
          <w:lang w:eastAsia="en-ZA"/>
        </w:rPr>
        <w:t xml:space="preserve">it </w:t>
      </w:r>
      <w:r w:rsidR="00764240">
        <w:rPr>
          <w:rFonts w:ascii="Arial Narrow" w:eastAsia="Times New Roman" w:hAnsi="Arial Narrow" w:cs="Times New Roman"/>
          <w:color w:val="000000"/>
          <w:sz w:val="24"/>
          <w:szCs w:val="24"/>
          <w:lang w:eastAsia="en-ZA"/>
        </w:rPr>
        <w:t xml:space="preserve">is </w:t>
      </w:r>
      <w:r w:rsidRPr="00270770">
        <w:rPr>
          <w:rFonts w:ascii="Arial Narrow" w:eastAsia="Times New Roman" w:hAnsi="Arial Narrow" w:cs="Times New Roman"/>
          <w:color w:val="000000"/>
          <w:sz w:val="24"/>
          <w:szCs w:val="24"/>
          <w:lang w:eastAsia="en-ZA"/>
        </w:rPr>
        <w:t>critical for our national institutions to collaborate</w:t>
      </w:r>
      <w:r w:rsidR="006C080F" w:rsidRPr="00270770">
        <w:rPr>
          <w:rFonts w:ascii="Arial Narrow" w:eastAsia="Times New Roman" w:hAnsi="Arial Narrow" w:cs="Times New Roman"/>
          <w:color w:val="000000"/>
          <w:sz w:val="24"/>
          <w:szCs w:val="24"/>
          <w:lang w:eastAsia="en-ZA"/>
        </w:rPr>
        <w:t xml:space="preserve"> </w:t>
      </w:r>
      <w:r w:rsidRPr="00270770">
        <w:rPr>
          <w:rFonts w:ascii="Arial Narrow" w:eastAsia="Times New Roman" w:hAnsi="Arial Narrow" w:cs="Times New Roman"/>
          <w:color w:val="000000"/>
          <w:sz w:val="24"/>
          <w:szCs w:val="24"/>
          <w:lang w:eastAsia="en-ZA"/>
        </w:rPr>
        <w:t xml:space="preserve">with international </w:t>
      </w:r>
      <w:r w:rsidR="006C080F" w:rsidRPr="00270770">
        <w:rPr>
          <w:rFonts w:ascii="Arial Narrow" w:eastAsia="Times New Roman" w:hAnsi="Arial Narrow" w:cs="Times New Roman"/>
          <w:color w:val="000000"/>
          <w:sz w:val="24"/>
          <w:szCs w:val="24"/>
          <w:lang w:eastAsia="en-ZA"/>
        </w:rPr>
        <w:t>bank regulators and tax authorities</w:t>
      </w:r>
      <w:r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 xml:space="preserve">to reduce </w:t>
      </w:r>
      <w:r w:rsidRPr="00270770">
        <w:rPr>
          <w:rFonts w:ascii="Arial Narrow" w:eastAsia="Times New Roman" w:hAnsi="Arial Narrow" w:cs="Times New Roman"/>
          <w:color w:val="000000"/>
          <w:sz w:val="24"/>
          <w:szCs w:val="24"/>
          <w:lang w:eastAsia="en-ZA"/>
        </w:rPr>
        <w:t xml:space="preserve">and prevent </w:t>
      </w:r>
      <w:r w:rsidR="006C080F" w:rsidRPr="00270770">
        <w:rPr>
          <w:rFonts w:ascii="Arial Narrow" w:eastAsia="Times New Roman" w:hAnsi="Arial Narrow" w:cs="Times New Roman"/>
          <w:color w:val="000000"/>
          <w:sz w:val="24"/>
          <w:szCs w:val="24"/>
          <w:lang w:eastAsia="en-ZA"/>
        </w:rPr>
        <w:t>both capital leakage and tax evasion.</w:t>
      </w:r>
    </w:p>
    <w:p w:rsidR="00084147" w:rsidRPr="00270770" w:rsidRDefault="00084147"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084147"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 note</w:t>
      </w:r>
      <w:r w:rsidR="0076424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the </w:t>
      </w:r>
      <w:r w:rsidR="006C080F" w:rsidRPr="00270770">
        <w:rPr>
          <w:rFonts w:ascii="Arial Narrow" w:eastAsia="Times New Roman" w:hAnsi="Arial Narrow" w:cs="Times New Roman"/>
          <w:color w:val="000000"/>
          <w:sz w:val="24"/>
          <w:szCs w:val="24"/>
          <w:lang w:eastAsia="en-ZA"/>
        </w:rPr>
        <w:t>50c a litre increase in the Road Accident Fund levy</w:t>
      </w:r>
      <w:r w:rsidR="000709DB" w:rsidRPr="00270770">
        <w:rPr>
          <w:rFonts w:ascii="Arial Narrow" w:eastAsia="Times New Roman" w:hAnsi="Arial Narrow" w:cs="Times New Roman"/>
          <w:color w:val="000000"/>
          <w:sz w:val="24"/>
          <w:szCs w:val="24"/>
          <w:lang w:eastAsia="en-ZA"/>
        </w:rPr>
        <w:t xml:space="preserve"> and that it will</w:t>
      </w:r>
      <w:r w:rsidR="006C080F" w:rsidRPr="00270770">
        <w:rPr>
          <w:rFonts w:ascii="Arial Narrow" w:eastAsia="Times New Roman" w:hAnsi="Arial Narrow" w:cs="Times New Roman"/>
          <w:color w:val="000000"/>
          <w:sz w:val="24"/>
          <w:szCs w:val="24"/>
          <w:lang w:eastAsia="en-ZA"/>
        </w:rPr>
        <w:t xml:space="preserve"> </w:t>
      </w:r>
      <w:r w:rsidR="000709DB" w:rsidRPr="00270770">
        <w:rPr>
          <w:rFonts w:ascii="Arial Narrow" w:eastAsia="Times New Roman" w:hAnsi="Arial Narrow" w:cs="Times New Roman"/>
          <w:color w:val="000000"/>
          <w:sz w:val="24"/>
          <w:szCs w:val="24"/>
          <w:lang w:eastAsia="en-ZA"/>
        </w:rPr>
        <w:t xml:space="preserve">bring the levy to R1.04 </w:t>
      </w:r>
      <w:r w:rsidR="006C080F" w:rsidRPr="00270770">
        <w:rPr>
          <w:rFonts w:ascii="Arial Narrow" w:eastAsia="Times New Roman" w:hAnsi="Arial Narrow" w:cs="Times New Roman"/>
          <w:color w:val="000000"/>
          <w:sz w:val="24"/>
          <w:szCs w:val="24"/>
          <w:lang w:eastAsia="en-ZA"/>
        </w:rPr>
        <w:t xml:space="preserve">to finance the RAF administration </w:t>
      </w:r>
      <w:r w:rsidR="000709DB" w:rsidRPr="00270770">
        <w:rPr>
          <w:rFonts w:ascii="Arial Narrow" w:eastAsia="Times New Roman" w:hAnsi="Arial Narrow" w:cs="Times New Roman"/>
          <w:color w:val="000000"/>
          <w:sz w:val="24"/>
          <w:szCs w:val="24"/>
          <w:lang w:eastAsia="en-ZA"/>
        </w:rPr>
        <w:t xml:space="preserve">to </w:t>
      </w:r>
      <w:r w:rsidR="006C080F" w:rsidRPr="00270770">
        <w:rPr>
          <w:rFonts w:ascii="Arial Narrow" w:eastAsia="Times New Roman" w:hAnsi="Arial Narrow" w:cs="Times New Roman"/>
          <w:color w:val="000000"/>
          <w:sz w:val="24"/>
          <w:szCs w:val="24"/>
          <w:lang w:eastAsia="en-ZA"/>
        </w:rPr>
        <w:t>clear th</w:t>
      </w:r>
      <w:r w:rsidR="000709DB" w:rsidRPr="00270770">
        <w:rPr>
          <w:rFonts w:ascii="Arial Narrow" w:eastAsia="Times New Roman" w:hAnsi="Arial Narrow" w:cs="Times New Roman"/>
          <w:color w:val="000000"/>
          <w:sz w:val="24"/>
          <w:szCs w:val="24"/>
          <w:lang w:eastAsia="en-ZA"/>
        </w:rPr>
        <w:t>e claims backlog. T</w:t>
      </w:r>
      <w:r w:rsidR="006C080F" w:rsidRPr="00270770">
        <w:rPr>
          <w:rFonts w:ascii="Arial Narrow" w:eastAsia="Times New Roman" w:hAnsi="Arial Narrow" w:cs="Times New Roman"/>
          <w:color w:val="000000"/>
          <w:sz w:val="24"/>
          <w:szCs w:val="24"/>
          <w:lang w:eastAsia="en-ZA"/>
        </w:rPr>
        <w:t>he current compensation system, which has accumulated a</w:t>
      </w:r>
      <w:r w:rsidR="00764240">
        <w:rPr>
          <w:rFonts w:ascii="Arial Narrow" w:eastAsia="Times New Roman" w:hAnsi="Arial Narrow" w:cs="Times New Roman"/>
          <w:color w:val="000000"/>
          <w:sz w:val="24"/>
          <w:szCs w:val="24"/>
          <w:lang w:eastAsia="en-ZA"/>
        </w:rPr>
        <w:t>u</w:t>
      </w:r>
      <w:r w:rsidR="006C080F" w:rsidRPr="00270770">
        <w:rPr>
          <w:rFonts w:ascii="Arial Narrow" w:eastAsia="Times New Roman" w:hAnsi="Arial Narrow" w:cs="Times New Roman"/>
          <w:color w:val="000000"/>
          <w:sz w:val="24"/>
          <w:szCs w:val="24"/>
          <w:lang w:eastAsia="en-ZA"/>
        </w:rPr>
        <w:t xml:space="preserve"> </w:t>
      </w:r>
      <w:r w:rsidR="00DC1E15" w:rsidRPr="00270770">
        <w:rPr>
          <w:rFonts w:ascii="Arial Narrow" w:eastAsia="Times New Roman" w:hAnsi="Arial Narrow" w:cs="Times New Roman"/>
          <w:color w:val="000000"/>
          <w:sz w:val="24"/>
          <w:szCs w:val="24"/>
          <w:lang w:eastAsia="en-ZA"/>
        </w:rPr>
        <w:t xml:space="preserve">unsustainable backlog of </w:t>
      </w:r>
      <w:r w:rsidR="006C080F" w:rsidRPr="00270770">
        <w:rPr>
          <w:rFonts w:ascii="Arial Narrow" w:eastAsia="Times New Roman" w:hAnsi="Arial Narrow" w:cs="Times New Roman"/>
          <w:color w:val="000000"/>
          <w:sz w:val="24"/>
          <w:szCs w:val="24"/>
          <w:lang w:eastAsia="en-ZA"/>
        </w:rPr>
        <w:t>R98bn unfunded liability</w:t>
      </w:r>
      <w:r w:rsidR="000709DB" w:rsidRPr="00270770">
        <w:rPr>
          <w:rFonts w:ascii="Arial Narrow" w:eastAsia="Times New Roman" w:hAnsi="Arial Narrow" w:cs="Times New Roman"/>
          <w:color w:val="000000"/>
          <w:sz w:val="24"/>
          <w:szCs w:val="24"/>
          <w:lang w:eastAsia="en-ZA"/>
        </w:rPr>
        <w:t xml:space="preserve"> </w:t>
      </w:r>
      <w:r w:rsidR="00DC1E15" w:rsidRPr="00270770">
        <w:rPr>
          <w:rFonts w:ascii="Arial Narrow" w:eastAsia="Times New Roman" w:hAnsi="Arial Narrow" w:cs="Times New Roman"/>
          <w:color w:val="000000"/>
          <w:sz w:val="24"/>
          <w:szCs w:val="24"/>
          <w:lang w:eastAsia="en-ZA"/>
        </w:rPr>
        <w:t xml:space="preserve">it is imperative for </w:t>
      </w:r>
      <w:r w:rsidR="000709DB" w:rsidRPr="00270770">
        <w:rPr>
          <w:rFonts w:ascii="Arial Narrow" w:eastAsia="Times New Roman" w:hAnsi="Arial Narrow" w:cs="Times New Roman"/>
          <w:color w:val="000000"/>
          <w:sz w:val="24"/>
          <w:szCs w:val="24"/>
          <w:lang w:eastAsia="en-ZA"/>
        </w:rPr>
        <w:t>the new l</w:t>
      </w:r>
      <w:r w:rsidR="00DC1E15" w:rsidRPr="00270770">
        <w:rPr>
          <w:rFonts w:ascii="Arial Narrow" w:eastAsia="Times New Roman" w:hAnsi="Arial Narrow" w:cs="Times New Roman"/>
          <w:color w:val="000000"/>
          <w:sz w:val="24"/>
          <w:szCs w:val="24"/>
          <w:lang w:eastAsia="en-ZA"/>
        </w:rPr>
        <w:t>egislation</w:t>
      </w:r>
      <w:r w:rsidR="000709DB"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to establish the new Road Accident Benefit Scheme</w:t>
      </w:r>
      <w:r w:rsidR="000709DB" w:rsidRPr="00270770">
        <w:rPr>
          <w:rFonts w:ascii="Arial Narrow" w:eastAsia="Times New Roman" w:hAnsi="Arial Narrow" w:cs="Times New Roman"/>
          <w:color w:val="000000"/>
          <w:sz w:val="24"/>
          <w:szCs w:val="24"/>
          <w:lang w:eastAsia="en-ZA"/>
        </w:rPr>
        <w:t xml:space="preserve">. At the completion of the new </w:t>
      </w:r>
      <w:r w:rsidR="006C080F" w:rsidRPr="00270770">
        <w:rPr>
          <w:rFonts w:ascii="Arial Narrow" w:eastAsia="Times New Roman" w:hAnsi="Arial Narrow" w:cs="Times New Roman"/>
          <w:color w:val="000000"/>
          <w:sz w:val="24"/>
          <w:szCs w:val="24"/>
          <w:lang w:eastAsia="en-ZA"/>
        </w:rPr>
        <w:t xml:space="preserve">legislation will </w:t>
      </w:r>
      <w:r w:rsidR="00DC1E15" w:rsidRPr="00270770">
        <w:rPr>
          <w:rFonts w:ascii="Arial Narrow" w:eastAsia="Times New Roman" w:hAnsi="Arial Narrow" w:cs="Times New Roman"/>
          <w:color w:val="000000"/>
          <w:sz w:val="24"/>
          <w:szCs w:val="24"/>
          <w:lang w:eastAsia="en-ZA"/>
        </w:rPr>
        <w:t xml:space="preserve">the levy </w:t>
      </w:r>
      <w:r w:rsidR="006C080F" w:rsidRPr="00270770">
        <w:rPr>
          <w:rFonts w:ascii="Arial Narrow" w:eastAsia="Times New Roman" w:hAnsi="Arial Narrow" w:cs="Times New Roman"/>
          <w:color w:val="000000"/>
          <w:sz w:val="24"/>
          <w:szCs w:val="24"/>
          <w:lang w:eastAsia="en-ZA"/>
        </w:rPr>
        <w:t>be assigned to the new scheme</w:t>
      </w:r>
      <w:r w:rsidR="00764240">
        <w:rPr>
          <w:rFonts w:ascii="Arial Narrow" w:eastAsia="Times New Roman" w:hAnsi="Arial Narrow" w:cs="Times New Roman"/>
          <w:color w:val="000000"/>
          <w:sz w:val="24"/>
          <w:szCs w:val="24"/>
          <w:lang w:eastAsia="en-ZA"/>
        </w:rPr>
        <w:t>?</w:t>
      </w:r>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B959F8" w:rsidRDefault="000D1D7D" w:rsidP="006C080F">
      <w:pPr>
        <w:spacing w:line="360" w:lineRule="auto"/>
        <w:jc w:val="both"/>
        <w:textAlignment w:val="baseline"/>
        <w:rPr>
          <w:rFonts w:ascii="Arial Narrow" w:eastAsia="Times New Roman" w:hAnsi="Arial Narrow" w:cs="Times New Roman"/>
          <w:sz w:val="24"/>
          <w:szCs w:val="24"/>
          <w:lang w:eastAsia="en-ZA"/>
        </w:rPr>
      </w:pPr>
      <w:r w:rsidRPr="00B959F8">
        <w:rPr>
          <w:rFonts w:ascii="Arial Narrow" w:eastAsia="Times New Roman" w:hAnsi="Arial Narrow" w:cs="Times New Roman"/>
          <w:sz w:val="24"/>
          <w:szCs w:val="24"/>
          <w:lang w:eastAsia="en-ZA"/>
        </w:rPr>
        <w:t xml:space="preserve">The </w:t>
      </w:r>
      <w:r w:rsidR="006C080F" w:rsidRPr="00B959F8">
        <w:rPr>
          <w:rFonts w:ascii="Arial Narrow" w:eastAsia="Times New Roman" w:hAnsi="Arial Narrow" w:cs="Times New Roman"/>
          <w:sz w:val="24"/>
          <w:szCs w:val="24"/>
          <w:lang w:eastAsia="en-ZA"/>
        </w:rPr>
        <w:t xml:space="preserve">Unemployment Insurance Fund </w:t>
      </w:r>
      <w:r w:rsidRPr="00B959F8">
        <w:rPr>
          <w:rFonts w:ascii="Arial Narrow" w:eastAsia="Times New Roman" w:hAnsi="Arial Narrow" w:cs="Times New Roman"/>
          <w:sz w:val="24"/>
          <w:szCs w:val="24"/>
          <w:lang w:eastAsia="en-ZA"/>
        </w:rPr>
        <w:t xml:space="preserve">has </w:t>
      </w:r>
      <w:r w:rsidR="006C080F" w:rsidRPr="00B959F8">
        <w:rPr>
          <w:rFonts w:ascii="Arial Narrow" w:eastAsia="Times New Roman" w:hAnsi="Arial Narrow" w:cs="Times New Roman"/>
          <w:sz w:val="24"/>
          <w:szCs w:val="24"/>
          <w:lang w:eastAsia="en-ZA"/>
        </w:rPr>
        <w:t>accumulated surplus of more than R90bn.</w:t>
      </w:r>
      <w:r w:rsidR="00A7121D" w:rsidRPr="00B959F8">
        <w:rPr>
          <w:rFonts w:ascii="Arial Narrow" w:eastAsia="Times New Roman" w:hAnsi="Arial Narrow" w:cs="Times New Roman"/>
          <w:sz w:val="24"/>
          <w:szCs w:val="24"/>
          <w:lang w:eastAsia="en-ZA"/>
        </w:rPr>
        <w:t xml:space="preserve"> Improved benefits are now in the amendments in the Bill before Cabinet</w:t>
      </w:r>
      <w:r w:rsidR="006C080F" w:rsidRPr="00B959F8">
        <w:rPr>
          <w:rFonts w:ascii="Arial Narrow" w:eastAsia="Times New Roman" w:hAnsi="Arial Narrow" w:cs="Times New Roman"/>
          <w:sz w:val="24"/>
          <w:szCs w:val="24"/>
          <w:lang w:eastAsia="en-ZA"/>
        </w:rPr>
        <w:t>, but it is nonetheless possible to provide temporary relief to both employers and employees. The proposal is that the contribution threshold should be reduced to R1 000 a month for the 2015/16 year. This means that employers and employees will each pay R10 a month during the year ahead, putting R15bn back into the pockets of workers and businesses.</w:t>
      </w:r>
      <w:r w:rsidR="00A7121D" w:rsidRPr="00B959F8">
        <w:rPr>
          <w:rFonts w:ascii="Arial Narrow" w:eastAsia="Times New Roman" w:hAnsi="Arial Narrow" w:cs="Times New Roman"/>
          <w:sz w:val="24"/>
          <w:szCs w:val="24"/>
          <w:lang w:eastAsia="en-ZA"/>
        </w:rPr>
        <w:t xml:space="preserve"> FEDUSA is</w:t>
      </w:r>
      <w:r w:rsidRPr="00B959F8">
        <w:rPr>
          <w:rFonts w:ascii="Arial Narrow" w:eastAsia="Times New Roman" w:hAnsi="Arial Narrow" w:cs="Times New Roman"/>
          <w:sz w:val="24"/>
          <w:szCs w:val="24"/>
          <w:lang w:eastAsia="en-ZA"/>
        </w:rPr>
        <w:t xml:space="preserve"> oppose</w:t>
      </w:r>
      <w:r w:rsidR="00764240" w:rsidRPr="00B959F8">
        <w:rPr>
          <w:rFonts w:ascii="Arial Narrow" w:eastAsia="Times New Roman" w:hAnsi="Arial Narrow" w:cs="Times New Roman"/>
          <w:sz w:val="24"/>
          <w:szCs w:val="24"/>
          <w:lang w:eastAsia="en-ZA"/>
        </w:rPr>
        <w:t>d</w:t>
      </w:r>
      <w:r w:rsidRPr="00B959F8">
        <w:rPr>
          <w:rFonts w:ascii="Arial Narrow" w:eastAsia="Times New Roman" w:hAnsi="Arial Narrow" w:cs="Times New Roman"/>
          <w:sz w:val="24"/>
          <w:szCs w:val="24"/>
          <w:lang w:eastAsia="en-ZA"/>
        </w:rPr>
        <w:t xml:space="preserve"> to</w:t>
      </w:r>
      <w:r w:rsidR="003B63A3" w:rsidRPr="00B959F8">
        <w:rPr>
          <w:rFonts w:ascii="Arial Narrow" w:eastAsia="Times New Roman" w:hAnsi="Arial Narrow" w:cs="Times New Roman"/>
          <w:sz w:val="24"/>
          <w:szCs w:val="24"/>
          <w:lang w:eastAsia="en-ZA"/>
        </w:rPr>
        <w:t xml:space="preserve"> the introduction of a contribution relie</w:t>
      </w:r>
      <w:r w:rsidR="00764240" w:rsidRPr="00B959F8">
        <w:rPr>
          <w:rFonts w:ascii="Arial Narrow" w:eastAsia="Times New Roman" w:hAnsi="Arial Narrow" w:cs="Times New Roman"/>
          <w:sz w:val="24"/>
          <w:szCs w:val="24"/>
          <w:lang w:eastAsia="en-ZA"/>
        </w:rPr>
        <w:t>f</w:t>
      </w:r>
      <w:r w:rsidR="003B63A3" w:rsidRPr="00B959F8">
        <w:rPr>
          <w:rFonts w:ascii="Arial Narrow" w:eastAsia="Times New Roman" w:hAnsi="Arial Narrow" w:cs="Times New Roman"/>
          <w:sz w:val="24"/>
          <w:szCs w:val="24"/>
          <w:lang w:eastAsia="en-ZA"/>
        </w:rPr>
        <w:t xml:space="preserve"> for both workers and employers</w:t>
      </w:r>
      <w:r w:rsidR="00A7121D" w:rsidRPr="00B959F8">
        <w:rPr>
          <w:rFonts w:ascii="Arial Narrow" w:eastAsia="Times New Roman" w:hAnsi="Arial Narrow" w:cs="Times New Roman"/>
          <w:sz w:val="24"/>
          <w:szCs w:val="24"/>
          <w:lang w:eastAsia="en-ZA"/>
        </w:rPr>
        <w:t>, the effect will be that the enhancements in the Bill will not be able to be</w:t>
      </w:r>
      <w:bookmarkStart w:id="20" w:name="_GoBack"/>
      <w:bookmarkEnd w:id="20"/>
      <w:r w:rsidR="00A7121D" w:rsidRPr="00B959F8">
        <w:rPr>
          <w:rFonts w:ascii="Arial Narrow" w:eastAsia="Times New Roman" w:hAnsi="Arial Narrow" w:cs="Times New Roman"/>
          <w:sz w:val="24"/>
          <w:szCs w:val="24"/>
          <w:lang w:eastAsia="en-ZA"/>
        </w:rPr>
        <w:t xml:space="preserve"> introduced to bring it more in line with the ILO conventions and will have a devastating effect on the long term sustainabilit</w:t>
      </w:r>
      <w:r w:rsidR="00B959F8" w:rsidRPr="00B959F8">
        <w:rPr>
          <w:rFonts w:ascii="Arial Narrow" w:eastAsia="Times New Roman" w:hAnsi="Arial Narrow" w:cs="Times New Roman"/>
          <w:sz w:val="24"/>
          <w:szCs w:val="24"/>
          <w:lang w:eastAsia="en-ZA"/>
        </w:rPr>
        <w:t>y of the Fund. Furthermore the i</w:t>
      </w:r>
      <w:r w:rsidR="00A7121D" w:rsidRPr="00B959F8">
        <w:rPr>
          <w:rFonts w:ascii="Arial Narrow" w:eastAsia="Times New Roman" w:hAnsi="Arial Narrow" w:cs="Times New Roman"/>
          <w:sz w:val="24"/>
          <w:szCs w:val="24"/>
          <w:lang w:eastAsia="en-ZA"/>
        </w:rPr>
        <w:t>ncome ceiling will also change the implementation of the BCEA. T</w:t>
      </w:r>
      <w:r w:rsidR="003B63A3" w:rsidRPr="00B959F8">
        <w:rPr>
          <w:rFonts w:ascii="Arial Narrow" w:eastAsia="Times New Roman" w:hAnsi="Arial Narrow" w:cs="Times New Roman"/>
          <w:sz w:val="24"/>
          <w:szCs w:val="24"/>
          <w:lang w:eastAsia="en-ZA"/>
        </w:rPr>
        <w:t xml:space="preserve">he unilateral action by the Finance Ministry undermines social dialogue and social partnership in NEDLAC. </w:t>
      </w:r>
    </w:p>
    <w:p w:rsidR="006C080F" w:rsidRPr="00270770" w:rsidRDefault="00B32EFA" w:rsidP="00270770">
      <w:pPr>
        <w:pStyle w:val="Heading1"/>
      </w:pPr>
      <w:bookmarkStart w:id="21" w:name="_Toc413130788"/>
      <w:r w:rsidRPr="00B32EFA">
        <w:t>STATE</w:t>
      </w:r>
      <w:r>
        <w:t xml:space="preserve"> – </w:t>
      </w:r>
      <w:r w:rsidRPr="00B32EFA">
        <w:t xml:space="preserve">OWNED </w:t>
      </w:r>
      <w:r>
        <w:t>ENTERPRISES</w:t>
      </w:r>
      <w:bookmarkEnd w:id="21"/>
    </w:p>
    <w:p w:rsidR="003B63A3" w:rsidRPr="00270770" w:rsidRDefault="003B63A3" w:rsidP="003B63A3">
      <w:pPr>
        <w:spacing w:line="360" w:lineRule="auto"/>
        <w:jc w:val="both"/>
        <w:textAlignment w:val="baseline"/>
        <w:rPr>
          <w:rFonts w:ascii="Arial Narrow" w:eastAsia="Times New Roman" w:hAnsi="Arial Narrow" w:cs="Times New Roman"/>
          <w:color w:val="000000"/>
          <w:sz w:val="24"/>
          <w:szCs w:val="24"/>
          <w:lang w:eastAsia="en-ZA"/>
        </w:rPr>
      </w:pPr>
    </w:p>
    <w:p w:rsidR="00E8451A" w:rsidRPr="00270770" w:rsidRDefault="003B63A3" w:rsidP="003B63A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 argues that s</w:t>
      </w:r>
      <w:r w:rsidR="006C080F" w:rsidRPr="00270770">
        <w:rPr>
          <w:rFonts w:ascii="Arial Narrow" w:eastAsia="Times New Roman" w:hAnsi="Arial Narrow" w:cs="Times New Roman"/>
          <w:color w:val="000000"/>
          <w:sz w:val="24"/>
          <w:szCs w:val="24"/>
          <w:lang w:eastAsia="en-ZA"/>
        </w:rPr>
        <w:t>tate-owned companies pl</w:t>
      </w:r>
      <w:r w:rsidRPr="00270770">
        <w:rPr>
          <w:rFonts w:ascii="Arial Narrow" w:eastAsia="Times New Roman" w:hAnsi="Arial Narrow" w:cs="Times New Roman"/>
          <w:color w:val="000000"/>
          <w:sz w:val="24"/>
          <w:szCs w:val="24"/>
          <w:lang w:eastAsia="en-ZA"/>
        </w:rPr>
        <w:t>ay an essential</w:t>
      </w:r>
      <w:r w:rsidR="006C080F" w:rsidRPr="00270770">
        <w:rPr>
          <w:rFonts w:ascii="Arial Narrow" w:eastAsia="Times New Roman" w:hAnsi="Arial Narrow" w:cs="Times New Roman"/>
          <w:color w:val="000000"/>
          <w:sz w:val="24"/>
          <w:szCs w:val="24"/>
          <w:lang w:eastAsia="en-ZA"/>
        </w:rPr>
        <w:t xml:space="preserve"> role in promoting economic growth and social development</w:t>
      </w:r>
      <w:r w:rsidRPr="00270770">
        <w:rPr>
          <w:rFonts w:ascii="Arial Narrow" w:eastAsia="Times New Roman" w:hAnsi="Arial Narrow" w:cs="Times New Roman"/>
          <w:color w:val="000000"/>
          <w:sz w:val="24"/>
          <w:szCs w:val="24"/>
          <w:lang w:eastAsia="en-ZA"/>
        </w:rPr>
        <w:t xml:space="preserve"> and it is critical to align the operations and corporate governance to the King </w:t>
      </w:r>
      <w:r w:rsidR="00B32EFA">
        <w:rPr>
          <w:rFonts w:ascii="Arial Narrow" w:eastAsia="Times New Roman" w:hAnsi="Arial Narrow" w:cs="Times New Roman"/>
          <w:color w:val="000000"/>
          <w:sz w:val="24"/>
          <w:szCs w:val="24"/>
          <w:lang w:eastAsia="en-ZA"/>
        </w:rPr>
        <w:t xml:space="preserve">III Report </w:t>
      </w:r>
      <w:r w:rsidRPr="00270770">
        <w:rPr>
          <w:rFonts w:ascii="Arial Narrow" w:eastAsia="Times New Roman" w:hAnsi="Arial Narrow" w:cs="Times New Roman"/>
          <w:color w:val="000000"/>
          <w:sz w:val="24"/>
          <w:szCs w:val="24"/>
          <w:lang w:eastAsia="en-ZA"/>
        </w:rPr>
        <w:t>and the Company’s Act</w:t>
      </w:r>
      <w:r w:rsidR="006C080F" w:rsidRPr="00270770">
        <w:rPr>
          <w:rFonts w:ascii="Arial Narrow" w:eastAsia="Times New Roman" w:hAnsi="Arial Narrow" w:cs="Times New Roman"/>
          <w:color w:val="000000"/>
          <w:sz w:val="24"/>
          <w:szCs w:val="24"/>
          <w:lang w:eastAsia="en-ZA"/>
        </w:rPr>
        <w:t>.</w:t>
      </w:r>
      <w:r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State-owned companies will invest about R360bn over the next three years, accounting for about 20 percent of South Africa’s gro</w:t>
      </w:r>
      <w:r w:rsidRPr="00270770">
        <w:rPr>
          <w:rFonts w:ascii="Arial Narrow" w:eastAsia="Times New Roman" w:hAnsi="Arial Narrow" w:cs="Times New Roman"/>
          <w:color w:val="000000"/>
          <w:sz w:val="24"/>
          <w:szCs w:val="24"/>
          <w:lang w:eastAsia="en-ZA"/>
        </w:rPr>
        <w:t>ss capital formation. T</w:t>
      </w:r>
      <w:r w:rsidR="006C080F" w:rsidRPr="00270770">
        <w:rPr>
          <w:rFonts w:ascii="Arial Narrow" w:eastAsia="Times New Roman" w:hAnsi="Arial Narrow" w:cs="Times New Roman"/>
          <w:color w:val="000000"/>
          <w:sz w:val="24"/>
          <w:szCs w:val="24"/>
          <w:lang w:eastAsia="en-ZA"/>
        </w:rPr>
        <w:t xml:space="preserve">he financial </w:t>
      </w:r>
      <w:r w:rsidR="00270770" w:rsidRPr="00270770">
        <w:rPr>
          <w:rFonts w:ascii="Arial Narrow" w:eastAsia="Times New Roman" w:hAnsi="Arial Narrow" w:cs="Times New Roman"/>
          <w:color w:val="000000"/>
          <w:sz w:val="24"/>
          <w:szCs w:val="24"/>
          <w:lang w:eastAsia="en-ZA"/>
        </w:rPr>
        <w:t>position</w:t>
      </w:r>
      <w:r w:rsidR="00270770">
        <w:rPr>
          <w:rFonts w:ascii="Arial Narrow" w:eastAsia="Times New Roman" w:hAnsi="Arial Narrow" w:cs="Times New Roman"/>
          <w:color w:val="000000"/>
          <w:sz w:val="24"/>
          <w:szCs w:val="24"/>
          <w:lang w:eastAsia="en-ZA"/>
        </w:rPr>
        <w:t xml:space="preserve"> of South African Airways (SAA), South African Post Office (SAPO) and the South African National Roads Agency Limited (SANRAL) are unsatisfactory because of political interference and weak corporate governance and undermines</w:t>
      </w:r>
      <w:r w:rsidR="00E8451A" w:rsidRPr="00270770">
        <w:rPr>
          <w:rFonts w:ascii="Arial Narrow" w:eastAsia="Times New Roman" w:hAnsi="Arial Narrow" w:cs="Times New Roman"/>
          <w:color w:val="000000"/>
          <w:sz w:val="24"/>
          <w:szCs w:val="24"/>
          <w:lang w:eastAsia="en-ZA"/>
        </w:rPr>
        <w:t xml:space="preserve"> the</w:t>
      </w:r>
      <w:r w:rsidR="006C080F" w:rsidRPr="00270770">
        <w:rPr>
          <w:rFonts w:ascii="Arial Narrow" w:eastAsia="Times New Roman" w:hAnsi="Arial Narrow" w:cs="Times New Roman"/>
          <w:color w:val="000000"/>
          <w:sz w:val="24"/>
          <w:szCs w:val="24"/>
          <w:lang w:eastAsia="en-ZA"/>
        </w:rPr>
        <w:t xml:space="preserve"> ability</w:t>
      </w:r>
      <w:r w:rsidR="00E8451A" w:rsidRPr="00270770">
        <w:rPr>
          <w:rFonts w:ascii="Arial Narrow" w:eastAsia="Times New Roman" w:hAnsi="Arial Narrow" w:cs="Times New Roman"/>
          <w:color w:val="000000"/>
          <w:sz w:val="24"/>
          <w:szCs w:val="24"/>
          <w:lang w:eastAsia="en-ZA"/>
        </w:rPr>
        <w:t xml:space="preserve"> of these SOCs</w:t>
      </w:r>
      <w:r w:rsidR="006C080F" w:rsidRPr="00270770">
        <w:rPr>
          <w:rFonts w:ascii="Arial Narrow" w:eastAsia="Times New Roman" w:hAnsi="Arial Narrow" w:cs="Times New Roman"/>
          <w:color w:val="000000"/>
          <w:sz w:val="24"/>
          <w:szCs w:val="24"/>
          <w:lang w:eastAsia="en-ZA"/>
        </w:rPr>
        <w:t xml:space="preserve"> to contribute toward</w:t>
      </w:r>
      <w:r w:rsidR="00E8451A" w:rsidRPr="00270770">
        <w:rPr>
          <w:rFonts w:ascii="Arial Narrow" w:eastAsia="Times New Roman" w:hAnsi="Arial Narrow" w:cs="Times New Roman"/>
          <w:color w:val="000000"/>
          <w:sz w:val="24"/>
          <w:szCs w:val="24"/>
          <w:lang w:eastAsia="en-ZA"/>
        </w:rPr>
        <w:t>s the</w:t>
      </w:r>
      <w:r w:rsidR="006C080F" w:rsidRPr="00270770">
        <w:rPr>
          <w:rFonts w:ascii="Arial Narrow" w:eastAsia="Times New Roman" w:hAnsi="Arial Narrow" w:cs="Times New Roman"/>
          <w:color w:val="000000"/>
          <w:sz w:val="24"/>
          <w:szCs w:val="24"/>
          <w:lang w:eastAsia="en-ZA"/>
        </w:rPr>
        <w:t xml:space="preserve"> development</w:t>
      </w:r>
      <w:r w:rsidR="00E8451A" w:rsidRPr="00270770">
        <w:rPr>
          <w:rFonts w:ascii="Arial Narrow" w:eastAsia="Times New Roman" w:hAnsi="Arial Narrow" w:cs="Times New Roman"/>
          <w:color w:val="000000"/>
          <w:sz w:val="24"/>
          <w:szCs w:val="24"/>
          <w:lang w:eastAsia="en-ZA"/>
        </w:rPr>
        <w:t xml:space="preserve"> of the country</w:t>
      </w:r>
      <w:r w:rsidR="006C080F" w:rsidRPr="00270770">
        <w:rPr>
          <w:rFonts w:ascii="Arial Narrow" w:eastAsia="Times New Roman" w:hAnsi="Arial Narrow" w:cs="Times New Roman"/>
          <w:color w:val="000000"/>
          <w:sz w:val="24"/>
          <w:szCs w:val="24"/>
          <w:lang w:eastAsia="en-ZA"/>
        </w:rPr>
        <w:t>. Reforms are required to ensure that state companies contribute to building a competitive economy and are not an unnecessary drain on the fiscus.</w:t>
      </w:r>
      <w:r w:rsidR="00E8451A" w:rsidRPr="00270770">
        <w:rPr>
          <w:rFonts w:ascii="Arial Narrow" w:eastAsia="Times New Roman" w:hAnsi="Arial Narrow" w:cs="Times New Roman"/>
          <w:color w:val="000000"/>
          <w:sz w:val="24"/>
          <w:szCs w:val="24"/>
          <w:lang w:eastAsia="en-ZA"/>
        </w:rPr>
        <w:t xml:space="preserve"> </w:t>
      </w:r>
    </w:p>
    <w:p w:rsidR="00E8451A" w:rsidRPr="00270770" w:rsidRDefault="00E8451A" w:rsidP="003B63A3">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E8451A" w:rsidP="003B63A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lastRenderedPageBreak/>
        <w:t>The Federation hereby propose</w:t>
      </w:r>
      <w:r w:rsidR="0076424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that government should consider introducing the co-determination model that </w:t>
      </w:r>
      <w:r w:rsidR="00764240">
        <w:rPr>
          <w:rFonts w:ascii="Arial Narrow" w:eastAsia="Times New Roman" w:hAnsi="Arial Narrow" w:cs="Times New Roman"/>
          <w:color w:val="000000"/>
          <w:sz w:val="24"/>
          <w:szCs w:val="24"/>
          <w:lang w:eastAsia="en-ZA"/>
        </w:rPr>
        <w:t>is</w:t>
      </w:r>
      <w:r w:rsidR="00764240" w:rsidRPr="00270770">
        <w:rPr>
          <w:rFonts w:ascii="Arial Narrow" w:eastAsia="Times New Roman" w:hAnsi="Arial Narrow" w:cs="Times New Roman"/>
          <w:color w:val="000000"/>
          <w:sz w:val="24"/>
          <w:szCs w:val="24"/>
          <w:lang w:eastAsia="en-ZA"/>
        </w:rPr>
        <w:t xml:space="preserve"> </w:t>
      </w:r>
      <w:r w:rsidRPr="00270770">
        <w:rPr>
          <w:rFonts w:ascii="Arial Narrow" w:eastAsia="Times New Roman" w:hAnsi="Arial Narrow" w:cs="Times New Roman"/>
          <w:color w:val="000000"/>
          <w:sz w:val="24"/>
          <w:szCs w:val="24"/>
          <w:lang w:eastAsia="en-ZA"/>
        </w:rPr>
        <w:t>used international</w:t>
      </w:r>
      <w:r w:rsidR="00764240">
        <w:rPr>
          <w:rFonts w:ascii="Arial Narrow" w:eastAsia="Times New Roman" w:hAnsi="Arial Narrow" w:cs="Times New Roman"/>
          <w:color w:val="000000"/>
          <w:sz w:val="24"/>
          <w:szCs w:val="24"/>
          <w:lang w:eastAsia="en-ZA"/>
        </w:rPr>
        <w:t>ly</w:t>
      </w:r>
      <w:r w:rsidRPr="00270770">
        <w:rPr>
          <w:rFonts w:ascii="Arial Narrow" w:eastAsia="Times New Roman" w:hAnsi="Arial Narrow" w:cs="Times New Roman"/>
          <w:color w:val="000000"/>
          <w:sz w:val="24"/>
          <w:szCs w:val="24"/>
          <w:lang w:eastAsia="en-ZA"/>
        </w:rPr>
        <w:t xml:space="preserve">, where worker representatives are appointed to the boards. Furthermore, all deployees should be </w:t>
      </w:r>
      <w:r w:rsidR="00270770" w:rsidRPr="00270770">
        <w:rPr>
          <w:rFonts w:ascii="Arial Narrow" w:eastAsia="Times New Roman" w:hAnsi="Arial Narrow" w:cs="Times New Roman"/>
          <w:color w:val="000000"/>
          <w:sz w:val="24"/>
          <w:szCs w:val="24"/>
          <w:lang w:eastAsia="en-ZA"/>
        </w:rPr>
        <w:t>properly vetted</w:t>
      </w:r>
      <w:r w:rsidRPr="00270770">
        <w:rPr>
          <w:rFonts w:ascii="Arial Narrow" w:eastAsia="Times New Roman" w:hAnsi="Arial Narrow" w:cs="Times New Roman"/>
          <w:color w:val="000000"/>
          <w:sz w:val="24"/>
          <w:szCs w:val="24"/>
          <w:lang w:eastAsia="en-ZA"/>
        </w:rPr>
        <w:t xml:space="preserve"> to avoid unqualified persons being appointed on boards of SOCs. FEDUSA support</w:t>
      </w:r>
      <w:r w:rsidR="0076424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the approach that</w:t>
      </w:r>
      <w:r w:rsidR="006C080F" w:rsidRPr="00270770">
        <w:rPr>
          <w:rFonts w:ascii="Arial Narrow" w:eastAsia="Times New Roman" w:hAnsi="Arial Narrow" w:cs="Times New Roman"/>
          <w:color w:val="000000"/>
          <w:sz w:val="24"/>
          <w:szCs w:val="24"/>
          <w:lang w:eastAsia="en-ZA"/>
        </w:rPr>
        <w:t xml:space="preserve"> fiscal support to state-owned companies over the period ahead </w:t>
      </w:r>
      <w:r w:rsidRPr="00270770">
        <w:rPr>
          <w:rFonts w:ascii="Arial Narrow" w:eastAsia="Times New Roman" w:hAnsi="Arial Narrow" w:cs="Times New Roman"/>
          <w:color w:val="000000"/>
          <w:sz w:val="24"/>
          <w:szCs w:val="24"/>
          <w:lang w:eastAsia="en-ZA"/>
        </w:rPr>
        <w:t xml:space="preserve">should </w:t>
      </w:r>
      <w:r w:rsidR="006C080F" w:rsidRPr="00270770">
        <w:rPr>
          <w:rFonts w:ascii="Arial Narrow" w:eastAsia="Times New Roman" w:hAnsi="Arial Narrow" w:cs="Times New Roman"/>
          <w:color w:val="000000"/>
          <w:sz w:val="24"/>
          <w:szCs w:val="24"/>
          <w:lang w:eastAsia="en-ZA"/>
        </w:rPr>
        <w:t>be financed through offsetting asset sales so that there is no net impact on the budget deficit.</w:t>
      </w:r>
    </w:p>
    <w:p w:rsidR="00E8451A" w:rsidRPr="00270770" w:rsidRDefault="00E8451A" w:rsidP="003B63A3">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E8451A" w:rsidP="003B63A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 argues that it is critical to stabilise the</w:t>
      </w:r>
      <w:r w:rsidR="006C080F" w:rsidRPr="00270770">
        <w:rPr>
          <w:rFonts w:ascii="Arial Narrow" w:eastAsia="Times New Roman" w:hAnsi="Arial Narrow" w:cs="Times New Roman"/>
          <w:color w:val="000000"/>
          <w:sz w:val="24"/>
          <w:szCs w:val="24"/>
          <w:lang w:eastAsia="en-ZA"/>
        </w:rPr>
        <w:t xml:space="preserve"> financial position</w:t>
      </w:r>
      <w:r w:rsidRPr="00270770">
        <w:rPr>
          <w:rFonts w:ascii="Arial Narrow" w:eastAsia="Times New Roman" w:hAnsi="Arial Narrow" w:cs="Times New Roman"/>
          <w:color w:val="000000"/>
          <w:sz w:val="24"/>
          <w:szCs w:val="24"/>
          <w:lang w:eastAsia="en-ZA"/>
        </w:rPr>
        <w:t xml:space="preserve"> of Eskom and the enterprises </w:t>
      </w:r>
      <w:r w:rsidR="006C080F" w:rsidRPr="00270770">
        <w:rPr>
          <w:rFonts w:ascii="Arial Narrow" w:eastAsia="Times New Roman" w:hAnsi="Arial Narrow" w:cs="Times New Roman"/>
          <w:color w:val="000000"/>
          <w:sz w:val="24"/>
          <w:szCs w:val="24"/>
          <w:lang w:eastAsia="en-ZA"/>
        </w:rPr>
        <w:t xml:space="preserve">will apply to </w:t>
      </w:r>
      <w:r w:rsidRPr="00270770">
        <w:rPr>
          <w:rFonts w:ascii="Arial Narrow" w:eastAsia="Times New Roman" w:hAnsi="Arial Narrow" w:cs="Times New Roman"/>
          <w:color w:val="000000"/>
          <w:sz w:val="24"/>
          <w:szCs w:val="24"/>
          <w:lang w:eastAsia="en-ZA"/>
        </w:rPr>
        <w:t xml:space="preserve">NERSA </w:t>
      </w:r>
      <w:r w:rsidR="006C080F" w:rsidRPr="00270770">
        <w:rPr>
          <w:rFonts w:ascii="Arial Narrow" w:eastAsia="Times New Roman" w:hAnsi="Arial Narrow" w:cs="Times New Roman"/>
          <w:color w:val="000000"/>
          <w:sz w:val="24"/>
          <w:szCs w:val="24"/>
          <w:lang w:eastAsia="en-ZA"/>
        </w:rPr>
        <w:t>for adjustments towards cost-reflective tariffs.</w:t>
      </w:r>
      <w:r w:rsidR="00274CC0" w:rsidRPr="00270770">
        <w:rPr>
          <w:rFonts w:ascii="Arial Narrow" w:eastAsia="Times New Roman" w:hAnsi="Arial Narrow" w:cs="Times New Roman"/>
          <w:color w:val="000000"/>
          <w:sz w:val="24"/>
          <w:szCs w:val="24"/>
          <w:lang w:eastAsia="en-ZA"/>
        </w:rPr>
        <w:t xml:space="preserve"> It is important for proper cost saving measures to be introduced including executive pay restrictions and banning of long and short-term bonuses. </w:t>
      </w:r>
      <w:r w:rsidR="006C080F" w:rsidRPr="00270770">
        <w:rPr>
          <w:rFonts w:ascii="Arial Narrow" w:eastAsia="Times New Roman" w:hAnsi="Arial Narrow" w:cs="Times New Roman"/>
          <w:color w:val="000000"/>
          <w:sz w:val="24"/>
          <w:szCs w:val="24"/>
          <w:lang w:eastAsia="en-ZA"/>
        </w:rPr>
        <w:t xml:space="preserve">The </w:t>
      </w:r>
      <w:r w:rsidR="00274CC0" w:rsidRPr="00270770">
        <w:rPr>
          <w:rFonts w:ascii="Arial Narrow" w:eastAsia="Times New Roman" w:hAnsi="Arial Narrow" w:cs="Times New Roman"/>
          <w:color w:val="000000"/>
          <w:sz w:val="24"/>
          <w:szCs w:val="24"/>
          <w:lang w:eastAsia="en-ZA"/>
        </w:rPr>
        <w:t>Federation understand the necessity for the fiscus to allocate</w:t>
      </w:r>
      <w:r w:rsidR="006C080F" w:rsidRPr="00270770">
        <w:rPr>
          <w:rFonts w:ascii="Arial Narrow" w:eastAsia="Times New Roman" w:hAnsi="Arial Narrow" w:cs="Times New Roman"/>
          <w:color w:val="000000"/>
          <w:sz w:val="24"/>
          <w:szCs w:val="24"/>
          <w:lang w:eastAsia="en-ZA"/>
        </w:rPr>
        <w:t xml:space="preserve"> R23bn </w:t>
      </w:r>
      <w:r w:rsidR="00274CC0" w:rsidRPr="00270770">
        <w:rPr>
          <w:rFonts w:ascii="Arial Narrow" w:eastAsia="Times New Roman" w:hAnsi="Arial Narrow" w:cs="Times New Roman"/>
          <w:color w:val="000000"/>
          <w:sz w:val="24"/>
          <w:szCs w:val="24"/>
          <w:lang w:eastAsia="en-ZA"/>
        </w:rPr>
        <w:t>to ensure the sustainability of Eskom</w:t>
      </w:r>
      <w:r w:rsidR="00A46E47" w:rsidRPr="00270770">
        <w:rPr>
          <w:rFonts w:ascii="Arial Narrow" w:eastAsia="Times New Roman" w:hAnsi="Arial Narrow" w:cs="Times New Roman"/>
          <w:color w:val="000000"/>
          <w:sz w:val="24"/>
          <w:szCs w:val="24"/>
          <w:lang w:eastAsia="en-ZA"/>
        </w:rPr>
        <w:t xml:space="preserve">. </w:t>
      </w:r>
    </w:p>
    <w:p w:rsidR="00E8451A" w:rsidRPr="00270770" w:rsidRDefault="00E8451A" w:rsidP="003B63A3">
      <w:pPr>
        <w:spacing w:line="360" w:lineRule="auto"/>
        <w:jc w:val="both"/>
        <w:textAlignment w:val="baseline"/>
        <w:rPr>
          <w:rFonts w:ascii="Arial Narrow" w:eastAsia="Times New Roman" w:hAnsi="Arial Narrow" w:cs="Times New Roman"/>
          <w:color w:val="000000"/>
          <w:sz w:val="24"/>
          <w:szCs w:val="24"/>
          <w:lang w:eastAsia="en-ZA"/>
        </w:rPr>
      </w:pPr>
    </w:p>
    <w:p w:rsidR="00A46E47" w:rsidRPr="00270770" w:rsidRDefault="006C080F" w:rsidP="003B63A3">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SAA reported a net loss of R2.6bn in 2013/14, as a result of high operating costs, </w:t>
      </w:r>
      <w:r w:rsidR="00A46E47" w:rsidRPr="00270770">
        <w:rPr>
          <w:rFonts w:ascii="Arial Narrow" w:eastAsia="Times New Roman" w:hAnsi="Arial Narrow" w:cs="Times New Roman"/>
          <w:color w:val="000000"/>
          <w:sz w:val="24"/>
          <w:szCs w:val="24"/>
          <w:lang w:eastAsia="en-ZA"/>
        </w:rPr>
        <w:t xml:space="preserve">political interference, deployment of unqualified board members, </w:t>
      </w:r>
      <w:r w:rsidRPr="00270770">
        <w:rPr>
          <w:rFonts w:ascii="Arial Narrow" w:eastAsia="Times New Roman" w:hAnsi="Arial Narrow" w:cs="Times New Roman"/>
          <w:color w:val="000000"/>
          <w:sz w:val="24"/>
          <w:szCs w:val="24"/>
          <w:lang w:eastAsia="en-ZA"/>
        </w:rPr>
        <w:t>losses on several international routes and valuation adjustments.</w:t>
      </w:r>
      <w:r w:rsidR="00A46E47" w:rsidRPr="00270770">
        <w:rPr>
          <w:rFonts w:ascii="Arial Narrow" w:eastAsia="Times New Roman" w:hAnsi="Arial Narrow" w:cs="Times New Roman"/>
          <w:color w:val="000000"/>
          <w:sz w:val="24"/>
          <w:szCs w:val="24"/>
          <w:lang w:eastAsia="en-ZA"/>
        </w:rPr>
        <w:t xml:space="preserve"> Government </w:t>
      </w:r>
      <w:r w:rsidRPr="00270770">
        <w:rPr>
          <w:rFonts w:ascii="Arial Narrow" w:eastAsia="Times New Roman" w:hAnsi="Arial Narrow" w:cs="Times New Roman"/>
          <w:color w:val="000000"/>
          <w:sz w:val="24"/>
          <w:szCs w:val="24"/>
          <w:lang w:eastAsia="en-ZA"/>
        </w:rPr>
        <w:t>ha</w:t>
      </w:r>
      <w:r w:rsidR="0076424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made guarantees of R14.4bn available to SAA, of which the airline has drawn R8.3bn. Measures to achieve operational efficiencies and restore profitability are now in progress.</w:t>
      </w:r>
      <w:r w:rsidR="00A46E47" w:rsidRPr="00270770">
        <w:rPr>
          <w:rFonts w:ascii="Arial Narrow" w:eastAsia="Times New Roman" w:hAnsi="Arial Narrow" w:cs="Times New Roman"/>
          <w:color w:val="000000"/>
          <w:sz w:val="24"/>
          <w:szCs w:val="24"/>
          <w:lang w:eastAsia="en-ZA"/>
        </w:rPr>
        <w:t xml:space="preserve"> The public fail</w:t>
      </w:r>
      <w:r w:rsidR="00764240">
        <w:rPr>
          <w:rFonts w:ascii="Arial Narrow" w:eastAsia="Times New Roman" w:hAnsi="Arial Narrow" w:cs="Times New Roman"/>
          <w:color w:val="000000"/>
          <w:sz w:val="24"/>
          <w:szCs w:val="24"/>
          <w:lang w:eastAsia="en-ZA"/>
        </w:rPr>
        <w:t>s</w:t>
      </w:r>
      <w:r w:rsidR="00A46E47" w:rsidRPr="00270770">
        <w:rPr>
          <w:rFonts w:ascii="Arial Narrow" w:eastAsia="Times New Roman" w:hAnsi="Arial Narrow" w:cs="Times New Roman"/>
          <w:color w:val="000000"/>
          <w:sz w:val="24"/>
          <w:szCs w:val="24"/>
          <w:lang w:eastAsia="en-ZA"/>
        </w:rPr>
        <w:t xml:space="preserve"> to understand the need for SAA to be bail</w:t>
      </w:r>
      <w:r w:rsidR="00764240">
        <w:rPr>
          <w:rFonts w:ascii="Arial Narrow" w:eastAsia="Times New Roman" w:hAnsi="Arial Narrow" w:cs="Times New Roman"/>
          <w:color w:val="000000"/>
          <w:sz w:val="24"/>
          <w:szCs w:val="24"/>
          <w:lang w:eastAsia="en-ZA"/>
        </w:rPr>
        <w:t xml:space="preserve">ed </w:t>
      </w:r>
      <w:r w:rsidR="00A46E47" w:rsidRPr="00270770">
        <w:rPr>
          <w:rFonts w:ascii="Arial Narrow" w:eastAsia="Times New Roman" w:hAnsi="Arial Narrow" w:cs="Times New Roman"/>
          <w:color w:val="000000"/>
          <w:sz w:val="24"/>
          <w:szCs w:val="24"/>
          <w:lang w:eastAsia="en-ZA"/>
        </w:rPr>
        <w:t>out, while other airlines operate on the same routes without bailouts and still contribute towards the fiscus through taxation.</w:t>
      </w:r>
    </w:p>
    <w:p w:rsidR="00A46E47" w:rsidRPr="00270770" w:rsidRDefault="00A46E47" w:rsidP="003B63A3">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A46E47"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 note</w:t>
      </w:r>
      <w:r w:rsidR="00587D9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the g</w:t>
      </w:r>
      <w:r w:rsidR="006C080F" w:rsidRPr="00270770">
        <w:rPr>
          <w:rFonts w:ascii="Arial Narrow" w:eastAsia="Times New Roman" w:hAnsi="Arial Narrow" w:cs="Times New Roman"/>
          <w:color w:val="000000"/>
          <w:sz w:val="24"/>
          <w:szCs w:val="24"/>
          <w:lang w:eastAsia="en-ZA"/>
        </w:rPr>
        <w:t xml:space="preserve">uarantees </w:t>
      </w:r>
      <w:r w:rsidRPr="00270770">
        <w:rPr>
          <w:rFonts w:ascii="Arial Narrow" w:eastAsia="Times New Roman" w:hAnsi="Arial Narrow" w:cs="Times New Roman"/>
          <w:color w:val="000000"/>
          <w:sz w:val="24"/>
          <w:szCs w:val="24"/>
          <w:lang w:eastAsia="en-ZA"/>
        </w:rPr>
        <w:t>that have</w:t>
      </w:r>
      <w:r w:rsidR="006C080F" w:rsidRPr="00270770">
        <w:rPr>
          <w:rFonts w:ascii="Arial Narrow" w:eastAsia="Times New Roman" w:hAnsi="Arial Narrow" w:cs="Times New Roman"/>
          <w:color w:val="000000"/>
          <w:sz w:val="24"/>
          <w:szCs w:val="24"/>
          <w:lang w:eastAsia="en-ZA"/>
        </w:rPr>
        <w:t xml:space="preserve"> been provided t</w:t>
      </w:r>
      <w:r w:rsidRPr="00270770">
        <w:rPr>
          <w:rFonts w:ascii="Arial Narrow" w:eastAsia="Times New Roman" w:hAnsi="Arial Narrow" w:cs="Times New Roman"/>
          <w:color w:val="000000"/>
          <w:sz w:val="24"/>
          <w:szCs w:val="24"/>
          <w:lang w:eastAsia="en-ZA"/>
        </w:rPr>
        <w:t xml:space="preserve">o the South African Post Office (SAPO) on condition of the </w:t>
      </w:r>
      <w:r w:rsidR="006C080F" w:rsidRPr="00270770">
        <w:rPr>
          <w:rFonts w:ascii="Arial Narrow" w:eastAsia="Times New Roman" w:hAnsi="Arial Narrow" w:cs="Times New Roman"/>
          <w:color w:val="000000"/>
          <w:sz w:val="24"/>
          <w:szCs w:val="24"/>
          <w:lang w:eastAsia="en-ZA"/>
        </w:rPr>
        <w:t xml:space="preserve">implementation of </w:t>
      </w:r>
      <w:r w:rsidRPr="00270770">
        <w:rPr>
          <w:rFonts w:ascii="Arial Narrow" w:eastAsia="Times New Roman" w:hAnsi="Arial Narrow" w:cs="Times New Roman"/>
          <w:color w:val="000000"/>
          <w:sz w:val="24"/>
          <w:szCs w:val="24"/>
          <w:lang w:eastAsia="en-ZA"/>
        </w:rPr>
        <w:t xml:space="preserve">new </w:t>
      </w:r>
      <w:r w:rsidR="006C080F" w:rsidRPr="00270770">
        <w:rPr>
          <w:rFonts w:ascii="Arial Narrow" w:eastAsia="Times New Roman" w:hAnsi="Arial Narrow" w:cs="Times New Roman"/>
          <w:color w:val="000000"/>
          <w:sz w:val="24"/>
          <w:szCs w:val="24"/>
          <w:lang w:eastAsia="en-ZA"/>
        </w:rPr>
        <w:t>turnaround strategy.</w:t>
      </w:r>
      <w:r w:rsidRPr="00270770">
        <w:rPr>
          <w:rFonts w:ascii="Arial Narrow" w:eastAsia="Times New Roman" w:hAnsi="Arial Narrow" w:cs="Times New Roman"/>
          <w:color w:val="000000"/>
          <w:sz w:val="24"/>
          <w:szCs w:val="24"/>
          <w:lang w:eastAsia="en-ZA"/>
        </w:rPr>
        <w:t xml:space="preserve"> The Federation refer</w:t>
      </w:r>
      <w:r w:rsidR="00587D9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to the other recommendations concerning good corporate governance.</w:t>
      </w:r>
    </w:p>
    <w:p w:rsidR="006C080F" w:rsidRPr="00270770" w:rsidRDefault="00B32EFA" w:rsidP="00270770">
      <w:pPr>
        <w:pStyle w:val="Heading1"/>
      </w:pPr>
      <w:bookmarkStart w:id="22" w:name="_Toc413130789"/>
      <w:r w:rsidRPr="00B32EFA">
        <w:t>DEVELOPMENT FINANCE</w:t>
      </w:r>
      <w:bookmarkEnd w:id="22"/>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p>
    <w:p w:rsidR="00F9685C" w:rsidRPr="00270770" w:rsidRDefault="00F9685C"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It is argued that Development Finance Institutions (DFIs) help the process of job creation and structural change by addressing market failures through the provision of loans, grants, equity and guarantees. These interventions could lead to better and higher quality investment and benefits to local economic development </w:t>
      </w:r>
      <w:sdt>
        <w:sdtPr>
          <w:rPr>
            <w:rFonts w:ascii="Arial Narrow" w:eastAsia="Times New Roman" w:hAnsi="Arial Narrow" w:cs="Times New Roman"/>
            <w:color w:val="000000"/>
            <w:sz w:val="24"/>
            <w:szCs w:val="24"/>
            <w:lang w:eastAsia="en-ZA"/>
          </w:rPr>
          <w:id w:val="-512753144"/>
          <w:citation/>
        </w:sdtPr>
        <w:sdtContent>
          <w:r w:rsidR="00537E09" w:rsidRPr="00270770">
            <w:rPr>
              <w:rFonts w:ascii="Arial Narrow" w:eastAsia="Times New Roman" w:hAnsi="Arial Narrow" w:cs="Times New Roman"/>
              <w:color w:val="000000"/>
              <w:sz w:val="24"/>
              <w:szCs w:val="24"/>
              <w:lang w:eastAsia="en-ZA"/>
            </w:rPr>
            <w:fldChar w:fldCharType="begin"/>
          </w:r>
          <w:r w:rsidRPr="00270770">
            <w:rPr>
              <w:rFonts w:ascii="Arial Narrow" w:eastAsia="Times New Roman" w:hAnsi="Arial Narrow" w:cs="Times New Roman"/>
              <w:color w:val="000000"/>
              <w:sz w:val="24"/>
              <w:szCs w:val="24"/>
              <w:lang w:val="en-US" w:eastAsia="en-ZA"/>
            </w:rPr>
            <w:instrText xml:space="preserve"> CITATION Jou13 \l 1033 </w:instrText>
          </w:r>
          <w:r w:rsidR="00537E09" w:rsidRPr="00270770">
            <w:rPr>
              <w:rFonts w:ascii="Arial Narrow" w:eastAsia="Times New Roman" w:hAnsi="Arial Narrow" w:cs="Times New Roman"/>
              <w:color w:val="000000"/>
              <w:sz w:val="24"/>
              <w:szCs w:val="24"/>
              <w:lang w:eastAsia="en-ZA"/>
            </w:rPr>
            <w:fldChar w:fldCharType="separate"/>
          </w:r>
          <w:r w:rsidRPr="00270770">
            <w:rPr>
              <w:rFonts w:ascii="Arial Narrow" w:eastAsia="Times New Roman" w:hAnsi="Arial Narrow" w:cs="Times New Roman"/>
              <w:noProof/>
              <w:color w:val="000000"/>
              <w:sz w:val="24"/>
              <w:szCs w:val="24"/>
              <w:lang w:val="en-US" w:eastAsia="en-ZA"/>
            </w:rPr>
            <w:t>(Jouanjean et al., 2013)</w:t>
          </w:r>
          <w:r w:rsidR="00537E09" w:rsidRPr="00270770">
            <w:rPr>
              <w:rFonts w:ascii="Arial Narrow" w:eastAsia="Times New Roman" w:hAnsi="Arial Narrow" w:cs="Times New Roman"/>
              <w:color w:val="000000"/>
              <w:sz w:val="24"/>
              <w:szCs w:val="24"/>
              <w:lang w:eastAsia="en-ZA"/>
            </w:rPr>
            <w:fldChar w:fldCharType="end"/>
          </w:r>
        </w:sdtContent>
      </w:sdt>
      <w:r w:rsidRPr="00270770">
        <w:rPr>
          <w:rFonts w:ascii="Arial Narrow" w:eastAsia="Times New Roman" w:hAnsi="Arial Narrow" w:cs="Times New Roman"/>
          <w:color w:val="000000"/>
          <w:sz w:val="24"/>
          <w:szCs w:val="24"/>
          <w:lang w:eastAsia="en-ZA"/>
        </w:rPr>
        <w:t>.</w:t>
      </w:r>
    </w:p>
    <w:p w:rsidR="006C080F" w:rsidRPr="00270770" w:rsidRDefault="00F9685C"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 </w:t>
      </w:r>
    </w:p>
    <w:p w:rsidR="006C080F" w:rsidRPr="00270770" w:rsidRDefault="006C080F" w:rsidP="008B381C">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The Development Bank of Southern Africa, the Industrial Development Corporation, the Land Bank and other national Development Finance Institutions </w:t>
      </w:r>
      <w:r w:rsidR="00F9685C" w:rsidRPr="00270770">
        <w:rPr>
          <w:rFonts w:ascii="Arial Narrow" w:eastAsia="Times New Roman" w:hAnsi="Arial Narrow" w:cs="Times New Roman"/>
          <w:color w:val="000000"/>
          <w:sz w:val="24"/>
          <w:szCs w:val="24"/>
          <w:lang w:eastAsia="en-ZA"/>
        </w:rPr>
        <w:t xml:space="preserve">at the end of 2014 had combined </w:t>
      </w:r>
      <w:r w:rsidR="00F9685C" w:rsidRPr="00270770">
        <w:rPr>
          <w:rFonts w:ascii="Arial Narrow" w:eastAsia="Times New Roman" w:hAnsi="Arial Narrow" w:cs="Times New Roman"/>
          <w:color w:val="000000"/>
          <w:sz w:val="24"/>
          <w:szCs w:val="24"/>
          <w:lang w:eastAsia="en-ZA"/>
        </w:rPr>
        <w:lastRenderedPageBreak/>
        <w:t>assets amounted to R250bn, against liabilities of R107bn. FEDUSA support</w:t>
      </w:r>
      <w:r w:rsidR="00587D90">
        <w:rPr>
          <w:rFonts w:ascii="Arial Narrow" w:eastAsia="Times New Roman" w:hAnsi="Arial Narrow" w:cs="Times New Roman"/>
          <w:color w:val="000000"/>
          <w:sz w:val="24"/>
          <w:szCs w:val="24"/>
          <w:lang w:eastAsia="en-ZA"/>
        </w:rPr>
        <w:t>s</w:t>
      </w:r>
      <w:r w:rsidR="00F9685C" w:rsidRPr="00270770">
        <w:rPr>
          <w:rFonts w:ascii="Arial Narrow" w:eastAsia="Times New Roman" w:hAnsi="Arial Narrow" w:cs="Times New Roman"/>
          <w:color w:val="000000"/>
          <w:sz w:val="24"/>
          <w:szCs w:val="24"/>
          <w:lang w:eastAsia="en-ZA"/>
        </w:rPr>
        <w:t xml:space="preserve"> the </w:t>
      </w:r>
      <w:r w:rsidRPr="00270770">
        <w:rPr>
          <w:rFonts w:ascii="Arial Narrow" w:eastAsia="Times New Roman" w:hAnsi="Arial Narrow" w:cs="Times New Roman"/>
          <w:color w:val="000000"/>
          <w:sz w:val="24"/>
          <w:szCs w:val="24"/>
          <w:lang w:eastAsia="en-ZA"/>
        </w:rPr>
        <w:t>initiatives in progress to strengthen the role of Development Finance Institutions</w:t>
      </w:r>
      <w:r w:rsidR="00F9685C" w:rsidRPr="00270770">
        <w:rPr>
          <w:rFonts w:ascii="Arial Narrow" w:eastAsia="Times New Roman" w:hAnsi="Arial Narrow" w:cs="Times New Roman"/>
          <w:color w:val="000000"/>
          <w:sz w:val="24"/>
          <w:szCs w:val="24"/>
          <w:lang w:eastAsia="en-ZA"/>
        </w:rPr>
        <w:t xml:space="preserve"> in South Africa. The</w:t>
      </w:r>
      <w:r w:rsidRPr="00270770">
        <w:rPr>
          <w:rFonts w:ascii="Arial Narrow" w:eastAsia="Times New Roman" w:hAnsi="Arial Narrow" w:cs="Times New Roman"/>
          <w:color w:val="000000"/>
          <w:sz w:val="24"/>
          <w:szCs w:val="24"/>
          <w:lang w:eastAsia="en-ZA"/>
        </w:rPr>
        <w:t xml:space="preserve"> review of provincial entities </w:t>
      </w:r>
      <w:r w:rsidR="00F9685C" w:rsidRPr="00270770">
        <w:rPr>
          <w:rFonts w:ascii="Arial Narrow" w:eastAsia="Times New Roman" w:hAnsi="Arial Narrow" w:cs="Times New Roman"/>
          <w:color w:val="000000"/>
          <w:sz w:val="24"/>
          <w:szCs w:val="24"/>
          <w:lang w:eastAsia="en-ZA"/>
        </w:rPr>
        <w:t xml:space="preserve">aimed at enhancing </w:t>
      </w:r>
      <w:r w:rsidRPr="00270770">
        <w:rPr>
          <w:rFonts w:ascii="Arial Narrow" w:eastAsia="Times New Roman" w:hAnsi="Arial Narrow" w:cs="Times New Roman"/>
          <w:color w:val="000000"/>
          <w:sz w:val="24"/>
          <w:szCs w:val="24"/>
          <w:lang w:eastAsia="en-ZA"/>
        </w:rPr>
        <w:t>e</w:t>
      </w:r>
      <w:r w:rsidR="00F9685C" w:rsidRPr="00270770">
        <w:rPr>
          <w:rFonts w:ascii="Arial Narrow" w:eastAsia="Times New Roman" w:hAnsi="Arial Narrow" w:cs="Times New Roman"/>
          <w:color w:val="000000"/>
          <w:sz w:val="24"/>
          <w:szCs w:val="24"/>
          <w:lang w:eastAsia="en-ZA"/>
        </w:rPr>
        <w:t xml:space="preserve">ffectiveness and sustainability, the </w:t>
      </w:r>
      <w:r w:rsidRPr="00270770">
        <w:rPr>
          <w:rFonts w:ascii="Arial Narrow" w:eastAsia="Times New Roman" w:hAnsi="Arial Narrow" w:cs="Times New Roman"/>
          <w:color w:val="000000"/>
          <w:sz w:val="24"/>
          <w:szCs w:val="24"/>
          <w:lang w:eastAsia="en-ZA"/>
        </w:rPr>
        <w:t xml:space="preserve">organisational review of the Land Bank </w:t>
      </w:r>
      <w:r w:rsidR="00F9685C" w:rsidRPr="00270770">
        <w:rPr>
          <w:rFonts w:ascii="Arial Narrow" w:eastAsia="Times New Roman" w:hAnsi="Arial Narrow" w:cs="Times New Roman"/>
          <w:color w:val="000000"/>
          <w:sz w:val="24"/>
          <w:szCs w:val="24"/>
          <w:lang w:eastAsia="en-ZA"/>
        </w:rPr>
        <w:t>to enhance the</w:t>
      </w:r>
      <w:r w:rsidRPr="00270770">
        <w:rPr>
          <w:rFonts w:ascii="Arial Narrow" w:eastAsia="Times New Roman" w:hAnsi="Arial Narrow" w:cs="Times New Roman"/>
          <w:color w:val="000000"/>
          <w:sz w:val="24"/>
          <w:szCs w:val="24"/>
          <w:lang w:eastAsia="en-ZA"/>
        </w:rPr>
        <w:t xml:space="preserve"> support for emerging far</w:t>
      </w:r>
      <w:r w:rsidR="008B381C" w:rsidRPr="00270770">
        <w:rPr>
          <w:rFonts w:ascii="Arial Narrow" w:eastAsia="Times New Roman" w:hAnsi="Arial Narrow" w:cs="Times New Roman"/>
          <w:color w:val="000000"/>
          <w:sz w:val="24"/>
          <w:szCs w:val="24"/>
          <w:lang w:eastAsia="en-ZA"/>
        </w:rPr>
        <w:t>mers and commercial agriculture as well as t</w:t>
      </w:r>
      <w:r w:rsidRPr="00270770">
        <w:rPr>
          <w:rFonts w:ascii="Arial Narrow" w:eastAsia="Times New Roman" w:hAnsi="Arial Narrow" w:cs="Times New Roman"/>
          <w:color w:val="000000"/>
          <w:sz w:val="24"/>
          <w:szCs w:val="24"/>
          <w:lang w:eastAsia="en-ZA"/>
        </w:rPr>
        <w:t xml:space="preserve">he </w:t>
      </w:r>
      <w:r w:rsidR="008B381C" w:rsidRPr="00270770">
        <w:rPr>
          <w:rFonts w:ascii="Arial Narrow" w:eastAsia="Times New Roman" w:hAnsi="Arial Narrow" w:cs="Times New Roman"/>
          <w:color w:val="000000"/>
          <w:sz w:val="24"/>
          <w:szCs w:val="24"/>
          <w:lang w:eastAsia="en-ZA"/>
        </w:rPr>
        <w:t xml:space="preserve">role of the </w:t>
      </w:r>
      <w:r w:rsidRPr="00270770">
        <w:rPr>
          <w:rFonts w:ascii="Arial Narrow" w:eastAsia="Times New Roman" w:hAnsi="Arial Narrow" w:cs="Times New Roman"/>
          <w:color w:val="000000"/>
          <w:sz w:val="24"/>
          <w:szCs w:val="24"/>
          <w:lang w:eastAsia="en-ZA"/>
        </w:rPr>
        <w:t xml:space="preserve">Development Bank of Southern Africa </w:t>
      </w:r>
      <w:r w:rsidR="008B381C" w:rsidRPr="00270770">
        <w:rPr>
          <w:rFonts w:ascii="Arial Narrow" w:eastAsia="Times New Roman" w:hAnsi="Arial Narrow" w:cs="Times New Roman"/>
          <w:color w:val="000000"/>
          <w:sz w:val="24"/>
          <w:szCs w:val="24"/>
          <w:lang w:eastAsia="en-ZA"/>
        </w:rPr>
        <w:t>to</w:t>
      </w:r>
      <w:r w:rsidRPr="00270770">
        <w:rPr>
          <w:rFonts w:ascii="Arial Narrow" w:eastAsia="Times New Roman" w:hAnsi="Arial Narrow" w:cs="Times New Roman"/>
          <w:color w:val="000000"/>
          <w:sz w:val="24"/>
          <w:szCs w:val="24"/>
          <w:lang w:eastAsia="en-ZA"/>
        </w:rPr>
        <w:t xml:space="preserve"> lead </w:t>
      </w:r>
      <w:r w:rsidR="008B381C" w:rsidRPr="00270770">
        <w:rPr>
          <w:rFonts w:ascii="Arial Narrow" w:eastAsia="Times New Roman" w:hAnsi="Arial Narrow" w:cs="Times New Roman"/>
          <w:color w:val="000000"/>
          <w:sz w:val="24"/>
          <w:szCs w:val="24"/>
          <w:lang w:eastAsia="en-ZA"/>
        </w:rPr>
        <w:t>the</w:t>
      </w:r>
      <w:r w:rsidRPr="00270770">
        <w:rPr>
          <w:rFonts w:ascii="Arial Narrow" w:eastAsia="Times New Roman" w:hAnsi="Arial Narrow" w:cs="Times New Roman"/>
          <w:color w:val="000000"/>
          <w:sz w:val="24"/>
          <w:szCs w:val="24"/>
          <w:lang w:eastAsia="en-ZA"/>
        </w:rPr>
        <w:t xml:space="preserve"> municipal debt market.</w:t>
      </w:r>
    </w:p>
    <w:p w:rsidR="008B381C" w:rsidRPr="00270770" w:rsidRDefault="008B381C" w:rsidP="008B381C">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8B381C"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The Federation support</w:t>
      </w:r>
      <w:r w:rsidR="00587D9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t</w:t>
      </w:r>
      <w:r w:rsidR="006C080F" w:rsidRPr="00270770">
        <w:rPr>
          <w:rFonts w:ascii="Arial Narrow" w:eastAsia="Times New Roman" w:hAnsi="Arial Narrow" w:cs="Times New Roman"/>
          <w:color w:val="000000"/>
          <w:sz w:val="24"/>
          <w:szCs w:val="24"/>
          <w:lang w:eastAsia="en-ZA"/>
        </w:rPr>
        <w:t>he Industrial Development Co</w:t>
      </w:r>
      <w:r w:rsidRPr="00270770">
        <w:rPr>
          <w:rFonts w:ascii="Arial Narrow" w:eastAsia="Times New Roman" w:hAnsi="Arial Narrow" w:cs="Times New Roman"/>
          <w:color w:val="000000"/>
          <w:sz w:val="24"/>
          <w:szCs w:val="24"/>
          <w:lang w:eastAsia="en-ZA"/>
        </w:rPr>
        <w:t>rporation objective</w:t>
      </w:r>
      <w:r w:rsidR="006C080F" w:rsidRPr="00270770">
        <w:rPr>
          <w:rFonts w:ascii="Arial Narrow" w:eastAsia="Times New Roman" w:hAnsi="Arial Narrow" w:cs="Times New Roman"/>
          <w:color w:val="000000"/>
          <w:sz w:val="24"/>
          <w:szCs w:val="24"/>
          <w:lang w:eastAsia="en-ZA"/>
        </w:rPr>
        <w:t xml:space="preserve"> to mobilise R100bn over the next five years to promote faster industrial development, mineral beneficiation and agro-proces</w:t>
      </w:r>
      <w:r w:rsidRPr="00270770">
        <w:rPr>
          <w:rFonts w:ascii="Arial Narrow" w:eastAsia="Times New Roman" w:hAnsi="Arial Narrow" w:cs="Times New Roman"/>
          <w:color w:val="000000"/>
          <w:sz w:val="24"/>
          <w:szCs w:val="24"/>
          <w:lang w:eastAsia="en-ZA"/>
        </w:rPr>
        <w:t xml:space="preserve">sing. The Land Bank could play a critical role to support </w:t>
      </w:r>
      <w:r w:rsidR="006C080F" w:rsidRPr="00270770">
        <w:rPr>
          <w:rFonts w:ascii="Arial Narrow" w:eastAsia="Times New Roman" w:hAnsi="Arial Narrow" w:cs="Times New Roman"/>
          <w:color w:val="000000"/>
          <w:sz w:val="24"/>
          <w:szCs w:val="24"/>
          <w:lang w:eastAsia="en-ZA"/>
        </w:rPr>
        <w:t>the Department of Rural Development and Land Reform to bring rural land restitution and redistribution projects to full production.</w:t>
      </w:r>
      <w:r w:rsidRPr="00270770">
        <w:rPr>
          <w:rFonts w:ascii="Arial Narrow" w:eastAsia="Times New Roman" w:hAnsi="Arial Narrow" w:cs="Times New Roman"/>
          <w:color w:val="000000"/>
          <w:sz w:val="24"/>
          <w:szCs w:val="24"/>
          <w:lang w:eastAsia="en-ZA"/>
        </w:rPr>
        <w:t xml:space="preserve"> The Land Bank was</w:t>
      </w:r>
      <w:r w:rsidR="006C080F" w:rsidRPr="00270770">
        <w:rPr>
          <w:rFonts w:ascii="Arial Narrow" w:eastAsia="Times New Roman" w:hAnsi="Arial Narrow" w:cs="Times New Roman"/>
          <w:color w:val="000000"/>
          <w:sz w:val="24"/>
          <w:szCs w:val="24"/>
          <w:lang w:eastAsia="en-ZA"/>
        </w:rPr>
        <w:t xml:space="preserve"> success</w:t>
      </w:r>
      <w:r w:rsidRPr="00270770">
        <w:rPr>
          <w:rFonts w:ascii="Arial Narrow" w:eastAsia="Times New Roman" w:hAnsi="Arial Narrow" w:cs="Times New Roman"/>
          <w:color w:val="000000"/>
          <w:sz w:val="24"/>
          <w:szCs w:val="24"/>
          <w:lang w:eastAsia="en-ZA"/>
        </w:rPr>
        <w:t>ful in</w:t>
      </w:r>
      <w:r w:rsidR="006C080F" w:rsidRPr="00270770">
        <w:rPr>
          <w:rFonts w:ascii="Arial Narrow" w:eastAsia="Times New Roman" w:hAnsi="Arial Narrow" w:cs="Times New Roman"/>
          <w:color w:val="000000"/>
          <w:sz w:val="24"/>
          <w:szCs w:val="24"/>
          <w:lang w:eastAsia="en-ZA"/>
        </w:rPr>
        <w:t xml:space="preserve"> supporting black farmers through its Retail Emerging Markets division, which has financed over 400 projects and created 7 000 employment opportunities to date, without any defaults</w:t>
      </w:r>
      <w:r w:rsidR="00A9327D" w:rsidRPr="00270770">
        <w:rPr>
          <w:rFonts w:ascii="Arial Narrow" w:eastAsia="Times New Roman" w:hAnsi="Arial Narrow" w:cs="Times New Roman"/>
          <w:color w:val="000000"/>
          <w:sz w:val="24"/>
          <w:szCs w:val="24"/>
          <w:lang w:eastAsia="en-ZA"/>
        </w:rPr>
        <w:t xml:space="preserve"> </w:t>
      </w:r>
    </w:p>
    <w:p w:rsidR="008B381C" w:rsidRPr="00270770" w:rsidRDefault="008B381C"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8B381C"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w:t>
      </w:r>
      <w:r w:rsidR="00587D90">
        <w:rPr>
          <w:rFonts w:ascii="Arial Narrow" w:eastAsia="Times New Roman" w:hAnsi="Arial Narrow" w:cs="Times New Roman"/>
          <w:color w:val="000000"/>
          <w:sz w:val="24"/>
          <w:szCs w:val="24"/>
          <w:lang w:eastAsia="en-ZA"/>
        </w:rPr>
        <w:t>,</w:t>
      </w:r>
      <w:r w:rsidRPr="00270770">
        <w:rPr>
          <w:rFonts w:ascii="Arial Narrow" w:eastAsia="Times New Roman" w:hAnsi="Arial Narrow" w:cs="Times New Roman"/>
          <w:color w:val="000000"/>
          <w:sz w:val="24"/>
          <w:szCs w:val="24"/>
          <w:lang w:eastAsia="en-ZA"/>
        </w:rPr>
        <w:t xml:space="preserve"> as a member of the BRICS Trade Union Forum, support</w:t>
      </w:r>
      <w:r w:rsidR="00587D9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government to sign the</w:t>
      </w:r>
      <w:r w:rsidR="006C080F" w:rsidRPr="00270770">
        <w:rPr>
          <w:rFonts w:ascii="Arial Narrow" w:eastAsia="Times New Roman" w:hAnsi="Arial Narrow" w:cs="Times New Roman"/>
          <w:color w:val="000000"/>
          <w:sz w:val="24"/>
          <w:szCs w:val="24"/>
          <w:lang w:eastAsia="en-ZA"/>
        </w:rPr>
        <w:t xml:space="preserve"> treaty </w:t>
      </w:r>
      <w:r w:rsidRPr="00270770">
        <w:rPr>
          <w:rFonts w:ascii="Arial Narrow" w:eastAsia="Times New Roman" w:hAnsi="Arial Narrow" w:cs="Times New Roman"/>
          <w:color w:val="000000"/>
          <w:sz w:val="24"/>
          <w:szCs w:val="24"/>
          <w:lang w:eastAsia="en-ZA"/>
        </w:rPr>
        <w:t xml:space="preserve">to establish the </w:t>
      </w:r>
      <w:r w:rsidR="006C080F" w:rsidRPr="00270770">
        <w:rPr>
          <w:rFonts w:ascii="Arial Narrow" w:eastAsia="Times New Roman" w:hAnsi="Arial Narrow" w:cs="Times New Roman"/>
          <w:color w:val="000000"/>
          <w:sz w:val="24"/>
          <w:szCs w:val="24"/>
          <w:lang w:eastAsia="en-ZA"/>
        </w:rPr>
        <w:t xml:space="preserve">new multilateral development bank to be based in Shanghai, China. </w:t>
      </w:r>
      <w:r w:rsidRPr="00270770">
        <w:rPr>
          <w:rFonts w:ascii="Arial Narrow" w:eastAsia="Times New Roman" w:hAnsi="Arial Narrow" w:cs="Times New Roman"/>
          <w:color w:val="000000"/>
          <w:sz w:val="24"/>
          <w:szCs w:val="24"/>
          <w:lang w:eastAsia="en-ZA"/>
        </w:rPr>
        <w:t xml:space="preserve">The first regional office of the bank will be located in South Africa and could augment the </w:t>
      </w:r>
      <w:r w:rsidR="006C080F" w:rsidRPr="00270770">
        <w:rPr>
          <w:rFonts w:ascii="Arial Narrow" w:eastAsia="Times New Roman" w:hAnsi="Arial Narrow" w:cs="Times New Roman"/>
          <w:color w:val="000000"/>
          <w:sz w:val="24"/>
          <w:szCs w:val="24"/>
          <w:lang w:eastAsia="en-ZA"/>
        </w:rPr>
        <w:t xml:space="preserve">infrastructure investment programme of sub-Saharan Africa countries. </w:t>
      </w:r>
    </w:p>
    <w:p w:rsidR="006C080F" w:rsidRPr="00270770" w:rsidRDefault="00B32EFA" w:rsidP="00270770">
      <w:pPr>
        <w:pStyle w:val="Heading1"/>
      </w:pPr>
      <w:bookmarkStart w:id="23" w:name="_Toc413130790"/>
      <w:r w:rsidRPr="00B32EFA">
        <w:t>PENSIONS</w:t>
      </w:r>
      <w:bookmarkEnd w:id="23"/>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142D12"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 is pleased that t</w:t>
      </w:r>
      <w:r w:rsidR="006C080F" w:rsidRPr="00270770">
        <w:rPr>
          <w:rFonts w:ascii="Arial Narrow" w:eastAsia="Times New Roman" w:hAnsi="Arial Narrow" w:cs="Times New Roman"/>
          <w:color w:val="000000"/>
          <w:sz w:val="24"/>
          <w:szCs w:val="24"/>
          <w:lang w:eastAsia="en-ZA"/>
        </w:rPr>
        <w:t xml:space="preserve">he Government Employees Pension Fund remains </w:t>
      </w:r>
      <w:r w:rsidRPr="00270770">
        <w:rPr>
          <w:rFonts w:ascii="Arial Narrow" w:eastAsia="Times New Roman" w:hAnsi="Arial Narrow" w:cs="Times New Roman"/>
          <w:color w:val="000000"/>
          <w:sz w:val="24"/>
          <w:szCs w:val="24"/>
          <w:lang w:eastAsia="en-ZA"/>
        </w:rPr>
        <w:t>well funded</w:t>
      </w:r>
      <w:r w:rsidR="006C080F" w:rsidRPr="00270770">
        <w:rPr>
          <w:rFonts w:ascii="Arial Narrow" w:eastAsia="Times New Roman" w:hAnsi="Arial Narrow" w:cs="Times New Roman"/>
          <w:color w:val="000000"/>
          <w:sz w:val="24"/>
          <w:szCs w:val="24"/>
          <w:lang w:eastAsia="en-ZA"/>
        </w:rPr>
        <w:t xml:space="preserve"> and </w:t>
      </w:r>
      <w:r w:rsidRPr="00270770">
        <w:rPr>
          <w:rFonts w:ascii="Arial Narrow" w:eastAsia="Times New Roman" w:hAnsi="Arial Narrow" w:cs="Times New Roman"/>
          <w:color w:val="000000"/>
          <w:sz w:val="24"/>
          <w:szCs w:val="24"/>
          <w:lang w:eastAsia="en-ZA"/>
        </w:rPr>
        <w:t xml:space="preserve">is </w:t>
      </w:r>
      <w:r w:rsidR="006C080F" w:rsidRPr="00270770">
        <w:rPr>
          <w:rFonts w:ascii="Arial Narrow" w:eastAsia="Times New Roman" w:hAnsi="Arial Narrow" w:cs="Times New Roman"/>
          <w:color w:val="000000"/>
          <w:sz w:val="24"/>
          <w:szCs w:val="24"/>
          <w:lang w:eastAsia="en-ZA"/>
        </w:rPr>
        <w:t xml:space="preserve">soundly managed. </w:t>
      </w:r>
      <w:r w:rsidRPr="00270770">
        <w:rPr>
          <w:rFonts w:ascii="Arial Narrow" w:eastAsia="Times New Roman" w:hAnsi="Arial Narrow" w:cs="Times New Roman"/>
          <w:color w:val="000000"/>
          <w:sz w:val="24"/>
          <w:szCs w:val="24"/>
          <w:lang w:eastAsia="en-ZA"/>
        </w:rPr>
        <w:t xml:space="preserve">FEDUSA support the </w:t>
      </w:r>
      <w:r w:rsidR="006C080F" w:rsidRPr="00270770">
        <w:rPr>
          <w:rFonts w:ascii="Arial Narrow" w:eastAsia="Times New Roman" w:hAnsi="Arial Narrow" w:cs="Times New Roman"/>
          <w:color w:val="000000"/>
          <w:sz w:val="24"/>
          <w:szCs w:val="24"/>
          <w:lang w:eastAsia="en-ZA"/>
        </w:rPr>
        <w:t xml:space="preserve">5.8 percent pension increase </w:t>
      </w:r>
      <w:r w:rsidRPr="00270770">
        <w:rPr>
          <w:rFonts w:ascii="Arial Narrow" w:eastAsia="Times New Roman" w:hAnsi="Arial Narrow" w:cs="Times New Roman"/>
          <w:color w:val="000000"/>
          <w:sz w:val="24"/>
          <w:szCs w:val="24"/>
          <w:lang w:eastAsia="en-ZA"/>
        </w:rPr>
        <w:t xml:space="preserve">that will be granted to GEPF pensioners </w:t>
      </w:r>
      <w:r w:rsidR="006C080F" w:rsidRPr="00270770">
        <w:rPr>
          <w:rFonts w:ascii="Arial Narrow" w:eastAsia="Times New Roman" w:hAnsi="Arial Narrow" w:cs="Times New Roman"/>
          <w:color w:val="000000"/>
          <w:sz w:val="24"/>
          <w:szCs w:val="24"/>
          <w:lang w:eastAsia="en-ZA"/>
        </w:rPr>
        <w:t>with effect from April 2015.</w:t>
      </w:r>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B32EFA" w:rsidP="00270770">
      <w:pPr>
        <w:pStyle w:val="Heading1"/>
      </w:pPr>
      <w:bookmarkStart w:id="24" w:name="_Toc413130791"/>
      <w:r w:rsidRPr="00B32EFA">
        <w:t>FINANCIAL REFORMS</w:t>
      </w:r>
      <w:bookmarkEnd w:id="24"/>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142D12"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FEDUSA supports the establishment of </w:t>
      </w:r>
      <w:r w:rsidR="006C080F" w:rsidRPr="00270770">
        <w:rPr>
          <w:rFonts w:ascii="Arial Narrow" w:eastAsia="Times New Roman" w:hAnsi="Arial Narrow" w:cs="Times New Roman"/>
          <w:color w:val="000000"/>
          <w:sz w:val="24"/>
          <w:szCs w:val="24"/>
          <w:lang w:eastAsia="en-ZA"/>
        </w:rPr>
        <w:t>the new tax free-savings accounts will be available</w:t>
      </w:r>
      <w:r w:rsidRPr="00270770">
        <w:rPr>
          <w:rFonts w:ascii="Arial Narrow" w:eastAsia="Times New Roman" w:hAnsi="Arial Narrow" w:cs="Times New Roman"/>
          <w:color w:val="000000"/>
          <w:sz w:val="24"/>
          <w:szCs w:val="24"/>
          <w:lang w:eastAsia="en-ZA"/>
        </w:rPr>
        <w:t xml:space="preserve"> from 1 March 2015 as it would encourage saving, which the country needs urgently</w:t>
      </w:r>
      <w:r w:rsidR="006C080F" w:rsidRPr="00270770">
        <w:rPr>
          <w:rFonts w:ascii="Arial Narrow" w:eastAsia="Times New Roman" w:hAnsi="Arial Narrow" w:cs="Times New Roman"/>
          <w:color w:val="000000"/>
          <w:sz w:val="24"/>
          <w:szCs w:val="24"/>
          <w:lang w:eastAsia="en-ZA"/>
        </w:rPr>
        <w:t>.</w:t>
      </w:r>
      <w:r w:rsidRPr="00270770">
        <w:rPr>
          <w:rFonts w:ascii="Arial Narrow" w:eastAsia="Times New Roman" w:hAnsi="Arial Narrow" w:cs="Times New Roman"/>
          <w:color w:val="000000"/>
          <w:sz w:val="24"/>
          <w:szCs w:val="24"/>
          <w:lang w:eastAsia="en-ZA"/>
        </w:rPr>
        <w:t xml:space="preserve"> </w:t>
      </w:r>
      <w:r w:rsidR="006C080F" w:rsidRPr="00270770">
        <w:rPr>
          <w:rFonts w:ascii="Arial Narrow" w:eastAsia="Times New Roman" w:hAnsi="Arial Narrow" w:cs="Times New Roman"/>
          <w:color w:val="000000"/>
          <w:sz w:val="24"/>
          <w:szCs w:val="24"/>
          <w:lang w:eastAsia="en-ZA"/>
        </w:rPr>
        <w:t xml:space="preserve">The </w:t>
      </w:r>
      <w:r w:rsidR="0094364D" w:rsidRPr="00270770">
        <w:rPr>
          <w:rFonts w:ascii="Arial Narrow" w:eastAsia="Times New Roman" w:hAnsi="Arial Narrow" w:cs="Times New Roman"/>
          <w:color w:val="000000"/>
          <w:sz w:val="24"/>
          <w:szCs w:val="24"/>
          <w:lang w:eastAsia="en-ZA"/>
        </w:rPr>
        <w:t xml:space="preserve">Federation hails the announcement </w:t>
      </w:r>
      <w:r w:rsidR="00587D90">
        <w:rPr>
          <w:rFonts w:ascii="Arial Narrow" w:eastAsia="Times New Roman" w:hAnsi="Arial Narrow" w:cs="Times New Roman"/>
          <w:color w:val="000000"/>
          <w:sz w:val="24"/>
          <w:szCs w:val="24"/>
          <w:lang w:eastAsia="en-ZA"/>
        </w:rPr>
        <w:t xml:space="preserve">that the </w:t>
      </w:r>
      <w:r w:rsidR="006C080F" w:rsidRPr="00270770">
        <w:rPr>
          <w:rFonts w:ascii="Arial Narrow" w:eastAsia="Times New Roman" w:hAnsi="Arial Narrow" w:cs="Times New Roman"/>
          <w:color w:val="000000"/>
          <w:sz w:val="24"/>
          <w:szCs w:val="24"/>
          <w:lang w:eastAsia="en-ZA"/>
        </w:rPr>
        <w:t>first draft of default regulations will be issued shortly for public comment. The</w:t>
      </w:r>
      <w:r w:rsidR="0094364D" w:rsidRPr="00270770">
        <w:rPr>
          <w:rFonts w:ascii="Arial Narrow" w:eastAsia="Times New Roman" w:hAnsi="Arial Narrow" w:cs="Times New Roman"/>
          <w:color w:val="000000"/>
          <w:sz w:val="24"/>
          <w:szCs w:val="24"/>
          <w:lang w:eastAsia="en-ZA"/>
        </w:rPr>
        <w:t xml:space="preserve"> central objective of the regulation is</w:t>
      </w:r>
      <w:r w:rsidR="006C080F" w:rsidRPr="00270770">
        <w:rPr>
          <w:rFonts w:ascii="Arial Narrow" w:eastAsia="Times New Roman" w:hAnsi="Arial Narrow" w:cs="Times New Roman"/>
          <w:color w:val="000000"/>
          <w:sz w:val="24"/>
          <w:szCs w:val="24"/>
          <w:lang w:eastAsia="en-ZA"/>
        </w:rPr>
        <w:t xml:space="preserve"> to maximise the long</w:t>
      </w:r>
      <w:r w:rsidR="0094364D" w:rsidRPr="00270770">
        <w:rPr>
          <w:rFonts w:ascii="Arial Narrow" w:eastAsia="Times New Roman" w:hAnsi="Arial Narrow" w:cs="Times New Roman"/>
          <w:color w:val="000000"/>
          <w:sz w:val="24"/>
          <w:szCs w:val="24"/>
          <w:lang w:eastAsia="en-ZA"/>
        </w:rPr>
        <w:t>-</w:t>
      </w:r>
      <w:r w:rsidR="006C080F" w:rsidRPr="00270770">
        <w:rPr>
          <w:rFonts w:ascii="Arial Narrow" w:eastAsia="Times New Roman" w:hAnsi="Arial Narrow" w:cs="Times New Roman"/>
          <w:color w:val="000000"/>
          <w:sz w:val="24"/>
          <w:szCs w:val="24"/>
          <w:lang w:eastAsia="en-ZA"/>
        </w:rPr>
        <w:t xml:space="preserve">term benefits to retirement fund members, </w:t>
      </w:r>
      <w:r w:rsidR="0094364D" w:rsidRPr="00270770">
        <w:rPr>
          <w:rFonts w:ascii="Arial Narrow" w:eastAsia="Times New Roman" w:hAnsi="Arial Narrow" w:cs="Times New Roman"/>
          <w:color w:val="000000"/>
          <w:sz w:val="24"/>
          <w:szCs w:val="24"/>
          <w:lang w:eastAsia="en-ZA"/>
        </w:rPr>
        <w:t>to provide retire provision</w:t>
      </w:r>
      <w:r w:rsidR="006C080F" w:rsidRPr="00270770">
        <w:rPr>
          <w:rFonts w:ascii="Arial Narrow" w:eastAsia="Times New Roman" w:hAnsi="Arial Narrow" w:cs="Times New Roman"/>
          <w:color w:val="000000"/>
          <w:sz w:val="24"/>
          <w:szCs w:val="24"/>
          <w:lang w:eastAsia="en-ZA"/>
        </w:rPr>
        <w:t>.</w:t>
      </w:r>
    </w:p>
    <w:p w:rsidR="0094364D" w:rsidRPr="00270770" w:rsidRDefault="0094364D"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Our financial services sector is one of South Africa’s strengths, but as noted in our recent market conduct policy framework document, it needs to do more to treat customers fairly. The bill establishing two new regulatory authorities, the so-called “twin peaks” reform, will be tabled this year.</w:t>
      </w:r>
    </w:p>
    <w:p w:rsidR="0094364D" w:rsidRPr="00270770" w:rsidRDefault="0094364D"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The International Monetary Fund confirmed that the South African financial system is stable and our regulatory system sound. FEDUSA welcome</w:t>
      </w:r>
      <w:r w:rsidR="00587D90">
        <w:rPr>
          <w:rFonts w:ascii="Arial Narrow" w:eastAsia="Times New Roman" w:hAnsi="Arial Narrow" w:cs="Times New Roman"/>
          <w:color w:val="000000"/>
          <w:sz w:val="24"/>
          <w:szCs w:val="24"/>
          <w:lang w:eastAsia="en-ZA"/>
        </w:rPr>
        <w:t>s</w:t>
      </w:r>
      <w:r w:rsidRPr="00270770">
        <w:rPr>
          <w:rFonts w:ascii="Arial Narrow" w:eastAsia="Times New Roman" w:hAnsi="Arial Narrow" w:cs="Times New Roman"/>
          <w:color w:val="000000"/>
          <w:sz w:val="24"/>
          <w:szCs w:val="24"/>
          <w:lang w:eastAsia="en-ZA"/>
        </w:rPr>
        <w:t xml:space="preserve"> the announcement that it is important to further </w:t>
      </w:r>
      <w:r w:rsidR="006C080F" w:rsidRPr="00270770">
        <w:rPr>
          <w:rFonts w:ascii="Arial Narrow" w:eastAsia="Times New Roman" w:hAnsi="Arial Narrow" w:cs="Times New Roman"/>
          <w:color w:val="000000"/>
          <w:sz w:val="24"/>
          <w:szCs w:val="24"/>
          <w:lang w:eastAsia="en-ZA"/>
        </w:rPr>
        <w:t>streng</w:t>
      </w:r>
      <w:r w:rsidRPr="00270770">
        <w:rPr>
          <w:rFonts w:ascii="Arial Narrow" w:eastAsia="Times New Roman" w:hAnsi="Arial Narrow" w:cs="Times New Roman"/>
          <w:color w:val="000000"/>
          <w:sz w:val="24"/>
          <w:szCs w:val="24"/>
          <w:lang w:eastAsia="en-ZA"/>
        </w:rPr>
        <w:t xml:space="preserve">then regulations for banks, </w:t>
      </w:r>
      <w:r w:rsidR="006C080F" w:rsidRPr="00270770">
        <w:rPr>
          <w:rFonts w:ascii="Arial Narrow" w:eastAsia="Times New Roman" w:hAnsi="Arial Narrow" w:cs="Times New Roman"/>
          <w:color w:val="000000"/>
          <w:sz w:val="24"/>
          <w:szCs w:val="24"/>
          <w:lang w:eastAsia="en-ZA"/>
        </w:rPr>
        <w:t xml:space="preserve">insurers, derivatives and hedge funds. </w:t>
      </w:r>
      <w:r w:rsidRPr="00270770">
        <w:rPr>
          <w:rFonts w:ascii="Arial Narrow" w:eastAsia="Times New Roman" w:hAnsi="Arial Narrow" w:cs="Times New Roman"/>
          <w:color w:val="000000"/>
          <w:sz w:val="24"/>
          <w:szCs w:val="24"/>
          <w:lang w:eastAsia="en-ZA"/>
        </w:rPr>
        <w:t xml:space="preserve">It is essential for these regulations to be completed in NEDLAC.  It might be useful for the Portfolio Committee stage a joint workshop with the representatives of NEDLAC. </w:t>
      </w:r>
    </w:p>
    <w:p w:rsidR="0094364D" w:rsidRPr="00270770" w:rsidRDefault="0094364D" w:rsidP="006C080F">
      <w:pPr>
        <w:spacing w:line="360" w:lineRule="auto"/>
        <w:jc w:val="both"/>
        <w:textAlignment w:val="baseline"/>
        <w:rPr>
          <w:rFonts w:ascii="Arial Narrow" w:eastAsia="Times New Roman" w:hAnsi="Arial Narrow" w:cs="Times New Roman"/>
          <w:color w:val="000000"/>
          <w:sz w:val="24"/>
          <w:szCs w:val="24"/>
          <w:lang w:eastAsia="en-ZA"/>
        </w:rPr>
      </w:pPr>
    </w:p>
    <w:p w:rsidR="006C080F" w:rsidRPr="00270770" w:rsidRDefault="00A9443F"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FEDUSA is also concerned about t</w:t>
      </w:r>
      <w:r w:rsidR="006C080F" w:rsidRPr="00270770">
        <w:rPr>
          <w:rFonts w:ascii="Arial Narrow" w:eastAsia="Times New Roman" w:hAnsi="Arial Narrow" w:cs="Times New Roman"/>
          <w:color w:val="000000"/>
          <w:sz w:val="24"/>
          <w:szCs w:val="24"/>
          <w:lang w:eastAsia="en-ZA"/>
        </w:rPr>
        <w:t xml:space="preserve">he problem of excessive household indebtedness </w:t>
      </w:r>
      <w:r w:rsidRPr="00270770">
        <w:rPr>
          <w:rFonts w:ascii="Arial Narrow" w:eastAsia="Times New Roman" w:hAnsi="Arial Narrow" w:cs="Times New Roman"/>
          <w:color w:val="000000"/>
          <w:sz w:val="24"/>
          <w:szCs w:val="24"/>
          <w:lang w:eastAsia="en-ZA"/>
        </w:rPr>
        <w:t>and the fact that a</w:t>
      </w:r>
      <w:r w:rsidR="006C080F" w:rsidRPr="00270770">
        <w:rPr>
          <w:rFonts w:ascii="Arial Narrow" w:eastAsia="Times New Roman" w:hAnsi="Arial Narrow" w:cs="Times New Roman"/>
          <w:color w:val="000000"/>
          <w:sz w:val="24"/>
          <w:szCs w:val="24"/>
          <w:lang w:eastAsia="en-ZA"/>
        </w:rPr>
        <w:t>pproximately 45 percent of credit-active consumers have impaired credit records.</w:t>
      </w:r>
      <w:r w:rsidR="00463059" w:rsidRPr="00270770">
        <w:rPr>
          <w:rFonts w:ascii="Arial Narrow" w:eastAsia="Times New Roman" w:hAnsi="Arial Narrow" w:cs="Times New Roman"/>
          <w:color w:val="000000"/>
          <w:sz w:val="24"/>
          <w:szCs w:val="24"/>
          <w:lang w:eastAsia="en-ZA"/>
        </w:rPr>
        <w:t xml:space="preserve"> </w:t>
      </w:r>
      <w:r w:rsidRPr="00270770">
        <w:rPr>
          <w:rFonts w:ascii="Arial Narrow" w:eastAsia="Times New Roman" w:hAnsi="Arial Narrow" w:cs="Times New Roman"/>
          <w:color w:val="000000"/>
          <w:sz w:val="24"/>
          <w:szCs w:val="24"/>
          <w:lang w:eastAsia="en-ZA"/>
        </w:rPr>
        <w:t xml:space="preserve">The reasons for these indebtedness could be part attributed </w:t>
      </w:r>
      <w:r w:rsidR="006C080F" w:rsidRPr="00270770">
        <w:rPr>
          <w:rFonts w:ascii="Arial Narrow" w:eastAsia="Times New Roman" w:hAnsi="Arial Narrow" w:cs="Times New Roman"/>
          <w:color w:val="000000"/>
          <w:sz w:val="24"/>
          <w:szCs w:val="24"/>
          <w:lang w:eastAsia="en-ZA"/>
        </w:rPr>
        <w:t>poor market conduct by lenders and financial advisers</w:t>
      </w:r>
      <w:r w:rsidRPr="00270770">
        <w:rPr>
          <w:rFonts w:ascii="Arial Narrow" w:eastAsia="Times New Roman" w:hAnsi="Arial Narrow" w:cs="Times New Roman"/>
          <w:color w:val="000000"/>
          <w:sz w:val="24"/>
          <w:szCs w:val="24"/>
          <w:lang w:eastAsia="en-ZA"/>
        </w:rPr>
        <w:t xml:space="preserve">, </w:t>
      </w:r>
      <w:r w:rsidR="00F27EAE" w:rsidRPr="00270770">
        <w:rPr>
          <w:rFonts w:ascii="Arial Narrow" w:eastAsia="Times New Roman" w:hAnsi="Arial Narrow" w:cs="Times New Roman"/>
          <w:color w:val="000000"/>
          <w:sz w:val="24"/>
          <w:szCs w:val="24"/>
          <w:lang w:eastAsia="en-ZA"/>
        </w:rPr>
        <w:t>the mind-set of South African consumers and unsecured loans</w:t>
      </w:r>
      <w:r w:rsidR="006C080F" w:rsidRPr="00270770">
        <w:rPr>
          <w:rFonts w:ascii="Arial Narrow" w:eastAsia="Times New Roman" w:hAnsi="Arial Narrow" w:cs="Times New Roman"/>
          <w:color w:val="000000"/>
          <w:sz w:val="24"/>
          <w:szCs w:val="24"/>
          <w:lang w:eastAsia="en-ZA"/>
        </w:rPr>
        <w:t>.</w:t>
      </w:r>
      <w:r w:rsidR="00F27EAE" w:rsidRPr="00270770">
        <w:rPr>
          <w:rFonts w:ascii="Arial Narrow" w:eastAsia="Times New Roman" w:hAnsi="Arial Narrow" w:cs="Times New Roman"/>
          <w:color w:val="000000"/>
          <w:sz w:val="24"/>
          <w:szCs w:val="24"/>
          <w:lang w:eastAsia="en-ZA"/>
        </w:rPr>
        <w:t xml:space="preserve"> It is important for the Por</w:t>
      </w:r>
      <w:r w:rsidR="00587D90">
        <w:rPr>
          <w:rFonts w:ascii="Arial Narrow" w:eastAsia="Times New Roman" w:hAnsi="Arial Narrow" w:cs="Times New Roman"/>
          <w:color w:val="000000"/>
          <w:sz w:val="24"/>
          <w:szCs w:val="24"/>
          <w:lang w:eastAsia="en-ZA"/>
        </w:rPr>
        <w:t>tf</w:t>
      </w:r>
      <w:r w:rsidR="00F27EAE" w:rsidRPr="00270770">
        <w:rPr>
          <w:rFonts w:ascii="Arial Narrow" w:eastAsia="Times New Roman" w:hAnsi="Arial Narrow" w:cs="Times New Roman"/>
          <w:color w:val="000000"/>
          <w:sz w:val="24"/>
          <w:szCs w:val="24"/>
          <w:lang w:eastAsia="en-ZA"/>
        </w:rPr>
        <w:t xml:space="preserve">olio Committee, major financial institutions and the NEDLAC representatives to stage a joint workshop to develop sustainable solutions to the challenge of excessive household indebtedness. </w:t>
      </w:r>
      <w:r w:rsidR="006C080F" w:rsidRPr="00270770">
        <w:rPr>
          <w:rFonts w:ascii="Arial Narrow" w:eastAsia="Times New Roman" w:hAnsi="Arial Narrow" w:cs="Times New Roman"/>
          <w:color w:val="000000"/>
          <w:sz w:val="24"/>
          <w:szCs w:val="24"/>
          <w:lang w:eastAsia="en-ZA"/>
        </w:rPr>
        <w:t xml:space="preserve"> </w:t>
      </w:r>
    </w:p>
    <w:p w:rsidR="006C080F" w:rsidRPr="00270770" w:rsidRDefault="00B32EFA" w:rsidP="00270770">
      <w:pPr>
        <w:pStyle w:val="Heading1"/>
      </w:pPr>
      <w:bookmarkStart w:id="25" w:name="_Toc413130792"/>
      <w:r w:rsidRPr="00B32EFA">
        <w:t>CONCLUSION</w:t>
      </w:r>
      <w:bookmarkEnd w:id="25"/>
    </w:p>
    <w:p w:rsidR="006C080F" w:rsidRPr="00270770" w:rsidRDefault="006C080F" w:rsidP="006C080F">
      <w:pPr>
        <w:spacing w:line="360" w:lineRule="auto"/>
        <w:rPr>
          <w:rFonts w:ascii="Arial Narrow" w:hAnsi="Arial Narrow"/>
          <w:sz w:val="24"/>
          <w:szCs w:val="24"/>
          <w:lang w:eastAsia="en-ZA"/>
        </w:rPr>
      </w:pPr>
    </w:p>
    <w:p w:rsidR="006C080F" w:rsidRPr="00270770" w:rsidRDefault="006C080F" w:rsidP="006C080F">
      <w:pPr>
        <w:spacing w:line="360" w:lineRule="auto"/>
        <w:jc w:val="both"/>
        <w:textAlignment w:val="baseline"/>
        <w:rPr>
          <w:rFonts w:ascii="Arial Narrow" w:eastAsia="Times New Roman" w:hAnsi="Arial Narrow" w:cs="Times New Roman"/>
          <w:color w:val="000000"/>
          <w:sz w:val="24"/>
          <w:szCs w:val="24"/>
          <w:lang w:eastAsia="en-ZA"/>
        </w:rPr>
      </w:pPr>
      <w:r w:rsidRPr="00270770">
        <w:rPr>
          <w:rFonts w:ascii="Arial Narrow" w:eastAsia="Times New Roman" w:hAnsi="Arial Narrow" w:cs="Times New Roman"/>
          <w:color w:val="000000"/>
          <w:sz w:val="24"/>
          <w:szCs w:val="24"/>
          <w:lang w:eastAsia="en-ZA"/>
        </w:rPr>
        <w:t xml:space="preserve">The 2015 Budget </w:t>
      </w:r>
      <w:r w:rsidR="00F97A38" w:rsidRPr="00270770">
        <w:rPr>
          <w:rFonts w:ascii="Arial Narrow" w:eastAsia="Times New Roman" w:hAnsi="Arial Narrow" w:cs="Times New Roman"/>
          <w:color w:val="000000"/>
          <w:sz w:val="24"/>
          <w:szCs w:val="24"/>
          <w:lang w:eastAsia="en-ZA"/>
        </w:rPr>
        <w:t xml:space="preserve">is debated within the context where the economic growth has declined, government debt has increased, </w:t>
      </w:r>
      <w:r w:rsidR="002B7B87" w:rsidRPr="00270770">
        <w:rPr>
          <w:rFonts w:ascii="Arial Narrow" w:eastAsia="Times New Roman" w:hAnsi="Arial Narrow" w:cs="Times New Roman"/>
          <w:color w:val="000000"/>
          <w:sz w:val="24"/>
          <w:szCs w:val="24"/>
          <w:lang w:eastAsia="en-ZA"/>
        </w:rPr>
        <w:t xml:space="preserve">electricity is considered as a major constraint and the prospects for the future are particularly bleak. In tough times it is imperative for the social partnership leadership to demonstrate courage and develop multiple solutions through social dialogue to provide decent work and a decent life for all. It is also important to implement the </w:t>
      </w:r>
      <w:r w:rsidRPr="00270770">
        <w:rPr>
          <w:rFonts w:ascii="Arial Narrow" w:eastAsia="Times New Roman" w:hAnsi="Arial Narrow" w:cs="Times New Roman"/>
          <w:color w:val="000000"/>
          <w:sz w:val="24"/>
          <w:szCs w:val="24"/>
          <w:lang w:eastAsia="en-ZA"/>
        </w:rPr>
        <w:t xml:space="preserve">National Development Plan and </w:t>
      </w:r>
      <w:r w:rsidR="002B7B87" w:rsidRPr="00270770">
        <w:rPr>
          <w:rFonts w:ascii="Arial Narrow" w:eastAsia="Times New Roman" w:hAnsi="Arial Narrow" w:cs="Times New Roman"/>
          <w:color w:val="000000"/>
          <w:sz w:val="24"/>
          <w:szCs w:val="24"/>
          <w:lang w:eastAsia="en-ZA"/>
        </w:rPr>
        <w:t xml:space="preserve">through dialogue in NEDLAC while co-designing systematic resolutions </w:t>
      </w:r>
      <w:r w:rsidR="00587D90">
        <w:rPr>
          <w:rFonts w:ascii="Arial Narrow" w:eastAsia="Times New Roman" w:hAnsi="Arial Narrow" w:cs="Times New Roman"/>
          <w:color w:val="000000"/>
          <w:sz w:val="24"/>
          <w:szCs w:val="24"/>
          <w:lang w:eastAsia="en-ZA"/>
        </w:rPr>
        <w:t xml:space="preserve">to </w:t>
      </w:r>
      <w:r w:rsidR="008A4F7A" w:rsidRPr="00270770">
        <w:rPr>
          <w:rFonts w:ascii="Arial Narrow" w:eastAsia="Times New Roman" w:hAnsi="Arial Narrow" w:cs="Times New Roman"/>
          <w:color w:val="000000"/>
          <w:sz w:val="24"/>
          <w:szCs w:val="24"/>
          <w:lang w:eastAsia="en-ZA"/>
        </w:rPr>
        <w:t>strengthen</w:t>
      </w:r>
      <w:r w:rsidRPr="00270770">
        <w:rPr>
          <w:rFonts w:ascii="Arial Narrow" w:eastAsia="Times New Roman" w:hAnsi="Arial Narrow" w:cs="Times New Roman"/>
          <w:color w:val="000000"/>
          <w:sz w:val="24"/>
          <w:szCs w:val="24"/>
          <w:lang w:eastAsia="en-ZA"/>
        </w:rPr>
        <w:t xml:space="preserve"> our </w:t>
      </w:r>
      <w:r w:rsidR="008A4F7A" w:rsidRPr="00270770">
        <w:rPr>
          <w:rFonts w:ascii="Arial Narrow" w:eastAsia="Times New Roman" w:hAnsi="Arial Narrow" w:cs="Times New Roman"/>
          <w:color w:val="000000"/>
          <w:sz w:val="24"/>
          <w:szCs w:val="24"/>
          <w:lang w:eastAsia="en-ZA"/>
        </w:rPr>
        <w:t xml:space="preserve">young </w:t>
      </w:r>
      <w:r w:rsidRPr="00270770">
        <w:rPr>
          <w:rFonts w:ascii="Arial Narrow" w:eastAsia="Times New Roman" w:hAnsi="Arial Narrow" w:cs="Times New Roman"/>
          <w:color w:val="000000"/>
          <w:sz w:val="24"/>
          <w:szCs w:val="24"/>
          <w:lang w:eastAsia="en-ZA"/>
        </w:rPr>
        <w:t>democracy to be shared more equ</w:t>
      </w:r>
      <w:r w:rsidR="00587D90">
        <w:rPr>
          <w:rFonts w:ascii="Arial Narrow" w:eastAsia="Times New Roman" w:hAnsi="Arial Narrow" w:cs="Times New Roman"/>
          <w:color w:val="000000"/>
          <w:sz w:val="24"/>
          <w:szCs w:val="24"/>
          <w:lang w:eastAsia="en-ZA"/>
        </w:rPr>
        <w:t>itably</w:t>
      </w:r>
      <w:r w:rsidR="008A4F7A" w:rsidRPr="00270770">
        <w:rPr>
          <w:rFonts w:ascii="Arial Narrow" w:eastAsia="Times New Roman" w:hAnsi="Arial Narrow" w:cs="Times New Roman"/>
          <w:color w:val="000000"/>
          <w:sz w:val="24"/>
          <w:szCs w:val="24"/>
          <w:lang w:eastAsia="en-ZA"/>
        </w:rPr>
        <w:t xml:space="preserve">. </w:t>
      </w:r>
    </w:p>
    <w:p w:rsidR="008A4F7A" w:rsidRPr="00270770" w:rsidRDefault="008A4F7A" w:rsidP="006C080F">
      <w:pPr>
        <w:spacing w:line="360" w:lineRule="auto"/>
        <w:jc w:val="both"/>
        <w:textAlignment w:val="baseline"/>
        <w:rPr>
          <w:rFonts w:ascii="Arial Narrow" w:eastAsia="Times New Roman" w:hAnsi="Arial Narrow" w:cs="Times New Roman"/>
          <w:color w:val="000000"/>
          <w:sz w:val="24"/>
          <w:szCs w:val="24"/>
          <w:lang w:eastAsia="en-ZA"/>
        </w:rPr>
      </w:pPr>
    </w:p>
    <w:p w:rsidR="008A4F7A" w:rsidRPr="00270770" w:rsidRDefault="008A4F7A" w:rsidP="006C080F">
      <w:pPr>
        <w:spacing w:line="360" w:lineRule="auto"/>
        <w:jc w:val="both"/>
        <w:textAlignment w:val="baseline"/>
        <w:rPr>
          <w:rFonts w:ascii="Arial Narrow" w:eastAsia="Times New Roman" w:hAnsi="Arial Narrow" w:cs="Times New Roman"/>
          <w:color w:val="000000"/>
          <w:sz w:val="24"/>
          <w:szCs w:val="24"/>
          <w:lang w:eastAsia="en-ZA"/>
        </w:rPr>
      </w:pPr>
    </w:p>
    <w:p w:rsidR="008A4F7A" w:rsidRPr="00270770" w:rsidRDefault="008A4F7A" w:rsidP="006C080F">
      <w:pPr>
        <w:spacing w:line="360" w:lineRule="auto"/>
        <w:jc w:val="both"/>
        <w:textAlignment w:val="baseline"/>
        <w:rPr>
          <w:rFonts w:ascii="Arial Narrow" w:eastAsia="Times New Roman" w:hAnsi="Arial Narrow" w:cs="Times New Roman"/>
          <w:color w:val="000000"/>
          <w:sz w:val="24"/>
          <w:szCs w:val="24"/>
          <w:lang w:eastAsia="en-ZA"/>
        </w:rPr>
      </w:pPr>
    </w:p>
    <w:p w:rsidR="008A4F7A" w:rsidRDefault="008A4F7A" w:rsidP="006C080F">
      <w:pPr>
        <w:spacing w:line="360" w:lineRule="auto"/>
        <w:jc w:val="both"/>
        <w:textAlignment w:val="baseline"/>
        <w:rPr>
          <w:rFonts w:ascii="Arial Narrow" w:eastAsia="Times New Roman" w:hAnsi="Arial Narrow" w:cs="Times New Roman"/>
          <w:color w:val="000000"/>
          <w:sz w:val="24"/>
          <w:szCs w:val="24"/>
          <w:lang w:eastAsia="en-ZA"/>
        </w:rPr>
      </w:pPr>
    </w:p>
    <w:p w:rsidR="00B32EFA" w:rsidRDefault="00B32EFA" w:rsidP="006C080F">
      <w:pPr>
        <w:spacing w:line="360" w:lineRule="auto"/>
        <w:jc w:val="both"/>
        <w:textAlignment w:val="baseline"/>
        <w:rPr>
          <w:rFonts w:ascii="Arial Narrow" w:eastAsia="Times New Roman" w:hAnsi="Arial Narrow" w:cs="Times New Roman"/>
          <w:color w:val="000000"/>
          <w:sz w:val="24"/>
          <w:szCs w:val="24"/>
          <w:lang w:eastAsia="en-ZA"/>
        </w:rPr>
      </w:pPr>
    </w:p>
    <w:p w:rsidR="00B32EFA" w:rsidRPr="00270770" w:rsidRDefault="00B32EFA" w:rsidP="006C080F">
      <w:pPr>
        <w:spacing w:line="360" w:lineRule="auto"/>
        <w:jc w:val="both"/>
        <w:textAlignment w:val="baseline"/>
        <w:rPr>
          <w:rFonts w:ascii="Arial Narrow" w:eastAsia="Times New Roman" w:hAnsi="Arial Narrow" w:cs="Times New Roman"/>
          <w:color w:val="000000"/>
          <w:sz w:val="24"/>
          <w:szCs w:val="24"/>
          <w:lang w:eastAsia="en-ZA"/>
        </w:rPr>
      </w:pPr>
    </w:p>
    <w:p w:rsidR="008A4F7A" w:rsidRPr="00270770" w:rsidRDefault="008A4F7A" w:rsidP="006C080F">
      <w:pPr>
        <w:spacing w:line="360" w:lineRule="auto"/>
        <w:jc w:val="both"/>
        <w:textAlignment w:val="baseline"/>
        <w:rPr>
          <w:rFonts w:ascii="Arial Narrow" w:eastAsia="Times New Roman" w:hAnsi="Arial Narrow" w:cs="Times New Roman"/>
          <w:color w:val="000000"/>
          <w:sz w:val="24"/>
          <w:szCs w:val="24"/>
          <w:lang w:eastAsia="en-ZA"/>
        </w:rPr>
      </w:pPr>
    </w:p>
    <w:bookmarkStart w:id="26" w:name="_Toc413130793" w:displacedByCustomXml="next"/>
    <w:sdt>
      <w:sdtPr>
        <w:rPr>
          <w:rFonts w:asciiTheme="minorHAnsi" w:eastAsiaTheme="minorEastAsia" w:hAnsiTheme="minorHAnsi" w:cstheme="minorBidi"/>
          <w:b w:val="0"/>
          <w:bCs w:val="0"/>
          <w:color w:val="auto"/>
          <w:sz w:val="24"/>
          <w:szCs w:val="24"/>
        </w:rPr>
        <w:id w:val="-684048300"/>
        <w:docPartObj>
          <w:docPartGallery w:val="Bibliographies"/>
          <w:docPartUnique/>
        </w:docPartObj>
      </w:sdtPr>
      <w:sdtContent>
        <w:p w:rsidR="008A4F7A" w:rsidRPr="00270770" w:rsidRDefault="00B32EFA">
          <w:pPr>
            <w:pStyle w:val="Heading1"/>
            <w:rPr>
              <w:sz w:val="24"/>
              <w:szCs w:val="24"/>
            </w:rPr>
          </w:pPr>
          <w:r w:rsidRPr="00B32EFA">
            <w:rPr>
              <w:sz w:val="24"/>
              <w:szCs w:val="24"/>
            </w:rPr>
            <w:t>BIBLIOGRAPHY</w:t>
          </w:r>
          <w:bookmarkEnd w:id="26"/>
        </w:p>
        <w:p w:rsidR="00B32EFA" w:rsidRPr="00B32EFA" w:rsidRDefault="00B32EFA" w:rsidP="00270770"/>
        <w:sdt>
          <w:sdtPr>
            <w:rPr>
              <w:rFonts w:ascii="Arial Narrow" w:hAnsi="Arial Narrow"/>
              <w:sz w:val="24"/>
              <w:szCs w:val="24"/>
            </w:rPr>
            <w:id w:val="111145805"/>
            <w:bibliography/>
          </w:sdtPr>
          <w:sdtContent>
            <w:p w:rsidR="008A4F7A" w:rsidRPr="00270770" w:rsidRDefault="00537E09" w:rsidP="008A4F7A">
              <w:pPr>
                <w:pStyle w:val="Bibliography"/>
                <w:spacing w:line="360" w:lineRule="auto"/>
                <w:rPr>
                  <w:rFonts w:ascii="Arial Narrow" w:hAnsi="Arial Narrow" w:cs="Times New Roman"/>
                  <w:noProof/>
                  <w:sz w:val="24"/>
                  <w:szCs w:val="24"/>
                </w:rPr>
              </w:pPr>
              <w:r w:rsidRPr="00537E09">
                <w:rPr>
                  <w:rFonts w:ascii="Arial Narrow" w:hAnsi="Arial Narrow"/>
                  <w:sz w:val="24"/>
                  <w:szCs w:val="24"/>
                </w:rPr>
                <w:fldChar w:fldCharType="begin"/>
              </w:r>
              <w:r w:rsidR="008A4F7A" w:rsidRPr="00270770">
                <w:rPr>
                  <w:rFonts w:ascii="Arial Narrow" w:hAnsi="Arial Narrow"/>
                  <w:sz w:val="24"/>
                  <w:szCs w:val="24"/>
                </w:rPr>
                <w:instrText xml:space="preserve"> BIBLIOGRAPHY </w:instrText>
              </w:r>
              <w:r w:rsidRPr="00537E09">
                <w:rPr>
                  <w:rFonts w:ascii="Arial Narrow" w:hAnsi="Arial Narrow"/>
                  <w:sz w:val="24"/>
                  <w:szCs w:val="24"/>
                </w:rPr>
                <w:fldChar w:fldCharType="separate"/>
              </w:r>
              <w:r w:rsidR="008A4F7A" w:rsidRPr="00270770">
                <w:rPr>
                  <w:rFonts w:ascii="Arial Narrow" w:hAnsi="Arial Narrow" w:cs="Times New Roman"/>
                  <w:noProof/>
                  <w:sz w:val="24"/>
                  <w:szCs w:val="24"/>
                </w:rPr>
                <w:t xml:space="preserve">Bhorat, H., Cassiem, A. &amp; Hirsch, A., 2014. </w:t>
              </w:r>
              <w:r w:rsidR="008A4F7A" w:rsidRPr="00270770">
                <w:rPr>
                  <w:rFonts w:ascii="Arial Narrow" w:hAnsi="Arial Narrow" w:cs="Times New Roman"/>
                  <w:i/>
                  <w:iCs/>
                  <w:noProof/>
                  <w:sz w:val="24"/>
                  <w:szCs w:val="24"/>
                </w:rPr>
                <w:t>Obstacles to Convergence in South Africa</w:t>
              </w:r>
              <w:r w:rsidR="008A4F7A" w:rsidRPr="00270770">
                <w:rPr>
                  <w:rFonts w:ascii="Arial Narrow" w:hAnsi="Arial Narrow" w:cs="Times New Roman"/>
                  <w:noProof/>
                  <w:sz w:val="24"/>
                  <w:szCs w:val="24"/>
                </w:rPr>
                <w:t>. [Online] [Accessed 28 February 2015].</w:t>
              </w:r>
            </w:p>
            <w:p w:rsidR="008A4F7A" w:rsidRPr="00270770" w:rsidRDefault="008A4F7A" w:rsidP="008A4F7A">
              <w:pPr>
                <w:rPr>
                  <w:rFonts w:ascii="Arial Narrow" w:hAnsi="Arial Narrow"/>
                  <w:sz w:val="24"/>
                  <w:szCs w:val="24"/>
                </w:rPr>
              </w:pPr>
            </w:p>
            <w:p w:rsidR="008A4F7A" w:rsidRPr="00270770" w:rsidRDefault="008A4F7A" w:rsidP="008A4F7A">
              <w:pPr>
                <w:pStyle w:val="Bibliography"/>
                <w:spacing w:line="360" w:lineRule="auto"/>
                <w:rPr>
                  <w:rFonts w:ascii="Arial Narrow" w:hAnsi="Arial Narrow" w:cs="Times New Roman"/>
                  <w:noProof/>
                  <w:sz w:val="24"/>
                  <w:szCs w:val="24"/>
                </w:rPr>
              </w:pPr>
              <w:r w:rsidRPr="00270770">
                <w:rPr>
                  <w:rFonts w:ascii="Arial Narrow" w:hAnsi="Arial Narrow" w:cs="Times New Roman"/>
                  <w:noProof/>
                  <w:sz w:val="24"/>
                  <w:szCs w:val="24"/>
                </w:rPr>
                <w:t xml:space="preserve">De Mello , L., 1999. Foriegn Direct Investment Led Growth: Evidence from time series and panel data. </w:t>
              </w:r>
              <w:r w:rsidRPr="00270770">
                <w:rPr>
                  <w:rFonts w:ascii="Arial Narrow" w:hAnsi="Arial Narrow" w:cs="Times New Roman"/>
                  <w:i/>
                  <w:iCs/>
                  <w:noProof/>
                  <w:sz w:val="24"/>
                  <w:szCs w:val="24"/>
                </w:rPr>
                <w:t>Oxford Economic Papers 15 (1999)</w:t>
              </w:r>
              <w:r w:rsidRPr="00270770">
                <w:rPr>
                  <w:rFonts w:ascii="Arial Narrow" w:hAnsi="Arial Narrow" w:cs="Times New Roman"/>
                  <w:noProof/>
                  <w:sz w:val="24"/>
                  <w:szCs w:val="24"/>
                </w:rPr>
                <w:t>, 15, pp.133 - 151.</w:t>
              </w:r>
            </w:p>
            <w:p w:rsidR="008A4F7A" w:rsidRPr="00270770" w:rsidRDefault="008A4F7A" w:rsidP="008A4F7A">
              <w:pPr>
                <w:rPr>
                  <w:rFonts w:ascii="Arial Narrow" w:hAnsi="Arial Narrow"/>
                  <w:sz w:val="24"/>
                  <w:szCs w:val="24"/>
                </w:rPr>
              </w:pPr>
            </w:p>
            <w:p w:rsidR="008A4F7A" w:rsidRPr="00270770" w:rsidRDefault="008A4F7A" w:rsidP="008A4F7A">
              <w:pPr>
                <w:pStyle w:val="Bibliography"/>
                <w:spacing w:line="360" w:lineRule="auto"/>
                <w:rPr>
                  <w:rFonts w:ascii="Arial Narrow" w:hAnsi="Arial Narrow" w:cs="Times New Roman"/>
                  <w:noProof/>
                  <w:sz w:val="24"/>
                  <w:szCs w:val="24"/>
                </w:rPr>
              </w:pPr>
              <w:r w:rsidRPr="00270770">
                <w:rPr>
                  <w:rFonts w:ascii="Arial Narrow" w:hAnsi="Arial Narrow" w:cs="Times New Roman"/>
                  <w:noProof/>
                  <w:sz w:val="24"/>
                  <w:szCs w:val="24"/>
                </w:rPr>
                <w:t xml:space="preserve">Ahuja, A. &amp; Nabar, M., 2012. Investment-Led Growth in China: Global Spillovers. </w:t>
              </w:r>
              <w:r w:rsidRPr="00270770">
                <w:rPr>
                  <w:rFonts w:ascii="Arial Narrow" w:hAnsi="Arial Narrow" w:cs="Times New Roman"/>
                  <w:i/>
                  <w:iCs/>
                  <w:noProof/>
                  <w:sz w:val="24"/>
                  <w:szCs w:val="24"/>
                </w:rPr>
                <w:t>IMF Working Paper</w:t>
              </w:r>
              <w:r w:rsidRPr="00270770">
                <w:rPr>
                  <w:rFonts w:ascii="Arial Narrow" w:hAnsi="Arial Narrow" w:cs="Times New Roman"/>
                  <w:noProof/>
                  <w:sz w:val="24"/>
                  <w:szCs w:val="24"/>
                </w:rPr>
                <w:t>.</w:t>
              </w:r>
            </w:p>
            <w:p w:rsidR="008A4F7A" w:rsidRPr="00270770" w:rsidRDefault="008A4F7A" w:rsidP="008A4F7A">
              <w:pPr>
                <w:rPr>
                  <w:rFonts w:ascii="Arial Narrow" w:hAnsi="Arial Narrow"/>
                  <w:sz w:val="24"/>
                  <w:szCs w:val="24"/>
                </w:rPr>
              </w:pPr>
            </w:p>
            <w:p w:rsidR="008A4F7A" w:rsidRPr="00270770" w:rsidRDefault="008A4F7A" w:rsidP="008A4F7A">
              <w:pPr>
                <w:pStyle w:val="Bibliography"/>
                <w:spacing w:line="360" w:lineRule="auto"/>
                <w:rPr>
                  <w:rFonts w:ascii="Arial Narrow" w:hAnsi="Arial Narrow" w:cs="Times New Roman"/>
                  <w:noProof/>
                  <w:sz w:val="24"/>
                  <w:szCs w:val="24"/>
                </w:rPr>
              </w:pPr>
              <w:r w:rsidRPr="00270770">
                <w:rPr>
                  <w:rFonts w:ascii="Arial Narrow" w:hAnsi="Arial Narrow" w:cs="Times New Roman"/>
                  <w:noProof/>
                  <w:sz w:val="24"/>
                  <w:szCs w:val="24"/>
                </w:rPr>
                <w:t xml:space="preserve">Samson et al., 2004. </w:t>
              </w:r>
              <w:r w:rsidRPr="00270770">
                <w:rPr>
                  <w:rFonts w:ascii="Arial Narrow" w:hAnsi="Arial Narrow" w:cs="Times New Roman"/>
                  <w:i/>
                  <w:iCs/>
                  <w:noProof/>
                  <w:sz w:val="24"/>
                  <w:szCs w:val="24"/>
                </w:rPr>
                <w:t>The social and economic impact of South Africa's social security system</w:t>
              </w:r>
              <w:r w:rsidRPr="00270770">
                <w:rPr>
                  <w:rFonts w:ascii="Arial Narrow" w:hAnsi="Arial Narrow" w:cs="Times New Roman"/>
                  <w:noProof/>
                  <w:sz w:val="24"/>
                  <w:szCs w:val="24"/>
                </w:rPr>
                <w:t>. [Online] Commissioned by the Directorate: Finance and Economics Department of Social Development [Accessed 2 March 2015].</w:t>
              </w:r>
            </w:p>
            <w:p w:rsidR="008A4F7A" w:rsidRPr="00270770" w:rsidRDefault="008A4F7A" w:rsidP="008A4F7A">
              <w:pPr>
                <w:rPr>
                  <w:rFonts w:ascii="Arial Narrow" w:hAnsi="Arial Narrow"/>
                  <w:sz w:val="24"/>
                  <w:szCs w:val="24"/>
                </w:rPr>
              </w:pPr>
            </w:p>
            <w:p w:rsidR="008A4F7A" w:rsidRPr="00270770" w:rsidRDefault="008A4F7A" w:rsidP="008A4F7A">
              <w:pPr>
                <w:pStyle w:val="Bibliography"/>
                <w:spacing w:line="360" w:lineRule="auto"/>
                <w:rPr>
                  <w:rFonts w:ascii="Arial Narrow" w:hAnsi="Arial Narrow" w:cs="Times New Roman"/>
                  <w:noProof/>
                  <w:sz w:val="24"/>
                  <w:szCs w:val="24"/>
                </w:rPr>
              </w:pPr>
              <w:r w:rsidRPr="00270770">
                <w:rPr>
                  <w:rFonts w:ascii="Arial Narrow" w:hAnsi="Arial Narrow" w:cs="Times New Roman"/>
                  <w:noProof/>
                  <w:sz w:val="24"/>
                  <w:szCs w:val="24"/>
                </w:rPr>
                <w:t xml:space="preserve">Jouanjean, M.-A., Massa, I. &amp; Te Velde, D.W., 2013. The role of development finance institutions in promoting jobs and structural transformation. </w:t>
              </w:r>
              <w:r w:rsidRPr="00270770">
                <w:rPr>
                  <w:rFonts w:ascii="Arial Narrow" w:hAnsi="Arial Narrow" w:cs="Times New Roman"/>
                  <w:i/>
                  <w:iCs/>
                  <w:noProof/>
                  <w:sz w:val="24"/>
                  <w:szCs w:val="24"/>
                </w:rPr>
                <w:t>Project Report</w:t>
              </w:r>
              <w:r w:rsidRPr="00270770">
                <w:rPr>
                  <w:rFonts w:ascii="Arial Narrow" w:hAnsi="Arial Narrow" w:cs="Times New Roman"/>
                  <w:noProof/>
                  <w:sz w:val="24"/>
                  <w:szCs w:val="24"/>
                </w:rPr>
                <w:t>, 1 March.</w:t>
              </w:r>
            </w:p>
            <w:p w:rsidR="008A4F7A" w:rsidRDefault="00537E09" w:rsidP="008A4F7A">
              <w:pPr>
                <w:spacing w:line="360" w:lineRule="auto"/>
              </w:pPr>
              <w:r w:rsidRPr="00270770">
                <w:rPr>
                  <w:rFonts w:ascii="Arial Narrow" w:hAnsi="Arial Narrow"/>
                  <w:b/>
                  <w:bCs/>
                  <w:noProof/>
                  <w:sz w:val="24"/>
                  <w:szCs w:val="24"/>
                </w:rPr>
                <w:fldChar w:fldCharType="end"/>
              </w:r>
            </w:p>
          </w:sdtContent>
        </w:sdt>
      </w:sdtContent>
    </w:sdt>
    <w:p w:rsidR="008A4F7A" w:rsidRPr="00F27EAE" w:rsidRDefault="008A4F7A" w:rsidP="006C080F">
      <w:pPr>
        <w:spacing w:line="360" w:lineRule="auto"/>
        <w:jc w:val="both"/>
        <w:textAlignment w:val="baseline"/>
        <w:rPr>
          <w:rFonts w:eastAsia="Times New Roman" w:cs="Times New Roman"/>
          <w:color w:val="000000"/>
          <w:sz w:val="24"/>
          <w:szCs w:val="24"/>
          <w:lang w:eastAsia="en-ZA"/>
        </w:rPr>
      </w:pPr>
    </w:p>
    <w:p w:rsidR="00B142B7" w:rsidRPr="00F27EAE" w:rsidRDefault="00B142B7" w:rsidP="006C080F">
      <w:pPr>
        <w:spacing w:line="360" w:lineRule="auto"/>
        <w:rPr>
          <w:i/>
          <w:sz w:val="24"/>
          <w:szCs w:val="24"/>
        </w:rPr>
      </w:pPr>
    </w:p>
    <w:sectPr w:rsidR="00B142B7" w:rsidRPr="00F27EAE" w:rsidSect="008A4F7A">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E6" w:rsidRDefault="00F37BE6" w:rsidP="008A4F7A">
      <w:r>
        <w:separator/>
      </w:r>
    </w:p>
  </w:endnote>
  <w:endnote w:type="continuationSeparator" w:id="1">
    <w:p w:rsidR="00F37BE6" w:rsidRDefault="00F37BE6" w:rsidP="008A4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FA" w:rsidRDefault="00537E09" w:rsidP="008A4F7A">
    <w:pPr>
      <w:pStyle w:val="Footer"/>
      <w:framePr w:wrap="around" w:vAnchor="text" w:hAnchor="margin" w:xAlign="right" w:y="1"/>
      <w:rPr>
        <w:rStyle w:val="PageNumber"/>
      </w:rPr>
    </w:pPr>
    <w:r>
      <w:rPr>
        <w:rStyle w:val="PageNumber"/>
      </w:rPr>
      <w:fldChar w:fldCharType="begin"/>
    </w:r>
    <w:r w:rsidR="00B32EFA">
      <w:rPr>
        <w:rStyle w:val="PageNumber"/>
      </w:rPr>
      <w:instrText xml:space="preserve">PAGE  </w:instrText>
    </w:r>
    <w:r>
      <w:rPr>
        <w:rStyle w:val="PageNumber"/>
      </w:rPr>
      <w:fldChar w:fldCharType="end"/>
    </w:r>
  </w:p>
  <w:p w:rsidR="00B32EFA" w:rsidRDefault="00B32EFA" w:rsidP="008A4F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FA" w:rsidRDefault="00537E09" w:rsidP="008A4F7A">
    <w:pPr>
      <w:pStyle w:val="Footer"/>
      <w:framePr w:wrap="around" w:vAnchor="text" w:hAnchor="margin" w:xAlign="right" w:y="1"/>
      <w:rPr>
        <w:rStyle w:val="PageNumber"/>
      </w:rPr>
    </w:pPr>
    <w:r>
      <w:rPr>
        <w:rStyle w:val="PageNumber"/>
      </w:rPr>
      <w:fldChar w:fldCharType="begin"/>
    </w:r>
    <w:r w:rsidR="00B32EFA">
      <w:rPr>
        <w:rStyle w:val="PageNumber"/>
      </w:rPr>
      <w:instrText xml:space="preserve">PAGE  </w:instrText>
    </w:r>
    <w:r>
      <w:rPr>
        <w:rStyle w:val="PageNumber"/>
      </w:rPr>
      <w:fldChar w:fldCharType="separate"/>
    </w:r>
    <w:r w:rsidR="00DE4171">
      <w:rPr>
        <w:rStyle w:val="PageNumber"/>
        <w:noProof/>
      </w:rPr>
      <w:t>1</w:t>
    </w:r>
    <w:r>
      <w:rPr>
        <w:rStyle w:val="PageNumber"/>
      </w:rPr>
      <w:fldChar w:fldCharType="end"/>
    </w:r>
  </w:p>
  <w:p w:rsidR="00B32EFA" w:rsidRDefault="00B32EFA" w:rsidP="008A4F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E6" w:rsidRDefault="00F37BE6" w:rsidP="008A4F7A">
      <w:r>
        <w:separator/>
      </w:r>
    </w:p>
  </w:footnote>
  <w:footnote w:type="continuationSeparator" w:id="1">
    <w:p w:rsidR="00F37BE6" w:rsidRDefault="00F37BE6" w:rsidP="008A4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B3E"/>
    <w:multiLevelType w:val="hybridMultilevel"/>
    <w:tmpl w:val="B8AC10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B0F26D7"/>
    <w:multiLevelType w:val="hybridMultilevel"/>
    <w:tmpl w:val="67BAD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BDD31C2"/>
    <w:multiLevelType w:val="hybridMultilevel"/>
    <w:tmpl w:val="D534E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5E433C6"/>
    <w:multiLevelType w:val="hybridMultilevel"/>
    <w:tmpl w:val="9E885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6FD3AB2"/>
    <w:multiLevelType w:val="hybridMultilevel"/>
    <w:tmpl w:val="9412E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8137D7B"/>
    <w:multiLevelType w:val="hybridMultilevel"/>
    <w:tmpl w:val="82FEB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8BD5A0E"/>
    <w:multiLevelType w:val="hybridMultilevel"/>
    <w:tmpl w:val="43B03E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07D29D3"/>
    <w:multiLevelType w:val="hybridMultilevel"/>
    <w:tmpl w:val="0E704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DE934D4"/>
    <w:multiLevelType w:val="hybridMultilevel"/>
    <w:tmpl w:val="641AC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8"/>
  </w:num>
  <w:num w:numId="6">
    <w:abstractNumId w:val="3"/>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25106B"/>
    <w:rsid w:val="0003493F"/>
    <w:rsid w:val="00036BC1"/>
    <w:rsid w:val="000709DB"/>
    <w:rsid w:val="00073372"/>
    <w:rsid w:val="00075242"/>
    <w:rsid w:val="00084147"/>
    <w:rsid w:val="000B4F4F"/>
    <w:rsid w:val="000C69A2"/>
    <w:rsid w:val="000D1D7D"/>
    <w:rsid w:val="000E5B56"/>
    <w:rsid w:val="000E5F2A"/>
    <w:rsid w:val="000E78A1"/>
    <w:rsid w:val="00103F89"/>
    <w:rsid w:val="00133D31"/>
    <w:rsid w:val="00135B72"/>
    <w:rsid w:val="00141614"/>
    <w:rsid w:val="00142D12"/>
    <w:rsid w:val="00143772"/>
    <w:rsid w:val="00193B9F"/>
    <w:rsid w:val="001E7A96"/>
    <w:rsid w:val="001F0D5C"/>
    <w:rsid w:val="002046DF"/>
    <w:rsid w:val="0025106B"/>
    <w:rsid w:val="00270770"/>
    <w:rsid w:val="00274CC0"/>
    <w:rsid w:val="002B7B87"/>
    <w:rsid w:val="002D6386"/>
    <w:rsid w:val="002F7966"/>
    <w:rsid w:val="00337193"/>
    <w:rsid w:val="003411F8"/>
    <w:rsid w:val="00361C03"/>
    <w:rsid w:val="00373F20"/>
    <w:rsid w:val="003912A7"/>
    <w:rsid w:val="003B63A3"/>
    <w:rsid w:val="003E1B67"/>
    <w:rsid w:val="00413691"/>
    <w:rsid w:val="00415267"/>
    <w:rsid w:val="00450CFA"/>
    <w:rsid w:val="00463059"/>
    <w:rsid w:val="0047668B"/>
    <w:rsid w:val="004811DB"/>
    <w:rsid w:val="004A6320"/>
    <w:rsid w:val="004D4738"/>
    <w:rsid w:val="00537E09"/>
    <w:rsid w:val="00546A02"/>
    <w:rsid w:val="00560B58"/>
    <w:rsid w:val="00587D90"/>
    <w:rsid w:val="0064795C"/>
    <w:rsid w:val="00655248"/>
    <w:rsid w:val="0066316C"/>
    <w:rsid w:val="006902B4"/>
    <w:rsid w:val="006B616B"/>
    <w:rsid w:val="006B7899"/>
    <w:rsid w:val="006C080F"/>
    <w:rsid w:val="006F1FEE"/>
    <w:rsid w:val="00763899"/>
    <w:rsid w:val="00764240"/>
    <w:rsid w:val="007C4642"/>
    <w:rsid w:val="007E5C7C"/>
    <w:rsid w:val="00806BB3"/>
    <w:rsid w:val="008157FA"/>
    <w:rsid w:val="00822746"/>
    <w:rsid w:val="008233AE"/>
    <w:rsid w:val="008408C8"/>
    <w:rsid w:val="008609B6"/>
    <w:rsid w:val="008752ED"/>
    <w:rsid w:val="00891396"/>
    <w:rsid w:val="008921CD"/>
    <w:rsid w:val="008A4F7A"/>
    <w:rsid w:val="008A7595"/>
    <w:rsid w:val="008B381C"/>
    <w:rsid w:val="008E2A71"/>
    <w:rsid w:val="009315F1"/>
    <w:rsid w:val="0094364D"/>
    <w:rsid w:val="00975FBA"/>
    <w:rsid w:val="009A7831"/>
    <w:rsid w:val="009C3E6D"/>
    <w:rsid w:val="009D3310"/>
    <w:rsid w:val="00A02C50"/>
    <w:rsid w:val="00A0363B"/>
    <w:rsid w:val="00A275E3"/>
    <w:rsid w:val="00A450BD"/>
    <w:rsid w:val="00A46E47"/>
    <w:rsid w:val="00A624CB"/>
    <w:rsid w:val="00A7121D"/>
    <w:rsid w:val="00A9327D"/>
    <w:rsid w:val="00A9443F"/>
    <w:rsid w:val="00A95C37"/>
    <w:rsid w:val="00AA797F"/>
    <w:rsid w:val="00AD5E6D"/>
    <w:rsid w:val="00AD62B0"/>
    <w:rsid w:val="00AF01A7"/>
    <w:rsid w:val="00AF0FB6"/>
    <w:rsid w:val="00AF6581"/>
    <w:rsid w:val="00B142B7"/>
    <w:rsid w:val="00B30D47"/>
    <w:rsid w:val="00B32EFA"/>
    <w:rsid w:val="00B81609"/>
    <w:rsid w:val="00B959F8"/>
    <w:rsid w:val="00BF4A86"/>
    <w:rsid w:val="00C63C44"/>
    <w:rsid w:val="00C650E7"/>
    <w:rsid w:val="00CD102C"/>
    <w:rsid w:val="00CD570C"/>
    <w:rsid w:val="00CE7A3E"/>
    <w:rsid w:val="00D22B4D"/>
    <w:rsid w:val="00D342D1"/>
    <w:rsid w:val="00D52A60"/>
    <w:rsid w:val="00D62E04"/>
    <w:rsid w:val="00D87091"/>
    <w:rsid w:val="00DA77F3"/>
    <w:rsid w:val="00DC1E15"/>
    <w:rsid w:val="00DE4171"/>
    <w:rsid w:val="00E41D02"/>
    <w:rsid w:val="00E54E0C"/>
    <w:rsid w:val="00E8451A"/>
    <w:rsid w:val="00E90C2D"/>
    <w:rsid w:val="00EC7318"/>
    <w:rsid w:val="00EF4734"/>
    <w:rsid w:val="00EF627A"/>
    <w:rsid w:val="00F27EAE"/>
    <w:rsid w:val="00F37BE6"/>
    <w:rsid w:val="00F720AA"/>
    <w:rsid w:val="00F80CE1"/>
    <w:rsid w:val="00F8298D"/>
    <w:rsid w:val="00F9685C"/>
    <w:rsid w:val="00F97A38"/>
    <w:rsid w:val="00FA5F9E"/>
    <w:rsid w:val="00FB5087"/>
    <w:rsid w:val="00FB611D"/>
    <w:rsid w:val="00FD3A87"/>
    <w:rsid w:val="00FD60ED"/>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E1"/>
    <w:rPr>
      <w:lang w:val="en-GB"/>
    </w:rPr>
  </w:style>
  <w:style w:type="paragraph" w:styleId="Heading1">
    <w:name w:val="heading 1"/>
    <w:basedOn w:val="Normal"/>
    <w:next w:val="Normal"/>
    <w:link w:val="Heading1Char"/>
    <w:uiPriority w:val="9"/>
    <w:qFormat/>
    <w:rsid w:val="00822746"/>
    <w:pPr>
      <w:keepNext/>
      <w:keepLines/>
      <w:spacing w:before="480"/>
      <w:outlineLvl w:val="0"/>
    </w:pPr>
    <w:rPr>
      <w:rFonts w:ascii="Arial Narrow" w:eastAsiaTheme="majorEastAsia" w:hAnsi="Arial Narrow"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822746"/>
    <w:pPr>
      <w:keepNext/>
      <w:keepLines/>
      <w:spacing w:before="200" w:line="360" w:lineRule="auto"/>
      <w:outlineLvl w:val="1"/>
    </w:pPr>
    <w:rPr>
      <w:rFonts w:ascii="Arial Narrow" w:eastAsia="Times New Roman" w:hAnsi="Arial Narrow" w:cstheme="majorBidi"/>
      <w:b/>
      <w:bCs/>
      <w:i/>
      <w:color w:val="4F81BD" w:themeColor="accent1"/>
      <w:sz w:val="24"/>
      <w:szCs w:val="24"/>
      <w:lang w:eastAsia="en-ZA"/>
    </w:rPr>
  </w:style>
  <w:style w:type="paragraph" w:styleId="Heading3">
    <w:name w:val="heading 3"/>
    <w:basedOn w:val="Normal"/>
    <w:next w:val="Normal"/>
    <w:link w:val="Heading3Char"/>
    <w:uiPriority w:val="9"/>
    <w:unhideWhenUsed/>
    <w:qFormat/>
    <w:rsid w:val="000733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746"/>
    <w:rPr>
      <w:rFonts w:ascii="Arial Narrow" w:eastAsiaTheme="majorEastAsia" w:hAnsi="Arial Narrow" w:cstheme="majorBidi"/>
      <w:b/>
      <w:bCs/>
      <w:color w:val="345A8A" w:themeColor="accent1" w:themeShade="B5"/>
      <w:sz w:val="28"/>
      <w:szCs w:val="32"/>
      <w:lang w:val="en-GB"/>
    </w:rPr>
  </w:style>
  <w:style w:type="character" w:customStyle="1" w:styleId="Heading2Char">
    <w:name w:val="Heading 2 Char"/>
    <w:basedOn w:val="DefaultParagraphFont"/>
    <w:link w:val="Heading2"/>
    <w:uiPriority w:val="9"/>
    <w:rsid w:val="00822746"/>
    <w:rPr>
      <w:rFonts w:ascii="Arial Narrow" w:eastAsia="Times New Roman" w:hAnsi="Arial Narrow" w:cstheme="majorBidi"/>
      <w:b/>
      <w:bCs/>
      <w:i/>
      <w:color w:val="4F81BD" w:themeColor="accent1"/>
      <w:sz w:val="24"/>
      <w:szCs w:val="24"/>
      <w:lang w:val="en-GB" w:eastAsia="en-ZA"/>
    </w:rPr>
  </w:style>
  <w:style w:type="paragraph" w:styleId="TOCHeading">
    <w:name w:val="TOC Heading"/>
    <w:basedOn w:val="Heading1"/>
    <w:next w:val="Normal"/>
    <w:uiPriority w:val="39"/>
    <w:semiHidden/>
    <w:unhideWhenUsed/>
    <w:qFormat/>
    <w:rsid w:val="00A02C50"/>
    <w:pPr>
      <w:spacing w:line="276" w:lineRule="auto"/>
      <w:outlineLvl w:val="9"/>
    </w:pPr>
    <w:rPr>
      <w:i/>
      <w:iCs/>
      <w:color w:val="365F91" w:themeColor="accent1" w:themeShade="BF"/>
      <w:szCs w:val="28"/>
      <w:lang w:val="en-US"/>
    </w:rPr>
  </w:style>
  <w:style w:type="paragraph" w:styleId="TOC1">
    <w:name w:val="toc 1"/>
    <w:basedOn w:val="Normal"/>
    <w:next w:val="Normal"/>
    <w:autoRedefine/>
    <w:uiPriority w:val="39"/>
    <w:unhideWhenUsed/>
    <w:rsid w:val="00A02C50"/>
    <w:pPr>
      <w:spacing w:after="100"/>
    </w:pPr>
  </w:style>
  <w:style w:type="paragraph" w:styleId="TOC2">
    <w:name w:val="toc 2"/>
    <w:basedOn w:val="Normal"/>
    <w:next w:val="Normal"/>
    <w:autoRedefine/>
    <w:uiPriority w:val="39"/>
    <w:unhideWhenUsed/>
    <w:rsid w:val="00A02C50"/>
    <w:pPr>
      <w:spacing w:after="100"/>
      <w:ind w:left="200"/>
    </w:pPr>
  </w:style>
  <w:style w:type="character" w:styleId="Hyperlink">
    <w:name w:val="Hyperlink"/>
    <w:basedOn w:val="DefaultParagraphFont"/>
    <w:uiPriority w:val="99"/>
    <w:unhideWhenUsed/>
    <w:rsid w:val="00A02C50"/>
    <w:rPr>
      <w:color w:val="0000FF" w:themeColor="hyperlink"/>
      <w:u w:val="single"/>
    </w:rPr>
  </w:style>
  <w:style w:type="paragraph" w:styleId="BalloonText">
    <w:name w:val="Balloon Text"/>
    <w:basedOn w:val="Normal"/>
    <w:link w:val="BalloonTextChar"/>
    <w:uiPriority w:val="99"/>
    <w:semiHidden/>
    <w:unhideWhenUsed/>
    <w:rsid w:val="00A02C50"/>
    <w:rPr>
      <w:rFonts w:ascii="Tahoma" w:hAnsi="Tahoma" w:cs="Tahoma"/>
      <w:sz w:val="16"/>
      <w:szCs w:val="16"/>
    </w:rPr>
  </w:style>
  <w:style w:type="character" w:customStyle="1" w:styleId="BalloonTextChar">
    <w:name w:val="Balloon Text Char"/>
    <w:basedOn w:val="DefaultParagraphFont"/>
    <w:link w:val="BalloonText"/>
    <w:uiPriority w:val="99"/>
    <w:semiHidden/>
    <w:rsid w:val="00A02C50"/>
    <w:rPr>
      <w:rFonts w:ascii="Tahoma" w:hAnsi="Tahoma" w:cs="Tahoma"/>
      <w:sz w:val="16"/>
      <w:szCs w:val="16"/>
      <w:lang w:val="en-GB"/>
    </w:rPr>
  </w:style>
  <w:style w:type="paragraph" w:styleId="ListParagraph">
    <w:name w:val="List Paragraph"/>
    <w:basedOn w:val="Normal"/>
    <w:uiPriority w:val="34"/>
    <w:qFormat/>
    <w:rsid w:val="00CE7A3E"/>
    <w:pPr>
      <w:ind w:left="720"/>
      <w:contextualSpacing/>
    </w:pPr>
  </w:style>
  <w:style w:type="paragraph" w:styleId="Caption">
    <w:name w:val="caption"/>
    <w:basedOn w:val="Normal"/>
    <w:next w:val="Normal"/>
    <w:uiPriority w:val="35"/>
    <w:unhideWhenUsed/>
    <w:qFormat/>
    <w:rsid w:val="00D22B4D"/>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073372"/>
    <w:rPr>
      <w:rFonts w:asciiTheme="majorHAnsi" w:eastAsiaTheme="majorEastAsia" w:hAnsiTheme="majorHAnsi" w:cstheme="majorBidi"/>
      <w:b/>
      <w:bCs/>
      <w:color w:val="4F81BD" w:themeColor="accent1"/>
      <w:lang w:val="en-GB"/>
    </w:rPr>
  </w:style>
  <w:style w:type="paragraph" w:styleId="TOC3">
    <w:name w:val="toc 3"/>
    <w:basedOn w:val="Normal"/>
    <w:next w:val="Normal"/>
    <w:autoRedefine/>
    <w:uiPriority w:val="39"/>
    <w:unhideWhenUsed/>
    <w:rsid w:val="006B7899"/>
    <w:pPr>
      <w:spacing w:after="100"/>
      <w:ind w:left="400"/>
    </w:pPr>
  </w:style>
  <w:style w:type="paragraph" w:styleId="Bibliography">
    <w:name w:val="Bibliography"/>
    <w:basedOn w:val="Normal"/>
    <w:next w:val="Normal"/>
    <w:uiPriority w:val="37"/>
    <w:unhideWhenUsed/>
    <w:rsid w:val="008A4F7A"/>
  </w:style>
  <w:style w:type="paragraph" w:styleId="Footer">
    <w:name w:val="footer"/>
    <w:basedOn w:val="Normal"/>
    <w:link w:val="FooterChar"/>
    <w:uiPriority w:val="99"/>
    <w:unhideWhenUsed/>
    <w:rsid w:val="008A4F7A"/>
    <w:pPr>
      <w:tabs>
        <w:tab w:val="center" w:pos="4320"/>
        <w:tab w:val="right" w:pos="8640"/>
      </w:tabs>
    </w:pPr>
  </w:style>
  <w:style w:type="character" w:customStyle="1" w:styleId="FooterChar">
    <w:name w:val="Footer Char"/>
    <w:basedOn w:val="DefaultParagraphFont"/>
    <w:link w:val="Footer"/>
    <w:uiPriority w:val="99"/>
    <w:rsid w:val="008A4F7A"/>
    <w:rPr>
      <w:lang w:val="en-GB"/>
    </w:rPr>
  </w:style>
  <w:style w:type="character" w:styleId="PageNumber">
    <w:name w:val="page number"/>
    <w:basedOn w:val="DefaultParagraphFont"/>
    <w:uiPriority w:val="99"/>
    <w:semiHidden/>
    <w:unhideWhenUsed/>
    <w:rsid w:val="008A4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E1"/>
    <w:rPr>
      <w:lang w:val="en-GB"/>
    </w:rPr>
  </w:style>
  <w:style w:type="paragraph" w:styleId="Heading1">
    <w:name w:val="heading 1"/>
    <w:basedOn w:val="Normal"/>
    <w:next w:val="Normal"/>
    <w:link w:val="Heading1Char"/>
    <w:uiPriority w:val="9"/>
    <w:qFormat/>
    <w:rsid w:val="00822746"/>
    <w:pPr>
      <w:keepNext/>
      <w:keepLines/>
      <w:spacing w:before="480"/>
      <w:outlineLvl w:val="0"/>
    </w:pPr>
    <w:rPr>
      <w:rFonts w:ascii="Arial Narrow" w:eastAsiaTheme="majorEastAsia" w:hAnsi="Arial Narrow"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822746"/>
    <w:pPr>
      <w:keepNext/>
      <w:keepLines/>
      <w:spacing w:before="200" w:line="360" w:lineRule="auto"/>
      <w:outlineLvl w:val="1"/>
    </w:pPr>
    <w:rPr>
      <w:rFonts w:ascii="Arial Narrow" w:eastAsia="Times New Roman" w:hAnsi="Arial Narrow" w:cstheme="majorBidi"/>
      <w:b/>
      <w:bCs/>
      <w:i/>
      <w:color w:val="4F81BD" w:themeColor="accent1"/>
      <w:sz w:val="24"/>
      <w:szCs w:val="24"/>
      <w:lang w:eastAsia="en-ZA"/>
    </w:rPr>
  </w:style>
  <w:style w:type="paragraph" w:styleId="Heading3">
    <w:name w:val="heading 3"/>
    <w:basedOn w:val="Normal"/>
    <w:next w:val="Normal"/>
    <w:link w:val="Heading3Char"/>
    <w:uiPriority w:val="9"/>
    <w:unhideWhenUsed/>
    <w:qFormat/>
    <w:rsid w:val="000733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746"/>
    <w:rPr>
      <w:rFonts w:ascii="Arial Narrow" w:eastAsiaTheme="majorEastAsia" w:hAnsi="Arial Narrow" w:cstheme="majorBidi"/>
      <w:b/>
      <w:bCs/>
      <w:color w:val="345A8A" w:themeColor="accent1" w:themeShade="B5"/>
      <w:sz w:val="28"/>
      <w:szCs w:val="32"/>
      <w:lang w:val="en-GB"/>
    </w:rPr>
  </w:style>
  <w:style w:type="character" w:customStyle="1" w:styleId="Heading2Char">
    <w:name w:val="Heading 2 Char"/>
    <w:basedOn w:val="DefaultParagraphFont"/>
    <w:link w:val="Heading2"/>
    <w:uiPriority w:val="9"/>
    <w:rsid w:val="00822746"/>
    <w:rPr>
      <w:rFonts w:ascii="Arial Narrow" w:eastAsia="Times New Roman" w:hAnsi="Arial Narrow" w:cstheme="majorBidi"/>
      <w:b/>
      <w:bCs/>
      <w:i/>
      <w:color w:val="4F81BD" w:themeColor="accent1"/>
      <w:sz w:val="24"/>
      <w:szCs w:val="24"/>
      <w:lang w:val="en-GB" w:eastAsia="en-ZA"/>
    </w:rPr>
  </w:style>
  <w:style w:type="paragraph" w:styleId="TOCHeading">
    <w:name w:val="TOC Heading"/>
    <w:basedOn w:val="Heading1"/>
    <w:next w:val="Normal"/>
    <w:uiPriority w:val="39"/>
    <w:semiHidden/>
    <w:unhideWhenUsed/>
    <w:qFormat/>
    <w:rsid w:val="00A02C50"/>
    <w:pPr>
      <w:spacing w:line="276" w:lineRule="auto"/>
      <w:outlineLvl w:val="9"/>
    </w:pPr>
    <w:rPr>
      <w:i/>
      <w:iCs/>
      <w:color w:val="365F91" w:themeColor="accent1" w:themeShade="BF"/>
      <w:szCs w:val="28"/>
      <w:lang w:val="en-US"/>
    </w:rPr>
  </w:style>
  <w:style w:type="paragraph" w:styleId="TOC1">
    <w:name w:val="toc 1"/>
    <w:basedOn w:val="Normal"/>
    <w:next w:val="Normal"/>
    <w:autoRedefine/>
    <w:uiPriority w:val="39"/>
    <w:unhideWhenUsed/>
    <w:rsid w:val="00A02C50"/>
    <w:pPr>
      <w:spacing w:after="100"/>
    </w:pPr>
  </w:style>
  <w:style w:type="paragraph" w:styleId="TOC2">
    <w:name w:val="toc 2"/>
    <w:basedOn w:val="Normal"/>
    <w:next w:val="Normal"/>
    <w:autoRedefine/>
    <w:uiPriority w:val="39"/>
    <w:unhideWhenUsed/>
    <w:rsid w:val="00A02C50"/>
    <w:pPr>
      <w:spacing w:after="100"/>
      <w:ind w:left="200"/>
    </w:pPr>
  </w:style>
  <w:style w:type="character" w:styleId="Hyperlink">
    <w:name w:val="Hyperlink"/>
    <w:basedOn w:val="DefaultParagraphFont"/>
    <w:uiPriority w:val="99"/>
    <w:unhideWhenUsed/>
    <w:rsid w:val="00A02C50"/>
    <w:rPr>
      <w:color w:val="0000FF" w:themeColor="hyperlink"/>
      <w:u w:val="single"/>
    </w:rPr>
  </w:style>
  <w:style w:type="paragraph" w:styleId="BalloonText">
    <w:name w:val="Balloon Text"/>
    <w:basedOn w:val="Normal"/>
    <w:link w:val="BalloonTextChar"/>
    <w:uiPriority w:val="99"/>
    <w:semiHidden/>
    <w:unhideWhenUsed/>
    <w:rsid w:val="00A02C50"/>
    <w:rPr>
      <w:rFonts w:ascii="Tahoma" w:hAnsi="Tahoma" w:cs="Tahoma"/>
      <w:sz w:val="16"/>
      <w:szCs w:val="16"/>
    </w:rPr>
  </w:style>
  <w:style w:type="character" w:customStyle="1" w:styleId="BalloonTextChar">
    <w:name w:val="Balloon Text Char"/>
    <w:basedOn w:val="DefaultParagraphFont"/>
    <w:link w:val="BalloonText"/>
    <w:uiPriority w:val="99"/>
    <w:semiHidden/>
    <w:rsid w:val="00A02C50"/>
    <w:rPr>
      <w:rFonts w:ascii="Tahoma" w:hAnsi="Tahoma" w:cs="Tahoma"/>
      <w:sz w:val="16"/>
      <w:szCs w:val="16"/>
      <w:lang w:val="en-GB"/>
    </w:rPr>
  </w:style>
  <w:style w:type="paragraph" w:styleId="ListParagraph">
    <w:name w:val="List Paragraph"/>
    <w:basedOn w:val="Normal"/>
    <w:uiPriority w:val="34"/>
    <w:qFormat/>
    <w:rsid w:val="00CE7A3E"/>
    <w:pPr>
      <w:ind w:left="720"/>
      <w:contextualSpacing/>
    </w:pPr>
  </w:style>
  <w:style w:type="paragraph" w:styleId="Caption">
    <w:name w:val="caption"/>
    <w:basedOn w:val="Normal"/>
    <w:next w:val="Normal"/>
    <w:uiPriority w:val="35"/>
    <w:unhideWhenUsed/>
    <w:qFormat/>
    <w:rsid w:val="00D22B4D"/>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073372"/>
    <w:rPr>
      <w:rFonts w:asciiTheme="majorHAnsi" w:eastAsiaTheme="majorEastAsia" w:hAnsiTheme="majorHAnsi" w:cstheme="majorBidi"/>
      <w:b/>
      <w:bCs/>
      <w:color w:val="4F81BD" w:themeColor="accent1"/>
      <w:lang w:val="en-GB"/>
    </w:rPr>
  </w:style>
  <w:style w:type="paragraph" w:styleId="TOC3">
    <w:name w:val="toc 3"/>
    <w:basedOn w:val="Normal"/>
    <w:next w:val="Normal"/>
    <w:autoRedefine/>
    <w:uiPriority w:val="39"/>
    <w:unhideWhenUsed/>
    <w:rsid w:val="006B7899"/>
    <w:pPr>
      <w:spacing w:after="100"/>
      <w:ind w:left="400"/>
    </w:pPr>
  </w:style>
  <w:style w:type="paragraph" w:styleId="Bibliography">
    <w:name w:val="Bibliography"/>
    <w:basedOn w:val="Normal"/>
    <w:next w:val="Normal"/>
    <w:uiPriority w:val="37"/>
    <w:unhideWhenUsed/>
    <w:rsid w:val="008A4F7A"/>
  </w:style>
  <w:style w:type="paragraph" w:styleId="Footer">
    <w:name w:val="footer"/>
    <w:basedOn w:val="Normal"/>
    <w:link w:val="FooterChar"/>
    <w:uiPriority w:val="99"/>
    <w:unhideWhenUsed/>
    <w:rsid w:val="008A4F7A"/>
    <w:pPr>
      <w:tabs>
        <w:tab w:val="center" w:pos="4320"/>
        <w:tab w:val="right" w:pos="8640"/>
      </w:tabs>
    </w:pPr>
  </w:style>
  <w:style w:type="character" w:customStyle="1" w:styleId="FooterChar">
    <w:name w:val="Footer Char"/>
    <w:basedOn w:val="DefaultParagraphFont"/>
    <w:link w:val="Footer"/>
    <w:uiPriority w:val="99"/>
    <w:rsid w:val="008A4F7A"/>
    <w:rPr>
      <w:lang w:val="en-GB"/>
    </w:rPr>
  </w:style>
  <w:style w:type="character" w:styleId="PageNumber">
    <w:name w:val="page number"/>
    <w:basedOn w:val="DefaultParagraphFont"/>
    <w:uiPriority w:val="99"/>
    <w:semiHidden/>
    <w:unhideWhenUsed/>
    <w:rsid w:val="008A4F7A"/>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37DCF-FA55-2D4A-B952-D3C653ED2FF4}" type="doc">
      <dgm:prSet loTypeId="urn:microsoft.com/office/officeart/2005/8/layout/radial1" loCatId="" qsTypeId="urn:microsoft.com/office/officeart/2005/8/quickstyle/3D3" qsCatId="3D" csTypeId="urn:microsoft.com/office/officeart/2005/8/colors/colorful1#1" csCatId="colorful" phldr="1"/>
      <dgm:spPr/>
      <dgm:t>
        <a:bodyPr/>
        <a:lstStyle/>
        <a:p>
          <a:endParaRPr lang="en-US"/>
        </a:p>
      </dgm:t>
    </dgm:pt>
    <dgm:pt modelId="{C4FB71CD-1C16-3C48-9CDD-EB668712094D}">
      <dgm:prSet phldrT="[Text]"/>
      <dgm:spPr/>
      <dgm:t>
        <a:bodyPr/>
        <a:lstStyle/>
        <a:p>
          <a:r>
            <a:rPr lang="en-US"/>
            <a:t>Investment-Led Growth Model </a:t>
          </a:r>
        </a:p>
      </dgm:t>
    </dgm:pt>
    <dgm:pt modelId="{631AA680-2CBD-2940-9695-12B41FE2A16D}" type="parTrans" cxnId="{AC573933-9643-2649-87E5-AA4622926179}">
      <dgm:prSet/>
      <dgm:spPr/>
      <dgm:t>
        <a:bodyPr/>
        <a:lstStyle/>
        <a:p>
          <a:endParaRPr lang="en-US"/>
        </a:p>
      </dgm:t>
    </dgm:pt>
    <dgm:pt modelId="{2DB864E8-4BA7-F042-8901-1448EBD94391}" type="sibTrans" cxnId="{AC573933-9643-2649-87E5-AA4622926179}">
      <dgm:prSet/>
      <dgm:spPr/>
      <dgm:t>
        <a:bodyPr/>
        <a:lstStyle/>
        <a:p>
          <a:endParaRPr lang="en-US"/>
        </a:p>
      </dgm:t>
    </dgm:pt>
    <dgm:pt modelId="{A117E71F-A824-834E-AC66-A3140AB09BBE}">
      <dgm:prSet phldrT="[Text]"/>
      <dgm:spPr/>
      <dgm:t>
        <a:bodyPr/>
        <a:lstStyle/>
        <a:p>
          <a:r>
            <a:rPr lang="en-US"/>
            <a:t>Investments by SOCs</a:t>
          </a:r>
        </a:p>
      </dgm:t>
    </dgm:pt>
    <dgm:pt modelId="{29CE7A64-6829-4441-B444-149330F4D01B}" type="parTrans" cxnId="{ED51C6D3-B9BC-9046-99D5-AE1E72F39154}">
      <dgm:prSet/>
      <dgm:spPr/>
      <dgm:t>
        <a:bodyPr/>
        <a:lstStyle/>
        <a:p>
          <a:endParaRPr lang="en-US"/>
        </a:p>
      </dgm:t>
    </dgm:pt>
    <dgm:pt modelId="{971B0BAA-79D3-1F44-ABDA-DF6C615A6082}" type="sibTrans" cxnId="{ED51C6D3-B9BC-9046-99D5-AE1E72F39154}">
      <dgm:prSet/>
      <dgm:spPr/>
      <dgm:t>
        <a:bodyPr/>
        <a:lstStyle/>
        <a:p>
          <a:endParaRPr lang="en-US"/>
        </a:p>
      </dgm:t>
    </dgm:pt>
    <dgm:pt modelId="{999078EB-A63B-8E45-AFD2-8ECF2A7A998F}">
      <dgm:prSet phldrT="[Text]"/>
      <dgm:spPr/>
      <dgm:t>
        <a:bodyPr/>
        <a:lstStyle/>
        <a:p>
          <a:r>
            <a:rPr lang="en-US"/>
            <a:t>Investments in Townships and Cities</a:t>
          </a:r>
        </a:p>
      </dgm:t>
    </dgm:pt>
    <dgm:pt modelId="{0E993CD2-AB5D-8D43-83F9-C0364E875AC4}" type="parTrans" cxnId="{00B7CA6C-90B4-2B43-BD34-A3A5C83AD4A8}">
      <dgm:prSet/>
      <dgm:spPr/>
      <dgm:t>
        <a:bodyPr/>
        <a:lstStyle/>
        <a:p>
          <a:endParaRPr lang="en-US"/>
        </a:p>
      </dgm:t>
    </dgm:pt>
    <dgm:pt modelId="{7159465D-0669-4843-A18C-AC9FFC674D90}" type="sibTrans" cxnId="{00B7CA6C-90B4-2B43-BD34-A3A5C83AD4A8}">
      <dgm:prSet/>
      <dgm:spPr/>
      <dgm:t>
        <a:bodyPr/>
        <a:lstStyle/>
        <a:p>
          <a:endParaRPr lang="en-US"/>
        </a:p>
      </dgm:t>
    </dgm:pt>
    <dgm:pt modelId="{A3A198FE-C11F-A747-B18B-0FCE98685D17}">
      <dgm:prSet phldrT="[Text]"/>
      <dgm:spPr/>
      <dgm:t>
        <a:bodyPr/>
        <a:lstStyle/>
        <a:p>
          <a:r>
            <a:rPr lang="en-US"/>
            <a:t>Investments by Private Sector</a:t>
          </a:r>
        </a:p>
      </dgm:t>
    </dgm:pt>
    <dgm:pt modelId="{149D47A8-AAAC-184D-A8F4-B784F5A9AD72}" type="parTrans" cxnId="{F097FD50-85AB-114F-AA87-8D66FFDA0F6F}">
      <dgm:prSet/>
      <dgm:spPr/>
      <dgm:t>
        <a:bodyPr/>
        <a:lstStyle/>
        <a:p>
          <a:endParaRPr lang="en-US"/>
        </a:p>
      </dgm:t>
    </dgm:pt>
    <dgm:pt modelId="{EA6890A0-2276-6D43-89AD-E7B67378D516}" type="sibTrans" cxnId="{F097FD50-85AB-114F-AA87-8D66FFDA0F6F}">
      <dgm:prSet/>
      <dgm:spPr/>
      <dgm:t>
        <a:bodyPr/>
        <a:lstStyle/>
        <a:p>
          <a:endParaRPr lang="en-US"/>
        </a:p>
      </dgm:t>
    </dgm:pt>
    <dgm:pt modelId="{5467C171-D43B-9645-A2D3-98CDCC66FDEF}" type="pres">
      <dgm:prSet presAssocID="{00837DCF-FA55-2D4A-B952-D3C653ED2FF4}" presName="cycle" presStyleCnt="0">
        <dgm:presLayoutVars>
          <dgm:chMax val="1"/>
          <dgm:dir/>
          <dgm:animLvl val="ctr"/>
          <dgm:resizeHandles val="exact"/>
        </dgm:presLayoutVars>
      </dgm:prSet>
      <dgm:spPr/>
      <dgm:t>
        <a:bodyPr/>
        <a:lstStyle/>
        <a:p>
          <a:endParaRPr lang="en-ZA"/>
        </a:p>
      </dgm:t>
    </dgm:pt>
    <dgm:pt modelId="{BF5F3121-B571-8E40-9F63-A17D619D465F}" type="pres">
      <dgm:prSet presAssocID="{C4FB71CD-1C16-3C48-9CDD-EB668712094D}" presName="centerShape" presStyleLbl="node0" presStyleIdx="0" presStyleCnt="1"/>
      <dgm:spPr/>
      <dgm:t>
        <a:bodyPr/>
        <a:lstStyle/>
        <a:p>
          <a:endParaRPr lang="en-US"/>
        </a:p>
      </dgm:t>
    </dgm:pt>
    <dgm:pt modelId="{EFC43667-DF78-164A-966A-A623FDA3F0CA}" type="pres">
      <dgm:prSet presAssocID="{29CE7A64-6829-4441-B444-149330F4D01B}" presName="Name9" presStyleLbl="parChTrans1D2" presStyleIdx="0" presStyleCnt="3"/>
      <dgm:spPr/>
      <dgm:t>
        <a:bodyPr/>
        <a:lstStyle/>
        <a:p>
          <a:endParaRPr lang="en-ZA"/>
        </a:p>
      </dgm:t>
    </dgm:pt>
    <dgm:pt modelId="{9E24D0FB-20C0-F443-8F80-B7031F966F1A}" type="pres">
      <dgm:prSet presAssocID="{29CE7A64-6829-4441-B444-149330F4D01B}" presName="connTx" presStyleLbl="parChTrans1D2" presStyleIdx="0" presStyleCnt="3"/>
      <dgm:spPr/>
      <dgm:t>
        <a:bodyPr/>
        <a:lstStyle/>
        <a:p>
          <a:endParaRPr lang="en-ZA"/>
        </a:p>
      </dgm:t>
    </dgm:pt>
    <dgm:pt modelId="{19C07EAD-4930-844E-B242-EA4DE1F42464}" type="pres">
      <dgm:prSet presAssocID="{A117E71F-A824-834E-AC66-A3140AB09BBE}" presName="node" presStyleLbl="node1" presStyleIdx="0" presStyleCnt="3">
        <dgm:presLayoutVars>
          <dgm:bulletEnabled val="1"/>
        </dgm:presLayoutVars>
      </dgm:prSet>
      <dgm:spPr/>
      <dgm:t>
        <a:bodyPr/>
        <a:lstStyle/>
        <a:p>
          <a:endParaRPr lang="en-ZA"/>
        </a:p>
      </dgm:t>
    </dgm:pt>
    <dgm:pt modelId="{9E11C1B1-49D8-EB4F-9FAB-1D9F9BA297AC}" type="pres">
      <dgm:prSet presAssocID="{0E993CD2-AB5D-8D43-83F9-C0364E875AC4}" presName="Name9" presStyleLbl="parChTrans1D2" presStyleIdx="1" presStyleCnt="3"/>
      <dgm:spPr/>
      <dgm:t>
        <a:bodyPr/>
        <a:lstStyle/>
        <a:p>
          <a:endParaRPr lang="en-ZA"/>
        </a:p>
      </dgm:t>
    </dgm:pt>
    <dgm:pt modelId="{0BFBCF40-4311-114E-9781-45FFCC1A50E5}" type="pres">
      <dgm:prSet presAssocID="{0E993CD2-AB5D-8D43-83F9-C0364E875AC4}" presName="connTx" presStyleLbl="parChTrans1D2" presStyleIdx="1" presStyleCnt="3"/>
      <dgm:spPr/>
      <dgm:t>
        <a:bodyPr/>
        <a:lstStyle/>
        <a:p>
          <a:endParaRPr lang="en-ZA"/>
        </a:p>
      </dgm:t>
    </dgm:pt>
    <dgm:pt modelId="{1EEB8EDD-0426-A643-8305-3195507284BA}" type="pres">
      <dgm:prSet presAssocID="{999078EB-A63B-8E45-AFD2-8ECF2A7A998F}" presName="node" presStyleLbl="node1" presStyleIdx="1" presStyleCnt="3">
        <dgm:presLayoutVars>
          <dgm:bulletEnabled val="1"/>
        </dgm:presLayoutVars>
      </dgm:prSet>
      <dgm:spPr/>
      <dgm:t>
        <a:bodyPr/>
        <a:lstStyle/>
        <a:p>
          <a:endParaRPr lang="en-US"/>
        </a:p>
      </dgm:t>
    </dgm:pt>
    <dgm:pt modelId="{A1CB3547-F058-B944-8905-09C3AA5EF4B3}" type="pres">
      <dgm:prSet presAssocID="{149D47A8-AAAC-184D-A8F4-B784F5A9AD72}" presName="Name9" presStyleLbl="parChTrans1D2" presStyleIdx="2" presStyleCnt="3"/>
      <dgm:spPr/>
      <dgm:t>
        <a:bodyPr/>
        <a:lstStyle/>
        <a:p>
          <a:endParaRPr lang="en-ZA"/>
        </a:p>
      </dgm:t>
    </dgm:pt>
    <dgm:pt modelId="{799A6199-8884-3847-8221-363F6D488994}" type="pres">
      <dgm:prSet presAssocID="{149D47A8-AAAC-184D-A8F4-B784F5A9AD72}" presName="connTx" presStyleLbl="parChTrans1D2" presStyleIdx="2" presStyleCnt="3"/>
      <dgm:spPr/>
      <dgm:t>
        <a:bodyPr/>
        <a:lstStyle/>
        <a:p>
          <a:endParaRPr lang="en-ZA"/>
        </a:p>
      </dgm:t>
    </dgm:pt>
    <dgm:pt modelId="{D9EFE416-D16A-1143-9647-C5899E42DC30}" type="pres">
      <dgm:prSet presAssocID="{A3A198FE-C11F-A747-B18B-0FCE98685D17}" presName="node" presStyleLbl="node1" presStyleIdx="2" presStyleCnt="3">
        <dgm:presLayoutVars>
          <dgm:bulletEnabled val="1"/>
        </dgm:presLayoutVars>
      </dgm:prSet>
      <dgm:spPr/>
      <dgm:t>
        <a:bodyPr/>
        <a:lstStyle/>
        <a:p>
          <a:endParaRPr lang="en-US"/>
        </a:p>
      </dgm:t>
    </dgm:pt>
  </dgm:ptLst>
  <dgm:cxnLst>
    <dgm:cxn modelId="{BB704890-028C-4F88-B887-E97DF903E500}" type="presOf" srcId="{149D47A8-AAAC-184D-A8F4-B784F5A9AD72}" destId="{799A6199-8884-3847-8221-363F6D488994}" srcOrd="1" destOrd="0" presId="urn:microsoft.com/office/officeart/2005/8/layout/radial1"/>
    <dgm:cxn modelId="{0D82AA6D-C410-463D-B0FF-063DF48050B3}" type="presOf" srcId="{999078EB-A63B-8E45-AFD2-8ECF2A7A998F}" destId="{1EEB8EDD-0426-A643-8305-3195507284BA}" srcOrd="0" destOrd="0" presId="urn:microsoft.com/office/officeart/2005/8/layout/radial1"/>
    <dgm:cxn modelId="{E2BC803B-1ABD-42AD-88C0-484EA1F12260}" type="presOf" srcId="{0E993CD2-AB5D-8D43-83F9-C0364E875AC4}" destId="{9E11C1B1-49D8-EB4F-9FAB-1D9F9BA297AC}" srcOrd="0" destOrd="0" presId="urn:microsoft.com/office/officeart/2005/8/layout/radial1"/>
    <dgm:cxn modelId="{D4326580-6FD5-45B9-B261-27617306248E}" type="presOf" srcId="{C4FB71CD-1C16-3C48-9CDD-EB668712094D}" destId="{BF5F3121-B571-8E40-9F63-A17D619D465F}" srcOrd="0" destOrd="0" presId="urn:microsoft.com/office/officeart/2005/8/layout/radial1"/>
    <dgm:cxn modelId="{ED4C79DB-FC97-43F5-A17F-CE24538B4FA3}" type="presOf" srcId="{29CE7A64-6829-4441-B444-149330F4D01B}" destId="{EFC43667-DF78-164A-966A-A623FDA3F0CA}" srcOrd="0" destOrd="0" presId="urn:microsoft.com/office/officeart/2005/8/layout/radial1"/>
    <dgm:cxn modelId="{1F850DBC-E2BC-4E58-A28C-C8CE44B759EA}" type="presOf" srcId="{149D47A8-AAAC-184D-A8F4-B784F5A9AD72}" destId="{A1CB3547-F058-B944-8905-09C3AA5EF4B3}" srcOrd="0" destOrd="0" presId="urn:microsoft.com/office/officeart/2005/8/layout/radial1"/>
    <dgm:cxn modelId="{F097FD50-85AB-114F-AA87-8D66FFDA0F6F}" srcId="{C4FB71CD-1C16-3C48-9CDD-EB668712094D}" destId="{A3A198FE-C11F-A747-B18B-0FCE98685D17}" srcOrd="2" destOrd="0" parTransId="{149D47A8-AAAC-184D-A8F4-B784F5A9AD72}" sibTransId="{EA6890A0-2276-6D43-89AD-E7B67378D516}"/>
    <dgm:cxn modelId="{7C9AEFD7-8972-4DFB-B5D1-0A0E11A214A5}" type="presOf" srcId="{00837DCF-FA55-2D4A-B952-D3C653ED2FF4}" destId="{5467C171-D43B-9645-A2D3-98CDCC66FDEF}" srcOrd="0" destOrd="0" presId="urn:microsoft.com/office/officeart/2005/8/layout/radial1"/>
    <dgm:cxn modelId="{AC573933-9643-2649-87E5-AA4622926179}" srcId="{00837DCF-FA55-2D4A-B952-D3C653ED2FF4}" destId="{C4FB71CD-1C16-3C48-9CDD-EB668712094D}" srcOrd="0" destOrd="0" parTransId="{631AA680-2CBD-2940-9695-12B41FE2A16D}" sibTransId="{2DB864E8-4BA7-F042-8901-1448EBD94391}"/>
    <dgm:cxn modelId="{8540F048-AD84-40A3-AFF6-348F75BFADDE}" type="presOf" srcId="{29CE7A64-6829-4441-B444-149330F4D01B}" destId="{9E24D0FB-20C0-F443-8F80-B7031F966F1A}" srcOrd="1" destOrd="0" presId="urn:microsoft.com/office/officeart/2005/8/layout/radial1"/>
    <dgm:cxn modelId="{00B7CA6C-90B4-2B43-BD34-A3A5C83AD4A8}" srcId="{C4FB71CD-1C16-3C48-9CDD-EB668712094D}" destId="{999078EB-A63B-8E45-AFD2-8ECF2A7A998F}" srcOrd="1" destOrd="0" parTransId="{0E993CD2-AB5D-8D43-83F9-C0364E875AC4}" sibTransId="{7159465D-0669-4843-A18C-AC9FFC674D90}"/>
    <dgm:cxn modelId="{16DA0F3B-D115-43D1-812A-0641263AAEB8}" type="presOf" srcId="{A117E71F-A824-834E-AC66-A3140AB09BBE}" destId="{19C07EAD-4930-844E-B242-EA4DE1F42464}" srcOrd="0" destOrd="0" presId="urn:microsoft.com/office/officeart/2005/8/layout/radial1"/>
    <dgm:cxn modelId="{ACC1EEEB-728F-45FC-9C39-D0AF93D26E24}" type="presOf" srcId="{A3A198FE-C11F-A747-B18B-0FCE98685D17}" destId="{D9EFE416-D16A-1143-9647-C5899E42DC30}" srcOrd="0" destOrd="0" presId="urn:microsoft.com/office/officeart/2005/8/layout/radial1"/>
    <dgm:cxn modelId="{5E4F66ED-240D-456F-AD6D-8475D99DB46C}" type="presOf" srcId="{0E993CD2-AB5D-8D43-83F9-C0364E875AC4}" destId="{0BFBCF40-4311-114E-9781-45FFCC1A50E5}" srcOrd="1" destOrd="0" presId="urn:microsoft.com/office/officeart/2005/8/layout/radial1"/>
    <dgm:cxn modelId="{ED51C6D3-B9BC-9046-99D5-AE1E72F39154}" srcId="{C4FB71CD-1C16-3C48-9CDD-EB668712094D}" destId="{A117E71F-A824-834E-AC66-A3140AB09BBE}" srcOrd="0" destOrd="0" parTransId="{29CE7A64-6829-4441-B444-149330F4D01B}" sibTransId="{971B0BAA-79D3-1F44-ABDA-DF6C615A6082}"/>
    <dgm:cxn modelId="{94ED9BFB-5539-4F04-8BA0-9EC0DC4E17EA}" type="presParOf" srcId="{5467C171-D43B-9645-A2D3-98CDCC66FDEF}" destId="{BF5F3121-B571-8E40-9F63-A17D619D465F}" srcOrd="0" destOrd="0" presId="urn:microsoft.com/office/officeart/2005/8/layout/radial1"/>
    <dgm:cxn modelId="{A52C7EDC-E6E5-4FE2-931A-D898781655B9}" type="presParOf" srcId="{5467C171-D43B-9645-A2D3-98CDCC66FDEF}" destId="{EFC43667-DF78-164A-966A-A623FDA3F0CA}" srcOrd="1" destOrd="0" presId="urn:microsoft.com/office/officeart/2005/8/layout/radial1"/>
    <dgm:cxn modelId="{66C4DE5F-D5D9-4AD6-8CCE-D43E3F492B77}" type="presParOf" srcId="{EFC43667-DF78-164A-966A-A623FDA3F0CA}" destId="{9E24D0FB-20C0-F443-8F80-B7031F966F1A}" srcOrd="0" destOrd="0" presId="urn:microsoft.com/office/officeart/2005/8/layout/radial1"/>
    <dgm:cxn modelId="{B620E949-5CDE-4356-A341-E824E8414DE2}" type="presParOf" srcId="{5467C171-D43B-9645-A2D3-98CDCC66FDEF}" destId="{19C07EAD-4930-844E-B242-EA4DE1F42464}" srcOrd="2" destOrd="0" presId="urn:microsoft.com/office/officeart/2005/8/layout/radial1"/>
    <dgm:cxn modelId="{1B730CEF-C7E2-4CE2-B7B1-5FB6049589A8}" type="presParOf" srcId="{5467C171-D43B-9645-A2D3-98CDCC66FDEF}" destId="{9E11C1B1-49D8-EB4F-9FAB-1D9F9BA297AC}" srcOrd="3" destOrd="0" presId="urn:microsoft.com/office/officeart/2005/8/layout/radial1"/>
    <dgm:cxn modelId="{DCED3D42-2B61-497A-8B1A-08F11C5C31DA}" type="presParOf" srcId="{9E11C1B1-49D8-EB4F-9FAB-1D9F9BA297AC}" destId="{0BFBCF40-4311-114E-9781-45FFCC1A50E5}" srcOrd="0" destOrd="0" presId="urn:microsoft.com/office/officeart/2005/8/layout/radial1"/>
    <dgm:cxn modelId="{2D9FD30E-58BA-4644-82A0-E6E00ED1FCD6}" type="presParOf" srcId="{5467C171-D43B-9645-A2D3-98CDCC66FDEF}" destId="{1EEB8EDD-0426-A643-8305-3195507284BA}" srcOrd="4" destOrd="0" presId="urn:microsoft.com/office/officeart/2005/8/layout/radial1"/>
    <dgm:cxn modelId="{85A80C69-6A52-4133-AE8F-C47F9EF5B64C}" type="presParOf" srcId="{5467C171-D43B-9645-A2D3-98CDCC66FDEF}" destId="{A1CB3547-F058-B944-8905-09C3AA5EF4B3}" srcOrd="5" destOrd="0" presId="urn:microsoft.com/office/officeart/2005/8/layout/radial1"/>
    <dgm:cxn modelId="{FE0F6B00-4BEA-45F6-9AB4-52B10045EF27}" type="presParOf" srcId="{A1CB3547-F058-B944-8905-09C3AA5EF4B3}" destId="{799A6199-8884-3847-8221-363F6D488994}" srcOrd="0" destOrd="0" presId="urn:microsoft.com/office/officeart/2005/8/layout/radial1"/>
    <dgm:cxn modelId="{AD72CB0E-4C1E-4D57-BBC9-03DCCCC5450C}" type="presParOf" srcId="{5467C171-D43B-9645-A2D3-98CDCC66FDEF}" destId="{D9EFE416-D16A-1143-9647-C5899E42DC30}" srcOrd="6" destOrd="0" presId="urn:microsoft.com/office/officeart/2005/8/layout/radia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b:Tag>Bho14</b:Tag>
    <b:SourceType>InternetSite</b:SourceType>
    <b:Guid>{7C1E3CDF-CD22-3440-9784-29723D966587}</b:Guid>
    <b:Title>Obstacles to Convergence in South Africa</b:Title>
    <b:Year>2014</b:Year>
    <b:InternetSiteTitle>http://www.brookings.edu/blogs/africa-in-focus/posts/2014/12/02-obstacles-convergence-south-africa-bhorat</b:InternetSiteTitle>
    <b:Month>December </b:Month>
    <b:Day>2</b:Day>
    <b:YearAccessed>2015</b:YearAccessed>
    <b:MonthAccessed>February </b:MonthAccessed>
    <b:DayAccessed>28</b:DayAccessed>
    <b:Author>
      <b:Author>
        <b:NameList>
          <b:Person>
            <b:Last>Bhorat</b:Last>
            <b:First>Haroon</b:First>
          </b:Person>
          <b:Person>
            <b:Last>Cassiem</b:Last>
            <b:First>Aalia</b:First>
          </b:Person>
          <b:Person>
            <b:Last>Hirsch</b:Last>
            <b:First>Alan</b:First>
          </b:Person>
        </b:NameList>
      </b:Author>
    </b:Author>
    <b:RefOrder>5</b:RefOrder>
  </b:Source>
  <b:Source>
    <b:Tag>DeM99</b:Tag>
    <b:SourceType>JournalArticle</b:SourceType>
    <b:Guid>{CA4FB023-94D4-A546-B70F-E06BB258ED75}</b:Guid>
    <b:Title>Foriegn Direct Investment Led Growth: Evidence from time series and panel data</b:Title>
    <b:Year>1999</b:Year>
    <b:Month>January </b:Month>
    <b:Day>5</b:Day>
    <b:Author>
      <b:Author>
        <b:NameList>
          <b:Person>
            <b:Last>De Mello </b:Last>
            <b:First>Luiz</b:First>
          </b:Person>
        </b:NameList>
      </b:Author>
    </b:Author>
    <b:JournalName>Oxford Economic Papers 15 (1999)</b:JournalName>
    <b:Publisher>Oxford University Press</b:Publisher>
    <b:Volume>15</b:Volume>
    <b:Pages>133 - 151</b:Pages>
    <b:RefOrder>1</b:RefOrder>
  </b:Source>
  <b:Source>
    <b:Tag>Ahu12</b:Tag>
    <b:SourceType>JournalArticle</b:SourceType>
    <b:Guid>{83413D23-2E46-0C41-81FA-99AE537ADE89}</b:Guid>
    <b:Title>Investment-Led Growth in China: Global Spillovers</b:Title>
    <b:JournalName>IMF Working Paper</b:JournalName>
    <b:Publisher>IMF</b:Publisher>
    <b:Year>2012</b:Year>
    <b:Month>January </b:Month>
    <b:Day>5</b:Day>
    <b:Author>
      <b:Author>
        <b:NameList>
          <b:Person>
            <b:Last>Ahuja</b:Last>
            <b:First>Ashvin</b:First>
          </b:Person>
          <b:Person>
            <b:Last>Nabar</b:Last>
            <b:First>Malhar</b:First>
          </b:Person>
        </b:NameList>
      </b:Author>
    </b:Author>
    <b:RefOrder>2</b:RefOrder>
  </b:Source>
  <b:Source>
    <b:Tag>Sam04</b:Tag>
    <b:SourceType>DocumentFromInternetSite</b:SourceType>
    <b:Guid>{F1100ED8-46BE-5543-83D6-BE27A9D769D9}</b:Guid>
    <b:Title>The social and economic impact of South Africa's social security system</b:Title>
    <b:Year>2004</b:Year>
    <b:Month>September </b:Month>
    <b:Day>30</b:Day>
    <b:Author>
      <b:Author>
        <b:NameList>
          <b:Person>
            <b:Last>Samson</b:Last>
          </b:Person>
          <b:Person>
            <b:Last>Michael</b:Last>
          </b:Person>
          <b:Person>
            <b:Last>Lee</b:Last>
            <b:First>Ana</b:First>
          </b:Person>
          <b:Person>
            <b:Last>Ndlebe</b:Last>
            <b:First>Asanda</b:First>
          </b:Person>
          <b:Person>
            <b:Last>Mac Quene</b:Last>
            <b:First>Kenneth</b:First>
          </b:Person>
          <b:Person>
            <b:Last>van Niekerk</b:Last>
            <b:First>Ingrid</b:First>
          </b:Person>
          <b:Person>
            <b:Last>Gandhi</b:Last>
            <b:First>Viral</b:First>
          </b:Person>
          <b:Person>
            <b:Last>Harigaya</b:Last>
            <b:First>Tomoko</b:First>
          </b:Person>
          <b:Person>
            <b:Last>Abrahams</b:Last>
            <b:First>Celeste</b:First>
          </b:Person>
        </b:NameList>
      </b:Author>
      <b:ProducerName>
        <b:NameList>
          <b:Person>
            <b:Last>Development</b:Last>
            <b:First>Commissioned</b:First>
            <b:Middle>by the Directorate: Finance and Economics Department of Social</b:Middle>
          </b:Person>
        </b:NameList>
      </b:ProducerName>
    </b:Author>
    <b:ProductionCompany>Commissioned by the Directorate: Finance and Economics Department of Social Development </b:ProductionCompany>
    <b:YearAccessed>2015</b:YearAccessed>
    <b:MonthAccessed>March </b:MonthAccessed>
    <b:DayAccessed>2</b:DayAccessed>
    <b:RefOrder>3</b:RefOrder>
  </b:Source>
  <b:Source>
    <b:Tag>Jou13</b:Tag>
    <b:SourceType>ArticleInAPeriodical</b:SourceType>
    <b:Guid>{CAA0F188-B0E6-DF42-8AED-3A5DE6D67768}</b:Guid>
    <b:Title>The role of development finance institutions in promoting jobs and structural transformation</b:Title>
    <b:Year>2013</b:Year>
    <b:Month>March</b:Month>
    <b:Day>1</b:Day>
    <b:PeriodicalTitle>Project Report</b:PeriodicalTitle>
    <b:Author>
      <b:Author>
        <b:NameList>
          <b:Person>
            <b:Last>Jouanjean</b:Last>
            <b:First>Marie-Agnes</b:First>
          </b:Person>
          <b:Person>
            <b:Last>Massa</b:Last>
            <b:First>Isabella</b:First>
          </b:Person>
          <b:Person>
            <b:Last>Te Velde</b:Last>
            <b:First>Dirk Willem</b:First>
          </b:Person>
        </b:NameList>
      </b:Author>
    </b:Author>
    <b:RefOrder>4</b:RefOrder>
  </b:Source>
</b:Sources>
</file>

<file path=customXml/itemProps1.xml><?xml version="1.0" encoding="utf-8"?>
<ds:datastoreItem xmlns:ds="http://schemas.openxmlformats.org/officeDocument/2006/customXml" ds:itemID="{D83784C2-B018-5E4B-88B1-4810B8C2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FEDUSA Responses to the 2015 Budget</vt:lpstr>
    </vt:vector>
  </TitlesOfParts>
  <Company>FEDUSA</Company>
  <LinksUpToDate>false</LinksUpToDate>
  <CharactersWithSpaces>38685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FEDUSA Responses to the 2015 Budget</dc:title>
  <dc:creator>Dennis George</dc:creator>
  <cp:lastModifiedBy>User</cp:lastModifiedBy>
  <cp:revision>2</cp:revision>
  <dcterms:created xsi:type="dcterms:W3CDTF">2015-03-09T09:22:00Z</dcterms:created>
  <dcterms:modified xsi:type="dcterms:W3CDTF">2015-03-09T09:22:00Z</dcterms:modified>
</cp:coreProperties>
</file>