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27" w:rsidRPr="003B2DFF" w:rsidRDefault="00100427" w:rsidP="003B2DFF">
      <w:pPr>
        <w:jc w:val="both"/>
        <w:rPr>
          <w:rFonts w:cs="Arial"/>
          <w:b/>
          <w:sz w:val="22"/>
          <w:szCs w:val="22"/>
        </w:rPr>
      </w:pPr>
      <w:r>
        <w:rPr>
          <w:rFonts w:cs="Arial"/>
          <w:b/>
          <w:sz w:val="22"/>
          <w:szCs w:val="22"/>
        </w:rPr>
        <w:t xml:space="preserve">2. </w:t>
      </w:r>
      <w:r w:rsidRPr="003B2DFF">
        <w:rPr>
          <w:rFonts w:cs="Arial"/>
          <w:b/>
          <w:sz w:val="22"/>
          <w:szCs w:val="22"/>
        </w:rPr>
        <w:t>THE BUDGETARY REVIEW AND RECOMMENDATION REPORT OF THE PORTFOLIO COMMITTEE ON CO-OPERATIVE GOVERNANCE A</w:t>
      </w:r>
      <w:r>
        <w:rPr>
          <w:rFonts w:cs="Arial"/>
          <w:b/>
          <w:sz w:val="22"/>
          <w:szCs w:val="22"/>
        </w:rPr>
        <w:t>ND TRADITIONAL AFFAIRS, DATED 28</w:t>
      </w:r>
      <w:r w:rsidRPr="003B2DFF">
        <w:rPr>
          <w:rFonts w:cs="Arial"/>
          <w:b/>
          <w:sz w:val="22"/>
          <w:szCs w:val="22"/>
        </w:rPr>
        <w:t xml:space="preserve"> OCTOBER 2013</w:t>
      </w:r>
    </w:p>
    <w:p w:rsidR="00100427" w:rsidRPr="00DD6FA0" w:rsidRDefault="00100427" w:rsidP="009D3A30">
      <w:pPr>
        <w:jc w:val="both"/>
        <w:rPr>
          <w:rFonts w:cs="Arial"/>
          <w:sz w:val="22"/>
          <w:szCs w:val="22"/>
        </w:rPr>
      </w:pPr>
    </w:p>
    <w:p w:rsidR="00100427" w:rsidRPr="00DD6FA0" w:rsidRDefault="00100427" w:rsidP="009D3A30">
      <w:pPr>
        <w:jc w:val="both"/>
        <w:rPr>
          <w:rFonts w:cs="Arial"/>
          <w:sz w:val="22"/>
          <w:szCs w:val="22"/>
        </w:rPr>
      </w:pPr>
      <w:r>
        <w:rPr>
          <w:rFonts w:cs="Arial"/>
          <w:sz w:val="22"/>
          <w:szCs w:val="22"/>
        </w:rPr>
        <w:t>The Portfolio Committee on Co-operative Governance and Traditional Affairs</w:t>
      </w:r>
      <w:r w:rsidRPr="00DD6FA0">
        <w:rPr>
          <w:rFonts w:cs="Arial"/>
          <w:sz w:val="22"/>
          <w:szCs w:val="22"/>
        </w:rPr>
        <w:t>, having considered the performance and submission</w:t>
      </w:r>
      <w:r>
        <w:rPr>
          <w:rFonts w:cs="Arial"/>
          <w:sz w:val="22"/>
          <w:szCs w:val="22"/>
        </w:rPr>
        <w:t xml:space="preserve"> of</w:t>
      </w:r>
      <w:r w:rsidRPr="00DD6FA0">
        <w:rPr>
          <w:rFonts w:cs="Arial"/>
          <w:sz w:val="22"/>
          <w:szCs w:val="22"/>
        </w:rPr>
        <w:t xml:space="preserve"> the Department</w:t>
      </w:r>
      <w:r>
        <w:rPr>
          <w:rFonts w:cs="Arial"/>
          <w:sz w:val="22"/>
          <w:szCs w:val="22"/>
        </w:rPr>
        <w:t xml:space="preserve"> of Cooperative Governance and Traditional Affairs</w:t>
      </w:r>
      <w:r w:rsidRPr="00DD6FA0">
        <w:rPr>
          <w:rFonts w:cs="Arial"/>
          <w:sz w:val="22"/>
          <w:szCs w:val="22"/>
        </w:rPr>
        <w:t xml:space="preserve"> to National Treasu</w:t>
      </w:r>
      <w:r>
        <w:rPr>
          <w:rFonts w:cs="Arial"/>
          <w:sz w:val="22"/>
          <w:szCs w:val="22"/>
        </w:rPr>
        <w:t>ry for the medium term period</w:t>
      </w:r>
      <w:r w:rsidRPr="00DD6FA0">
        <w:rPr>
          <w:rFonts w:cs="Arial"/>
          <w:sz w:val="22"/>
          <w:szCs w:val="22"/>
        </w:rPr>
        <w:t>, reports as follows:</w:t>
      </w:r>
    </w:p>
    <w:p w:rsidR="00100427" w:rsidRPr="00DD6FA0" w:rsidRDefault="00100427" w:rsidP="009D3A30">
      <w:pPr>
        <w:jc w:val="both"/>
        <w:rPr>
          <w:rFonts w:cs="Arial"/>
          <w:sz w:val="22"/>
          <w:szCs w:val="22"/>
        </w:rPr>
      </w:pPr>
    </w:p>
    <w:p w:rsidR="00100427" w:rsidRPr="00DD6FA0" w:rsidRDefault="00100427" w:rsidP="003970F6">
      <w:pPr>
        <w:pStyle w:val="ListParagraph"/>
        <w:numPr>
          <w:ilvl w:val="0"/>
          <w:numId w:val="1"/>
        </w:numPr>
        <w:spacing w:after="0" w:line="280" w:lineRule="exact"/>
        <w:jc w:val="both"/>
        <w:rPr>
          <w:rFonts w:ascii="Arial" w:hAnsi="Arial" w:cs="Arial"/>
          <w:b/>
          <w:caps/>
        </w:rPr>
      </w:pPr>
      <w:r w:rsidRPr="00DD6FA0">
        <w:rPr>
          <w:rFonts w:ascii="Arial" w:hAnsi="Arial" w:cs="Arial"/>
          <w:b/>
          <w:caps/>
        </w:rPr>
        <w:t xml:space="preserve">Introduction </w:t>
      </w:r>
    </w:p>
    <w:p w:rsidR="00100427" w:rsidRPr="00DD6FA0" w:rsidRDefault="00100427" w:rsidP="009D3A30">
      <w:pPr>
        <w:pStyle w:val="ListParagraph"/>
        <w:spacing w:after="0" w:line="280" w:lineRule="exact"/>
        <w:ind w:left="360"/>
        <w:jc w:val="both"/>
        <w:rPr>
          <w:rFonts w:ascii="Arial" w:hAnsi="Arial" w:cs="Arial"/>
          <w:b/>
        </w:rPr>
      </w:pPr>
    </w:p>
    <w:p w:rsidR="00100427" w:rsidRPr="001C55C9" w:rsidRDefault="00100427" w:rsidP="003970F6">
      <w:pPr>
        <w:pStyle w:val="ListParagraph"/>
        <w:numPr>
          <w:ilvl w:val="1"/>
          <w:numId w:val="1"/>
        </w:numPr>
        <w:spacing w:after="0" w:line="280" w:lineRule="exact"/>
        <w:jc w:val="both"/>
        <w:rPr>
          <w:rFonts w:ascii="Arial" w:hAnsi="Arial" w:cs="Arial"/>
          <w:b/>
        </w:rPr>
      </w:pPr>
      <w:r w:rsidRPr="001C55C9">
        <w:rPr>
          <w:rFonts w:ascii="Arial" w:hAnsi="Arial" w:cs="Arial"/>
          <w:b/>
        </w:rPr>
        <w:t xml:space="preserve">Mandate of Committee </w:t>
      </w:r>
    </w:p>
    <w:p w:rsidR="00100427" w:rsidRDefault="00100427" w:rsidP="00DB5400">
      <w:pPr>
        <w:pStyle w:val="ListParagraph"/>
        <w:spacing w:after="0" w:line="280" w:lineRule="exact"/>
        <w:jc w:val="both"/>
        <w:rPr>
          <w:rFonts w:ascii="Arial" w:hAnsi="Arial" w:cs="Arial"/>
        </w:rPr>
      </w:pPr>
    </w:p>
    <w:p w:rsidR="00100427" w:rsidRDefault="00100427" w:rsidP="00DB5400">
      <w:pPr>
        <w:pStyle w:val="ListParagraph"/>
        <w:spacing w:after="0" w:line="280" w:lineRule="exact"/>
        <w:jc w:val="both"/>
        <w:rPr>
          <w:rFonts w:ascii="Arial" w:hAnsi="Arial" w:cs="Arial"/>
        </w:rPr>
      </w:pPr>
      <w:r w:rsidRPr="00DB5400">
        <w:rPr>
          <w:rFonts w:ascii="Arial" w:hAnsi="Arial" w:cs="Arial"/>
        </w:rPr>
        <w:t>As a Committee of the National Assembly, as provided in Chapter 4 of the Constitution of South Africa, and in accordance with the Rules of the National Assembly, the Committee is mandated to:</w:t>
      </w:r>
      <w:r>
        <w:rPr>
          <w:rFonts w:ascii="Arial" w:hAnsi="Arial" w:cs="Arial"/>
        </w:rPr>
        <w:t xml:space="preserve"> </w:t>
      </w:r>
    </w:p>
    <w:p w:rsidR="00100427" w:rsidRDefault="00100427" w:rsidP="00DB5400">
      <w:pPr>
        <w:pStyle w:val="ListParagraph"/>
        <w:spacing w:after="0" w:line="280" w:lineRule="exact"/>
        <w:jc w:val="both"/>
        <w:rPr>
          <w:rFonts w:ascii="Arial" w:hAnsi="Arial" w:cs="Arial"/>
        </w:rPr>
      </w:pPr>
    </w:p>
    <w:p w:rsidR="00100427" w:rsidRDefault="00100427" w:rsidP="00E56A9D">
      <w:pPr>
        <w:pStyle w:val="ListParagraph"/>
        <w:numPr>
          <w:ilvl w:val="0"/>
          <w:numId w:val="5"/>
        </w:numPr>
        <w:spacing w:after="0" w:line="280" w:lineRule="exact"/>
        <w:jc w:val="both"/>
        <w:rPr>
          <w:rFonts w:ascii="Arial" w:hAnsi="Arial" w:cs="Arial"/>
        </w:rPr>
      </w:pPr>
      <w:r>
        <w:rPr>
          <w:rFonts w:ascii="Arial" w:hAnsi="Arial" w:cs="Arial"/>
        </w:rPr>
        <w:t xml:space="preserve">Consider, amend, approve or reject legislation; </w:t>
      </w:r>
    </w:p>
    <w:p w:rsidR="00100427" w:rsidRDefault="00100427" w:rsidP="00E56A9D">
      <w:pPr>
        <w:pStyle w:val="ListParagraph"/>
        <w:numPr>
          <w:ilvl w:val="0"/>
          <w:numId w:val="5"/>
        </w:numPr>
        <w:spacing w:after="0" w:line="280" w:lineRule="exact"/>
        <w:jc w:val="both"/>
        <w:rPr>
          <w:rFonts w:ascii="Arial" w:hAnsi="Arial" w:cs="Arial"/>
        </w:rPr>
      </w:pPr>
      <w:r>
        <w:rPr>
          <w:rFonts w:ascii="Arial" w:hAnsi="Arial" w:cs="Arial"/>
        </w:rPr>
        <w:t xml:space="preserve">Consider and approve budgets and monitor expenditure of the Department and entities reporting to it; </w:t>
      </w:r>
    </w:p>
    <w:p w:rsidR="00100427" w:rsidRDefault="00100427" w:rsidP="00E56A9D">
      <w:pPr>
        <w:pStyle w:val="ListParagraph"/>
        <w:numPr>
          <w:ilvl w:val="0"/>
          <w:numId w:val="5"/>
        </w:numPr>
        <w:spacing w:after="0" w:line="280" w:lineRule="exact"/>
        <w:jc w:val="both"/>
        <w:rPr>
          <w:rFonts w:ascii="Arial" w:hAnsi="Arial" w:cs="Arial"/>
        </w:rPr>
      </w:pPr>
      <w:r>
        <w:rPr>
          <w:rFonts w:ascii="Arial" w:hAnsi="Arial" w:cs="Arial"/>
        </w:rPr>
        <w:t xml:space="preserve">Consider progress reports from line-function departments, and provincial and local government authorities and entities on their respective mandates; </w:t>
      </w:r>
    </w:p>
    <w:p w:rsidR="00100427" w:rsidRDefault="00100427" w:rsidP="00E56A9D">
      <w:pPr>
        <w:pStyle w:val="ListParagraph"/>
        <w:numPr>
          <w:ilvl w:val="0"/>
          <w:numId w:val="5"/>
        </w:numPr>
        <w:spacing w:after="0" w:line="280" w:lineRule="exact"/>
        <w:jc w:val="both"/>
        <w:rPr>
          <w:rFonts w:ascii="Arial" w:hAnsi="Arial" w:cs="Arial"/>
        </w:rPr>
      </w:pPr>
      <w:r>
        <w:rPr>
          <w:rFonts w:ascii="Arial" w:hAnsi="Arial" w:cs="Arial"/>
        </w:rPr>
        <w:t xml:space="preserve">Ensure that all appropriate executive organs of state are held accountable for their actions; and </w:t>
      </w:r>
    </w:p>
    <w:p w:rsidR="00100427" w:rsidRDefault="00100427" w:rsidP="00E56A9D">
      <w:pPr>
        <w:pStyle w:val="ListParagraph"/>
        <w:numPr>
          <w:ilvl w:val="0"/>
          <w:numId w:val="5"/>
        </w:numPr>
        <w:spacing w:after="0" w:line="280" w:lineRule="exact"/>
        <w:jc w:val="both"/>
        <w:rPr>
          <w:rFonts w:ascii="Arial" w:hAnsi="Arial" w:cs="Arial"/>
        </w:rPr>
      </w:pPr>
      <w:r>
        <w:rPr>
          <w:rFonts w:ascii="Arial" w:hAnsi="Arial" w:cs="Arial"/>
        </w:rPr>
        <w:t>Conduct oversight over the national executive authority and any other organ of state.</w:t>
      </w:r>
    </w:p>
    <w:p w:rsidR="00100427" w:rsidRPr="00DD6FA0" w:rsidRDefault="00100427" w:rsidP="009D3A30">
      <w:pPr>
        <w:pStyle w:val="ListParagraph"/>
        <w:spacing w:after="0" w:line="280" w:lineRule="exact"/>
        <w:ind w:left="0"/>
        <w:jc w:val="both"/>
        <w:rPr>
          <w:rFonts w:ascii="Arial" w:hAnsi="Arial" w:cs="Arial"/>
        </w:rPr>
      </w:pPr>
    </w:p>
    <w:p w:rsidR="00100427" w:rsidRPr="001C55C9" w:rsidRDefault="00100427" w:rsidP="003970F6">
      <w:pPr>
        <w:pStyle w:val="ListParagraph"/>
        <w:numPr>
          <w:ilvl w:val="1"/>
          <w:numId w:val="1"/>
        </w:numPr>
        <w:spacing w:after="0" w:line="280" w:lineRule="exact"/>
        <w:jc w:val="both"/>
        <w:rPr>
          <w:rFonts w:ascii="Arial" w:hAnsi="Arial" w:cs="Arial"/>
          <w:b/>
        </w:rPr>
      </w:pPr>
      <w:r w:rsidRPr="001C55C9">
        <w:rPr>
          <w:rFonts w:ascii="Arial" w:hAnsi="Arial" w:cs="Arial"/>
          <w:b/>
        </w:rPr>
        <w:t xml:space="preserve">Description of core functions of the Department. </w:t>
      </w:r>
    </w:p>
    <w:p w:rsidR="00100427" w:rsidRDefault="00100427" w:rsidP="00B02EFD">
      <w:pPr>
        <w:pStyle w:val="ListParagraph"/>
        <w:spacing w:after="0" w:line="280" w:lineRule="exact"/>
        <w:jc w:val="both"/>
        <w:rPr>
          <w:rFonts w:ascii="Arial" w:hAnsi="Arial" w:cs="Arial"/>
        </w:rPr>
      </w:pPr>
    </w:p>
    <w:p w:rsidR="00100427" w:rsidRDefault="00100427" w:rsidP="00B02EFD">
      <w:pPr>
        <w:pStyle w:val="ListParagraph"/>
        <w:spacing w:after="0" w:line="280" w:lineRule="exact"/>
        <w:jc w:val="both"/>
        <w:rPr>
          <w:rFonts w:ascii="Arial" w:hAnsi="Arial" w:cs="Arial"/>
        </w:rPr>
      </w:pPr>
      <w:r>
        <w:rPr>
          <w:rFonts w:ascii="Arial" w:hAnsi="Arial" w:cs="Arial"/>
        </w:rPr>
        <w:t>The aim of the Department of Cooperative Governance and Traditional Affairs is to improve cooperative governance across the three spheres of government in partnership with institutions of traditional leadership to ensure that provinces and municipalities carry out their service delivery and development functions effectively.</w:t>
      </w:r>
    </w:p>
    <w:p w:rsidR="00100427" w:rsidRDefault="00100427" w:rsidP="00B02EFD">
      <w:pPr>
        <w:pStyle w:val="ListParagraph"/>
        <w:spacing w:after="0" w:line="280" w:lineRule="exact"/>
        <w:jc w:val="both"/>
        <w:rPr>
          <w:rFonts w:ascii="Arial" w:hAnsi="Arial" w:cs="Arial"/>
        </w:rPr>
      </w:pPr>
    </w:p>
    <w:p w:rsidR="00100427" w:rsidRDefault="00100427" w:rsidP="003A43C3">
      <w:pPr>
        <w:pStyle w:val="ListParagraph"/>
        <w:spacing w:after="0" w:line="280" w:lineRule="exact"/>
        <w:jc w:val="both"/>
        <w:rPr>
          <w:rFonts w:ascii="Arial" w:hAnsi="Arial" w:cs="Arial"/>
        </w:rPr>
      </w:pPr>
      <w:r>
        <w:rPr>
          <w:rFonts w:ascii="Arial" w:hAnsi="Arial" w:cs="Arial"/>
        </w:rPr>
        <w:t>In accordance with the Intergovernmental Relations Framework Act (2005), the Municipal Property Rates Act (2004), the Municipal Systems Act (2000) and the Municipal Structures Act (1998), the Department is mandated to:</w:t>
      </w:r>
    </w:p>
    <w:p w:rsidR="00100427" w:rsidRDefault="00100427" w:rsidP="003A43C3">
      <w:pPr>
        <w:pStyle w:val="ListParagraph"/>
        <w:spacing w:after="0" w:line="280" w:lineRule="exact"/>
        <w:jc w:val="both"/>
        <w:rPr>
          <w:rFonts w:ascii="Arial" w:hAnsi="Arial" w:cs="Arial"/>
        </w:rPr>
      </w:pPr>
    </w:p>
    <w:p w:rsidR="00100427" w:rsidRDefault="00100427" w:rsidP="00E56A9D">
      <w:pPr>
        <w:pStyle w:val="ListParagraph"/>
        <w:numPr>
          <w:ilvl w:val="0"/>
          <w:numId w:val="6"/>
        </w:numPr>
        <w:spacing w:after="0" w:line="280" w:lineRule="exact"/>
        <w:jc w:val="both"/>
        <w:rPr>
          <w:rFonts w:ascii="Arial" w:hAnsi="Arial" w:cs="Arial"/>
        </w:rPr>
      </w:pPr>
      <w:r>
        <w:rPr>
          <w:rFonts w:ascii="Arial" w:hAnsi="Arial" w:cs="Arial"/>
        </w:rPr>
        <w:t>Develop, monitor and support the implementation of national policy and legislation, seeking to transform and strengthen key institutions  and mechanisms of governance to fulfil their development role;</w:t>
      </w:r>
    </w:p>
    <w:p w:rsidR="00100427" w:rsidRDefault="00100427" w:rsidP="00E56A9D">
      <w:pPr>
        <w:pStyle w:val="ListParagraph"/>
        <w:numPr>
          <w:ilvl w:val="0"/>
          <w:numId w:val="6"/>
        </w:numPr>
        <w:spacing w:after="0" w:line="280" w:lineRule="exact"/>
        <w:jc w:val="both"/>
        <w:rPr>
          <w:rFonts w:ascii="Arial" w:hAnsi="Arial" w:cs="Arial"/>
        </w:rPr>
      </w:pPr>
      <w:r>
        <w:rPr>
          <w:rFonts w:ascii="Arial" w:hAnsi="Arial" w:cs="Arial"/>
        </w:rPr>
        <w:t>Develop, promote and monitor mechanisms, systems and structures to enable integrated service delivery and implementation within government; and</w:t>
      </w:r>
    </w:p>
    <w:p w:rsidR="00100427" w:rsidRDefault="00100427" w:rsidP="00E56A9D">
      <w:pPr>
        <w:pStyle w:val="ListParagraph"/>
        <w:numPr>
          <w:ilvl w:val="0"/>
          <w:numId w:val="6"/>
        </w:numPr>
        <w:spacing w:after="0" w:line="280" w:lineRule="exact"/>
        <w:jc w:val="both"/>
        <w:rPr>
          <w:rFonts w:ascii="Arial" w:hAnsi="Arial" w:cs="Arial"/>
        </w:rPr>
      </w:pPr>
      <w:r>
        <w:rPr>
          <w:rFonts w:ascii="Arial" w:hAnsi="Arial" w:cs="Arial"/>
        </w:rPr>
        <w:t>Promote sustainable development by providing support to and exercising oversight over provincial and local government.</w:t>
      </w:r>
    </w:p>
    <w:p w:rsidR="00100427" w:rsidRDefault="00100427" w:rsidP="00464594">
      <w:pPr>
        <w:pStyle w:val="ListParagraph"/>
        <w:spacing w:after="0" w:line="280" w:lineRule="exact"/>
        <w:jc w:val="both"/>
        <w:rPr>
          <w:rFonts w:ascii="Arial" w:hAnsi="Arial" w:cs="Arial"/>
        </w:rPr>
      </w:pPr>
    </w:p>
    <w:p w:rsidR="00100427" w:rsidRDefault="00100427" w:rsidP="00464594">
      <w:pPr>
        <w:pStyle w:val="ListParagraph"/>
        <w:spacing w:after="0" w:line="280" w:lineRule="exact"/>
        <w:jc w:val="both"/>
        <w:rPr>
          <w:rFonts w:ascii="Arial" w:hAnsi="Arial" w:cs="Arial"/>
        </w:rPr>
      </w:pPr>
      <w:r>
        <w:rPr>
          <w:rFonts w:ascii="Arial" w:hAnsi="Arial" w:cs="Arial"/>
        </w:rPr>
        <w:t>The Department’s aim and mandates underpins its three strategic priorities over the medium term, which are to:</w:t>
      </w:r>
    </w:p>
    <w:p w:rsidR="00100427" w:rsidRDefault="00100427" w:rsidP="00464594">
      <w:pPr>
        <w:pStyle w:val="ListParagraph"/>
        <w:spacing w:after="0" w:line="280" w:lineRule="exact"/>
        <w:jc w:val="both"/>
        <w:rPr>
          <w:rFonts w:ascii="Arial" w:hAnsi="Arial" w:cs="Arial"/>
        </w:rPr>
      </w:pPr>
    </w:p>
    <w:p w:rsidR="00100427" w:rsidRDefault="00100427" w:rsidP="00E56A9D">
      <w:pPr>
        <w:pStyle w:val="ListParagraph"/>
        <w:numPr>
          <w:ilvl w:val="0"/>
          <w:numId w:val="7"/>
        </w:numPr>
        <w:spacing w:after="0" w:line="280" w:lineRule="exact"/>
        <w:jc w:val="both"/>
        <w:rPr>
          <w:rFonts w:ascii="Arial" w:hAnsi="Arial" w:cs="Arial"/>
        </w:rPr>
      </w:pPr>
      <w:r>
        <w:rPr>
          <w:rFonts w:ascii="Arial" w:hAnsi="Arial" w:cs="Arial"/>
        </w:rPr>
        <w:t>Strengthen accountability, governance and oversight of provincial and local government;</w:t>
      </w:r>
    </w:p>
    <w:p w:rsidR="00100427" w:rsidRDefault="00100427" w:rsidP="00E56A9D">
      <w:pPr>
        <w:pStyle w:val="ListParagraph"/>
        <w:numPr>
          <w:ilvl w:val="0"/>
          <w:numId w:val="7"/>
        </w:numPr>
        <w:spacing w:after="0" w:line="280" w:lineRule="exact"/>
        <w:jc w:val="both"/>
        <w:rPr>
          <w:rFonts w:ascii="Arial" w:hAnsi="Arial" w:cs="Arial"/>
        </w:rPr>
      </w:pPr>
      <w:r>
        <w:rPr>
          <w:rFonts w:ascii="Arial" w:hAnsi="Arial" w:cs="Arial"/>
        </w:rPr>
        <w:t>Facilitate local economic development and improve access to basic services; and</w:t>
      </w:r>
    </w:p>
    <w:p w:rsidR="00100427" w:rsidRDefault="00100427" w:rsidP="00E56A9D">
      <w:pPr>
        <w:pStyle w:val="ListParagraph"/>
        <w:numPr>
          <w:ilvl w:val="0"/>
          <w:numId w:val="7"/>
        </w:numPr>
        <w:spacing w:after="0" w:line="280" w:lineRule="exact"/>
        <w:jc w:val="both"/>
        <w:rPr>
          <w:rFonts w:ascii="Arial" w:hAnsi="Arial" w:cs="Arial"/>
        </w:rPr>
      </w:pPr>
      <w:r>
        <w:rPr>
          <w:rFonts w:ascii="Arial" w:hAnsi="Arial" w:cs="Arial"/>
        </w:rPr>
        <w:t>Develop a policy platform for a differential approach to municipalities.</w:t>
      </w:r>
    </w:p>
    <w:p w:rsidR="00100427" w:rsidRDefault="00100427" w:rsidP="00862C2C">
      <w:pPr>
        <w:pStyle w:val="ListParagraph"/>
        <w:spacing w:after="0" w:line="280" w:lineRule="exact"/>
        <w:jc w:val="both"/>
        <w:rPr>
          <w:rFonts w:ascii="Arial" w:hAnsi="Arial" w:cs="Arial"/>
        </w:rPr>
      </w:pPr>
    </w:p>
    <w:p w:rsidR="00100427" w:rsidRDefault="00100427" w:rsidP="00862C2C">
      <w:pPr>
        <w:pStyle w:val="ListParagraph"/>
        <w:spacing w:after="0" w:line="280" w:lineRule="exact"/>
        <w:jc w:val="both"/>
        <w:rPr>
          <w:rFonts w:ascii="Arial" w:hAnsi="Arial" w:cs="Arial"/>
        </w:rPr>
      </w:pPr>
      <w:r>
        <w:rPr>
          <w:rFonts w:ascii="Arial" w:hAnsi="Arial" w:cs="Arial"/>
        </w:rPr>
        <w:t>The Department also oversees the following entities:</w:t>
      </w:r>
    </w:p>
    <w:p w:rsidR="00100427" w:rsidRDefault="00100427" w:rsidP="00862C2C">
      <w:pPr>
        <w:pStyle w:val="ListParagraph"/>
        <w:spacing w:after="0" w:line="280" w:lineRule="exact"/>
        <w:jc w:val="both"/>
        <w:rPr>
          <w:rFonts w:ascii="Arial" w:hAnsi="Arial" w:cs="Arial"/>
        </w:rPr>
      </w:pPr>
    </w:p>
    <w:p w:rsidR="00100427" w:rsidRDefault="00100427" w:rsidP="00E56A9D">
      <w:pPr>
        <w:pStyle w:val="ListParagraph"/>
        <w:numPr>
          <w:ilvl w:val="0"/>
          <w:numId w:val="8"/>
        </w:numPr>
        <w:spacing w:after="0" w:line="280" w:lineRule="exact"/>
        <w:jc w:val="both"/>
        <w:rPr>
          <w:rFonts w:ascii="Arial" w:hAnsi="Arial" w:cs="Arial"/>
        </w:rPr>
      </w:pPr>
      <w:r w:rsidRPr="00BC1EA8">
        <w:rPr>
          <w:rFonts w:ascii="Arial" w:hAnsi="Arial" w:cs="Arial"/>
        </w:rPr>
        <w:t>The</w:t>
      </w:r>
      <w:r w:rsidRPr="00862C2C">
        <w:rPr>
          <w:rFonts w:ascii="Arial" w:hAnsi="Arial" w:cs="Arial"/>
          <w:b/>
        </w:rPr>
        <w:t xml:space="preserve"> Commission for the Promotion and Protection of the Rights of Cultural, Religious and Linguistic Communities</w:t>
      </w:r>
      <w:r>
        <w:rPr>
          <w:rFonts w:ascii="Arial" w:hAnsi="Arial" w:cs="Arial"/>
        </w:rPr>
        <w:t>, which promotes and protects cultural, religious and linguistic rights.</w:t>
      </w:r>
    </w:p>
    <w:p w:rsidR="00100427" w:rsidRDefault="00100427" w:rsidP="00E56A9D">
      <w:pPr>
        <w:pStyle w:val="ListParagraph"/>
        <w:numPr>
          <w:ilvl w:val="0"/>
          <w:numId w:val="8"/>
        </w:numPr>
        <w:spacing w:after="0" w:line="280" w:lineRule="exact"/>
        <w:jc w:val="both"/>
        <w:rPr>
          <w:rFonts w:ascii="Arial" w:hAnsi="Arial" w:cs="Arial"/>
        </w:rPr>
      </w:pPr>
      <w:r>
        <w:rPr>
          <w:rFonts w:ascii="Arial" w:hAnsi="Arial" w:cs="Arial"/>
        </w:rPr>
        <w:t xml:space="preserve">The </w:t>
      </w:r>
      <w:r w:rsidRPr="00BC1EA8">
        <w:rPr>
          <w:rFonts w:ascii="Arial" w:hAnsi="Arial" w:cs="Arial"/>
          <w:b/>
        </w:rPr>
        <w:t>Municipal Demarcation Board</w:t>
      </w:r>
      <w:r>
        <w:rPr>
          <w:rFonts w:ascii="Arial" w:hAnsi="Arial" w:cs="Arial"/>
        </w:rPr>
        <w:t>, an independent authority responsible for determining municipal boundaries and also mandated to declare district management areas, delimit wards for local elections, and assess the capacity of municipalities to perform their functions.</w:t>
      </w:r>
    </w:p>
    <w:p w:rsidR="00100427" w:rsidRDefault="00100427" w:rsidP="00E56A9D">
      <w:pPr>
        <w:pStyle w:val="ListParagraph"/>
        <w:numPr>
          <w:ilvl w:val="0"/>
          <w:numId w:val="8"/>
        </w:numPr>
        <w:spacing w:after="0" w:line="280" w:lineRule="exact"/>
        <w:jc w:val="both"/>
        <w:rPr>
          <w:rFonts w:ascii="Arial" w:hAnsi="Arial" w:cs="Arial"/>
        </w:rPr>
      </w:pPr>
      <w:r>
        <w:rPr>
          <w:rFonts w:ascii="Arial" w:hAnsi="Arial" w:cs="Arial"/>
        </w:rPr>
        <w:t xml:space="preserve">The </w:t>
      </w:r>
      <w:r w:rsidRPr="002C14F2">
        <w:rPr>
          <w:rFonts w:ascii="Arial" w:hAnsi="Arial" w:cs="Arial"/>
          <w:b/>
        </w:rPr>
        <w:t>South African Local Government Association</w:t>
      </w:r>
      <w:r>
        <w:rPr>
          <w:rFonts w:ascii="Arial" w:hAnsi="Arial" w:cs="Arial"/>
        </w:rPr>
        <w:t>, which is mandated by the Constitution to assist in the comprehensive transformation of local government.</w:t>
      </w:r>
    </w:p>
    <w:p w:rsidR="00100427" w:rsidRPr="00686CA8" w:rsidRDefault="00100427" w:rsidP="00E56A9D">
      <w:pPr>
        <w:pStyle w:val="ListParagraph"/>
        <w:numPr>
          <w:ilvl w:val="0"/>
          <w:numId w:val="8"/>
        </w:numPr>
        <w:spacing w:after="0" w:line="280" w:lineRule="exact"/>
        <w:jc w:val="both"/>
        <w:rPr>
          <w:rFonts w:ascii="Arial" w:hAnsi="Arial" w:cs="Arial"/>
        </w:rPr>
      </w:pPr>
      <w:r>
        <w:rPr>
          <w:rFonts w:ascii="Arial" w:hAnsi="Arial" w:cs="Arial"/>
        </w:rPr>
        <w:t xml:space="preserve">Funds are also transferred to the </w:t>
      </w:r>
      <w:r w:rsidRPr="00FB5CCD">
        <w:rPr>
          <w:rFonts w:ascii="Arial" w:hAnsi="Arial" w:cs="Arial"/>
          <w:b/>
        </w:rPr>
        <w:t>South African Cities Network</w:t>
      </w:r>
      <w:r>
        <w:rPr>
          <w:rFonts w:ascii="Arial" w:hAnsi="Arial" w:cs="Arial"/>
          <w:b/>
        </w:rPr>
        <w:t xml:space="preserve">, </w:t>
      </w:r>
      <w:r>
        <w:rPr>
          <w:rFonts w:ascii="Arial" w:hAnsi="Arial" w:cs="Arial"/>
        </w:rPr>
        <w:t>which enables cooperation between South African cities and maximises benefits through exchanging information.</w:t>
      </w:r>
    </w:p>
    <w:p w:rsidR="00100427" w:rsidRPr="00DD6FA0" w:rsidRDefault="00100427" w:rsidP="009D3A30">
      <w:pPr>
        <w:pStyle w:val="ListParagraph"/>
        <w:spacing w:after="0" w:line="280" w:lineRule="exact"/>
        <w:ind w:left="0"/>
        <w:jc w:val="both"/>
        <w:rPr>
          <w:rFonts w:ascii="Arial" w:hAnsi="Arial" w:cs="Arial"/>
        </w:rPr>
      </w:pPr>
    </w:p>
    <w:p w:rsidR="00100427" w:rsidRPr="00EC5595" w:rsidRDefault="00100427" w:rsidP="003970F6">
      <w:pPr>
        <w:pStyle w:val="ListParagraph"/>
        <w:numPr>
          <w:ilvl w:val="1"/>
          <w:numId w:val="1"/>
        </w:numPr>
        <w:spacing w:after="0" w:line="280" w:lineRule="exact"/>
        <w:jc w:val="both"/>
        <w:rPr>
          <w:rFonts w:ascii="Arial" w:hAnsi="Arial" w:cs="Arial"/>
          <w:b/>
        </w:rPr>
      </w:pPr>
      <w:r w:rsidRPr="00EC5595">
        <w:rPr>
          <w:rFonts w:ascii="Arial" w:hAnsi="Arial" w:cs="Arial"/>
          <w:b/>
        </w:rPr>
        <w:t xml:space="preserve">Purpose of the </w:t>
      </w:r>
      <w:r w:rsidRPr="00AA0796">
        <w:rPr>
          <w:rFonts w:ascii="Arial" w:hAnsi="Arial" w:cs="Arial"/>
          <w:b/>
        </w:rPr>
        <w:t>Budgetary Review and Recommendation Reports</w:t>
      </w:r>
      <w:r w:rsidRPr="001A17F2">
        <w:rPr>
          <w:rFonts w:ascii="Arial" w:hAnsi="Arial" w:cs="Arial"/>
        </w:rPr>
        <w:t xml:space="preserve"> </w:t>
      </w:r>
    </w:p>
    <w:p w:rsidR="00100427" w:rsidRDefault="00100427" w:rsidP="00EC5595">
      <w:pPr>
        <w:pStyle w:val="ListParagraph"/>
        <w:spacing w:after="0" w:line="280" w:lineRule="exact"/>
        <w:jc w:val="both"/>
        <w:rPr>
          <w:rFonts w:ascii="Arial" w:hAnsi="Arial" w:cs="Arial"/>
        </w:rPr>
      </w:pPr>
    </w:p>
    <w:p w:rsidR="00100427" w:rsidRPr="001A17F2" w:rsidRDefault="00100427" w:rsidP="00EC5595">
      <w:pPr>
        <w:pStyle w:val="ListParagraph"/>
        <w:spacing w:after="0" w:line="280" w:lineRule="exact"/>
        <w:jc w:val="both"/>
        <w:rPr>
          <w:rFonts w:ascii="Arial" w:hAnsi="Arial" w:cs="Arial"/>
        </w:rPr>
      </w:pPr>
      <w:r w:rsidRPr="001A17F2">
        <w:rPr>
          <w:rFonts w:ascii="Arial" w:hAnsi="Arial" w:cs="Arial"/>
        </w:rPr>
        <w:t>The Money Bills Procedures and Related Matters Amendment Act (Act 9 of 2009) sets out the process that allows Parliament to make recommendations to the Minister of Finance to amend the budget of a national department. 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 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100427" w:rsidRPr="00DD6FA0" w:rsidRDefault="00100427" w:rsidP="009D3A30">
      <w:pPr>
        <w:pStyle w:val="ListParagraph"/>
        <w:spacing w:after="0" w:line="280" w:lineRule="exact"/>
        <w:ind w:left="0"/>
        <w:jc w:val="both"/>
        <w:rPr>
          <w:rFonts w:ascii="Arial" w:hAnsi="Arial" w:cs="Arial"/>
        </w:rPr>
      </w:pPr>
    </w:p>
    <w:p w:rsidR="00100427" w:rsidRDefault="00100427" w:rsidP="003970F6">
      <w:pPr>
        <w:pStyle w:val="ListParagraph"/>
        <w:numPr>
          <w:ilvl w:val="1"/>
          <w:numId w:val="1"/>
        </w:numPr>
        <w:spacing w:after="0" w:line="280" w:lineRule="exact"/>
        <w:jc w:val="both"/>
        <w:rPr>
          <w:rFonts w:ascii="Arial" w:hAnsi="Arial" w:cs="Arial"/>
          <w:b/>
        </w:rPr>
      </w:pPr>
      <w:r w:rsidRPr="000D4FC2">
        <w:rPr>
          <w:rFonts w:ascii="Arial" w:hAnsi="Arial" w:cs="Arial"/>
          <w:b/>
        </w:rPr>
        <w:t>Method</w:t>
      </w:r>
    </w:p>
    <w:p w:rsidR="00100427" w:rsidRDefault="00100427" w:rsidP="007F2226">
      <w:pPr>
        <w:pStyle w:val="ListParagraph"/>
        <w:spacing w:after="0" w:line="280" w:lineRule="exact"/>
        <w:jc w:val="both"/>
        <w:rPr>
          <w:rFonts w:ascii="Arial" w:hAnsi="Arial" w:cs="Arial"/>
          <w:b/>
        </w:rPr>
      </w:pPr>
    </w:p>
    <w:p w:rsidR="00100427" w:rsidRDefault="00100427" w:rsidP="007F2226">
      <w:pPr>
        <w:pStyle w:val="ListParagraph"/>
        <w:spacing w:after="0" w:line="280" w:lineRule="exact"/>
        <w:jc w:val="both"/>
        <w:rPr>
          <w:rFonts w:ascii="Arial" w:hAnsi="Arial" w:cs="Arial"/>
        </w:rPr>
      </w:pPr>
      <w:r>
        <w:rPr>
          <w:rFonts w:ascii="Arial" w:hAnsi="Arial" w:cs="Arial"/>
        </w:rPr>
        <w:t xml:space="preserve">This Report assesses the service delivery and financial performance of the Department of Cooperative Governance and Traditional Affairs and its entities for the </w:t>
      </w:r>
      <w:r>
        <w:rPr>
          <w:rFonts w:ascii="Arial" w:hAnsi="Arial" w:cs="Arial"/>
        </w:rPr>
        <w:lastRenderedPageBreak/>
        <w:t>2012/13 and 2013/14 (until October 2013) financial years. This assessment is informed by committee briefings, oversight reports, and other sources of information.</w:t>
      </w:r>
    </w:p>
    <w:p w:rsidR="00100427" w:rsidRDefault="00100427" w:rsidP="00C607BB">
      <w:pPr>
        <w:pStyle w:val="ListParagraph"/>
        <w:spacing w:after="0" w:line="280" w:lineRule="exact"/>
        <w:ind w:left="0"/>
        <w:jc w:val="both"/>
        <w:rPr>
          <w:rFonts w:ascii="Arial" w:hAnsi="Arial" w:cs="Arial"/>
        </w:rPr>
      </w:pPr>
    </w:p>
    <w:p w:rsidR="00100427" w:rsidRDefault="00100427" w:rsidP="003970F6">
      <w:pPr>
        <w:pStyle w:val="ListParagraph"/>
        <w:numPr>
          <w:ilvl w:val="2"/>
          <w:numId w:val="1"/>
        </w:numPr>
        <w:spacing w:after="0" w:line="280" w:lineRule="exact"/>
        <w:jc w:val="both"/>
        <w:rPr>
          <w:rFonts w:ascii="Arial" w:hAnsi="Arial" w:cs="Arial"/>
        </w:rPr>
      </w:pPr>
      <w:r>
        <w:rPr>
          <w:rFonts w:ascii="Arial" w:hAnsi="Arial" w:cs="Arial"/>
        </w:rPr>
        <w:t>Limitations</w:t>
      </w:r>
    </w:p>
    <w:p w:rsidR="00100427" w:rsidRDefault="00100427" w:rsidP="00E66F5C">
      <w:pPr>
        <w:pStyle w:val="ListParagraph"/>
        <w:spacing w:after="0" w:line="280" w:lineRule="exact"/>
        <w:jc w:val="both"/>
        <w:rPr>
          <w:rFonts w:ascii="Arial" w:hAnsi="Arial" w:cs="Arial"/>
        </w:rPr>
      </w:pPr>
    </w:p>
    <w:p w:rsidR="00100427" w:rsidRPr="00E66F5C" w:rsidRDefault="00100427" w:rsidP="00E66F5C">
      <w:pPr>
        <w:pStyle w:val="ListParagraph"/>
        <w:spacing w:after="0" w:line="280" w:lineRule="exact"/>
        <w:jc w:val="both"/>
        <w:rPr>
          <w:rFonts w:ascii="Arial" w:hAnsi="Arial" w:cs="Arial"/>
        </w:rPr>
      </w:pPr>
      <w:r w:rsidRPr="00E66F5C">
        <w:rPr>
          <w:rFonts w:ascii="Arial" w:hAnsi="Arial" w:cs="Arial"/>
        </w:rPr>
        <w:t>The Report does not include adequate data from non-governmental entities. However, in matters that involved public consultations, such as the processes of revising the local government equitable share formula and amending the Municipal Property Rates Act, this limitation is somewhat mitigated.</w:t>
      </w:r>
    </w:p>
    <w:p w:rsidR="00100427" w:rsidRPr="00DD6FA0" w:rsidRDefault="00100427" w:rsidP="009D3A30">
      <w:pPr>
        <w:pStyle w:val="ListParagraph"/>
        <w:spacing w:after="0" w:line="280" w:lineRule="exact"/>
        <w:ind w:left="0"/>
        <w:jc w:val="both"/>
        <w:rPr>
          <w:rFonts w:ascii="Arial" w:hAnsi="Arial" w:cs="Arial"/>
        </w:rPr>
      </w:pPr>
    </w:p>
    <w:p w:rsidR="00100427" w:rsidRPr="00DF796C" w:rsidRDefault="00100427" w:rsidP="003970F6">
      <w:pPr>
        <w:pStyle w:val="ListParagraph"/>
        <w:numPr>
          <w:ilvl w:val="1"/>
          <w:numId w:val="1"/>
        </w:numPr>
        <w:spacing w:after="0" w:line="280" w:lineRule="exact"/>
        <w:jc w:val="both"/>
        <w:rPr>
          <w:rFonts w:ascii="Arial" w:hAnsi="Arial" w:cs="Arial"/>
          <w:b/>
        </w:rPr>
      </w:pPr>
      <w:r w:rsidRPr="00DF796C">
        <w:rPr>
          <w:rFonts w:ascii="Arial" w:hAnsi="Arial" w:cs="Arial"/>
          <w:b/>
        </w:rPr>
        <w:t>Outlin</w:t>
      </w:r>
      <w:r>
        <w:rPr>
          <w:rFonts w:ascii="Arial" w:hAnsi="Arial" w:cs="Arial"/>
          <w:b/>
        </w:rPr>
        <w:t>e of the contents of the Report</w:t>
      </w:r>
    </w:p>
    <w:p w:rsidR="00100427" w:rsidRDefault="00100427" w:rsidP="008269BC">
      <w:pPr>
        <w:pStyle w:val="ListParagraph"/>
        <w:spacing w:after="0" w:line="280" w:lineRule="exact"/>
        <w:jc w:val="both"/>
        <w:rPr>
          <w:rFonts w:ascii="Arial" w:hAnsi="Arial" w:cs="Arial"/>
        </w:rPr>
      </w:pPr>
    </w:p>
    <w:p w:rsidR="00100427" w:rsidRPr="007D574C" w:rsidRDefault="00100427" w:rsidP="007D574C">
      <w:pPr>
        <w:pStyle w:val="ListParagraph"/>
        <w:spacing w:after="0" w:line="280" w:lineRule="exact"/>
        <w:jc w:val="both"/>
        <w:rPr>
          <w:rFonts w:ascii="Arial" w:hAnsi="Arial" w:cs="Arial"/>
        </w:rPr>
      </w:pPr>
      <w:r>
        <w:rPr>
          <w:rFonts w:ascii="Arial" w:hAnsi="Arial" w:cs="Arial"/>
        </w:rPr>
        <w:t>The rest of the Report proceeds as follows: section 2 provides an overview of key policy focus areas on cooperative governance and traditional affairs during the period under review; in section 3 a summary of previous key financial and performance recommendations of the Portfolio Committee on COGTA is presented; section 4 provides an overview and assessment of reported financial performance for 2012/13 and 2013/14 as well projected financial needs and areas needing improvement in terms of spending for the 2014/15 MTEF; section 5 deals with the performance of the COGTA ministry in terms of service delivery; Section 6 presents the Portfolio Committee’s observations and responses on COGTA’s technical, governance, service delivery and financial performance issues; a summary of additional reporting requests by the Portfolio Committee is tabulated in section 7; and recommendations in section 8 conclude the Report.</w:t>
      </w:r>
    </w:p>
    <w:p w:rsidR="00100427" w:rsidRPr="00DD6FA0" w:rsidRDefault="00100427" w:rsidP="009D3A30">
      <w:pPr>
        <w:rPr>
          <w:rFonts w:cs="Arial"/>
          <w:sz w:val="22"/>
          <w:szCs w:val="22"/>
        </w:rPr>
      </w:pPr>
    </w:p>
    <w:p w:rsidR="00100427" w:rsidRDefault="00100427" w:rsidP="003970F6">
      <w:pPr>
        <w:pStyle w:val="ListParagraph"/>
        <w:numPr>
          <w:ilvl w:val="0"/>
          <w:numId w:val="1"/>
        </w:numPr>
        <w:spacing w:after="0" w:line="280" w:lineRule="exact"/>
        <w:jc w:val="both"/>
        <w:rPr>
          <w:rFonts w:ascii="Arial" w:hAnsi="Arial" w:cs="Arial"/>
          <w:b/>
          <w:caps/>
        </w:rPr>
      </w:pPr>
      <w:r w:rsidRPr="00DD6FA0">
        <w:rPr>
          <w:rFonts w:ascii="Arial" w:hAnsi="Arial" w:cs="Arial"/>
          <w:b/>
          <w:caps/>
        </w:rPr>
        <w:t xml:space="preserve">Overview of the key relevant policy focus areas </w:t>
      </w:r>
    </w:p>
    <w:p w:rsidR="00100427" w:rsidRDefault="00100427" w:rsidP="00C27983">
      <w:pPr>
        <w:pStyle w:val="ListParagraph"/>
        <w:spacing w:after="0" w:line="280" w:lineRule="exact"/>
        <w:jc w:val="both"/>
        <w:rPr>
          <w:rFonts w:ascii="Arial" w:hAnsi="Arial" w:cs="Arial"/>
          <w:b/>
          <w:caps/>
        </w:rPr>
      </w:pPr>
    </w:p>
    <w:p w:rsidR="00100427" w:rsidRPr="003D5932" w:rsidRDefault="00100427" w:rsidP="00C27983">
      <w:pPr>
        <w:pStyle w:val="ListParagraph"/>
        <w:spacing w:after="0" w:line="280" w:lineRule="exact"/>
        <w:jc w:val="both"/>
        <w:rPr>
          <w:rFonts w:ascii="Arial" w:hAnsi="Arial" w:cs="Arial"/>
          <w:b/>
          <w:caps/>
        </w:rPr>
      </w:pPr>
      <w:r w:rsidRPr="003D5932">
        <w:rPr>
          <w:rFonts w:ascii="Arial" w:hAnsi="Arial" w:cs="Arial"/>
        </w:rPr>
        <w:t>For the 2013 MTEF government ‘has adopted a policy of changing the composition of spending to focus on promoting economic support and development, investing in infrastructure, creating jobs and enhancing local government capacity.’</w:t>
      </w:r>
      <w:r w:rsidRPr="003D5932">
        <w:rPr>
          <w:rStyle w:val="FootnoteReference"/>
          <w:rFonts w:ascii="Arial" w:hAnsi="Arial" w:cs="Arial"/>
        </w:rPr>
        <w:footnoteReference w:id="1"/>
      </w:r>
      <w:r>
        <w:rPr>
          <w:rFonts w:ascii="Arial" w:hAnsi="Arial" w:cs="Arial"/>
        </w:rPr>
        <w:t xml:space="preserve"> In the COGTA ministry these policy thrusts are reflected as follows:</w:t>
      </w:r>
    </w:p>
    <w:p w:rsidR="00100427" w:rsidRDefault="00100427" w:rsidP="000D0E16">
      <w:pPr>
        <w:pStyle w:val="ListParagraph"/>
        <w:spacing w:after="0" w:line="280" w:lineRule="exact"/>
        <w:ind w:left="360"/>
        <w:jc w:val="both"/>
        <w:rPr>
          <w:rFonts w:ascii="Arial" w:hAnsi="Arial" w:cs="Arial"/>
          <w:b/>
          <w:caps/>
        </w:rPr>
      </w:pPr>
    </w:p>
    <w:p w:rsidR="00100427" w:rsidRPr="00BF4BD1" w:rsidRDefault="00100427" w:rsidP="003970F6">
      <w:pPr>
        <w:pStyle w:val="ListParagraph"/>
        <w:numPr>
          <w:ilvl w:val="1"/>
          <w:numId w:val="1"/>
        </w:numPr>
        <w:spacing w:after="0" w:line="280" w:lineRule="exact"/>
        <w:jc w:val="both"/>
        <w:rPr>
          <w:rFonts w:ascii="Arial" w:hAnsi="Arial" w:cs="Arial"/>
          <w:b/>
          <w:caps/>
        </w:rPr>
      </w:pPr>
      <w:r>
        <w:rPr>
          <w:rFonts w:ascii="Arial" w:hAnsi="Arial" w:cs="Arial"/>
          <w:b/>
        </w:rPr>
        <w:t xml:space="preserve">Job creation </w:t>
      </w:r>
    </w:p>
    <w:p w:rsidR="00100427" w:rsidRDefault="00100427" w:rsidP="00BF4BD1">
      <w:pPr>
        <w:pStyle w:val="ListParagraph"/>
        <w:spacing w:after="0" w:line="280" w:lineRule="exact"/>
        <w:jc w:val="both"/>
        <w:rPr>
          <w:rFonts w:ascii="Arial" w:hAnsi="Arial" w:cs="Arial"/>
          <w:b/>
          <w:caps/>
        </w:rPr>
      </w:pPr>
    </w:p>
    <w:p w:rsidR="00100427" w:rsidRDefault="00100427" w:rsidP="00893695">
      <w:pPr>
        <w:pStyle w:val="ListParagraph"/>
        <w:spacing w:after="0" w:line="280" w:lineRule="exact"/>
        <w:jc w:val="both"/>
        <w:rPr>
          <w:rFonts w:ascii="Arial" w:hAnsi="Arial" w:cs="Arial"/>
          <w:b/>
          <w:caps/>
        </w:rPr>
      </w:pPr>
      <w:r>
        <w:rPr>
          <w:rFonts w:ascii="Arial" w:hAnsi="Arial" w:cs="Arial"/>
        </w:rPr>
        <w:t xml:space="preserve">Part of addressing the problem of </w:t>
      </w:r>
      <w:smartTag w:uri="urn:schemas-microsoft-com:office:smarttags" w:element="place">
        <w:smartTag w:uri="urn:schemas-microsoft-com:office:smarttags" w:element="country-region">
          <w:r>
            <w:rPr>
              <w:rFonts w:ascii="Arial" w:hAnsi="Arial" w:cs="Arial"/>
            </w:rPr>
            <w:t>South Africa</w:t>
          </w:r>
        </w:smartTag>
      </w:smartTag>
      <w:r>
        <w:rPr>
          <w:rFonts w:ascii="Arial" w:hAnsi="Arial" w:cs="Arial"/>
        </w:rPr>
        <w:t>’s high unemployment rate was</w:t>
      </w:r>
      <w:r w:rsidRPr="00BF4BD1">
        <w:rPr>
          <w:rFonts w:ascii="Arial" w:hAnsi="Arial" w:cs="Arial"/>
        </w:rPr>
        <w:t xml:space="preserve"> the mainstreaming of job creation in every department. In the Department of Cooperative Governance this took the form of the Community Works Programme (CWP), which is being rolled out in various municipalities across the country. The target is to ensure that the programme is implemented in all 23 District municipalities and in 64 of the 108 municipalities that have been included in the Local Government Turn-Around Strategy (LGTAS).</w:t>
      </w:r>
      <w:r w:rsidRPr="00BF4BD1">
        <w:rPr>
          <w:rStyle w:val="FootnoteReference"/>
          <w:rFonts w:ascii="Arial" w:hAnsi="Arial" w:cs="Arial"/>
        </w:rPr>
        <w:footnoteReference w:id="2"/>
      </w:r>
      <w:r w:rsidRPr="00BF4BD1">
        <w:rPr>
          <w:rFonts w:ascii="Arial" w:hAnsi="Arial" w:cs="Arial"/>
        </w:rPr>
        <w:t xml:space="preserve"> The current participation rate in the programme is at 332 500 in 228 sites of which 253 360 are work opportunities at 100 days a year by 2014/15.</w:t>
      </w:r>
      <w:r w:rsidRPr="00BF4BD1">
        <w:rPr>
          <w:rStyle w:val="FootnoteReference"/>
          <w:rFonts w:ascii="Arial" w:hAnsi="Arial" w:cs="Arial"/>
        </w:rPr>
        <w:footnoteReference w:id="3"/>
      </w:r>
      <w:r w:rsidRPr="00BF4BD1">
        <w:rPr>
          <w:rFonts w:ascii="Arial" w:hAnsi="Arial" w:cs="Arial"/>
        </w:rPr>
        <w:t xml:space="preserve"> </w:t>
      </w:r>
      <w:r w:rsidRPr="00BF4BD1">
        <w:rPr>
          <w:rFonts w:ascii="Arial" w:hAnsi="Arial" w:cs="Arial"/>
        </w:rPr>
        <w:lastRenderedPageBreak/>
        <w:t>The programme is critical for poverty alleviation and skills development to assist with youth unemployment. The Department of Traditional Affairs on the other hand is advancing tourism as one of its main job drivers. This is also one of the thrusts of the President’s Speech, having noted that: ‘We identified tourism as one of our job drivers’</w:t>
      </w:r>
      <w:r w:rsidRPr="00BF4BD1">
        <w:rPr>
          <w:rStyle w:val="FootnoteReference"/>
          <w:rFonts w:ascii="Arial" w:hAnsi="Arial" w:cs="Arial"/>
        </w:rPr>
        <w:footnoteReference w:id="4"/>
      </w:r>
      <w:r w:rsidRPr="00BF4BD1">
        <w:rPr>
          <w:rFonts w:ascii="Arial" w:hAnsi="Arial" w:cs="Arial"/>
        </w:rPr>
        <w:t>.</w:t>
      </w:r>
    </w:p>
    <w:p w:rsidR="00100427" w:rsidRPr="00893695" w:rsidRDefault="00100427" w:rsidP="00893695">
      <w:pPr>
        <w:pStyle w:val="ListParagraph"/>
        <w:spacing w:after="0" w:line="280" w:lineRule="exact"/>
        <w:jc w:val="both"/>
        <w:rPr>
          <w:rFonts w:ascii="Arial" w:hAnsi="Arial" w:cs="Arial"/>
          <w:b/>
          <w:caps/>
        </w:rPr>
      </w:pPr>
    </w:p>
    <w:p w:rsidR="00100427" w:rsidRPr="00AF0291" w:rsidRDefault="00100427" w:rsidP="003970F6">
      <w:pPr>
        <w:pStyle w:val="ListParagraph"/>
        <w:numPr>
          <w:ilvl w:val="1"/>
          <w:numId w:val="1"/>
        </w:numPr>
        <w:spacing w:after="0" w:line="280" w:lineRule="exact"/>
        <w:jc w:val="both"/>
        <w:rPr>
          <w:rFonts w:ascii="Arial" w:hAnsi="Arial" w:cs="Arial"/>
          <w:b/>
          <w:caps/>
        </w:rPr>
      </w:pPr>
      <w:r>
        <w:rPr>
          <w:rFonts w:ascii="Arial" w:hAnsi="Arial" w:cs="Arial"/>
          <w:b/>
        </w:rPr>
        <w:t>Basic services</w:t>
      </w:r>
    </w:p>
    <w:p w:rsidR="00100427" w:rsidRPr="00AF0291" w:rsidRDefault="00100427" w:rsidP="00AF0291">
      <w:pPr>
        <w:pStyle w:val="ListParagraph"/>
        <w:spacing w:after="0" w:line="280" w:lineRule="exact"/>
        <w:jc w:val="both"/>
        <w:rPr>
          <w:rFonts w:ascii="Arial" w:hAnsi="Arial" w:cs="Arial"/>
          <w:b/>
          <w:caps/>
        </w:rPr>
      </w:pPr>
    </w:p>
    <w:p w:rsidR="00100427" w:rsidRDefault="00100427" w:rsidP="003970F6">
      <w:pPr>
        <w:pStyle w:val="ListParagraph"/>
        <w:numPr>
          <w:ilvl w:val="2"/>
          <w:numId w:val="1"/>
        </w:numPr>
        <w:spacing w:after="0" w:line="280" w:lineRule="exact"/>
        <w:jc w:val="both"/>
        <w:rPr>
          <w:rFonts w:ascii="Arial" w:hAnsi="Arial" w:cs="Arial"/>
          <w:b/>
          <w:caps/>
        </w:rPr>
      </w:pPr>
      <w:r>
        <w:rPr>
          <w:rFonts w:ascii="Arial" w:hAnsi="Arial" w:cs="Arial"/>
        </w:rPr>
        <w:t>Water</w:t>
      </w:r>
    </w:p>
    <w:p w:rsidR="00100427" w:rsidRDefault="00100427" w:rsidP="00507084">
      <w:pPr>
        <w:pStyle w:val="ListParagraph"/>
        <w:spacing w:after="0" w:line="280" w:lineRule="exact"/>
        <w:jc w:val="both"/>
        <w:rPr>
          <w:rFonts w:ascii="Arial" w:hAnsi="Arial" w:cs="Arial"/>
          <w:b/>
          <w:caps/>
        </w:rPr>
      </w:pPr>
    </w:p>
    <w:p w:rsidR="00100427" w:rsidRDefault="00100427" w:rsidP="00946DDD">
      <w:pPr>
        <w:pStyle w:val="ListParagraph"/>
        <w:spacing w:after="0" w:line="280" w:lineRule="exact"/>
        <w:jc w:val="both"/>
        <w:rPr>
          <w:rFonts w:ascii="Arial" w:hAnsi="Arial" w:cs="Arial"/>
          <w:b/>
          <w:caps/>
        </w:rPr>
      </w:pPr>
      <w:r w:rsidRPr="00507084">
        <w:rPr>
          <w:rFonts w:ascii="Arial" w:hAnsi="Arial" w:cs="Arial"/>
        </w:rPr>
        <w:t xml:space="preserve">The Mid-Term Review of the Priorities of Government estimates the current overall access to water to be 94.5%. </w:t>
      </w:r>
      <w:r>
        <w:rPr>
          <w:rFonts w:ascii="Arial" w:hAnsi="Arial" w:cs="Arial"/>
        </w:rPr>
        <w:t xml:space="preserve">Challenges around the operation and maintenance of water infrastructure at the municipal level militate against the achievement of universal access to water. </w:t>
      </w:r>
    </w:p>
    <w:p w:rsidR="00100427" w:rsidRPr="00AF0291" w:rsidRDefault="00100427" w:rsidP="00946DDD">
      <w:pPr>
        <w:pStyle w:val="ListParagraph"/>
        <w:spacing w:after="0" w:line="280" w:lineRule="exact"/>
        <w:jc w:val="both"/>
        <w:rPr>
          <w:rFonts w:ascii="Arial" w:hAnsi="Arial" w:cs="Arial"/>
          <w:b/>
          <w:caps/>
        </w:rPr>
      </w:pPr>
    </w:p>
    <w:p w:rsidR="00100427" w:rsidRPr="00946DDD" w:rsidRDefault="00100427" w:rsidP="003970F6">
      <w:pPr>
        <w:pStyle w:val="ListParagraph"/>
        <w:numPr>
          <w:ilvl w:val="2"/>
          <w:numId w:val="1"/>
        </w:numPr>
        <w:spacing w:after="0" w:line="280" w:lineRule="exact"/>
        <w:jc w:val="both"/>
        <w:rPr>
          <w:rFonts w:ascii="Arial" w:hAnsi="Arial" w:cs="Arial"/>
          <w:caps/>
        </w:rPr>
      </w:pPr>
      <w:r>
        <w:rPr>
          <w:rFonts w:ascii="Arial" w:hAnsi="Arial" w:cs="Arial"/>
        </w:rPr>
        <w:t>S</w:t>
      </w:r>
      <w:r w:rsidRPr="00AF0291">
        <w:rPr>
          <w:rFonts w:ascii="Arial" w:hAnsi="Arial" w:cs="Arial"/>
        </w:rPr>
        <w:t xml:space="preserve">anitation </w:t>
      </w:r>
    </w:p>
    <w:p w:rsidR="00100427" w:rsidRDefault="00100427" w:rsidP="00946DDD">
      <w:pPr>
        <w:pStyle w:val="ListParagraph"/>
        <w:spacing w:after="0" w:line="280" w:lineRule="exact"/>
        <w:jc w:val="both"/>
        <w:rPr>
          <w:rFonts w:ascii="Arial" w:hAnsi="Arial" w:cs="Arial"/>
          <w:caps/>
        </w:rPr>
      </w:pPr>
    </w:p>
    <w:p w:rsidR="00100427" w:rsidRPr="00946DDD" w:rsidRDefault="00100427" w:rsidP="00946DDD">
      <w:pPr>
        <w:pStyle w:val="ListParagraph"/>
        <w:spacing w:after="0" w:line="280" w:lineRule="exact"/>
        <w:jc w:val="both"/>
        <w:rPr>
          <w:rFonts w:ascii="Arial" w:hAnsi="Arial" w:cs="Arial"/>
          <w:caps/>
        </w:rPr>
      </w:pPr>
      <w:r>
        <w:rPr>
          <w:rFonts w:ascii="Arial" w:hAnsi="Arial" w:cs="Arial"/>
        </w:rPr>
        <w:t>The percentage of households with access to sanitation services and facilities currently stands at 74%. S</w:t>
      </w:r>
      <w:r w:rsidRPr="00946DDD">
        <w:rPr>
          <w:rFonts w:ascii="Arial" w:hAnsi="Arial" w:cs="Arial"/>
        </w:rPr>
        <w:t>anitation services and facilitie</w:t>
      </w:r>
      <w:r>
        <w:rPr>
          <w:rFonts w:ascii="Arial" w:hAnsi="Arial" w:cs="Arial"/>
        </w:rPr>
        <w:t>s</w:t>
      </w:r>
      <w:r w:rsidRPr="00946DDD">
        <w:rPr>
          <w:rFonts w:ascii="Arial" w:hAnsi="Arial" w:cs="Arial"/>
        </w:rPr>
        <w:t xml:space="preserve"> are</w:t>
      </w:r>
      <w:r>
        <w:rPr>
          <w:rFonts w:ascii="Arial" w:hAnsi="Arial" w:cs="Arial"/>
        </w:rPr>
        <w:t xml:space="preserve"> still</w:t>
      </w:r>
      <w:r w:rsidRPr="00946DDD">
        <w:rPr>
          <w:rFonts w:ascii="Arial" w:hAnsi="Arial" w:cs="Arial"/>
        </w:rPr>
        <w:t xml:space="preserve"> not fully functional</w:t>
      </w:r>
      <w:r>
        <w:rPr>
          <w:rFonts w:ascii="Arial" w:hAnsi="Arial" w:cs="Arial"/>
        </w:rPr>
        <w:t xml:space="preserve"> in 26% of households.</w:t>
      </w:r>
      <w:r w:rsidRPr="00946DDD">
        <w:rPr>
          <w:rStyle w:val="FootnoteReference"/>
          <w:rFonts w:ascii="Arial" w:hAnsi="Arial" w:cs="Arial"/>
        </w:rPr>
        <w:footnoteReference w:id="5"/>
      </w:r>
    </w:p>
    <w:p w:rsidR="00100427" w:rsidRPr="00AF0291" w:rsidRDefault="00100427" w:rsidP="00946DDD">
      <w:pPr>
        <w:pStyle w:val="ListParagraph"/>
        <w:spacing w:after="0" w:line="280" w:lineRule="exact"/>
        <w:jc w:val="both"/>
        <w:rPr>
          <w:rFonts w:ascii="Arial" w:hAnsi="Arial" w:cs="Arial"/>
          <w:caps/>
        </w:rPr>
      </w:pPr>
    </w:p>
    <w:p w:rsidR="00100427" w:rsidRPr="00E62ADB" w:rsidRDefault="00100427" w:rsidP="003970F6">
      <w:pPr>
        <w:pStyle w:val="ListParagraph"/>
        <w:numPr>
          <w:ilvl w:val="2"/>
          <w:numId w:val="1"/>
        </w:numPr>
        <w:spacing w:after="0" w:line="280" w:lineRule="exact"/>
        <w:jc w:val="both"/>
        <w:rPr>
          <w:rFonts w:ascii="Arial" w:hAnsi="Arial" w:cs="Arial"/>
          <w:caps/>
        </w:rPr>
      </w:pPr>
      <w:r>
        <w:rPr>
          <w:rFonts w:ascii="Arial" w:hAnsi="Arial" w:cs="Arial"/>
        </w:rPr>
        <w:t>Electricity</w:t>
      </w:r>
    </w:p>
    <w:p w:rsidR="00100427" w:rsidRDefault="00100427" w:rsidP="00E62ADB">
      <w:pPr>
        <w:pStyle w:val="ListParagraph"/>
        <w:spacing w:after="0" w:line="280" w:lineRule="exact"/>
        <w:jc w:val="both"/>
        <w:rPr>
          <w:rFonts w:ascii="Arial" w:hAnsi="Arial" w:cs="Arial"/>
          <w:caps/>
        </w:rPr>
      </w:pPr>
    </w:p>
    <w:p w:rsidR="00100427" w:rsidRPr="00E62ADB" w:rsidRDefault="00100427" w:rsidP="00E62ADB">
      <w:pPr>
        <w:pStyle w:val="ListParagraph"/>
        <w:spacing w:after="0" w:line="280" w:lineRule="exact"/>
        <w:jc w:val="both"/>
        <w:rPr>
          <w:rFonts w:ascii="Arial" w:hAnsi="Arial" w:cs="Arial"/>
          <w:caps/>
        </w:rPr>
      </w:pPr>
      <w:r>
        <w:rPr>
          <w:rFonts w:ascii="Arial" w:hAnsi="Arial" w:cs="Arial"/>
        </w:rPr>
        <w:t>In the 2013 State of the Nation Address, President Jacob Zuma</w:t>
      </w:r>
      <w:r w:rsidRPr="00E62ADB">
        <w:rPr>
          <w:rFonts w:ascii="Arial" w:hAnsi="Arial" w:cs="Arial"/>
        </w:rPr>
        <w:t xml:space="preserve"> announced that 85% of households are connected to the national grid</w:t>
      </w:r>
      <w:r>
        <w:rPr>
          <w:rFonts w:ascii="Arial" w:hAnsi="Arial" w:cs="Arial"/>
        </w:rPr>
        <w:t>. Government envisages universal access to electricity by 2014.</w:t>
      </w:r>
    </w:p>
    <w:p w:rsidR="00100427" w:rsidRDefault="00100427" w:rsidP="00870C43">
      <w:pPr>
        <w:pStyle w:val="ListParagraph"/>
        <w:spacing w:after="0" w:line="280" w:lineRule="exact"/>
        <w:jc w:val="both"/>
        <w:rPr>
          <w:rFonts w:ascii="Arial" w:hAnsi="Arial" w:cs="Arial"/>
          <w:b/>
          <w:caps/>
        </w:rPr>
      </w:pPr>
    </w:p>
    <w:p w:rsidR="00100427" w:rsidRPr="00404535" w:rsidRDefault="00100427" w:rsidP="003970F6">
      <w:pPr>
        <w:pStyle w:val="ListParagraph"/>
        <w:numPr>
          <w:ilvl w:val="1"/>
          <w:numId w:val="1"/>
        </w:numPr>
        <w:spacing w:after="0" w:line="280" w:lineRule="exact"/>
        <w:jc w:val="both"/>
        <w:rPr>
          <w:rFonts w:ascii="Arial" w:hAnsi="Arial" w:cs="Arial"/>
          <w:b/>
          <w:caps/>
        </w:rPr>
      </w:pPr>
      <w:r>
        <w:rPr>
          <w:rFonts w:ascii="Arial" w:hAnsi="Arial" w:cs="Arial"/>
          <w:b/>
        </w:rPr>
        <w:t>Infrastructure development</w:t>
      </w:r>
    </w:p>
    <w:p w:rsidR="00100427" w:rsidRDefault="00100427" w:rsidP="00404535">
      <w:pPr>
        <w:pStyle w:val="ListParagraph"/>
        <w:spacing w:after="0" w:line="280" w:lineRule="exact"/>
        <w:jc w:val="both"/>
        <w:rPr>
          <w:rFonts w:ascii="Arial" w:hAnsi="Arial" w:cs="Arial"/>
          <w:b/>
          <w:caps/>
        </w:rPr>
      </w:pPr>
    </w:p>
    <w:p w:rsidR="00100427" w:rsidRPr="00AD5FE9" w:rsidRDefault="00100427" w:rsidP="00AD5FE9">
      <w:pPr>
        <w:pStyle w:val="ListParagraph"/>
        <w:spacing w:after="0" w:line="280" w:lineRule="exact"/>
        <w:jc w:val="both"/>
        <w:rPr>
          <w:rFonts w:ascii="Arial" w:hAnsi="Arial" w:cs="Arial"/>
          <w:noProof/>
        </w:rPr>
      </w:pPr>
      <w:r>
        <w:rPr>
          <w:rFonts w:ascii="Arial" w:hAnsi="Arial" w:cs="Arial"/>
        </w:rPr>
        <w:t>Infrastructure development has</w:t>
      </w:r>
      <w:r w:rsidRPr="00C253BB">
        <w:rPr>
          <w:rFonts w:ascii="Arial" w:hAnsi="Arial" w:cs="Arial"/>
        </w:rPr>
        <w:t xml:space="preserve"> featured promi</w:t>
      </w:r>
      <w:r>
        <w:rPr>
          <w:rFonts w:ascii="Arial" w:hAnsi="Arial" w:cs="Arial"/>
        </w:rPr>
        <w:t>nently in both the</w:t>
      </w:r>
      <w:r w:rsidRPr="00C253BB">
        <w:rPr>
          <w:rFonts w:ascii="Arial" w:hAnsi="Arial" w:cs="Arial"/>
        </w:rPr>
        <w:t xml:space="preserve"> 2012</w:t>
      </w:r>
      <w:r>
        <w:rPr>
          <w:rFonts w:ascii="Arial" w:hAnsi="Arial" w:cs="Arial"/>
        </w:rPr>
        <w:t xml:space="preserve"> and 2013</w:t>
      </w:r>
      <w:r w:rsidRPr="00C253BB">
        <w:rPr>
          <w:rFonts w:ascii="Arial" w:hAnsi="Arial" w:cs="Arial"/>
        </w:rPr>
        <w:t xml:space="preserve"> State of the Nation Address</w:t>
      </w:r>
      <w:r>
        <w:rPr>
          <w:rFonts w:ascii="Arial" w:hAnsi="Arial" w:cs="Arial"/>
        </w:rPr>
        <w:t>es. G</w:t>
      </w:r>
      <w:r w:rsidRPr="00C253BB">
        <w:rPr>
          <w:rFonts w:ascii="Arial" w:hAnsi="Arial" w:cs="Arial"/>
        </w:rPr>
        <w:t>overnment’s infrastructure roll</w:t>
      </w:r>
      <w:r>
        <w:rPr>
          <w:rFonts w:ascii="Arial" w:hAnsi="Arial" w:cs="Arial"/>
        </w:rPr>
        <w:t>-</w:t>
      </w:r>
      <w:r w:rsidRPr="00C253BB">
        <w:rPr>
          <w:rFonts w:ascii="Arial" w:hAnsi="Arial" w:cs="Arial"/>
        </w:rPr>
        <w:t>out programme remains a key intervention with regard to stimulating economic growth and employment creation.</w:t>
      </w:r>
      <w:r>
        <w:rPr>
          <w:rFonts w:ascii="Arial" w:hAnsi="Arial" w:cs="Arial"/>
        </w:rPr>
        <w:t xml:space="preserve"> Between 2009 and</w:t>
      </w:r>
      <w:r w:rsidRPr="00C253BB">
        <w:rPr>
          <w:rFonts w:ascii="Arial" w:hAnsi="Arial" w:cs="Arial"/>
        </w:rPr>
        <w:t xml:space="preserve"> </w:t>
      </w:r>
      <w:r>
        <w:rPr>
          <w:rFonts w:ascii="Arial" w:hAnsi="Arial" w:cs="Arial"/>
        </w:rPr>
        <w:t>March 2013 government has</w:t>
      </w:r>
      <w:r w:rsidRPr="00C253BB">
        <w:rPr>
          <w:rFonts w:ascii="Arial" w:hAnsi="Arial" w:cs="Arial"/>
        </w:rPr>
        <w:t xml:space="preserve"> spent</w:t>
      </w:r>
      <w:r>
        <w:rPr>
          <w:rFonts w:ascii="Arial" w:hAnsi="Arial" w:cs="Arial"/>
        </w:rPr>
        <w:t xml:space="preserve"> approximately R860 billion o</w:t>
      </w:r>
      <w:r w:rsidRPr="00C253BB">
        <w:rPr>
          <w:rFonts w:ascii="Arial" w:hAnsi="Arial" w:cs="Arial"/>
        </w:rPr>
        <w:t>n infrastructure including improvements to water and transport provision</w:t>
      </w:r>
      <w:r>
        <w:rPr>
          <w:rFonts w:ascii="Arial" w:hAnsi="Arial" w:cs="Arial"/>
        </w:rPr>
        <w:t>.</w:t>
      </w:r>
      <w:r w:rsidRPr="00C253BB">
        <w:rPr>
          <w:rStyle w:val="FootnoteReference"/>
          <w:rFonts w:ascii="Arial" w:hAnsi="Arial" w:cs="Arial"/>
        </w:rPr>
        <w:footnoteReference w:id="6"/>
      </w:r>
      <w:r w:rsidRPr="00C253BB">
        <w:rPr>
          <w:rFonts w:ascii="Arial" w:hAnsi="Arial" w:cs="Arial"/>
        </w:rPr>
        <w:t xml:space="preserve"> </w:t>
      </w:r>
      <w:r>
        <w:rPr>
          <w:rFonts w:ascii="Arial" w:hAnsi="Arial" w:cs="Arial"/>
        </w:rPr>
        <w:t>T</w:t>
      </w:r>
      <w:r w:rsidRPr="00C253BB">
        <w:rPr>
          <w:rFonts w:ascii="Arial" w:hAnsi="Arial" w:cs="Arial"/>
        </w:rPr>
        <w:t>he Departmen</w:t>
      </w:r>
      <w:r>
        <w:rPr>
          <w:rFonts w:ascii="Arial" w:hAnsi="Arial" w:cs="Arial"/>
        </w:rPr>
        <w:t>t of Cooperative Governance has had a</w:t>
      </w:r>
      <w:r w:rsidRPr="00C253BB">
        <w:rPr>
          <w:rFonts w:ascii="Arial" w:hAnsi="Arial" w:cs="Arial"/>
        </w:rPr>
        <w:t xml:space="preserve"> leading responsibility</w:t>
      </w:r>
      <w:r>
        <w:rPr>
          <w:rFonts w:ascii="Arial" w:hAnsi="Arial" w:cs="Arial"/>
        </w:rPr>
        <w:t xml:space="preserve"> in terms of coordinating these infrastructure projects</w:t>
      </w:r>
      <w:r w:rsidRPr="00C253BB">
        <w:rPr>
          <w:rFonts w:ascii="Arial" w:hAnsi="Arial" w:cs="Arial"/>
        </w:rPr>
        <w:t>.</w:t>
      </w:r>
      <w:r w:rsidRPr="00C253BB">
        <w:rPr>
          <w:rStyle w:val="FootnoteReference"/>
          <w:rFonts w:ascii="Arial" w:hAnsi="Arial" w:cs="Arial"/>
        </w:rPr>
        <w:footnoteReference w:id="7"/>
      </w:r>
      <w:r w:rsidRPr="00C253BB">
        <w:rPr>
          <w:rFonts w:ascii="Arial" w:hAnsi="Arial" w:cs="Arial"/>
        </w:rPr>
        <w:t xml:space="preserve"> </w:t>
      </w:r>
      <w:r>
        <w:rPr>
          <w:rFonts w:ascii="Arial" w:hAnsi="Arial" w:cs="Arial"/>
          <w:noProof/>
        </w:rPr>
        <w:t xml:space="preserve">However, </w:t>
      </w:r>
      <w:r>
        <w:rPr>
          <w:rFonts w:ascii="Arial" w:hAnsi="Arial" w:cs="Arial"/>
        </w:rPr>
        <w:t>t</w:t>
      </w:r>
      <w:r w:rsidRPr="00C253BB">
        <w:rPr>
          <w:rFonts w:ascii="Arial" w:hAnsi="Arial" w:cs="Arial"/>
        </w:rPr>
        <w:t xml:space="preserve">he infrastructure roll-out </w:t>
      </w:r>
      <w:r>
        <w:rPr>
          <w:rFonts w:ascii="Arial" w:hAnsi="Arial" w:cs="Arial"/>
        </w:rPr>
        <w:t>programme</w:t>
      </w:r>
      <w:r w:rsidRPr="00C253BB">
        <w:rPr>
          <w:rFonts w:ascii="Arial" w:hAnsi="Arial" w:cs="Arial"/>
        </w:rPr>
        <w:t xml:space="preserve"> has not transpired at the rate initially hoped for. </w:t>
      </w:r>
      <w:r>
        <w:rPr>
          <w:rFonts w:ascii="Arial" w:hAnsi="Arial" w:cs="Arial"/>
        </w:rPr>
        <w:t>As t</w:t>
      </w:r>
      <w:r w:rsidRPr="00C253BB">
        <w:rPr>
          <w:rFonts w:ascii="Arial" w:hAnsi="Arial" w:cs="Arial"/>
        </w:rPr>
        <w:t>he Pre</w:t>
      </w:r>
      <w:r>
        <w:rPr>
          <w:rFonts w:ascii="Arial" w:hAnsi="Arial" w:cs="Arial"/>
        </w:rPr>
        <w:t>sident has noted, the</w:t>
      </w:r>
      <w:r w:rsidRPr="00C253BB">
        <w:rPr>
          <w:rFonts w:ascii="Arial" w:hAnsi="Arial" w:cs="Arial"/>
        </w:rPr>
        <w:t xml:space="preserve"> programme ‘has been a valuable source of learning for government’</w:t>
      </w:r>
      <w:r w:rsidRPr="00C253BB">
        <w:rPr>
          <w:rStyle w:val="FootnoteReference"/>
          <w:rFonts w:ascii="Arial" w:hAnsi="Arial" w:cs="Arial"/>
        </w:rPr>
        <w:footnoteReference w:id="8"/>
      </w:r>
      <w:r w:rsidRPr="00C253BB">
        <w:rPr>
          <w:rFonts w:ascii="Arial" w:hAnsi="Arial" w:cs="Arial"/>
          <w:noProof/>
        </w:rPr>
        <w:t>.</w:t>
      </w:r>
      <w:r w:rsidRPr="00C253BB">
        <w:rPr>
          <w:rFonts w:ascii="Arial" w:hAnsi="Arial" w:cs="Arial"/>
        </w:rPr>
        <w:t xml:space="preserve"> </w:t>
      </w:r>
    </w:p>
    <w:p w:rsidR="00100427" w:rsidRPr="00404535" w:rsidRDefault="00100427" w:rsidP="0013400E">
      <w:pPr>
        <w:pStyle w:val="ListParagraph"/>
        <w:spacing w:after="0" w:line="280" w:lineRule="exact"/>
        <w:jc w:val="both"/>
        <w:rPr>
          <w:rFonts w:ascii="Arial" w:hAnsi="Arial" w:cs="Arial"/>
          <w:b/>
          <w:caps/>
          <w:lang w:val="en-GB"/>
        </w:rPr>
      </w:pPr>
    </w:p>
    <w:p w:rsidR="00100427" w:rsidRPr="005E55DE" w:rsidRDefault="00100427" w:rsidP="003970F6">
      <w:pPr>
        <w:pStyle w:val="ListParagraph"/>
        <w:numPr>
          <w:ilvl w:val="1"/>
          <w:numId w:val="1"/>
        </w:numPr>
        <w:spacing w:after="0" w:line="280" w:lineRule="exact"/>
        <w:jc w:val="both"/>
        <w:rPr>
          <w:rFonts w:ascii="Arial" w:hAnsi="Arial" w:cs="Arial"/>
          <w:b/>
          <w:caps/>
        </w:rPr>
      </w:pPr>
      <w:r>
        <w:rPr>
          <w:rFonts w:ascii="Arial" w:hAnsi="Arial" w:cs="Arial"/>
          <w:b/>
        </w:rPr>
        <w:t>Traditional affairs</w:t>
      </w:r>
    </w:p>
    <w:p w:rsidR="00100427" w:rsidRPr="005E55DE" w:rsidRDefault="00100427" w:rsidP="005E55DE">
      <w:pPr>
        <w:pStyle w:val="ListParagraph"/>
        <w:spacing w:after="0" w:line="280" w:lineRule="exact"/>
        <w:jc w:val="both"/>
        <w:rPr>
          <w:rFonts w:ascii="Arial" w:hAnsi="Arial" w:cs="Arial"/>
          <w:b/>
          <w:caps/>
        </w:rPr>
      </w:pPr>
    </w:p>
    <w:p w:rsidR="00100427" w:rsidRPr="000022F8" w:rsidRDefault="00100427" w:rsidP="000022F8">
      <w:pPr>
        <w:pStyle w:val="ListParagraph"/>
        <w:spacing w:after="0" w:line="280" w:lineRule="exact"/>
        <w:jc w:val="both"/>
        <w:rPr>
          <w:rFonts w:ascii="Arial" w:hAnsi="Arial" w:cs="Arial"/>
          <w:b/>
          <w:caps/>
        </w:rPr>
      </w:pPr>
      <w:r>
        <w:rPr>
          <w:rFonts w:ascii="Arial" w:hAnsi="Arial" w:cs="Arial"/>
        </w:rPr>
        <w:t xml:space="preserve">The key highlight relating to traditional affairs has been the process of amending the National Traditional Leadership Framework Act of 2004 in order to affirm the traditional institutions of Khoi-San communities and all other previously marginalised groups, including women. The Department of Traditional Affairs has also found itself tasked with assisting landless traditional leaders and communities following the re-opening of the lodgement of land claims to accommodate those dispossessed earlier than the initial cut-off time. </w:t>
      </w:r>
    </w:p>
    <w:p w:rsidR="00100427" w:rsidRPr="00DD6FA0" w:rsidRDefault="00100427" w:rsidP="009D3A30">
      <w:pPr>
        <w:pStyle w:val="ListParagraph"/>
        <w:spacing w:after="0" w:line="280" w:lineRule="exact"/>
        <w:ind w:left="0"/>
        <w:jc w:val="both"/>
        <w:rPr>
          <w:rFonts w:ascii="Arial" w:hAnsi="Arial" w:cs="Arial"/>
          <w:b/>
        </w:rPr>
      </w:pPr>
    </w:p>
    <w:p w:rsidR="00100427" w:rsidRPr="00DD6FA0" w:rsidRDefault="00100427" w:rsidP="003970F6">
      <w:pPr>
        <w:numPr>
          <w:ilvl w:val="0"/>
          <w:numId w:val="1"/>
        </w:numPr>
        <w:rPr>
          <w:rFonts w:cs="Arial"/>
          <w:b/>
          <w:caps/>
          <w:sz w:val="22"/>
          <w:szCs w:val="22"/>
        </w:rPr>
      </w:pPr>
      <w:r w:rsidRPr="00DD6FA0">
        <w:rPr>
          <w:rFonts w:cs="Arial"/>
          <w:b/>
          <w:caps/>
          <w:sz w:val="22"/>
          <w:szCs w:val="22"/>
        </w:rPr>
        <w:t xml:space="preserve">Summary of previous key financial and performance recommendations of Committee </w:t>
      </w:r>
    </w:p>
    <w:p w:rsidR="00100427" w:rsidRPr="00DD6FA0" w:rsidRDefault="00100427" w:rsidP="009D3A30">
      <w:pPr>
        <w:ind w:left="360"/>
        <w:rPr>
          <w:rFonts w:cs="Arial"/>
          <w:b/>
          <w:sz w:val="22"/>
          <w:szCs w:val="22"/>
        </w:rPr>
      </w:pPr>
    </w:p>
    <w:p w:rsidR="00100427" w:rsidRPr="006D064A" w:rsidRDefault="00100427" w:rsidP="006D064A">
      <w:pPr>
        <w:numPr>
          <w:ilvl w:val="1"/>
          <w:numId w:val="1"/>
        </w:numPr>
        <w:rPr>
          <w:rFonts w:cs="Arial"/>
          <w:b/>
          <w:sz w:val="22"/>
          <w:szCs w:val="22"/>
        </w:rPr>
      </w:pPr>
      <w:r w:rsidRPr="00DD6FA0">
        <w:rPr>
          <w:rFonts w:cs="Arial"/>
          <w:b/>
          <w:sz w:val="22"/>
          <w:szCs w:val="22"/>
        </w:rPr>
        <w:t>2012/13 BRRR recommendations</w:t>
      </w:r>
      <w:r>
        <w:rPr>
          <w:rFonts w:cs="Arial"/>
          <w:b/>
          <w:sz w:val="22"/>
          <w:szCs w:val="22"/>
        </w:rPr>
        <w:t xml:space="preserve"> and responses by the Department</w:t>
      </w:r>
    </w:p>
    <w:p w:rsidR="00100427" w:rsidRDefault="00100427" w:rsidP="006D10A4">
      <w:pPr>
        <w:ind w:left="720"/>
        <w:rPr>
          <w:rFonts w:cs="Arial"/>
          <w:b/>
          <w:sz w:val="22"/>
          <w:szCs w:val="22"/>
        </w:rPr>
      </w:pPr>
    </w:p>
    <w:p w:rsidR="00100427" w:rsidRDefault="00100427" w:rsidP="00800A44">
      <w:pPr>
        <w:ind w:left="720"/>
        <w:jc w:val="both"/>
        <w:rPr>
          <w:sz w:val="22"/>
          <w:szCs w:val="22"/>
        </w:rPr>
      </w:pPr>
      <w:r w:rsidRPr="0079357E">
        <w:rPr>
          <w:i/>
          <w:sz w:val="22"/>
          <w:szCs w:val="22"/>
        </w:rPr>
        <w:t>Administration Programme</w:t>
      </w:r>
    </w:p>
    <w:p w:rsidR="00100427" w:rsidRDefault="00100427" w:rsidP="00800A44">
      <w:pPr>
        <w:ind w:left="720"/>
        <w:jc w:val="both"/>
        <w:rPr>
          <w:sz w:val="22"/>
          <w:szCs w:val="22"/>
        </w:rPr>
      </w:pPr>
    </w:p>
    <w:p w:rsidR="00100427" w:rsidRDefault="00100427" w:rsidP="00800A44">
      <w:pPr>
        <w:ind w:left="720"/>
        <w:jc w:val="both"/>
        <w:rPr>
          <w:rFonts w:cs="Arial"/>
          <w:sz w:val="22"/>
          <w:szCs w:val="22"/>
        </w:rPr>
      </w:pPr>
      <w:r>
        <w:rPr>
          <w:sz w:val="22"/>
          <w:szCs w:val="22"/>
        </w:rPr>
        <w:t xml:space="preserve"> In 2012/13 the Portfolio Committee noted that the budget for the Administration Programme had decreased from R205.4 million to R201.4 million (or R197.6 million when taking into consideration the adjusted appropriation). The Committee consequently recommended that the budget be increased to accommodate approved posts.</w:t>
      </w:r>
      <w:r>
        <w:rPr>
          <w:rStyle w:val="FootnoteReference"/>
          <w:sz w:val="22"/>
          <w:szCs w:val="22"/>
        </w:rPr>
        <w:footnoteReference w:id="9"/>
      </w:r>
      <w:r>
        <w:rPr>
          <w:sz w:val="22"/>
          <w:szCs w:val="22"/>
        </w:rPr>
        <w:t xml:space="preserve"> </w:t>
      </w:r>
      <w:r w:rsidRPr="003218A0">
        <w:rPr>
          <w:rFonts w:cs="Arial"/>
          <w:sz w:val="22"/>
          <w:szCs w:val="22"/>
        </w:rPr>
        <w:t>Funding was made available to the Department of Traditional Affairs since the 2011/12 for the establishment of the operations (inclusive of the filling of priority posts) of the Department.</w:t>
      </w:r>
      <w:r>
        <w:rPr>
          <w:sz w:val="22"/>
          <w:szCs w:val="22"/>
        </w:rPr>
        <w:t xml:space="preserve"> Secondly, the Committee</w:t>
      </w:r>
      <w:r>
        <w:rPr>
          <w:rFonts w:cs="Arial"/>
          <w:sz w:val="22"/>
          <w:szCs w:val="22"/>
          <w:lang w:val="en-US"/>
        </w:rPr>
        <w:t xml:space="preserve"> noted under expenditure to the amount of R11.6 on compensation of employees, which was incurred as a result of slow recruitment processes. The Committee recommended that, a database of unemployed, skilled and competent people be kept, to assist with improving the pace of the recruitment process. </w:t>
      </w:r>
      <w:r w:rsidRPr="00572DA5">
        <w:rPr>
          <w:rFonts w:cs="Arial"/>
          <w:sz w:val="22"/>
          <w:szCs w:val="22"/>
          <w:lang w:val="en-US"/>
        </w:rPr>
        <w:t xml:space="preserve">In this regard </w:t>
      </w:r>
      <w:r>
        <w:rPr>
          <w:rFonts w:cs="Arial"/>
          <w:sz w:val="22"/>
          <w:szCs w:val="22"/>
        </w:rPr>
        <w:t>priority posts have</w:t>
      </w:r>
      <w:r w:rsidRPr="00572DA5">
        <w:rPr>
          <w:rFonts w:cs="Arial"/>
          <w:sz w:val="22"/>
          <w:szCs w:val="22"/>
        </w:rPr>
        <w:t xml:space="preserve"> </w:t>
      </w:r>
      <w:r>
        <w:rPr>
          <w:rFonts w:cs="Arial"/>
          <w:sz w:val="22"/>
          <w:szCs w:val="22"/>
        </w:rPr>
        <w:t>been</w:t>
      </w:r>
      <w:r w:rsidRPr="00572DA5">
        <w:rPr>
          <w:rFonts w:cs="Arial"/>
          <w:sz w:val="22"/>
          <w:szCs w:val="22"/>
        </w:rPr>
        <w:t xml:space="preserve"> approved for the 2013/14 financial year.  These posts are being fast</w:t>
      </w:r>
      <w:r>
        <w:rPr>
          <w:rFonts w:cs="Arial"/>
          <w:sz w:val="22"/>
          <w:szCs w:val="22"/>
        </w:rPr>
        <w:t>-</w:t>
      </w:r>
      <w:r w:rsidRPr="00572DA5">
        <w:rPr>
          <w:rFonts w:cs="Arial"/>
          <w:sz w:val="22"/>
          <w:szCs w:val="22"/>
        </w:rPr>
        <w:t xml:space="preserve">tracked for appointment by </w:t>
      </w:r>
      <w:r>
        <w:rPr>
          <w:rFonts w:cs="Arial"/>
          <w:sz w:val="22"/>
          <w:szCs w:val="22"/>
        </w:rPr>
        <w:t>the 1</w:t>
      </w:r>
      <w:r w:rsidRPr="00E634DD">
        <w:rPr>
          <w:rFonts w:cs="Arial"/>
          <w:sz w:val="22"/>
          <w:szCs w:val="22"/>
          <w:vertAlign w:val="superscript"/>
        </w:rPr>
        <w:t>st</w:t>
      </w:r>
      <w:r>
        <w:rPr>
          <w:rFonts w:cs="Arial"/>
          <w:sz w:val="22"/>
          <w:szCs w:val="22"/>
        </w:rPr>
        <w:t xml:space="preserve"> of </w:t>
      </w:r>
      <w:r w:rsidRPr="00572DA5">
        <w:rPr>
          <w:rFonts w:cs="Arial"/>
          <w:sz w:val="22"/>
          <w:szCs w:val="22"/>
        </w:rPr>
        <w:t>January 2014.</w:t>
      </w:r>
    </w:p>
    <w:p w:rsidR="00100427" w:rsidRPr="00572DA5" w:rsidRDefault="00100427" w:rsidP="00800A44">
      <w:pPr>
        <w:ind w:left="720"/>
        <w:jc w:val="both"/>
        <w:rPr>
          <w:rFonts w:cs="Arial"/>
          <w:sz w:val="22"/>
          <w:szCs w:val="22"/>
          <w:lang w:val="en-US"/>
        </w:rPr>
      </w:pPr>
    </w:p>
    <w:p w:rsidR="00100427" w:rsidRDefault="00100427" w:rsidP="00800A44">
      <w:pPr>
        <w:ind w:left="720"/>
        <w:jc w:val="both"/>
        <w:rPr>
          <w:sz w:val="22"/>
          <w:szCs w:val="22"/>
        </w:rPr>
      </w:pPr>
      <w:r w:rsidRPr="007A077A">
        <w:rPr>
          <w:i/>
          <w:sz w:val="22"/>
          <w:szCs w:val="22"/>
        </w:rPr>
        <w:t>Policy, Research and Knowledge Management</w:t>
      </w:r>
      <w:r w:rsidRPr="007A077A">
        <w:rPr>
          <w:sz w:val="22"/>
          <w:szCs w:val="22"/>
        </w:rPr>
        <w:t xml:space="preserve">: </w:t>
      </w:r>
    </w:p>
    <w:p w:rsidR="00100427" w:rsidRDefault="00100427" w:rsidP="00800A44">
      <w:pPr>
        <w:ind w:left="720"/>
        <w:jc w:val="both"/>
        <w:rPr>
          <w:sz w:val="22"/>
          <w:szCs w:val="22"/>
        </w:rPr>
      </w:pPr>
    </w:p>
    <w:p w:rsidR="00100427" w:rsidRDefault="00100427" w:rsidP="00800A44">
      <w:pPr>
        <w:ind w:left="720"/>
        <w:jc w:val="both"/>
        <w:rPr>
          <w:rFonts w:cs="Arial"/>
          <w:sz w:val="22"/>
          <w:szCs w:val="22"/>
          <w:lang w:val="en-US"/>
        </w:rPr>
      </w:pPr>
      <w:r w:rsidRPr="007A077A">
        <w:rPr>
          <w:sz w:val="22"/>
          <w:szCs w:val="22"/>
        </w:rPr>
        <w:t xml:space="preserve">In the previous financial year the Portfolio Committee noted that the </w:t>
      </w:r>
      <w:r>
        <w:rPr>
          <w:sz w:val="22"/>
          <w:szCs w:val="22"/>
        </w:rPr>
        <w:t xml:space="preserve">entire </w:t>
      </w:r>
      <w:r w:rsidRPr="007A077A">
        <w:rPr>
          <w:sz w:val="22"/>
          <w:szCs w:val="22"/>
        </w:rPr>
        <w:t xml:space="preserve">programme </w:t>
      </w:r>
      <w:r>
        <w:rPr>
          <w:sz w:val="22"/>
          <w:szCs w:val="22"/>
        </w:rPr>
        <w:t>di</w:t>
      </w:r>
      <w:r w:rsidRPr="007A077A">
        <w:rPr>
          <w:sz w:val="22"/>
          <w:szCs w:val="22"/>
        </w:rPr>
        <w:t xml:space="preserve">d not perform well in terms of service delivery. For example, deadlines set for </w:t>
      </w:r>
      <w:r>
        <w:rPr>
          <w:sz w:val="22"/>
          <w:szCs w:val="22"/>
        </w:rPr>
        <w:t xml:space="preserve">the </w:t>
      </w:r>
      <w:r w:rsidRPr="007A077A">
        <w:rPr>
          <w:sz w:val="22"/>
          <w:szCs w:val="22"/>
        </w:rPr>
        <w:t xml:space="preserve">achievement of targets relating to the formulation of legislation on Khoi and San communities, in the form of the National Traditional Affairs Bill, have been missed on numerous occasions. </w:t>
      </w:r>
      <w:r>
        <w:rPr>
          <w:rFonts w:cs="Arial"/>
          <w:sz w:val="22"/>
          <w:szCs w:val="22"/>
          <w:lang w:val="en-US"/>
        </w:rPr>
        <w:t>The Committee recommended</w:t>
      </w:r>
      <w:r w:rsidRPr="007A077A">
        <w:rPr>
          <w:rFonts w:cs="Arial"/>
          <w:sz w:val="22"/>
          <w:szCs w:val="22"/>
          <w:lang w:val="en-US"/>
        </w:rPr>
        <w:t xml:space="preserve"> </w:t>
      </w:r>
      <w:r>
        <w:rPr>
          <w:rFonts w:cs="Arial"/>
          <w:sz w:val="22"/>
          <w:szCs w:val="22"/>
          <w:lang w:val="en-US"/>
        </w:rPr>
        <w:t>that the submission of</w:t>
      </w:r>
      <w:r w:rsidRPr="007A077A">
        <w:rPr>
          <w:rFonts w:cs="Arial"/>
          <w:sz w:val="22"/>
          <w:szCs w:val="22"/>
          <w:lang w:val="en-US"/>
        </w:rPr>
        <w:t xml:space="preserve"> the proposed legislation to Cabinet</w:t>
      </w:r>
      <w:r>
        <w:rPr>
          <w:rFonts w:cs="Arial"/>
          <w:sz w:val="22"/>
          <w:szCs w:val="22"/>
          <w:lang w:val="en-US"/>
        </w:rPr>
        <w:t>,</w:t>
      </w:r>
      <w:r w:rsidRPr="007A077A">
        <w:rPr>
          <w:rFonts w:cs="Arial"/>
          <w:sz w:val="22"/>
          <w:szCs w:val="22"/>
          <w:lang w:val="en-US"/>
        </w:rPr>
        <w:t xml:space="preserve"> and to Parliament for processing</w:t>
      </w:r>
      <w:r>
        <w:rPr>
          <w:rFonts w:cs="Arial"/>
          <w:sz w:val="22"/>
          <w:szCs w:val="22"/>
          <w:lang w:val="en-US"/>
        </w:rPr>
        <w:t>, be fast-tracked. This responsibility has since been transferred to the Department of Traditional Affairs.</w:t>
      </w:r>
    </w:p>
    <w:p w:rsidR="00100427" w:rsidRDefault="00100427" w:rsidP="00800A44">
      <w:pPr>
        <w:ind w:left="720"/>
        <w:jc w:val="both"/>
        <w:rPr>
          <w:rFonts w:cs="Arial"/>
          <w:sz w:val="22"/>
          <w:szCs w:val="22"/>
          <w:lang w:val="en-US"/>
        </w:rPr>
      </w:pPr>
    </w:p>
    <w:p w:rsidR="00100427" w:rsidRDefault="00100427" w:rsidP="00C24C8D">
      <w:pPr>
        <w:ind w:left="720"/>
        <w:jc w:val="both"/>
        <w:rPr>
          <w:i/>
          <w:sz w:val="22"/>
          <w:szCs w:val="22"/>
        </w:rPr>
      </w:pPr>
      <w:r w:rsidRPr="00512806">
        <w:rPr>
          <w:i/>
          <w:sz w:val="22"/>
          <w:szCs w:val="22"/>
        </w:rPr>
        <w:t>Governance and Intergovernmental Relations</w:t>
      </w:r>
    </w:p>
    <w:p w:rsidR="00100427" w:rsidRDefault="00100427" w:rsidP="00C24C8D">
      <w:pPr>
        <w:ind w:left="720"/>
        <w:jc w:val="both"/>
        <w:rPr>
          <w:rFonts w:cs="Arial"/>
          <w:sz w:val="22"/>
          <w:szCs w:val="22"/>
        </w:rPr>
      </w:pPr>
      <w:r w:rsidRPr="00512806">
        <w:rPr>
          <w:rFonts w:cs="Arial"/>
          <w:sz w:val="22"/>
          <w:szCs w:val="22"/>
          <w:lang w:val="en-US"/>
        </w:rPr>
        <w:lastRenderedPageBreak/>
        <w:t>Noting that by the end of February 2012 there were 93 technical experts deployed to 90 vulnerable rural municipalities, the Committee recommended that this technical support be extended to the 81 municipalities identified as having poor audit outcomes. Secondly, the Committee noted the establishment of the Anti-Corruption Inspectorate in Department, in response to the President’s 2010 call on fighting fraud and corruption. The Committee also noted the little progress made in this regard and thus recommended that the functional</w:t>
      </w:r>
      <w:r>
        <w:rPr>
          <w:rFonts w:cs="Arial"/>
          <w:sz w:val="22"/>
          <w:szCs w:val="22"/>
          <w:lang w:val="en-US"/>
        </w:rPr>
        <w:t>ity</w:t>
      </w:r>
      <w:r w:rsidRPr="00512806">
        <w:rPr>
          <w:rFonts w:cs="Arial"/>
          <w:sz w:val="22"/>
          <w:szCs w:val="22"/>
          <w:lang w:val="en-US"/>
        </w:rPr>
        <w:t xml:space="preserve"> of the Inspectorate be improved. </w:t>
      </w:r>
      <w:r>
        <w:rPr>
          <w:rFonts w:cs="Arial"/>
          <w:sz w:val="22"/>
          <w:szCs w:val="22"/>
          <w:lang w:val="en-US"/>
        </w:rPr>
        <w:t>T</w:t>
      </w:r>
      <w:r w:rsidRPr="00512806">
        <w:rPr>
          <w:rFonts w:cs="Arial"/>
          <w:sz w:val="22"/>
          <w:szCs w:val="22"/>
        </w:rPr>
        <w:t>he Department has</w:t>
      </w:r>
      <w:r>
        <w:rPr>
          <w:rFonts w:cs="Arial"/>
          <w:sz w:val="22"/>
          <w:szCs w:val="22"/>
        </w:rPr>
        <w:t xml:space="preserve"> subsequently reported that it has</w:t>
      </w:r>
      <w:r w:rsidRPr="00512806">
        <w:rPr>
          <w:rFonts w:cs="Arial"/>
          <w:sz w:val="22"/>
          <w:szCs w:val="22"/>
        </w:rPr>
        <w:t xml:space="preserve"> entered into partnership arrangements with the Directorate of Priority Crime Investigations (The Hawks) and the Special Investigating Unit (SIU) to investigate allegations of corruption.  </w:t>
      </w:r>
    </w:p>
    <w:p w:rsidR="00100427" w:rsidRPr="00512806" w:rsidRDefault="00100427" w:rsidP="00C24C8D">
      <w:pPr>
        <w:ind w:left="720"/>
        <w:jc w:val="both"/>
        <w:rPr>
          <w:rFonts w:cs="Arial"/>
          <w:sz w:val="22"/>
          <w:szCs w:val="22"/>
          <w:lang w:val="en-US"/>
        </w:rPr>
      </w:pPr>
    </w:p>
    <w:p w:rsidR="00100427" w:rsidRDefault="00100427" w:rsidP="008C48CA">
      <w:pPr>
        <w:ind w:left="720"/>
        <w:jc w:val="both"/>
        <w:rPr>
          <w:rFonts w:cs="Arial"/>
          <w:b/>
          <w:sz w:val="22"/>
          <w:szCs w:val="22"/>
        </w:rPr>
      </w:pPr>
      <w:r w:rsidRPr="00455A70">
        <w:rPr>
          <w:rFonts w:cs="Arial"/>
          <w:i/>
          <w:sz w:val="22"/>
          <w:szCs w:val="22"/>
        </w:rPr>
        <w:t>Disaster Response Management</w:t>
      </w:r>
    </w:p>
    <w:p w:rsidR="00100427" w:rsidRDefault="00100427" w:rsidP="008C48CA">
      <w:pPr>
        <w:ind w:left="720"/>
        <w:jc w:val="both"/>
        <w:rPr>
          <w:rFonts w:cs="Arial"/>
          <w:b/>
          <w:sz w:val="22"/>
          <w:szCs w:val="22"/>
        </w:rPr>
      </w:pPr>
    </w:p>
    <w:p w:rsidR="00100427" w:rsidRDefault="00100427" w:rsidP="00276109">
      <w:pPr>
        <w:ind w:left="720"/>
        <w:jc w:val="both"/>
        <w:rPr>
          <w:rFonts w:cs="Arial"/>
          <w:sz w:val="22"/>
          <w:szCs w:val="22"/>
          <w:lang w:val="en-US"/>
        </w:rPr>
      </w:pPr>
      <w:r w:rsidRPr="00455A70">
        <w:rPr>
          <w:sz w:val="22"/>
          <w:szCs w:val="22"/>
        </w:rPr>
        <w:t xml:space="preserve">The Committee recommended that the budget allocation for this programme be increased in the light of the country’s increased vulnerability to natural disasters due to climate change. </w:t>
      </w:r>
      <w:r w:rsidRPr="004E2A9F">
        <w:rPr>
          <w:rFonts w:cs="Arial"/>
          <w:sz w:val="22"/>
          <w:szCs w:val="22"/>
        </w:rPr>
        <w:t xml:space="preserve">With effect from the 2012/13 financial year, the allocations </w:t>
      </w:r>
      <w:r>
        <w:rPr>
          <w:rFonts w:cs="Arial"/>
          <w:sz w:val="22"/>
          <w:szCs w:val="22"/>
        </w:rPr>
        <w:t>for the Disaster Relief Fund have reportedly</w:t>
      </w:r>
      <w:r w:rsidRPr="004E2A9F">
        <w:rPr>
          <w:rFonts w:cs="Arial"/>
          <w:sz w:val="22"/>
          <w:szCs w:val="22"/>
        </w:rPr>
        <w:t xml:space="preserve"> increased from R47 million in the 2011/12 financial year to R510 million in 2012/13.  The allocation was further increased to R534 million in the main budget of the 2013/14 financial year.</w:t>
      </w:r>
      <w:r>
        <w:rPr>
          <w:rFonts w:cs="Arial"/>
          <w:sz w:val="22"/>
          <w:szCs w:val="22"/>
        </w:rPr>
        <w:t xml:space="preserve"> </w:t>
      </w:r>
      <w:r w:rsidRPr="00455A70">
        <w:rPr>
          <w:sz w:val="22"/>
          <w:szCs w:val="22"/>
        </w:rPr>
        <w:t xml:space="preserve">The Committee recommended that the Departments of Cooperative Governance and Human Settlements establish a better working relationship in order to speed up the post-disaster assessment process and prevent </w:t>
      </w:r>
      <w:r>
        <w:rPr>
          <w:sz w:val="22"/>
          <w:szCs w:val="22"/>
        </w:rPr>
        <w:t xml:space="preserve">the </w:t>
      </w:r>
      <w:r w:rsidRPr="00455A70">
        <w:rPr>
          <w:sz w:val="22"/>
          <w:szCs w:val="22"/>
        </w:rPr>
        <w:t>under-spending of relief funds</w:t>
      </w:r>
      <w:r>
        <w:rPr>
          <w:sz w:val="22"/>
          <w:szCs w:val="22"/>
        </w:rPr>
        <w:t xml:space="preserve">. </w:t>
      </w:r>
      <w:r>
        <w:rPr>
          <w:rFonts w:cs="Arial"/>
          <w:sz w:val="22"/>
          <w:szCs w:val="22"/>
          <w:lang w:val="en-ZA"/>
        </w:rPr>
        <w:t>T</w:t>
      </w:r>
      <w:r w:rsidRPr="004758E8">
        <w:rPr>
          <w:rFonts w:cs="Arial"/>
          <w:sz w:val="22"/>
          <w:szCs w:val="22"/>
          <w:lang w:val="en-ZA"/>
        </w:rPr>
        <w:t>he</w:t>
      </w:r>
      <w:r>
        <w:rPr>
          <w:rFonts w:cs="Arial"/>
          <w:sz w:val="22"/>
          <w:szCs w:val="22"/>
          <w:lang w:val="en-ZA"/>
        </w:rPr>
        <w:t xml:space="preserve"> Department has subsequently reported that a</w:t>
      </w:r>
      <w:r w:rsidRPr="004758E8">
        <w:rPr>
          <w:rFonts w:cs="Arial"/>
          <w:sz w:val="22"/>
          <w:szCs w:val="22"/>
          <w:lang w:val="en-ZA"/>
        </w:rPr>
        <w:t xml:space="preserve"> National Disaster Advisory Forum </w:t>
      </w:r>
      <w:r>
        <w:rPr>
          <w:rFonts w:cs="Arial"/>
          <w:sz w:val="22"/>
          <w:szCs w:val="22"/>
          <w:lang w:val="en-ZA"/>
        </w:rPr>
        <w:t xml:space="preserve">and </w:t>
      </w:r>
      <w:r w:rsidRPr="004758E8">
        <w:rPr>
          <w:rFonts w:cs="Arial"/>
          <w:sz w:val="22"/>
          <w:szCs w:val="22"/>
          <w:lang w:val="en-ZA"/>
        </w:rPr>
        <w:t>task teams</w:t>
      </w:r>
      <w:r>
        <w:rPr>
          <w:rFonts w:cs="Arial"/>
          <w:sz w:val="22"/>
          <w:szCs w:val="22"/>
          <w:lang w:val="en-ZA"/>
        </w:rPr>
        <w:t xml:space="preserve"> have been established, including a Human Settlement task team consisting of officials from the Department of Human Settlement, </w:t>
      </w:r>
      <w:r w:rsidRPr="004758E8">
        <w:rPr>
          <w:rFonts w:cs="Arial"/>
          <w:sz w:val="22"/>
          <w:szCs w:val="22"/>
          <w:lang w:val="en-ZA"/>
        </w:rPr>
        <w:t xml:space="preserve">which set policy and monitor all forms of expenditure. </w:t>
      </w:r>
      <w:r>
        <w:rPr>
          <w:rFonts w:cs="Arial"/>
          <w:sz w:val="22"/>
          <w:szCs w:val="22"/>
          <w:lang w:val="en-ZA"/>
        </w:rPr>
        <w:t>In addition, the National Disaster Management Centre is reported to have</w:t>
      </w:r>
      <w:r w:rsidRPr="00747D63">
        <w:rPr>
          <w:rFonts w:cs="Arial"/>
          <w:sz w:val="22"/>
          <w:szCs w:val="22"/>
          <w:lang w:val="en-ZA"/>
        </w:rPr>
        <w:t xml:space="preserve"> also recently established a Monitoring and Evaluation Unit that aims to monitor spending as wel</w:t>
      </w:r>
      <w:r>
        <w:rPr>
          <w:rFonts w:cs="Arial"/>
          <w:sz w:val="22"/>
          <w:szCs w:val="22"/>
          <w:lang w:val="en-ZA"/>
        </w:rPr>
        <w:t>l as all policies relating to Disaster Management</w:t>
      </w:r>
      <w:r w:rsidRPr="00747D63">
        <w:rPr>
          <w:rFonts w:cs="Arial"/>
          <w:sz w:val="22"/>
          <w:szCs w:val="22"/>
          <w:lang w:val="en-ZA"/>
        </w:rPr>
        <w:t>.</w:t>
      </w:r>
    </w:p>
    <w:p w:rsidR="00100427" w:rsidRDefault="00100427" w:rsidP="00276109">
      <w:pPr>
        <w:ind w:left="720"/>
        <w:jc w:val="both"/>
        <w:rPr>
          <w:rFonts w:cs="Arial"/>
          <w:sz w:val="22"/>
          <w:szCs w:val="22"/>
          <w:lang w:val="en-US"/>
        </w:rPr>
      </w:pPr>
    </w:p>
    <w:p w:rsidR="00100427" w:rsidRDefault="00100427" w:rsidP="00276109">
      <w:pPr>
        <w:ind w:left="720"/>
        <w:jc w:val="both"/>
        <w:rPr>
          <w:rFonts w:cs="Arial"/>
          <w:sz w:val="22"/>
          <w:szCs w:val="22"/>
          <w:lang w:val="en-US"/>
        </w:rPr>
      </w:pPr>
      <w:r w:rsidRPr="00C5376A">
        <w:rPr>
          <w:rFonts w:cs="Arial"/>
          <w:i/>
          <w:sz w:val="22"/>
          <w:szCs w:val="22"/>
          <w:lang w:val="en-US"/>
        </w:rPr>
        <w:t>Provincial and Municipal Governance Support</w:t>
      </w:r>
    </w:p>
    <w:p w:rsidR="00100427" w:rsidRDefault="00100427" w:rsidP="00276109">
      <w:pPr>
        <w:ind w:left="720"/>
        <w:jc w:val="both"/>
        <w:rPr>
          <w:rFonts w:cs="Arial"/>
          <w:sz w:val="22"/>
          <w:szCs w:val="22"/>
          <w:lang w:val="en-US"/>
        </w:rPr>
      </w:pPr>
    </w:p>
    <w:p w:rsidR="00100427" w:rsidRPr="00C351DE" w:rsidRDefault="00100427" w:rsidP="00276109">
      <w:pPr>
        <w:ind w:left="720"/>
        <w:jc w:val="both"/>
        <w:rPr>
          <w:rFonts w:cs="Arial"/>
          <w:sz w:val="22"/>
          <w:szCs w:val="22"/>
          <w:lang w:val="en-US"/>
        </w:rPr>
      </w:pPr>
      <w:r>
        <w:rPr>
          <w:rFonts w:cs="Arial"/>
          <w:sz w:val="22"/>
          <w:szCs w:val="22"/>
          <w:lang w:val="en-US"/>
        </w:rPr>
        <w:t xml:space="preserve">The Committee noted that the programme only achieved 32% of the targets set for the period under review. It therefore recommended that more realistic and measurable targets should be set. </w:t>
      </w:r>
      <w:r>
        <w:rPr>
          <w:rFonts w:cs="Arial"/>
          <w:sz w:val="22"/>
          <w:szCs w:val="22"/>
        </w:rPr>
        <w:t>The Department subsequently reported that it has</w:t>
      </w:r>
      <w:r w:rsidRPr="00C351DE">
        <w:rPr>
          <w:rFonts w:cs="Arial"/>
          <w:sz w:val="22"/>
          <w:szCs w:val="22"/>
        </w:rPr>
        <w:t xml:space="preserve"> continually sought to address the issue of the measurability of targets by supporting Branch/Programme Managers, through planning processes, to craft targets in such a manner that periodic reporting on their implementation will not present challenges. The achievement of a 71% performance for the 2012/13 year can, in part, be attributed to the entrenchment of a “SMART” principle as prescribed by the National Treasury and required by the Auditor-General while developing targets. To this effect the Branch has achieved 11 out of 14 targets, with the rest being partially achieved. </w:t>
      </w:r>
    </w:p>
    <w:p w:rsidR="00100427" w:rsidRDefault="00100427" w:rsidP="0053074F">
      <w:pPr>
        <w:ind w:left="720"/>
        <w:jc w:val="both"/>
        <w:rPr>
          <w:rFonts w:cs="Arial"/>
          <w:i/>
          <w:sz w:val="22"/>
          <w:szCs w:val="22"/>
        </w:rPr>
      </w:pPr>
    </w:p>
    <w:p w:rsidR="00100427" w:rsidRDefault="00100427" w:rsidP="0053074F">
      <w:pPr>
        <w:ind w:left="720"/>
        <w:jc w:val="both"/>
        <w:rPr>
          <w:rFonts w:cs="Arial"/>
          <w:i/>
          <w:sz w:val="22"/>
          <w:szCs w:val="22"/>
        </w:rPr>
      </w:pPr>
      <w:r w:rsidRPr="00B175BF">
        <w:rPr>
          <w:rFonts w:cs="Arial"/>
          <w:i/>
          <w:sz w:val="22"/>
          <w:szCs w:val="22"/>
        </w:rPr>
        <w:t>Traditional Affairs</w:t>
      </w:r>
    </w:p>
    <w:p w:rsidR="00100427" w:rsidRDefault="00100427" w:rsidP="0053074F">
      <w:pPr>
        <w:ind w:left="720"/>
        <w:jc w:val="both"/>
        <w:rPr>
          <w:rFonts w:cs="Arial"/>
          <w:b/>
          <w:sz w:val="22"/>
          <w:szCs w:val="22"/>
        </w:rPr>
      </w:pPr>
    </w:p>
    <w:p w:rsidR="00100427" w:rsidRDefault="00100427" w:rsidP="00D8607D">
      <w:pPr>
        <w:ind w:left="720"/>
        <w:jc w:val="both"/>
        <w:rPr>
          <w:rFonts w:cs="Arial"/>
          <w:sz w:val="22"/>
          <w:szCs w:val="22"/>
          <w:lang w:val="en-US"/>
        </w:rPr>
      </w:pPr>
      <w:r w:rsidRPr="00B175BF">
        <w:rPr>
          <w:rFonts w:cs="Arial"/>
          <w:sz w:val="22"/>
          <w:szCs w:val="22"/>
          <w:lang w:val="en-US"/>
        </w:rPr>
        <w:t>Noting the 2010 Presidential proclamation for the establishment of the Department of Traditional Affairs (DTA) as a separate entity, the Committee recommended that Treasury finali</w:t>
      </w:r>
      <w:r>
        <w:rPr>
          <w:rFonts w:cs="Arial"/>
          <w:sz w:val="22"/>
          <w:szCs w:val="22"/>
          <w:lang w:val="en-US"/>
        </w:rPr>
        <w:t>s</w:t>
      </w:r>
      <w:r w:rsidRPr="00B175BF">
        <w:rPr>
          <w:rFonts w:cs="Arial"/>
          <w:sz w:val="22"/>
          <w:szCs w:val="22"/>
          <w:lang w:val="en-US"/>
        </w:rPr>
        <w:t xml:space="preserve">es negotiations for the DTA to have its own Budget Vote. However, </w:t>
      </w:r>
      <w:r>
        <w:rPr>
          <w:rFonts w:cs="Arial"/>
          <w:sz w:val="22"/>
          <w:szCs w:val="22"/>
        </w:rPr>
        <w:t>t</w:t>
      </w:r>
      <w:r w:rsidRPr="00B175BF">
        <w:rPr>
          <w:rFonts w:cs="Arial"/>
          <w:sz w:val="22"/>
          <w:szCs w:val="22"/>
        </w:rPr>
        <w:t>he Department of Traditional Affairs is still reflected as a separate Programme (Programme 7) in Vote 3- Cooperative Governance and Traditional Affairs.</w:t>
      </w:r>
    </w:p>
    <w:p w:rsidR="00100427" w:rsidRDefault="00100427" w:rsidP="00D8607D">
      <w:pPr>
        <w:ind w:left="720"/>
        <w:jc w:val="both"/>
        <w:rPr>
          <w:rFonts w:cs="Arial"/>
          <w:sz w:val="22"/>
          <w:szCs w:val="22"/>
          <w:lang w:val="en-US"/>
        </w:rPr>
      </w:pPr>
    </w:p>
    <w:p w:rsidR="00100427" w:rsidRDefault="00100427" w:rsidP="00D8607D">
      <w:pPr>
        <w:ind w:left="720"/>
        <w:jc w:val="both"/>
        <w:rPr>
          <w:rFonts w:cs="Arial"/>
          <w:i/>
          <w:sz w:val="22"/>
          <w:szCs w:val="22"/>
        </w:rPr>
      </w:pPr>
      <w:r w:rsidRPr="0006068F">
        <w:rPr>
          <w:rFonts w:cs="Arial"/>
          <w:sz w:val="22"/>
          <w:szCs w:val="22"/>
          <w:lang w:val="en-US"/>
        </w:rPr>
        <w:t xml:space="preserve">South African Local Government Association </w:t>
      </w:r>
      <w:r>
        <w:rPr>
          <w:rFonts w:cs="Arial"/>
          <w:sz w:val="22"/>
          <w:szCs w:val="22"/>
          <w:lang w:val="en-US"/>
        </w:rPr>
        <w:t>(</w:t>
      </w:r>
      <w:r w:rsidRPr="0006068F">
        <w:rPr>
          <w:rFonts w:cs="Arial"/>
          <w:i/>
          <w:sz w:val="22"/>
          <w:szCs w:val="22"/>
        </w:rPr>
        <w:t>SALGA</w:t>
      </w:r>
      <w:r>
        <w:rPr>
          <w:rFonts w:cs="Arial"/>
          <w:i/>
          <w:sz w:val="22"/>
          <w:szCs w:val="22"/>
        </w:rPr>
        <w:t>)</w:t>
      </w:r>
    </w:p>
    <w:p w:rsidR="00100427" w:rsidRDefault="00100427" w:rsidP="00D8607D">
      <w:pPr>
        <w:ind w:left="720"/>
        <w:jc w:val="both"/>
        <w:rPr>
          <w:rFonts w:cs="Arial"/>
          <w:i/>
          <w:sz w:val="22"/>
          <w:szCs w:val="22"/>
        </w:rPr>
      </w:pPr>
    </w:p>
    <w:p w:rsidR="00100427" w:rsidRDefault="00100427" w:rsidP="00F73F45">
      <w:pPr>
        <w:ind w:left="720"/>
        <w:jc w:val="both"/>
        <w:rPr>
          <w:rFonts w:cs="Arial"/>
          <w:sz w:val="22"/>
          <w:szCs w:val="22"/>
          <w:lang w:val="en-US"/>
        </w:rPr>
      </w:pPr>
      <w:r w:rsidRPr="0006068F">
        <w:rPr>
          <w:rFonts w:cs="Arial"/>
          <w:sz w:val="22"/>
          <w:szCs w:val="22"/>
          <w:lang w:val="en-US"/>
        </w:rPr>
        <w:t>The Committee noted the satisfactory performance of the South African Local Government Association (SALGA) in general. It recommended that the Association, in conjunction with COGTA, should encourage or assist those municipalities who had not yet established Municipal Public Account Committees (MPACs).</w:t>
      </w:r>
      <w:r>
        <w:rPr>
          <w:rFonts w:cs="Arial"/>
          <w:sz w:val="22"/>
          <w:szCs w:val="22"/>
          <w:lang w:val="en-US"/>
        </w:rPr>
        <w:t xml:space="preserve"> It was further recommended that SALGA should f</w:t>
      </w:r>
      <w:r w:rsidRPr="0006068F">
        <w:rPr>
          <w:rFonts w:cs="Arial"/>
          <w:sz w:val="22"/>
          <w:szCs w:val="22"/>
          <w:lang w:val="en-US"/>
        </w:rPr>
        <w:t>oc</w:t>
      </w:r>
      <w:r>
        <w:rPr>
          <w:rFonts w:cs="Arial"/>
          <w:sz w:val="22"/>
          <w:szCs w:val="22"/>
          <w:lang w:val="en-US"/>
        </w:rPr>
        <w:t>us on training municipal officials on municipal legislation, as well as explore the possibility of risk cover for councilors.</w:t>
      </w:r>
    </w:p>
    <w:p w:rsidR="00100427" w:rsidRDefault="00100427" w:rsidP="00F73F45">
      <w:pPr>
        <w:ind w:left="720"/>
        <w:jc w:val="both"/>
        <w:rPr>
          <w:rFonts w:cs="Arial"/>
          <w:sz w:val="22"/>
          <w:szCs w:val="22"/>
          <w:lang w:val="en-US"/>
        </w:rPr>
      </w:pPr>
    </w:p>
    <w:p w:rsidR="00100427" w:rsidRDefault="00100427" w:rsidP="00F73F45">
      <w:pPr>
        <w:ind w:left="720"/>
        <w:jc w:val="both"/>
        <w:rPr>
          <w:rFonts w:cs="Arial"/>
          <w:sz w:val="22"/>
          <w:szCs w:val="22"/>
          <w:lang w:val="en-US"/>
        </w:rPr>
      </w:pPr>
      <w:r w:rsidRPr="004639DE">
        <w:rPr>
          <w:rFonts w:cs="Arial"/>
          <w:sz w:val="22"/>
          <w:szCs w:val="22"/>
          <w:lang w:val="en-US"/>
        </w:rPr>
        <w:t>Municipal Demarcation Board</w:t>
      </w:r>
      <w:r w:rsidRPr="004639DE">
        <w:rPr>
          <w:rFonts w:cs="Arial"/>
          <w:i/>
          <w:sz w:val="22"/>
          <w:szCs w:val="22"/>
          <w:lang w:val="en-US"/>
        </w:rPr>
        <w:t xml:space="preserve"> </w:t>
      </w:r>
      <w:r>
        <w:rPr>
          <w:rFonts w:cs="Arial"/>
          <w:i/>
          <w:sz w:val="22"/>
          <w:szCs w:val="22"/>
          <w:lang w:val="en-US"/>
        </w:rPr>
        <w:t>(</w:t>
      </w:r>
      <w:r w:rsidRPr="004639DE">
        <w:rPr>
          <w:rFonts w:cs="Arial"/>
          <w:i/>
          <w:sz w:val="22"/>
          <w:szCs w:val="22"/>
          <w:lang w:val="en-US"/>
        </w:rPr>
        <w:t>MDB</w:t>
      </w:r>
      <w:r>
        <w:rPr>
          <w:rFonts w:cs="Arial"/>
          <w:i/>
          <w:sz w:val="22"/>
          <w:szCs w:val="22"/>
          <w:lang w:val="en-US"/>
        </w:rPr>
        <w:t>)</w:t>
      </w:r>
    </w:p>
    <w:p w:rsidR="00100427" w:rsidRDefault="00100427" w:rsidP="00F73F45">
      <w:pPr>
        <w:ind w:left="720"/>
        <w:jc w:val="both"/>
        <w:rPr>
          <w:rFonts w:cs="Arial"/>
          <w:sz w:val="22"/>
          <w:szCs w:val="22"/>
          <w:lang w:val="en-US"/>
        </w:rPr>
      </w:pPr>
    </w:p>
    <w:p w:rsidR="00100427" w:rsidRPr="00E47B53" w:rsidRDefault="00100427" w:rsidP="00F73F45">
      <w:pPr>
        <w:ind w:left="720"/>
        <w:jc w:val="both"/>
        <w:rPr>
          <w:rFonts w:cs="Arial"/>
          <w:sz w:val="22"/>
          <w:szCs w:val="22"/>
          <w:lang w:val="en-US"/>
        </w:rPr>
      </w:pPr>
      <w:r w:rsidRPr="004639DE">
        <w:rPr>
          <w:rFonts w:cs="Arial"/>
          <w:sz w:val="22"/>
          <w:szCs w:val="22"/>
          <w:lang w:val="en-US"/>
        </w:rPr>
        <w:t xml:space="preserve">Noting satisfaction with the financial performance of the Municipal Demarcation Board, the Committee recommended that the entity make use of party liaison officers at the Independent Electoral Commission (IEC) and constituency offices to improve the public participation process. </w:t>
      </w:r>
      <w:r w:rsidRPr="004639DE">
        <w:rPr>
          <w:rFonts w:cs="Arial"/>
          <w:sz w:val="22"/>
          <w:szCs w:val="22"/>
          <w:lang w:eastAsia="en-ZA"/>
        </w:rPr>
        <w:t xml:space="preserve">The Board </w:t>
      </w:r>
      <w:r>
        <w:rPr>
          <w:rFonts w:cs="Arial"/>
          <w:sz w:val="22"/>
          <w:szCs w:val="22"/>
          <w:lang w:eastAsia="en-ZA"/>
        </w:rPr>
        <w:t xml:space="preserve">has subsequently </w:t>
      </w:r>
      <w:r w:rsidRPr="004639DE">
        <w:rPr>
          <w:rFonts w:cs="Arial"/>
          <w:sz w:val="22"/>
          <w:szCs w:val="22"/>
          <w:lang w:eastAsia="en-ZA"/>
        </w:rPr>
        <w:t>establish</w:t>
      </w:r>
      <w:r>
        <w:rPr>
          <w:rFonts w:cs="Arial"/>
          <w:sz w:val="22"/>
          <w:szCs w:val="22"/>
          <w:lang w:eastAsia="en-ZA"/>
        </w:rPr>
        <w:t xml:space="preserve"> a Stakeholder Management U</w:t>
      </w:r>
      <w:r w:rsidRPr="004639DE">
        <w:rPr>
          <w:rFonts w:cs="Arial"/>
          <w:sz w:val="22"/>
          <w:szCs w:val="22"/>
          <w:lang w:eastAsia="en-ZA"/>
        </w:rPr>
        <w:t>nit to deal with public participation during demarcation processes. The Board also engages municipalities in facilitating public participation processes through Speakers’ Offices.</w:t>
      </w:r>
    </w:p>
    <w:p w:rsidR="00100427" w:rsidRPr="00D112F8" w:rsidRDefault="00100427" w:rsidP="00D112F8">
      <w:pPr>
        <w:ind w:left="1080"/>
        <w:rPr>
          <w:rFonts w:cs="Arial"/>
          <w:b/>
          <w:sz w:val="22"/>
          <w:szCs w:val="22"/>
        </w:rPr>
      </w:pPr>
    </w:p>
    <w:p w:rsidR="00100427" w:rsidRDefault="00100427" w:rsidP="006D1D72">
      <w:pPr>
        <w:numPr>
          <w:ilvl w:val="1"/>
          <w:numId w:val="1"/>
        </w:numPr>
        <w:rPr>
          <w:rFonts w:cs="Arial"/>
          <w:b/>
          <w:sz w:val="22"/>
          <w:szCs w:val="22"/>
        </w:rPr>
      </w:pPr>
      <w:r w:rsidRPr="006D1D72">
        <w:rPr>
          <w:rFonts w:cs="Arial"/>
          <w:b/>
          <w:sz w:val="22"/>
          <w:szCs w:val="22"/>
        </w:rPr>
        <w:t>Evaluation of response by Department and Minister of Finance</w:t>
      </w:r>
    </w:p>
    <w:p w:rsidR="00100427" w:rsidRDefault="00100427" w:rsidP="006D1D72">
      <w:pPr>
        <w:ind w:left="720"/>
        <w:rPr>
          <w:rFonts w:cs="Arial"/>
          <w:b/>
          <w:sz w:val="22"/>
          <w:szCs w:val="22"/>
        </w:rPr>
      </w:pPr>
    </w:p>
    <w:p w:rsidR="00100427" w:rsidRPr="003F3DF1" w:rsidRDefault="00100427" w:rsidP="00193C75">
      <w:pPr>
        <w:ind w:left="720"/>
        <w:jc w:val="both"/>
        <w:rPr>
          <w:rFonts w:cs="Arial"/>
          <w:sz w:val="22"/>
          <w:szCs w:val="22"/>
        </w:rPr>
      </w:pPr>
      <w:r>
        <w:rPr>
          <w:rFonts w:cs="Arial"/>
          <w:sz w:val="22"/>
          <w:szCs w:val="22"/>
        </w:rPr>
        <w:t xml:space="preserve">In its responses to the Portfolio Committees, National Treasury notes one recommendation in relation to the PC on COGTA: </w:t>
      </w:r>
      <w:r w:rsidRPr="003F3DF1">
        <w:rPr>
          <w:rFonts w:cs="Arial"/>
          <w:i/>
          <w:sz w:val="22"/>
          <w:szCs w:val="22"/>
        </w:rPr>
        <w:t>The National Treasury should look at the importance of increasing the allocation to Programme 4: Disaster Response Management, taking into consideration issues of climate change</w:t>
      </w:r>
      <w:r>
        <w:rPr>
          <w:rFonts w:cs="Arial"/>
          <w:i/>
          <w:sz w:val="22"/>
          <w:szCs w:val="22"/>
        </w:rPr>
        <w:t xml:space="preserve">. </w:t>
      </w:r>
      <w:r>
        <w:rPr>
          <w:rFonts w:cs="Arial"/>
          <w:sz w:val="22"/>
          <w:szCs w:val="22"/>
        </w:rPr>
        <w:t>In response to this recommendation, Treasury notes that ‘the allocation to Programme 4 was increased marginally in 2013/14, taking into account the constrained fiscal environment.’</w:t>
      </w:r>
      <w:r>
        <w:rPr>
          <w:rStyle w:val="FootnoteReference"/>
          <w:rFonts w:cs="Arial"/>
          <w:sz w:val="22"/>
          <w:szCs w:val="22"/>
        </w:rPr>
        <w:footnoteReference w:id="10"/>
      </w:r>
      <w:r>
        <w:rPr>
          <w:rFonts w:cs="Arial"/>
          <w:sz w:val="22"/>
          <w:szCs w:val="22"/>
        </w:rPr>
        <w:t xml:space="preserve"> However, no response was given by National Treasury on the matter of establishing a separate budget vote for the Department of Traditional Affairs.</w:t>
      </w:r>
    </w:p>
    <w:p w:rsidR="00100427" w:rsidRPr="00DD6FA0" w:rsidRDefault="00100427" w:rsidP="009D3A30">
      <w:pPr>
        <w:pStyle w:val="ListParagraph"/>
        <w:spacing w:after="0" w:line="280" w:lineRule="exact"/>
        <w:ind w:left="0"/>
        <w:jc w:val="both"/>
        <w:rPr>
          <w:rFonts w:ascii="Arial" w:hAnsi="Arial" w:cs="Arial"/>
          <w:b/>
        </w:rPr>
      </w:pPr>
    </w:p>
    <w:p w:rsidR="00100427" w:rsidRPr="00DD6FA0" w:rsidRDefault="00100427" w:rsidP="003970F6">
      <w:pPr>
        <w:pStyle w:val="ListParagraph"/>
        <w:numPr>
          <w:ilvl w:val="0"/>
          <w:numId w:val="1"/>
        </w:numPr>
        <w:spacing w:after="0" w:line="280" w:lineRule="exact"/>
        <w:jc w:val="both"/>
        <w:rPr>
          <w:rFonts w:ascii="Arial" w:hAnsi="Arial" w:cs="Arial"/>
          <w:b/>
          <w:caps/>
        </w:rPr>
      </w:pPr>
      <w:r w:rsidRPr="00DD6FA0">
        <w:rPr>
          <w:rFonts w:ascii="Arial" w:hAnsi="Arial" w:cs="Arial"/>
          <w:b/>
          <w:caps/>
        </w:rPr>
        <w:t>Overview and assessment of financial performance</w:t>
      </w:r>
    </w:p>
    <w:p w:rsidR="00100427" w:rsidRPr="00DD6FA0" w:rsidRDefault="00100427" w:rsidP="00563BC9">
      <w:pPr>
        <w:pStyle w:val="ListParagraph"/>
        <w:spacing w:after="0" w:line="280" w:lineRule="exact"/>
        <w:ind w:left="0"/>
        <w:jc w:val="both"/>
        <w:rPr>
          <w:rFonts w:ascii="Arial" w:hAnsi="Arial" w:cs="Arial"/>
        </w:rPr>
      </w:pPr>
    </w:p>
    <w:p w:rsidR="00100427" w:rsidRDefault="00100427" w:rsidP="003970F6">
      <w:pPr>
        <w:pStyle w:val="ListParagraph"/>
        <w:numPr>
          <w:ilvl w:val="1"/>
          <w:numId w:val="1"/>
        </w:numPr>
        <w:spacing w:after="0" w:line="280" w:lineRule="exact"/>
        <w:jc w:val="both"/>
        <w:rPr>
          <w:rFonts w:ascii="Arial" w:hAnsi="Arial" w:cs="Arial"/>
          <w:b/>
        </w:rPr>
      </w:pPr>
      <w:r w:rsidRPr="00DD6FA0">
        <w:rPr>
          <w:rFonts w:ascii="Arial" w:hAnsi="Arial" w:cs="Arial"/>
          <w:b/>
        </w:rPr>
        <w:t>Overview of Vote allocation and spending (2009/10 2014/15)</w:t>
      </w:r>
    </w:p>
    <w:p w:rsidR="00100427" w:rsidRPr="00DD6FA0" w:rsidRDefault="00100427" w:rsidP="00C445AB">
      <w:pPr>
        <w:pStyle w:val="ListParagraph"/>
        <w:spacing w:after="0" w:line="280" w:lineRule="exact"/>
        <w:jc w:val="both"/>
        <w:rPr>
          <w:rFonts w:ascii="Arial" w:hAnsi="Arial" w:cs="Arial"/>
          <w:b/>
        </w:rPr>
      </w:pPr>
    </w:p>
    <w:tbl>
      <w:tblPr>
        <w:tblW w:w="11137"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1144"/>
        <w:gridCol w:w="1144"/>
        <w:gridCol w:w="1144"/>
        <w:gridCol w:w="1008"/>
        <w:gridCol w:w="1121"/>
        <w:gridCol w:w="1144"/>
        <w:gridCol w:w="1104"/>
        <w:gridCol w:w="1236"/>
      </w:tblGrid>
      <w:tr w:rsidR="00100427" w:rsidRPr="00DD6FA0" w:rsidTr="002B4479">
        <w:trPr>
          <w:trHeight w:val="345"/>
        </w:trPr>
        <w:tc>
          <w:tcPr>
            <w:tcW w:w="2092" w:type="dxa"/>
            <w:vMerge w:val="restart"/>
            <w:noWrap/>
          </w:tcPr>
          <w:p w:rsidR="00100427" w:rsidRPr="00DD6FA0" w:rsidRDefault="00100427" w:rsidP="00FE1F35">
            <w:pPr>
              <w:spacing w:line="240" w:lineRule="auto"/>
              <w:jc w:val="right"/>
              <w:rPr>
                <w:rFonts w:cs="Arial"/>
                <w:b/>
                <w:bCs/>
                <w:sz w:val="22"/>
                <w:szCs w:val="22"/>
                <w:lang w:eastAsia="en-ZA"/>
              </w:rPr>
            </w:pPr>
            <w:r w:rsidRPr="00DD6FA0">
              <w:rPr>
                <w:rFonts w:cs="Arial"/>
                <w:b/>
                <w:bCs/>
                <w:sz w:val="22"/>
                <w:szCs w:val="22"/>
                <w:lang w:eastAsia="en-ZA"/>
              </w:rPr>
              <w:lastRenderedPageBreak/>
              <w:t>Programme</w:t>
            </w:r>
          </w:p>
        </w:tc>
        <w:tc>
          <w:tcPr>
            <w:tcW w:w="1144" w:type="dxa"/>
            <w:noWrap/>
            <w:vAlign w:val="bottom"/>
          </w:tcPr>
          <w:p w:rsidR="00100427" w:rsidRPr="00DD6FA0" w:rsidRDefault="00100427" w:rsidP="00FE1F35">
            <w:pPr>
              <w:spacing w:line="240" w:lineRule="auto"/>
              <w:rPr>
                <w:rFonts w:cs="Arial"/>
                <w:b/>
                <w:bCs/>
                <w:sz w:val="22"/>
                <w:szCs w:val="22"/>
                <w:lang w:eastAsia="en-ZA"/>
              </w:rPr>
            </w:pPr>
            <w:r w:rsidRPr="00DD6FA0">
              <w:rPr>
                <w:rFonts w:cs="Arial"/>
                <w:b/>
                <w:bCs/>
                <w:sz w:val="22"/>
                <w:szCs w:val="22"/>
                <w:lang w:eastAsia="en-ZA"/>
              </w:rPr>
              <w:t>2009/10</w:t>
            </w:r>
          </w:p>
        </w:tc>
        <w:tc>
          <w:tcPr>
            <w:tcW w:w="1144" w:type="dxa"/>
            <w:noWrap/>
            <w:vAlign w:val="bottom"/>
          </w:tcPr>
          <w:p w:rsidR="00100427" w:rsidRPr="00DD6FA0" w:rsidRDefault="00100427" w:rsidP="00FE1F35">
            <w:pPr>
              <w:spacing w:line="240" w:lineRule="auto"/>
              <w:rPr>
                <w:rFonts w:cs="Arial"/>
                <w:b/>
                <w:bCs/>
                <w:sz w:val="22"/>
                <w:szCs w:val="22"/>
                <w:lang w:eastAsia="en-ZA"/>
              </w:rPr>
            </w:pPr>
            <w:r w:rsidRPr="00DD6FA0">
              <w:rPr>
                <w:rFonts w:cs="Arial"/>
                <w:b/>
                <w:bCs/>
                <w:sz w:val="22"/>
                <w:szCs w:val="22"/>
                <w:lang w:eastAsia="en-ZA"/>
              </w:rPr>
              <w:t>2010/11</w:t>
            </w:r>
          </w:p>
        </w:tc>
        <w:tc>
          <w:tcPr>
            <w:tcW w:w="1144" w:type="dxa"/>
            <w:noWrap/>
            <w:vAlign w:val="bottom"/>
          </w:tcPr>
          <w:p w:rsidR="00100427" w:rsidRPr="00DD6FA0" w:rsidRDefault="00100427" w:rsidP="00FE1F35">
            <w:pPr>
              <w:spacing w:line="240" w:lineRule="auto"/>
              <w:rPr>
                <w:rFonts w:cs="Arial"/>
                <w:b/>
                <w:bCs/>
                <w:sz w:val="22"/>
                <w:szCs w:val="22"/>
                <w:lang w:eastAsia="en-ZA"/>
              </w:rPr>
            </w:pPr>
            <w:r w:rsidRPr="00DD6FA0">
              <w:rPr>
                <w:rFonts w:cs="Arial"/>
                <w:b/>
                <w:bCs/>
                <w:sz w:val="22"/>
                <w:szCs w:val="22"/>
                <w:lang w:eastAsia="en-ZA"/>
              </w:rPr>
              <w:t>2011/12</w:t>
            </w:r>
          </w:p>
        </w:tc>
        <w:tc>
          <w:tcPr>
            <w:tcW w:w="3273" w:type="dxa"/>
            <w:gridSpan w:val="3"/>
            <w:noWrap/>
            <w:vAlign w:val="bottom"/>
          </w:tcPr>
          <w:p w:rsidR="00100427" w:rsidRPr="00DD6FA0" w:rsidRDefault="00100427" w:rsidP="00FE1F35">
            <w:pPr>
              <w:spacing w:line="240" w:lineRule="auto"/>
              <w:jc w:val="center"/>
              <w:rPr>
                <w:rFonts w:cs="Arial"/>
                <w:b/>
                <w:bCs/>
                <w:sz w:val="22"/>
                <w:szCs w:val="22"/>
                <w:lang w:eastAsia="en-ZA"/>
              </w:rPr>
            </w:pPr>
            <w:r w:rsidRPr="00DD6FA0">
              <w:rPr>
                <w:rFonts w:cs="Arial"/>
                <w:b/>
                <w:bCs/>
                <w:sz w:val="22"/>
                <w:szCs w:val="22"/>
                <w:lang w:eastAsia="en-ZA"/>
              </w:rPr>
              <w:t>2012/13</w:t>
            </w:r>
          </w:p>
        </w:tc>
        <w:tc>
          <w:tcPr>
            <w:tcW w:w="1104" w:type="dxa"/>
            <w:noWrap/>
            <w:vAlign w:val="bottom"/>
          </w:tcPr>
          <w:p w:rsidR="00100427" w:rsidRPr="00DD6FA0" w:rsidRDefault="00100427" w:rsidP="00FE1F35">
            <w:pPr>
              <w:spacing w:line="240" w:lineRule="auto"/>
              <w:rPr>
                <w:rFonts w:cs="Arial"/>
                <w:b/>
                <w:bCs/>
                <w:sz w:val="22"/>
                <w:szCs w:val="22"/>
                <w:lang w:eastAsia="en-ZA"/>
              </w:rPr>
            </w:pPr>
            <w:r w:rsidRPr="00DD6FA0">
              <w:rPr>
                <w:rFonts w:cs="Arial"/>
                <w:b/>
                <w:bCs/>
                <w:sz w:val="22"/>
                <w:szCs w:val="22"/>
                <w:lang w:eastAsia="en-ZA"/>
              </w:rPr>
              <w:t>2013/14</w:t>
            </w:r>
          </w:p>
        </w:tc>
        <w:tc>
          <w:tcPr>
            <w:tcW w:w="1236" w:type="dxa"/>
            <w:noWrap/>
            <w:vAlign w:val="bottom"/>
          </w:tcPr>
          <w:p w:rsidR="00100427" w:rsidRPr="00DD6FA0" w:rsidRDefault="00100427" w:rsidP="00FE1F35">
            <w:pPr>
              <w:spacing w:line="240" w:lineRule="auto"/>
              <w:rPr>
                <w:rFonts w:cs="Arial"/>
                <w:b/>
                <w:bCs/>
                <w:sz w:val="22"/>
                <w:szCs w:val="22"/>
                <w:lang w:eastAsia="en-ZA"/>
              </w:rPr>
            </w:pPr>
            <w:r w:rsidRPr="00DD6FA0">
              <w:rPr>
                <w:rFonts w:cs="Arial"/>
                <w:b/>
                <w:bCs/>
                <w:sz w:val="22"/>
                <w:szCs w:val="22"/>
                <w:lang w:eastAsia="en-ZA"/>
              </w:rPr>
              <w:t>2014/15</w:t>
            </w:r>
          </w:p>
        </w:tc>
      </w:tr>
      <w:tr w:rsidR="00100427" w:rsidRPr="00DD6FA0" w:rsidTr="002B4479">
        <w:trPr>
          <w:trHeight w:val="345"/>
        </w:trPr>
        <w:tc>
          <w:tcPr>
            <w:tcW w:w="2092" w:type="dxa"/>
            <w:vMerge/>
            <w:vAlign w:val="center"/>
          </w:tcPr>
          <w:p w:rsidR="00100427" w:rsidRPr="00DD6FA0" w:rsidRDefault="00100427" w:rsidP="00FE1F35">
            <w:pPr>
              <w:spacing w:line="240" w:lineRule="auto"/>
              <w:rPr>
                <w:rFonts w:cs="Arial"/>
                <w:b/>
                <w:bCs/>
                <w:sz w:val="22"/>
                <w:szCs w:val="22"/>
                <w:lang w:eastAsia="en-ZA"/>
              </w:rPr>
            </w:pP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Audited</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Audited</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Audited</w:t>
            </w:r>
          </w:p>
        </w:tc>
        <w:tc>
          <w:tcPr>
            <w:tcW w:w="1008"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Main</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Adjusted</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Audited</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Main</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Estimates</w:t>
            </w:r>
          </w:p>
        </w:tc>
      </w:tr>
      <w:tr w:rsidR="00100427" w:rsidRPr="00DD6FA0" w:rsidTr="002B4479">
        <w:trPr>
          <w:trHeight w:val="330"/>
        </w:trPr>
        <w:tc>
          <w:tcPr>
            <w:tcW w:w="2092"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Administration</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179.3</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169.5</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206.1</w:t>
            </w:r>
          </w:p>
        </w:tc>
        <w:tc>
          <w:tcPr>
            <w:tcW w:w="1008"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201 402</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197.5</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205 838</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219.0</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227.1</w:t>
            </w:r>
          </w:p>
        </w:tc>
      </w:tr>
      <w:tr w:rsidR="00100427" w:rsidRPr="00DD6FA0" w:rsidTr="002B4479">
        <w:trPr>
          <w:trHeight w:val="330"/>
        </w:trPr>
        <w:tc>
          <w:tcPr>
            <w:tcW w:w="2092"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Policy, Research and Knowledge Management</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44.9</w:t>
            </w:r>
          </w:p>
        </w:tc>
        <w:tc>
          <w:tcPr>
            <w:tcW w:w="1144"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35.4</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37.9</w:t>
            </w:r>
          </w:p>
        </w:tc>
        <w:tc>
          <w:tcPr>
            <w:tcW w:w="1008"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46 071</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49.3</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51 763</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49.5</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52.3</w:t>
            </w:r>
          </w:p>
        </w:tc>
      </w:tr>
      <w:tr w:rsidR="00100427" w:rsidRPr="00DD6FA0" w:rsidTr="002B4479">
        <w:trPr>
          <w:trHeight w:val="330"/>
        </w:trPr>
        <w:tc>
          <w:tcPr>
            <w:tcW w:w="2092"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Governance and Intergovernmental Relations</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23 936.8</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30 663.7</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33 270.8</w:t>
            </w:r>
          </w:p>
        </w:tc>
        <w:tc>
          <w:tcPr>
            <w:tcW w:w="1008"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37 981 926</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38 111.9</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38 108 109</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40 706.7</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44 620.8</w:t>
            </w:r>
          </w:p>
        </w:tc>
      </w:tr>
      <w:tr w:rsidR="00100427" w:rsidRPr="00DD6FA0" w:rsidTr="002B4479">
        <w:trPr>
          <w:trHeight w:val="330"/>
        </w:trPr>
        <w:tc>
          <w:tcPr>
            <w:tcW w:w="2092"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Disaster Response Management</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123.0</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283.1</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80.7</w:t>
            </w:r>
          </w:p>
        </w:tc>
        <w:tc>
          <w:tcPr>
            <w:tcW w:w="1008"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555 225</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555.4</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556 458</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585.1</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613.5</w:t>
            </w:r>
          </w:p>
        </w:tc>
      </w:tr>
      <w:tr w:rsidR="00100427" w:rsidRPr="00DD6FA0" w:rsidTr="002B4479">
        <w:trPr>
          <w:trHeight w:val="330"/>
        </w:trPr>
        <w:tc>
          <w:tcPr>
            <w:tcW w:w="2092"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Provincial and Municipal Government Systems</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209.6</w:t>
            </w:r>
          </w:p>
        </w:tc>
        <w:tc>
          <w:tcPr>
            <w:tcW w:w="1144" w:type="dxa"/>
            <w:noWrap/>
            <w:vAlign w:val="bottom"/>
          </w:tcPr>
          <w:p w:rsidR="00100427" w:rsidRPr="00DD6FA0" w:rsidRDefault="00100427" w:rsidP="006D6096">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244.5</w:t>
            </w:r>
          </w:p>
        </w:tc>
        <w:tc>
          <w:tcPr>
            <w:tcW w:w="1144"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252.4</w:t>
            </w:r>
          </w:p>
        </w:tc>
        <w:tc>
          <w:tcPr>
            <w:tcW w:w="1008"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284 726</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285.2</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274 437</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272.1</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286.2</w:t>
            </w:r>
          </w:p>
        </w:tc>
      </w:tr>
      <w:tr w:rsidR="00100427" w:rsidRPr="00DD6FA0" w:rsidTr="002B4479">
        <w:trPr>
          <w:trHeight w:val="330"/>
        </w:trPr>
        <w:tc>
          <w:tcPr>
            <w:tcW w:w="2092"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Infrastructure and Economic Development</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9 111.7</w:t>
            </w:r>
          </w:p>
        </w:tc>
        <w:tc>
          <w:tcPr>
            <w:tcW w:w="1144" w:type="dxa"/>
            <w:noWrap/>
            <w:vAlign w:val="bottom"/>
          </w:tcPr>
          <w:p w:rsidR="00100427" w:rsidRPr="00DD6FA0" w:rsidRDefault="00100427" w:rsidP="006D6096">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10 363.4</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12 285.1</w:t>
            </w:r>
          </w:p>
        </w:tc>
        <w:tc>
          <w:tcPr>
            <w:tcW w:w="1008"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15 544 190</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15 553.4</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15 551 211</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16 315.2</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17 375.6</w:t>
            </w:r>
          </w:p>
        </w:tc>
      </w:tr>
      <w:tr w:rsidR="00100427" w:rsidRPr="00DD6FA0" w:rsidTr="002B4479">
        <w:trPr>
          <w:trHeight w:val="330"/>
        </w:trPr>
        <w:tc>
          <w:tcPr>
            <w:tcW w:w="2092" w:type="dxa"/>
            <w:noWrap/>
            <w:vAlign w:val="bottom"/>
          </w:tcPr>
          <w:p w:rsidR="00100427" w:rsidRPr="00DD6FA0" w:rsidRDefault="00100427" w:rsidP="00FE1F35">
            <w:pPr>
              <w:spacing w:line="240" w:lineRule="auto"/>
              <w:rPr>
                <w:rFonts w:cs="Arial"/>
                <w:sz w:val="22"/>
                <w:szCs w:val="22"/>
                <w:lang w:eastAsia="en-ZA"/>
              </w:rPr>
            </w:pPr>
            <w:r>
              <w:rPr>
                <w:rFonts w:cs="Arial"/>
                <w:sz w:val="22"/>
                <w:szCs w:val="22"/>
                <w:lang w:eastAsia="en-ZA"/>
              </w:rPr>
              <w:t>Traditional Affairs</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56.2</w:t>
            </w:r>
          </w:p>
        </w:tc>
        <w:tc>
          <w:tcPr>
            <w:tcW w:w="1144" w:type="dxa"/>
            <w:noWrap/>
            <w:vAlign w:val="bottom"/>
          </w:tcPr>
          <w:p w:rsidR="00100427" w:rsidRPr="00DD6FA0" w:rsidRDefault="00100427" w:rsidP="006D6096">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61.8</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88.6</w:t>
            </w:r>
          </w:p>
        </w:tc>
        <w:tc>
          <w:tcPr>
            <w:tcW w:w="1008"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102 050</w:t>
            </w:r>
          </w:p>
        </w:tc>
        <w:tc>
          <w:tcPr>
            <w:tcW w:w="1121"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102.5</w:t>
            </w:r>
          </w:p>
        </w:tc>
        <w:tc>
          <w:tcPr>
            <w:tcW w:w="114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107 362</w:t>
            </w:r>
          </w:p>
        </w:tc>
        <w:tc>
          <w:tcPr>
            <w:tcW w:w="1104"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105.2</w:t>
            </w:r>
          </w:p>
        </w:tc>
        <w:tc>
          <w:tcPr>
            <w:tcW w:w="1236" w:type="dxa"/>
            <w:noWrap/>
            <w:vAlign w:val="bottom"/>
          </w:tcPr>
          <w:p w:rsidR="00100427" w:rsidRPr="00DD6FA0" w:rsidRDefault="00100427" w:rsidP="00FE1F35">
            <w:pPr>
              <w:spacing w:line="240" w:lineRule="auto"/>
              <w:rPr>
                <w:rFonts w:cs="Arial"/>
                <w:sz w:val="22"/>
                <w:szCs w:val="22"/>
                <w:lang w:eastAsia="en-ZA"/>
              </w:rPr>
            </w:pPr>
            <w:r w:rsidRPr="00DD6FA0">
              <w:rPr>
                <w:rFonts w:cs="Arial"/>
                <w:sz w:val="22"/>
                <w:szCs w:val="22"/>
                <w:lang w:eastAsia="en-ZA"/>
              </w:rPr>
              <w:t> </w:t>
            </w:r>
            <w:r>
              <w:rPr>
                <w:rFonts w:cs="Arial"/>
                <w:sz w:val="22"/>
                <w:szCs w:val="22"/>
                <w:lang w:eastAsia="en-ZA"/>
              </w:rPr>
              <w:t>111.9</w:t>
            </w:r>
          </w:p>
        </w:tc>
      </w:tr>
      <w:tr w:rsidR="00100427" w:rsidRPr="006D2A47" w:rsidTr="002B4479">
        <w:trPr>
          <w:trHeight w:val="345"/>
        </w:trPr>
        <w:tc>
          <w:tcPr>
            <w:tcW w:w="2092" w:type="dxa"/>
            <w:noWrap/>
            <w:vAlign w:val="bottom"/>
          </w:tcPr>
          <w:p w:rsidR="00100427" w:rsidRPr="006D2A47" w:rsidRDefault="00100427" w:rsidP="00FE1F35">
            <w:pPr>
              <w:spacing w:line="240" w:lineRule="auto"/>
              <w:rPr>
                <w:rFonts w:cs="Arial"/>
                <w:b/>
                <w:bCs/>
                <w:sz w:val="22"/>
                <w:szCs w:val="22"/>
                <w:lang w:eastAsia="en-ZA"/>
              </w:rPr>
            </w:pPr>
            <w:r w:rsidRPr="006D2A47">
              <w:rPr>
                <w:rFonts w:cs="Arial"/>
                <w:b/>
                <w:bCs/>
                <w:sz w:val="22"/>
                <w:szCs w:val="22"/>
                <w:lang w:eastAsia="en-ZA"/>
              </w:rPr>
              <w:t xml:space="preserve">Total </w:t>
            </w:r>
          </w:p>
        </w:tc>
        <w:tc>
          <w:tcPr>
            <w:tcW w:w="1144"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33 661.6</w:t>
            </w:r>
          </w:p>
        </w:tc>
        <w:tc>
          <w:tcPr>
            <w:tcW w:w="1144"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w:t>
            </w:r>
            <w:r>
              <w:rPr>
                <w:rFonts w:cs="Arial"/>
                <w:b/>
                <w:sz w:val="22"/>
                <w:szCs w:val="22"/>
                <w:lang w:eastAsia="en-ZA"/>
              </w:rPr>
              <w:t>41 821.4</w:t>
            </w:r>
          </w:p>
        </w:tc>
        <w:tc>
          <w:tcPr>
            <w:tcW w:w="1144"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w:t>
            </w:r>
            <w:r>
              <w:rPr>
                <w:rFonts w:cs="Arial"/>
                <w:b/>
                <w:sz w:val="22"/>
                <w:szCs w:val="22"/>
                <w:lang w:eastAsia="en-ZA"/>
              </w:rPr>
              <w:t>46 221.6</w:t>
            </w:r>
          </w:p>
        </w:tc>
        <w:tc>
          <w:tcPr>
            <w:tcW w:w="1008"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w:t>
            </w:r>
            <w:r>
              <w:rPr>
                <w:rFonts w:cs="Arial"/>
                <w:b/>
                <w:sz w:val="22"/>
                <w:szCs w:val="22"/>
                <w:lang w:eastAsia="en-ZA"/>
              </w:rPr>
              <w:t>54 715 590</w:t>
            </w:r>
          </w:p>
        </w:tc>
        <w:tc>
          <w:tcPr>
            <w:tcW w:w="1121"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w:t>
            </w:r>
            <w:r>
              <w:rPr>
                <w:rFonts w:cs="Arial"/>
                <w:b/>
                <w:sz w:val="22"/>
                <w:szCs w:val="22"/>
                <w:lang w:eastAsia="en-ZA"/>
              </w:rPr>
              <w:t>54 855.2</w:t>
            </w:r>
          </w:p>
        </w:tc>
        <w:tc>
          <w:tcPr>
            <w:tcW w:w="1144"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w:t>
            </w:r>
            <w:r>
              <w:rPr>
                <w:rFonts w:cs="Arial"/>
                <w:b/>
                <w:sz w:val="22"/>
                <w:szCs w:val="22"/>
                <w:lang w:eastAsia="en-ZA"/>
              </w:rPr>
              <w:t>54 855 178</w:t>
            </w:r>
          </w:p>
        </w:tc>
        <w:tc>
          <w:tcPr>
            <w:tcW w:w="1104"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w:t>
            </w:r>
            <w:r>
              <w:rPr>
                <w:rFonts w:cs="Arial"/>
                <w:b/>
                <w:sz w:val="22"/>
                <w:szCs w:val="22"/>
                <w:lang w:eastAsia="en-ZA"/>
              </w:rPr>
              <w:t>58 252.7</w:t>
            </w:r>
          </w:p>
        </w:tc>
        <w:tc>
          <w:tcPr>
            <w:tcW w:w="1236" w:type="dxa"/>
            <w:noWrap/>
            <w:vAlign w:val="bottom"/>
          </w:tcPr>
          <w:p w:rsidR="00100427" w:rsidRPr="006D2A47" w:rsidRDefault="00100427" w:rsidP="00FE1F35">
            <w:pPr>
              <w:spacing w:line="240" w:lineRule="auto"/>
              <w:rPr>
                <w:rFonts w:cs="Arial"/>
                <w:b/>
                <w:sz w:val="22"/>
                <w:szCs w:val="22"/>
                <w:lang w:eastAsia="en-ZA"/>
              </w:rPr>
            </w:pPr>
            <w:r w:rsidRPr="006D2A47">
              <w:rPr>
                <w:rFonts w:cs="Arial"/>
                <w:b/>
                <w:sz w:val="22"/>
                <w:szCs w:val="22"/>
                <w:lang w:eastAsia="en-ZA"/>
              </w:rPr>
              <w:t> </w:t>
            </w:r>
            <w:r>
              <w:rPr>
                <w:rFonts w:cs="Arial"/>
                <w:b/>
                <w:sz w:val="22"/>
                <w:szCs w:val="22"/>
                <w:lang w:eastAsia="en-ZA"/>
              </w:rPr>
              <w:t>63 287.4</w:t>
            </w:r>
          </w:p>
        </w:tc>
      </w:tr>
    </w:tbl>
    <w:p w:rsidR="00100427" w:rsidRPr="00DD6FA0" w:rsidRDefault="00100427" w:rsidP="009D3A30">
      <w:pPr>
        <w:pStyle w:val="ListParagraph"/>
        <w:spacing w:after="0" w:line="280" w:lineRule="exact"/>
        <w:ind w:left="0"/>
        <w:jc w:val="both"/>
        <w:rPr>
          <w:rFonts w:ascii="Arial" w:hAnsi="Arial" w:cs="Arial"/>
        </w:rPr>
      </w:pPr>
    </w:p>
    <w:p w:rsidR="00100427" w:rsidRDefault="00100427" w:rsidP="005E2668">
      <w:pPr>
        <w:pStyle w:val="ListParagraph"/>
        <w:numPr>
          <w:ilvl w:val="1"/>
          <w:numId w:val="1"/>
        </w:numPr>
        <w:spacing w:after="0" w:line="280" w:lineRule="exact"/>
        <w:jc w:val="both"/>
        <w:rPr>
          <w:rFonts w:ascii="Arial" w:hAnsi="Arial" w:cs="Arial"/>
          <w:b/>
        </w:rPr>
      </w:pPr>
      <w:r w:rsidRPr="00DD6FA0">
        <w:rPr>
          <w:rFonts w:ascii="Arial" w:hAnsi="Arial" w:cs="Arial"/>
          <w:b/>
        </w:rPr>
        <w:t>Financial performance 2012/13</w:t>
      </w:r>
    </w:p>
    <w:p w:rsidR="00100427" w:rsidRDefault="00100427" w:rsidP="005E2668">
      <w:pPr>
        <w:pStyle w:val="ListParagraph"/>
        <w:spacing w:after="0" w:line="280" w:lineRule="exact"/>
        <w:jc w:val="both"/>
        <w:rPr>
          <w:rFonts w:ascii="Arial" w:hAnsi="Arial" w:cs="Arial"/>
          <w:b/>
        </w:rPr>
      </w:pPr>
    </w:p>
    <w:p w:rsidR="00100427" w:rsidRPr="00EC432B" w:rsidRDefault="00100427" w:rsidP="005E2668">
      <w:pPr>
        <w:pStyle w:val="ListParagraph"/>
        <w:spacing w:after="0" w:line="280" w:lineRule="exact"/>
        <w:jc w:val="both"/>
        <w:rPr>
          <w:rFonts w:ascii="Arial" w:hAnsi="Arial" w:cs="Arial"/>
        </w:rPr>
      </w:pPr>
      <w:r w:rsidRPr="005E2668">
        <w:rPr>
          <w:rFonts w:ascii="Arial" w:hAnsi="Arial" w:cs="Arial"/>
        </w:rPr>
        <w:t>The Department of Cooperative Governance</w:t>
      </w:r>
      <w:r>
        <w:rPr>
          <w:rFonts w:ascii="Arial" w:hAnsi="Arial" w:cs="Arial"/>
        </w:rPr>
        <w:t xml:space="preserve"> and Traditional Affairs</w:t>
      </w:r>
      <w:r w:rsidRPr="005E2668">
        <w:rPr>
          <w:rFonts w:ascii="Arial" w:hAnsi="Arial" w:cs="Arial"/>
        </w:rPr>
        <w:t xml:space="preserve"> was allocated a total amount of R54.9 billion for the 2012/13 financial year.</w:t>
      </w:r>
      <w:r>
        <w:rPr>
          <w:rFonts w:ascii="Arial" w:hAnsi="Arial" w:cs="Arial"/>
        </w:rPr>
        <w:t xml:space="preserve"> R26.7 million of this was allocated to SALGA; R40.4 million to the MDB; R5.5 million to the South African Cities Network (SACN) and R34.2 million to the Commission for the Promotion and Protection of the Rights of Cultural, Religious and Linguistic Communities [CRL Rights Commission]. It should be noted that most of the entities also received substantial amounts of funds, sometimes far in excess of what the Department allocated, from other sources. For instance, the R26.7 million allocation to SALGA</w:t>
      </w:r>
      <w:r w:rsidRPr="00EC432B">
        <w:rPr>
          <w:rFonts w:ascii="Arial" w:hAnsi="Arial" w:cs="Arial"/>
        </w:rPr>
        <w:t xml:space="preserve"> constitutes approximately only 9% of SALGA’s total income. The main source of revenue for the association remains membership levies, which make up 75% of SALGA’s total income. In 2012/13 this amounted to R307.5 million. Other sources of income include donor funding and ‘other income</w:t>
      </w:r>
      <w:r>
        <w:rPr>
          <w:rFonts w:ascii="Arial" w:hAnsi="Arial" w:cs="Arial"/>
        </w:rPr>
        <w:t>.</w:t>
      </w:r>
      <w:r w:rsidRPr="00EC432B">
        <w:rPr>
          <w:rFonts w:ascii="Arial" w:hAnsi="Arial" w:cs="Arial"/>
        </w:rPr>
        <w:t>’</w:t>
      </w:r>
    </w:p>
    <w:p w:rsidR="00100427" w:rsidRDefault="00100427" w:rsidP="00667F6D">
      <w:pPr>
        <w:pStyle w:val="ListParagraph"/>
        <w:spacing w:after="0" w:line="280" w:lineRule="exact"/>
        <w:ind w:left="0"/>
        <w:jc w:val="both"/>
        <w:rPr>
          <w:rFonts w:ascii="Arial" w:hAnsi="Arial" w:cs="Arial"/>
          <w:b/>
        </w:rPr>
      </w:pPr>
    </w:p>
    <w:p w:rsidR="00100427" w:rsidRDefault="00100427" w:rsidP="00BF044D">
      <w:pPr>
        <w:pStyle w:val="ListParagraph"/>
        <w:numPr>
          <w:ilvl w:val="2"/>
          <w:numId w:val="1"/>
        </w:numPr>
        <w:spacing w:after="0" w:line="280" w:lineRule="exact"/>
        <w:jc w:val="both"/>
        <w:rPr>
          <w:rFonts w:ascii="Arial" w:hAnsi="Arial" w:cs="Arial"/>
        </w:rPr>
      </w:pPr>
      <w:r>
        <w:rPr>
          <w:rFonts w:ascii="Arial" w:hAnsi="Arial" w:cs="Arial"/>
        </w:rPr>
        <w:t>Quarterly s</w:t>
      </w:r>
      <w:r w:rsidRPr="005E2668">
        <w:rPr>
          <w:rFonts w:ascii="Arial" w:hAnsi="Arial" w:cs="Arial"/>
        </w:rPr>
        <w:t>pending trends</w:t>
      </w:r>
    </w:p>
    <w:p w:rsidR="00100427" w:rsidRDefault="00100427" w:rsidP="00BF044D">
      <w:pPr>
        <w:pStyle w:val="ListParagraph"/>
        <w:spacing w:after="0" w:line="280" w:lineRule="exact"/>
        <w:jc w:val="both"/>
        <w:rPr>
          <w:rFonts w:ascii="Arial" w:hAnsi="Arial" w:cs="Arial"/>
        </w:rPr>
      </w:pPr>
    </w:p>
    <w:p w:rsidR="00100427" w:rsidRDefault="00100427" w:rsidP="00BF044D">
      <w:pPr>
        <w:pStyle w:val="ListParagraph"/>
        <w:spacing w:after="0" w:line="280" w:lineRule="exact"/>
        <w:jc w:val="both"/>
        <w:rPr>
          <w:rFonts w:ascii="Arial" w:hAnsi="Arial" w:cs="Arial"/>
        </w:rPr>
      </w:pPr>
      <w:r w:rsidRPr="00BF044D">
        <w:rPr>
          <w:rFonts w:ascii="Arial" w:hAnsi="Arial" w:cs="Arial"/>
        </w:rPr>
        <w:t xml:space="preserve">The Department had spent 39.4 per cent of its main appropriation (34.3 per cent of the adjusted appropriation) at the end of the second quarter of the 2012/13 financial year, primarily due to the under-spending of the Disaster Response Management programme (with 6.4 per cent expenditure) and the Infrastructure and Economic Development Programme (with 34.2 per cent expenditure) on their adjusted budget allocations. The Department had spent less than 40 per cent of its budget at the end </w:t>
      </w:r>
      <w:r w:rsidRPr="00BF044D">
        <w:rPr>
          <w:rFonts w:ascii="Arial" w:hAnsi="Arial" w:cs="Arial"/>
        </w:rPr>
        <w:lastRenderedPageBreak/>
        <w:t>of the second quarter. It is worth noting however, that while most of the programmes were under-spending, the Provincial and Municipal Systems programme had already spent 91.4 per cent of its budget at the end of the second quarter. At the end of the third quarter the Department had spent R38.7 billion or 70.6 per cent, which was still R2.0 billion or 4.8 per cent short of the projected expenditure for this period.</w:t>
      </w:r>
      <w:r>
        <w:rPr>
          <w:rStyle w:val="FootnoteReference"/>
          <w:rFonts w:ascii="Arial" w:hAnsi="Arial" w:cs="Arial"/>
        </w:rPr>
        <w:footnoteReference w:id="11"/>
      </w:r>
    </w:p>
    <w:p w:rsidR="00100427" w:rsidRPr="00BF044D" w:rsidRDefault="00100427" w:rsidP="00BF044D">
      <w:pPr>
        <w:pStyle w:val="ListParagraph"/>
        <w:spacing w:after="0" w:line="280" w:lineRule="exact"/>
        <w:jc w:val="both"/>
        <w:rPr>
          <w:rFonts w:ascii="Arial" w:hAnsi="Arial" w:cs="Arial"/>
        </w:rPr>
      </w:pPr>
    </w:p>
    <w:p w:rsidR="00100427" w:rsidRDefault="00100427" w:rsidP="00FD61C3">
      <w:pPr>
        <w:pStyle w:val="ListParagraph"/>
        <w:numPr>
          <w:ilvl w:val="2"/>
          <w:numId w:val="1"/>
        </w:numPr>
        <w:spacing w:after="0" w:line="280" w:lineRule="exact"/>
        <w:jc w:val="both"/>
        <w:rPr>
          <w:rFonts w:ascii="Arial" w:hAnsi="Arial" w:cs="Arial"/>
        </w:rPr>
      </w:pPr>
      <w:r w:rsidRPr="00FD61C3">
        <w:rPr>
          <w:rFonts w:ascii="Arial" w:hAnsi="Arial" w:cs="Arial"/>
        </w:rPr>
        <w:t>Adjustments for 2012/13</w:t>
      </w:r>
      <w:r w:rsidRPr="00FD61C3">
        <w:rPr>
          <w:rStyle w:val="FootnoteReference"/>
          <w:rFonts w:ascii="Arial" w:hAnsi="Arial" w:cs="Arial"/>
        </w:rPr>
        <w:footnoteReference w:id="12"/>
      </w:r>
    </w:p>
    <w:p w:rsidR="00100427" w:rsidRDefault="00100427" w:rsidP="00FA66BC">
      <w:pPr>
        <w:pStyle w:val="ListParagraph"/>
        <w:spacing w:after="0" w:line="280" w:lineRule="exact"/>
        <w:jc w:val="both"/>
        <w:rPr>
          <w:rFonts w:ascii="Arial" w:hAnsi="Arial" w:cs="Arial"/>
        </w:rPr>
      </w:pPr>
    </w:p>
    <w:p w:rsidR="00100427" w:rsidRPr="00FD61C3" w:rsidRDefault="00100427" w:rsidP="001907A0">
      <w:pPr>
        <w:pStyle w:val="ListParagraph"/>
        <w:spacing w:after="0" w:line="280" w:lineRule="exact"/>
        <w:jc w:val="both"/>
        <w:rPr>
          <w:rFonts w:ascii="Arial" w:hAnsi="Arial" w:cs="Arial"/>
        </w:rPr>
      </w:pPr>
      <w:r w:rsidRPr="00FD61C3">
        <w:rPr>
          <w:rFonts w:ascii="Arial" w:hAnsi="Arial" w:cs="Arial"/>
        </w:rPr>
        <w:t xml:space="preserve">The Department of Cooperative Government and Traditional Affairs received additional funds amounting to R6.58 million in six of its seven programmes (except Administration) for higher than anticipated personnel increases. The allocation of the Administration Programme was decreased by R3.89 million (current payments: Goods and services budget). The adjustments within the Administration programme </w:t>
      </w:r>
      <w:r>
        <w:rPr>
          <w:rFonts w:ascii="Arial" w:hAnsi="Arial" w:cs="Arial"/>
        </w:rPr>
        <w:t>we</w:t>
      </w:r>
      <w:r w:rsidRPr="00FD61C3">
        <w:rPr>
          <w:rFonts w:ascii="Arial" w:hAnsi="Arial" w:cs="Arial"/>
        </w:rPr>
        <w:t>re as follows:</w:t>
      </w:r>
    </w:p>
    <w:p w:rsidR="00100427" w:rsidRDefault="00100427" w:rsidP="001907A0">
      <w:pPr>
        <w:pStyle w:val="ListParagraph"/>
        <w:spacing w:after="0" w:line="280" w:lineRule="exact"/>
        <w:ind w:left="360"/>
        <w:jc w:val="both"/>
        <w:rPr>
          <w:rFonts w:ascii="Arial" w:hAnsi="Arial" w:cs="Arial"/>
        </w:rPr>
      </w:pPr>
    </w:p>
    <w:p w:rsidR="00100427" w:rsidRDefault="00100427" w:rsidP="00E56A9D">
      <w:pPr>
        <w:pStyle w:val="ListParagraph"/>
        <w:numPr>
          <w:ilvl w:val="0"/>
          <w:numId w:val="12"/>
        </w:numPr>
        <w:spacing w:after="0" w:line="280" w:lineRule="exact"/>
        <w:jc w:val="both"/>
        <w:rPr>
          <w:rFonts w:ascii="Arial" w:hAnsi="Arial" w:cs="Arial"/>
        </w:rPr>
      </w:pPr>
      <w:r w:rsidRPr="00873ABA">
        <w:rPr>
          <w:rFonts w:ascii="Arial" w:hAnsi="Arial" w:cs="Arial"/>
        </w:rPr>
        <w:t>An amount of R3 million has been shifted to the Policy, Research and Knowledge Management programme as a result of a shift of the Telecommunications function.</w:t>
      </w:r>
    </w:p>
    <w:p w:rsidR="00100427" w:rsidRDefault="00100427" w:rsidP="00E56A9D">
      <w:pPr>
        <w:pStyle w:val="ListParagraph"/>
        <w:numPr>
          <w:ilvl w:val="0"/>
          <w:numId w:val="12"/>
        </w:numPr>
        <w:spacing w:after="0" w:line="280" w:lineRule="exact"/>
        <w:jc w:val="both"/>
        <w:rPr>
          <w:rFonts w:ascii="Arial" w:hAnsi="Arial" w:cs="Arial"/>
        </w:rPr>
      </w:pPr>
      <w:r w:rsidRPr="00873ABA">
        <w:rPr>
          <w:rFonts w:ascii="Arial" w:hAnsi="Arial" w:cs="Arial"/>
        </w:rPr>
        <w:t>R1.77 million was shifted from the Administration programme to the Governance</w:t>
      </w:r>
      <w:r w:rsidRPr="00873ABA">
        <w:rPr>
          <w:rFonts w:ascii="Arial" w:hAnsi="Arial" w:cs="Arial"/>
          <w:lang w:eastAsia="en-ZA"/>
        </w:rPr>
        <w:t xml:space="preserve"> and Intergovernmental Relations programme as a result of the function shift of the Operation Clean Audit. These funds will be expended through the Management: Governance programme. </w:t>
      </w:r>
      <w:r w:rsidRPr="00873ABA">
        <w:rPr>
          <w:rFonts w:ascii="Arial" w:hAnsi="Arial" w:cs="Arial"/>
        </w:rPr>
        <w:t>The funds were shifted from the Chief Operating Officer and Corporate Services sub</w:t>
      </w:r>
      <w:r>
        <w:rPr>
          <w:rFonts w:ascii="Arial" w:hAnsi="Arial" w:cs="Arial"/>
        </w:rPr>
        <w:t>-</w:t>
      </w:r>
      <w:r w:rsidRPr="00873ABA">
        <w:rPr>
          <w:rFonts w:ascii="Arial" w:hAnsi="Arial" w:cs="Arial"/>
        </w:rPr>
        <w:t>programme</w:t>
      </w:r>
      <w:r w:rsidRPr="00873ABA">
        <w:rPr>
          <w:rFonts w:cs="Arial"/>
        </w:rPr>
        <w:t>.</w:t>
      </w:r>
    </w:p>
    <w:p w:rsidR="00100427" w:rsidRDefault="00100427" w:rsidP="001907A0">
      <w:pPr>
        <w:pStyle w:val="ListParagraph"/>
        <w:spacing w:after="0" w:line="280" w:lineRule="exact"/>
        <w:jc w:val="both"/>
        <w:rPr>
          <w:rFonts w:ascii="Arial" w:hAnsi="Arial" w:cs="Arial"/>
        </w:rPr>
      </w:pPr>
    </w:p>
    <w:p w:rsidR="00100427" w:rsidRDefault="00100427" w:rsidP="001907A0">
      <w:pPr>
        <w:pStyle w:val="ListParagraph"/>
        <w:spacing w:after="0" w:line="280" w:lineRule="exact"/>
        <w:jc w:val="both"/>
        <w:rPr>
          <w:rFonts w:ascii="Arial" w:hAnsi="Arial" w:cs="Arial"/>
        </w:rPr>
      </w:pPr>
      <w:r w:rsidRPr="002838FD">
        <w:rPr>
          <w:rFonts w:ascii="Arial" w:hAnsi="Arial" w:cs="Arial"/>
        </w:rPr>
        <w:t xml:space="preserve">The Department declared R2.62 million as a saving within the </w:t>
      </w:r>
      <w:r w:rsidRPr="002838FD">
        <w:rPr>
          <w:rFonts w:ascii="Arial" w:hAnsi="Arial" w:cs="Arial"/>
          <w:lang w:eastAsia="en-ZA"/>
        </w:rPr>
        <w:t xml:space="preserve">Governance and Intergovernmental Relations programme. This is a savings </w:t>
      </w:r>
      <w:r w:rsidRPr="002838FD">
        <w:rPr>
          <w:rFonts w:ascii="Arial" w:hAnsi="Arial" w:cs="Arial"/>
        </w:rPr>
        <w:t xml:space="preserve">on the transfer payment to the United Cities and Local Government of Africa, and therefore results in a reduction of the Transfers and subsidies budget. </w:t>
      </w:r>
    </w:p>
    <w:p w:rsidR="00100427" w:rsidRDefault="00100427" w:rsidP="001907A0">
      <w:pPr>
        <w:pStyle w:val="ListParagraph"/>
        <w:spacing w:after="0" w:line="280" w:lineRule="exact"/>
        <w:jc w:val="both"/>
        <w:rPr>
          <w:rFonts w:ascii="Arial" w:hAnsi="Arial" w:cs="Arial"/>
        </w:rPr>
      </w:pPr>
    </w:p>
    <w:p w:rsidR="00100427" w:rsidRDefault="00100427" w:rsidP="001907A0">
      <w:pPr>
        <w:pStyle w:val="ListParagraph"/>
        <w:spacing w:after="0" w:line="280" w:lineRule="exact"/>
        <w:jc w:val="both"/>
        <w:rPr>
          <w:rFonts w:ascii="Arial" w:hAnsi="Arial" w:cs="Arial"/>
        </w:rPr>
      </w:pPr>
      <w:r w:rsidRPr="005E0EA3">
        <w:rPr>
          <w:rFonts w:ascii="Arial" w:hAnsi="Arial" w:cs="Arial"/>
        </w:rPr>
        <w:t xml:space="preserve">The Traditional Affairs programme has received a donation of R185 000 to the Kingships for the promotion of cultural events and hosting and meeting with their Southern African Development Community (SADC) counterparts. </w:t>
      </w:r>
    </w:p>
    <w:p w:rsidR="00100427" w:rsidRDefault="00100427" w:rsidP="001907A0">
      <w:pPr>
        <w:pStyle w:val="ListParagraph"/>
        <w:spacing w:after="0" w:line="280" w:lineRule="exact"/>
        <w:jc w:val="both"/>
        <w:rPr>
          <w:rFonts w:ascii="Arial" w:hAnsi="Arial" w:cs="Arial"/>
        </w:rPr>
      </w:pPr>
    </w:p>
    <w:p w:rsidR="00100427" w:rsidRPr="005E0EA3" w:rsidRDefault="00100427" w:rsidP="001907A0">
      <w:pPr>
        <w:pStyle w:val="ListParagraph"/>
        <w:spacing w:after="0" w:line="280" w:lineRule="exact"/>
        <w:jc w:val="both"/>
        <w:rPr>
          <w:rFonts w:ascii="Arial" w:hAnsi="Arial" w:cs="Arial"/>
        </w:rPr>
      </w:pPr>
      <w:r w:rsidRPr="005E0EA3">
        <w:rPr>
          <w:rFonts w:ascii="Arial" w:hAnsi="Arial" w:cs="Arial"/>
        </w:rPr>
        <w:t xml:space="preserve">The Department’s budget has also been increased by roll-overs amounting to R139.5 million. In this regard, the </w:t>
      </w:r>
      <w:r w:rsidRPr="005E0EA3">
        <w:rPr>
          <w:rFonts w:ascii="Arial" w:hAnsi="Arial" w:cs="Arial"/>
          <w:lang w:eastAsia="en-ZA"/>
        </w:rPr>
        <w:t>Governance and Intergovernmental Relations has rolled over R130.6 million to pay councillors whose term ended after the 18 May 2011 elections a</w:t>
      </w:r>
      <w:r>
        <w:rPr>
          <w:rFonts w:ascii="Arial" w:hAnsi="Arial" w:cs="Arial"/>
          <w:lang w:eastAsia="en-ZA"/>
        </w:rPr>
        <w:t xml:space="preserve">s a </w:t>
      </w:r>
      <w:r w:rsidRPr="005E0EA3">
        <w:rPr>
          <w:rFonts w:ascii="Arial" w:hAnsi="Arial" w:cs="Arial"/>
          <w:lang w:eastAsia="en-ZA"/>
        </w:rPr>
        <w:t>once-off gratuity; while the Infrastructure and Economic Development programme has rolled-over R8.88 million for project administration and payment of community wages through implementing agents in the Community Work Programme.</w:t>
      </w:r>
    </w:p>
    <w:p w:rsidR="00100427" w:rsidRPr="005E7DB2" w:rsidRDefault="00100427" w:rsidP="001907A0">
      <w:pPr>
        <w:spacing w:line="240" w:lineRule="auto"/>
        <w:jc w:val="both"/>
        <w:rPr>
          <w:rFonts w:cs="Arial"/>
          <w:sz w:val="22"/>
          <w:szCs w:val="22"/>
        </w:rPr>
      </w:pPr>
    </w:p>
    <w:p w:rsidR="00100427" w:rsidRPr="005E7DB2" w:rsidRDefault="00100427" w:rsidP="001907A0">
      <w:pPr>
        <w:spacing w:line="240" w:lineRule="auto"/>
        <w:jc w:val="both"/>
        <w:rPr>
          <w:rFonts w:cs="Arial"/>
          <w:b/>
          <w:sz w:val="22"/>
          <w:szCs w:val="22"/>
        </w:rPr>
      </w:pPr>
      <w:r w:rsidRPr="005E7DB2">
        <w:rPr>
          <w:rFonts w:cs="Arial"/>
          <w:b/>
          <w:sz w:val="22"/>
          <w:szCs w:val="22"/>
        </w:rPr>
        <w:t>Roll-overs, Unforeseeable expenditure, virements/shifts, savings and other adjustments</w:t>
      </w:r>
    </w:p>
    <w:tbl>
      <w:tblPr>
        <w:tblW w:w="9480" w:type="dxa"/>
        <w:tblInd w:w="91" w:type="dxa"/>
        <w:tblLook w:val="00A0"/>
      </w:tblPr>
      <w:tblGrid>
        <w:gridCol w:w="2417"/>
        <w:gridCol w:w="1575"/>
        <w:gridCol w:w="1240"/>
        <w:gridCol w:w="1348"/>
        <w:gridCol w:w="1395"/>
        <w:gridCol w:w="1505"/>
      </w:tblGrid>
      <w:tr w:rsidR="00100427" w:rsidRPr="005E7DB2" w:rsidTr="00A22DED">
        <w:trPr>
          <w:trHeight w:val="510"/>
        </w:trPr>
        <w:tc>
          <w:tcPr>
            <w:tcW w:w="2417" w:type="dxa"/>
            <w:tcBorders>
              <w:top w:val="single" w:sz="4" w:space="0" w:color="auto"/>
              <w:left w:val="single" w:sz="4" w:space="0" w:color="auto"/>
              <w:bottom w:val="single" w:sz="4" w:space="0" w:color="auto"/>
              <w:right w:val="single" w:sz="4" w:space="0" w:color="auto"/>
            </w:tcBorders>
            <w:vAlign w:val="center"/>
          </w:tcPr>
          <w:p w:rsidR="00100427" w:rsidRPr="009355E5" w:rsidRDefault="00100427" w:rsidP="00A22DED">
            <w:pPr>
              <w:spacing w:line="240" w:lineRule="auto"/>
              <w:rPr>
                <w:rFonts w:cs="Arial"/>
                <w:b/>
                <w:bCs/>
                <w:color w:val="auto"/>
                <w:spacing w:val="0"/>
                <w:sz w:val="20"/>
                <w:szCs w:val="20"/>
                <w:lang w:val="en-ZA" w:eastAsia="en-ZA"/>
              </w:rPr>
            </w:pPr>
            <w:r w:rsidRPr="009355E5">
              <w:rPr>
                <w:rFonts w:cs="Arial"/>
                <w:b/>
                <w:bCs/>
                <w:color w:val="auto"/>
                <w:spacing w:val="0"/>
                <w:sz w:val="20"/>
                <w:szCs w:val="20"/>
                <w:lang w:val="en-ZA" w:eastAsia="en-ZA"/>
              </w:rPr>
              <w:lastRenderedPageBreak/>
              <w:t>Programme R'000</w:t>
            </w:r>
          </w:p>
        </w:tc>
        <w:tc>
          <w:tcPr>
            <w:tcW w:w="1575" w:type="dxa"/>
            <w:tcBorders>
              <w:top w:val="single" w:sz="4" w:space="0" w:color="auto"/>
              <w:left w:val="nil"/>
              <w:bottom w:val="single" w:sz="4" w:space="0" w:color="auto"/>
              <w:right w:val="single" w:sz="4" w:space="0" w:color="auto"/>
            </w:tcBorders>
            <w:vAlign w:val="center"/>
          </w:tcPr>
          <w:p w:rsidR="00100427" w:rsidRPr="009355E5" w:rsidRDefault="00100427" w:rsidP="00A22DED">
            <w:pPr>
              <w:spacing w:line="240" w:lineRule="auto"/>
              <w:rPr>
                <w:rFonts w:cs="Arial"/>
                <w:b/>
                <w:bCs/>
                <w:color w:val="auto"/>
                <w:spacing w:val="0"/>
                <w:sz w:val="20"/>
                <w:szCs w:val="20"/>
                <w:lang w:val="en-ZA" w:eastAsia="en-ZA"/>
              </w:rPr>
            </w:pPr>
            <w:r w:rsidRPr="009355E5">
              <w:rPr>
                <w:rFonts w:cs="Arial"/>
                <w:b/>
                <w:bCs/>
                <w:color w:val="auto"/>
                <w:spacing w:val="0"/>
                <w:sz w:val="20"/>
                <w:szCs w:val="20"/>
                <w:lang w:val="en-ZA" w:eastAsia="en-ZA"/>
              </w:rPr>
              <w:t>Main Appropriation</w:t>
            </w:r>
          </w:p>
        </w:tc>
        <w:tc>
          <w:tcPr>
            <w:tcW w:w="1240" w:type="dxa"/>
            <w:tcBorders>
              <w:top w:val="single" w:sz="4" w:space="0" w:color="auto"/>
              <w:left w:val="nil"/>
              <w:bottom w:val="single" w:sz="4" w:space="0" w:color="auto"/>
              <w:right w:val="single" w:sz="4" w:space="0" w:color="auto"/>
            </w:tcBorders>
            <w:vAlign w:val="center"/>
          </w:tcPr>
          <w:p w:rsidR="00100427" w:rsidRPr="009355E5" w:rsidRDefault="00100427" w:rsidP="00A22DED">
            <w:pPr>
              <w:spacing w:line="240" w:lineRule="auto"/>
              <w:rPr>
                <w:rFonts w:cs="Arial"/>
                <w:b/>
                <w:bCs/>
                <w:color w:val="auto"/>
                <w:spacing w:val="0"/>
                <w:sz w:val="20"/>
                <w:szCs w:val="20"/>
                <w:lang w:val="en-ZA" w:eastAsia="en-ZA"/>
              </w:rPr>
            </w:pPr>
            <w:r w:rsidRPr="009355E5">
              <w:rPr>
                <w:rFonts w:cs="Arial"/>
                <w:b/>
                <w:bCs/>
                <w:color w:val="auto"/>
                <w:spacing w:val="0"/>
                <w:sz w:val="20"/>
                <w:szCs w:val="20"/>
                <w:lang w:val="en-ZA" w:eastAsia="en-ZA"/>
              </w:rPr>
              <w:t>Roll-overs</w:t>
            </w:r>
          </w:p>
        </w:tc>
        <w:tc>
          <w:tcPr>
            <w:tcW w:w="1348" w:type="dxa"/>
            <w:tcBorders>
              <w:top w:val="single" w:sz="4" w:space="0" w:color="auto"/>
              <w:left w:val="nil"/>
              <w:bottom w:val="single" w:sz="4" w:space="0" w:color="auto"/>
              <w:right w:val="single" w:sz="4" w:space="0" w:color="auto"/>
            </w:tcBorders>
            <w:vAlign w:val="center"/>
          </w:tcPr>
          <w:p w:rsidR="00100427" w:rsidRPr="009355E5" w:rsidRDefault="00100427" w:rsidP="00A22DED">
            <w:pPr>
              <w:spacing w:line="240" w:lineRule="auto"/>
              <w:rPr>
                <w:rFonts w:cs="Arial"/>
                <w:b/>
                <w:bCs/>
                <w:color w:val="auto"/>
                <w:spacing w:val="0"/>
                <w:sz w:val="20"/>
                <w:szCs w:val="20"/>
                <w:lang w:val="en-ZA" w:eastAsia="en-ZA"/>
              </w:rPr>
            </w:pPr>
            <w:r w:rsidRPr="009355E5">
              <w:rPr>
                <w:rFonts w:cs="Arial"/>
                <w:b/>
                <w:bCs/>
                <w:color w:val="auto"/>
                <w:spacing w:val="0"/>
                <w:sz w:val="20"/>
                <w:szCs w:val="20"/>
                <w:lang w:val="en-ZA" w:eastAsia="en-ZA"/>
              </w:rPr>
              <w:t>Savings</w:t>
            </w:r>
          </w:p>
        </w:tc>
        <w:tc>
          <w:tcPr>
            <w:tcW w:w="1395" w:type="dxa"/>
            <w:tcBorders>
              <w:top w:val="single" w:sz="4" w:space="0" w:color="auto"/>
              <w:left w:val="nil"/>
              <w:bottom w:val="single" w:sz="4" w:space="0" w:color="auto"/>
              <w:right w:val="single" w:sz="4" w:space="0" w:color="auto"/>
            </w:tcBorders>
            <w:vAlign w:val="center"/>
          </w:tcPr>
          <w:p w:rsidR="00100427" w:rsidRPr="009355E5" w:rsidRDefault="00100427" w:rsidP="00A22DED">
            <w:pPr>
              <w:spacing w:line="240" w:lineRule="auto"/>
              <w:rPr>
                <w:rFonts w:cs="Arial"/>
                <w:b/>
                <w:bCs/>
                <w:color w:val="auto"/>
                <w:spacing w:val="0"/>
                <w:sz w:val="20"/>
                <w:szCs w:val="20"/>
                <w:lang w:val="en-ZA" w:eastAsia="en-ZA"/>
              </w:rPr>
            </w:pPr>
            <w:r w:rsidRPr="009355E5">
              <w:rPr>
                <w:rFonts w:cs="Arial"/>
                <w:b/>
                <w:bCs/>
                <w:color w:val="auto"/>
                <w:spacing w:val="0"/>
                <w:sz w:val="20"/>
                <w:szCs w:val="20"/>
                <w:lang w:val="en-ZA" w:eastAsia="en-ZA"/>
              </w:rPr>
              <w:t>Other adjustments</w:t>
            </w:r>
          </w:p>
        </w:tc>
        <w:tc>
          <w:tcPr>
            <w:tcW w:w="1505" w:type="dxa"/>
            <w:tcBorders>
              <w:top w:val="single" w:sz="4" w:space="0" w:color="auto"/>
              <w:left w:val="nil"/>
              <w:bottom w:val="single" w:sz="4" w:space="0" w:color="auto"/>
              <w:right w:val="single" w:sz="4" w:space="0" w:color="auto"/>
            </w:tcBorders>
            <w:vAlign w:val="center"/>
          </w:tcPr>
          <w:p w:rsidR="00100427" w:rsidRPr="009355E5" w:rsidRDefault="00100427" w:rsidP="00A22DED">
            <w:pPr>
              <w:spacing w:line="240" w:lineRule="auto"/>
              <w:rPr>
                <w:rFonts w:cs="Arial"/>
                <w:b/>
                <w:bCs/>
                <w:color w:val="auto"/>
                <w:spacing w:val="0"/>
                <w:sz w:val="20"/>
                <w:szCs w:val="20"/>
                <w:lang w:val="en-ZA" w:eastAsia="en-ZA"/>
              </w:rPr>
            </w:pPr>
            <w:r w:rsidRPr="009355E5">
              <w:rPr>
                <w:rFonts w:cs="Arial"/>
                <w:b/>
                <w:bCs/>
                <w:color w:val="auto"/>
                <w:spacing w:val="0"/>
                <w:sz w:val="20"/>
                <w:szCs w:val="20"/>
                <w:lang w:val="en-ZA" w:eastAsia="en-ZA"/>
              </w:rPr>
              <w:t>Adjusted appropriation</w:t>
            </w:r>
          </w:p>
        </w:tc>
      </w:tr>
      <w:tr w:rsidR="00100427" w:rsidRPr="005E7DB2" w:rsidTr="00A22DED">
        <w:trPr>
          <w:trHeight w:val="315"/>
        </w:trPr>
        <w:tc>
          <w:tcPr>
            <w:tcW w:w="2417" w:type="dxa"/>
            <w:tcBorders>
              <w:top w:val="nil"/>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1. Administration</w:t>
            </w:r>
          </w:p>
        </w:tc>
        <w:tc>
          <w:tcPr>
            <w:tcW w:w="157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201 402</w:t>
            </w:r>
          </w:p>
        </w:tc>
        <w:tc>
          <w:tcPr>
            <w:tcW w:w="1240" w:type="dxa"/>
            <w:tcBorders>
              <w:top w:val="nil"/>
              <w:left w:val="nil"/>
              <w:bottom w:val="single" w:sz="4" w:space="0" w:color="auto"/>
              <w:right w:val="single" w:sz="4" w:space="0" w:color="auto"/>
            </w:tcBorders>
            <w:vAlign w:val="center"/>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48"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9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-3 897</w:t>
            </w:r>
          </w:p>
        </w:tc>
        <w:tc>
          <w:tcPr>
            <w:tcW w:w="150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197 505</w:t>
            </w:r>
          </w:p>
        </w:tc>
      </w:tr>
      <w:tr w:rsidR="00100427" w:rsidRPr="005E7DB2" w:rsidTr="00A22DED">
        <w:trPr>
          <w:trHeight w:val="630"/>
        </w:trPr>
        <w:tc>
          <w:tcPr>
            <w:tcW w:w="2417" w:type="dxa"/>
            <w:tcBorders>
              <w:top w:val="nil"/>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Policy, Research and Knowledge Management</w:t>
            </w:r>
          </w:p>
        </w:tc>
        <w:tc>
          <w:tcPr>
            <w:tcW w:w="157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46 071</w:t>
            </w:r>
          </w:p>
        </w:tc>
        <w:tc>
          <w:tcPr>
            <w:tcW w:w="1240" w:type="dxa"/>
            <w:tcBorders>
              <w:top w:val="nil"/>
              <w:left w:val="nil"/>
              <w:bottom w:val="single" w:sz="4" w:space="0" w:color="auto"/>
              <w:right w:val="single" w:sz="4" w:space="0" w:color="auto"/>
            </w:tcBorders>
            <w:noWrap/>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48"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95" w:type="dxa"/>
            <w:tcBorders>
              <w:top w:val="nil"/>
              <w:left w:val="nil"/>
              <w:bottom w:val="nil"/>
              <w:right w:val="nil"/>
            </w:tcBorders>
            <w:noWrap/>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3 222</w:t>
            </w:r>
          </w:p>
        </w:tc>
        <w:tc>
          <w:tcPr>
            <w:tcW w:w="1505" w:type="dxa"/>
            <w:tcBorders>
              <w:top w:val="nil"/>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49 293</w:t>
            </w:r>
          </w:p>
        </w:tc>
      </w:tr>
      <w:tr w:rsidR="00100427" w:rsidRPr="005E7DB2" w:rsidTr="00A22DED">
        <w:trPr>
          <w:trHeight w:val="540"/>
        </w:trPr>
        <w:tc>
          <w:tcPr>
            <w:tcW w:w="2417" w:type="dxa"/>
            <w:tcBorders>
              <w:top w:val="nil"/>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Governance and Intergovernmental Relations</w:t>
            </w:r>
          </w:p>
        </w:tc>
        <w:tc>
          <w:tcPr>
            <w:tcW w:w="157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37 981 926</w:t>
            </w:r>
          </w:p>
        </w:tc>
        <w:tc>
          <w:tcPr>
            <w:tcW w:w="1240"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130 628</w:t>
            </w:r>
          </w:p>
        </w:tc>
        <w:tc>
          <w:tcPr>
            <w:tcW w:w="1348"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2 620</w:t>
            </w:r>
          </w:p>
        </w:tc>
        <w:tc>
          <w:tcPr>
            <w:tcW w:w="1395" w:type="dxa"/>
            <w:tcBorders>
              <w:top w:val="single" w:sz="4" w:space="0" w:color="auto"/>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1 955</w:t>
            </w:r>
          </w:p>
        </w:tc>
        <w:tc>
          <w:tcPr>
            <w:tcW w:w="150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38 111 889</w:t>
            </w:r>
          </w:p>
        </w:tc>
      </w:tr>
      <w:tr w:rsidR="00100427" w:rsidRPr="005E7DB2" w:rsidTr="00A22DED">
        <w:trPr>
          <w:trHeight w:val="540"/>
        </w:trPr>
        <w:tc>
          <w:tcPr>
            <w:tcW w:w="2417" w:type="dxa"/>
            <w:tcBorders>
              <w:top w:val="nil"/>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Disaster Response Management</w:t>
            </w:r>
          </w:p>
        </w:tc>
        <w:tc>
          <w:tcPr>
            <w:tcW w:w="157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555 225</w:t>
            </w:r>
          </w:p>
        </w:tc>
        <w:tc>
          <w:tcPr>
            <w:tcW w:w="1240"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48"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9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167</w:t>
            </w:r>
          </w:p>
        </w:tc>
        <w:tc>
          <w:tcPr>
            <w:tcW w:w="1505" w:type="dxa"/>
            <w:tcBorders>
              <w:top w:val="nil"/>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555 392</w:t>
            </w:r>
          </w:p>
        </w:tc>
      </w:tr>
      <w:tr w:rsidR="00100427" w:rsidRPr="005E7DB2" w:rsidTr="00A22DED">
        <w:trPr>
          <w:trHeight w:val="570"/>
        </w:trPr>
        <w:tc>
          <w:tcPr>
            <w:tcW w:w="2417"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 xml:space="preserve">Provincial and Municipal Government Systems </w:t>
            </w:r>
          </w:p>
        </w:tc>
        <w:tc>
          <w:tcPr>
            <w:tcW w:w="1575" w:type="dxa"/>
            <w:tcBorders>
              <w:top w:val="single" w:sz="4" w:space="0" w:color="auto"/>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284 726</w:t>
            </w:r>
          </w:p>
        </w:tc>
        <w:tc>
          <w:tcPr>
            <w:tcW w:w="1240" w:type="dxa"/>
            <w:tcBorders>
              <w:top w:val="single" w:sz="4" w:space="0" w:color="auto"/>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48" w:type="dxa"/>
            <w:tcBorders>
              <w:top w:val="single" w:sz="4" w:space="0" w:color="auto"/>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95" w:type="dxa"/>
            <w:tcBorders>
              <w:top w:val="single" w:sz="4" w:space="0" w:color="auto"/>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452</w:t>
            </w:r>
          </w:p>
        </w:tc>
        <w:tc>
          <w:tcPr>
            <w:tcW w:w="1505" w:type="dxa"/>
            <w:tcBorders>
              <w:top w:val="single" w:sz="4" w:space="0" w:color="auto"/>
              <w:left w:val="nil"/>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285 178</w:t>
            </w:r>
          </w:p>
        </w:tc>
      </w:tr>
      <w:tr w:rsidR="00100427" w:rsidRPr="005E7DB2" w:rsidTr="00A22DED">
        <w:trPr>
          <w:trHeight w:val="525"/>
        </w:trPr>
        <w:tc>
          <w:tcPr>
            <w:tcW w:w="2417"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Infrastructure and Economic Development</w:t>
            </w:r>
          </w:p>
        </w:tc>
        <w:tc>
          <w:tcPr>
            <w:tcW w:w="157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15 544 190</w:t>
            </w:r>
          </w:p>
        </w:tc>
        <w:tc>
          <w:tcPr>
            <w:tcW w:w="1240"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8 888</w:t>
            </w:r>
          </w:p>
        </w:tc>
        <w:tc>
          <w:tcPr>
            <w:tcW w:w="1348"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9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351</w:t>
            </w:r>
          </w:p>
        </w:tc>
        <w:tc>
          <w:tcPr>
            <w:tcW w:w="150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15 553 429</w:t>
            </w:r>
          </w:p>
        </w:tc>
      </w:tr>
      <w:tr w:rsidR="00100427" w:rsidRPr="005E7DB2" w:rsidTr="00A22DED">
        <w:trPr>
          <w:trHeight w:val="315"/>
        </w:trPr>
        <w:tc>
          <w:tcPr>
            <w:tcW w:w="2417"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color w:val="auto"/>
                <w:spacing w:val="0"/>
                <w:sz w:val="20"/>
                <w:szCs w:val="20"/>
                <w:lang w:val="en-ZA" w:eastAsia="en-ZA"/>
              </w:rPr>
            </w:pPr>
            <w:r w:rsidRPr="009355E5">
              <w:rPr>
                <w:rFonts w:cs="Arial"/>
                <w:color w:val="auto"/>
                <w:spacing w:val="0"/>
                <w:sz w:val="20"/>
                <w:szCs w:val="20"/>
                <w:lang w:val="en-ZA" w:eastAsia="en-ZA"/>
              </w:rPr>
              <w:t>Traditional Affairs</w:t>
            </w:r>
          </w:p>
        </w:tc>
        <w:tc>
          <w:tcPr>
            <w:tcW w:w="157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102 050</w:t>
            </w:r>
          </w:p>
        </w:tc>
        <w:tc>
          <w:tcPr>
            <w:tcW w:w="1240"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48"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 </w:t>
            </w:r>
          </w:p>
        </w:tc>
        <w:tc>
          <w:tcPr>
            <w:tcW w:w="139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442</w:t>
            </w:r>
          </w:p>
        </w:tc>
        <w:tc>
          <w:tcPr>
            <w:tcW w:w="150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color w:val="auto"/>
                <w:spacing w:val="0"/>
                <w:sz w:val="20"/>
                <w:szCs w:val="20"/>
                <w:lang w:val="en-ZA" w:eastAsia="en-ZA"/>
              </w:rPr>
            </w:pPr>
            <w:r w:rsidRPr="009355E5">
              <w:rPr>
                <w:rFonts w:cs="Arial"/>
                <w:color w:val="auto"/>
                <w:spacing w:val="0"/>
                <w:sz w:val="20"/>
                <w:szCs w:val="20"/>
                <w:lang w:val="en-ZA" w:eastAsia="en-ZA"/>
              </w:rPr>
              <w:t>102 492</w:t>
            </w:r>
          </w:p>
        </w:tc>
      </w:tr>
      <w:tr w:rsidR="00100427" w:rsidRPr="005E7DB2" w:rsidTr="00A22DED">
        <w:trPr>
          <w:trHeight w:val="255"/>
        </w:trPr>
        <w:tc>
          <w:tcPr>
            <w:tcW w:w="2417"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rPr>
                <w:rFonts w:cs="Arial"/>
                <w:b/>
                <w:bCs/>
                <w:color w:val="auto"/>
                <w:spacing w:val="0"/>
                <w:sz w:val="20"/>
                <w:szCs w:val="20"/>
                <w:lang w:val="en-ZA" w:eastAsia="en-ZA"/>
              </w:rPr>
            </w:pPr>
            <w:r w:rsidRPr="009355E5">
              <w:rPr>
                <w:rFonts w:cs="Arial"/>
                <w:b/>
                <w:bCs/>
                <w:color w:val="auto"/>
                <w:spacing w:val="0"/>
                <w:sz w:val="20"/>
                <w:szCs w:val="20"/>
                <w:lang w:val="en-ZA" w:eastAsia="en-ZA"/>
              </w:rPr>
              <w:t>Total</w:t>
            </w:r>
          </w:p>
        </w:tc>
        <w:tc>
          <w:tcPr>
            <w:tcW w:w="157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b/>
                <w:bCs/>
                <w:color w:val="auto"/>
                <w:spacing w:val="0"/>
                <w:sz w:val="20"/>
                <w:szCs w:val="20"/>
                <w:lang w:val="en-ZA" w:eastAsia="en-ZA"/>
              </w:rPr>
            </w:pPr>
            <w:r w:rsidRPr="009355E5">
              <w:rPr>
                <w:rFonts w:cs="Arial"/>
                <w:b/>
                <w:bCs/>
                <w:color w:val="auto"/>
                <w:spacing w:val="0"/>
                <w:sz w:val="20"/>
                <w:szCs w:val="20"/>
                <w:lang w:val="en-ZA" w:eastAsia="en-ZA"/>
              </w:rPr>
              <w:t>54 715 590</w:t>
            </w:r>
          </w:p>
        </w:tc>
        <w:tc>
          <w:tcPr>
            <w:tcW w:w="1240"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b/>
                <w:bCs/>
                <w:color w:val="auto"/>
                <w:spacing w:val="0"/>
                <w:sz w:val="20"/>
                <w:szCs w:val="20"/>
                <w:lang w:val="en-ZA" w:eastAsia="en-ZA"/>
              </w:rPr>
            </w:pPr>
            <w:r w:rsidRPr="009355E5">
              <w:rPr>
                <w:rFonts w:cs="Arial"/>
                <w:b/>
                <w:bCs/>
                <w:color w:val="auto"/>
                <w:spacing w:val="0"/>
                <w:sz w:val="20"/>
                <w:szCs w:val="20"/>
                <w:lang w:val="en-ZA" w:eastAsia="en-ZA"/>
              </w:rPr>
              <w:t>139 516</w:t>
            </w:r>
          </w:p>
        </w:tc>
        <w:tc>
          <w:tcPr>
            <w:tcW w:w="1348"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b/>
                <w:bCs/>
                <w:color w:val="auto"/>
                <w:spacing w:val="0"/>
                <w:sz w:val="20"/>
                <w:szCs w:val="20"/>
                <w:lang w:val="en-ZA" w:eastAsia="en-ZA"/>
              </w:rPr>
            </w:pPr>
            <w:r w:rsidRPr="009355E5">
              <w:rPr>
                <w:rFonts w:cs="Arial"/>
                <w:b/>
                <w:bCs/>
                <w:color w:val="auto"/>
                <w:spacing w:val="0"/>
                <w:sz w:val="20"/>
                <w:szCs w:val="20"/>
                <w:lang w:val="en-ZA" w:eastAsia="en-ZA"/>
              </w:rPr>
              <w:t>2 620</w:t>
            </w:r>
          </w:p>
        </w:tc>
        <w:tc>
          <w:tcPr>
            <w:tcW w:w="139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b/>
                <w:bCs/>
                <w:color w:val="auto"/>
                <w:spacing w:val="0"/>
                <w:sz w:val="20"/>
                <w:szCs w:val="20"/>
                <w:lang w:val="en-ZA" w:eastAsia="en-ZA"/>
              </w:rPr>
            </w:pPr>
            <w:r w:rsidRPr="009355E5">
              <w:rPr>
                <w:rFonts w:cs="Arial"/>
                <w:b/>
                <w:bCs/>
                <w:color w:val="auto"/>
                <w:spacing w:val="0"/>
                <w:sz w:val="20"/>
                <w:szCs w:val="20"/>
                <w:lang w:val="en-ZA" w:eastAsia="en-ZA"/>
              </w:rPr>
              <w:t>2 692</w:t>
            </w:r>
          </w:p>
        </w:tc>
        <w:tc>
          <w:tcPr>
            <w:tcW w:w="1505" w:type="dxa"/>
            <w:tcBorders>
              <w:top w:val="single" w:sz="4" w:space="0" w:color="auto"/>
              <w:left w:val="single" w:sz="4" w:space="0" w:color="auto"/>
              <w:bottom w:val="single" w:sz="4" w:space="0" w:color="auto"/>
              <w:right w:val="single" w:sz="4" w:space="0" w:color="auto"/>
            </w:tcBorders>
            <w:vAlign w:val="bottom"/>
          </w:tcPr>
          <w:p w:rsidR="00100427" w:rsidRPr="009355E5" w:rsidRDefault="00100427" w:rsidP="00A22DED">
            <w:pPr>
              <w:spacing w:line="240" w:lineRule="auto"/>
              <w:jc w:val="right"/>
              <w:rPr>
                <w:rFonts w:cs="Arial"/>
                <w:b/>
                <w:bCs/>
                <w:color w:val="auto"/>
                <w:spacing w:val="0"/>
                <w:sz w:val="20"/>
                <w:szCs w:val="20"/>
                <w:lang w:val="en-ZA" w:eastAsia="en-ZA"/>
              </w:rPr>
            </w:pPr>
            <w:r w:rsidRPr="009355E5">
              <w:rPr>
                <w:rFonts w:cs="Arial"/>
                <w:b/>
                <w:bCs/>
                <w:color w:val="auto"/>
                <w:spacing w:val="0"/>
                <w:sz w:val="20"/>
                <w:szCs w:val="20"/>
                <w:lang w:val="en-ZA" w:eastAsia="en-ZA"/>
              </w:rPr>
              <w:t>54 855 178</w:t>
            </w:r>
          </w:p>
        </w:tc>
      </w:tr>
    </w:tbl>
    <w:p w:rsidR="00100427" w:rsidRDefault="00100427" w:rsidP="001907A0">
      <w:pPr>
        <w:pStyle w:val="ListParagraph"/>
        <w:spacing w:after="0" w:line="280" w:lineRule="exact"/>
        <w:ind w:left="0"/>
        <w:jc w:val="both"/>
        <w:rPr>
          <w:rFonts w:ascii="Arial" w:hAnsi="Arial" w:cs="Arial"/>
        </w:rPr>
      </w:pPr>
      <w:r w:rsidRPr="00B51D4F">
        <w:rPr>
          <w:rFonts w:ascii="Arial" w:hAnsi="Arial" w:cs="Arial"/>
          <w:i/>
        </w:rPr>
        <w:t>Source</w:t>
      </w:r>
      <w:r>
        <w:rPr>
          <w:rFonts w:ascii="Arial" w:hAnsi="Arial" w:cs="Arial"/>
        </w:rPr>
        <w:t>: Finance and Public Accounts Cluster (2013).</w:t>
      </w:r>
    </w:p>
    <w:p w:rsidR="00100427" w:rsidRDefault="00100427" w:rsidP="00FA66BC">
      <w:pPr>
        <w:pStyle w:val="ListParagraph"/>
        <w:spacing w:after="0" w:line="280" w:lineRule="exact"/>
        <w:jc w:val="both"/>
        <w:rPr>
          <w:rFonts w:ascii="Arial" w:hAnsi="Arial" w:cs="Arial"/>
        </w:rPr>
      </w:pPr>
    </w:p>
    <w:p w:rsidR="00100427" w:rsidRDefault="00100427" w:rsidP="00FA66BC">
      <w:pPr>
        <w:pStyle w:val="ListParagraph"/>
        <w:numPr>
          <w:ilvl w:val="2"/>
          <w:numId w:val="1"/>
        </w:numPr>
        <w:spacing w:after="0" w:line="280" w:lineRule="exact"/>
        <w:jc w:val="both"/>
        <w:rPr>
          <w:rFonts w:ascii="Arial" w:hAnsi="Arial" w:cs="Arial"/>
        </w:rPr>
      </w:pPr>
      <w:r>
        <w:rPr>
          <w:rFonts w:ascii="Arial" w:hAnsi="Arial" w:cs="Arial"/>
        </w:rPr>
        <w:t>Auditor-General Reports</w:t>
      </w:r>
    </w:p>
    <w:p w:rsidR="00100427" w:rsidRDefault="00100427" w:rsidP="001907A0">
      <w:pPr>
        <w:pStyle w:val="ListParagraph"/>
        <w:spacing w:after="0" w:line="280" w:lineRule="exact"/>
        <w:jc w:val="both"/>
        <w:rPr>
          <w:rFonts w:ascii="Arial" w:hAnsi="Arial" w:cs="Arial"/>
        </w:rPr>
      </w:pPr>
    </w:p>
    <w:p w:rsidR="00100427" w:rsidRDefault="00100427" w:rsidP="001907A0">
      <w:pPr>
        <w:pStyle w:val="ListParagraph"/>
        <w:spacing w:after="0" w:line="280" w:lineRule="exact"/>
        <w:jc w:val="both"/>
        <w:rPr>
          <w:rFonts w:ascii="Arial" w:hAnsi="Arial" w:cs="Arial"/>
        </w:rPr>
      </w:pPr>
      <w:r w:rsidRPr="003663BC">
        <w:rPr>
          <w:rFonts w:ascii="Arial" w:hAnsi="Arial" w:cs="Arial"/>
          <w:i/>
        </w:rPr>
        <w:t>COGTA:</w:t>
      </w:r>
      <w:r>
        <w:rPr>
          <w:rFonts w:ascii="Arial" w:hAnsi="Arial" w:cs="Arial"/>
        </w:rPr>
        <w:t xml:space="preserve"> </w:t>
      </w:r>
      <w:r w:rsidRPr="001E574A">
        <w:rPr>
          <w:rFonts w:ascii="Arial" w:hAnsi="Arial" w:cs="Arial"/>
        </w:rPr>
        <w:t>The 2012/13 financial year s</w:t>
      </w:r>
      <w:r>
        <w:rPr>
          <w:rFonts w:ascii="Arial" w:hAnsi="Arial" w:cs="Arial"/>
        </w:rPr>
        <w:t>aw</w:t>
      </w:r>
      <w:r w:rsidRPr="001E574A">
        <w:rPr>
          <w:rFonts w:ascii="Arial" w:hAnsi="Arial" w:cs="Arial"/>
        </w:rPr>
        <w:t xml:space="preserve"> the Department of Cooperative Governance and Traditional Affairs (COGTA) obtaining an unqualified audit opinion for the second consecutive year. However, this is short of the clean audit opinion the Department had envisaged for 2012/13. Among the factors that prevented the achievement of a clean audit was the incurring of an irregular expenditure amounting to R727 438 000. This was due to non-compliance with procurement policies. Fruitless and wasteful expenditure to the value of R2000 was also incurred. The Department has als</w:t>
      </w:r>
      <w:r>
        <w:rPr>
          <w:rFonts w:ascii="Arial" w:hAnsi="Arial" w:cs="Arial"/>
        </w:rPr>
        <w:t>o discovered a possible fruitle</w:t>
      </w:r>
      <w:r w:rsidRPr="001E574A">
        <w:rPr>
          <w:rFonts w:ascii="Arial" w:hAnsi="Arial" w:cs="Arial"/>
        </w:rPr>
        <w:t>s</w:t>
      </w:r>
      <w:r>
        <w:rPr>
          <w:rFonts w:ascii="Arial" w:hAnsi="Arial" w:cs="Arial"/>
        </w:rPr>
        <w:t>s</w:t>
      </w:r>
      <w:r w:rsidRPr="001E574A">
        <w:rPr>
          <w:rFonts w:ascii="Arial" w:hAnsi="Arial" w:cs="Arial"/>
        </w:rPr>
        <w:t xml:space="preserve"> and wasteful expenditure that amounts to R21 631 118, which is currently under investigation by the Internal Audit Unit</w:t>
      </w:r>
      <w:r>
        <w:rPr>
          <w:rFonts w:ascii="Arial" w:hAnsi="Arial" w:cs="Arial"/>
        </w:rPr>
        <w:t>.</w:t>
      </w:r>
    </w:p>
    <w:p w:rsidR="00100427" w:rsidRDefault="00100427" w:rsidP="001907A0">
      <w:pPr>
        <w:pStyle w:val="ListParagraph"/>
        <w:spacing w:after="0" w:line="280" w:lineRule="exact"/>
        <w:jc w:val="both"/>
        <w:rPr>
          <w:rFonts w:ascii="Arial" w:hAnsi="Arial" w:cs="Arial"/>
        </w:rPr>
      </w:pPr>
    </w:p>
    <w:p w:rsidR="00100427" w:rsidRDefault="00100427" w:rsidP="00DB01C4">
      <w:pPr>
        <w:pStyle w:val="ListParagraph"/>
        <w:spacing w:after="0" w:line="280" w:lineRule="exact"/>
        <w:jc w:val="both"/>
        <w:rPr>
          <w:rFonts w:ascii="Arial" w:hAnsi="Arial" w:cs="Arial"/>
        </w:rPr>
      </w:pPr>
      <w:r>
        <w:rPr>
          <w:rFonts w:ascii="Arial" w:hAnsi="Arial" w:cs="Arial"/>
          <w:i/>
        </w:rPr>
        <w:t xml:space="preserve">CRL Rights Commission: </w:t>
      </w:r>
      <w:r>
        <w:rPr>
          <w:rFonts w:ascii="Arial" w:hAnsi="Arial" w:cs="Arial"/>
        </w:rPr>
        <w:t>The</w:t>
      </w:r>
      <w:r w:rsidRPr="00D06697">
        <w:rPr>
          <w:rFonts w:ascii="Arial" w:hAnsi="Arial" w:cs="Arial"/>
        </w:rPr>
        <w:t xml:space="preserve"> Commission received</w:t>
      </w:r>
      <w:r>
        <w:rPr>
          <w:rFonts w:ascii="Arial" w:hAnsi="Arial" w:cs="Arial"/>
        </w:rPr>
        <w:t xml:space="preserve"> an</w:t>
      </w:r>
      <w:r w:rsidRPr="00D06697">
        <w:rPr>
          <w:rFonts w:ascii="Arial" w:hAnsi="Arial" w:cs="Arial"/>
        </w:rPr>
        <w:t xml:space="preserve"> unqualified audit opinion</w:t>
      </w:r>
      <w:r>
        <w:rPr>
          <w:rFonts w:ascii="Arial" w:hAnsi="Arial" w:cs="Arial"/>
        </w:rPr>
        <w:t>. However, 2012/13 saw the Commission</w:t>
      </w:r>
      <w:r w:rsidRPr="00D06697">
        <w:rPr>
          <w:rFonts w:ascii="Arial" w:hAnsi="Arial" w:cs="Arial"/>
        </w:rPr>
        <w:t xml:space="preserve"> incurring irregular expenditure to the value of</w:t>
      </w:r>
      <w:r>
        <w:rPr>
          <w:rFonts w:ascii="Arial" w:hAnsi="Arial" w:cs="Arial"/>
        </w:rPr>
        <w:t xml:space="preserve"> R564 692</w:t>
      </w:r>
      <w:r w:rsidRPr="00D06697">
        <w:rPr>
          <w:rFonts w:ascii="Arial" w:hAnsi="Arial" w:cs="Arial"/>
        </w:rPr>
        <w:t>.</w:t>
      </w:r>
      <w:r>
        <w:rPr>
          <w:rFonts w:ascii="Arial" w:hAnsi="Arial" w:cs="Arial"/>
        </w:rPr>
        <w:t xml:space="preserve"> T</w:t>
      </w:r>
      <w:r w:rsidRPr="00D06697">
        <w:rPr>
          <w:rFonts w:ascii="Arial" w:hAnsi="Arial" w:cs="Arial"/>
        </w:rPr>
        <w:t xml:space="preserve">his has </w:t>
      </w:r>
      <w:r>
        <w:rPr>
          <w:rFonts w:ascii="Arial" w:hAnsi="Arial" w:cs="Arial"/>
        </w:rPr>
        <w:t xml:space="preserve">not </w:t>
      </w:r>
      <w:r w:rsidRPr="00D06697">
        <w:rPr>
          <w:rFonts w:ascii="Arial" w:hAnsi="Arial" w:cs="Arial"/>
        </w:rPr>
        <w:t>been condoned by National Treasury and no disciplinary proceedings have been undertaken.</w:t>
      </w:r>
    </w:p>
    <w:p w:rsidR="00100427" w:rsidRDefault="00100427" w:rsidP="00DB01C4">
      <w:pPr>
        <w:pStyle w:val="ListParagraph"/>
        <w:spacing w:after="0" w:line="280" w:lineRule="exact"/>
        <w:jc w:val="both"/>
        <w:rPr>
          <w:rFonts w:ascii="Arial" w:hAnsi="Arial" w:cs="Arial"/>
          <w:i/>
        </w:rPr>
      </w:pPr>
    </w:p>
    <w:p w:rsidR="00100427" w:rsidRDefault="00100427" w:rsidP="00DD1F37">
      <w:pPr>
        <w:pStyle w:val="ListParagraph"/>
        <w:spacing w:after="0" w:line="280" w:lineRule="exact"/>
        <w:jc w:val="both"/>
        <w:rPr>
          <w:rFonts w:ascii="Arial" w:hAnsi="Arial" w:cs="Arial"/>
        </w:rPr>
      </w:pPr>
      <w:r w:rsidRPr="00DB01C4">
        <w:rPr>
          <w:rFonts w:ascii="Arial" w:hAnsi="Arial" w:cs="Arial"/>
          <w:i/>
        </w:rPr>
        <w:t xml:space="preserve">MDB: </w:t>
      </w:r>
      <w:r w:rsidRPr="00DB01C4">
        <w:rPr>
          <w:rFonts w:ascii="Arial" w:hAnsi="Arial" w:cs="Arial"/>
        </w:rPr>
        <w:t xml:space="preserve">The Municipal Demarcation Board received an unqualified audit opinion for the 2012/13 financial year as planned. The Board’s total revenue for 2012/13 amounted to R41 323 000 while the actual expenditure to revenue received amounted to R34 195 000. There was thus an under spending of R6 972 000 and Treasury’s decision on whether the Board should retain these </w:t>
      </w:r>
      <w:r>
        <w:rPr>
          <w:rFonts w:ascii="Arial" w:hAnsi="Arial" w:cs="Arial"/>
        </w:rPr>
        <w:t>funds was still pending</w:t>
      </w:r>
      <w:r w:rsidRPr="00DB01C4">
        <w:rPr>
          <w:rFonts w:ascii="Arial" w:hAnsi="Arial" w:cs="Arial"/>
        </w:rPr>
        <w:t>. The Board reports that expenditure was below target due to a timing difference between the demarcation process and the financial year.</w:t>
      </w:r>
    </w:p>
    <w:p w:rsidR="00100427" w:rsidRDefault="00100427" w:rsidP="00DD1F37">
      <w:pPr>
        <w:pStyle w:val="ListParagraph"/>
        <w:spacing w:after="0" w:line="280" w:lineRule="exact"/>
        <w:jc w:val="both"/>
        <w:rPr>
          <w:rFonts w:ascii="Arial" w:hAnsi="Arial" w:cs="Arial"/>
          <w:i/>
        </w:rPr>
      </w:pPr>
    </w:p>
    <w:p w:rsidR="00100427" w:rsidRPr="00DD1F37" w:rsidRDefault="00100427" w:rsidP="00DD1F37">
      <w:pPr>
        <w:pStyle w:val="ListParagraph"/>
        <w:spacing w:after="0" w:line="280" w:lineRule="exact"/>
        <w:jc w:val="both"/>
        <w:rPr>
          <w:rFonts w:ascii="Arial" w:hAnsi="Arial" w:cs="Arial"/>
        </w:rPr>
      </w:pPr>
      <w:r w:rsidRPr="00DD1F37">
        <w:rPr>
          <w:rFonts w:ascii="Arial" w:hAnsi="Arial" w:cs="Arial"/>
          <w:i/>
        </w:rPr>
        <w:t>SALGA:</w:t>
      </w:r>
      <w:r w:rsidRPr="00DD1F37">
        <w:rPr>
          <w:rFonts w:ascii="Arial" w:hAnsi="Arial" w:cs="Arial"/>
        </w:rPr>
        <w:t xml:space="preserve"> </w:t>
      </w:r>
      <w:r>
        <w:rPr>
          <w:rFonts w:ascii="Arial" w:hAnsi="Arial" w:cs="Arial"/>
        </w:rPr>
        <w:t>The key highlight for SALGA in 2012/13 was</w:t>
      </w:r>
      <w:r w:rsidRPr="00DD1F37">
        <w:rPr>
          <w:rFonts w:ascii="Arial" w:hAnsi="Arial" w:cs="Arial"/>
        </w:rPr>
        <w:t xml:space="preserve"> the achievement</w:t>
      </w:r>
      <w:r>
        <w:rPr>
          <w:rFonts w:ascii="Arial" w:hAnsi="Arial" w:cs="Arial"/>
        </w:rPr>
        <w:t xml:space="preserve"> of a clean audit, which followed</w:t>
      </w:r>
      <w:r w:rsidRPr="00DD1F37">
        <w:rPr>
          <w:rFonts w:ascii="Arial" w:hAnsi="Arial" w:cs="Arial"/>
        </w:rPr>
        <w:t xml:space="preserve"> four consecutive years of unqualified audit opinion</w:t>
      </w:r>
      <w:r>
        <w:rPr>
          <w:rFonts w:ascii="Arial" w:hAnsi="Arial" w:cs="Arial"/>
        </w:rPr>
        <w:t>s</w:t>
      </w:r>
      <w:r w:rsidRPr="00DD1F37">
        <w:rPr>
          <w:rFonts w:ascii="Arial" w:hAnsi="Arial" w:cs="Arial"/>
        </w:rPr>
        <w:t>.</w:t>
      </w:r>
    </w:p>
    <w:p w:rsidR="00100427" w:rsidRPr="00DD1F37" w:rsidRDefault="00100427" w:rsidP="00DD1F37">
      <w:pPr>
        <w:pStyle w:val="ListParagraph"/>
        <w:spacing w:after="0" w:line="280" w:lineRule="exact"/>
        <w:jc w:val="both"/>
        <w:rPr>
          <w:rFonts w:ascii="Arial" w:hAnsi="Arial" w:cs="Arial"/>
          <w:lang w:val="en-GB"/>
        </w:rPr>
      </w:pPr>
    </w:p>
    <w:p w:rsidR="00100427" w:rsidRPr="00FA66BC" w:rsidRDefault="00100427" w:rsidP="00FB4815">
      <w:pPr>
        <w:pStyle w:val="ListParagraph"/>
        <w:spacing w:after="0" w:line="280" w:lineRule="exact"/>
        <w:ind w:left="0"/>
        <w:jc w:val="both"/>
        <w:rPr>
          <w:rFonts w:ascii="Arial" w:hAnsi="Arial" w:cs="Arial"/>
        </w:rPr>
      </w:pPr>
    </w:p>
    <w:p w:rsidR="00100427" w:rsidRDefault="00100427" w:rsidP="00FB4815">
      <w:pPr>
        <w:pStyle w:val="ListParagraph"/>
        <w:numPr>
          <w:ilvl w:val="2"/>
          <w:numId w:val="1"/>
        </w:numPr>
        <w:spacing w:after="0" w:line="280" w:lineRule="exact"/>
        <w:jc w:val="both"/>
        <w:rPr>
          <w:rFonts w:ascii="Arial" w:hAnsi="Arial" w:cs="Arial"/>
        </w:rPr>
      </w:pPr>
      <w:r w:rsidRPr="00FA66BC">
        <w:rPr>
          <w:rFonts w:ascii="Arial" w:hAnsi="Arial" w:cs="Arial"/>
        </w:rPr>
        <w:t>Summary of key financial issues contained in any other relevant report(s) for 2012/13</w:t>
      </w:r>
    </w:p>
    <w:p w:rsidR="00100427" w:rsidRDefault="00100427" w:rsidP="00FB4815">
      <w:pPr>
        <w:pStyle w:val="ListParagraph"/>
        <w:spacing w:after="0" w:line="280" w:lineRule="exact"/>
        <w:jc w:val="both"/>
        <w:rPr>
          <w:rFonts w:ascii="Arial" w:hAnsi="Arial" w:cs="Arial"/>
        </w:rPr>
      </w:pPr>
    </w:p>
    <w:p w:rsidR="00100427" w:rsidRDefault="00100427" w:rsidP="00A53A61">
      <w:pPr>
        <w:pStyle w:val="ListParagraph"/>
        <w:spacing w:after="0" w:line="280" w:lineRule="exact"/>
        <w:jc w:val="both"/>
        <w:rPr>
          <w:rFonts w:ascii="Arial" w:hAnsi="Arial" w:cs="Arial"/>
        </w:rPr>
      </w:pPr>
      <w:r w:rsidRPr="001B0161">
        <w:rPr>
          <w:rFonts w:ascii="Arial" w:hAnsi="Arial" w:cs="Arial"/>
          <w:i/>
        </w:rPr>
        <w:t>COGTA</w:t>
      </w:r>
      <w:r>
        <w:rPr>
          <w:rFonts w:ascii="Arial" w:hAnsi="Arial" w:cs="Arial"/>
        </w:rPr>
        <w:t xml:space="preserve">: </w:t>
      </w:r>
      <w:r w:rsidRPr="00FB4815">
        <w:rPr>
          <w:rFonts w:ascii="Arial" w:hAnsi="Arial" w:cs="Arial"/>
        </w:rPr>
        <w:t xml:space="preserve">Main spending in COGTA is concentrated on three programmes: </w:t>
      </w:r>
      <w:r w:rsidRPr="00FB4815">
        <w:rPr>
          <w:rFonts w:ascii="Arial" w:hAnsi="Arial" w:cs="Arial"/>
          <w:i/>
        </w:rPr>
        <w:t>Government and Intergovernmental Relations, Infrastructure and Economic Development, and Disaster Response Management.</w:t>
      </w:r>
      <w:r w:rsidRPr="00FB4815">
        <w:rPr>
          <w:rFonts w:ascii="Arial" w:hAnsi="Arial" w:cs="Arial"/>
        </w:rPr>
        <w:t xml:space="preserve"> These programmes host sub-programmes on Local Government Equitable Share, the Municipal Infrastructure Grant and Disaster Relief Transfers respectively. All three sub-programmes receive very large amounts of funds. As a result the problem of under-spending tends to be more pronounced in these areas. As the Minister of Finance recently noted, ‘the withholding of local equitable share funds to municipalities where conditional allocations from previous years have not been fully spent, unspent disaster relief grants, delays in the Community Work Programme, and slower than anticipated spending on school infrastructure backlogs are the main areas of spending underperformance.’</w:t>
      </w:r>
      <w:r w:rsidRPr="00553763">
        <w:rPr>
          <w:rStyle w:val="FootnoteReference"/>
          <w:rFonts w:ascii="Arial" w:hAnsi="Arial" w:cs="Arial"/>
        </w:rPr>
        <w:footnoteReference w:id="13"/>
      </w:r>
      <w:r w:rsidRPr="00FB4815">
        <w:rPr>
          <w:rFonts w:ascii="Arial" w:hAnsi="Arial" w:cs="Arial"/>
        </w:rPr>
        <w:t xml:space="preserve"> For the period under review under expenditure amounted to R713.7 million and R439.5 million in the</w:t>
      </w:r>
      <w:r w:rsidRPr="00FB4815">
        <w:rPr>
          <w:rFonts w:ascii="Arial" w:hAnsi="Arial" w:cs="Arial"/>
          <w:i/>
        </w:rPr>
        <w:t xml:space="preserve"> Government and Intergovernmental Relations and Disaster Response Management</w:t>
      </w:r>
      <w:r w:rsidRPr="00FB4815">
        <w:rPr>
          <w:rFonts w:ascii="Arial" w:hAnsi="Arial" w:cs="Arial"/>
        </w:rPr>
        <w:t xml:space="preserve"> programmes respectively.</w:t>
      </w:r>
    </w:p>
    <w:p w:rsidR="00100427" w:rsidRDefault="00100427" w:rsidP="00A53A61">
      <w:pPr>
        <w:pStyle w:val="ListParagraph"/>
        <w:spacing w:after="0" w:line="280" w:lineRule="exact"/>
        <w:jc w:val="both"/>
        <w:rPr>
          <w:rFonts w:ascii="Arial" w:hAnsi="Arial" w:cs="Arial"/>
        </w:rPr>
      </w:pPr>
    </w:p>
    <w:p w:rsidR="00100427" w:rsidRPr="007E2BA7" w:rsidRDefault="00100427" w:rsidP="00A53A61">
      <w:pPr>
        <w:pStyle w:val="ListParagraph"/>
        <w:spacing w:after="0" w:line="280" w:lineRule="exact"/>
        <w:jc w:val="both"/>
        <w:rPr>
          <w:rFonts w:ascii="Arial" w:hAnsi="Arial" w:cs="Arial"/>
        </w:rPr>
      </w:pPr>
      <w:r w:rsidRPr="00304D7D">
        <w:rPr>
          <w:rFonts w:ascii="Arial" w:hAnsi="Arial" w:cs="Arial"/>
          <w:i/>
        </w:rPr>
        <w:t>MISA</w:t>
      </w:r>
      <w:r>
        <w:rPr>
          <w:rFonts w:ascii="Arial" w:hAnsi="Arial" w:cs="Arial"/>
        </w:rPr>
        <w:t xml:space="preserve">: </w:t>
      </w:r>
      <w:r w:rsidRPr="007E2BA7">
        <w:rPr>
          <w:rFonts w:ascii="Arial" w:hAnsi="Arial" w:cs="Arial"/>
        </w:rPr>
        <w:t xml:space="preserve">During the 2012/13 financial year the </w:t>
      </w:r>
      <w:r w:rsidRPr="007E2BA7">
        <w:rPr>
          <w:rFonts w:ascii="Arial" w:hAnsi="Arial" w:cs="Arial"/>
          <w:kern w:val="24"/>
        </w:rPr>
        <w:t>Municipal Infrastructure Support Agent (MISA) also registered under expenditure of 34 per cent</w:t>
      </w:r>
      <w:r>
        <w:rPr>
          <w:rFonts w:ascii="Arial" w:hAnsi="Arial" w:cs="Arial"/>
          <w:kern w:val="24"/>
        </w:rPr>
        <w:t>, which amounts to R49.1 million</w:t>
      </w:r>
      <w:r w:rsidRPr="007E2BA7">
        <w:rPr>
          <w:rFonts w:ascii="Arial" w:hAnsi="Arial" w:cs="Arial"/>
          <w:kern w:val="24"/>
        </w:rPr>
        <w:t xml:space="preserve">. </w:t>
      </w:r>
      <w:r>
        <w:rPr>
          <w:rFonts w:ascii="Arial" w:hAnsi="Arial" w:cs="Arial"/>
          <w:color w:val="000000"/>
          <w:kern w:val="24"/>
        </w:rPr>
        <w:t xml:space="preserve">R11.8 million of this was reportedly under-spent as a result of </w:t>
      </w:r>
      <w:r w:rsidRPr="007E2BA7">
        <w:rPr>
          <w:rFonts w:ascii="Arial" w:hAnsi="Arial" w:cs="Arial"/>
          <w:color w:val="000000"/>
          <w:kern w:val="24"/>
        </w:rPr>
        <w:t>the process of transferring some officials from DCoG to MISA, which took longer than expected. Furthermore, not all earmarked officials agreed to the proposed transfers</w:t>
      </w:r>
      <w:r>
        <w:rPr>
          <w:rFonts w:ascii="Arial" w:hAnsi="Arial" w:cs="Arial"/>
          <w:color w:val="000000"/>
          <w:kern w:val="24"/>
        </w:rPr>
        <w:t>,</w:t>
      </w:r>
      <w:r w:rsidRPr="007E2BA7">
        <w:rPr>
          <w:rFonts w:ascii="Arial" w:hAnsi="Arial" w:cs="Arial"/>
          <w:color w:val="000000"/>
          <w:kern w:val="24"/>
        </w:rPr>
        <w:t xml:space="preserve"> and </w:t>
      </w:r>
      <w:r>
        <w:rPr>
          <w:rFonts w:ascii="Arial" w:hAnsi="Arial" w:cs="Arial"/>
          <w:color w:val="000000"/>
          <w:kern w:val="24"/>
        </w:rPr>
        <w:t xml:space="preserve">the </w:t>
      </w:r>
      <w:r w:rsidRPr="007E2BA7">
        <w:rPr>
          <w:rFonts w:ascii="Arial" w:hAnsi="Arial" w:cs="Arial"/>
          <w:color w:val="000000"/>
          <w:kern w:val="24"/>
        </w:rPr>
        <w:t>external recruitment process could only be initiated upon the resolution of this issue.</w:t>
      </w:r>
      <w:r>
        <w:rPr>
          <w:rFonts w:ascii="Arial" w:hAnsi="Arial" w:cs="Arial"/>
          <w:color w:val="000000"/>
          <w:kern w:val="24"/>
        </w:rPr>
        <w:t xml:space="preserve"> The rest of the under expenditure, or  R36.7 million, was reportedly due to delays in rolling out</w:t>
      </w:r>
      <w:r w:rsidRPr="007E2BA7">
        <w:rPr>
          <w:rFonts w:ascii="Arial" w:hAnsi="Arial" w:cs="Arial"/>
          <w:color w:val="000000"/>
          <w:kern w:val="24"/>
        </w:rPr>
        <w:t xml:space="preserve"> technical support to municipalities</w:t>
      </w:r>
      <w:r>
        <w:rPr>
          <w:rFonts w:ascii="Arial" w:hAnsi="Arial" w:cs="Arial"/>
          <w:color w:val="000000"/>
          <w:kern w:val="24"/>
        </w:rPr>
        <w:t xml:space="preserve"> as a result of</w:t>
      </w:r>
      <w:r w:rsidRPr="007E2BA7">
        <w:rPr>
          <w:rFonts w:ascii="Arial" w:hAnsi="Arial" w:cs="Arial"/>
          <w:color w:val="000000"/>
          <w:kern w:val="24"/>
        </w:rPr>
        <w:t xml:space="preserve"> delays in the approval of Integrated Support Plans (ISPs) by municipal councils, which is a pre-condition for the imple</w:t>
      </w:r>
      <w:r>
        <w:rPr>
          <w:rFonts w:ascii="Arial" w:hAnsi="Arial" w:cs="Arial"/>
          <w:color w:val="000000"/>
          <w:kern w:val="24"/>
        </w:rPr>
        <w:t>mentation of support and i</w:t>
      </w:r>
      <w:r w:rsidRPr="007E2BA7">
        <w:rPr>
          <w:rFonts w:ascii="Arial" w:hAnsi="Arial" w:cs="Arial"/>
          <w:color w:val="000000"/>
          <w:kern w:val="24"/>
        </w:rPr>
        <w:t>nsufficient internal capacity</w:t>
      </w:r>
      <w:r>
        <w:rPr>
          <w:rFonts w:ascii="Arial" w:hAnsi="Arial" w:cs="Arial"/>
          <w:color w:val="000000"/>
          <w:kern w:val="24"/>
        </w:rPr>
        <w:t>.</w:t>
      </w:r>
    </w:p>
    <w:p w:rsidR="00100427" w:rsidRPr="00DD6FA0" w:rsidRDefault="00100427" w:rsidP="00634FC6">
      <w:pPr>
        <w:pStyle w:val="ListParagraph"/>
        <w:spacing w:after="0" w:line="280" w:lineRule="exact"/>
        <w:ind w:left="0"/>
        <w:jc w:val="both"/>
        <w:rPr>
          <w:rFonts w:ascii="Arial" w:hAnsi="Arial" w:cs="Arial"/>
        </w:rPr>
      </w:pPr>
    </w:p>
    <w:p w:rsidR="00100427" w:rsidRDefault="00100427" w:rsidP="00AC2746">
      <w:pPr>
        <w:pStyle w:val="ListParagraph"/>
        <w:numPr>
          <w:ilvl w:val="1"/>
          <w:numId w:val="1"/>
        </w:numPr>
        <w:spacing w:after="0" w:line="280" w:lineRule="exact"/>
        <w:jc w:val="both"/>
        <w:rPr>
          <w:rFonts w:ascii="Arial" w:hAnsi="Arial" w:cs="Arial"/>
          <w:b/>
        </w:rPr>
      </w:pPr>
      <w:r w:rsidRPr="00DD6FA0">
        <w:rPr>
          <w:rFonts w:ascii="Arial" w:hAnsi="Arial" w:cs="Arial"/>
          <w:b/>
        </w:rPr>
        <w:t>Financial performance 2013/14</w:t>
      </w:r>
    </w:p>
    <w:p w:rsidR="00100427" w:rsidRDefault="00100427" w:rsidP="00AC2746">
      <w:pPr>
        <w:pStyle w:val="ListParagraph"/>
        <w:spacing w:after="0" w:line="280" w:lineRule="exact"/>
        <w:jc w:val="both"/>
        <w:rPr>
          <w:rFonts w:ascii="Arial" w:hAnsi="Arial" w:cs="Arial"/>
          <w:b/>
        </w:rPr>
      </w:pPr>
    </w:p>
    <w:p w:rsidR="00100427" w:rsidRPr="008A43F0" w:rsidRDefault="00100427" w:rsidP="008A43F0">
      <w:pPr>
        <w:pStyle w:val="ListParagraph"/>
        <w:spacing w:after="0" w:line="280" w:lineRule="exact"/>
        <w:jc w:val="both"/>
        <w:rPr>
          <w:rFonts w:ascii="Arial" w:hAnsi="Arial" w:cs="Arial"/>
        </w:rPr>
      </w:pPr>
      <w:r w:rsidRPr="00AC2746">
        <w:rPr>
          <w:rFonts w:ascii="Arial" w:hAnsi="Arial" w:cs="Arial"/>
        </w:rPr>
        <w:t>For 2013/14 COGTA has an available appropriation of R58.3 billion, which represents a nominal incre</w:t>
      </w:r>
      <w:r>
        <w:rPr>
          <w:rFonts w:ascii="Arial" w:hAnsi="Arial" w:cs="Arial"/>
        </w:rPr>
        <w:t>ase of R3.4 billion, or 6.2 per</w:t>
      </w:r>
      <w:r w:rsidRPr="00AC2746">
        <w:rPr>
          <w:rFonts w:ascii="Arial" w:hAnsi="Arial" w:cs="Arial"/>
        </w:rPr>
        <w:t>cent, from 2012/13.</w:t>
      </w:r>
      <w:r>
        <w:rPr>
          <w:rFonts w:ascii="Arial" w:hAnsi="Arial" w:cs="Arial"/>
        </w:rPr>
        <w:t xml:space="preserve"> R26 million is allocated to SALGA, which represents a real decrease of -7.79 percent compared to the previous financial year; R42.2 million is allocated to the MDB and also marks a real decrease of -1.08 percent; the SACN receives R5.8 million, which is -0.14 percent less than the previous financial year in real terms; and at R32.5 million the CRL Rights Commission allocation shows a real decrease of -10.01 percent compared to 2012/13.</w:t>
      </w:r>
    </w:p>
    <w:p w:rsidR="00100427" w:rsidRPr="00DD6FA0" w:rsidRDefault="00100427" w:rsidP="009D3A30">
      <w:pPr>
        <w:pStyle w:val="ListParagraph"/>
        <w:spacing w:after="0" w:line="280" w:lineRule="exact"/>
        <w:ind w:left="0"/>
        <w:jc w:val="both"/>
        <w:rPr>
          <w:rFonts w:ascii="Arial" w:hAnsi="Arial" w:cs="Arial"/>
          <w:b/>
        </w:rPr>
      </w:pPr>
    </w:p>
    <w:p w:rsidR="00100427" w:rsidRPr="009C3D6C" w:rsidRDefault="00100427" w:rsidP="009C3D6C">
      <w:pPr>
        <w:pStyle w:val="ListParagraph"/>
        <w:numPr>
          <w:ilvl w:val="0"/>
          <w:numId w:val="2"/>
        </w:numPr>
        <w:spacing w:after="0" w:line="280" w:lineRule="exact"/>
        <w:jc w:val="both"/>
        <w:rPr>
          <w:rFonts w:ascii="Arial" w:hAnsi="Arial" w:cs="Arial"/>
        </w:rPr>
      </w:pPr>
      <w:r w:rsidRPr="00AF40AC">
        <w:rPr>
          <w:rFonts w:ascii="Arial" w:hAnsi="Arial" w:cs="Arial"/>
        </w:rPr>
        <w:t>Quarterly spending trends</w:t>
      </w:r>
    </w:p>
    <w:p w:rsidR="00100427" w:rsidRDefault="00100427" w:rsidP="00AF40AC">
      <w:pPr>
        <w:pStyle w:val="ListParagraph"/>
        <w:spacing w:after="0" w:line="280" w:lineRule="exact"/>
        <w:ind w:left="360"/>
        <w:jc w:val="both"/>
        <w:rPr>
          <w:rFonts w:ascii="Arial" w:hAnsi="Arial" w:cs="Arial"/>
          <w:i/>
        </w:rPr>
      </w:pPr>
    </w:p>
    <w:p w:rsidR="00100427" w:rsidRDefault="00100427" w:rsidP="00E56A9D">
      <w:pPr>
        <w:pStyle w:val="ListParagraph"/>
        <w:numPr>
          <w:ilvl w:val="0"/>
          <w:numId w:val="13"/>
        </w:numPr>
        <w:spacing w:after="0" w:line="280" w:lineRule="exact"/>
        <w:jc w:val="both"/>
        <w:rPr>
          <w:rFonts w:ascii="Arial" w:hAnsi="Arial" w:cs="Arial"/>
        </w:rPr>
      </w:pPr>
      <w:r w:rsidRPr="00AF40AC">
        <w:rPr>
          <w:rFonts w:ascii="Arial" w:hAnsi="Arial" w:cs="Arial"/>
          <w:i/>
        </w:rPr>
        <w:t>Operational Expenditure</w:t>
      </w:r>
      <w:r>
        <w:rPr>
          <w:rFonts w:ascii="Arial" w:hAnsi="Arial" w:cs="Arial"/>
        </w:rPr>
        <w:t xml:space="preserve">: Between April and June the Department spent 13.1% of its operational budget compared to 6.8% in 2012/13. When not taking inflation </w:t>
      </w:r>
      <w:r>
        <w:rPr>
          <w:rFonts w:ascii="Arial" w:hAnsi="Arial" w:cs="Arial"/>
        </w:rPr>
        <w:lastRenderedPageBreak/>
        <w:t>into account, this represents 121.4% growth in operational expenditure in the first quarter of 2013/14. This growth was ‘primarily related to growth in payments to lead agents for salaries, management fees, and protective clothing under the Community Work Programme.’</w:t>
      </w:r>
      <w:r>
        <w:rPr>
          <w:rStyle w:val="FootnoteReference"/>
          <w:rFonts w:ascii="Arial" w:hAnsi="Arial" w:cs="Arial"/>
        </w:rPr>
        <w:footnoteReference w:id="14"/>
      </w:r>
    </w:p>
    <w:p w:rsidR="00100427" w:rsidRPr="00DD6FA0" w:rsidRDefault="00100427" w:rsidP="00E56A9D">
      <w:pPr>
        <w:pStyle w:val="ListParagraph"/>
        <w:numPr>
          <w:ilvl w:val="0"/>
          <w:numId w:val="13"/>
        </w:numPr>
        <w:spacing w:after="0" w:line="280" w:lineRule="exact"/>
        <w:jc w:val="both"/>
        <w:rPr>
          <w:rFonts w:ascii="Arial" w:hAnsi="Arial" w:cs="Arial"/>
        </w:rPr>
      </w:pPr>
      <w:r>
        <w:rPr>
          <w:rFonts w:ascii="Arial" w:hAnsi="Arial" w:cs="Arial"/>
          <w:i/>
        </w:rPr>
        <w:t>Transfers and subsidies</w:t>
      </w:r>
      <w:r w:rsidRPr="00AF40AC">
        <w:rPr>
          <w:rFonts w:ascii="Arial" w:hAnsi="Arial" w:cs="Arial"/>
        </w:rPr>
        <w:t>:</w:t>
      </w:r>
      <w:r>
        <w:rPr>
          <w:rFonts w:ascii="Arial" w:hAnsi="Arial" w:cs="Arial"/>
        </w:rPr>
        <w:t xml:space="preserve"> Between April and June 2013, the Department had spent R136.3 million of its available Budget of R55.8 billion. During the same period in the previous financial year, the Department had only spent R36.7 million of its available Budget of R52.7 billion. This therefore marks a nominal expenditure growth of 271.4%, which is attributed partly to higher transfers under the Municipal Disaster Fund. However, this expenditure does not reflect the Local Government Equitable Share as this takes place during the second quarter of the financial year.</w:t>
      </w:r>
    </w:p>
    <w:p w:rsidR="00100427" w:rsidRPr="00DD6FA0" w:rsidRDefault="00100427" w:rsidP="009D3A30">
      <w:pPr>
        <w:pStyle w:val="ListParagraph"/>
        <w:spacing w:after="0" w:line="280" w:lineRule="exact"/>
        <w:ind w:left="360"/>
        <w:jc w:val="both"/>
        <w:rPr>
          <w:rFonts w:ascii="Arial" w:hAnsi="Arial" w:cs="Arial"/>
        </w:rPr>
      </w:pPr>
    </w:p>
    <w:p w:rsidR="00100427" w:rsidRDefault="00100427" w:rsidP="00E56A9D">
      <w:pPr>
        <w:pStyle w:val="ListParagraph"/>
        <w:numPr>
          <w:ilvl w:val="0"/>
          <w:numId w:val="2"/>
        </w:numPr>
        <w:spacing w:after="0" w:line="280" w:lineRule="exact"/>
        <w:jc w:val="both"/>
        <w:rPr>
          <w:rFonts w:ascii="Arial" w:hAnsi="Arial" w:cs="Arial"/>
        </w:rPr>
      </w:pPr>
      <w:r w:rsidRPr="00DD6FA0">
        <w:rPr>
          <w:rFonts w:ascii="Arial" w:hAnsi="Arial" w:cs="Arial"/>
        </w:rPr>
        <w:t>Reported spending pressures.</w:t>
      </w:r>
    </w:p>
    <w:p w:rsidR="00100427" w:rsidRDefault="00100427" w:rsidP="00652C8F">
      <w:pPr>
        <w:pStyle w:val="ListParagraph"/>
        <w:spacing w:after="0" w:line="280" w:lineRule="exact"/>
        <w:jc w:val="both"/>
        <w:rPr>
          <w:rFonts w:ascii="Arial" w:hAnsi="Arial" w:cs="Arial"/>
        </w:rPr>
      </w:pPr>
    </w:p>
    <w:p w:rsidR="00100427" w:rsidRPr="00DD6FA0" w:rsidRDefault="00100427" w:rsidP="0044562A">
      <w:pPr>
        <w:pStyle w:val="ListParagraph"/>
        <w:spacing w:after="0" w:line="280" w:lineRule="exact"/>
        <w:jc w:val="both"/>
        <w:rPr>
          <w:rFonts w:ascii="Arial" w:hAnsi="Arial" w:cs="Arial"/>
        </w:rPr>
      </w:pPr>
      <w:r>
        <w:rPr>
          <w:rFonts w:ascii="Arial" w:hAnsi="Arial" w:cs="Arial"/>
        </w:rPr>
        <w:t>As already alluded to, expenditure on goods and services under the Infrastructure and Economic Development Programme constituted the largest element of operational expenditure with R219.1 million spent at the end of the first quarter in 2013/14. Compensation of employees and goods and services under the Administration and Traditional Affairs Programmes was the next largest element of operational expenditure amounting to R48 million and R16.5 million respectively.</w:t>
      </w:r>
    </w:p>
    <w:p w:rsidR="00100427" w:rsidRPr="00DD6FA0" w:rsidRDefault="00100427" w:rsidP="009D3A30">
      <w:pPr>
        <w:pStyle w:val="ListParagraph"/>
        <w:spacing w:after="0" w:line="280" w:lineRule="exact"/>
        <w:ind w:left="0"/>
        <w:jc w:val="both"/>
        <w:rPr>
          <w:rFonts w:ascii="Arial" w:hAnsi="Arial" w:cs="Arial"/>
        </w:rPr>
      </w:pPr>
    </w:p>
    <w:p w:rsidR="00100427" w:rsidRPr="00DD6FA0" w:rsidRDefault="00100427" w:rsidP="003970F6">
      <w:pPr>
        <w:pStyle w:val="ListParagraph"/>
        <w:numPr>
          <w:ilvl w:val="0"/>
          <w:numId w:val="1"/>
        </w:numPr>
        <w:spacing w:after="0" w:line="280" w:lineRule="exact"/>
        <w:jc w:val="both"/>
        <w:rPr>
          <w:rFonts w:ascii="Arial" w:hAnsi="Arial" w:cs="Arial"/>
          <w:b/>
          <w:caps/>
        </w:rPr>
      </w:pPr>
      <w:r w:rsidRPr="00DD6FA0">
        <w:rPr>
          <w:rFonts w:ascii="Arial" w:hAnsi="Arial" w:cs="Arial"/>
          <w:b/>
          <w:caps/>
        </w:rPr>
        <w:t>Overview and assessment of service delivery performance</w:t>
      </w:r>
    </w:p>
    <w:p w:rsidR="00100427" w:rsidRPr="00DD6FA0" w:rsidRDefault="00100427" w:rsidP="009D3A30">
      <w:pPr>
        <w:pStyle w:val="ListParagraph"/>
        <w:spacing w:after="0" w:line="280" w:lineRule="exact"/>
        <w:ind w:left="0"/>
        <w:jc w:val="both"/>
        <w:rPr>
          <w:rFonts w:ascii="Arial" w:hAnsi="Arial" w:cs="Arial"/>
          <w:b/>
        </w:rPr>
      </w:pPr>
    </w:p>
    <w:p w:rsidR="00100427" w:rsidRDefault="00100427" w:rsidP="003970F6">
      <w:pPr>
        <w:pStyle w:val="ListParagraph"/>
        <w:numPr>
          <w:ilvl w:val="1"/>
          <w:numId w:val="1"/>
        </w:numPr>
        <w:spacing w:after="0" w:line="280" w:lineRule="exact"/>
        <w:jc w:val="both"/>
        <w:rPr>
          <w:rFonts w:ascii="Arial" w:hAnsi="Arial" w:cs="Arial"/>
          <w:b/>
        </w:rPr>
      </w:pPr>
      <w:r w:rsidRPr="00DD6FA0">
        <w:rPr>
          <w:rFonts w:ascii="Arial" w:hAnsi="Arial" w:cs="Arial"/>
          <w:b/>
        </w:rPr>
        <w:t xml:space="preserve">Service delivery performance for 2012/13 </w:t>
      </w:r>
    </w:p>
    <w:p w:rsidR="00100427" w:rsidRDefault="00100427" w:rsidP="000B0156">
      <w:pPr>
        <w:pStyle w:val="ListParagraph"/>
        <w:spacing w:after="0" w:line="280" w:lineRule="exact"/>
        <w:jc w:val="both"/>
        <w:rPr>
          <w:rFonts w:ascii="Arial" w:hAnsi="Arial" w:cs="Arial"/>
          <w:b/>
        </w:rPr>
      </w:pPr>
    </w:p>
    <w:p w:rsidR="00100427" w:rsidRDefault="00100427" w:rsidP="000B0156">
      <w:pPr>
        <w:pStyle w:val="ListParagraph"/>
        <w:numPr>
          <w:ilvl w:val="2"/>
          <w:numId w:val="1"/>
        </w:numPr>
        <w:spacing w:after="0" w:line="280" w:lineRule="exact"/>
        <w:jc w:val="both"/>
        <w:rPr>
          <w:rFonts w:ascii="Arial" w:hAnsi="Arial" w:cs="Arial"/>
          <w:b/>
        </w:rPr>
      </w:pPr>
      <w:r>
        <w:rPr>
          <w:rFonts w:ascii="Arial" w:hAnsi="Arial" w:cs="Arial"/>
        </w:rPr>
        <w:t>Annual Performance Plan</w:t>
      </w:r>
    </w:p>
    <w:p w:rsidR="00100427" w:rsidRDefault="00100427" w:rsidP="000B0156">
      <w:pPr>
        <w:pStyle w:val="ListParagraph"/>
        <w:spacing w:after="0" w:line="280" w:lineRule="exact"/>
        <w:jc w:val="both"/>
        <w:rPr>
          <w:rFonts w:ascii="Arial" w:hAnsi="Arial" w:cs="Arial"/>
          <w:b/>
        </w:rPr>
      </w:pPr>
    </w:p>
    <w:p w:rsidR="00100427" w:rsidRDefault="00100427" w:rsidP="00C27471">
      <w:pPr>
        <w:pStyle w:val="ListParagraph"/>
        <w:spacing w:after="0" w:line="280" w:lineRule="exact"/>
        <w:jc w:val="both"/>
        <w:rPr>
          <w:rFonts w:ascii="Arial" w:hAnsi="Arial" w:cs="Arial"/>
        </w:rPr>
      </w:pPr>
      <w:r w:rsidRPr="006B05D7">
        <w:rPr>
          <w:rFonts w:ascii="Arial" w:hAnsi="Arial" w:cs="Arial"/>
          <w:i/>
        </w:rPr>
        <w:t>COGTA:</w:t>
      </w:r>
      <w:r>
        <w:rPr>
          <w:rFonts w:ascii="Arial" w:hAnsi="Arial" w:cs="Arial"/>
        </w:rPr>
        <w:t xml:space="preserve"> T</w:t>
      </w:r>
      <w:r w:rsidRPr="002016FB">
        <w:rPr>
          <w:rFonts w:ascii="Arial" w:hAnsi="Arial" w:cs="Arial"/>
        </w:rPr>
        <w:t xml:space="preserve">he departmental performance progress for the year under review has improved.  71% of </w:t>
      </w:r>
      <w:r>
        <w:rPr>
          <w:rFonts w:ascii="Arial" w:hAnsi="Arial" w:cs="Arial"/>
        </w:rPr>
        <w:t xml:space="preserve">targets? </w:t>
      </w:r>
      <w:r w:rsidRPr="002016FB">
        <w:rPr>
          <w:rFonts w:ascii="Arial" w:hAnsi="Arial" w:cs="Arial"/>
        </w:rPr>
        <w:t>were achieved compared to the past three financial years w</w:t>
      </w:r>
      <w:r>
        <w:rPr>
          <w:rFonts w:ascii="Arial" w:hAnsi="Arial" w:cs="Arial"/>
        </w:rPr>
        <w:t>h</w:t>
      </w:r>
      <w:r w:rsidRPr="002016FB">
        <w:rPr>
          <w:rFonts w:ascii="Arial" w:hAnsi="Arial" w:cs="Arial"/>
        </w:rPr>
        <w:t>ere the performance was around 60%.</w:t>
      </w:r>
      <w:r>
        <w:rPr>
          <w:rFonts w:ascii="Arial" w:hAnsi="Arial" w:cs="Arial"/>
        </w:rPr>
        <w:t xml:space="preserve"> However, the department’s management of performance information is not optimal, which is one of the reasons for failure to obtain a clean audit during the year under review. </w:t>
      </w:r>
    </w:p>
    <w:p w:rsidR="00100427" w:rsidRDefault="00100427" w:rsidP="00C27471">
      <w:pPr>
        <w:pStyle w:val="ListParagraph"/>
        <w:spacing w:after="0" w:line="280" w:lineRule="exact"/>
        <w:jc w:val="both"/>
        <w:rPr>
          <w:rFonts w:ascii="Arial" w:hAnsi="Arial" w:cs="Arial"/>
        </w:rPr>
      </w:pPr>
      <w:r w:rsidRPr="00C27471">
        <w:rPr>
          <w:rFonts w:ascii="Arial" w:hAnsi="Arial" w:cs="Arial"/>
          <w:i/>
        </w:rPr>
        <w:t xml:space="preserve">CRL Rights Commission: </w:t>
      </w:r>
      <w:r w:rsidRPr="00C27471">
        <w:rPr>
          <w:rFonts w:ascii="Arial" w:hAnsi="Arial" w:cs="Arial"/>
        </w:rPr>
        <w:t>The Auditor-Gene</w:t>
      </w:r>
      <w:r>
        <w:rPr>
          <w:rFonts w:ascii="Arial" w:hAnsi="Arial" w:cs="Arial"/>
        </w:rPr>
        <w:t>ral</w:t>
      </w:r>
      <w:r w:rsidRPr="00C27471">
        <w:rPr>
          <w:rFonts w:ascii="Arial" w:hAnsi="Arial" w:cs="Arial"/>
        </w:rPr>
        <w:t xml:space="preserve"> noted material findings concerning the usefulness of the information provided by the Commission in terms of its measurability and reliability. For instance</w:t>
      </w:r>
      <w:r>
        <w:rPr>
          <w:rFonts w:ascii="Arial" w:hAnsi="Arial" w:cs="Arial"/>
        </w:rPr>
        <w:t>,</w:t>
      </w:r>
      <w:r w:rsidRPr="00C27471">
        <w:rPr>
          <w:rFonts w:ascii="Arial" w:hAnsi="Arial" w:cs="Arial"/>
        </w:rPr>
        <w:t xml:space="preserve"> 93% of targets were found to be ‘not time bound in specifying a time period or deadline for delivery.’</w:t>
      </w:r>
      <w:r w:rsidRPr="00C27471">
        <w:rPr>
          <w:rStyle w:val="FootnoteReference"/>
          <w:rFonts w:ascii="Arial" w:hAnsi="Arial" w:cs="Arial"/>
        </w:rPr>
        <w:footnoteReference w:id="15"/>
      </w:r>
      <w:r w:rsidRPr="00C27471">
        <w:rPr>
          <w:rFonts w:ascii="Arial" w:hAnsi="Arial" w:cs="Arial"/>
        </w:rPr>
        <w:t xml:space="preserve"> Also, in many instances the reported information was found to be ‘materially misstated due to the cumulative effect of numerous individually immaterial uncorrected misstatements in the targets relevant to the selected programmes.’</w:t>
      </w:r>
      <w:r w:rsidRPr="00C27471">
        <w:rPr>
          <w:rStyle w:val="FootnoteReference"/>
          <w:rFonts w:ascii="Arial" w:hAnsi="Arial" w:cs="Arial"/>
        </w:rPr>
        <w:footnoteReference w:id="16"/>
      </w:r>
    </w:p>
    <w:p w:rsidR="00100427" w:rsidRDefault="00100427" w:rsidP="00C27471">
      <w:pPr>
        <w:pStyle w:val="ListParagraph"/>
        <w:spacing w:after="0" w:line="280" w:lineRule="exact"/>
        <w:jc w:val="both"/>
        <w:rPr>
          <w:rFonts w:ascii="Arial" w:hAnsi="Arial" w:cs="Arial"/>
        </w:rPr>
      </w:pPr>
    </w:p>
    <w:p w:rsidR="00100427" w:rsidRDefault="00100427" w:rsidP="00B91BE2">
      <w:pPr>
        <w:pStyle w:val="ListParagraph"/>
        <w:spacing w:after="0" w:line="280" w:lineRule="exact"/>
        <w:jc w:val="both"/>
        <w:rPr>
          <w:rFonts w:ascii="Arial" w:hAnsi="Arial" w:cs="Arial"/>
        </w:rPr>
      </w:pPr>
      <w:r w:rsidRPr="00500C7B">
        <w:rPr>
          <w:rFonts w:ascii="Arial" w:hAnsi="Arial" w:cs="Arial"/>
          <w:i/>
        </w:rPr>
        <w:lastRenderedPageBreak/>
        <w:t>MDB:</w:t>
      </w:r>
      <w:r w:rsidRPr="00500C7B">
        <w:rPr>
          <w:rFonts w:ascii="Arial" w:hAnsi="Arial" w:cs="Arial"/>
        </w:rPr>
        <w:t xml:space="preserve"> For 2012/13 the Board has an estimated performance of 75% for the implementation of stakeholder relations, engagement, and communication strategy. However, no indication </w:t>
      </w:r>
      <w:r>
        <w:rPr>
          <w:rFonts w:ascii="Arial" w:hAnsi="Arial" w:cs="Arial"/>
        </w:rPr>
        <w:t>of actual/audited performance was provided.</w:t>
      </w:r>
    </w:p>
    <w:p w:rsidR="00100427" w:rsidRDefault="00100427" w:rsidP="00B91BE2">
      <w:pPr>
        <w:pStyle w:val="ListParagraph"/>
        <w:spacing w:after="0" w:line="280" w:lineRule="exact"/>
        <w:jc w:val="both"/>
        <w:rPr>
          <w:rFonts w:ascii="Arial" w:hAnsi="Arial" w:cs="Arial"/>
        </w:rPr>
      </w:pPr>
    </w:p>
    <w:p w:rsidR="00100427" w:rsidRDefault="00100427" w:rsidP="000A454F">
      <w:pPr>
        <w:pStyle w:val="ListParagraph"/>
        <w:spacing w:after="0" w:line="280" w:lineRule="exact"/>
        <w:jc w:val="both"/>
        <w:rPr>
          <w:rFonts w:ascii="Arial" w:hAnsi="Arial" w:cs="Arial"/>
        </w:rPr>
      </w:pPr>
      <w:r w:rsidRPr="00B91BE2">
        <w:rPr>
          <w:rFonts w:ascii="Arial" w:hAnsi="Arial" w:cs="Arial"/>
          <w:i/>
        </w:rPr>
        <w:t>SALGA:</w:t>
      </w:r>
      <w:r w:rsidRPr="00B91BE2">
        <w:rPr>
          <w:rFonts w:ascii="Arial" w:hAnsi="Arial" w:cs="Arial"/>
        </w:rPr>
        <w:t xml:space="preserve">  </w:t>
      </w:r>
      <w:r>
        <w:rPr>
          <w:rFonts w:ascii="Arial" w:hAnsi="Arial" w:cs="Arial"/>
        </w:rPr>
        <w:t xml:space="preserve">The entity </w:t>
      </w:r>
      <w:r w:rsidRPr="00B91BE2">
        <w:rPr>
          <w:rFonts w:ascii="Arial" w:hAnsi="Arial" w:cs="Arial"/>
        </w:rPr>
        <w:t>achieved 84 per</w:t>
      </w:r>
      <w:r>
        <w:rPr>
          <w:rFonts w:ascii="Arial" w:hAnsi="Arial" w:cs="Arial"/>
        </w:rPr>
        <w:t xml:space="preserve"> </w:t>
      </w:r>
      <w:r w:rsidRPr="00B91BE2">
        <w:rPr>
          <w:rFonts w:ascii="Arial" w:hAnsi="Arial" w:cs="Arial"/>
        </w:rPr>
        <w:t xml:space="preserve">cent </w:t>
      </w:r>
      <w:r>
        <w:rPr>
          <w:rFonts w:ascii="Arial" w:hAnsi="Arial" w:cs="Arial"/>
        </w:rPr>
        <w:t>of its targets for 2012/13, just as in the previous financial year.</w:t>
      </w:r>
    </w:p>
    <w:p w:rsidR="00100427" w:rsidRDefault="00100427" w:rsidP="000A454F">
      <w:pPr>
        <w:pStyle w:val="ListParagraph"/>
        <w:spacing w:after="0" w:line="280" w:lineRule="exact"/>
        <w:jc w:val="both"/>
        <w:rPr>
          <w:rFonts w:ascii="Arial" w:hAnsi="Arial" w:cs="Arial"/>
        </w:rPr>
      </w:pPr>
    </w:p>
    <w:p w:rsidR="00100427" w:rsidRPr="007B50F9" w:rsidRDefault="00100427" w:rsidP="000A454F">
      <w:pPr>
        <w:pStyle w:val="ListParagraph"/>
        <w:spacing w:after="0" w:line="280" w:lineRule="exact"/>
        <w:jc w:val="both"/>
        <w:rPr>
          <w:rFonts w:ascii="Arial" w:hAnsi="Arial" w:cs="Arial"/>
        </w:rPr>
      </w:pPr>
      <w:r>
        <w:rPr>
          <w:rFonts w:ascii="Arial" w:hAnsi="Arial" w:cs="Arial"/>
          <w:i/>
        </w:rPr>
        <w:t xml:space="preserve">SACN: </w:t>
      </w:r>
      <w:r>
        <w:rPr>
          <w:rFonts w:ascii="Arial" w:hAnsi="Arial" w:cs="Arial"/>
        </w:rPr>
        <w:t xml:space="preserve">In its single briefing to the Committee the South African Cities Network provided </w:t>
      </w:r>
      <w:r w:rsidRPr="007B50F9">
        <w:rPr>
          <w:rFonts w:ascii="Arial" w:hAnsi="Arial" w:cs="Arial"/>
        </w:rPr>
        <w:t>no meani</w:t>
      </w:r>
      <w:r>
        <w:rPr>
          <w:rFonts w:ascii="Arial" w:hAnsi="Arial" w:cs="Arial"/>
        </w:rPr>
        <w:t>ngful information to enable the Committee to hold it</w:t>
      </w:r>
      <w:r w:rsidRPr="007B50F9">
        <w:rPr>
          <w:rFonts w:ascii="Arial" w:hAnsi="Arial" w:cs="Arial"/>
        </w:rPr>
        <w:t xml:space="preserve"> to account for its performance</w:t>
      </w:r>
      <w:r>
        <w:rPr>
          <w:rFonts w:ascii="Arial" w:hAnsi="Arial" w:cs="Arial"/>
        </w:rPr>
        <w:t xml:space="preserve"> in 2012/13. Annual Reports for both 2011/12 and 2012/13 were also not available to assist the Committee with assessing the entity’s financial and service delivery performance for the period under review.</w:t>
      </w:r>
    </w:p>
    <w:p w:rsidR="00100427" w:rsidRPr="000B0156" w:rsidRDefault="00100427" w:rsidP="00A22326">
      <w:pPr>
        <w:pStyle w:val="ListParagraph"/>
        <w:spacing w:after="0" w:line="280" w:lineRule="exact"/>
        <w:ind w:left="0"/>
        <w:jc w:val="both"/>
        <w:rPr>
          <w:rFonts w:ascii="Arial" w:hAnsi="Arial" w:cs="Arial"/>
          <w:b/>
          <w:lang w:val="en-GB"/>
        </w:rPr>
      </w:pPr>
    </w:p>
    <w:p w:rsidR="00100427" w:rsidRPr="00D32BCD" w:rsidRDefault="00100427" w:rsidP="00FC448F">
      <w:pPr>
        <w:pStyle w:val="ListParagraph"/>
        <w:numPr>
          <w:ilvl w:val="2"/>
          <w:numId w:val="1"/>
        </w:numPr>
        <w:spacing w:after="0" w:line="280" w:lineRule="exact"/>
        <w:jc w:val="both"/>
        <w:rPr>
          <w:rFonts w:ascii="Arial" w:hAnsi="Arial" w:cs="Arial"/>
          <w:b/>
        </w:rPr>
      </w:pPr>
      <w:r>
        <w:rPr>
          <w:rFonts w:ascii="Arial" w:hAnsi="Arial" w:cs="Arial"/>
        </w:rPr>
        <w:t>Programme Performance</w:t>
      </w:r>
    </w:p>
    <w:p w:rsidR="00100427" w:rsidRDefault="00100427" w:rsidP="00D32BCD">
      <w:pPr>
        <w:pStyle w:val="ListParagraph"/>
        <w:spacing w:after="0" w:line="280" w:lineRule="exact"/>
        <w:jc w:val="both"/>
        <w:rPr>
          <w:rFonts w:ascii="Arial" w:hAnsi="Arial" w:cs="Arial"/>
        </w:rPr>
      </w:pPr>
    </w:p>
    <w:p w:rsidR="00100427" w:rsidRDefault="00100427" w:rsidP="00D32BCD">
      <w:pPr>
        <w:pStyle w:val="ListParagraph"/>
        <w:spacing w:after="0" w:line="280" w:lineRule="exact"/>
        <w:jc w:val="both"/>
        <w:rPr>
          <w:rFonts w:ascii="Arial" w:hAnsi="Arial" w:cs="Arial"/>
          <w:i/>
        </w:rPr>
      </w:pPr>
      <w:r w:rsidRPr="000F2BAB">
        <w:rPr>
          <w:rFonts w:ascii="Arial" w:hAnsi="Arial" w:cs="Arial"/>
          <w:i/>
        </w:rPr>
        <w:t xml:space="preserve">COGTA: </w:t>
      </w:r>
    </w:p>
    <w:p w:rsidR="00100427" w:rsidRPr="000F2BAB" w:rsidRDefault="00100427" w:rsidP="00D32BCD">
      <w:pPr>
        <w:pStyle w:val="ListParagraph"/>
        <w:spacing w:after="0" w:line="280" w:lineRule="exact"/>
        <w:jc w:val="both"/>
        <w:rPr>
          <w:rFonts w:ascii="Arial" w:hAnsi="Arial" w:cs="Arial"/>
          <w:i/>
        </w:rPr>
      </w:pPr>
    </w:p>
    <w:p w:rsidR="00100427" w:rsidRPr="0047090F" w:rsidRDefault="00100427" w:rsidP="00E56A9D">
      <w:pPr>
        <w:pStyle w:val="ListParagraph"/>
        <w:numPr>
          <w:ilvl w:val="0"/>
          <w:numId w:val="16"/>
        </w:numPr>
        <w:spacing w:after="0" w:line="280" w:lineRule="exact"/>
        <w:jc w:val="both"/>
        <w:rPr>
          <w:rFonts w:ascii="Arial" w:hAnsi="Arial" w:cs="Arial"/>
          <w:b/>
        </w:rPr>
      </w:pPr>
      <w:r w:rsidRPr="00D32BCD">
        <w:rPr>
          <w:rFonts w:ascii="Arial" w:hAnsi="Arial" w:cs="Arial"/>
          <w:i/>
        </w:rPr>
        <w:t>Administration</w:t>
      </w:r>
      <w:r>
        <w:rPr>
          <w:rFonts w:ascii="Arial" w:hAnsi="Arial" w:cs="Arial"/>
          <w:b/>
        </w:rPr>
        <w:t xml:space="preserve">: </w:t>
      </w:r>
      <w:r w:rsidRPr="00110671">
        <w:rPr>
          <w:rFonts w:ascii="Arial" w:hAnsi="Arial" w:cs="Arial"/>
          <w:lang w:eastAsia="en-ZA"/>
        </w:rPr>
        <w:t>The</w:t>
      </w:r>
      <w:r>
        <w:rPr>
          <w:rFonts w:ascii="Arial" w:hAnsi="Arial" w:cs="Arial"/>
          <w:lang w:eastAsia="en-ZA"/>
        </w:rPr>
        <w:t xml:space="preserve"> programme was initially responsible for</w:t>
      </w:r>
      <w:r w:rsidRPr="00110671">
        <w:rPr>
          <w:rFonts w:ascii="Arial" w:hAnsi="Arial" w:cs="Arial"/>
          <w:lang w:eastAsia="en-ZA"/>
        </w:rPr>
        <w:t xml:space="preserve"> delivery of </w:t>
      </w:r>
      <w:r>
        <w:rPr>
          <w:rFonts w:ascii="Arial" w:hAnsi="Arial" w:cs="Arial"/>
          <w:lang w:eastAsia="en-ZA"/>
        </w:rPr>
        <w:t xml:space="preserve">the Department’s </w:t>
      </w:r>
      <w:r w:rsidRPr="00110671">
        <w:rPr>
          <w:rFonts w:ascii="Arial" w:hAnsi="Arial" w:cs="Arial"/>
          <w:lang w:eastAsia="en-ZA"/>
        </w:rPr>
        <w:t xml:space="preserve">flagship projects such as Operation Clean Audit 2014, the Clean Cities and Towns campaign and the Business </w:t>
      </w:r>
      <w:r>
        <w:rPr>
          <w:rFonts w:ascii="Arial" w:hAnsi="Arial" w:cs="Arial"/>
          <w:lang w:eastAsia="en-ZA"/>
        </w:rPr>
        <w:t xml:space="preserve">Adopt-a-Municipality initiative. However, these </w:t>
      </w:r>
      <w:r w:rsidRPr="00110671">
        <w:rPr>
          <w:rFonts w:ascii="Arial" w:hAnsi="Arial" w:cs="Arial"/>
          <w:lang w:eastAsia="en-ZA"/>
        </w:rPr>
        <w:t>we</w:t>
      </w:r>
      <w:r>
        <w:rPr>
          <w:rFonts w:ascii="Arial" w:hAnsi="Arial" w:cs="Arial"/>
          <w:lang w:eastAsia="en-ZA"/>
        </w:rPr>
        <w:t>re shifted to other programmes.</w:t>
      </w:r>
    </w:p>
    <w:p w:rsidR="00100427" w:rsidRPr="0091675C" w:rsidRDefault="00100427" w:rsidP="00E56A9D">
      <w:pPr>
        <w:pStyle w:val="ListParagraph"/>
        <w:numPr>
          <w:ilvl w:val="0"/>
          <w:numId w:val="16"/>
        </w:numPr>
        <w:spacing w:after="0" w:line="280" w:lineRule="exact"/>
        <w:jc w:val="both"/>
        <w:rPr>
          <w:rFonts w:ascii="Arial" w:hAnsi="Arial" w:cs="Arial"/>
          <w:b/>
        </w:rPr>
      </w:pPr>
      <w:r w:rsidRPr="0047090F">
        <w:rPr>
          <w:rFonts w:ascii="Arial" w:hAnsi="Arial" w:cs="Arial"/>
          <w:i/>
        </w:rPr>
        <w:t>Governance and Intergovernmental Relations:</w:t>
      </w:r>
      <w:r w:rsidRPr="0047090F">
        <w:rPr>
          <w:rFonts w:ascii="Arial" w:hAnsi="Arial" w:cs="Arial"/>
          <w:b/>
        </w:rPr>
        <w:t xml:space="preserve"> </w:t>
      </w:r>
      <w:r w:rsidRPr="0047090F">
        <w:rPr>
          <w:rFonts w:ascii="Arial" w:hAnsi="Arial" w:cs="Arial"/>
        </w:rPr>
        <w:t>Under this programme, the Department, together with National Treasury, developed and issued guidelines for the establishment of municipal public account committees. The number of established committees increased from 103 in 2009/10 to 223 of the current 287 municipalities in 2012/13 as part of the improvement of municipal audit outcomes.</w:t>
      </w:r>
      <w:r>
        <w:rPr>
          <w:rStyle w:val="FootnoteReference"/>
          <w:rFonts w:ascii="Arial" w:hAnsi="Arial" w:cs="Arial"/>
        </w:rPr>
        <w:footnoteReference w:id="17"/>
      </w:r>
      <w:r w:rsidRPr="0047090F">
        <w:rPr>
          <w:rFonts w:ascii="Arial" w:hAnsi="Arial" w:cs="Arial"/>
        </w:rPr>
        <w:t xml:space="preserve"> </w:t>
      </w:r>
      <w:r w:rsidRPr="00C64848">
        <w:rPr>
          <w:rFonts w:ascii="Arial" w:hAnsi="Arial" w:cs="Arial"/>
          <w:lang w:val="en-GB"/>
        </w:rPr>
        <w:t>Out of six targeted provinces, five provinces (Western Cape, Eastern Cape, Mpumalanga, Free State and Kwazulu-Natal) were supported to develop provincial frameworks on out of pocket expenses for ward committees</w:t>
      </w:r>
      <w:r>
        <w:rPr>
          <w:rFonts w:ascii="Arial" w:hAnsi="Arial" w:cs="Arial"/>
          <w:lang w:val="en-GB"/>
        </w:rPr>
        <w:t>.</w:t>
      </w:r>
      <w:r>
        <w:rPr>
          <w:rStyle w:val="FootnoteReference"/>
          <w:rFonts w:ascii="Arial" w:hAnsi="Arial" w:cs="Arial"/>
          <w:lang w:val="en-GB"/>
        </w:rPr>
        <w:footnoteReference w:id="18"/>
      </w:r>
      <w:r>
        <w:rPr>
          <w:rFonts w:ascii="Arial" w:hAnsi="Arial" w:cs="Arial"/>
          <w:lang w:val="en-GB"/>
        </w:rPr>
        <w:t xml:space="preserve">  A h</w:t>
      </w:r>
      <w:r w:rsidRPr="00C64848">
        <w:rPr>
          <w:rFonts w:ascii="Arial" w:hAnsi="Arial" w:cs="Arial"/>
          <w:lang w:val="en-GB"/>
        </w:rPr>
        <w:t xml:space="preserve">undred and eighteen municipalities in 7 provinces were </w:t>
      </w:r>
      <w:r>
        <w:rPr>
          <w:rFonts w:ascii="Arial" w:hAnsi="Arial" w:cs="Arial"/>
          <w:lang w:val="en-GB"/>
        </w:rPr>
        <w:t xml:space="preserve">also reportedly </w:t>
      </w:r>
      <w:r w:rsidRPr="00C64848">
        <w:rPr>
          <w:rFonts w:ascii="Arial" w:hAnsi="Arial" w:cs="Arial"/>
          <w:lang w:val="en-GB"/>
        </w:rPr>
        <w:t>supported to implement credit control and de</w:t>
      </w:r>
      <w:r>
        <w:rPr>
          <w:rFonts w:ascii="Arial" w:hAnsi="Arial" w:cs="Arial"/>
          <w:lang w:val="en-GB"/>
        </w:rPr>
        <w:t>bt collection policy guidelines. T</w:t>
      </w:r>
      <w:r>
        <w:rPr>
          <w:rFonts w:ascii="Arial" w:hAnsi="Arial" w:cs="Arial"/>
        </w:rPr>
        <w:t>he programme had</w:t>
      </w:r>
      <w:r w:rsidRPr="006D282E">
        <w:rPr>
          <w:rFonts w:ascii="Arial" w:hAnsi="Arial" w:cs="Arial"/>
        </w:rPr>
        <w:t xml:space="preserve"> a funded establishment of 41 posts and there were no vacancies as at </w:t>
      </w:r>
      <w:r>
        <w:rPr>
          <w:rFonts w:ascii="Arial" w:hAnsi="Arial" w:cs="Arial"/>
        </w:rPr>
        <w:t>31 January 2013.</w:t>
      </w:r>
    </w:p>
    <w:p w:rsidR="00100427" w:rsidRPr="00757F92" w:rsidRDefault="00100427" w:rsidP="00E56A9D">
      <w:pPr>
        <w:pStyle w:val="ListParagraph"/>
        <w:numPr>
          <w:ilvl w:val="0"/>
          <w:numId w:val="16"/>
        </w:numPr>
        <w:spacing w:after="0" w:line="280" w:lineRule="exact"/>
        <w:jc w:val="both"/>
        <w:rPr>
          <w:rFonts w:ascii="Arial" w:hAnsi="Arial" w:cs="Arial"/>
          <w:b/>
        </w:rPr>
      </w:pPr>
      <w:r>
        <w:rPr>
          <w:rFonts w:ascii="Arial" w:hAnsi="Arial" w:cs="Arial"/>
          <w:i/>
        </w:rPr>
        <w:t>Disaster Management:</w:t>
      </w:r>
      <w:r>
        <w:rPr>
          <w:rFonts w:ascii="Arial" w:hAnsi="Arial" w:cs="Arial"/>
          <w:b/>
        </w:rPr>
        <w:t xml:space="preserve"> </w:t>
      </w:r>
      <w:r>
        <w:rPr>
          <w:rFonts w:ascii="Arial" w:hAnsi="Arial" w:cs="Arial"/>
          <w:lang w:val="en-GB"/>
        </w:rPr>
        <w:t xml:space="preserve">In terms of strengthening </w:t>
      </w:r>
      <w:r w:rsidRPr="00C64848">
        <w:rPr>
          <w:rFonts w:ascii="Arial" w:hAnsi="Arial" w:cs="Arial"/>
          <w:lang w:val="en-GB"/>
        </w:rPr>
        <w:t>accountability and reporting on disaster management across the spher</w:t>
      </w:r>
      <w:r>
        <w:rPr>
          <w:rFonts w:ascii="Arial" w:hAnsi="Arial" w:cs="Arial"/>
          <w:lang w:val="en-GB"/>
        </w:rPr>
        <w:t>es and sectors of government, the programme reported having</w:t>
      </w:r>
      <w:r w:rsidRPr="00C64848">
        <w:rPr>
          <w:rFonts w:ascii="Arial" w:hAnsi="Arial" w:cs="Arial"/>
          <w:lang w:val="en-GB"/>
        </w:rPr>
        <w:t xml:space="preserve"> managed to develop a D</w:t>
      </w:r>
      <w:r w:rsidRPr="00C64848">
        <w:rPr>
          <w:rFonts w:ascii="Arial" w:hAnsi="Arial" w:cs="Arial"/>
        </w:rPr>
        <w:t xml:space="preserve">raft </w:t>
      </w:r>
      <w:r w:rsidRPr="00C64848">
        <w:rPr>
          <w:rFonts w:ascii="Arial" w:hAnsi="Arial" w:cs="Arial"/>
          <w:lang w:val="en-GB"/>
        </w:rPr>
        <w:t xml:space="preserve">Disaster Management </w:t>
      </w:r>
      <w:r w:rsidRPr="00C64848">
        <w:rPr>
          <w:rFonts w:ascii="Arial" w:hAnsi="Arial" w:cs="Arial"/>
        </w:rPr>
        <w:t>Amendment Bill by end of the</w:t>
      </w:r>
      <w:r>
        <w:rPr>
          <w:rFonts w:ascii="Arial" w:hAnsi="Arial" w:cs="Arial"/>
        </w:rPr>
        <w:t xml:space="preserve"> 2012/13</w:t>
      </w:r>
      <w:r w:rsidRPr="00C64848">
        <w:rPr>
          <w:rFonts w:ascii="Arial" w:hAnsi="Arial" w:cs="Arial"/>
        </w:rPr>
        <w:t xml:space="preserve"> financial year</w:t>
      </w:r>
      <w:r>
        <w:rPr>
          <w:rFonts w:ascii="Arial" w:hAnsi="Arial" w:cs="Arial"/>
        </w:rPr>
        <w:t>. A f</w:t>
      </w:r>
      <w:r w:rsidRPr="00C64848">
        <w:rPr>
          <w:rFonts w:ascii="Arial" w:hAnsi="Arial" w:cs="Arial"/>
        </w:rPr>
        <w:t>lood risk and vulnerability profile was</w:t>
      </w:r>
      <w:r>
        <w:rPr>
          <w:rFonts w:ascii="Arial" w:hAnsi="Arial" w:cs="Arial"/>
        </w:rPr>
        <w:t xml:space="preserve"> also</w:t>
      </w:r>
      <w:r w:rsidRPr="00C64848">
        <w:rPr>
          <w:rFonts w:ascii="Arial" w:hAnsi="Arial" w:cs="Arial"/>
        </w:rPr>
        <w:t xml:space="preserve"> finalised</w:t>
      </w:r>
      <w:r>
        <w:rPr>
          <w:rFonts w:ascii="Arial" w:hAnsi="Arial" w:cs="Arial"/>
        </w:rPr>
        <w:t>.</w:t>
      </w:r>
    </w:p>
    <w:p w:rsidR="00100427" w:rsidRPr="0047090F" w:rsidRDefault="00100427" w:rsidP="00E56A9D">
      <w:pPr>
        <w:pStyle w:val="ListParagraph"/>
        <w:numPr>
          <w:ilvl w:val="0"/>
          <w:numId w:val="16"/>
        </w:numPr>
        <w:spacing w:after="0" w:line="280" w:lineRule="exact"/>
        <w:jc w:val="both"/>
        <w:rPr>
          <w:rFonts w:ascii="Arial" w:hAnsi="Arial" w:cs="Arial"/>
          <w:b/>
        </w:rPr>
      </w:pPr>
      <w:r>
        <w:rPr>
          <w:rFonts w:ascii="Arial" w:hAnsi="Arial" w:cs="Arial"/>
          <w:i/>
        </w:rPr>
        <w:t xml:space="preserve">Provincial and Municipal Governance Systems: </w:t>
      </w:r>
      <w:r w:rsidRPr="00C64848">
        <w:rPr>
          <w:rFonts w:ascii="Arial" w:hAnsi="Arial" w:cs="Arial"/>
          <w:lang w:val="en-GB"/>
        </w:rPr>
        <w:t>The</w:t>
      </w:r>
      <w:r>
        <w:rPr>
          <w:rFonts w:ascii="Arial" w:hAnsi="Arial" w:cs="Arial"/>
          <w:lang w:val="en-GB"/>
        </w:rPr>
        <w:t xml:space="preserve"> programme reportedly achieved its</w:t>
      </w:r>
      <w:r w:rsidRPr="00C64848">
        <w:rPr>
          <w:rFonts w:ascii="Arial" w:hAnsi="Arial" w:cs="Arial"/>
          <w:lang w:val="en-GB"/>
        </w:rPr>
        <w:t xml:space="preserve"> target of supporting 70 municipalities to develop technical skills</w:t>
      </w:r>
      <w:r>
        <w:rPr>
          <w:rFonts w:ascii="Arial" w:hAnsi="Arial" w:cs="Arial"/>
          <w:lang w:val="en-GB"/>
        </w:rPr>
        <w:t xml:space="preserve">. </w:t>
      </w:r>
    </w:p>
    <w:p w:rsidR="00100427" w:rsidRPr="00B307CC" w:rsidRDefault="00100427" w:rsidP="00E56A9D">
      <w:pPr>
        <w:pStyle w:val="ListParagraph"/>
        <w:numPr>
          <w:ilvl w:val="0"/>
          <w:numId w:val="16"/>
        </w:numPr>
        <w:spacing w:after="0" w:line="280" w:lineRule="exact"/>
        <w:jc w:val="both"/>
        <w:rPr>
          <w:rFonts w:ascii="Arial" w:hAnsi="Arial" w:cs="Arial"/>
          <w:i/>
        </w:rPr>
      </w:pPr>
      <w:r w:rsidRPr="00AA046B">
        <w:rPr>
          <w:rFonts w:ascii="Arial" w:hAnsi="Arial" w:cs="Arial"/>
          <w:i/>
        </w:rPr>
        <w:t>Infrastructure and Economic Development:</w:t>
      </w:r>
      <w:r>
        <w:rPr>
          <w:rFonts w:ascii="Arial" w:hAnsi="Arial" w:cs="Arial"/>
        </w:rPr>
        <w:t xml:space="preserve"> </w:t>
      </w:r>
      <w:r w:rsidRPr="007D7225">
        <w:rPr>
          <w:rFonts w:ascii="Arial" w:hAnsi="Arial" w:cs="Arial"/>
        </w:rPr>
        <w:t>In 2012/13, 159 621 participants were employed at 148 operational sites</w:t>
      </w:r>
      <w:r>
        <w:rPr>
          <w:rFonts w:ascii="Arial" w:hAnsi="Arial" w:cs="Arial"/>
        </w:rPr>
        <w:t xml:space="preserve"> through the Community Work Programme (CWP) sub-programme.</w:t>
      </w:r>
      <w:r w:rsidRPr="009C6E04">
        <w:rPr>
          <w:rFonts w:ascii="Arial" w:hAnsi="Arial" w:cs="Arial"/>
        </w:rPr>
        <w:t xml:space="preserve"> </w:t>
      </w:r>
      <w:r>
        <w:rPr>
          <w:rFonts w:ascii="Arial" w:hAnsi="Arial" w:cs="Arial"/>
        </w:rPr>
        <w:t>The CWP had</w:t>
      </w:r>
      <w:r w:rsidRPr="007D7225">
        <w:rPr>
          <w:rFonts w:ascii="Arial" w:hAnsi="Arial" w:cs="Arial"/>
        </w:rPr>
        <w:t xml:space="preserve"> a funded establishment of </w:t>
      </w:r>
      <w:r w:rsidRPr="007D7225">
        <w:rPr>
          <w:rFonts w:ascii="Arial" w:hAnsi="Arial" w:cs="Arial"/>
        </w:rPr>
        <w:lastRenderedPageBreak/>
        <w:t xml:space="preserve">17 posts and there were no vacancies as at </w:t>
      </w:r>
      <w:r>
        <w:rPr>
          <w:rFonts w:ascii="Arial" w:hAnsi="Arial" w:cs="Arial"/>
        </w:rPr>
        <w:t xml:space="preserve">31 January 2013. </w:t>
      </w:r>
      <w:r>
        <w:rPr>
          <w:rFonts w:ascii="Arial" w:hAnsi="Arial" w:cs="Arial"/>
          <w:lang w:val="en-GB"/>
        </w:rPr>
        <w:t xml:space="preserve">Through the initiative to </w:t>
      </w:r>
      <w:r w:rsidRPr="00C64848">
        <w:rPr>
          <w:rFonts w:ascii="Arial" w:hAnsi="Arial" w:cs="Arial"/>
          <w:lang w:val="en-GB"/>
        </w:rPr>
        <w:t>prom</w:t>
      </w:r>
      <w:r>
        <w:rPr>
          <w:rFonts w:ascii="Arial" w:hAnsi="Arial" w:cs="Arial"/>
          <w:lang w:val="en-GB"/>
        </w:rPr>
        <w:t>ote economic development, the Programme was also</w:t>
      </w:r>
      <w:r w:rsidRPr="00C64848">
        <w:rPr>
          <w:rFonts w:ascii="Arial" w:hAnsi="Arial" w:cs="Arial"/>
          <w:lang w:val="en-GB"/>
        </w:rPr>
        <w:t xml:space="preserve"> able to support </w:t>
      </w:r>
      <w:r>
        <w:rPr>
          <w:rFonts w:ascii="Arial" w:hAnsi="Arial" w:cs="Arial"/>
          <w:lang w:val="en-GB"/>
        </w:rPr>
        <w:t>the development of the Nkangala</w:t>
      </w:r>
      <w:r w:rsidRPr="00C64848">
        <w:rPr>
          <w:rFonts w:ascii="Arial" w:hAnsi="Arial" w:cs="Arial"/>
          <w:lang w:val="en-GB"/>
        </w:rPr>
        <w:t xml:space="preserve"> Business Development Forum, West Coast District Development Forums and the Sedibeng United Business Forum</w:t>
      </w:r>
      <w:r>
        <w:rPr>
          <w:rFonts w:ascii="Arial" w:hAnsi="Arial" w:cs="Arial"/>
          <w:lang w:val="en-GB"/>
        </w:rPr>
        <w:t xml:space="preserve">. With regard to the Business-adopt-a-Municipality initiative, the Programme signed four Memoranda of Understanding </w:t>
      </w:r>
      <w:r w:rsidRPr="00C64848">
        <w:rPr>
          <w:rFonts w:ascii="Arial" w:hAnsi="Arial" w:cs="Arial"/>
          <w:lang w:val="en-GB"/>
        </w:rPr>
        <w:t>between identified municipalities and SANTA</w:t>
      </w:r>
      <w:r>
        <w:rPr>
          <w:rFonts w:ascii="Arial" w:hAnsi="Arial" w:cs="Arial"/>
          <w:lang w:val="en-GB"/>
        </w:rPr>
        <w:t>M, ESKOM, Rand Water Foundation,</w:t>
      </w:r>
      <w:r w:rsidRPr="00C64848">
        <w:rPr>
          <w:rFonts w:ascii="Arial" w:hAnsi="Arial" w:cs="Arial"/>
          <w:lang w:val="en-GB"/>
        </w:rPr>
        <w:t xml:space="preserve"> and Mercedes Benz</w:t>
      </w:r>
      <w:r>
        <w:rPr>
          <w:rFonts w:ascii="Arial" w:hAnsi="Arial" w:cs="Arial"/>
          <w:lang w:val="en-GB"/>
        </w:rPr>
        <w:t>.</w:t>
      </w:r>
    </w:p>
    <w:p w:rsidR="00100427" w:rsidRDefault="00100427" w:rsidP="00B307CC">
      <w:pPr>
        <w:pStyle w:val="ListParagraph"/>
        <w:spacing w:after="0" w:line="280" w:lineRule="exact"/>
        <w:jc w:val="both"/>
        <w:rPr>
          <w:rFonts w:ascii="Arial" w:hAnsi="Arial" w:cs="Arial"/>
          <w:i/>
        </w:rPr>
      </w:pPr>
    </w:p>
    <w:p w:rsidR="00100427" w:rsidRDefault="00100427" w:rsidP="00B307CC">
      <w:pPr>
        <w:pStyle w:val="ListParagraph"/>
        <w:spacing w:after="0" w:line="280" w:lineRule="exact"/>
        <w:jc w:val="both"/>
        <w:rPr>
          <w:rFonts w:ascii="Arial" w:hAnsi="Arial" w:cs="Arial"/>
          <w:i/>
        </w:rPr>
      </w:pPr>
      <w:r>
        <w:rPr>
          <w:rFonts w:ascii="Arial" w:hAnsi="Arial" w:cs="Arial"/>
          <w:i/>
        </w:rPr>
        <w:t>CRL Rights Commission:</w:t>
      </w:r>
    </w:p>
    <w:p w:rsidR="00100427" w:rsidRDefault="00100427" w:rsidP="00B307CC">
      <w:pPr>
        <w:pStyle w:val="ListParagraph"/>
        <w:spacing w:after="0" w:line="280" w:lineRule="exact"/>
        <w:jc w:val="both"/>
        <w:rPr>
          <w:rFonts w:ascii="Arial" w:hAnsi="Arial" w:cs="Arial"/>
          <w:i/>
        </w:rPr>
      </w:pPr>
    </w:p>
    <w:p w:rsidR="00100427" w:rsidRPr="00BB7E90" w:rsidRDefault="00100427" w:rsidP="00BB7E90">
      <w:pPr>
        <w:pStyle w:val="ListParagraph"/>
        <w:spacing w:after="0" w:line="280" w:lineRule="exact"/>
        <w:jc w:val="both"/>
        <w:rPr>
          <w:rFonts w:ascii="Arial" w:hAnsi="Arial" w:cs="Arial"/>
          <w:i/>
        </w:rPr>
      </w:pPr>
      <w:r w:rsidRPr="00077F77">
        <w:rPr>
          <w:rFonts w:ascii="Arial" w:hAnsi="Arial" w:cs="Arial"/>
        </w:rPr>
        <w:t>The work of t</w:t>
      </w:r>
      <w:r>
        <w:rPr>
          <w:rFonts w:ascii="Arial" w:hAnsi="Arial" w:cs="Arial"/>
        </w:rPr>
        <w:t>he CRL Rights Commission centred</w:t>
      </w:r>
      <w:r w:rsidRPr="00077F77">
        <w:rPr>
          <w:rFonts w:ascii="Arial" w:hAnsi="Arial" w:cs="Arial"/>
        </w:rPr>
        <w:t xml:space="preserve"> around 4 programmes: Investigation and Conflict Resolution; Research and Policy Development; Community Engagement and Public Education and Advocacy</w:t>
      </w:r>
      <w:r>
        <w:rPr>
          <w:rFonts w:ascii="Arial" w:hAnsi="Arial" w:cs="Arial"/>
        </w:rPr>
        <w:t>.</w:t>
      </w:r>
    </w:p>
    <w:p w:rsidR="00100427" w:rsidRPr="0068441B" w:rsidRDefault="00100427" w:rsidP="00BB7E90">
      <w:pPr>
        <w:jc w:val="both"/>
        <w:rPr>
          <w:sz w:val="22"/>
          <w:szCs w:val="22"/>
        </w:rPr>
      </w:pPr>
      <w:r>
        <w:rPr>
          <w:sz w:val="22"/>
          <w:szCs w:val="22"/>
        </w:rPr>
        <w:t>.</w:t>
      </w:r>
    </w:p>
    <w:p w:rsidR="00100427" w:rsidRDefault="00100427" w:rsidP="005E4180">
      <w:pPr>
        <w:numPr>
          <w:ilvl w:val="0"/>
          <w:numId w:val="21"/>
        </w:numPr>
        <w:jc w:val="both"/>
        <w:rPr>
          <w:sz w:val="22"/>
          <w:szCs w:val="22"/>
        </w:rPr>
      </w:pPr>
      <w:r w:rsidRPr="0010401D">
        <w:rPr>
          <w:rFonts w:cs="Arial"/>
          <w:i/>
          <w:sz w:val="22"/>
          <w:szCs w:val="22"/>
        </w:rPr>
        <w:t>Investigation and conflict resolution</w:t>
      </w:r>
      <w:r w:rsidRPr="0010401D">
        <w:rPr>
          <w:rFonts w:cs="Arial"/>
          <w:b/>
          <w:sz w:val="22"/>
          <w:szCs w:val="22"/>
        </w:rPr>
        <w:t xml:space="preserve">: </w:t>
      </w:r>
      <w:r w:rsidRPr="0010401D">
        <w:rPr>
          <w:rFonts w:cs="Arial"/>
          <w:sz w:val="22"/>
          <w:szCs w:val="22"/>
        </w:rPr>
        <w:t>The Programme investigated and mediated on the matters around the destruction of graves in Aliwal North and in Veeplaas. These cases were to be finalised in the 2012/13 financial year. However, details on the outcome of these cases have not been provided</w:t>
      </w:r>
      <w:r>
        <w:rPr>
          <w:sz w:val="22"/>
          <w:szCs w:val="22"/>
        </w:rPr>
        <w:t>.</w:t>
      </w:r>
      <w:r w:rsidRPr="0010401D">
        <w:rPr>
          <w:sz w:val="22"/>
          <w:szCs w:val="22"/>
        </w:rPr>
        <w:t xml:space="preserve"> During an investigation into matters concerning the exhumation of graves,</w:t>
      </w:r>
      <w:r>
        <w:rPr>
          <w:sz w:val="22"/>
          <w:szCs w:val="22"/>
        </w:rPr>
        <w:t xml:space="preserve"> it was </w:t>
      </w:r>
      <w:r w:rsidRPr="0010401D">
        <w:rPr>
          <w:sz w:val="22"/>
          <w:szCs w:val="22"/>
        </w:rPr>
        <w:t>found that the South African Heritage Authority had in some cases granted permission for the exhumation of remains for developmental purposes, without adequate consultation with those concerned. I</w:t>
      </w:r>
      <w:r>
        <w:rPr>
          <w:sz w:val="22"/>
          <w:szCs w:val="22"/>
        </w:rPr>
        <w:t xml:space="preserve">n addition, </w:t>
      </w:r>
      <w:r w:rsidRPr="0010401D">
        <w:rPr>
          <w:sz w:val="22"/>
          <w:szCs w:val="22"/>
        </w:rPr>
        <w:t>the consultative criteria of the National Heritage Resources Act Regulations were deficient. The Commission was to propose amendments to the Regulations in 2012/13.</w:t>
      </w:r>
      <w:r>
        <w:rPr>
          <w:sz w:val="22"/>
          <w:szCs w:val="22"/>
        </w:rPr>
        <w:t xml:space="preserve"> The outcome of this proposal has also not been provided. Thirdly, the Programme </w:t>
      </w:r>
      <w:r w:rsidRPr="0068441B">
        <w:rPr>
          <w:sz w:val="22"/>
          <w:szCs w:val="22"/>
        </w:rPr>
        <w:t>engaged the Department of Home Affairs regarding a complaint concerning alleged unfair discrimination in the Public Holidays Act. Schedule 1 of the Act prescribes Christian Holydays as holidays to the exclusion of other religious groups. The Commiss</w:t>
      </w:r>
      <w:r>
        <w:rPr>
          <w:sz w:val="22"/>
          <w:szCs w:val="22"/>
        </w:rPr>
        <w:t>ion conducted</w:t>
      </w:r>
      <w:r w:rsidRPr="0068441B">
        <w:rPr>
          <w:sz w:val="22"/>
          <w:szCs w:val="22"/>
        </w:rPr>
        <w:t xml:space="preserve"> public hearings on the matter during 2012/13.</w:t>
      </w:r>
      <w:r>
        <w:rPr>
          <w:sz w:val="22"/>
          <w:szCs w:val="22"/>
        </w:rPr>
        <w:t xml:space="preserve"> However, it is not clear whether the issue has been resolved. The Programme also</w:t>
      </w:r>
      <w:r w:rsidRPr="0068441B">
        <w:rPr>
          <w:sz w:val="22"/>
          <w:szCs w:val="22"/>
        </w:rPr>
        <w:t xml:space="preserve"> fou</w:t>
      </w:r>
      <w:r>
        <w:rPr>
          <w:sz w:val="22"/>
          <w:szCs w:val="22"/>
        </w:rPr>
        <w:t>nd that the Marriage Act</w:t>
      </w:r>
      <w:r w:rsidRPr="0068441B">
        <w:rPr>
          <w:sz w:val="22"/>
          <w:szCs w:val="22"/>
        </w:rPr>
        <w:t xml:space="preserve"> exclude</w:t>
      </w:r>
      <w:r>
        <w:rPr>
          <w:sz w:val="22"/>
          <w:szCs w:val="22"/>
        </w:rPr>
        <w:t>d</w:t>
      </w:r>
      <w:r w:rsidRPr="0068441B">
        <w:rPr>
          <w:sz w:val="22"/>
          <w:szCs w:val="22"/>
        </w:rPr>
        <w:t xml:space="preserve"> marriage officers of other religi</w:t>
      </w:r>
      <w:r>
        <w:rPr>
          <w:sz w:val="22"/>
          <w:szCs w:val="22"/>
        </w:rPr>
        <w:t>ous denominations. It is also not clear whether the Commission managed to resolve this issue in</w:t>
      </w:r>
      <w:r w:rsidRPr="0068441B">
        <w:rPr>
          <w:sz w:val="22"/>
          <w:szCs w:val="22"/>
        </w:rPr>
        <w:t xml:space="preserve"> 2012/13.</w:t>
      </w:r>
      <w:r>
        <w:rPr>
          <w:sz w:val="22"/>
          <w:szCs w:val="22"/>
        </w:rPr>
        <w:t xml:space="preserve"> Finally, the Programme envisaged resolving, by</w:t>
      </w:r>
      <w:r w:rsidRPr="0068441B">
        <w:rPr>
          <w:sz w:val="22"/>
          <w:szCs w:val="22"/>
        </w:rPr>
        <w:t xml:space="preserve"> 2012/13</w:t>
      </w:r>
      <w:r>
        <w:rPr>
          <w:sz w:val="22"/>
          <w:szCs w:val="22"/>
        </w:rPr>
        <w:t>,</w:t>
      </w:r>
      <w:r w:rsidRPr="0068441B">
        <w:rPr>
          <w:sz w:val="22"/>
          <w:szCs w:val="22"/>
        </w:rPr>
        <w:t xml:space="preserve"> imbalances between the isiZulu and Sesotho speaking pupils in Nquthu, KwaZulu-Natal. The Basotho pupils were reportedly being discriminated against by being forced to learn isiZulu as their first language despite being the dominant majority in the area.</w:t>
      </w:r>
      <w:r>
        <w:rPr>
          <w:sz w:val="22"/>
          <w:szCs w:val="22"/>
        </w:rPr>
        <w:t xml:space="preserve"> It is also not clear whether this issue was resolved.</w:t>
      </w:r>
    </w:p>
    <w:p w:rsidR="00100427" w:rsidRDefault="00100427" w:rsidP="005E4DC9">
      <w:pPr>
        <w:numPr>
          <w:ilvl w:val="0"/>
          <w:numId w:val="21"/>
        </w:numPr>
        <w:jc w:val="both"/>
        <w:rPr>
          <w:sz w:val="22"/>
          <w:szCs w:val="22"/>
        </w:rPr>
      </w:pPr>
      <w:r w:rsidRPr="005E4180">
        <w:rPr>
          <w:i/>
          <w:sz w:val="22"/>
          <w:szCs w:val="22"/>
        </w:rPr>
        <w:t>Research and Policy Development</w:t>
      </w:r>
      <w:r w:rsidRPr="005E4180">
        <w:rPr>
          <w:sz w:val="22"/>
          <w:szCs w:val="22"/>
        </w:rPr>
        <w:t xml:space="preserve">: </w:t>
      </w:r>
      <w:r>
        <w:rPr>
          <w:sz w:val="22"/>
          <w:szCs w:val="22"/>
        </w:rPr>
        <w:t xml:space="preserve">The programme undertook </w:t>
      </w:r>
      <w:r w:rsidRPr="005E4180">
        <w:rPr>
          <w:sz w:val="22"/>
          <w:szCs w:val="22"/>
        </w:rPr>
        <w:t xml:space="preserve">further research on the role of the performing arts in preserving socio-linguistic heritage. </w:t>
      </w:r>
      <w:r>
        <w:rPr>
          <w:sz w:val="22"/>
          <w:szCs w:val="22"/>
        </w:rPr>
        <w:t>S</w:t>
      </w:r>
      <w:r w:rsidRPr="005E4180">
        <w:rPr>
          <w:sz w:val="22"/>
          <w:szCs w:val="22"/>
        </w:rPr>
        <w:t>eminars to discuss this topic were held in the Free State, Northwest and Gauteng.</w:t>
      </w:r>
    </w:p>
    <w:p w:rsidR="00100427" w:rsidRDefault="00100427" w:rsidP="00463888">
      <w:pPr>
        <w:numPr>
          <w:ilvl w:val="0"/>
          <w:numId w:val="21"/>
        </w:numPr>
        <w:jc w:val="both"/>
        <w:rPr>
          <w:sz w:val="22"/>
          <w:szCs w:val="22"/>
        </w:rPr>
      </w:pPr>
      <w:r w:rsidRPr="005E4DC9">
        <w:rPr>
          <w:i/>
          <w:sz w:val="22"/>
          <w:szCs w:val="22"/>
        </w:rPr>
        <w:t xml:space="preserve">Community Engagement: </w:t>
      </w:r>
      <w:r w:rsidRPr="005E4DC9">
        <w:rPr>
          <w:sz w:val="22"/>
          <w:szCs w:val="22"/>
        </w:rPr>
        <w:t>The Programme reportedly met al</w:t>
      </w:r>
      <w:r>
        <w:rPr>
          <w:sz w:val="22"/>
          <w:szCs w:val="22"/>
        </w:rPr>
        <w:t xml:space="preserve">l its service delivery targets. </w:t>
      </w:r>
      <w:r w:rsidRPr="005E4DC9">
        <w:rPr>
          <w:sz w:val="22"/>
          <w:szCs w:val="22"/>
        </w:rPr>
        <w:t xml:space="preserve">However, this may </w:t>
      </w:r>
      <w:r>
        <w:rPr>
          <w:sz w:val="22"/>
          <w:szCs w:val="22"/>
        </w:rPr>
        <w:t xml:space="preserve">be due more </w:t>
      </w:r>
      <w:r w:rsidRPr="005E4DC9">
        <w:rPr>
          <w:sz w:val="22"/>
          <w:szCs w:val="22"/>
        </w:rPr>
        <w:t>to</w:t>
      </w:r>
      <w:r>
        <w:rPr>
          <w:sz w:val="22"/>
          <w:szCs w:val="22"/>
        </w:rPr>
        <w:t xml:space="preserve"> the</w:t>
      </w:r>
      <w:r w:rsidRPr="005E4DC9">
        <w:rPr>
          <w:sz w:val="22"/>
          <w:szCs w:val="22"/>
        </w:rPr>
        <w:t xml:space="preserve"> absence of measurable and </w:t>
      </w:r>
      <w:r w:rsidRPr="005E4DC9">
        <w:rPr>
          <w:sz w:val="22"/>
          <w:szCs w:val="22"/>
        </w:rPr>
        <w:lastRenderedPageBreak/>
        <w:t>reliable information than a lack of effective service delivery performance by the Commission.</w:t>
      </w:r>
    </w:p>
    <w:p w:rsidR="00100427" w:rsidRPr="00463888" w:rsidRDefault="00100427" w:rsidP="00463888">
      <w:pPr>
        <w:numPr>
          <w:ilvl w:val="0"/>
          <w:numId w:val="21"/>
        </w:numPr>
        <w:jc w:val="both"/>
        <w:rPr>
          <w:sz w:val="22"/>
          <w:szCs w:val="22"/>
        </w:rPr>
      </w:pPr>
      <w:r w:rsidRPr="00463888">
        <w:rPr>
          <w:i/>
          <w:sz w:val="22"/>
          <w:szCs w:val="22"/>
        </w:rPr>
        <w:t xml:space="preserve">Public Education and Advocacy. </w:t>
      </w:r>
      <w:r w:rsidRPr="00463888">
        <w:rPr>
          <w:sz w:val="22"/>
          <w:szCs w:val="22"/>
        </w:rPr>
        <w:t xml:space="preserve">This Programme also reported no variance in terms of meeting its service delivery targets, but given the findings of the Auditor-General, </w:t>
      </w:r>
      <w:r>
        <w:rPr>
          <w:sz w:val="22"/>
          <w:szCs w:val="22"/>
        </w:rPr>
        <w:t>t</w:t>
      </w:r>
      <w:r w:rsidRPr="00463888">
        <w:rPr>
          <w:sz w:val="22"/>
          <w:szCs w:val="22"/>
        </w:rPr>
        <w:t>his may also be due to the absence of measurable and reliable information than to effective service delivery performance by the Commission.</w:t>
      </w:r>
    </w:p>
    <w:p w:rsidR="00100427" w:rsidRPr="00BB7E90" w:rsidRDefault="00100427" w:rsidP="00841314">
      <w:pPr>
        <w:pStyle w:val="ListParagraph"/>
        <w:spacing w:after="0" w:line="280" w:lineRule="exact"/>
        <w:ind w:left="0"/>
        <w:jc w:val="both"/>
        <w:rPr>
          <w:rFonts w:ascii="Arial" w:hAnsi="Arial" w:cs="Arial"/>
          <w:b/>
        </w:rPr>
      </w:pPr>
    </w:p>
    <w:p w:rsidR="00100427" w:rsidRDefault="00100427" w:rsidP="003970F6">
      <w:pPr>
        <w:pStyle w:val="ListParagraph"/>
        <w:numPr>
          <w:ilvl w:val="2"/>
          <w:numId w:val="1"/>
        </w:numPr>
        <w:spacing w:after="0" w:line="280" w:lineRule="exact"/>
        <w:jc w:val="both"/>
        <w:rPr>
          <w:rFonts w:ascii="Arial" w:hAnsi="Arial" w:cs="Arial"/>
          <w:b/>
        </w:rPr>
      </w:pPr>
      <w:r>
        <w:rPr>
          <w:rFonts w:ascii="Arial" w:hAnsi="Arial" w:cs="Arial"/>
        </w:rPr>
        <w:t>Key reported achievements</w:t>
      </w:r>
    </w:p>
    <w:p w:rsidR="00100427" w:rsidRDefault="00100427" w:rsidP="00565DCF">
      <w:pPr>
        <w:pStyle w:val="ListParagraph"/>
        <w:spacing w:after="0" w:line="280" w:lineRule="exact"/>
        <w:jc w:val="both"/>
        <w:rPr>
          <w:rFonts w:ascii="Arial" w:hAnsi="Arial" w:cs="Arial"/>
          <w:b/>
        </w:rPr>
      </w:pPr>
    </w:p>
    <w:p w:rsidR="00100427" w:rsidRDefault="00100427" w:rsidP="00565DCF">
      <w:pPr>
        <w:pStyle w:val="ListParagraph"/>
        <w:spacing w:after="0" w:line="280" w:lineRule="exact"/>
        <w:jc w:val="both"/>
        <w:rPr>
          <w:rFonts w:ascii="Arial" w:hAnsi="Arial" w:cs="Arial"/>
          <w:b/>
        </w:rPr>
      </w:pPr>
      <w:r>
        <w:rPr>
          <w:rFonts w:ascii="Arial" w:hAnsi="Arial" w:cs="Arial"/>
        </w:rPr>
        <w:t>In addition to the achievements already mentioned above on programme performance, the Department Cooperative Governance and National Treasury finalised the revision of the Equitable Share F</w:t>
      </w:r>
      <w:r w:rsidRPr="00C64848">
        <w:rPr>
          <w:rFonts w:ascii="Arial" w:hAnsi="Arial" w:cs="Arial"/>
        </w:rPr>
        <w:t>ormula</w:t>
      </w:r>
      <w:r>
        <w:rPr>
          <w:rFonts w:ascii="Arial" w:hAnsi="Arial" w:cs="Arial"/>
        </w:rPr>
        <w:t>, taking in account recommendations made by the Financial and Fiscal Commission</w:t>
      </w:r>
      <w:r w:rsidRPr="00C64848">
        <w:rPr>
          <w:rFonts w:ascii="Arial" w:hAnsi="Arial" w:cs="Arial"/>
        </w:rPr>
        <w:t>.</w:t>
      </w:r>
    </w:p>
    <w:p w:rsidR="00100427" w:rsidRPr="00565DCF" w:rsidRDefault="00100427" w:rsidP="00126B7C">
      <w:pPr>
        <w:pStyle w:val="ListParagraph"/>
        <w:spacing w:after="0" w:line="280" w:lineRule="exact"/>
        <w:ind w:left="0"/>
        <w:jc w:val="both"/>
        <w:rPr>
          <w:rFonts w:ascii="Arial" w:hAnsi="Arial" w:cs="Arial"/>
          <w:b/>
        </w:rPr>
      </w:pPr>
    </w:p>
    <w:p w:rsidR="00100427" w:rsidRPr="006A1169" w:rsidRDefault="00100427" w:rsidP="006A1169">
      <w:pPr>
        <w:pStyle w:val="ListParagraph"/>
        <w:numPr>
          <w:ilvl w:val="2"/>
          <w:numId w:val="1"/>
        </w:numPr>
        <w:spacing w:after="0" w:line="280" w:lineRule="exact"/>
        <w:jc w:val="both"/>
        <w:rPr>
          <w:rFonts w:ascii="Arial" w:hAnsi="Arial" w:cs="Arial"/>
          <w:b/>
        </w:rPr>
      </w:pPr>
      <w:r>
        <w:rPr>
          <w:rFonts w:ascii="Arial" w:hAnsi="Arial" w:cs="Arial"/>
        </w:rPr>
        <w:t>Key reported challenges</w:t>
      </w:r>
    </w:p>
    <w:p w:rsidR="00100427" w:rsidRDefault="00100427" w:rsidP="006A1169">
      <w:pPr>
        <w:pStyle w:val="ListParagraph"/>
        <w:spacing w:after="0" w:line="280" w:lineRule="exact"/>
        <w:jc w:val="both"/>
        <w:rPr>
          <w:rFonts w:ascii="Arial" w:hAnsi="Arial" w:cs="Arial"/>
          <w:lang w:val="en-GB"/>
        </w:rPr>
      </w:pPr>
    </w:p>
    <w:p w:rsidR="00100427" w:rsidRDefault="00100427" w:rsidP="00530CF8">
      <w:pPr>
        <w:pStyle w:val="ListParagraph"/>
        <w:spacing w:after="0" w:line="280" w:lineRule="exact"/>
        <w:jc w:val="both"/>
        <w:rPr>
          <w:rFonts w:ascii="Arial" w:hAnsi="Arial" w:cs="Arial"/>
        </w:rPr>
      </w:pPr>
      <w:r w:rsidRPr="00C771AE">
        <w:rPr>
          <w:rFonts w:ascii="Arial" w:hAnsi="Arial" w:cs="Arial"/>
          <w:i/>
          <w:lang w:val="en-GB"/>
        </w:rPr>
        <w:t>COGTA</w:t>
      </w:r>
      <w:r>
        <w:rPr>
          <w:rFonts w:ascii="Arial" w:hAnsi="Arial" w:cs="Arial"/>
          <w:lang w:val="en-GB"/>
        </w:rPr>
        <w:t>: The D</w:t>
      </w:r>
      <w:r w:rsidRPr="006A1169">
        <w:rPr>
          <w:rFonts w:ascii="Arial" w:hAnsi="Arial" w:cs="Arial"/>
          <w:lang w:val="en-GB"/>
        </w:rPr>
        <w:t xml:space="preserve">epartment experienced some blockages that resulted in 30% of planned </w:t>
      </w:r>
      <w:r>
        <w:rPr>
          <w:rFonts w:ascii="Arial" w:hAnsi="Arial" w:cs="Arial"/>
          <w:lang w:val="en-GB"/>
        </w:rPr>
        <w:t xml:space="preserve">targets </w:t>
      </w:r>
      <w:r w:rsidRPr="006A1169">
        <w:rPr>
          <w:rFonts w:ascii="Arial" w:hAnsi="Arial" w:cs="Arial"/>
          <w:lang w:val="en-GB"/>
        </w:rPr>
        <w:t>not being achieved. 19% of projects were partially achieved and were targeted for completion within the first quarter of the 2013/14 financial year.</w:t>
      </w:r>
      <w:r w:rsidRPr="006A1169">
        <w:rPr>
          <w:rFonts w:ascii="Arial" w:hAnsi="Arial" w:cs="Arial"/>
        </w:rPr>
        <w:t xml:space="preserve">Some of the blockages relate to </w:t>
      </w:r>
      <w:r>
        <w:rPr>
          <w:rFonts w:ascii="Arial" w:hAnsi="Arial" w:cs="Arial"/>
        </w:rPr>
        <w:t xml:space="preserve">a </w:t>
      </w:r>
      <w:r w:rsidRPr="006A1169">
        <w:rPr>
          <w:rFonts w:ascii="Arial" w:hAnsi="Arial" w:cs="Arial"/>
        </w:rPr>
        <w:t>lack of human and financial resource</w:t>
      </w:r>
      <w:r>
        <w:rPr>
          <w:rFonts w:ascii="Arial" w:hAnsi="Arial" w:cs="Arial"/>
        </w:rPr>
        <w:t>s</w:t>
      </w:r>
      <w:r w:rsidRPr="006A1169">
        <w:rPr>
          <w:rFonts w:ascii="Arial" w:hAnsi="Arial" w:cs="Arial"/>
        </w:rPr>
        <w:t>, delays in processing work that is related to project implementation,</w:t>
      </w:r>
      <w:r>
        <w:rPr>
          <w:rFonts w:ascii="Arial" w:hAnsi="Arial" w:cs="Arial"/>
        </w:rPr>
        <w:t xml:space="preserve"> </w:t>
      </w:r>
      <w:r w:rsidRPr="006A1169">
        <w:rPr>
          <w:rFonts w:ascii="Arial" w:hAnsi="Arial" w:cs="Arial"/>
        </w:rPr>
        <w:t>for example, delays in appointment of service provides which results in late</w:t>
      </w:r>
      <w:r>
        <w:rPr>
          <w:rFonts w:ascii="Arial" w:hAnsi="Arial" w:cs="Arial"/>
        </w:rPr>
        <w:t xml:space="preserve"> execution of</w:t>
      </w:r>
      <w:r w:rsidRPr="006A1169">
        <w:rPr>
          <w:rFonts w:ascii="Arial" w:hAnsi="Arial" w:cs="Arial"/>
        </w:rPr>
        <w:t xml:space="preserve"> project</w:t>
      </w:r>
      <w:r>
        <w:rPr>
          <w:rFonts w:ascii="Arial" w:hAnsi="Arial" w:cs="Arial"/>
        </w:rPr>
        <w:t xml:space="preserve">s. </w:t>
      </w:r>
      <w:r w:rsidRPr="006A1169">
        <w:rPr>
          <w:rFonts w:ascii="Arial" w:hAnsi="Arial" w:cs="Arial"/>
        </w:rPr>
        <w:t xml:space="preserve"> </w:t>
      </w:r>
      <w:r>
        <w:rPr>
          <w:rFonts w:ascii="Arial" w:hAnsi="Arial" w:cs="Arial"/>
        </w:rPr>
        <w:t>L</w:t>
      </w:r>
      <w:r w:rsidRPr="006A1169">
        <w:rPr>
          <w:rFonts w:ascii="Arial" w:hAnsi="Arial" w:cs="Arial"/>
        </w:rPr>
        <w:t>ate submission of reports by provinces and municipalities</w:t>
      </w:r>
      <w:r>
        <w:rPr>
          <w:rFonts w:ascii="Arial" w:hAnsi="Arial" w:cs="Arial"/>
        </w:rPr>
        <w:t>,</w:t>
      </w:r>
      <w:r w:rsidRPr="006A1169">
        <w:rPr>
          <w:rFonts w:ascii="Arial" w:hAnsi="Arial" w:cs="Arial"/>
        </w:rPr>
        <w:t xml:space="preserve"> or in instances w</w:t>
      </w:r>
      <w:r>
        <w:rPr>
          <w:rFonts w:ascii="Arial" w:hAnsi="Arial" w:cs="Arial"/>
        </w:rPr>
        <w:t>h</w:t>
      </w:r>
      <w:r w:rsidRPr="006A1169">
        <w:rPr>
          <w:rFonts w:ascii="Arial" w:hAnsi="Arial" w:cs="Arial"/>
        </w:rPr>
        <w:t xml:space="preserve">ere reports are </w:t>
      </w:r>
      <w:r>
        <w:rPr>
          <w:rFonts w:ascii="Arial" w:hAnsi="Arial" w:cs="Arial"/>
        </w:rPr>
        <w:t>submitted but</w:t>
      </w:r>
      <w:r w:rsidRPr="006A1169">
        <w:rPr>
          <w:rFonts w:ascii="Arial" w:hAnsi="Arial" w:cs="Arial"/>
        </w:rPr>
        <w:t xml:space="preserve"> need to be reworked to improve quality</w:t>
      </w:r>
      <w:r>
        <w:rPr>
          <w:rFonts w:ascii="Arial" w:hAnsi="Arial" w:cs="Arial"/>
        </w:rPr>
        <w:t>, was another common occurrence. Some blockages</w:t>
      </w:r>
      <w:r w:rsidRPr="006A1169">
        <w:rPr>
          <w:rFonts w:ascii="Arial" w:hAnsi="Arial" w:cs="Arial"/>
        </w:rPr>
        <w:t xml:space="preserve"> are outside the control of the department</w:t>
      </w:r>
      <w:r>
        <w:rPr>
          <w:rFonts w:ascii="Arial" w:hAnsi="Arial" w:cs="Arial"/>
        </w:rPr>
        <w:t>,</w:t>
      </w:r>
      <w:r w:rsidRPr="006A1169">
        <w:rPr>
          <w:rFonts w:ascii="Arial" w:hAnsi="Arial" w:cs="Arial"/>
        </w:rPr>
        <w:t xml:space="preserve"> for example</w:t>
      </w:r>
      <w:r>
        <w:rPr>
          <w:rFonts w:ascii="Arial" w:hAnsi="Arial" w:cs="Arial"/>
        </w:rPr>
        <w:t>,</w:t>
      </w:r>
      <w:r w:rsidRPr="006A1169">
        <w:rPr>
          <w:rFonts w:ascii="Arial" w:hAnsi="Arial" w:cs="Arial"/>
        </w:rPr>
        <w:t xml:space="preserve"> the necessary but prolonged stakeholder consu</w:t>
      </w:r>
      <w:r>
        <w:rPr>
          <w:rFonts w:ascii="Arial" w:hAnsi="Arial" w:cs="Arial"/>
        </w:rPr>
        <w:t>ltative process concomitant with the</w:t>
      </w:r>
      <w:r w:rsidRPr="006A1169">
        <w:rPr>
          <w:rFonts w:ascii="Arial" w:hAnsi="Arial" w:cs="Arial"/>
        </w:rPr>
        <w:t xml:space="preserve"> finali</w:t>
      </w:r>
      <w:r>
        <w:rPr>
          <w:rFonts w:ascii="Arial" w:hAnsi="Arial" w:cs="Arial"/>
        </w:rPr>
        <w:t>s</w:t>
      </w:r>
      <w:r w:rsidRPr="006A1169">
        <w:rPr>
          <w:rFonts w:ascii="Arial" w:hAnsi="Arial" w:cs="Arial"/>
        </w:rPr>
        <w:t>ation of policies or legislation.</w:t>
      </w:r>
    </w:p>
    <w:p w:rsidR="00100427" w:rsidRDefault="00100427" w:rsidP="00530CF8">
      <w:pPr>
        <w:pStyle w:val="ListParagraph"/>
        <w:spacing w:after="0" w:line="280" w:lineRule="exact"/>
        <w:jc w:val="both"/>
        <w:rPr>
          <w:rFonts w:ascii="Arial" w:hAnsi="Arial" w:cs="Arial"/>
        </w:rPr>
      </w:pPr>
    </w:p>
    <w:p w:rsidR="00100427" w:rsidRDefault="00100427" w:rsidP="003F0936">
      <w:pPr>
        <w:pStyle w:val="ListParagraph"/>
        <w:spacing w:after="0" w:line="280" w:lineRule="exact"/>
        <w:jc w:val="both"/>
        <w:rPr>
          <w:rFonts w:ascii="Arial" w:hAnsi="Arial" w:cs="Arial"/>
          <w:color w:val="000000"/>
          <w:kern w:val="24"/>
        </w:rPr>
      </w:pPr>
      <w:r w:rsidRPr="00D714BB">
        <w:rPr>
          <w:rFonts w:ascii="Arial" w:hAnsi="Arial" w:cs="Arial"/>
          <w:i/>
        </w:rPr>
        <w:t>MISA</w:t>
      </w:r>
      <w:r>
        <w:rPr>
          <w:rFonts w:ascii="Arial" w:hAnsi="Arial" w:cs="Arial"/>
        </w:rPr>
        <w:t>: The entity has also encountered challenges during</w:t>
      </w:r>
      <w:r w:rsidRPr="00530CF8">
        <w:rPr>
          <w:rFonts w:ascii="Arial" w:hAnsi="Arial" w:cs="Arial"/>
        </w:rPr>
        <w:t xml:space="preserve"> the implementation of its core s</w:t>
      </w:r>
      <w:r>
        <w:rPr>
          <w:rFonts w:ascii="Arial" w:hAnsi="Arial" w:cs="Arial"/>
        </w:rPr>
        <w:t>upport programmes.</w:t>
      </w:r>
      <w:r>
        <w:rPr>
          <w:rStyle w:val="FootnoteReference"/>
          <w:rFonts w:ascii="Arial" w:hAnsi="Arial" w:cs="Arial"/>
        </w:rPr>
        <w:footnoteReference w:id="19"/>
      </w:r>
      <w:r>
        <w:rPr>
          <w:rFonts w:ascii="Arial" w:hAnsi="Arial" w:cs="Arial"/>
        </w:rPr>
        <w:t xml:space="preserve"> </w:t>
      </w:r>
      <w:r w:rsidRPr="00530CF8">
        <w:rPr>
          <w:rFonts w:ascii="Arial" w:hAnsi="Arial" w:cs="Arial"/>
        </w:rPr>
        <w:t xml:space="preserve">Inadequate internal capacity has been constraining MISA’s efforts to accelerate delivery and extend its reach to a </w:t>
      </w:r>
      <w:r>
        <w:rPr>
          <w:rFonts w:ascii="Arial" w:hAnsi="Arial" w:cs="Arial"/>
        </w:rPr>
        <w:t>higher number of municipalities. Also reported were difficulties around the redeployment of</w:t>
      </w:r>
      <w:r w:rsidRPr="00530CF8">
        <w:rPr>
          <w:rFonts w:ascii="Arial" w:hAnsi="Arial" w:cs="Arial"/>
        </w:rPr>
        <w:t xml:space="preserve"> technical professionals to municipalities prioriti</w:t>
      </w:r>
      <w:r>
        <w:rPr>
          <w:rFonts w:ascii="Arial" w:hAnsi="Arial" w:cs="Arial"/>
        </w:rPr>
        <w:t>s</w:t>
      </w:r>
      <w:r w:rsidRPr="00530CF8">
        <w:rPr>
          <w:rFonts w:ascii="Arial" w:hAnsi="Arial" w:cs="Arial"/>
        </w:rPr>
        <w:t>ed for support due to persisting capacity gaps in municipalities cu</w:t>
      </w:r>
      <w:r>
        <w:rPr>
          <w:rFonts w:ascii="Arial" w:hAnsi="Arial" w:cs="Arial"/>
        </w:rPr>
        <w:t xml:space="preserve">rrently receiving support. </w:t>
      </w:r>
      <w:r w:rsidRPr="00530CF8">
        <w:rPr>
          <w:rFonts w:ascii="Arial" w:hAnsi="Arial" w:cs="Arial"/>
        </w:rPr>
        <w:t xml:space="preserve">There are also institutional challenges in the system of training </w:t>
      </w:r>
      <w:r>
        <w:rPr>
          <w:rFonts w:ascii="Arial" w:hAnsi="Arial" w:cs="Arial"/>
        </w:rPr>
        <w:t xml:space="preserve">and developing technical skills. Additional challenges included a </w:t>
      </w:r>
      <w:r>
        <w:rPr>
          <w:rFonts w:ascii="Arial" w:hAnsi="Arial" w:cs="Arial"/>
          <w:color w:val="000000"/>
          <w:kern w:val="24"/>
        </w:rPr>
        <w:t>h</w:t>
      </w:r>
      <w:r w:rsidRPr="00530CF8">
        <w:rPr>
          <w:rFonts w:ascii="Arial" w:hAnsi="Arial" w:cs="Arial"/>
          <w:color w:val="000000"/>
          <w:kern w:val="24"/>
        </w:rPr>
        <w:t>igh turnover rate among skilled and experience</w:t>
      </w:r>
      <w:r>
        <w:rPr>
          <w:rFonts w:ascii="Arial" w:hAnsi="Arial" w:cs="Arial"/>
          <w:color w:val="000000"/>
          <w:kern w:val="24"/>
        </w:rPr>
        <w:t>d</w:t>
      </w:r>
      <w:r w:rsidRPr="00530CF8">
        <w:rPr>
          <w:rFonts w:ascii="Arial" w:hAnsi="Arial" w:cs="Arial"/>
          <w:color w:val="000000"/>
          <w:kern w:val="24"/>
        </w:rPr>
        <w:t xml:space="preserve"> technical professionals in local government; </w:t>
      </w:r>
      <w:r>
        <w:rPr>
          <w:rFonts w:ascii="Arial" w:hAnsi="Arial" w:cs="Arial"/>
        </w:rPr>
        <w:t xml:space="preserve">the </w:t>
      </w:r>
      <w:r>
        <w:rPr>
          <w:rFonts w:ascii="Arial" w:hAnsi="Arial" w:cs="Arial"/>
          <w:color w:val="000000"/>
          <w:kern w:val="24"/>
        </w:rPr>
        <w:t>a</w:t>
      </w:r>
      <w:r w:rsidRPr="00530CF8">
        <w:rPr>
          <w:rFonts w:ascii="Arial" w:hAnsi="Arial" w:cs="Arial"/>
          <w:color w:val="000000"/>
          <w:kern w:val="24"/>
        </w:rPr>
        <w:t>ppointment of technical officials without requisite qualifications and/or experience by municipalities; an</w:t>
      </w:r>
      <w:r>
        <w:rPr>
          <w:rFonts w:ascii="Arial" w:hAnsi="Arial" w:cs="Arial"/>
          <w:color w:val="000000"/>
          <w:kern w:val="24"/>
        </w:rPr>
        <w:t>d p</w:t>
      </w:r>
      <w:r w:rsidRPr="00530CF8">
        <w:rPr>
          <w:rFonts w:ascii="Arial" w:hAnsi="Arial" w:cs="Arial"/>
          <w:color w:val="000000"/>
          <w:kern w:val="24"/>
        </w:rPr>
        <w:t>oor absorption and retention of graduates by municipalities after they complete their training with MISA support.</w:t>
      </w:r>
    </w:p>
    <w:p w:rsidR="00100427" w:rsidRDefault="00100427" w:rsidP="003F0936">
      <w:pPr>
        <w:pStyle w:val="ListParagraph"/>
        <w:spacing w:after="0" w:line="280" w:lineRule="exact"/>
        <w:jc w:val="both"/>
        <w:rPr>
          <w:rFonts w:ascii="Arial" w:hAnsi="Arial" w:cs="Arial"/>
          <w:color w:val="000000"/>
          <w:kern w:val="24"/>
        </w:rPr>
      </w:pPr>
    </w:p>
    <w:p w:rsidR="00100427" w:rsidRPr="00F81456" w:rsidRDefault="00100427" w:rsidP="00F81456">
      <w:pPr>
        <w:pStyle w:val="ListParagraph"/>
        <w:spacing w:after="0" w:line="280" w:lineRule="exact"/>
        <w:jc w:val="both"/>
        <w:rPr>
          <w:rFonts w:ascii="Arial" w:hAnsi="Arial" w:cs="Arial"/>
          <w:color w:val="000000"/>
          <w:kern w:val="24"/>
        </w:rPr>
      </w:pPr>
      <w:r>
        <w:rPr>
          <w:rFonts w:ascii="Arial" w:hAnsi="Arial" w:cs="Arial"/>
          <w:i/>
        </w:rPr>
        <w:t xml:space="preserve">CRL Commission: </w:t>
      </w:r>
      <w:r>
        <w:rPr>
          <w:rFonts w:ascii="Arial" w:hAnsi="Arial" w:cs="Arial"/>
        </w:rPr>
        <w:t xml:space="preserve">While </w:t>
      </w:r>
      <w:r>
        <w:rPr>
          <w:rFonts w:ascii="Arial" w:hAnsi="Arial" w:cs="Arial"/>
          <w:lang w:eastAsia="en-ZA"/>
        </w:rPr>
        <w:t>e</w:t>
      </w:r>
      <w:r w:rsidRPr="00B84232">
        <w:rPr>
          <w:rFonts w:ascii="Arial" w:hAnsi="Arial" w:cs="Arial"/>
          <w:lang w:eastAsia="en-ZA"/>
        </w:rPr>
        <w:t xml:space="preserve">xpenditure in the CRL Commission has increased significantly - from R20.3 million in 2009/10 to R34.2 </w:t>
      </w:r>
      <w:r>
        <w:rPr>
          <w:rFonts w:ascii="Arial" w:hAnsi="Arial" w:cs="Arial"/>
          <w:lang w:eastAsia="en-ZA"/>
        </w:rPr>
        <w:t xml:space="preserve">million in 2012/13 – the </w:t>
      </w:r>
      <w:r>
        <w:rPr>
          <w:rFonts w:ascii="Arial" w:hAnsi="Arial" w:cs="Arial"/>
          <w:lang w:eastAsia="en-ZA"/>
        </w:rPr>
        <w:lastRenderedPageBreak/>
        <w:t>allocated budget</w:t>
      </w:r>
      <w:r w:rsidRPr="00B84232">
        <w:rPr>
          <w:rFonts w:ascii="Arial" w:hAnsi="Arial" w:cs="Arial"/>
          <w:lang w:eastAsia="en-ZA"/>
        </w:rPr>
        <w:t xml:space="preserve"> is still insufficient in terms of enabling the Commission to fulfil its constitutional mandate effectively.</w:t>
      </w:r>
    </w:p>
    <w:p w:rsidR="00100427" w:rsidRPr="00C40CCD" w:rsidRDefault="00100427" w:rsidP="001A70CE">
      <w:pPr>
        <w:pStyle w:val="ListParagraph"/>
        <w:spacing w:after="0" w:line="280" w:lineRule="exact"/>
        <w:ind w:left="0"/>
        <w:jc w:val="both"/>
        <w:rPr>
          <w:rFonts w:ascii="Arial" w:hAnsi="Arial" w:cs="Arial"/>
          <w:b/>
        </w:rPr>
      </w:pPr>
    </w:p>
    <w:p w:rsidR="00100427" w:rsidRPr="007C783E" w:rsidRDefault="00100427" w:rsidP="003970F6">
      <w:pPr>
        <w:pStyle w:val="ListParagraph"/>
        <w:numPr>
          <w:ilvl w:val="2"/>
          <w:numId w:val="1"/>
        </w:numPr>
        <w:spacing w:after="0" w:line="280" w:lineRule="exact"/>
        <w:jc w:val="both"/>
        <w:rPr>
          <w:rFonts w:ascii="Arial" w:hAnsi="Arial" w:cs="Arial"/>
          <w:b/>
        </w:rPr>
      </w:pPr>
      <w:r>
        <w:rPr>
          <w:rFonts w:ascii="Arial" w:hAnsi="Arial" w:cs="Arial"/>
        </w:rPr>
        <w:t>Non-financial audit outcomes and steps taken to address findings</w:t>
      </w:r>
    </w:p>
    <w:p w:rsidR="00100427" w:rsidRDefault="00100427" w:rsidP="007C783E">
      <w:pPr>
        <w:pStyle w:val="ListParagraph"/>
        <w:spacing w:after="0" w:line="280" w:lineRule="exact"/>
        <w:jc w:val="both"/>
        <w:rPr>
          <w:rFonts w:ascii="Arial" w:hAnsi="Arial" w:cs="Arial"/>
        </w:rPr>
      </w:pPr>
    </w:p>
    <w:p w:rsidR="00100427" w:rsidRDefault="00100427" w:rsidP="00D50AF4">
      <w:pPr>
        <w:pStyle w:val="ListParagraph"/>
        <w:spacing w:after="0" w:line="280" w:lineRule="exact"/>
        <w:jc w:val="both"/>
        <w:rPr>
          <w:rFonts w:ascii="Arial" w:hAnsi="Arial" w:cs="Arial"/>
        </w:rPr>
      </w:pPr>
      <w:r>
        <w:rPr>
          <w:rFonts w:ascii="Arial" w:hAnsi="Arial" w:cs="Arial"/>
        </w:rPr>
        <w:t>The Departments of Cooperative Governance and Traditional Affairs will</w:t>
      </w:r>
      <w:r w:rsidRPr="00DE7686">
        <w:rPr>
          <w:rFonts w:ascii="Arial" w:hAnsi="Arial" w:cs="Arial"/>
        </w:rPr>
        <w:t xml:space="preserve"> develop a focused Post Audit Acti</w:t>
      </w:r>
      <w:r>
        <w:rPr>
          <w:rFonts w:ascii="Arial" w:hAnsi="Arial" w:cs="Arial"/>
        </w:rPr>
        <w:t>on Plan 2013/14 to address the finding</w:t>
      </w:r>
      <w:r w:rsidRPr="00DE7686">
        <w:rPr>
          <w:rFonts w:ascii="Arial" w:hAnsi="Arial" w:cs="Arial"/>
        </w:rPr>
        <w:t xml:space="preserve"> on the</w:t>
      </w:r>
      <w:r>
        <w:rPr>
          <w:rFonts w:ascii="Arial" w:hAnsi="Arial" w:cs="Arial"/>
        </w:rPr>
        <w:t xml:space="preserve"> poor</w:t>
      </w:r>
      <w:r w:rsidRPr="00DE7686">
        <w:rPr>
          <w:rFonts w:ascii="Arial" w:hAnsi="Arial" w:cs="Arial"/>
        </w:rPr>
        <w:t xml:space="preserve"> management of performance informat</w:t>
      </w:r>
      <w:r>
        <w:rPr>
          <w:rFonts w:ascii="Arial" w:hAnsi="Arial" w:cs="Arial"/>
        </w:rPr>
        <w:t>ion. T</w:t>
      </w:r>
      <w:r w:rsidRPr="00DE7686">
        <w:rPr>
          <w:rFonts w:ascii="Arial" w:hAnsi="Arial" w:cs="Arial"/>
        </w:rPr>
        <w:t>he 2012/13 performance measures and targets</w:t>
      </w:r>
      <w:r>
        <w:rPr>
          <w:rFonts w:ascii="Arial" w:hAnsi="Arial" w:cs="Arial"/>
        </w:rPr>
        <w:t xml:space="preserve"> will also be reviewed</w:t>
      </w:r>
      <w:r w:rsidRPr="00DE7686">
        <w:rPr>
          <w:rFonts w:ascii="Arial" w:hAnsi="Arial" w:cs="Arial"/>
        </w:rPr>
        <w:t xml:space="preserve"> for purposes</w:t>
      </w:r>
      <w:r>
        <w:rPr>
          <w:rFonts w:ascii="Arial" w:hAnsi="Arial" w:cs="Arial"/>
        </w:rPr>
        <w:t xml:space="preserve"> of subjecting them to the SMART</w:t>
      </w:r>
      <w:r w:rsidRPr="00DE7686">
        <w:rPr>
          <w:rFonts w:ascii="Arial" w:hAnsi="Arial" w:cs="Arial"/>
        </w:rPr>
        <w:t xml:space="preserve"> criteria in an effort to improve on the management of performance information. The measures and targets for the 2013/14 financial year were also subjected to th</w:t>
      </w:r>
      <w:r>
        <w:rPr>
          <w:rFonts w:ascii="Arial" w:hAnsi="Arial" w:cs="Arial"/>
        </w:rPr>
        <w:t>e SMART criteria. T</w:t>
      </w:r>
      <w:r w:rsidRPr="00DE7686">
        <w:rPr>
          <w:rFonts w:ascii="Arial" w:hAnsi="Arial" w:cs="Arial"/>
        </w:rPr>
        <w:t xml:space="preserve">he Office of the Auditor-General and the National Treasury were </w:t>
      </w:r>
      <w:r>
        <w:rPr>
          <w:rFonts w:ascii="Arial" w:hAnsi="Arial" w:cs="Arial"/>
        </w:rPr>
        <w:t>also consulted and the resultant inputs</w:t>
      </w:r>
      <w:r w:rsidRPr="00DE7686">
        <w:rPr>
          <w:rFonts w:ascii="Arial" w:hAnsi="Arial" w:cs="Arial"/>
        </w:rPr>
        <w:t xml:space="preserve"> were incorporated into the APP 2013/14</w:t>
      </w:r>
      <w:r>
        <w:rPr>
          <w:rFonts w:ascii="Arial" w:hAnsi="Arial" w:cs="Arial"/>
        </w:rPr>
        <w:t>. Additional interventions include:</w:t>
      </w:r>
    </w:p>
    <w:p w:rsidR="00100427" w:rsidRPr="00D50AF4" w:rsidRDefault="00100427" w:rsidP="00D50AF4">
      <w:pPr>
        <w:pStyle w:val="ListParagraph"/>
        <w:spacing w:after="0" w:line="280" w:lineRule="exact"/>
        <w:jc w:val="both"/>
        <w:rPr>
          <w:rFonts w:ascii="Arial" w:hAnsi="Arial" w:cs="Arial"/>
        </w:rPr>
      </w:pPr>
    </w:p>
    <w:p w:rsidR="00100427" w:rsidRDefault="00100427" w:rsidP="00E56A9D">
      <w:pPr>
        <w:pStyle w:val="ListParagraph"/>
        <w:numPr>
          <w:ilvl w:val="0"/>
          <w:numId w:val="11"/>
        </w:numPr>
        <w:tabs>
          <w:tab w:val="left" w:pos="1134"/>
        </w:tabs>
        <w:ind w:right="37" w:hanging="229"/>
        <w:jc w:val="both"/>
        <w:rPr>
          <w:rFonts w:ascii="Arial" w:hAnsi="Arial" w:cs="Arial"/>
        </w:rPr>
      </w:pPr>
      <w:r>
        <w:rPr>
          <w:rFonts w:ascii="Arial" w:hAnsi="Arial" w:cs="Arial"/>
        </w:rPr>
        <w:t>Development and implementation of</w:t>
      </w:r>
      <w:r w:rsidRPr="00D50AF4">
        <w:rPr>
          <w:rFonts w:ascii="Arial" w:hAnsi="Arial" w:cs="Arial"/>
        </w:rPr>
        <w:t xml:space="preserve"> a procur</w:t>
      </w:r>
      <w:r>
        <w:rPr>
          <w:rFonts w:ascii="Arial" w:hAnsi="Arial" w:cs="Arial"/>
        </w:rPr>
        <w:t>ement plan with timeframes</w:t>
      </w:r>
      <w:r w:rsidRPr="00D50AF4">
        <w:rPr>
          <w:rFonts w:ascii="Arial" w:hAnsi="Arial" w:cs="Arial"/>
        </w:rPr>
        <w:t xml:space="preserve"> in order to avoid late appointment of service providers;</w:t>
      </w:r>
    </w:p>
    <w:p w:rsidR="00100427" w:rsidRDefault="00100427" w:rsidP="00E56A9D">
      <w:pPr>
        <w:pStyle w:val="ListParagraph"/>
        <w:numPr>
          <w:ilvl w:val="0"/>
          <w:numId w:val="11"/>
        </w:numPr>
        <w:tabs>
          <w:tab w:val="left" w:pos="1134"/>
        </w:tabs>
        <w:ind w:right="37" w:hanging="229"/>
        <w:jc w:val="both"/>
        <w:rPr>
          <w:rFonts w:ascii="Arial" w:hAnsi="Arial" w:cs="Arial"/>
        </w:rPr>
      </w:pPr>
      <w:r>
        <w:rPr>
          <w:rFonts w:ascii="Arial" w:hAnsi="Arial" w:cs="Arial"/>
        </w:rPr>
        <w:t>F</w:t>
      </w:r>
      <w:r w:rsidRPr="008D1980">
        <w:rPr>
          <w:rFonts w:ascii="Arial" w:hAnsi="Arial" w:cs="Arial"/>
        </w:rPr>
        <w:t>illing of critical posts</w:t>
      </w:r>
      <w:bookmarkStart w:id="0" w:name="_GoBack"/>
      <w:bookmarkEnd w:id="0"/>
      <w:r>
        <w:rPr>
          <w:rFonts w:ascii="Arial" w:hAnsi="Arial" w:cs="Arial"/>
        </w:rPr>
        <w:t>;</w:t>
      </w:r>
    </w:p>
    <w:p w:rsidR="00100427" w:rsidRDefault="00100427" w:rsidP="00E56A9D">
      <w:pPr>
        <w:pStyle w:val="ListParagraph"/>
        <w:numPr>
          <w:ilvl w:val="0"/>
          <w:numId w:val="11"/>
        </w:numPr>
        <w:tabs>
          <w:tab w:val="left" w:pos="1134"/>
        </w:tabs>
        <w:ind w:right="37" w:hanging="229"/>
        <w:jc w:val="both"/>
        <w:rPr>
          <w:rFonts w:ascii="Arial" w:hAnsi="Arial" w:cs="Arial"/>
        </w:rPr>
      </w:pPr>
      <w:r>
        <w:rPr>
          <w:rFonts w:ascii="Arial" w:hAnsi="Arial" w:cs="Arial"/>
        </w:rPr>
        <w:t>Establishment of a Policy Forum</w:t>
      </w:r>
      <w:r w:rsidRPr="008D1980">
        <w:rPr>
          <w:rFonts w:ascii="Arial" w:hAnsi="Arial" w:cs="Arial"/>
        </w:rPr>
        <w:t xml:space="preserve"> to expedite the submission of quality documents and content analysis; </w:t>
      </w:r>
    </w:p>
    <w:p w:rsidR="00100427" w:rsidRDefault="00100427" w:rsidP="00E56A9D">
      <w:pPr>
        <w:pStyle w:val="ListParagraph"/>
        <w:numPr>
          <w:ilvl w:val="0"/>
          <w:numId w:val="11"/>
        </w:numPr>
        <w:tabs>
          <w:tab w:val="left" w:pos="1134"/>
        </w:tabs>
        <w:ind w:right="37" w:hanging="229"/>
        <w:jc w:val="both"/>
        <w:rPr>
          <w:rFonts w:ascii="Arial" w:hAnsi="Arial" w:cs="Arial"/>
        </w:rPr>
      </w:pPr>
      <w:r>
        <w:rPr>
          <w:rFonts w:ascii="Arial" w:hAnsi="Arial" w:cs="Arial"/>
        </w:rPr>
        <w:t>Establishment of</w:t>
      </w:r>
      <w:r w:rsidRPr="00082B86">
        <w:rPr>
          <w:rFonts w:ascii="Arial" w:hAnsi="Arial" w:cs="Arial"/>
        </w:rPr>
        <w:t xml:space="preserve"> an Inter-Programme/Branch engagement on cross cutting issues and also on sharing experiences  for improved execution of projects</w:t>
      </w:r>
      <w:r>
        <w:rPr>
          <w:rFonts w:ascii="Arial" w:hAnsi="Arial" w:cs="Arial"/>
        </w:rPr>
        <w:t>; and</w:t>
      </w:r>
    </w:p>
    <w:p w:rsidR="00100427" w:rsidRPr="003232A7" w:rsidRDefault="00100427" w:rsidP="00E56A9D">
      <w:pPr>
        <w:pStyle w:val="ListParagraph"/>
        <w:numPr>
          <w:ilvl w:val="0"/>
          <w:numId w:val="11"/>
        </w:numPr>
        <w:tabs>
          <w:tab w:val="left" w:pos="1134"/>
        </w:tabs>
        <w:ind w:right="37" w:hanging="229"/>
        <w:jc w:val="both"/>
        <w:rPr>
          <w:rFonts w:ascii="Arial" w:hAnsi="Arial" w:cs="Arial"/>
        </w:rPr>
      </w:pPr>
      <w:r>
        <w:rPr>
          <w:rFonts w:ascii="Arial" w:hAnsi="Arial" w:cs="Arial"/>
        </w:rPr>
        <w:t>Institutionalisation of self-assessment using the Management Performance Assessment Tool (MPAT).</w:t>
      </w:r>
    </w:p>
    <w:p w:rsidR="00100427" w:rsidRPr="00DC7896" w:rsidRDefault="00100427" w:rsidP="00DC7896">
      <w:pPr>
        <w:numPr>
          <w:ilvl w:val="1"/>
          <w:numId w:val="1"/>
        </w:numPr>
        <w:jc w:val="both"/>
        <w:rPr>
          <w:rFonts w:cs="Arial"/>
          <w:sz w:val="22"/>
          <w:szCs w:val="22"/>
        </w:rPr>
      </w:pPr>
      <w:r w:rsidRPr="00DD6FA0">
        <w:rPr>
          <w:rFonts w:cs="Arial"/>
          <w:b/>
          <w:sz w:val="22"/>
          <w:szCs w:val="22"/>
        </w:rPr>
        <w:t xml:space="preserve">Service delivery performance for 2013/14 </w:t>
      </w:r>
    </w:p>
    <w:p w:rsidR="00100427" w:rsidRPr="00DC7896" w:rsidRDefault="00100427" w:rsidP="00DC7896">
      <w:pPr>
        <w:ind w:left="720"/>
        <w:jc w:val="both"/>
        <w:rPr>
          <w:rFonts w:cs="Arial"/>
          <w:sz w:val="22"/>
          <w:szCs w:val="22"/>
        </w:rPr>
      </w:pPr>
    </w:p>
    <w:p w:rsidR="00100427" w:rsidRPr="00701C74" w:rsidRDefault="00100427" w:rsidP="00701C74">
      <w:pPr>
        <w:pStyle w:val="ListParagraph"/>
        <w:numPr>
          <w:ilvl w:val="0"/>
          <w:numId w:val="4"/>
        </w:numPr>
        <w:spacing w:after="0" w:line="280" w:lineRule="exact"/>
        <w:jc w:val="both"/>
        <w:rPr>
          <w:rFonts w:ascii="Arial" w:hAnsi="Arial" w:cs="Arial"/>
        </w:rPr>
      </w:pPr>
      <w:r w:rsidRPr="00DD6FA0">
        <w:rPr>
          <w:rFonts w:ascii="Arial" w:hAnsi="Arial" w:cs="Arial"/>
        </w:rPr>
        <w:t xml:space="preserve">Oversight visit reports- summary of key service delivery issues. </w:t>
      </w:r>
    </w:p>
    <w:p w:rsidR="00100427" w:rsidRDefault="00100427" w:rsidP="00B808C9">
      <w:pPr>
        <w:pStyle w:val="ListParagraph"/>
        <w:spacing w:after="0" w:line="280" w:lineRule="exact"/>
        <w:ind w:left="0"/>
        <w:jc w:val="both"/>
        <w:rPr>
          <w:rFonts w:ascii="Arial" w:hAnsi="Arial" w:cs="Arial"/>
        </w:rPr>
      </w:pPr>
    </w:p>
    <w:p w:rsidR="00100427" w:rsidRDefault="00100427" w:rsidP="00E56A9D">
      <w:pPr>
        <w:pStyle w:val="Normalbold"/>
        <w:numPr>
          <w:ilvl w:val="0"/>
          <w:numId w:val="15"/>
        </w:numPr>
        <w:jc w:val="both"/>
        <w:rPr>
          <w:b w:val="0"/>
          <w:sz w:val="22"/>
          <w:szCs w:val="22"/>
        </w:rPr>
      </w:pPr>
      <w:r w:rsidRPr="00B808C9">
        <w:rPr>
          <w:rFonts w:cs="Arial"/>
          <w:b w:val="0"/>
          <w:i/>
          <w:sz w:val="22"/>
          <w:szCs w:val="22"/>
        </w:rPr>
        <w:t>Capacity</w:t>
      </w:r>
      <w:r>
        <w:rPr>
          <w:rFonts w:cs="Arial"/>
        </w:rPr>
        <w:t xml:space="preserve">: </w:t>
      </w:r>
      <w:r>
        <w:rPr>
          <w:b w:val="0"/>
          <w:sz w:val="22"/>
          <w:szCs w:val="22"/>
        </w:rPr>
        <w:t>The capacity of some provincial Departments of Cooperative Governance and Traditional Affairs to support, monitor and evaluate municipalities appeared inadequate. Mandates often do not seem commensurate with the resources provided. This hampers the ability to develop strong monitoring and early warning systems for local government. As a result many municipalities continue to struggle with capacity issues. Stronger municipalities are contingent on stronger provinces. There is therefore a compelling need to capacitate provinces, financially and otherwise, to enable them to fulfil their oversight function over municipalities. Capacity in terms of</w:t>
      </w:r>
      <w:r w:rsidRPr="00B808C9">
        <w:rPr>
          <w:b w:val="0"/>
          <w:sz w:val="22"/>
          <w:szCs w:val="22"/>
        </w:rPr>
        <w:t xml:space="preserve"> attract</w:t>
      </w:r>
      <w:r>
        <w:rPr>
          <w:b w:val="0"/>
          <w:sz w:val="22"/>
          <w:szCs w:val="22"/>
        </w:rPr>
        <w:t>ing</w:t>
      </w:r>
      <w:r w:rsidRPr="00B808C9">
        <w:rPr>
          <w:b w:val="0"/>
          <w:sz w:val="22"/>
          <w:szCs w:val="22"/>
        </w:rPr>
        <w:t xml:space="preserve"> and retain</w:t>
      </w:r>
      <w:r>
        <w:rPr>
          <w:b w:val="0"/>
          <w:sz w:val="22"/>
          <w:szCs w:val="22"/>
        </w:rPr>
        <w:t>ing</w:t>
      </w:r>
      <w:r w:rsidRPr="00B808C9">
        <w:rPr>
          <w:b w:val="0"/>
          <w:sz w:val="22"/>
          <w:szCs w:val="22"/>
        </w:rPr>
        <w:t xml:space="preserve"> critical personnel</w:t>
      </w:r>
      <w:r>
        <w:rPr>
          <w:b w:val="0"/>
          <w:sz w:val="22"/>
          <w:szCs w:val="22"/>
        </w:rPr>
        <w:t xml:space="preserve"> is another related challenge, particularly in rural-based municipalities</w:t>
      </w:r>
      <w:r w:rsidRPr="00B808C9">
        <w:rPr>
          <w:b w:val="0"/>
          <w:sz w:val="22"/>
          <w:szCs w:val="22"/>
        </w:rPr>
        <w:t>. Critical posts remain vacant for long periods. Acting positions are prevalent and this constrains meaningful decision-making. Of the critical posts that have been filled, very few have been occupied for more than a year. The resultant lack of continuity and institutional memory poses serious service delivery challenges.</w:t>
      </w:r>
      <w:r>
        <w:rPr>
          <w:b w:val="0"/>
          <w:sz w:val="22"/>
          <w:szCs w:val="22"/>
        </w:rPr>
        <w:t xml:space="preserve"> The inability to fill critical posts is also related to political instability prevalent in some municipalities.</w:t>
      </w:r>
    </w:p>
    <w:p w:rsidR="00100427" w:rsidRDefault="00100427" w:rsidP="00E56A9D">
      <w:pPr>
        <w:pStyle w:val="Normalbold"/>
        <w:numPr>
          <w:ilvl w:val="0"/>
          <w:numId w:val="15"/>
        </w:numPr>
        <w:jc w:val="both"/>
        <w:rPr>
          <w:b w:val="0"/>
          <w:sz w:val="22"/>
          <w:szCs w:val="22"/>
        </w:rPr>
      </w:pPr>
      <w:r w:rsidRPr="0056741E">
        <w:rPr>
          <w:rFonts w:cs="Arial"/>
          <w:b w:val="0"/>
          <w:i/>
          <w:sz w:val="22"/>
          <w:szCs w:val="22"/>
        </w:rPr>
        <w:lastRenderedPageBreak/>
        <w:t>Governance:</w:t>
      </w:r>
      <w:r w:rsidRPr="0056741E">
        <w:rPr>
          <w:b w:val="0"/>
          <w:sz w:val="22"/>
          <w:szCs w:val="22"/>
        </w:rPr>
        <w:t xml:space="preserve"> </w:t>
      </w:r>
      <w:r>
        <w:rPr>
          <w:b w:val="0"/>
          <w:sz w:val="22"/>
          <w:szCs w:val="22"/>
        </w:rPr>
        <w:t>There are concerns</w:t>
      </w:r>
      <w:r w:rsidRPr="0056741E">
        <w:rPr>
          <w:b w:val="0"/>
          <w:sz w:val="22"/>
          <w:szCs w:val="22"/>
        </w:rPr>
        <w:t xml:space="preserve"> around the function</w:t>
      </w:r>
      <w:r>
        <w:rPr>
          <w:b w:val="0"/>
          <w:sz w:val="22"/>
          <w:szCs w:val="22"/>
        </w:rPr>
        <w:t>ing</w:t>
      </w:r>
      <w:r w:rsidRPr="0056741E">
        <w:rPr>
          <w:b w:val="0"/>
          <w:sz w:val="22"/>
          <w:szCs w:val="22"/>
        </w:rPr>
        <w:t xml:space="preserve"> of Int</w:t>
      </w:r>
      <w:r>
        <w:rPr>
          <w:b w:val="0"/>
          <w:sz w:val="22"/>
          <w:szCs w:val="22"/>
        </w:rPr>
        <w:t>ergovernmental Relations (IGR) Structures, which are</w:t>
      </w:r>
      <w:r w:rsidRPr="0056741E">
        <w:rPr>
          <w:b w:val="0"/>
          <w:sz w:val="22"/>
          <w:szCs w:val="22"/>
        </w:rPr>
        <w:t xml:space="preserve"> meant to foster coordination between the </w:t>
      </w:r>
      <w:r>
        <w:rPr>
          <w:b w:val="0"/>
          <w:sz w:val="22"/>
          <w:szCs w:val="22"/>
        </w:rPr>
        <w:t>provinces, d</w:t>
      </w:r>
      <w:r w:rsidRPr="0056741E">
        <w:rPr>
          <w:b w:val="0"/>
          <w:sz w:val="22"/>
          <w:szCs w:val="22"/>
        </w:rPr>
        <w:t>istricts and local municipalities. Senior Managers often do not participate in IGR meetings, delegating junior officials who do not have dec</w:t>
      </w:r>
      <w:r>
        <w:rPr>
          <w:b w:val="0"/>
          <w:sz w:val="22"/>
          <w:szCs w:val="22"/>
        </w:rPr>
        <w:t>ision-making powers. The minimal</w:t>
      </w:r>
      <w:r w:rsidRPr="0056741E">
        <w:rPr>
          <w:b w:val="0"/>
          <w:sz w:val="22"/>
          <w:szCs w:val="22"/>
        </w:rPr>
        <w:t xml:space="preserve"> participation of other spheres of government in municipal planning pro</w:t>
      </w:r>
      <w:r>
        <w:rPr>
          <w:b w:val="0"/>
          <w:sz w:val="22"/>
          <w:szCs w:val="22"/>
        </w:rPr>
        <w:t>cesses is also a concern</w:t>
      </w:r>
      <w:r w:rsidRPr="0056741E">
        <w:rPr>
          <w:b w:val="0"/>
          <w:sz w:val="22"/>
          <w:szCs w:val="22"/>
        </w:rPr>
        <w:t>.</w:t>
      </w:r>
      <w:r>
        <w:rPr>
          <w:b w:val="0"/>
          <w:sz w:val="22"/>
          <w:szCs w:val="22"/>
        </w:rPr>
        <w:t xml:space="preserve"> The Committee notes and welcomes the Department’s envisaged</w:t>
      </w:r>
      <w:r w:rsidRPr="002353A7">
        <w:rPr>
          <w:rFonts w:cs="Arial"/>
          <w:b w:val="0"/>
          <w:sz w:val="22"/>
          <w:szCs w:val="22"/>
        </w:rPr>
        <w:t xml:space="preserve"> assessment of Provincial IGR structures in order to devise appropriate interventions to improve functionality</w:t>
      </w:r>
      <w:r>
        <w:rPr>
          <w:rFonts w:cs="Arial"/>
          <w:b w:val="0"/>
          <w:sz w:val="22"/>
          <w:szCs w:val="22"/>
        </w:rPr>
        <w:t>.</w:t>
      </w:r>
    </w:p>
    <w:p w:rsidR="00100427" w:rsidRPr="00192720" w:rsidRDefault="00100427" w:rsidP="00E56A9D">
      <w:pPr>
        <w:pStyle w:val="Normalbold"/>
        <w:numPr>
          <w:ilvl w:val="0"/>
          <w:numId w:val="15"/>
        </w:numPr>
        <w:jc w:val="both"/>
        <w:rPr>
          <w:b w:val="0"/>
          <w:sz w:val="22"/>
          <w:szCs w:val="22"/>
        </w:rPr>
      </w:pPr>
      <w:r w:rsidRPr="00BC1A12">
        <w:rPr>
          <w:rFonts w:cs="Arial"/>
          <w:b w:val="0"/>
          <w:i/>
          <w:sz w:val="22"/>
          <w:szCs w:val="22"/>
        </w:rPr>
        <w:t>Financial management:</w:t>
      </w:r>
      <w:r w:rsidRPr="00BC1A12">
        <w:rPr>
          <w:b w:val="0"/>
          <w:sz w:val="22"/>
          <w:szCs w:val="22"/>
        </w:rPr>
        <w:t xml:space="preserve"> Many municipalities in the country would qualify for intervention in terms of Section 139 of the Constitution. </w:t>
      </w:r>
      <w:r>
        <w:rPr>
          <w:b w:val="0"/>
          <w:sz w:val="22"/>
          <w:szCs w:val="22"/>
        </w:rPr>
        <w:t>Secondly, d</w:t>
      </w:r>
      <w:r w:rsidRPr="00BC1A12">
        <w:rPr>
          <w:b w:val="0"/>
          <w:sz w:val="22"/>
          <w:szCs w:val="22"/>
        </w:rPr>
        <w:t xml:space="preserve">espite spending exorbitant amounts on consultants to assist with preparing annual financial statements, many municipalities were sitting with disclaimer audit opinions for consecutive years. There is thus a question of value for money that </w:t>
      </w:r>
      <w:r>
        <w:rPr>
          <w:b w:val="0"/>
          <w:sz w:val="22"/>
          <w:szCs w:val="22"/>
        </w:rPr>
        <w:t>requires</w:t>
      </w:r>
      <w:r w:rsidRPr="00BC1A12">
        <w:rPr>
          <w:b w:val="0"/>
          <w:sz w:val="22"/>
          <w:szCs w:val="22"/>
        </w:rPr>
        <w:t xml:space="preserve"> </w:t>
      </w:r>
      <w:r>
        <w:rPr>
          <w:b w:val="0"/>
          <w:sz w:val="22"/>
          <w:szCs w:val="22"/>
        </w:rPr>
        <w:t xml:space="preserve">a </w:t>
      </w:r>
      <w:r w:rsidRPr="00BC1A12">
        <w:rPr>
          <w:b w:val="0"/>
          <w:sz w:val="22"/>
          <w:szCs w:val="22"/>
        </w:rPr>
        <w:t xml:space="preserve">concerted </w:t>
      </w:r>
      <w:r>
        <w:rPr>
          <w:b w:val="0"/>
          <w:sz w:val="22"/>
          <w:szCs w:val="22"/>
        </w:rPr>
        <w:t>effort to address it</w:t>
      </w:r>
      <w:r w:rsidRPr="00BC1A12">
        <w:rPr>
          <w:b w:val="0"/>
          <w:sz w:val="22"/>
          <w:szCs w:val="22"/>
        </w:rPr>
        <w:t>.</w:t>
      </w:r>
      <w:r>
        <w:rPr>
          <w:b w:val="0"/>
          <w:sz w:val="22"/>
          <w:szCs w:val="22"/>
        </w:rPr>
        <w:t xml:space="preserve"> The question of intergovernmental debt is alsosignificant</w:t>
      </w:r>
      <w:r w:rsidDel="00EB1AA1">
        <w:rPr>
          <w:b w:val="0"/>
          <w:sz w:val="22"/>
          <w:szCs w:val="22"/>
        </w:rPr>
        <w:t xml:space="preserve"> </w:t>
      </w:r>
      <w:r>
        <w:rPr>
          <w:b w:val="0"/>
          <w:sz w:val="22"/>
          <w:szCs w:val="22"/>
        </w:rPr>
        <w:t>. Many municipalities are</w:t>
      </w:r>
      <w:r w:rsidRPr="00BC1A12">
        <w:rPr>
          <w:b w:val="0"/>
          <w:sz w:val="22"/>
          <w:szCs w:val="22"/>
        </w:rPr>
        <w:t xml:space="preserve"> provid</w:t>
      </w:r>
      <w:r>
        <w:rPr>
          <w:b w:val="0"/>
          <w:sz w:val="22"/>
          <w:szCs w:val="22"/>
        </w:rPr>
        <w:t>ing services for which they are</w:t>
      </w:r>
      <w:r w:rsidRPr="00BC1A12">
        <w:rPr>
          <w:b w:val="0"/>
          <w:sz w:val="22"/>
          <w:szCs w:val="22"/>
        </w:rPr>
        <w:t xml:space="preserve"> not paid. Non-payment by government departments, bu</w:t>
      </w:r>
      <w:r>
        <w:rPr>
          <w:b w:val="0"/>
          <w:sz w:val="22"/>
          <w:szCs w:val="22"/>
        </w:rPr>
        <w:t>sinesses and households cripples</w:t>
      </w:r>
      <w:r w:rsidRPr="00BC1A12">
        <w:rPr>
          <w:b w:val="0"/>
          <w:sz w:val="22"/>
          <w:szCs w:val="22"/>
        </w:rPr>
        <w:t xml:space="preserve"> service delivery in some muni</w:t>
      </w:r>
      <w:r>
        <w:rPr>
          <w:b w:val="0"/>
          <w:sz w:val="22"/>
          <w:szCs w:val="22"/>
        </w:rPr>
        <w:t xml:space="preserve">cipalities. Most concerning is </w:t>
      </w:r>
      <w:r w:rsidRPr="00BC1A12">
        <w:rPr>
          <w:b w:val="0"/>
          <w:sz w:val="22"/>
          <w:szCs w:val="22"/>
        </w:rPr>
        <w:t xml:space="preserve">the fact that both the National and Provincial Departments of Cooperative Governance and Traditional Affairs, as well </w:t>
      </w:r>
      <w:r>
        <w:rPr>
          <w:b w:val="0"/>
          <w:sz w:val="22"/>
          <w:szCs w:val="22"/>
        </w:rPr>
        <w:t>as District municipalities, owe local</w:t>
      </w:r>
      <w:r w:rsidRPr="00BC1A12">
        <w:rPr>
          <w:b w:val="0"/>
          <w:sz w:val="22"/>
          <w:szCs w:val="22"/>
        </w:rPr>
        <w:t xml:space="preserve"> municipalities substantial amounts in unpaid debts. </w:t>
      </w:r>
      <w:r>
        <w:rPr>
          <w:rFonts w:cs="Arial"/>
          <w:b w:val="0"/>
          <w:sz w:val="22"/>
          <w:szCs w:val="22"/>
        </w:rPr>
        <w:t>T</w:t>
      </w:r>
      <w:r w:rsidRPr="0048579B">
        <w:rPr>
          <w:rFonts w:cs="Arial"/>
          <w:b w:val="0"/>
          <w:sz w:val="22"/>
          <w:szCs w:val="22"/>
        </w:rPr>
        <w:t xml:space="preserve">he </w:t>
      </w:r>
      <w:r>
        <w:rPr>
          <w:rFonts w:cs="Arial"/>
          <w:b w:val="0"/>
          <w:sz w:val="22"/>
          <w:szCs w:val="22"/>
        </w:rPr>
        <w:t>Committee notes and welcomes the Task T</w:t>
      </w:r>
      <w:r w:rsidRPr="0048579B">
        <w:rPr>
          <w:rFonts w:cs="Arial"/>
          <w:b w:val="0"/>
          <w:sz w:val="22"/>
          <w:szCs w:val="22"/>
        </w:rPr>
        <w:t>eam</w:t>
      </w:r>
      <w:r>
        <w:rPr>
          <w:rFonts w:cs="Arial"/>
          <w:b w:val="0"/>
          <w:sz w:val="22"/>
          <w:szCs w:val="22"/>
        </w:rPr>
        <w:t xml:space="preserve"> established by the Department to deal with the recovery of debt owed to</w:t>
      </w:r>
      <w:r w:rsidRPr="0048579B">
        <w:rPr>
          <w:rFonts w:cs="Arial"/>
          <w:b w:val="0"/>
          <w:sz w:val="22"/>
          <w:szCs w:val="22"/>
        </w:rPr>
        <w:t xml:space="preserve"> municipalities</w:t>
      </w:r>
      <w:r>
        <w:rPr>
          <w:rFonts w:cs="Arial"/>
          <w:b w:val="0"/>
          <w:sz w:val="22"/>
          <w:szCs w:val="22"/>
        </w:rPr>
        <w:t>.</w:t>
      </w:r>
    </w:p>
    <w:p w:rsidR="00100427" w:rsidRPr="00DD6FA0" w:rsidRDefault="00100427" w:rsidP="009D3A30">
      <w:pPr>
        <w:pStyle w:val="ListParagraph"/>
        <w:spacing w:after="0" w:line="280" w:lineRule="exact"/>
        <w:ind w:left="0"/>
        <w:jc w:val="both"/>
        <w:rPr>
          <w:rFonts w:ascii="Arial" w:hAnsi="Arial" w:cs="Arial"/>
        </w:rPr>
      </w:pPr>
    </w:p>
    <w:p w:rsidR="00100427" w:rsidRPr="006348DD" w:rsidRDefault="00100427" w:rsidP="006348DD">
      <w:pPr>
        <w:pStyle w:val="ListParagraph"/>
        <w:numPr>
          <w:ilvl w:val="0"/>
          <w:numId w:val="1"/>
        </w:numPr>
        <w:spacing w:after="0" w:line="280" w:lineRule="exact"/>
        <w:jc w:val="both"/>
        <w:rPr>
          <w:rFonts w:ascii="Arial" w:hAnsi="Arial" w:cs="Arial"/>
          <w:b/>
          <w:caps/>
        </w:rPr>
      </w:pPr>
      <w:r w:rsidRPr="00DD6FA0">
        <w:rPr>
          <w:rFonts w:ascii="Arial" w:hAnsi="Arial" w:cs="Arial"/>
          <w:b/>
          <w:caps/>
        </w:rPr>
        <w:t>COMMITTEE</w:t>
      </w:r>
      <w:r>
        <w:rPr>
          <w:rFonts w:ascii="Arial" w:hAnsi="Arial" w:cs="Arial"/>
          <w:b/>
          <w:caps/>
        </w:rPr>
        <w:t xml:space="preserve"> key findings</w:t>
      </w:r>
    </w:p>
    <w:p w:rsidR="00100427" w:rsidRPr="00DD6FA0" w:rsidRDefault="00100427" w:rsidP="009D3A30">
      <w:pPr>
        <w:jc w:val="both"/>
        <w:rPr>
          <w:rFonts w:cs="Arial"/>
          <w:sz w:val="22"/>
          <w:szCs w:val="22"/>
        </w:rPr>
      </w:pPr>
    </w:p>
    <w:p w:rsidR="00100427" w:rsidRDefault="00100427" w:rsidP="00E56A9D">
      <w:pPr>
        <w:pStyle w:val="ListParagraph"/>
        <w:numPr>
          <w:ilvl w:val="0"/>
          <w:numId w:val="3"/>
        </w:numPr>
        <w:spacing w:after="0" w:line="280" w:lineRule="exact"/>
        <w:ind w:left="360"/>
        <w:jc w:val="both"/>
        <w:rPr>
          <w:rFonts w:ascii="Arial" w:hAnsi="Arial" w:cs="Arial"/>
        </w:rPr>
      </w:pPr>
      <w:r w:rsidRPr="00DD6FA0">
        <w:rPr>
          <w:rFonts w:ascii="Arial" w:hAnsi="Arial" w:cs="Arial"/>
        </w:rPr>
        <w:t xml:space="preserve">Technical issues </w:t>
      </w:r>
    </w:p>
    <w:p w:rsidR="00100427" w:rsidRPr="000F562C" w:rsidRDefault="00100427" w:rsidP="000F562C">
      <w:pPr>
        <w:pStyle w:val="ListParagraph"/>
        <w:spacing w:after="0" w:line="280" w:lineRule="exact"/>
        <w:jc w:val="both"/>
        <w:rPr>
          <w:rFonts w:ascii="Arial" w:hAnsi="Arial" w:cs="Arial"/>
        </w:rPr>
      </w:pPr>
    </w:p>
    <w:p w:rsidR="00100427" w:rsidRDefault="00100427" w:rsidP="00E56A9D">
      <w:pPr>
        <w:pStyle w:val="ListParagraph"/>
        <w:numPr>
          <w:ilvl w:val="0"/>
          <w:numId w:val="14"/>
        </w:numPr>
        <w:spacing w:after="0" w:line="280" w:lineRule="exact"/>
        <w:jc w:val="both"/>
        <w:rPr>
          <w:rFonts w:ascii="Arial" w:hAnsi="Arial" w:cs="Arial"/>
        </w:rPr>
      </w:pPr>
      <w:r w:rsidRPr="002A0156">
        <w:rPr>
          <w:rFonts w:ascii="Arial" w:hAnsi="Arial" w:cs="Arial"/>
          <w:i/>
        </w:rPr>
        <w:t>Policy and legislative projects</w:t>
      </w:r>
      <w:r>
        <w:rPr>
          <w:rFonts w:ascii="Arial" w:hAnsi="Arial" w:cs="Arial"/>
          <w:i/>
        </w:rPr>
        <w:t xml:space="preserve">: </w:t>
      </w:r>
      <w:r>
        <w:rPr>
          <w:rFonts w:ascii="Arial" w:hAnsi="Arial" w:cs="Arial"/>
        </w:rPr>
        <w:t>The Portfolio Committee has registered dissatisfaction with the Department’s procedural handling of policy and legislative projects, such as the Municipal Property Rates Amendment Bill and National Traditional Affairs Amendment Bill.</w:t>
      </w:r>
    </w:p>
    <w:p w:rsidR="00100427" w:rsidRDefault="00100427" w:rsidP="00E56A9D">
      <w:pPr>
        <w:pStyle w:val="ListParagraph"/>
        <w:numPr>
          <w:ilvl w:val="0"/>
          <w:numId w:val="14"/>
        </w:numPr>
        <w:spacing w:after="0" w:line="280" w:lineRule="exact"/>
        <w:jc w:val="both"/>
        <w:rPr>
          <w:rFonts w:ascii="Arial" w:hAnsi="Arial" w:cs="Arial"/>
        </w:rPr>
      </w:pPr>
      <w:r>
        <w:rPr>
          <w:rFonts w:ascii="Arial" w:hAnsi="Arial" w:cs="Arial"/>
          <w:i/>
        </w:rPr>
        <w:t>Monthly financial statements:</w:t>
      </w:r>
      <w:r>
        <w:rPr>
          <w:rFonts w:ascii="Arial" w:hAnsi="Arial" w:cs="Arial"/>
        </w:rPr>
        <w:t xml:space="preserve"> Monthly financial statements requested from the Department were not forthcoming. The Department informed the Committee, in its understanding; the Department was not compelled to provide such information in terms of the country’s laws. However, in a subsequent meeting the Department pronounced that this perception was incorrect as COGTA was always willing to provide any information reasonably required by the Committee in the course of exercising its oversight mandate over the Department.</w:t>
      </w:r>
    </w:p>
    <w:p w:rsidR="00100427" w:rsidRPr="00333E7D" w:rsidRDefault="00100427" w:rsidP="00333E7D">
      <w:pPr>
        <w:pStyle w:val="ListParagraph"/>
        <w:spacing w:after="0" w:line="280" w:lineRule="exact"/>
        <w:jc w:val="both"/>
        <w:rPr>
          <w:rFonts w:ascii="Arial" w:hAnsi="Arial" w:cs="Arial"/>
        </w:rPr>
      </w:pPr>
    </w:p>
    <w:p w:rsidR="00100427" w:rsidRDefault="00100427" w:rsidP="00E56A9D">
      <w:pPr>
        <w:pStyle w:val="ListParagraph"/>
        <w:numPr>
          <w:ilvl w:val="0"/>
          <w:numId w:val="3"/>
        </w:numPr>
        <w:spacing w:after="0" w:line="280" w:lineRule="exact"/>
        <w:ind w:left="360"/>
        <w:jc w:val="both"/>
        <w:rPr>
          <w:rFonts w:ascii="Arial" w:hAnsi="Arial" w:cs="Arial"/>
        </w:rPr>
      </w:pPr>
      <w:r w:rsidRPr="00DD6FA0">
        <w:rPr>
          <w:rFonts w:ascii="Arial" w:hAnsi="Arial" w:cs="Arial"/>
        </w:rPr>
        <w:t>Governance and operational issues</w:t>
      </w:r>
    </w:p>
    <w:p w:rsidR="00100427" w:rsidRDefault="00100427" w:rsidP="006507DC">
      <w:pPr>
        <w:pStyle w:val="ListParagraph"/>
        <w:spacing w:after="0" w:line="280" w:lineRule="exact"/>
        <w:ind w:left="360"/>
        <w:jc w:val="both"/>
        <w:rPr>
          <w:rFonts w:ascii="Arial" w:hAnsi="Arial" w:cs="Arial"/>
        </w:rPr>
      </w:pPr>
    </w:p>
    <w:p w:rsidR="00100427" w:rsidRDefault="00100427" w:rsidP="00D12990">
      <w:pPr>
        <w:pStyle w:val="Normalbold"/>
        <w:ind w:left="720"/>
        <w:jc w:val="both"/>
        <w:rPr>
          <w:rFonts w:cs="Arial"/>
          <w:b w:val="0"/>
          <w:sz w:val="22"/>
          <w:szCs w:val="22"/>
        </w:rPr>
      </w:pPr>
      <w:r w:rsidRPr="00E23723">
        <w:rPr>
          <w:rFonts w:cs="Arial"/>
          <w:b w:val="0"/>
          <w:i/>
          <w:sz w:val="22"/>
          <w:szCs w:val="22"/>
        </w:rPr>
        <w:t xml:space="preserve">Section 139 interventions: </w:t>
      </w:r>
      <w:r w:rsidRPr="00E23723">
        <w:rPr>
          <w:rFonts w:cs="Arial"/>
          <w:b w:val="0"/>
          <w:sz w:val="22"/>
          <w:szCs w:val="22"/>
        </w:rPr>
        <w:t xml:space="preserve">the Committee notes the inconsistencies in the practice of provincial intervention into municipalities in terms of section 139 of the Constitution.  A number of municipalities that should be under section 139 were often not. The Committee also notes that where Section 139 had been invoked, evidence of improvement was not always clear - and that interventions </w:t>
      </w:r>
      <w:r w:rsidRPr="00E23723">
        <w:rPr>
          <w:rFonts w:cs="Arial"/>
          <w:b w:val="0"/>
          <w:sz w:val="22"/>
          <w:szCs w:val="22"/>
        </w:rPr>
        <w:lastRenderedPageBreak/>
        <w:t xml:space="preserve">were often highly ambitious, seeking to resolve long-standing problems within a minimum of 6 months and maximum of 12 months. A long-term perspective on interventions was lacking. The Committee further notes the differing interpretations of Section 139, which lead Administrators to misunderstand their powers. </w:t>
      </w:r>
      <w:r>
        <w:rPr>
          <w:rFonts w:cs="Arial"/>
          <w:b w:val="0"/>
          <w:sz w:val="22"/>
          <w:szCs w:val="22"/>
        </w:rPr>
        <w:t xml:space="preserve">Also noted are the increasing </w:t>
      </w:r>
      <w:r>
        <w:rPr>
          <w:b w:val="0"/>
          <w:sz w:val="22"/>
          <w:szCs w:val="22"/>
        </w:rPr>
        <w:t>r</w:t>
      </w:r>
      <w:r w:rsidRPr="00E23723">
        <w:rPr>
          <w:b w:val="0"/>
          <w:sz w:val="22"/>
          <w:szCs w:val="22"/>
        </w:rPr>
        <w:t>esistance and objections to int</w:t>
      </w:r>
      <w:r>
        <w:rPr>
          <w:b w:val="0"/>
          <w:sz w:val="22"/>
          <w:szCs w:val="22"/>
        </w:rPr>
        <w:t xml:space="preserve">erventions, and the common disagreements around the </w:t>
      </w:r>
      <w:r w:rsidRPr="00E23723">
        <w:rPr>
          <w:b w:val="0"/>
          <w:sz w:val="22"/>
          <w:szCs w:val="22"/>
        </w:rPr>
        <w:t xml:space="preserve">terms of reference for the intervention. The transfer of skills by the administrator as well </w:t>
      </w:r>
      <w:r>
        <w:rPr>
          <w:b w:val="0"/>
          <w:sz w:val="22"/>
          <w:szCs w:val="22"/>
        </w:rPr>
        <w:t xml:space="preserve">the </w:t>
      </w:r>
      <w:r w:rsidRPr="00E23723">
        <w:rPr>
          <w:b w:val="0"/>
          <w:sz w:val="22"/>
          <w:szCs w:val="22"/>
        </w:rPr>
        <w:t>provision of exit repo</w:t>
      </w:r>
      <w:r>
        <w:rPr>
          <w:b w:val="0"/>
          <w:sz w:val="22"/>
          <w:szCs w:val="22"/>
        </w:rPr>
        <w:t xml:space="preserve">rts, are the Committee’s other areas of concern. </w:t>
      </w:r>
      <w:r>
        <w:rPr>
          <w:rStyle w:val="Emphasis"/>
          <w:rFonts w:cs="Arial"/>
          <w:b w:val="0"/>
          <w:i w:val="0"/>
          <w:sz w:val="22"/>
          <w:szCs w:val="22"/>
        </w:rPr>
        <w:t>There is</w:t>
      </w:r>
      <w:r w:rsidRPr="00EF11CC">
        <w:rPr>
          <w:rStyle w:val="Emphasis"/>
          <w:rFonts w:cs="Arial"/>
          <w:b w:val="0"/>
          <w:i w:val="0"/>
          <w:sz w:val="22"/>
          <w:szCs w:val="22"/>
        </w:rPr>
        <w:t xml:space="preserve"> </w:t>
      </w:r>
      <w:r>
        <w:rPr>
          <w:rStyle w:val="Emphasis"/>
          <w:rFonts w:cs="Arial"/>
          <w:b w:val="0"/>
          <w:i w:val="0"/>
          <w:sz w:val="22"/>
          <w:szCs w:val="22"/>
        </w:rPr>
        <w:t xml:space="preserve">also very </w:t>
      </w:r>
      <w:r w:rsidRPr="00EF11CC">
        <w:rPr>
          <w:rStyle w:val="Emphasis"/>
          <w:rFonts w:cs="Arial"/>
          <w:b w:val="0"/>
          <w:i w:val="0"/>
          <w:sz w:val="22"/>
          <w:szCs w:val="22"/>
        </w:rPr>
        <w:t>little indication that Provincial Legislatures exercised oversight over the Provincial Executives’ actions in terms of section 139</w:t>
      </w:r>
      <w:r>
        <w:rPr>
          <w:rStyle w:val="Emphasis"/>
          <w:rFonts w:cs="Arial"/>
          <w:b w:val="0"/>
          <w:i w:val="0"/>
          <w:sz w:val="22"/>
          <w:szCs w:val="22"/>
        </w:rPr>
        <w:t>.</w:t>
      </w:r>
      <w:r w:rsidRPr="00E23723">
        <w:rPr>
          <w:b w:val="0"/>
          <w:sz w:val="22"/>
          <w:szCs w:val="22"/>
        </w:rPr>
        <w:t xml:space="preserve"> </w:t>
      </w:r>
      <w:r w:rsidRPr="00FC6BF2">
        <w:rPr>
          <w:rFonts w:cs="Arial"/>
          <w:b w:val="0"/>
          <w:sz w:val="22"/>
          <w:szCs w:val="22"/>
        </w:rPr>
        <w:t>The Committee welcomes the process of finalising the Bill on Support, Monitoring and Interventions, which should assist in addressing this matter.</w:t>
      </w:r>
    </w:p>
    <w:p w:rsidR="00100427" w:rsidRPr="00D12990" w:rsidRDefault="00100427" w:rsidP="00D12990">
      <w:pPr>
        <w:pStyle w:val="Normalbold"/>
        <w:ind w:left="720"/>
        <w:jc w:val="both"/>
        <w:rPr>
          <w:b w:val="0"/>
          <w:sz w:val="22"/>
          <w:szCs w:val="22"/>
        </w:rPr>
      </w:pPr>
    </w:p>
    <w:p w:rsidR="00100427" w:rsidRDefault="00100427" w:rsidP="00E56A9D">
      <w:pPr>
        <w:pStyle w:val="ListParagraph"/>
        <w:numPr>
          <w:ilvl w:val="0"/>
          <w:numId w:val="3"/>
        </w:numPr>
        <w:spacing w:after="0" w:line="280" w:lineRule="exact"/>
        <w:ind w:left="360"/>
        <w:jc w:val="both"/>
        <w:rPr>
          <w:rFonts w:ascii="Arial" w:hAnsi="Arial" w:cs="Arial"/>
        </w:rPr>
      </w:pPr>
      <w:r w:rsidRPr="00DD6FA0">
        <w:rPr>
          <w:rFonts w:ascii="Arial" w:hAnsi="Arial" w:cs="Arial"/>
        </w:rPr>
        <w:t xml:space="preserve">Service delivery performance </w:t>
      </w:r>
    </w:p>
    <w:p w:rsidR="00100427" w:rsidRDefault="00100427" w:rsidP="00AD1563">
      <w:pPr>
        <w:pStyle w:val="ListParagraph"/>
        <w:spacing w:after="0" w:line="280" w:lineRule="exact"/>
        <w:ind w:left="0"/>
        <w:jc w:val="both"/>
        <w:rPr>
          <w:rFonts w:ascii="Arial" w:hAnsi="Arial" w:cs="Arial"/>
        </w:rPr>
      </w:pPr>
    </w:p>
    <w:p w:rsidR="00100427" w:rsidRPr="00AD1563" w:rsidRDefault="00100427" w:rsidP="00C14827">
      <w:pPr>
        <w:pStyle w:val="ListParagraph"/>
        <w:spacing w:after="0" w:line="280" w:lineRule="exact"/>
        <w:jc w:val="both"/>
        <w:rPr>
          <w:rFonts w:ascii="Arial" w:hAnsi="Arial" w:cs="Arial"/>
        </w:rPr>
      </w:pPr>
      <w:r w:rsidRPr="00AD1563">
        <w:rPr>
          <w:rFonts w:ascii="Arial" w:hAnsi="Arial" w:cs="Arial"/>
          <w:i/>
        </w:rPr>
        <w:t>Infrastructure</w:t>
      </w:r>
      <w:r w:rsidRPr="00AD1563">
        <w:rPr>
          <w:rFonts w:ascii="Arial" w:hAnsi="Arial" w:cs="Arial"/>
        </w:rPr>
        <w:t>: the level of municipal technical and financial capacity to operate and maintain bulk infrastructure is less than desirable and needs improvement.</w:t>
      </w:r>
      <w:r>
        <w:rPr>
          <w:rFonts w:ascii="Arial" w:hAnsi="Arial" w:cs="Arial"/>
        </w:rPr>
        <w:t xml:space="preserve"> The Committee has noted that it is</w:t>
      </w:r>
      <w:r w:rsidRPr="00E85650">
        <w:rPr>
          <w:rFonts w:ascii="Arial" w:hAnsi="Arial" w:cs="Arial"/>
        </w:rPr>
        <w:t xml:space="preserve"> not uncommon for some technically insolvent municipalities to use capital grants for operational expenditure. This has seen the Municipal Infrastructure Grant (MIG) for instance being used to pay for salaries instead of infrastructure projects. Where the MIG was being used for its intended purpose, emphasis tended to be on the development of new infrastructure. The problem of ageing existing infrastructure has been consequently neglected. Poor spending on the MIG is also prevalent, resulting in late implementation of infrastructure projects</w:t>
      </w:r>
      <w:r>
        <w:t xml:space="preserve">. </w:t>
      </w:r>
      <w:r w:rsidRPr="00AD1563">
        <w:rPr>
          <w:rFonts w:ascii="Arial" w:hAnsi="Arial" w:cs="Arial"/>
        </w:rPr>
        <w:t xml:space="preserve"> The Committee welcomes the establishment of the Municipal Infrastructure Support Agent (MISA) to address this matter.</w:t>
      </w:r>
      <w:r>
        <w:rPr>
          <w:rFonts w:ascii="Arial" w:hAnsi="Arial" w:cs="Arial"/>
        </w:rPr>
        <w:t xml:space="preserve"> The Committee also notes and welcomes the report that </w:t>
      </w:r>
      <w:r>
        <w:rPr>
          <w:rFonts w:ascii="Arial" w:hAnsi="Arial" w:cs="Arial"/>
          <w:lang w:val="en-GB"/>
        </w:rPr>
        <w:t>n</w:t>
      </w:r>
      <w:r w:rsidRPr="00C64848">
        <w:rPr>
          <w:rFonts w:ascii="Arial" w:hAnsi="Arial" w:cs="Arial"/>
          <w:lang w:val="en-GB"/>
        </w:rPr>
        <w:t>inety two municipalities across all provinces were supported to better manage spending on MIG</w:t>
      </w:r>
      <w:r>
        <w:rPr>
          <w:rFonts w:ascii="Arial" w:hAnsi="Arial" w:cs="Arial"/>
          <w:lang w:val="en-GB"/>
        </w:rPr>
        <w:t xml:space="preserve"> in 2012/13.</w:t>
      </w:r>
      <w:r w:rsidRPr="00AD1563">
        <w:rPr>
          <w:rFonts w:ascii="Arial" w:hAnsi="Arial" w:cs="Arial"/>
        </w:rPr>
        <w:t xml:space="preserve"> </w:t>
      </w:r>
      <w:r>
        <w:rPr>
          <w:rFonts w:ascii="Arial" w:hAnsi="Arial" w:cs="Arial"/>
        </w:rPr>
        <w:t>The Committee</w:t>
      </w:r>
      <w:r w:rsidRPr="00AD1563">
        <w:rPr>
          <w:rFonts w:ascii="Arial" w:hAnsi="Arial" w:cs="Arial"/>
        </w:rPr>
        <w:t xml:space="preserve"> welcome</w:t>
      </w:r>
      <w:r>
        <w:rPr>
          <w:rFonts w:ascii="Arial" w:hAnsi="Arial" w:cs="Arial"/>
        </w:rPr>
        <w:t>s</w:t>
      </w:r>
      <w:r w:rsidRPr="00AD1563">
        <w:rPr>
          <w:rFonts w:ascii="Arial" w:hAnsi="Arial" w:cs="Arial"/>
        </w:rPr>
        <w:t xml:space="preserve"> the initiative to develop an Integrated Urban Developm</w:t>
      </w:r>
      <w:r>
        <w:rPr>
          <w:rFonts w:ascii="Arial" w:hAnsi="Arial" w:cs="Arial"/>
        </w:rPr>
        <w:t>ent Framework (IUDF), which would</w:t>
      </w:r>
      <w:r w:rsidRPr="00AD1563">
        <w:rPr>
          <w:rFonts w:ascii="Arial" w:hAnsi="Arial" w:cs="Arial"/>
        </w:rPr>
        <w:t xml:space="preserve"> go a long way in managing the impact of urbanisation on municipal capacity to deliver basic services.</w:t>
      </w:r>
    </w:p>
    <w:p w:rsidR="00100427" w:rsidRPr="00DD6FA0" w:rsidRDefault="00100427" w:rsidP="004F2181">
      <w:pPr>
        <w:pStyle w:val="ListParagraph"/>
        <w:ind w:left="0"/>
        <w:rPr>
          <w:rFonts w:ascii="Arial" w:hAnsi="Arial" w:cs="Arial"/>
        </w:rPr>
      </w:pPr>
    </w:p>
    <w:p w:rsidR="00100427" w:rsidRDefault="00100427" w:rsidP="00E56A9D">
      <w:pPr>
        <w:pStyle w:val="ListParagraph"/>
        <w:numPr>
          <w:ilvl w:val="0"/>
          <w:numId w:val="3"/>
        </w:numPr>
        <w:spacing w:after="0" w:line="280" w:lineRule="exact"/>
        <w:ind w:left="360"/>
        <w:jc w:val="both"/>
        <w:rPr>
          <w:rFonts w:ascii="Arial" w:hAnsi="Arial" w:cs="Arial"/>
        </w:rPr>
      </w:pPr>
      <w:r w:rsidRPr="00DD6FA0">
        <w:rPr>
          <w:rFonts w:ascii="Arial" w:hAnsi="Arial" w:cs="Arial"/>
        </w:rPr>
        <w:t xml:space="preserve">Financial performance including funding proposals </w:t>
      </w:r>
    </w:p>
    <w:p w:rsidR="00100427" w:rsidRDefault="00100427" w:rsidP="00407D25">
      <w:pPr>
        <w:pStyle w:val="ListParagraph"/>
        <w:spacing w:after="0" w:line="280" w:lineRule="exact"/>
        <w:ind w:left="360"/>
        <w:jc w:val="both"/>
        <w:rPr>
          <w:rFonts w:ascii="Arial" w:hAnsi="Arial" w:cs="Arial"/>
        </w:rPr>
      </w:pPr>
    </w:p>
    <w:p w:rsidR="00100427" w:rsidRPr="004F2181" w:rsidRDefault="00100427" w:rsidP="004F2181">
      <w:pPr>
        <w:pStyle w:val="ListParagraph"/>
        <w:spacing w:after="0" w:line="280" w:lineRule="exact"/>
        <w:ind w:left="360"/>
        <w:jc w:val="both"/>
        <w:rPr>
          <w:rFonts w:ascii="Arial" w:hAnsi="Arial" w:cs="Arial"/>
        </w:rPr>
      </w:pPr>
      <w:r w:rsidRPr="00407D25">
        <w:rPr>
          <w:rFonts w:ascii="Arial" w:hAnsi="Arial" w:cs="Arial"/>
        </w:rPr>
        <w:t>The Committee notes and welcomes the marginal increase in allocation for the Disaster Response Management Programme</w:t>
      </w:r>
      <w:r>
        <w:rPr>
          <w:rFonts w:ascii="Arial" w:hAnsi="Arial" w:cs="Arial"/>
        </w:rPr>
        <w:t xml:space="preserve"> for 2013/14,</w:t>
      </w:r>
      <w:r w:rsidRPr="00407D25">
        <w:rPr>
          <w:rFonts w:ascii="Arial" w:hAnsi="Arial" w:cs="Arial"/>
          <w:i/>
        </w:rPr>
        <w:t xml:space="preserve"> </w:t>
      </w:r>
      <w:r w:rsidRPr="00407D25">
        <w:rPr>
          <w:rFonts w:ascii="Arial" w:hAnsi="Arial" w:cs="Arial"/>
        </w:rPr>
        <w:t>in response to</w:t>
      </w:r>
      <w:r>
        <w:rPr>
          <w:rFonts w:ascii="Arial" w:hAnsi="Arial" w:cs="Arial"/>
        </w:rPr>
        <w:t xml:space="preserve"> the previous year’s</w:t>
      </w:r>
      <w:r w:rsidRPr="00407D25">
        <w:rPr>
          <w:rFonts w:ascii="Arial" w:hAnsi="Arial" w:cs="Arial"/>
        </w:rPr>
        <w:t xml:space="preserve"> recommendation</w:t>
      </w:r>
      <w:r>
        <w:rPr>
          <w:rFonts w:ascii="Arial" w:hAnsi="Arial" w:cs="Arial"/>
        </w:rPr>
        <w:t>. However, the Committee is still awaiting</w:t>
      </w:r>
      <w:r w:rsidRPr="00407D25">
        <w:rPr>
          <w:rFonts w:ascii="Arial" w:hAnsi="Arial" w:cs="Arial"/>
        </w:rPr>
        <w:t xml:space="preserve"> </w:t>
      </w:r>
      <w:r>
        <w:rPr>
          <w:rFonts w:ascii="Arial" w:hAnsi="Arial" w:cs="Arial"/>
        </w:rPr>
        <w:t xml:space="preserve">a </w:t>
      </w:r>
      <w:r w:rsidRPr="00407D25">
        <w:rPr>
          <w:rFonts w:ascii="Arial" w:hAnsi="Arial" w:cs="Arial"/>
        </w:rPr>
        <w:t>response on the matter of establishing a separate budget vote for the Department of Traditional Affairs.</w:t>
      </w:r>
    </w:p>
    <w:p w:rsidR="00100427" w:rsidRPr="00DD6FA0" w:rsidRDefault="00100427" w:rsidP="009D3A30">
      <w:pPr>
        <w:pStyle w:val="ListParagraph"/>
        <w:spacing w:after="0" w:line="280" w:lineRule="exact"/>
        <w:ind w:left="0"/>
        <w:jc w:val="both"/>
        <w:rPr>
          <w:rFonts w:ascii="Arial" w:hAnsi="Arial" w:cs="Arial"/>
        </w:rPr>
      </w:pPr>
    </w:p>
    <w:p w:rsidR="00100427" w:rsidRPr="00DD6FA0" w:rsidRDefault="00100427" w:rsidP="003970F6">
      <w:pPr>
        <w:pStyle w:val="ListParagraph"/>
        <w:numPr>
          <w:ilvl w:val="0"/>
          <w:numId w:val="1"/>
        </w:numPr>
        <w:spacing w:after="0" w:line="280" w:lineRule="exact"/>
        <w:jc w:val="both"/>
        <w:rPr>
          <w:rFonts w:ascii="Arial" w:hAnsi="Arial" w:cs="Arial"/>
          <w:b/>
          <w:caps/>
        </w:rPr>
      </w:pPr>
      <w:r>
        <w:rPr>
          <w:rFonts w:ascii="Arial" w:hAnsi="Arial" w:cs="Arial"/>
          <w:b/>
          <w:caps/>
        </w:rPr>
        <w:t>table</w:t>
      </w:r>
      <w:r w:rsidRPr="00DD6FA0">
        <w:rPr>
          <w:rFonts w:ascii="Arial" w:hAnsi="Arial" w:cs="Arial"/>
          <w:b/>
          <w:caps/>
        </w:rPr>
        <w:t xml:space="preserve"> of</w:t>
      </w:r>
      <w:r>
        <w:rPr>
          <w:rFonts w:ascii="Arial" w:hAnsi="Arial" w:cs="Arial"/>
          <w:b/>
          <w:caps/>
        </w:rPr>
        <w:t xml:space="preserve"> committee’s</w:t>
      </w:r>
      <w:r w:rsidRPr="00DD6FA0">
        <w:rPr>
          <w:rFonts w:ascii="Arial" w:hAnsi="Arial" w:cs="Arial"/>
          <w:b/>
          <w:caps/>
        </w:rPr>
        <w:t xml:space="preserve"> reporting requests </w:t>
      </w:r>
    </w:p>
    <w:p w:rsidR="00100427" w:rsidRPr="00DD6FA0" w:rsidRDefault="00100427" w:rsidP="009D3A30">
      <w:pPr>
        <w:jc w:val="both"/>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7"/>
        <w:gridCol w:w="5317"/>
        <w:gridCol w:w="1658"/>
      </w:tblGrid>
      <w:tr w:rsidR="00100427" w:rsidRPr="00DD6FA0" w:rsidTr="004214F8">
        <w:tc>
          <w:tcPr>
            <w:tcW w:w="0" w:type="auto"/>
          </w:tcPr>
          <w:p w:rsidR="00100427" w:rsidRPr="00DD6FA0" w:rsidRDefault="00100427" w:rsidP="00FE1F35">
            <w:pPr>
              <w:autoSpaceDE w:val="0"/>
              <w:autoSpaceDN w:val="0"/>
              <w:adjustRightInd w:val="0"/>
              <w:jc w:val="both"/>
              <w:rPr>
                <w:rFonts w:cs="Arial"/>
                <w:b/>
                <w:color w:val="001F00"/>
                <w:sz w:val="22"/>
                <w:szCs w:val="22"/>
              </w:rPr>
            </w:pPr>
            <w:r w:rsidRPr="00DD6FA0">
              <w:rPr>
                <w:rFonts w:cs="Arial"/>
                <w:b/>
                <w:color w:val="001F00"/>
                <w:sz w:val="22"/>
                <w:szCs w:val="22"/>
              </w:rPr>
              <w:t>Reporting matter</w:t>
            </w:r>
          </w:p>
        </w:tc>
        <w:tc>
          <w:tcPr>
            <w:tcW w:w="0" w:type="auto"/>
          </w:tcPr>
          <w:p w:rsidR="00100427" w:rsidRPr="00DD6FA0" w:rsidRDefault="00100427" w:rsidP="00FE1F35">
            <w:pPr>
              <w:autoSpaceDE w:val="0"/>
              <w:autoSpaceDN w:val="0"/>
              <w:adjustRightInd w:val="0"/>
              <w:jc w:val="both"/>
              <w:rPr>
                <w:rFonts w:cs="Arial"/>
                <w:b/>
                <w:color w:val="001F00"/>
                <w:sz w:val="22"/>
                <w:szCs w:val="22"/>
              </w:rPr>
            </w:pPr>
            <w:r w:rsidRPr="00DD6FA0">
              <w:rPr>
                <w:rFonts w:cs="Arial"/>
                <w:b/>
                <w:color w:val="001F00"/>
                <w:sz w:val="22"/>
                <w:szCs w:val="22"/>
              </w:rPr>
              <w:t>Action required</w:t>
            </w:r>
          </w:p>
        </w:tc>
        <w:tc>
          <w:tcPr>
            <w:tcW w:w="0" w:type="auto"/>
          </w:tcPr>
          <w:p w:rsidR="00100427" w:rsidRPr="00DD6FA0" w:rsidRDefault="00100427" w:rsidP="00FE1F35">
            <w:pPr>
              <w:autoSpaceDE w:val="0"/>
              <w:autoSpaceDN w:val="0"/>
              <w:adjustRightInd w:val="0"/>
              <w:jc w:val="both"/>
              <w:rPr>
                <w:rFonts w:cs="Arial"/>
                <w:b/>
                <w:color w:val="001F00"/>
                <w:sz w:val="22"/>
                <w:szCs w:val="22"/>
              </w:rPr>
            </w:pPr>
            <w:r w:rsidRPr="00DD6FA0">
              <w:rPr>
                <w:rFonts w:cs="Arial"/>
                <w:b/>
                <w:color w:val="001F00"/>
                <w:sz w:val="22"/>
                <w:szCs w:val="22"/>
              </w:rPr>
              <w:t>Timeframe</w:t>
            </w:r>
          </w:p>
        </w:tc>
      </w:tr>
      <w:tr w:rsidR="00100427" w:rsidRPr="00DD6FA0" w:rsidTr="00506096">
        <w:trPr>
          <w:trHeight w:val="660"/>
        </w:trPr>
        <w:tc>
          <w:tcPr>
            <w:tcW w:w="0" w:type="auto"/>
            <w:vMerge w:val="restart"/>
          </w:tcPr>
          <w:p w:rsidR="00100427" w:rsidRPr="00DD6FA0" w:rsidRDefault="00100427" w:rsidP="00DE011C">
            <w:pPr>
              <w:autoSpaceDE w:val="0"/>
              <w:autoSpaceDN w:val="0"/>
              <w:adjustRightInd w:val="0"/>
              <w:jc w:val="both"/>
              <w:rPr>
                <w:rFonts w:cs="Arial"/>
                <w:color w:val="C00000"/>
                <w:sz w:val="22"/>
                <w:szCs w:val="22"/>
              </w:rPr>
            </w:pPr>
            <w:r w:rsidRPr="008C5AAE">
              <w:rPr>
                <w:rFonts w:cs="Arial"/>
                <w:sz w:val="22"/>
                <w:szCs w:val="22"/>
              </w:rPr>
              <w:t xml:space="preserve">Audit outcomes of municipalities – sound financial </w:t>
            </w:r>
            <w:r w:rsidRPr="008C5AAE">
              <w:rPr>
                <w:rFonts w:cs="Arial"/>
                <w:sz w:val="22"/>
                <w:szCs w:val="22"/>
              </w:rPr>
              <w:lastRenderedPageBreak/>
              <w:t>management</w:t>
            </w:r>
          </w:p>
        </w:tc>
        <w:tc>
          <w:tcPr>
            <w:tcW w:w="0" w:type="auto"/>
            <w:tcBorders>
              <w:bottom w:val="single" w:sz="4" w:space="0" w:color="auto"/>
            </w:tcBorders>
          </w:tcPr>
          <w:p w:rsidR="00100427" w:rsidRDefault="00100427" w:rsidP="00654764">
            <w:pPr>
              <w:tabs>
                <w:tab w:val="left" w:pos="5040"/>
              </w:tabs>
              <w:jc w:val="both"/>
              <w:rPr>
                <w:rFonts w:cs="Arial"/>
                <w:sz w:val="22"/>
                <w:szCs w:val="22"/>
              </w:rPr>
            </w:pPr>
            <w:r>
              <w:rPr>
                <w:rFonts w:cs="Arial"/>
                <w:sz w:val="22"/>
                <w:szCs w:val="22"/>
              </w:rPr>
              <w:lastRenderedPageBreak/>
              <w:t>Breakdown of all municipalities’ audit outcomes since 2009/10 – 2012/13</w:t>
            </w:r>
          </w:p>
          <w:p w:rsidR="00100427" w:rsidRPr="00DD6FA0" w:rsidRDefault="00100427" w:rsidP="00654764">
            <w:pPr>
              <w:autoSpaceDE w:val="0"/>
              <w:autoSpaceDN w:val="0"/>
              <w:adjustRightInd w:val="0"/>
              <w:jc w:val="both"/>
              <w:rPr>
                <w:rFonts w:cs="Arial"/>
                <w:color w:val="C00000"/>
                <w:sz w:val="22"/>
                <w:szCs w:val="22"/>
              </w:rPr>
            </w:pPr>
          </w:p>
        </w:tc>
        <w:tc>
          <w:tcPr>
            <w:tcW w:w="0" w:type="auto"/>
            <w:tcBorders>
              <w:bottom w:val="single" w:sz="4" w:space="0" w:color="auto"/>
            </w:tcBorders>
          </w:tcPr>
          <w:p w:rsidR="00100427" w:rsidRPr="00494A9F" w:rsidRDefault="00100427" w:rsidP="00FE1F35">
            <w:pPr>
              <w:autoSpaceDE w:val="0"/>
              <w:autoSpaceDN w:val="0"/>
              <w:adjustRightInd w:val="0"/>
              <w:jc w:val="both"/>
              <w:rPr>
                <w:rFonts w:cs="Arial"/>
                <w:color w:val="auto"/>
                <w:sz w:val="22"/>
                <w:szCs w:val="22"/>
              </w:rPr>
            </w:pPr>
            <w:r>
              <w:rPr>
                <w:rFonts w:cs="Arial"/>
                <w:color w:val="auto"/>
                <w:sz w:val="22"/>
                <w:szCs w:val="22"/>
              </w:rPr>
              <w:t>30 November 2013</w:t>
            </w:r>
          </w:p>
        </w:tc>
      </w:tr>
      <w:tr w:rsidR="00100427" w:rsidRPr="00DD6FA0" w:rsidTr="00506096">
        <w:trPr>
          <w:trHeight w:val="1035"/>
        </w:trPr>
        <w:tc>
          <w:tcPr>
            <w:tcW w:w="0" w:type="auto"/>
            <w:vMerge/>
          </w:tcPr>
          <w:p w:rsidR="00100427" w:rsidRPr="008C5AAE" w:rsidRDefault="00100427" w:rsidP="00DE011C">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Default="00100427" w:rsidP="00654764">
            <w:pPr>
              <w:tabs>
                <w:tab w:val="left" w:pos="5040"/>
              </w:tabs>
              <w:jc w:val="both"/>
              <w:rPr>
                <w:rFonts w:cs="Arial"/>
                <w:sz w:val="22"/>
                <w:szCs w:val="22"/>
              </w:rPr>
            </w:pPr>
            <w:r>
              <w:rPr>
                <w:rFonts w:cs="Arial"/>
                <w:sz w:val="22"/>
                <w:szCs w:val="22"/>
              </w:rPr>
              <w:t xml:space="preserve">Plan of action </w:t>
            </w:r>
            <w:r w:rsidRPr="008C5AAE">
              <w:rPr>
                <w:rFonts w:cs="Arial"/>
                <w:sz w:val="22"/>
                <w:szCs w:val="22"/>
              </w:rPr>
              <w:t xml:space="preserve"> from the </w:t>
            </w:r>
            <w:r>
              <w:rPr>
                <w:rFonts w:cs="Arial"/>
                <w:sz w:val="22"/>
                <w:szCs w:val="22"/>
              </w:rPr>
              <w:t xml:space="preserve">National </w:t>
            </w:r>
            <w:r w:rsidRPr="008C5AAE">
              <w:rPr>
                <w:rFonts w:cs="Arial"/>
                <w:sz w:val="22"/>
                <w:szCs w:val="22"/>
              </w:rPr>
              <w:t>Department of Cooperative Governance</w:t>
            </w:r>
            <w:r>
              <w:rPr>
                <w:rFonts w:cs="Arial"/>
                <w:sz w:val="22"/>
                <w:szCs w:val="22"/>
              </w:rPr>
              <w:t xml:space="preserve"> to assist municipalities in achieving clean audits </w:t>
            </w:r>
          </w:p>
          <w:p w:rsidR="00100427" w:rsidRDefault="00100427" w:rsidP="00654764">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Pr="00152D5F" w:rsidRDefault="00100427" w:rsidP="00FE1F35">
            <w:pPr>
              <w:autoSpaceDE w:val="0"/>
              <w:autoSpaceDN w:val="0"/>
              <w:adjustRightInd w:val="0"/>
              <w:jc w:val="both"/>
              <w:rPr>
                <w:rFonts w:cs="Arial"/>
                <w:color w:val="auto"/>
                <w:sz w:val="22"/>
                <w:szCs w:val="22"/>
              </w:rPr>
            </w:pPr>
            <w:r>
              <w:rPr>
                <w:rFonts w:cs="Arial"/>
                <w:color w:val="auto"/>
                <w:sz w:val="22"/>
                <w:szCs w:val="22"/>
              </w:rPr>
              <w:t>30  November 2013</w:t>
            </w:r>
          </w:p>
        </w:tc>
      </w:tr>
      <w:tr w:rsidR="00100427" w:rsidRPr="00DD6FA0" w:rsidTr="00506096">
        <w:trPr>
          <w:trHeight w:val="1035"/>
        </w:trPr>
        <w:tc>
          <w:tcPr>
            <w:tcW w:w="0" w:type="auto"/>
            <w:vMerge/>
          </w:tcPr>
          <w:p w:rsidR="00100427" w:rsidRPr="008C5AAE" w:rsidRDefault="00100427" w:rsidP="00DE011C">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Default="00100427" w:rsidP="00654764">
            <w:pPr>
              <w:tabs>
                <w:tab w:val="left" w:pos="5040"/>
              </w:tabs>
              <w:jc w:val="both"/>
              <w:rPr>
                <w:rFonts w:cs="Arial"/>
                <w:sz w:val="22"/>
                <w:szCs w:val="22"/>
              </w:rPr>
            </w:pPr>
            <w:r w:rsidRPr="008C5AAE">
              <w:rPr>
                <w:rFonts w:cs="Arial"/>
                <w:sz w:val="22"/>
                <w:szCs w:val="22"/>
              </w:rPr>
              <w:t>Monitoring throughout the financial year</w:t>
            </w:r>
            <w:r>
              <w:rPr>
                <w:rFonts w:cs="Arial"/>
                <w:sz w:val="22"/>
                <w:szCs w:val="22"/>
              </w:rPr>
              <w:t xml:space="preserve"> (Department must provide the committee with monthly expenditure reports)</w:t>
            </w:r>
          </w:p>
          <w:p w:rsidR="00100427" w:rsidRDefault="00100427" w:rsidP="00654764">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Pr="00152D5F" w:rsidRDefault="00100427" w:rsidP="00FE1F35">
            <w:pPr>
              <w:autoSpaceDE w:val="0"/>
              <w:autoSpaceDN w:val="0"/>
              <w:adjustRightInd w:val="0"/>
              <w:jc w:val="both"/>
              <w:rPr>
                <w:rFonts w:cs="Arial"/>
                <w:color w:val="auto"/>
                <w:sz w:val="22"/>
                <w:szCs w:val="22"/>
              </w:rPr>
            </w:pPr>
            <w:r w:rsidRPr="00152D5F">
              <w:rPr>
                <w:rFonts w:cs="Arial"/>
                <w:color w:val="auto"/>
                <w:sz w:val="22"/>
                <w:szCs w:val="22"/>
              </w:rPr>
              <w:t>Ongoing</w:t>
            </w:r>
          </w:p>
        </w:tc>
      </w:tr>
      <w:tr w:rsidR="00100427" w:rsidRPr="00DD6FA0" w:rsidTr="00152D5F">
        <w:trPr>
          <w:trHeight w:val="680"/>
        </w:trPr>
        <w:tc>
          <w:tcPr>
            <w:tcW w:w="0" w:type="auto"/>
            <w:vMerge/>
          </w:tcPr>
          <w:p w:rsidR="00100427" w:rsidRPr="008C5AAE" w:rsidRDefault="00100427" w:rsidP="00DE011C">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Default="00100427" w:rsidP="00654764">
            <w:pPr>
              <w:tabs>
                <w:tab w:val="left" w:pos="5040"/>
              </w:tabs>
              <w:jc w:val="both"/>
              <w:rPr>
                <w:rFonts w:cs="Arial"/>
                <w:sz w:val="22"/>
                <w:szCs w:val="22"/>
              </w:rPr>
            </w:pPr>
            <w:r>
              <w:rPr>
                <w:rFonts w:cs="Arial"/>
                <w:sz w:val="22"/>
                <w:szCs w:val="22"/>
              </w:rPr>
              <w:t>Report on u</w:t>
            </w:r>
            <w:r w:rsidRPr="008C5AAE">
              <w:rPr>
                <w:rFonts w:cs="Arial"/>
                <w:sz w:val="22"/>
                <w:szCs w:val="22"/>
              </w:rPr>
              <w:t>se of consultants for A</w:t>
            </w:r>
            <w:r>
              <w:rPr>
                <w:rFonts w:cs="Arial"/>
                <w:sz w:val="22"/>
                <w:szCs w:val="22"/>
              </w:rPr>
              <w:t xml:space="preserve">nnual </w:t>
            </w:r>
            <w:r w:rsidRPr="008C5AAE">
              <w:rPr>
                <w:rFonts w:cs="Arial"/>
                <w:sz w:val="22"/>
                <w:szCs w:val="22"/>
              </w:rPr>
              <w:t>F</w:t>
            </w:r>
            <w:r>
              <w:rPr>
                <w:rFonts w:cs="Arial"/>
                <w:sz w:val="22"/>
                <w:szCs w:val="22"/>
              </w:rPr>
              <w:t xml:space="preserve">inancial </w:t>
            </w:r>
            <w:r w:rsidRPr="008C5AAE">
              <w:rPr>
                <w:rFonts w:cs="Arial"/>
                <w:sz w:val="22"/>
                <w:szCs w:val="22"/>
              </w:rPr>
              <w:t>S</w:t>
            </w:r>
            <w:r>
              <w:rPr>
                <w:rFonts w:cs="Arial"/>
                <w:sz w:val="22"/>
                <w:szCs w:val="22"/>
              </w:rPr>
              <w:t>tatements</w:t>
            </w:r>
          </w:p>
          <w:p w:rsidR="00100427" w:rsidRPr="008C5AAE" w:rsidRDefault="00100427" w:rsidP="00654764">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Pr="00152D5F" w:rsidRDefault="00100427" w:rsidP="00FE1F35">
            <w:pPr>
              <w:autoSpaceDE w:val="0"/>
              <w:autoSpaceDN w:val="0"/>
              <w:adjustRightInd w:val="0"/>
              <w:jc w:val="both"/>
              <w:rPr>
                <w:rFonts w:cs="Arial"/>
                <w:color w:val="auto"/>
                <w:sz w:val="22"/>
                <w:szCs w:val="22"/>
              </w:rPr>
            </w:pPr>
            <w:r w:rsidRPr="00152D5F">
              <w:rPr>
                <w:rFonts w:cs="Arial"/>
                <w:color w:val="auto"/>
                <w:sz w:val="22"/>
                <w:szCs w:val="22"/>
              </w:rPr>
              <w:t>30 November</w:t>
            </w:r>
            <w:r>
              <w:rPr>
                <w:rFonts w:cs="Arial"/>
                <w:color w:val="auto"/>
                <w:sz w:val="22"/>
                <w:szCs w:val="22"/>
              </w:rPr>
              <w:t xml:space="preserve"> 2013</w:t>
            </w:r>
          </w:p>
        </w:tc>
      </w:tr>
      <w:tr w:rsidR="00100427" w:rsidRPr="00DD6FA0" w:rsidTr="00152D5F">
        <w:trPr>
          <w:trHeight w:val="705"/>
        </w:trPr>
        <w:tc>
          <w:tcPr>
            <w:tcW w:w="0" w:type="auto"/>
            <w:vMerge/>
          </w:tcPr>
          <w:p w:rsidR="00100427" w:rsidRPr="008C5AAE" w:rsidRDefault="00100427" w:rsidP="00DE011C">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Default="00100427" w:rsidP="00654764">
            <w:pPr>
              <w:tabs>
                <w:tab w:val="left" w:pos="5040"/>
              </w:tabs>
              <w:jc w:val="both"/>
              <w:rPr>
                <w:rFonts w:cs="Arial"/>
                <w:sz w:val="22"/>
                <w:szCs w:val="22"/>
              </w:rPr>
            </w:pPr>
            <w:r>
              <w:rPr>
                <w:rFonts w:cs="Arial"/>
                <w:sz w:val="22"/>
                <w:szCs w:val="22"/>
              </w:rPr>
              <w:t>Skills transfer plan for every municipality (consultants not write reports, must be done in-house by department)</w:t>
            </w:r>
          </w:p>
          <w:p w:rsidR="00100427" w:rsidRDefault="00100427" w:rsidP="00654764">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Pr="00152D5F" w:rsidRDefault="00100427" w:rsidP="00FE1F35">
            <w:pPr>
              <w:autoSpaceDE w:val="0"/>
              <w:autoSpaceDN w:val="0"/>
              <w:adjustRightInd w:val="0"/>
              <w:jc w:val="both"/>
              <w:rPr>
                <w:rFonts w:cs="Arial"/>
                <w:color w:val="auto"/>
                <w:sz w:val="22"/>
                <w:szCs w:val="22"/>
              </w:rPr>
            </w:pPr>
            <w:r>
              <w:rPr>
                <w:rFonts w:cs="Arial"/>
                <w:color w:val="auto"/>
                <w:sz w:val="22"/>
                <w:szCs w:val="22"/>
              </w:rPr>
              <w:t>February 2014</w:t>
            </w:r>
          </w:p>
        </w:tc>
      </w:tr>
      <w:tr w:rsidR="00100427" w:rsidRPr="00DD6FA0" w:rsidTr="00506096">
        <w:trPr>
          <w:trHeight w:val="720"/>
        </w:trPr>
        <w:tc>
          <w:tcPr>
            <w:tcW w:w="0" w:type="auto"/>
            <w:vMerge/>
          </w:tcPr>
          <w:p w:rsidR="00100427" w:rsidRPr="008C5AAE" w:rsidRDefault="00100427" w:rsidP="00DE011C">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Default="00100427" w:rsidP="00654764">
            <w:pPr>
              <w:tabs>
                <w:tab w:val="left" w:pos="5040"/>
              </w:tabs>
              <w:jc w:val="both"/>
              <w:rPr>
                <w:rFonts w:cs="Arial"/>
                <w:sz w:val="22"/>
                <w:szCs w:val="22"/>
              </w:rPr>
            </w:pPr>
            <w:r>
              <w:rPr>
                <w:rFonts w:cs="Arial"/>
                <w:sz w:val="22"/>
                <w:szCs w:val="22"/>
              </w:rPr>
              <w:t>Breakdown and age analysis of all debts owed to municipalities by government</w:t>
            </w:r>
          </w:p>
          <w:p w:rsidR="00100427" w:rsidRPr="008C5AAE" w:rsidRDefault="00100427" w:rsidP="00654764">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Pr="006A0BF5" w:rsidRDefault="00100427" w:rsidP="00FE1F35">
            <w:pPr>
              <w:autoSpaceDE w:val="0"/>
              <w:autoSpaceDN w:val="0"/>
              <w:adjustRightInd w:val="0"/>
              <w:jc w:val="both"/>
              <w:rPr>
                <w:rFonts w:cs="Arial"/>
                <w:color w:val="auto"/>
                <w:sz w:val="22"/>
                <w:szCs w:val="22"/>
              </w:rPr>
            </w:pPr>
            <w:r w:rsidRPr="006A0BF5">
              <w:rPr>
                <w:rFonts w:cs="Arial"/>
                <w:color w:val="auto"/>
                <w:sz w:val="22"/>
                <w:szCs w:val="22"/>
              </w:rPr>
              <w:t>February 2014</w:t>
            </w:r>
          </w:p>
        </w:tc>
      </w:tr>
      <w:tr w:rsidR="00100427" w:rsidRPr="00DD6FA0" w:rsidTr="00506096">
        <w:trPr>
          <w:trHeight w:val="1335"/>
        </w:trPr>
        <w:tc>
          <w:tcPr>
            <w:tcW w:w="0" w:type="auto"/>
            <w:vMerge/>
          </w:tcPr>
          <w:p w:rsidR="00100427" w:rsidRPr="008C5AAE" w:rsidRDefault="00100427" w:rsidP="00DE011C">
            <w:pPr>
              <w:autoSpaceDE w:val="0"/>
              <w:autoSpaceDN w:val="0"/>
              <w:adjustRightInd w:val="0"/>
              <w:jc w:val="both"/>
              <w:rPr>
                <w:rFonts w:cs="Arial"/>
                <w:sz w:val="22"/>
                <w:szCs w:val="22"/>
              </w:rPr>
            </w:pPr>
          </w:p>
        </w:tc>
        <w:tc>
          <w:tcPr>
            <w:tcW w:w="0" w:type="auto"/>
            <w:tcBorders>
              <w:top w:val="single" w:sz="4" w:space="0" w:color="auto"/>
            </w:tcBorders>
          </w:tcPr>
          <w:p w:rsidR="00100427" w:rsidRDefault="00100427" w:rsidP="00654764">
            <w:pPr>
              <w:autoSpaceDE w:val="0"/>
              <w:autoSpaceDN w:val="0"/>
              <w:adjustRightInd w:val="0"/>
              <w:jc w:val="both"/>
              <w:rPr>
                <w:rFonts w:cs="Arial"/>
                <w:sz w:val="22"/>
                <w:szCs w:val="22"/>
              </w:rPr>
            </w:pPr>
            <w:r>
              <w:rPr>
                <w:rFonts w:cs="Arial"/>
                <w:sz w:val="22"/>
                <w:szCs w:val="22"/>
              </w:rPr>
              <w:t>Report on the findings and recommendations of the Task team dealing with the recovery of debt for municipalities</w:t>
            </w:r>
          </w:p>
        </w:tc>
        <w:tc>
          <w:tcPr>
            <w:tcW w:w="0" w:type="auto"/>
            <w:tcBorders>
              <w:top w:val="single" w:sz="4" w:space="0" w:color="auto"/>
            </w:tcBorders>
          </w:tcPr>
          <w:p w:rsidR="00100427" w:rsidRPr="006A0BF5" w:rsidRDefault="00100427" w:rsidP="00FE1F35">
            <w:pPr>
              <w:autoSpaceDE w:val="0"/>
              <w:autoSpaceDN w:val="0"/>
              <w:adjustRightInd w:val="0"/>
              <w:jc w:val="both"/>
              <w:rPr>
                <w:rFonts w:cs="Arial"/>
                <w:color w:val="auto"/>
                <w:sz w:val="22"/>
                <w:szCs w:val="22"/>
              </w:rPr>
            </w:pPr>
            <w:r w:rsidRPr="006A0BF5">
              <w:rPr>
                <w:rFonts w:cs="Arial"/>
                <w:color w:val="auto"/>
                <w:sz w:val="22"/>
                <w:szCs w:val="22"/>
              </w:rPr>
              <w:t>February 2014</w:t>
            </w:r>
          </w:p>
        </w:tc>
      </w:tr>
      <w:tr w:rsidR="00100427" w:rsidRPr="00DD6FA0" w:rsidTr="004214F8">
        <w:tc>
          <w:tcPr>
            <w:tcW w:w="0" w:type="auto"/>
          </w:tcPr>
          <w:p w:rsidR="00100427" w:rsidRPr="008C5AAE" w:rsidRDefault="00100427" w:rsidP="00DE011C">
            <w:pPr>
              <w:autoSpaceDE w:val="0"/>
              <w:autoSpaceDN w:val="0"/>
              <w:adjustRightInd w:val="0"/>
              <w:jc w:val="both"/>
              <w:rPr>
                <w:rFonts w:cs="Arial"/>
                <w:sz w:val="22"/>
                <w:szCs w:val="22"/>
              </w:rPr>
            </w:pPr>
            <w:r>
              <w:rPr>
                <w:rFonts w:cs="Arial"/>
                <w:sz w:val="22"/>
                <w:szCs w:val="22"/>
              </w:rPr>
              <w:t>Bulk infrastructure and service delivery</w:t>
            </w:r>
          </w:p>
        </w:tc>
        <w:tc>
          <w:tcPr>
            <w:tcW w:w="0" w:type="auto"/>
          </w:tcPr>
          <w:p w:rsidR="00100427" w:rsidRDefault="00100427" w:rsidP="00782460">
            <w:pPr>
              <w:tabs>
                <w:tab w:val="left" w:pos="5040"/>
              </w:tabs>
              <w:jc w:val="both"/>
              <w:rPr>
                <w:rFonts w:cs="Arial"/>
                <w:sz w:val="22"/>
                <w:szCs w:val="22"/>
              </w:rPr>
            </w:pPr>
            <w:r>
              <w:rPr>
                <w:rFonts w:cs="Arial"/>
                <w:sz w:val="22"/>
                <w:szCs w:val="22"/>
              </w:rPr>
              <w:t>Report on infrastructure damaged by disasters in all provinces since 1998 – what progress have been made to repair/replace it, budget that was spent on it, and assistance from sector departments</w:t>
            </w:r>
          </w:p>
          <w:p w:rsidR="00100427" w:rsidRDefault="00100427" w:rsidP="002007F3">
            <w:pPr>
              <w:tabs>
                <w:tab w:val="left" w:pos="5040"/>
              </w:tabs>
              <w:rPr>
                <w:rFonts w:cs="Arial"/>
                <w:sz w:val="22"/>
                <w:szCs w:val="22"/>
              </w:rPr>
            </w:pPr>
            <w:r>
              <w:rPr>
                <w:rFonts w:cs="Arial"/>
                <w:sz w:val="22"/>
                <w:szCs w:val="22"/>
              </w:rPr>
              <w:t xml:space="preserve"> </w:t>
            </w:r>
          </w:p>
        </w:tc>
        <w:tc>
          <w:tcPr>
            <w:tcW w:w="0" w:type="auto"/>
          </w:tcPr>
          <w:p w:rsidR="00100427" w:rsidRPr="00262E47" w:rsidRDefault="00100427" w:rsidP="00FE1F35">
            <w:pPr>
              <w:autoSpaceDE w:val="0"/>
              <w:autoSpaceDN w:val="0"/>
              <w:adjustRightInd w:val="0"/>
              <w:jc w:val="both"/>
              <w:rPr>
                <w:rFonts w:cs="Arial"/>
                <w:color w:val="auto"/>
                <w:sz w:val="22"/>
                <w:szCs w:val="22"/>
              </w:rPr>
            </w:pPr>
            <w:r>
              <w:rPr>
                <w:rFonts w:cs="Arial"/>
                <w:color w:val="auto"/>
                <w:sz w:val="22"/>
                <w:szCs w:val="22"/>
              </w:rPr>
              <w:t>Quarterly reports</w:t>
            </w:r>
          </w:p>
        </w:tc>
      </w:tr>
      <w:tr w:rsidR="00100427" w:rsidRPr="00DD6FA0" w:rsidTr="005A4ADE">
        <w:trPr>
          <w:trHeight w:val="1710"/>
        </w:trPr>
        <w:tc>
          <w:tcPr>
            <w:tcW w:w="0" w:type="auto"/>
            <w:vMerge w:val="restart"/>
            <w:tcBorders>
              <w:right w:val="single" w:sz="4" w:space="0" w:color="auto"/>
            </w:tcBorders>
          </w:tcPr>
          <w:p w:rsidR="00100427" w:rsidRDefault="00100427" w:rsidP="00DE011C">
            <w:pPr>
              <w:autoSpaceDE w:val="0"/>
              <w:autoSpaceDN w:val="0"/>
              <w:adjustRightInd w:val="0"/>
              <w:jc w:val="both"/>
              <w:rPr>
                <w:rFonts w:cs="Arial"/>
                <w:sz w:val="22"/>
                <w:szCs w:val="22"/>
              </w:rPr>
            </w:pPr>
            <w:r>
              <w:rPr>
                <w:rFonts w:cs="Arial"/>
                <w:sz w:val="22"/>
                <w:szCs w:val="22"/>
              </w:rPr>
              <w:t>Staff capacity in</w:t>
            </w:r>
            <w:r w:rsidRPr="008C5AAE">
              <w:rPr>
                <w:rFonts w:cs="Arial"/>
                <w:sz w:val="22"/>
                <w:szCs w:val="22"/>
              </w:rPr>
              <w:t xml:space="preserve"> municipalities</w:t>
            </w:r>
          </w:p>
        </w:tc>
        <w:tc>
          <w:tcPr>
            <w:tcW w:w="0" w:type="auto"/>
            <w:tcBorders>
              <w:left w:val="single" w:sz="4" w:space="0" w:color="auto"/>
              <w:bottom w:val="single" w:sz="4" w:space="0" w:color="auto"/>
            </w:tcBorders>
          </w:tcPr>
          <w:p w:rsidR="00100427" w:rsidRDefault="00100427" w:rsidP="00C51C04">
            <w:pPr>
              <w:tabs>
                <w:tab w:val="left" w:pos="5040"/>
              </w:tabs>
              <w:jc w:val="both"/>
              <w:rPr>
                <w:rFonts w:cs="Arial"/>
                <w:sz w:val="22"/>
                <w:szCs w:val="22"/>
              </w:rPr>
            </w:pPr>
            <w:r>
              <w:rPr>
                <w:rFonts w:cs="Arial"/>
                <w:sz w:val="22"/>
                <w:szCs w:val="22"/>
              </w:rPr>
              <w:t xml:space="preserve">Report on all Municipal Managers and Section 56 managers in all municipalities (where positions were filled after 2011 was it in compliance with  the Municipal Systems Amendment Act, 2011, if not what actions have been taken against municipalities for non-compliance) </w:t>
            </w:r>
          </w:p>
        </w:tc>
        <w:tc>
          <w:tcPr>
            <w:tcW w:w="0" w:type="auto"/>
            <w:tcBorders>
              <w:bottom w:val="single" w:sz="4" w:space="0" w:color="auto"/>
            </w:tcBorders>
          </w:tcPr>
          <w:p w:rsidR="00100427" w:rsidRPr="00E70E55" w:rsidRDefault="00100427" w:rsidP="00FE1F35">
            <w:pPr>
              <w:autoSpaceDE w:val="0"/>
              <w:autoSpaceDN w:val="0"/>
              <w:adjustRightInd w:val="0"/>
              <w:jc w:val="both"/>
              <w:rPr>
                <w:rFonts w:cs="Arial"/>
                <w:color w:val="auto"/>
                <w:sz w:val="22"/>
                <w:szCs w:val="22"/>
              </w:rPr>
            </w:pPr>
            <w:r>
              <w:rPr>
                <w:rFonts w:cs="Arial"/>
                <w:color w:val="auto"/>
                <w:sz w:val="22"/>
                <w:szCs w:val="22"/>
              </w:rPr>
              <w:t>March 2014</w:t>
            </w:r>
          </w:p>
        </w:tc>
      </w:tr>
      <w:tr w:rsidR="00100427" w:rsidRPr="00DD6FA0" w:rsidTr="007674A2">
        <w:trPr>
          <w:trHeight w:val="945"/>
        </w:trPr>
        <w:tc>
          <w:tcPr>
            <w:tcW w:w="0" w:type="auto"/>
            <w:vMerge/>
            <w:tcBorders>
              <w:right w:val="single" w:sz="4" w:space="0" w:color="auto"/>
            </w:tcBorders>
          </w:tcPr>
          <w:p w:rsidR="00100427" w:rsidRDefault="00100427" w:rsidP="00DE011C">
            <w:pPr>
              <w:autoSpaceDE w:val="0"/>
              <w:autoSpaceDN w:val="0"/>
              <w:adjustRightInd w:val="0"/>
              <w:jc w:val="both"/>
              <w:rPr>
                <w:rFonts w:cs="Arial"/>
                <w:sz w:val="22"/>
                <w:szCs w:val="22"/>
              </w:rPr>
            </w:pPr>
          </w:p>
        </w:tc>
        <w:tc>
          <w:tcPr>
            <w:tcW w:w="0" w:type="auto"/>
            <w:tcBorders>
              <w:top w:val="single" w:sz="4" w:space="0" w:color="auto"/>
              <w:left w:val="single" w:sz="4" w:space="0" w:color="auto"/>
              <w:bottom w:val="single" w:sz="4" w:space="0" w:color="auto"/>
            </w:tcBorders>
          </w:tcPr>
          <w:p w:rsidR="00100427" w:rsidRDefault="00100427" w:rsidP="00C51C04">
            <w:pPr>
              <w:tabs>
                <w:tab w:val="left" w:pos="5040"/>
              </w:tabs>
              <w:jc w:val="both"/>
              <w:rPr>
                <w:rFonts w:cs="Arial"/>
                <w:sz w:val="22"/>
                <w:szCs w:val="22"/>
              </w:rPr>
            </w:pPr>
          </w:p>
          <w:p w:rsidR="00100427" w:rsidRDefault="00100427" w:rsidP="00C51C04">
            <w:pPr>
              <w:tabs>
                <w:tab w:val="left" w:pos="5040"/>
              </w:tabs>
              <w:jc w:val="both"/>
              <w:rPr>
                <w:rFonts w:cs="Arial"/>
                <w:sz w:val="22"/>
                <w:szCs w:val="22"/>
              </w:rPr>
            </w:pPr>
            <w:r>
              <w:rPr>
                <w:rFonts w:cs="Arial"/>
                <w:sz w:val="22"/>
                <w:szCs w:val="22"/>
              </w:rPr>
              <w:t>Report on performance contracts of section 57 managers</w:t>
            </w:r>
          </w:p>
          <w:p w:rsidR="00100427" w:rsidRDefault="00100427" w:rsidP="00C51C04">
            <w:pPr>
              <w:tabs>
                <w:tab w:val="left" w:pos="5040"/>
              </w:tabs>
              <w:jc w:val="both"/>
              <w:rPr>
                <w:rFonts w:cs="Arial"/>
                <w:sz w:val="22"/>
                <w:szCs w:val="22"/>
              </w:rPr>
            </w:pPr>
          </w:p>
        </w:tc>
        <w:tc>
          <w:tcPr>
            <w:tcW w:w="0" w:type="auto"/>
            <w:tcBorders>
              <w:top w:val="single" w:sz="4" w:space="0" w:color="auto"/>
              <w:bottom w:val="single" w:sz="4" w:space="0" w:color="auto"/>
            </w:tcBorders>
          </w:tcPr>
          <w:p w:rsidR="00100427" w:rsidRDefault="00100427" w:rsidP="00FE1F35">
            <w:pPr>
              <w:autoSpaceDE w:val="0"/>
              <w:autoSpaceDN w:val="0"/>
              <w:adjustRightInd w:val="0"/>
              <w:jc w:val="both"/>
              <w:rPr>
                <w:rFonts w:cs="Arial"/>
                <w:color w:val="auto"/>
                <w:sz w:val="22"/>
                <w:szCs w:val="22"/>
              </w:rPr>
            </w:pPr>
            <w:r>
              <w:rPr>
                <w:rFonts w:cs="Arial"/>
                <w:color w:val="auto"/>
                <w:sz w:val="22"/>
                <w:szCs w:val="22"/>
              </w:rPr>
              <w:t>2</w:t>
            </w:r>
            <w:r w:rsidRPr="007674A2">
              <w:rPr>
                <w:rFonts w:cs="Arial"/>
                <w:color w:val="auto"/>
                <w:sz w:val="22"/>
                <w:szCs w:val="22"/>
                <w:vertAlign w:val="superscript"/>
              </w:rPr>
              <w:t>nd</w:t>
            </w:r>
            <w:r>
              <w:rPr>
                <w:rFonts w:cs="Arial"/>
                <w:color w:val="auto"/>
                <w:sz w:val="22"/>
                <w:szCs w:val="22"/>
              </w:rPr>
              <w:t xml:space="preserve"> term of 2014</w:t>
            </w:r>
          </w:p>
        </w:tc>
      </w:tr>
      <w:tr w:rsidR="00100427" w:rsidRPr="00DD6FA0" w:rsidTr="005A4ADE">
        <w:trPr>
          <w:trHeight w:val="1560"/>
        </w:trPr>
        <w:tc>
          <w:tcPr>
            <w:tcW w:w="0" w:type="auto"/>
            <w:vMerge/>
            <w:tcBorders>
              <w:right w:val="single" w:sz="4" w:space="0" w:color="auto"/>
            </w:tcBorders>
          </w:tcPr>
          <w:p w:rsidR="00100427" w:rsidRDefault="00100427" w:rsidP="00DE011C">
            <w:pPr>
              <w:autoSpaceDE w:val="0"/>
              <w:autoSpaceDN w:val="0"/>
              <w:adjustRightInd w:val="0"/>
              <w:jc w:val="both"/>
              <w:rPr>
                <w:rFonts w:cs="Arial"/>
                <w:sz w:val="22"/>
                <w:szCs w:val="22"/>
              </w:rPr>
            </w:pPr>
          </w:p>
        </w:tc>
        <w:tc>
          <w:tcPr>
            <w:tcW w:w="0" w:type="auto"/>
            <w:tcBorders>
              <w:top w:val="single" w:sz="4" w:space="0" w:color="auto"/>
              <w:left w:val="single" w:sz="4" w:space="0" w:color="auto"/>
            </w:tcBorders>
          </w:tcPr>
          <w:p w:rsidR="00100427" w:rsidRDefault="00100427" w:rsidP="00C51C04">
            <w:pPr>
              <w:tabs>
                <w:tab w:val="left" w:pos="5040"/>
              </w:tabs>
              <w:jc w:val="both"/>
              <w:rPr>
                <w:rFonts w:cs="Arial"/>
                <w:sz w:val="22"/>
                <w:szCs w:val="22"/>
              </w:rPr>
            </w:pPr>
            <w:r>
              <w:rPr>
                <w:rFonts w:cs="Arial"/>
                <w:sz w:val="22"/>
                <w:szCs w:val="22"/>
              </w:rPr>
              <w:t>Report on steps taken against municipal managers and senior managers who have not met the deadlines to obtain the necessary qualifications as stipulated in Treasury Circular 60</w:t>
            </w:r>
          </w:p>
          <w:p w:rsidR="00100427" w:rsidRDefault="00100427" w:rsidP="00C51C04">
            <w:pPr>
              <w:tabs>
                <w:tab w:val="left" w:pos="5040"/>
              </w:tabs>
              <w:jc w:val="both"/>
              <w:rPr>
                <w:rFonts w:cs="Arial"/>
                <w:sz w:val="22"/>
                <w:szCs w:val="22"/>
              </w:rPr>
            </w:pPr>
          </w:p>
        </w:tc>
        <w:tc>
          <w:tcPr>
            <w:tcW w:w="0" w:type="auto"/>
            <w:tcBorders>
              <w:top w:val="single" w:sz="4" w:space="0" w:color="auto"/>
            </w:tcBorders>
          </w:tcPr>
          <w:p w:rsidR="00100427" w:rsidRDefault="00100427" w:rsidP="00FE1F35">
            <w:pPr>
              <w:autoSpaceDE w:val="0"/>
              <w:autoSpaceDN w:val="0"/>
              <w:adjustRightInd w:val="0"/>
              <w:jc w:val="both"/>
              <w:rPr>
                <w:rFonts w:cs="Arial"/>
                <w:color w:val="auto"/>
                <w:sz w:val="22"/>
                <w:szCs w:val="22"/>
              </w:rPr>
            </w:pPr>
            <w:r>
              <w:rPr>
                <w:rFonts w:cs="Arial"/>
                <w:color w:val="auto"/>
                <w:sz w:val="22"/>
                <w:szCs w:val="22"/>
              </w:rPr>
              <w:t>2</w:t>
            </w:r>
            <w:r w:rsidRPr="007674A2">
              <w:rPr>
                <w:rFonts w:cs="Arial"/>
                <w:color w:val="auto"/>
                <w:sz w:val="22"/>
                <w:szCs w:val="22"/>
                <w:vertAlign w:val="superscript"/>
              </w:rPr>
              <w:t>nd</w:t>
            </w:r>
            <w:r>
              <w:rPr>
                <w:rFonts w:cs="Arial"/>
                <w:color w:val="auto"/>
                <w:sz w:val="22"/>
                <w:szCs w:val="22"/>
              </w:rPr>
              <w:t xml:space="preserve"> term of 2014</w:t>
            </w:r>
          </w:p>
        </w:tc>
      </w:tr>
      <w:tr w:rsidR="00100427" w:rsidRPr="00DD6FA0" w:rsidTr="00400ADA">
        <w:trPr>
          <w:trHeight w:val="645"/>
        </w:trPr>
        <w:tc>
          <w:tcPr>
            <w:tcW w:w="0" w:type="auto"/>
            <w:vMerge w:val="restart"/>
          </w:tcPr>
          <w:p w:rsidR="00100427" w:rsidRDefault="00100427" w:rsidP="00DE011C">
            <w:pPr>
              <w:autoSpaceDE w:val="0"/>
              <w:autoSpaceDN w:val="0"/>
              <w:adjustRightInd w:val="0"/>
              <w:jc w:val="both"/>
              <w:rPr>
                <w:rFonts w:cs="Arial"/>
                <w:sz w:val="22"/>
                <w:szCs w:val="22"/>
              </w:rPr>
            </w:pPr>
            <w:r w:rsidRPr="008C5AAE">
              <w:rPr>
                <w:rFonts w:cs="Arial"/>
                <w:sz w:val="22"/>
                <w:szCs w:val="22"/>
              </w:rPr>
              <w:lastRenderedPageBreak/>
              <w:t>Legislation</w:t>
            </w:r>
          </w:p>
        </w:tc>
        <w:tc>
          <w:tcPr>
            <w:tcW w:w="0" w:type="auto"/>
            <w:tcBorders>
              <w:bottom w:val="single" w:sz="4" w:space="0" w:color="auto"/>
            </w:tcBorders>
          </w:tcPr>
          <w:p w:rsidR="00100427" w:rsidRDefault="00100427" w:rsidP="00400ADA">
            <w:pPr>
              <w:tabs>
                <w:tab w:val="left" w:pos="5040"/>
              </w:tabs>
              <w:jc w:val="both"/>
              <w:rPr>
                <w:rFonts w:cs="Arial"/>
                <w:sz w:val="22"/>
                <w:szCs w:val="22"/>
              </w:rPr>
            </w:pPr>
            <w:r>
              <w:rPr>
                <w:rFonts w:cs="Arial"/>
                <w:sz w:val="22"/>
                <w:szCs w:val="22"/>
              </w:rPr>
              <w:t xml:space="preserve">Progress on </w:t>
            </w:r>
            <w:r w:rsidRPr="008C5AAE">
              <w:rPr>
                <w:rFonts w:cs="Arial"/>
                <w:sz w:val="22"/>
                <w:szCs w:val="22"/>
              </w:rPr>
              <w:t>National Traditional Affairs Amendment Bill</w:t>
            </w:r>
          </w:p>
          <w:p w:rsidR="00100427" w:rsidRDefault="00100427" w:rsidP="00400ADA">
            <w:pPr>
              <w:tabs>
                <w:tab w:val="left" w:pos="5040"/>
              </w:tabs>
              <w:jc w:val="both"/>
              <w:rPr>
                <w:rFonts w:cs="Arial"/>
                <w:sz w:val="22"/>
                <w:szCs w:val="22"/>
              </w:rPr>
            </w:pPr>
          </w:p>
        </w:tc>
        <w:tc>
          <w:tcPr>
            <w:tcW w:w="0" w:type="auto"/>
            <w:tcBorders>
              <w:bottom w:val="single" w:sz="4" w:space="0" w:color="auto"/>
            </w:tcBorders>
          </w:tcPr>
          <w:p w:rsidR="00100427" w:rsidRPr="004E6FB2" w:rsidRDefault="00100427" w:rsidP="00FE1F35">
            <w:pPr>
              <w:autoSpaceDE w:val="0"/>
              <w:autoSpaceDN w:val="0"/>
              <w:adjustRightInd w:val="0"/>
              <w:jc w:val="both"/>
              <w:rPr>
                <w:rFonts w:cs="Arial"/>
                <w:color w:val="auto"/>
                <w:sz w:val="22"/>
                <w:szCs w:val="22"/>
              </w:rPr>
            </w:pPr>
            <w:r w:rsidRPr="004E6FB2">
              <w:rPr>
                <w:rFonts w:cs="Arial"/>
                <w:color w:val="auto"/>
                <w:sz w:val="22"/>
                <w:szCs w:val="22"/>
              </w:rPr>
              <w:t>1</w:t>
            </w:r>
            <w:r w:rsidRPr="004E6FB2">
              <w:rPr>
                <w:rFonts w:cs="Arial"/>
                <w:color w:val="auto"/>
                <w:sz w:val="22"/>
                <w:szCs w:val="22"/>
                <w:vertAlign w:val="superscript"/>
              </w:rPr>
              <w:t>st</w:t>
            </w:r>
            <w:r w:rsidRPr="004E6FB2">
              <w:rPr>
                <w:rFonts w:cs="Arial"/>
                <w:color w:val="auto"/>
                <w:sz w:val="22"/>
                <w:szCs w:val="22"/>
              </w:rPr>
              <w:t xml:space="preserve"> term of 2014</w:t>
            </w:r>
          </w:p>
        </w:tc>
      </w:tr>
      <w:tr w:rsidR="00100427" w:rsidRPr="00DD6FA0" w:rsidTr="00001526">
        <w:trPr>
          <w:trHeight w:val="765"/>
        </w:trPr>
        <w:tc>
          <w:tcPr>
            <w:tcW w:w="0" w:type="auto"/>
            <w:vMerge/>
          </w:tcPr>
          <w:p w:rsidR="00100427" w:rsidRPr="008C5AAE" w:rsidRDefault="00100427" w:rsidP="00DE011C">
            <w:pPr>
              <w:autoSpaceDE w:val="0"/>
              <w:autoSpaceDN w:val="0"/>
              <w:adjustRightInd w:val="0"/>
              <w:jc w:val="both"/>
              <w:rPr>
                <w:rFonts w:cs="Arial"/>
                <w:sz w:val="22"/>
                <w:szCs w:val="22"/>
              </w:rPr>
            </w:pPr>
          </w:p>
        </w:tc>
        <w:tc>
          <w:tcPr>
            <w:tcW w:w="0" w:type="auto"/>
            <w:tcBorders>
              <w:top w:val="single" w:sz="4" w:space="0" w:color="auto"/>
              <w:bottom w:val="single" w:sz="4" w:space="0" w:color="auto"/>
            </w:tcBorders>
          </w:tcPr>
          <w:p w:rsidR="00100427" w:rsidRDefault="00100427" w:rsidP="00400ADA">
            <w:pPr>
              <w:tabs>
                <w:tab w:val="left" w:pos="5040"/>
              </w:tabs>
              <w:jc w:val="both"/>
              <w:rPr>
                <w:rFonts w:cs="Arial"/>
                <w:sz w:val="22"/>
                <w:szCs w:val="22"/>
              </w:rPr>
            </w:pPr>
            <w:r>
              <w:rPr>
                <w:rFonts w:cs="Arial"/>
                <w:sz w:val="22"/>
                <w:szCs w:val="22"/>
              </w:rPr>
              <w:t>Report on the findings of the Commission for Dispute and Claims</w:t>
            </w:r>
          </w:p>
        </w:tc>
        <w:tc>
          <w:tcPr>
            <w:tcW w:w="0" w:type="auto"/>
            <w:tcBorders>
              <w:top w:val="single" w:sz="4" w:space="0" w:color="auto"/>
              <w:bottom w:val="single" w:sz="4" w:space="0" w:color="auto"/>
            </w:tcBorders>
          </w:tcPr>
          <w:p w:rsidR="00100427" w:rsidRPr="004E6FB2" w:rsidRDefault="00100427" w:rsidP="00FE1F35">
            <w:pPr>
              <w:autoSpaceDE w:val="0"/>
              <w:autoSpaceDN w:val="0"/>
              <w:adjustRightInd w:val="0"/>
              <w:jc w:val="both"/>
              <w:rPr>
                <w:rFonts w:cs="Arial"/>
                <w:color w:val="auto"/>
                <w:sz w:val="22"/>
                <w:szCs w:val="22"/>
              </w:rPr>
            </w:pPr>
            <w:r w:rsidRPr="004E6FB2">
              <w:rPr>
                <w:rFonts w:cs="Arial"/>
                <w:color w:val="auto"/>
                <w:sz w:val="22"/>
                <w:szCs w:val="22"/>
              </w:rPr>
              <w:t>2</w:t>
            </w:r>
            <w:r w:rsidRPr="004E6FB2">
              <w:rPr>
                <w:rFonts w:cs="Arial"/>
                <w:color w:val="auto"/>
                <w:sz w:val="22"/>
                <w:szCs w:val="22"/>
                <w:vertAlign w:val="superscript"/>
              </w:rPr>
              <w:t>nd</w:t>
            </w:r>
            <w:r w:rsidRPr="004E6FB2">
              <w:rPr>
                <w:rFonts w:cs="Arial"/>
                <w:color w:val="auto"/>
                <w:sz w:val="22"/>
                <w:szCs w:val="22"/>
              </w:rPr>
              <w:t xml:space="preserve"> term of 2014</w:t>
            </w:r>
          </w:p>
        </w:tc>
      </w:tr>
      <w:tr w:rsidR="00100427" w:rsidRPr="00DD6FA0" w:rsidTr="002823DF">
        <w:trPr>
          <w:trHeight w:val="765"/>
        </w:trPr>
        <w:tc>
          <w:tcPr>
            <w:tcW w:w="0" w:type="auto"/>
          </w:tcPr>
          <w:p w:rsidR="00100427" w:rsidRPr="008C5AAE" w:rsidRDefault="00100427" w:rsidP="00DE011C">
            <w:pPr>
              <w:autoSpaceDE w:val="0"/>
              <w:autoSpaceDN w:val="0"/>
              <w:adjustRightInd w:val="0"/>
              <w:jc w:val="both"/>
              <w:rPr>
                <w:rFonts w:cs="Arial"/>
                <w:sz w:val="22"/>
                <w:szCs w:val="22"/>
              </w:rPr>
            </w:pPr>
            <w:r>
              <w:rPr>
                <w:rFonts w:cs="Arial"/>
                <w:sz w:val="22"/>
                <w:szCs w:val="22"/>
              </w:rPr>
              <w:t>Policy</w:t>
            </w:r>
          </w:p>
        </w:tc>
        <w:tc>
          <w:tcPr>
            <w:tcW w:w="0" w:type="auto"/>
            <w:tcBorders>
              <w:top w:val="single" w:sz="4" w:space="0" w:color="auto"/>
              <w:bottom w:val="single" w:sz="4" w:space="0" w:color="auto"/>
            </w:tcBorders>
          </w:tcPr>
          <w:p w:rsidR="00100427" w:rsidRDefault="00100427" w:rsidP="00400ADA">
            <w:pPr>
              <w:tabs>
                <w:tab w:val="left" w:pos="5040"/>
              </w:tabs>
              <w:jc w:val="both"/>
              <w:rPr>
                <w:rFonts w:cs="Arial"/>
                <w:sz w:val="22"/>
                <w:szCs w:val="22"/>
              </w:rPr>
            </w:pPr>
            <w:r>
              <w:rPr>
                <w:rFonts w:cs="Arial"/>
                <w:sz w:val="22"/>
                <w:szCs w:val="22"/>
              </w:rPr>
              <w:t>Progress report on the Local Government Turnaround Strategy (LGTAS)</w:t>
            </w:r>
          </w:p>
        </w:tc>
        <w:tc>
          <w:tcPr>
            <w:tcW w:w="0" w:type="auto"/>
            <w:tcBorders>
              <w:top w:val="single" w:sz="4" w:space="0" w:color="auto"/>
              <w:bottom w:val="single" w:sz="4" w:space="0" w:color="auto"/>
            </w:tcBorders>
          </w:tcPr>
          <w:p w:rsidR="00100427" w:rsidRPr="004E6FB2" w:rsidRDefault="00100427" w:rsidP="00FE1F35">
            <w:pPr>
              <w:autoSpaceDE w:val="0"/>
              <w:autoSpaceDN w:val="0"/>
              <w:adjustRightInd w:val="0"/>
              <w:jc w:val="both"/>
              <w:rPr>
                <w:rFonts w:cs="Arial"/>
                <w:color w:val="auto"/>
                <w:sz w:val="22"/>
                <w:szCs w:val="22"/>
              </w:rPr>
            </w:pPr>
            <w:r>
              <w:rPr>
                <w:rFonts w:cs="Arial"/>
                <w:color w:val="auto"/>
                <w:sz w:val="22"/>
                <w:szCs w:val="22"/>
              </w:rPr>
              <w:t>As soon as approved by Cabinet</w:t>
            </w:r>
          </w:p>
        </w:tc>
      </w:tr>
      <w:tr w:rsidR="00100427" w:rsidRPr="00DD6FA0" w:rsidTr="00AD70FF">
        <w:trPr>
          <w:trHeight w:val="765"/>
        </w:trPr>
        <w:tc>
          <w:tcPr>
            <w:tcW w:w="0" w:type="auto"/>
          </w:tcPr>
          <w:p w:rsidR="00100427" w:rsidRDefault="00100427" w:rsidP="00DE011C">
            <w:pPr>
              <w:autoSpaceDE w:val="0"/>
              <w:autoSpaceDN w:val="0"/>
              <w:adjustRightInd w:val="0"/>
              <w:jc w:val="both"/>
              <w:rPr>
                <w:rFonts w:cs="Arial"/>
                <w:sz w:val="22"/>
                <w:szCs w:val="22"/>
              </w:rPr>
            </w:pPr>
            <w:r>
              <w:rPr>
                <w:rFonts w:cs="Arial"/>
                <w:sz w:val="22"/>
                <w:szCs w:val="22"/>
              </w:rPr>
              <w:t>Local Government Equitable Share Formula</w:t>
            </w:r>
          </w:p>
        </w:tc>
        <w:tc>
          <w:tcPr>
            <w:tcW w:w="0" w:type="auto"/>
            <w:tcBorders>
              <w:top w:val="single" w:sz="4" w:space="0" w:color="auto"/>
              <w:bottom w:val="single" w:sz="4" w:space="0" w:color="auto"/>
            </w:tcBorders>
          </w:tcPr>
          <w:p w:rsidR="00100427" w:rsidRDefault="00100427" w:rsidP="00400ADA">
            <w:pPr>
              <w:tabs>
                <w:tab w:val="left" w:pos="5040"/>
              </w:tabs>
              <w:jc w:val="both"/>
              <w:rPr>
                <w:rFonts w:cs="Arial"/>
                <w:sz w:val="22"/>
                <w:szCs w:val="22"/>
              </w:rPr>
            </w:pPr>
            <w:r>
              <w:rPr>
                <w:rFonts w:cs="Arial"/>
                <w:sz w:val="22"/>
                <w:szCs w:val="22"/>
              </w:rPr>
              <w:t>Report on the implementation of the new Local Government Equitable Share Formula and its provision for maintenance of infrastructure</w:t>
            </w:r>
          </w:p>
        </w:tc>
        <w:tc>
          <w:tcPr>
            <w:tcW w:w="0" w:type="auto"/>
            <w:tcBorders>
              <w:top w:val="single" w:sz="4" w:space="0" w:color="auto"/>
              <w:bottom w:val="single" w:sz="4" w:space="0" w:color="auto"/>
            </w:tcBorders>
          </w:tcPr>
          <w:p w:rsidR="00100427" w:rsidRDefault="00100427" w:rsidP="00FE1F35">
            <w:pPr>
              <w:autoSpaceDE w:val="0"/>
              <w:autoSpaceDN w:val="0"/>
              <w:adjustRightInd w:val="0"/>
              <w:jc w:val="both"/>
              <w:rPr>
                <w:rFonts w:cs="Arial"/>
                <w:color w:val="auto"/>
                <w:sz w:val="22"/>
                <w:szCs w:val="22"/>
              </w:rPr>
            </w:pPr>
            <w:r>
              <w:rPr>
                <w:rFonts w:cs="Arial"/>
                <w:color w:val="auto"/>
                <w:sz w:val="22"/>
                <w:szCs w:val="22"/>
              </w:rPr>
              <w:t>2</w:t>
            </w:r>
            <w:r w:rsidRPr="001B38BA">
              <w:rPr>
                <w:rFonts w:cs="Arial"/>
                <w:color w:val="auto"/>
                <w:sz w:val="22"/>
                <w:szCs w:val="22"/>
                <w:vertAlign w:val="superscript"/>
              </w:rPr>
              <w:t>nd</w:t>
            </w:r>
            <w:r>
              <w:rPr>
                <w:rFonts w:cs="Arial"/>
                <w:color w:val="auto"/>
                <w:sz w:val="22"/>
                <w:szCs w:val="22"/>
              </w:rPr>
              <w:t xml:space="preserve"> term of 2014</w:t>
            </w:r>
          </w:p>
        </w:tc>
      </w:tr>
      <w:tr w:rsidR="00100427" w:rsidRPr="00DD6FA0" w:rsidTr="0000345A">
        <w:trPr>
          <w:trHeight w:val="856"/>
        </w:trPr>
        <w:tc>
          <w:tcPr>
            <w:tcW w:w="0" w:type="auto"/>
          </w:tcPr>
          <w:p w:rsidR="00100427" w:rsidRDefault="00100427" w:rsidP="00DE011C">
            <w:pPr>
              <w:autoSpaceDE w:val="0"/>
              <w:autoSpaceDN w:val="0"/>
              <w:adjustRightInd w:val="0"/>
              <w:jc w:val="both"/>
              <w:rPr>
                <w:rFonts w:cs="Arial"/>
                <w:sz w:val="22"/>
                <w:szCs w:val="22"/>
              </w:rPr>
            </w:pPr>
            <w:r>
              <w:rPr>
                <w:rFonts w:cs="Arial"/>
                <w:sz w:val="22"/>
                <w:szCs w:val="22"/>
              </w:rPr>
              <w:t>Anti-corruption</w:t>
            </w:r>
          </w:p>
        </w:tc>
        <w:tc>
          <w:tcPr>
            <w:tcW w:w="0" w:type="auto"/>
            <w:tcBorders>
              <w:top w:val="single" w:sz="4" w:space="0" w:color="auto"/>
              <w:bottom w:val="single" w:sz="4" w:space="0" w:color="auto"/>
            </w:tcBorders>
          </w:tcPr>
          <w:p w:rsidR="00100427" w:rsidRPr="00AB0E74" w:rsidRDefault="00100427" w:rsidP="00AB0E74">
            <w:pPr>
              <w:tabs>
                <w:tab w:val="left" w:pos="5040"/>
              </w:tabs>
              <w:jc w:val="both"/>
              <w:rPr>
                <w:rFonts w:cs="Arial"/>
                <w:sz w:val="22"/>
                <w:szCs w:val="22"/>
              </w:rPr>
            </w:pPr>
            <w:r>
              <w:rPr>
                <w:rFonts w:cs="Arial"/>
                <w:sz w:val="22"/>
                <w:szCs w:val="22"/>
              </w:rPr>
              <w:t xml:space="preserve">Presentation to clarify </w:t>
            </w:r>
            <w:r w:rsidRPr="00AB0E74">
              <w:rPr>
                <w:rFonts w:cs="Arial"/>
                <w:sz w:val="22"/>
                <w:szCs w:val="22"/>
              </w:rPr>
              <w:t xml:space="preserve">the roles and functions of the Department’s Anti-Corruption Inspectorate </w:t>
            </w:r>
          </w:p>
        </w:tc>
        <w:tc>
          <w:tcPr>
            <w:tcW w:w="0" w:type="auto"/>
            <w:tcBorders>
              <w:top w:val="single" w:sz="4" w:space="0" w:color="auto"/>
              <w:bottom w:val="single" w:sz="4" w:space="0" w:color="auto"/>
            </w:tcBorders>
          </w:tcPr>
          <w:p w:rsidR="00100427" w:rsidRDefault="00100427" w:rsidP="00FE1F35">
            <w:pPr>
              <w:autoSpaceDE w:val="0"/>
              <w:autoSpaceDN w:val="0"/>
              <w:adjustRightInd w:val="0"/>
              <w:jc w:val="both"/>
              <w:rPr>
                <w:rFonts w:cs="Arial"/>
                <w:color w:val="auto"/>
                <w:sz w:val="22"/>
                <w:szCs w:val="22"/>
              </w:rPr>
            </w:pPr>
            <w:r>
              <w:rPr>
                <w:rFonts w:cs="Arial"/>
                <w:color w:val="auto"/>
                <w:sz w:val="22"/>
                <w:szCs w:val="22"/>
              </w:rPr>
              <w:t>2</w:t>
            </w:r>
            <w:r w:rsidRPr="00AD70FF">
              <w:rPr>
                <w:rFonts w:cs="Arial"/>
                <w:color w:val="auto"/>
                <w:sz w:val="22"/>
                <w:szCs w:val="22"/>
                <w:vertAlign w:val="superscript"/>
              </w:rPr>
              <w:t>nd</w:t>
            </w:r>
            <w:r>
              <w:rPr>
                <w:rFonts w:cs="Arial"/>
                <w:color w:val="auto"/>
                <w:sz w:val="22"/>
                <w:szCs w:val="22"/>
              </w:rPr>
              <w:t xml:space="preserve"> term of 2014</w:t>
            </w:r>
          </w:p>
        </w:tc>
      </w:tr>
      <w:tr w:rsidR="00100427" w:rsidRPr="00DD6FA0" w:rsidTr="00AB0E74">
        <w:trPr>
          <w:trHeight w:val="856"/>
        </w:trPr>
        <w:tc>
          <w:tcPr>
            <w:tcW w:w="0" w:type="auto"/>
          </w:tcPr>
          <w:p w:rsidR="00100427" w:rsidRDefault="00100427" w:rsidP="00DE011C">
            <w:pPr>
              <w:autoSpaceDE w:val="0"/>
              <w:autoSpaceDN w:val="0"/>
              <w:adjustRightInd w:val="0"/>
              <w:jc w:val="both"/>
              <w:rPr>
                <w:rFonts w:cs="Arial"/>
                <w:sz w:val="22"/>
                <w:szCs w:val="22"/>
              </w:rPr>
            </w:pPr>
            <w:r>
              <w:rPr>
                <w:rFonts w:cs="Arial"/>
                <w:sz w:val="22"/>
                <w:szCs w:val="22"/>
              </w:rPr>
              <w:t>Municipal Systems Infrastructure Grant</w:t>
            </w:r>
          </w:p>
        </w:tc>
        <w:tc>
          <w:tcPr>
            <w:tcW w:w="0" w:type="auto"/>
            <w:tcBorders>
              <w:top w:val="single" w:sz="4" w:space="0" w:color="auto"/>
            </w:tcBorders>
          </w:tcPr>
          <w:p w:rsidR="00100427" w:rsidRDefault="00100427" w:rsidP="00AB0E74">
            <w:pPr>
              <w:tabs>
                <w:tab w:val="left" w:pos="5040"/>
              </w:tabs>
              <w:jc w:val="both"/>
              <w:rPr>
                <w:rFonts w:cs="Arial"/>
                <w:sz w:val="22"/>
                <w:szCs w:val="22"/>
              </w:rPr>
            </w:pPr>
            <w:r>
              <w:rPr>
                <w:rFonts w:cs="Arial"/>
                <w:sz w:val="22"/>
                <w:szCs w:val="22"/>
              </w:rPr>
              <w:t>Report on the gaps the Department is experiencing with regard to the administration of the MSIG.</w:t>
            </w:r>
          </w:p>
        </w:tc>
        <w:tc>
          <w:tcPr>
            <w:tcW w:w="0" w:type="auto"/>
            <w:tcBorders>
              <w:top w:val="single" w:sz="4" w:space="0" w:color="auto"/>
            </w:tcBorders>
          </w:tcPr>
          <w:p w:rsidR="00100427" w:rsidRDefault="00100427" w:rsidP="00FE1F35">
            <w:pPr>
              <w:autoSpaceDE w:val="0"/>
              <w:autoSpaceDN w:val="0"/>
              <w:adjustRightInd w:val="0"/>
              <w:jc w:val="both"/>
              <w:rPr>
                <w:rFonts w:cs="Arial"/>
                <w:color w:val="auto"/>
                <w:sz w:val="22"/>
                <w:szCs w:val="22"/>
              </w:rPr>
            </w:pPr>
            <w:r>
              <w:rPr>
                <w:rFonts w:cs="Arial"/>
                <w:color w:val="auto"/>
                <w:sz w:val="22"/>
                <w:szCs w:val="22"/>
              </w:rPr>
              <w:t>2</w:t>
            </w:r>
            <w:r w:rsidRPr="002D3B9D">
              <w:rPr>
                <w:rFonts w:cs="Arial"/>
                <w:color w:val="auto"/>
                <w:sz w:val="22"/>
                <w:szCs w:val="22"/>
                <w:vertAlign w:val="superscript"/>
              </w:rPr>
              <w:t>nd</w:t>
            </w:r>
            <w:r>
              <w:rPr>
                <w:rFonts w:cs="Arial"/>
                <w:color w:val="auto"/>
                <w:sz w:val="22"/>
                <w:szCs w:val="22"/>
              </w:rPr>
              <w:t xml:space="preserve"> term of 2014</w:t>
            </w:r>
          </w:p>
        </w:tc>
      </w:tr>
    </w:tbl>
    <w:p w:rsidR="00100427" w:rsidRPr="00DD6FA0" w:rsidRDefault="00100427" w:rsidP="009D3A30">
      <w:pPr>
        <w:jc w:val="both"/>
        <w:rPr>
          <w:rFonts w:cs="Arial"/>
          <w:sz w:val="22"/>
          <w:szCs w:val="22"/>
        </w:rPr>
      </w:pPr>
    </w:p>
    <w:p w:rsidR="00100427" w:rsidRPr="00DD6FA0" w:rsidRDefault="00100427" w:rsidP="009D3A30">
      <w:pPr>
        <w:jc w:val="both"/>
        <w:rPr>
          <w:rFonts w:cs="Arial"/>
          <w:sz w:val="22"/>
          <w:szCs w:val="22"/>
        </w:rPr>
      </w:pPr>
    </w:p>
    <w:p w:rsidR="00100427" w:rsidRDefault="00100427" w:rsidP="004F06BC">
      <w:pPr>
        <w:pStyle w:val="ListParagraph"/>
        <w:numPr>
          <w:ilvl w:val="0"/>
          <w:numId w:val="1"/>
        </w:numPr>
        <w:spacing w:after="0" w:line="280" w:lineRule="exact"/>
        <w:jc w:val="both"/>
        <w:rPr>
          <w:rFonts w:ascii="Arial" w:hAnsi="Arial" w:cs="Arial"/>
          <w:b/>
          <w:caps/>
        </w:rPr>
      </w:pPr>
      <w:r w:rsidRPr="00DD6FA0">
        <w:rPr>
          <w:rFonts w:ascii="Arial" w:hAnsi="Arial" w:cs="Arial"/>
          <w:b/>
          <w:caps/>
        </w:rPr>
        <w:t>Recommendations</w:t>
      </w:r>
    </w:p>
    <w:p w:rsidR="00100427" w:rsidRDefault="00100427" w:rsidP="004F06BC">
      <w:pPr>
        <w:pStyle w:val="ListParagraph"/>
        <w:spacing w:after="0" w:line="280" w:lineRule="exact"/>
        <w:ind w:left="360"/>
        <w:jc w:val="both"/>
        <w:rPr>
          <w:rFonts w:ascii="Arial" w:hAnsi="Arial" w:cs="Arial"/>
          <w:b/>
          <w:caps/>
        </w:rPr>
      </w:pPr>
    </w:p>
    <w:p w:rsidR="00100427" w:rsidRPr="00B80056" w:rsidRDefault="00100427" w:rsidP="004F06BC">
      <w:pPr>
        <w:pStyle w:val="ListParagraph"/>
        <w:numPr>
          <w:ilvl w:val="1"/>
          <w:numId w:val="1"/>
        </w:numPr>
        <w:spacing w:after="0" w:line="280" w:lineRule="exact"/>
        <w:jc w:val="both"/>
        <w:rPr>
          <w:rFonts w:ascii="Arial" w:hAnsi="Arial" w:cs="Arial"/>
          <w:b/>
          <w:caps/>
        </w:rPr>
      </w:pPr>
      <w:r w:rsidRPr="004F06BC">
        <w:rPr>
          <w:rFonts w:ascii="Arial" w:hAnsi="Arial" w:cs="Arial"/>
          <w:b/>
        </w:rPr>
        <w:t>Financial performance including forward funding recommendations</w:t>
      </w:r>
    </w:p>
    <w:p w:rsidR="00100427" w:rsidRDefault="00100427" w:rsidP="00B80056">
      <w:pPr>
        <w:pStyle w:val="ListParagraph"/>
        <w:spacing w:after="0" w:line="280" w:lineRule="exact"/>
        <w:jc w:val="both"/>
        <w:rPr>
          <w:rFonts w:ascii="Arial" w:hAnsi="Arial" w:cs="Arial"/>
          <w:b/>
        </w:rPr>
      </w:pPr>
    </w:p>
    <w:p w:rsidR="00100427" w:rsidRPr="003161A2" w:rsidRDefault="00100427" w:rsidP="00E56A9D">
      <w:pPr>
        <w:numPr>
          <w:ilvl w:val="0"/>
          <w:numId w:val="3"/>
        </w:numPr>
        <w:jc w:val="both"/>
        <w:rPr>
          <w:rFonts w:cs="Arial"/>
          <w:sz w:val="22"/>
          <w:szCs w:val="22"/>
        </w:rPr>
      </w:pPr>
      <w:r w:rsidRPr="005D2900">
        <w:rPr>
          <w:rFonts w:cs="Arial"/>
          <w:sz w:val="22"/>
          <w:szCs w:val="22"/>
        </w:rPr>
        <w:t>The Department of Traditional Affairs is still reflected as a separate Programme (Programme 7) in Vote 3- Cooperative Governance and Traditional Affairs</w:t>
      </w:r>
      <w:r>
        <w:rPr>
          <w:rFonts w:cs="Arial"/>
          <w:sz w:val="22"/>
          <w:szCs w:val="22"/>
        </w:rPr>
        <w:t xml:space="preserve">. As in the previous BRR Report the Committee recommends that the </w:t>
      </w:r>
      <w:r w:rsidRPr="005D2900">
        <w:rPr>
          <w:rFonts w:cs="Arial"/>
          <w:sz w:val="22"/>
          <w:szCs w:val="22"/>
        </w:rPr>
        <w:t>Department</w:t>
      </w:r>
      <w:r>
        <w:rPr>
          <w:rFonts w:cs="Arial"/>
          <w:sz w:val="22"/>
          <w:szCs w:val="22"/>
        </w:rPr>
        <w:t xml:space="preserve"> finalises its</w:t>
      </w:r>
      <w:r w:rsidRPr="005D2900">
        <w:rPr>
          <w:rFonts w:cs="Arial"/>
          <w:sz w:val="22"/>
          <w:szCs w:val="22"/>
        </w:rPr>
        <w:t xml:space="preserve"> consultation with the </w:t>
      </w:r>
      <w:r>
        <w:rPr>
          <w:rFonts w:cs="Arial"/>
          <w:sz w:val="22"/>
          <w:szCs w:val="22"/>
        </w:rPr>
        <w:t>National Treasury on this matter as soon as possible</w:t>
      </w:r>
      <w:r w:rsidRPr="005D2900">
        <w:rPr>
          <w:rFonts w:cs="Arial"/>
          <w:sz w:val="22"/>
          <w:szCs w:val="22"/>
        </w:rPr>
        <w:t>.</w:t>
      </w:r>
    </w:p>
    <w:p w:rsidR="00100427" w:rsidRPr="002030BC" w:rsidRDefault="00100427" w:rsidP="00E56A9D">
      <w:pPr>
        <w:pStyle w:val="ListParagraph"/>
        <w:numPr>
          <w:ilvl w:val="0"/>
          <w:numId w:val="3"/>
        </w:numPr>
        <w:spacing w:after="0" w:line="280" w:lineRule="exact"/>
        <w:jc w:val="both"/>
        <w:rPr>
          <w:rFonts w:ascii="Arial" w:hAnsi="Arial" w:cs="Arial"/>
          <w:b/>
          <w:caps/>
        </w:rPr>
      </w:pPr>
      <w:r>
        <w:rPr>
          <w:rFonts w:ascii="Arial" w:hAnsi="Arial" w:cs="Arial"/>
          <w:color w:val="000000"/>
          <w:kern w:val="24"/>
        </w:rPr>
        <w:t>The Committee notes the non-</w:t>
      </w:r>
      <w:r w:rsidRPr="00530CF8">
        <w:rPr>
          <w:rFonts w:ascii="Arial" w:hAnsi="Arial" w:cs="Arial"/>
          <w:color w:val="000000"/>
          <w:kern w:val="24"/>
        </w:rPr>
        <w:t xml:space="preserve">utilisation of </w:t>
      </w:r>
      <w:r>
        <w:rPr>
          <w:rFonts w:ascii="Arial" w:hAnsi="Arial" w:cs="Arial"/>
          <w:color w:val="000000"/>
          <w:kern w:val="24"/>
        </w:rPr>
        <w:t xml:space="preserve">the </w:t>
      </w:r>
      <w:r w:rsidRPr="00530CF8">
        <w:rPr>
          <w:rFonts w:ascii="Arial" w:hAnsi="Arial" w:cs="Arial"/>
          <w:color w:val="000000"/>
          <w:kern w:val="24"/>
        </w:rPr>
        <w:t>Municipal Systems Infrastructure Grant (MSIG) for capacity building</w:t>
      </w:r>
      <w:r>
        <w:rPr>
          <w:rFonts w:ascii="Arial" w:hAnsi="Arial" w:cs="Arial"/>
          <w:color w:val="000000"/>
          <w:kern w:val="24"/>
        </w:rPr>
        <w:t xml:space="preserve"> and recommends that the Grant be used for capacity building in municipalities. </w:t>
      </w:r>
    </w:p>
    <w:p w:rsidR="00100427" w:rsidRPr="00FE05E9" w:rsidRDefault="00100427" w:rsidP="00E56A9D">
      <w:pPr>
        <w:pStyle w:val="ListParagraph"/>
        <w:numPr>
          <w:ilvl w:val="0"/>
          <w:numId w:val="3"/>
        </w:numPr>
        <w:spacing w:after="0" w:line="280" w:lineRule="exact"/>
        <w:jc w:val="both"/>
        <w:rPr>
          <w:rFonts w:ascii="Arial" w:hAnsi="Arial" w:cs="Arial"/>
          <w:b/>
          <w:caps/>
        </w:rPr>
      </w:pPr>
      <w:r w:rsidRPr="00DB58E7">
        <w:rPr>
          <w:rFonts w:ascii="Arial" w:hAnsi="Arial" w:cs="Arial"/>
          <w:b/>
          <w:i/>
          <w:color w:val="000000"/>
          <w:kern w:val="24"/>
        </w:rPr>
        <w:t>Municipal Infrastructure Grant expenditure</w:t>
      </w:r>
      <w:r w:rsidRPr="002030BC">
        <w:rPr>
          <w:rFonts w:ascii="Arial" w:hAnsi="Arial" w:cs="Arial"/>
          <w:i/>
          <w:color w:val="000000"/>
          <w:kern w:val="24"/>
        </w:rPr>
        <w:t xml:space="preserve">: </w:t>
      </w:r>
      <w:r>
        <w:rPr>
          <w:rFonts w:ascii="Arial" w:hAnsi="Arial" w:cs="Arial"/>
          <w:color w:val="000000"/>
          <w:kern w:val="24"/>
        </w:rPr>
        <w:t xml:space="preserve">The Committee recommends that the </w:t>
      </w:r>
      <w:r>
        <w:rPr>
          <w:rFonts w:ascii="Arial" w:hAnsi="Arial" w:cs="Arial"/>
        </w:rPr>
        <w:t>Department</w:t>
      </w:r>
      <w:r w:rsidRPr="002030BC">
        <w:rPr>
          <w:rFonts w:ascii="Arial" w:hAnsi="Arial" w:cs="Arial"/>
        </w:rPr>
        <w:t xml:space="preserve"> provide</w:t>
      </w:r>
      <w:r>
        <w:rPr>
          <w:rFonts w:ascii="Arial" w:hAnsi="Arial" w:cs="Arial"/>
        </w:rPr>
        <w:t>s</w:t>
      </w:r>
      <w:r w:rsidRPr="002030BC">
        <w:rPr>
          <w:rFonts w:ascii="Arial" w:hAnsi="Arial" w:cs="Arial"/>
        </w:rPr>
        <w:t xml:space="preserve"> a roll</w:t>
      </w:r>
      <w:r>
        <w:rPr>
          <w:rFonts w:ascii="Arial" w:hAnsi="Arial" w:cs="Arial"/>
        </w:rPr>
        <w:t>-</w:t>
      </w:r>
      <w:r w:rsidRPr="002030BC">
        <w:rPr>
          <w:rFonts w:ascii="Arial" w:hAnsi="Arial" w:cs="Arial"/>
        </w:rPr>
        <w:t>out pl</w:t>
      </w:r>
      <w:r>
        <w:rPr>
          <w:rFonts w:ascii="Arial" w:hAnsi="Arial" w:cs="Arial"/>
        </w:rPr>
        <w:t>an on steps to improve MIG spending</w:t>
      </w:r>
      <w:r w:rsidRPr="002030BC">
        <w:rPr>
          <w:rFonts w:ascii="Arial" w:hAnsi="Arial" w:cs="Arial"/>
        </w:rPr>
        <w:t xml:space="preserve"> in those municipalities not covered by</w:t>
      </w:r>
      <w:r>
        <w:rPr>
          <w:rFonts w:ascii="Arial" w:hAnsi="Arial" w:cs="Arial"/>
        </w:rPr>
        <w:t xml:space="preserve"> the</w:t>
      </w:r>
      <w:r w:rsidRPr="002030BC">
        <w:rPr>
          <w:rFonts w:ascii="Arial" w:hAnsi="Arial" w:cs="Arial"/>
        </w:rPr>
        <w:t xml:space="preserve"> MISA programme.</w:t>
      </w:r>
      <w:r>
        <w:rPr>
          <w:rFonts w:ascii="Arial" w:hAnsi="Arial" w:cs="Arial"/>
        </w:rPr>
        <w:t xml:space="preserve"> Secondly,</w:t>
      </w:r>
      <w:r w:rsidRPr="002030BC">
        <w:rPr>
          <w:rFonts w:ascii="Arial" w:hAnsi="Arial" w:cs="Arial"/>
        </w:rPr>
        <w:t xml:space="preserve"> a system of flagging </w:t>
      </w:r>
      <w:r>
        <w:rPr>
          <w:rFonts w:ascii="Arial" w:hAnsi="Arial" w:cs="Arial"/>
        </w:rPr>
        <w:t xml:space="preserve">should be introduced </w:t>
      </w:r>
      <w:r w:rsidRPr="002030BC">
        <w:rPr>
          <w:rFonts w:ascii="Arial" w:hAnsi="Arial" w:cs="Arial"/>
        </w:rPr>
        <w:t>during the course of the year in order to identify any obstacles in municipalities and assist</w:t>
      </w:r>
      <w:r>
        <w:rPr>
          <w:rFonts w:ascii="Arial" w:hAnsi="Arial" w:cs="Arial"/>
        </w:rPr>
        <w:t xml:space="preserve"> them to address these immediately, rather than wait</w:t>
      </w:r>
      <w:r w:rsidRPr="002030BC">
        <w:rPr>
          <w:rFonts w:ascii="Arial" w:hAnsi="Arial" w:cs="Arial"/>
        </w:rPr>
        <w:t xml:space="preserve"> for the end of the year.</w:t>
      </w:r>
      <w:r>
        <w:rPr>
          <w:rFonts w:ascii="Arial" w:hAnsi="Arial" w:cs="Arial"/>
        </w:rPr>
        <w:t xml:space="preserve"> MISA should</w:t>
      </w:r>
      <w:r w:rsidRPr="002B5474">
        <w:rPr>
          <w:rFonts w:ascii="Arial" w:hAnsi="Arial" w:cs="Arial"/>
        </w:rPr>
        <w:t xml:space="preserve"> provide fixed targets and provide regular reports to</w:t>
      </w:r>
      <w:r>
        <w:rPr>
          <w:rFonts w:ascii="Arial" w:hAnsi="Arial" w:cs="Arial"/>
        </w:rPr>
        <w:t xml:space="preserve"> the C</w:t>
      </w:r>
      <w:r w:rsidRPr="002B5474">
        <w:rPr>
          <w:rFonts w:ascii="Arial" w:hAnsi="Arial" w:cs="Arial"/>
        </w:rPr>
        <w:t>ommittee on progress against these targets</w:t>
      </w:r>
      <w:r>
        <w:rPr>
          <w:rFonts w:ascii="Arial" w:hAnsi="Arial" w:cs="Arial"/>
        </w:rPr>
        <w:t>. Quarterly reports in this regard are expected by the Committee.</w:t>
      </w:r>
    </w:p>
    <w:p w:rsidR="00100427" w:rsidRPr="00FE05E9" w:rsidRDefault="00100427" w:rsidP="00E56A9D">
      <w:pPr>
        <w:pStyle w:val="ListParagraph"/>
        <w:numPr>
          <w:ilvl w:val="0"/>
          <w:numId w:val="3"/>
        </w:numPr>
        <w:spacing w:after="0" w:line="280" w:lineRule="exact"/>
        <w:jc w:val="both"/>
        <w:rPr>
          <w:rFonts w:ascii="Arial" w:hAnsi="Arial" w:cs="Arial"/>
          <w:b/>
          <w:caps/>
        </w:rPr>
      </w:pPr>
      <w:r w:rsidRPr="00FE05E9">
        <w:rPr>
          <w:rFonts w:ascii="Arial" w:hAnsi="Arial" w:cs="Arial"/>
          <w:b/>
          <w:i/>
          <w:color w:val="000000"/>
          <w:kern w:val="24"/>
        </w:rPr>
        <w:t xml:space="preserve">Intergovernmental debt: </w:t>
      </w:r>
      <w:r w:rsidRPr="00FE05E9">
        <w:rPr>
          <w:rFonts w:ascii="Arial" w:hAnsi="Arial" w:cs="Arial"/>
        </w:rPr>
        <w:t xml:space="preserve">The Committee notes the progress made on reducing intergovernmental debt. However, there are still substantial amounts of monies owed to municipalities. In most instances current accounts are being honoured but the </w:t>
      </w:r>
      <w:r>
        <w:rPr>
          <w:rFonts w:ascii="Arial" w:hAnsi="Arial" w:cs="Arial"/>
        </w:rPr>
        <w:t xml:space="preserve">recovering of </w:t>
      </w:r>
      <w:r w:rsidRPr="00FE05E9">
        <w:rPr>
          <w:rFonts w:ascii="Arial" w:hAnsi="Arial" w:cs="Arial"/>
        </w:rPr>
        <w:t>old debts</w:t>
      </w:r>
      <w:r>
        <w:rPr>
          <w:rFonts w:ascii="Arial" w:hAnsi="Arial" w:cs="Arial"/>
        </w:rPr>
        <w:t xml:space="preserve">” remains a </w:t>
      </w:r>
      <w:r w:rsidRPr="00FE05E9">
        <w:rPr>
          <w:rFonts w:ascii="Arial" w:hAnsi="Arial" w:cs="Arial"/>
        </w:rPr>
        <w:t xml:space="preserve">challenge </w:t>
      </w:r>
      <w:r>
        <w:rPr>
          <w:rFonts w:ascii="Arial" w:hAnsi="Arial" w:cs="Arial"/>
        </w:rPr>
        <w:t>The Committee recommends that the Department furnish it with a</w:t>
      </w:r>
      <w:r w:rsidRPr="00FE05E9">
        <w:rPr>
          <w:rFonts w:ascii="Arial" w:hAnsi="Arial" w:cs="Arial"/>
        </w:rPr>
        <w:t xml:space="preserve"> report</w:t>
      </w:r>
      <w:r>
        <w:rPr>
          <w:rFonts w:ascii="Arial" w:hAnsi="Arial" w:cs="Arial"/>
        </w:rPr>
        <w:t xml:space="preserve"> (in February 2014) on: </w:t>
      </w:r>
      <w:r w:rsidRPr="00FE05E9">
        <w:rPr>
          <w:rFonts w:ascii="Arial" w:hAnsi="Arial" w:cs="Arial"/>
        </w:rPr>
        <w:t>Outstanding debt that is owed to  municipalit</w:t>
      </w:r>
      <w:r>
        <w:rPr>
          <w:rFonts w:ascii="Arial" w:hAnsi="Arial" w:cs="Arial"/>
        </w:rPr>
        <w:t>ies</w:t>
      </w:r>
      <w:r w:rsidRPr="00FE05E9">
        <w:rPr>
          <w:rFonts w:ascii="Arial" w:hAnsi="Arial" w:cs="Arial"/>
        </w:rPr>
        <w:t xml:space="preserve"> per province</w:t>
      </w:r>
      <w:r>
        <w:rPr>
          <w:rFonts w:ascii="Arial" w:hAnsi="Arial" w:cs="Arial"/>
        </w:rPr>
        <w:t>; p</w:t>
      </w:r>
      <w:r w:rsidRPr="00FE05E9">
        <w:rPr>
          <w:rFonts w:ascii="Arial" w:hAnsi="Arial" w:cs="Arial"/>
        </w:rPr>
        <w:t>eriod of arrears</w:t>
      </w:r>
      <w:r>
        <w:rPr>
          <w:rFonts w:ascii="Arial" w:hAnsi="Arial" w:cs="Arial"/>
        </w:rPr>
        <w:t>; D</w:t>
      </w:r>
      <w:r w:rsidRPr="00FE05E9">
        <w:rPr>
          <w:rFonts w:ascii="Arial" w:hAnsi="Arial" w:cs="Arial"/>
        </w:rPr>
        <w:t>epartments</w:t>
      </w:r>
      <w:r>
        <w:rPr>
          <w:rFonts w:ascii="Arial" w:hAnsi="Arial" w:cs="Arial"/>
        </w:rPr>
        <w:t xml:space="preserve"> owing the </w:t>
      </w:r>
      <w:r>
        <w:rPr>
          <w:rFonts w:ascii="Arial" w:hAnsi="Arial" w:cs="Arial"/>
        </w:rPr>
        <w:lastRenderedPageBreak/>
        <w:t>outstanding amount; whether</w:t>
      </w:r>
      <w:r w:rsidRPr="00FE05E9">
        <w:rPr>
          <w:rFonts w:ascii="Arial" w:hAnsi="Arial" w:cs="Arial"/>
        </w:rPr>
        <w:t xml:space="preserve"> </w:t>
      </w:r>
      <w:r>
        <w:rPr>
          <w:rFonts w:ascii="Arial" w:hAnsi="Arial" w:cs="Arial"/>
        </w:rPr>
        <w:t>payments were made, c</w:t>
      </w:r>
      <w:r w:rsidRPr="00FE05E9">
        <w:rPr>
          <w:rFonts w:ascii="Arial" w:hAnsi="Arial" w:cs="Arial"/>
        </w:rPr>
        <w:t>hallenges regarding the settlement of these accounts</w:t>
      </w:r>
      <w:r>
        <w:rPr>
          <w:rFonts w:ascii="Arial" w:hAnsi="Arial" w:cs="Arial"/>
        </w:rPr>
        <w:t>;</w:t>
      </w:r>
      <w:r w:rsidRPr="00FE05E9">
        <w:rPr>
          <w:rFonts w:ascii="Arial" w:hAnsi="Arial" w:cs="Arial"/>
        </w:rPr>
        <w:t xml:space="preserve"> </w:t>
      </w:r>
      <w:r>
        <w:rPr>
          <w:rFonts w:ascii="Arial" w:hAnsi="Arial" w:cs="Arial"/>
        </w:rPr>
        <w:t xml:space="preserve">the </w:t>
      </w:r>
      <w:r w:rsidRPr="00FE05E9">
        <w:rPr>
          <w:rFonts w:ascii="Arial" w:hAnsi="Arial" w:cs="Arial"/>
        </w:rPr>
        <w:t>and</w:t>
      </w:r>
      <w:r>
        <w:rPr>
          <w:rFonts w:ascii="Arial" w:hAnsi="Arial" w:cs="Arial"/>
        </w:rPr>
        <w:t xml:space="preserve"> t</w:t>
      </w:r>
      <w:r w:rsidRPr="00FE05E9">
        <w:rPr>
          <w:rFonts w:ascii="Arial" w:hAnsi="Arial" w:cs="Arial"/>
        </w:rPr>
        <w:t xml:space="preserve">imeframe to address these challenges </w:t>
      </w:r>
      <w:r>
        <w:rPr>
          <w:rFonts w:ascii="Arial" w:hAnsi="Arial" w:cs="Arial"/>
        </w:rPr>
        <w:t>and/</w:t>
      </w:r>
      <w:r w:rsidRPr="00FE05E9">
        <w:rPr>
          <w:rFonts w:ascii="Arial" w:hAnsi="Arial" w:cs="Arial"/>
        </w:rPr>
        <w:t xml:space="preserve">or </w:t>
      </w:r>
      <w:r>
        <w:rPr>
          <w:rFonts w:ascii="Arial" w:hAnsi="Arial" w:cs="Arial"/>
        </w:rPr>
        <w:t xml:space="preserve">the </w:t>
      </w:r>
      <w:r w:rsidRPr="00FE05E9">
        <w:rPr>
          <w:rFonts w:ascii="Arial" w:hAnsi="Arial" w:cs="Arial"/>
        </w:rPr>
        <w:t>settlement of the accounts</w:t>
      </w:r>
      <w:r>
        <w:rPr>
          <w:rFonts w:ascii="Arial" w:hAnsi="Arial" w:cs="Arial"/>
        </w:rPr>
        <w:t>.</w:t>
      </w:r>
    </w:p>
    <w:p w:rsidR="00100427" w:rsidRPr="004F06BC" w:rsidRDefault="00100427" w:rsidP="003161A2">
      <w:pPr>
        <w:pStyle w:val="ListParagraph"/>
        <w:spacing w:after="0" w:line="280" w:lineRule="exact"/>
        <w:jc w:val="both"/>
        <w:rPr>
          <w:rFonts w:ascii="Arial" w:hAnsi="Arial" w:cs="Arial"/>
          <w:b/>
          <w:caps/>
        </w:rPr>
      </w:pPr>
    </w:p>
    <w:p w:rsidR="00100427" w:rsidRPr="00E119FE" w:rsidRDefault="00100427" w:rsidP="004F06BC">
      <w:pPr>
        <w:pStyle w:val="ListParagraph"/>
        <w:numPr>
          <w:ilvl w:val="1"/>
          <w:numId w:val="1"/>
        </w:numPr>
        <w:spacing w:after="0" w:line="280" w:lineRule="exact"/>
        <w:jc w:val="both"/>
        <w:rPr>
          <w:rFonts w:ascii="Arial" w:hAnsi="Arial" w:cs="Arial"/>
          <w:b/>
          <w:caps/>
        </w:rPr>
      </w:pPr>
      <w:r w:rsidRPr="004F06BC">
        <w:rPr>
          <w:rFonts w:ascii="Arial" w:hAnsi="Arial" w:cs="Arial"/>
          <w:b/>
        </w:rPr>
        <w:t>Performance related recommendations</w:t>
      </w:r>
    </w:p>
    <w:p w:rsidR="00100427" w:rsidRPr="00DB58E7" w:rsidRDefault="00100427" w:rsidP="00E119FE">
      <w:pPr>
        <w:pStyle w:val="ListParagraph"/>
        <w:spacing w:after="0" w:line="280" w:lineRule="exact"/>
        <w:jc w:val="both"/>
        <w:rPr>
          <w:rFonts w:ascii="Arial" w:hAnsi="Arial" w:cs="Arial"/>
        </w:rPr>
      </w:pPr>
    </w:p>
    <w:p w:rsidR="00100427" w:rsidRPr="003315B2" w:rsidRDefault="00100427" w:rsidP="00E56A9D">
      <w:pPr>
        <w:pStyle w:val="ListParagraph"/>
        <w:numPr>
          <w:ilvl w:val="0"/>
          <w:numId w:val="10"/>
        </w:numPr>
        <w:spacing w:after="0" w:line="280" w:lineRule="exact"/>
        <w:jc w:val="both"/>
        <w:rPr>
          <w:rFonts w:ascii="Arial" w:hAnsi="Arial" w:cs="Arial"/>
          <w:i/>
          <w:caps/>
        </w:rPr>
      </w:pPr>
      <w:r w:rsidRPr="00DB58E7">
        <w:rPr>
          <w:rFonts w:ascii="Arial" w:hAnsi="Arial" w:cs="Arial"/>
          <w:b/>
          <w:i/>
        </w:rPr>
        <w:t>Policy and legislative projects</w:t>
      </w:r>
      <w:r>
        <w:rPr>
          <w:rFonts w:ascii="Arial" w:hAnsi="Arial" w:cs="Arial"/>
          <w:i/>
        </w:rPr>
        <w:t xml:space="preserve">: </w:t>
      </w:r>
      <w:r>
        <w:rPr>
          <w:rFonts w:ascii="Arial" w:hAnsi="Arial" w:cs="Arial"/>
        </w:rPr>
        <w:t>The Portfolio Committee has registered dissatisfaction with the Department’s procedural handling of policy and legislative projects, such as the Municipal Property Rates Amendment Bill and National Traditional Affairs Amendment Bill. It is recommended that the Department be more consultative with Parliament on its legislative and policy endeavours.</w:t>
      </w:r>
    </w:p>
    <w:p w:rsidR="00100427" w:rsidRPr="007F41BD" w:rsidRDefault="00100427" w:rsidP="00E56A9D">
      <w:pPr>
        <w:pStyle w:val="ListParagraph"/>
        <w:numPr>
          <w:ilvl w:val="0"/>
          <w:numId w:val="10"/>
        </w:numPr>
        <w:spacing w:after="0" w:line="280" w:lineRule="exact"/>
        <w:jc w:val="both"/>
        <w:rPr>
          <w:rFonts w:ascii="Arial" w:hAnsi="Arial" w:cs="Arial"/>
          <w:i/>
          <w:caps/>
        </w:rPr>
      </w:pPr>
      <w:r w:rsidRPr="00DB58E7">
        <w:rPr>
          <w:rFonts w:ascii="Arial" w:hAnsi="Arial" w:cs="Arial"/>
          <w:b/>
          <w:i/>
        </w:rPr>
        <w:t>Section 139 Interventions</w:t>
      </w:r>
      <w:r>
        <w:rPr>
          <w:rFonts w:ascii="Arial" w:hAnsi="Arial" w:cs="Arial"/>
          <w:i/>
        </w:rPr>
        <w:t>:</w:t>
      </w:r>
      <w:r>
        <w:rPr>
          <w:rFonts w:ascii="Arial" w:hAnsi="Arial" w:cs="Arial"/>
          <w:i/>
          <w:caps/>
        </w:rPr>
        <w:t xml:space="preserve"> </w:t>
      </w:r>
      <w:r>
        <w:rPr>
          <w:rFonts w:ascii="Arial" w:hAnsi="Arial" w:cs="Arial"/>
        </w:rPr>
        <w:t>Currently, legislation does not provide for the involvement of district municipalities in interventions into local municipalities. The Committee recommends that the involvement of the districts be considered.</w:t>
      </w:r>
    </w:p>
    <w:p w:rsidR="00100427" w:rsidRPr="007F41BD" w:rsidRDefault="00100427" w:rsidP="00E56A9D">
      <w:pPr>
        <w:pStyle w:val="ListParagraph"/>
        <w:numPr>
          <w:ilvl w:val="0"/>
          <w:numId w:val="10"/>
        </w:numPr>
        <w:spacing w:after="0" w:line="280" w:lineRule="exact"/>
        <w:jc w:val="both"/>
        <w:rPr>
          <w:rFonts w:ascii="Arial" w:hAnsi="Arial" w:cs="Arial"/>
          <w:i/>
          <w:caps/>
        </w:rPr>
      </w:pPr>
      <w:r w:rsidRPr="007F41BD">
        <w:rPr>
          <w:rFonts w:ascii="Arial" w:hAnsi="Arial" w:cs="Arial"/>
          <w:b/>
          <w:i/>
        </w:rPr>
        <w:t>Strengthening measures to fight corruption and unethical conduct</w:t>
      </w:r>
      <w:r w:rsidRPr="007F41BD">
        <w:rPr>
          <w:rFonts w:ascii="Arial" w:hAnsi="Arial" w:cs="Arial"/>
          <w:i/>
        </w:rPr>
        <w:t>:</w:t>
      </w:r>
      <w:r w:rsidRPr="007F41BD">
        <w:rPr>
          <w:rFonts w:ascii="Arial" w:hAnsi="Arial" w:cs="Arial"/>
          <w:i/>
          <w:caps/>
        </w:rPr>
        <w:t xml:space="preserve"> </w:t>
      </w:r>
      <w:r w:rsidRPr="007F41BD">
        <w:rPr>
          <w:rFonts w:ascii="Arial" w:hAnsi="Arial" w:cs="Arial"/>
        </w:rPr>
        <w:t>While noting the partnerships created between the Department, the Hawks and the Special Investigating Unit, the Committee recommends that the Department should: ensure full compliance with the MFMA and the PFMA; ensure that criminal charges are pursued against those found guilty of misconduct and in this regard a multi-agency approach should be used; and identify 4 priority cases to pursue against guilty parties</w:t>
      </w:r>
      <w:r>
        <w:rPr>
          <w:rFonts w:ascii="Arial" w:hAnsi="Arial" w:cs="Arial"/>
        </w:rPr>
        <w:t xml:space="preserve"> </w:t>
      </w:r>
      <w:r w:rsidRPr="007F41BD">
        <w:rPr>
          <w:rFonts w:ascii="Arial" w:hAnsi="Arial" w:cs="Arial"/>
        </w:rPr>
        <w:t>and report back to the Committee on progress against these prosecutions. Quarterly progress reports on these recommendations should be provided to the Committee.</w:t>
      </w:r>
      <w:r>
        <w:rPr>
          <w:rFonts w:ascii="Arial" w:hAnsi="Arial" w:cs="Arial"/>
        </w:rPr>
        <w:t xml:space="preserve"> The C</w:t>
      </w:r>
      <w:r w:rsidRPr="007F41BD">
        <w:rPr>
          <w:rFonts w:ascii="Arial" w:hAnsi="Arial" w:cs="Arial"/>
        </w:rPr>
        <w:t xml:space="preserve">ommittee </w:t>
      </w:r>
      <w:r>
        <w:rPr>
          <w:rFonts w:ascii="Arial" w:hAnsi="Arial" w:cs="Arial"/>
        </w:rPr>
        <w:t xml:space="preserve">also </w:t>
      </w:r>
      <w:r w:rsidRPr="007F41BD">
        <w:rPr>
          <w:rFonts w:ascii="Arial" w:hAnsi="Arial" w:cs="Arial"/>
        </w:rPr>
        <w:t>observes that</w:t>
      </w:r>
      <w:r>
        <w:rPr>
          <w:rFonts w:ascii="Arial" w:hAnsi="Arial" w:cs="Arial"/>
        </w:rPr>
        <w:t xml:space="preserve"> the roles and functions of the Department’s Anti-Corruption</w:t>
      </w:r>
      <w:r w:rsidRPr="007F41BD">
        <w:rPr>
          <w:rFonts w:ascii="Arial" w:hAnsi="Arial" w:cs="Arial"/>
        </w:rPr>
        <w:t xml:space="preserve"> </w:t>
      </w:r>
      <w:r>
        <w:rPr>
          <w:rFonts w:ascii="Arial" w:hAnsi="Arial" w:cs="Arial"/>
        </w:rPr>
        <w:t>I</w:t>
      </w:r>
      <w:r w:rsidRPr="007F41BD">
        <w:rPr>
          <w:rFonts w:ascii="Arial" w:hAnsi="Arial" w:cs="Arial"/>
        </w:rPr>
        <w:t>nspectorate are not well defined in relation to other structures dealing with corruption.</w:t>
      </w:r>
      <w:r>
        <w:rPr>
          <w:rFonts w:ascii="Arial" w:hAnsi="Arial" w:cs="Arial"/>
        </w:rPr>
        <w:t xml:space="preserve"> In this regard the Committee is not satisfied with manner in which the Department has responded to the Committee’s repeated queries on this matter. The Committee recommends that Department provides a satisfactory presentation on the issue.</w:t>
      </w:r>
    </w:p>
    <w:p w:rsidR="00100427" w:rsidRPr="00CC44E4" w:rsidRDefault="00100427" w:rsidP="00E56A9D">
      <w:pPr>
        <w:pStyle w:val="ListParagraph"/>
        <w:numPr>
          <w:ilvl w:val="0"/>
          <w:numId w:val="10"/>
        </w:numPr>
        <w:spacing w:after="0" w:line="280" w:lineRule="exact"/>
        <w:jc w:val="both"/>
        <w:rPr>
          <w:rFonts w:ascii="Arial" w:hAnsi="Arial" w:cs="Arial"/>
          <w:i/>
          <w:caps/>
        </w:rPr>
      </w:pPr>
      <w:r w:rsidRPr="00DB58E7">
        <w:rPr>
          <w:rFonts w:ascii="Arial" w:hAnsi="Arial" w:cs="Arial"/>
          <w:b/>
          <w:i/>
        </w:rPr>
        <w:t>Disbursement of disaster funding</w:t>
      </w:r>
      <w:r w:rsidRPr="002709E3">
        <w:rPr>
          <w:rFonts w:ascii="Arial" w:hAnsi="Arial" w:cs="Arial"/>
          <w:i/>
        </w:rPr>
        <w:t xml:space="preserve">: </w:t>
      </w:r>
      <w:r w:rsidRPr="002709E3">
        <w:rPr>
          <w:rFonts w:ascii="Arial" w:hAnsi="Arial" w:cs="Arial"/>
        </w:rPr>
        <w:t>While noting and welcoming the marginal increase in allocation for Programme 4, the Committee also observes that the disbursement of disaster funding has been slow and un</w:t>
      </w:r>
      <w:r>
        <w:rPr>
          <w:rFonts w:ascii="Arial" w:hAnsi="Arial" w:cs="Arial"/>
        </w:rPr>
        <w:t>-</w:t>
      </w:r>
      <w:r w:rsidRPr="002709E3">
        <w:rPr>
          <w:rFonts w:ascii="Arial" w:hAnsi="Arial" w:cs="Arial"/>
        </w:rPr>
        <w:t>co</w:t>
      </w:r>
      <w:r>
        <w:rPr>
          <w:rFonts w:ascii="Arial" w:hAnsi="Arial" w:cs="Arial"/>
        </w:rPr>
        <w:t>ordinated.  Damage recurs</w:t>
      </w:r>
      <w:r w:rsidRPr="002709E3">
        <w:rPr>
          <w:rFonts w:ascii="Arial" w:hAnsi="Arial" w:cs="Arial"/>
        </w:rPr>
        <w:t xml:space="preserve"> and people remain in the same or in a worse situation than before. </w:t>
      </w:r>
      <w:r>
        <w:rPr>
          <w:rFonts w:ascii="Arial" w:hAnsi="Arial" w:cs="Arial"/>
        </w:rPr>
        <w:t>The Committee recommends that a</w:t>
      </w:r>
      <w:r w:rsidRPr="002709E3">
        <w:rPr>
          <w:rFonts w:ascii="Arial" w:hAnsi="Arial" w:cs="Arial"/>
        </w:rPr>
        <w:t xml:space="preserve"> more effective and efficient way of assessing disaster areas and dispersing of disaster funding should be formulated.</w:t>
      </w:r>
      <w:r>
        <w:rPr>
          <w:rFonts w:ascii="Arial" w:hAnsi="Arial" w:cs="Arial"/>
        </w:rPr>
        <w:t xml:space="preserve"> An i</w:t>
      </w:r>
      <w:r w:rsidRPr="002709E3">
        <w:rPr>
          <w:rFonts w:ascii="Arial" w:hAnsi="Arial" w:cs="Arial"/>
        </w:rPr>
        <w:t>ntervention strategy should</w:t>
      </w:r>
      <w:r>
        <w:rPr>
          <w:rFonts w:ascii="Arial" w:hAnsi="Arial" w:cs="Arial"/>
        </w:rPr>
        <w:t xml:space="preserve"> ideally</w:t>
      </w:r>
      <w:r w:rsidRPr="002709E3">
        <w:rPr>
          <w:rFonts w:ascii="Arial" w:hAnsi="Arial" w:cs="Arial"/>
        </w:rPr>
        <w:t xml:space="preserve"> have</w:t>
      </w:r>
      <w:r>
        <w:rPr>
          <w:rFonts w:ascii="Arial" w:hAnsi="Arial" w:cs="Arial"/>
        </w:rPr>
        <w:t xml:space="preserve"> the following components</w:t>
      </w:r>
      <w:r w:rsidRPr="002709E3">
        <w:rPr>
          <w:rFonts w:ascii="Arial" w:hAnsi="Arial" w:cs="Arial"/>
        </w:rPr>
        <w:t>:</w:t>
      </w:r>
      <w:r w:rsidRPr="00A5657B">
        <w:rPr>
          <w:rFonts w:ascii="Arial" w:hAnsi="Arial" w:cs="Arial"/>
        </w:rPr>
        <w:t xml:space="preserve"> Immediate Term Strategy – evacuation, temporary shelter, feeding, clothing and medical assistance</w:t>
      </w:r>
      <w:r>
        <w:rPr>
          <w:rFonts w:ascii="Arial" w:hAnsi="Arial" w:cs="Arial"/>
        </w:rPr>
        <w:t xml:space="preserve">; </w:t>
      </w:r>
      <w:r w:rsidRPr="00A5657B">
        <w:rPr>
          <w:rFonts w:ascii="Arial" w:hAnsi="Arial" w:cs="Arial"/>
        </w:rPr>
        <w:t>Medium Term Strategy – Assistance with Social Services and reissue of identity documents</w:t>
      </w:r>
      <w:r>
        <w:rPr>
          <w:rFonts w:ascii="Arial" w:hAnsi="Arial" w:cs="Arial"/>
        </w:rPr>
        <w:t xml:space="preserve">; and </w:t>
      </w:r>
      <w:r w:rsidRPr="00A5657B">
        <w:rPr>
          <w:rFonts w:ascii="Arial" w:hAnsi="Arial" w:cs="Arial"/>
        </w:rPr>
        <w:t>Long Term Strategy – Rehabilitation of infrastructure.</w:t>
      </w:r>
      <w:r>
        <w:rPr>
          <w:rFonts w:ascii="Arial" w:hAnsi="Arial" w:cs="Arial"/>
          <w:i/>
          <w:caps/>
        </w:rPr>
        <w:t xml:space="preserve"> </w:t>
      </w:r>
      <w:r>
        <w:rPr>
          <w:rFonts w:ascii="Arial" w:hAnsi="Arial" w:cs="Arial"/>
        </w:rPr>
        <w:t>T</w:t>
      </w:r>
      <w:r w:rsidRPr="00DA42F9">
        <w:rPr>
          <w:rFonts w:ascii="Arial" w:hAnsi="Arial" w:cs="Arial"/>
        </w:rPr>
        <w:t>he</w:t>
      </w:r>
      <w:r>
        <w:rPr>
          <w:rFonts w:ascii="Arial" w:hAnsi="Arial" w:cs="Arial"/>
        </w:rPr>
        <w:t xml:space="preserve"> Committee further recommends that the</w:t>
      </w:r>
      <w:r w:rsidRPr="00DA42F9">
        <w:rPr>
          <w:rFonts w:ascii="Arial" w:hAnsi="Arial" w:cs="Arial"/>
        </w:rPr>
        <w:t xml:space="preserve"> </w:t>
      </w:r>
      <w:r>
        <w:rPr>
          <w:rFonts w:ascii="Arial" w:hAnsi="Arial" w:cs="Arial"/>
        </w:rPr>
        <w:t>department should make</w:t>
      </w:r>
      <w:r w:rsidRPr="00DA42F9">
        <w:rPr>
          <w:rFonts w:ascii="Arial" w:hAnsi="Arial" w:cs="Arial"/>
        </w:rPr>
        <w:t xml:space="preserve"> clear distinction</w:t>
      </w:r>
      <w:r>
        <w:rPr>
          <w:rFonts w:ascii="Arial" w:hAnsi="Arial" w:cs="Arial"/>
        </w:rPr>
        <w:t>s on</w:t>
      </w:r>
      <w:r w:rsidRPr="00DA42F9">
        <w:rPr>
          <w:rFonts w:ascii="Arial" w:hAnsi="Arial" w:cs="Arial"/>
        </w:rPr>
        <w:t xml:space="preserve"> roles and function</w:t>
      </w:r>
      <w:r>
        <w:rPr>
          <w:rFonts w:ascii="Arial" w:hAnsi="Arial" w:cs="Arial"/>
        </w:rPr>
        <w:t>s among the three spheres of government</w:t>
      </w:r>
      <w:r w:rsidRPr="00DA42F9">
        <w:rPr>
          <w:rFonts w:ascii="Arial" w:hAnsi="Arial" w:cs="Arial"/>
        </w:rPr>
        <w:t xml:space="preserve"> with regard to intervention on disaster</w:t>
      </w:r>
      <w:r>
        <w:rPr>
          <w:rFonts w:ascii="Arial" w:hAnsi="Arial" w:cs="Arial"/>
        </w:rPr>
        <w:t>-stricken areas</w:t>
      </w:r>
      <w:r w:rsidRPr="00DA42F9">
        <w:rPr>
          <w:rFonts w:ascii="Arial" w:hAnsi="Arial" w:cs="Arial"/>
        </w:rPr>
        <w:t xml:space="preserve">. </w:t>
      </w:r>
    </w:p>
    <w:p w:rsidR="00100427" w:rsidRPr="00706B42" w:rsidRDefault="00100427" w:rsidP="00E56A9D">
      <w:pPr>
        <w:pStyle w:val="ListParagraph"/>
        <w:numPr>
          <w:ilvl w:val="0"/>
          <w:numId w:val="10"/>
        </w:numPr>
        <w:spacing w:after="0" w:line="280" w:lineRule="exact"/>
        <w:jc w:val="both"/>
        <w:rPr>
          <w:rFonts w:ascii="Arial" w:hAnsi="Arial" w:cs="Arial"/>
          <w:i/>
          <w:caps/>
        </w:rPr>
      </w:pPr>
      <w:r>
        <w:rPr>
          <w:rFonts w:ascii="Arial" w:hAnsi="Arial" w:cs="Arial"/>
          <w:b/>
          <w:i/>
        </w:rPr>
        <w:t>Local Government Turnaround Strategy:</w:t>
      </w:r>
      <w:r>
        <w:rPr>
          <w:rFonts w:ascii="Arial" w:hAnsi="Arial" w:cs="Arial"/>
        </w:rPr>
        <w:t xml:space="preserve"> The Committee is still awaiting the final draft of the Local Government Turnaround Strategy, which the Department had promised to finalise by June 2013. The Committee recommends that the Department provides immediate feedback on this matter.</w:t>
      </w:r>
      <w:r w:rsidRPr="00DA42F9">
        <w:rPr>
          <w:rFonts w:ascii="Arial" w:hAnsi="Arial" w:cs="Arial"/>
        </w:rPr>
        <w:t xml:space="preserve"> </w:t>
      </w:r>
    </w:p>
    <w:p w:rsidR="00100427" w:rsidRPr="00433D31" w:rsidRDefault="00100427" w:rsidP="00E56A9D">
      <w:pPr>
        <w:pStyle w:val="ListParagraph"/>
        <w:numPr>
          <w:ilvl w:val="0"/>
          <w:numId w:val="10"/>
        </w:numPr>
        <w:spacing w:after="0" w:line="280" w:lineRule="exact"/>
        <w:jc w:val="both"/>
        <w:rPr>
          <w:rFonts w:ascii="Arial" w:hAnsi="Arial" w:cs="Arial"/>
          <w:i/>
          <w:caps/>
        </w:rPr>
      </w:pPr>
      <w:r>
        <w:rPr>
          <w:rFonts w:ascii="Arial" w:hAnsi="Arial" w:cs="Arial"/>
          <w:b/>
          <w:i/>
        </w:rPr>
        <w:t>CRL Rights Commission:</w:t>
      </w:r>
      <w:r>
        <w:rPr>
          <w:rFonts w:ascii="Arial" w:hAnsi="Arial" w:cs="Arial"/>
          <w:i/>
        </w:rPr>
        <w:t xml:space="preserve"> </w:t>
      </w:r>
      <w:r>
        <w:rPr>
          <w:rFonts w:ascii="Arial" w:hAnsi="Arial" w:cs="Arial"/>
        </w:rPr>
        <w:t xml:space="preserve">The Committee notes the ongoing negotiations relating to the optimal placement of the CRL Rights Commission to enable it to better fulfil its </w:t>
      </w:r>
      <w:r>
        <w:rPr>
          <w:rFonts w:ascii="Arial" w:hAnsi="Arial" w:cs="Arial"/>
        </w:rPr>
        <w:lastRenderedPageBreak/>
        <w:t xml:space="preserve">role and functions. The Committee recommends that these negotiations be finalised urgently. </w:t>
      </w:r>
    </w:p>
    <w:p w:rsidR="00100427" w:rsidRPr="00C72110" w:rsidRDefault="00100427" w:rsidP="00E56A9D">
      <w:pPr>
        <w:pStyle w:val="ListParagraph"/>
        <w:numPr>
          <w:ilvl w:val="0"/>
          <w:numId w:val="10"/>
        </w:numPr>
        <w:spacing w:after="0" w:line="280" w:lineRule="exact"/>
        <w:jc w:val="both"/>
        <w:rPr>
          <w:rFonts w:ascii="Arial" w:hAnsi="Arial" w:cs="Arial"/>
          <w:i/>
          <w:caps/>
        </w:rPr>
      </w:pPr>
      <w:r>
        <w:rPr>
          <w:rFonts w:ascii="Arial" w:hAnsi="Arial" w:cs="Arial"/>
          <w:b/>
          <w:i/>
        </w:rPr>
        <w:t xml:space="preserve">Municipal Demarcation Board: </w:t>
      </w:r>
      <w:r>
        <w:rPr>
          <w:rFonts w:ascii="Arial" w:hAnsi="Arial" w:cs="Arial"/>
        </w:rPr>
        <w:t>While satisfied with the financial performance of the Municipal Demarcation Board during the period under review, the Committee is concerned about the perception that the Board’s demarcation rulings may not have always lived up to the standards of impartiality and independence expected of the institution. The Committee recommends that the new incoming Board does its utmost to guard its independence and ensure that it seen to be impartial in executing its duties.</w:t>
      </w:r>
    </w:p>
    <w:p w:rsidR="00100427" w:rsidRPr="0072459C" w:rsidRDefault="00100427" w:rsidP="009D3A30">
      <w:pPr>
        <w:jc w:val="both"/>
        <w:rPr>
          <w:rFonts w:cs="Arial"/>
          <w:sz w:val="22"/>
          <w:szCs w:val="22"/>
          <w:lang w:val="en-ZA"/>
        </w:rPr>
      </w:pPr>
    </w:p>
    <w:p w:rsidR="00100427" w:rsidRDefault="00100427" w:rsidP="003970F6">
      <w:pPr>
        <w:pStyle w:val="ListParagraph"/>
        <w:numPr>
          <w:ilvl w:val="0"/>
          <w:numId w:val="1"/>
        </w:numPr>
        <w:spacing w:after="0" w:line="280" w:lineRule="exact"/>
        <w:jc w:val="both"/>
        <w:rPr>
          <w:rFonts w:ascii="Arial" w:hAnsi="Arial" w:cs="Arial"/>
          <w:b/>
          <w:caps/>
        </w:rPr>
      </w:pPr>
      <w:r w:rsidRPr="00DD6FA0">
        <w:rPr>
          <w:rFonts w:ascii="Arial" w:hAnsi="Arial" w:cs="Arial"/>
          <w:b/>
          <w:caps/>
        </w:rPr>
        <w:t>Appreciation</w:t>
      </w:r>
    </w:p>
    <w:p w:rsidR="00100427" w:rsidRDefault="00100427" w:rsidP="005056D2">
      <w:pPr>
        <w:pStyle w:val="ListParagraph"/>
        <w:spacing w:after="0" w:line="280" w:lineRule="exact"/>
        <w:ind w:left="0"/>
        <w:jc w:val="both"/>
        <w:rPr>
          <w:rFonts w:ascii="Arial" w:hAnsi="Arial" w:cs="Arial"/>
          <w:b/>
          <w:caps/>
        </w:rPr>
      </w:pPr>
    </w:p>
    <w:p w:rsidR="00100427" w:rsidRPr="005056D2" w:rsidRDefault="00100427" w:rsidP="005056D2">
      <w:pPr>
        <w:pStyle w:val="ListParagraph"/>
        <w:spacing w:after="0" w:line="280" w:lineRule="exact"/>
        <w:ind w:left="0"/>
        <w:jc w:val="both"/>
        <w:rPr>
          <w:rFonts w:ascii="Arial" w:hAnsi="Arial" w:cs="Arial"/>
          <w:caps/>
        </w:rPr>
      </w:pPr>
      <w:r>
        <w:rPr>
          <w:rFonts w:ascii="Arial" w:hAnsi="Arial" w:cs="Arial"/>
        </w:rPr>
        <w:t>For fruitful, cordial and constructive engagements the Committee thanks the Departments of Cooperative Governance and Traditional Affairs, SALGA, the Municipal Demarcation Board, the CRL Rights Commission, the South African Cities Network, the Office of the Auditor-General, National Treasury and the Financial and Fiscal Commission, among others. The Committee would also like to extend a word of appreciation and acknowledge the cooperative spirit of the municipalities and traditional communities visited by the Committee in the course of undertaking its oversight.</w:t>
      </w:r>
    </w:p>
    <w:p w:rsidR="00100427" w:rsidRDefault="00100427" w:rsidP="00A25803">
      <w:pPr>
        <w:pStyle w:val="ListParagraph"/>
        <w:spacing w:after="0" w:line="280" w:lineRule="exact"/>
        <w:ind w:left="0"/>
        <w:jc w:val="both"/>
        <w:rPr>
          <w:rFonts w:ascii="Arial" w:hAnsi="Arial" w:cs="Arial"/>
          <w:caps/>
        </w:rPr>
      </w:pPr>
    </w:p>
    <w:p w:rsidR="00100427" w:rsidRDefault="00100427" w:rsidP="00A25803">
      <w:pPr>
        <w:pStyle w:val="ListParagraph"/>
        <w:spacing w:after="0" w:line="280" w:lineRule="exact"/>
        <w:ind w:left="0"/>
        <w:jc w:val="both"/>
        <w:rPr>
          <w:rFonts w:ascii="Arial" w:hAnsi="Arial" w:cs="Arial"/>
          <w:b/>
          <w:caps/>
        </w:rPr>
      </w:pPr>
      <w:r>
        <w:rPr>
          <w:rFonts w:ascii="Arial" w:hAnsi="Arial" w:cs="Arial"/>
          <w:b/>
          <w:caps/>
        </w:rPr>
        <w:t>10. references</w:t>
      </w:r>
    </w:p>
    <w:p w:rsidR="00100427" w:rsidRDefault="00100427" w:rsidP="00A25803">
      <w:pPr>
        <w:pStyle w:val="ListParagraph"/>
        <w:spacing w:after="0" w:line="280" w:lineRule="exact"/>
        <w:ind w:left="0"/>
        <w:jc w:val="both"/>
        <w:rPr>
          <w:rFonts w:ascii="Arial" w:hAnsi="Arial" w:cs="Arial"/>
          <w:b/>
          <w:caps/>
        </w:rPr>
      </w:pPr>
    </w:p>
    <w:p w:rsidR="00100427" w:rsidRDefault="00100427" w:rsidP="00A938A8">
      <w:pPr>
        <w:pStyle w:val="Bibliography"/>
        <w:jc w:val="both"/>
        <w:rPr>
          <w:noProof/>
          <w:sz w:val="22"/>
          <w:szCs w:val="22"/>
        </w:rPr>
      </w:pPr>
      <w:r w:rsidRPr="00334AB6">
        <w:rPr>
          <w:noProof/>
          <w:sz w:val="22"/>
          <w:szCs w:val="22"/>
        </w:rPr>
        <w:t xml:space="preserve">Auditor-General. (2013). </w:t>
      </w:r>
      <w:r w:rsidRPr="00334AB6">
        <w:rPr>
          <w:i/>
          <w:iCs/>
          <w:noProof/>
          <w:sz w:val="22"/>
          <w:szCs w:val="22"/>
        </w:rPr>
        <w:t>Report of the Auditor-General to Parliament on the Financial Statement of the Commision for the Promotion and Protection of the Rights of Cultural, Religious and Linguistic Communities for the Year ended 31 March 2013.</w:t>
      </w:r>
      <w:r w:rsidRPr="00334AB6">
        <w:rPr>
          <w:noProof/>
          <w:sz w:val="22"/>
          <w:szCs w:val="22"/>
        </w:rPr>
        <w:t xml:space="preserve"> Pretoria: Auditor-General, South Africa.</w:t>
      </w:r>
    </w:p>
    <w:p w:rsidR="00100427" w:rsidRDefault="00100427" w:rsidP="00342473"/>
    <w:p w:rsidR="00100427" w:rsidRPr="00342473" w:rsidRDefault="00100427" w:rsidP="00342473">
      <w:pPr>
        <w:pStyle w:val="Bibliography"/>
        <w:rPr>
          <w:noProof/>
          <w:sz w:val="22"/>
          <w:szCs w:val="22"/>
        </w:rPr>
      </w:pPr>
      <w:r w:rsidRPr="007B0DEE">
        <w:rPr>
          <w:noProof/>
          <w:sz w:val="22"/>
          <w:szCs w:val="22"/>
        </w:rPr>
        <w:t xml:space="preserve">Auditor-General. (2013). </w:t>
      </w:r>
      <w:r w:rsidRPr="007B0DEE">
        <w:rPr>
          <w:i/>
          <w:iCs/>
          <w:noProof/>
          <w:sz w:val="22"/>
          <w:szCs w:val="22"/>
        </w:rPr>
        <w:t>Report of the Auditor-General to Parliament on the Municipal Demarcation Board.</w:t>
      </w:r>
      <w:r w:rsidRPr="007B0DEE">
        <w:rPr>
          <w:noProof/>
          <w:sz w:val="22"/>
          <w:szCs w:val="22"/>
        </w:rPr>
        <w:t xml:space="preserve"> Pretoria: Auditor-General.</w:t>
      </w:r>
    </w:p>
    <w:p w:rsidR="00100427" w:rsidRDefault="00100427" w:rsidP="00FD3F39">
      <w:pPr>
        <w:pStyle w:val="ListParagraph"/>
        <w:spacing w:after="0" w:line="280" w:lineRule="exact"/>
        <w:jc w:val="both"/>
        <w:rPr>
          <w:rFonts w:ascii="Arial" w:hAnsi="Arial" w:cs="Arial"/>
          <w:b/>
          <w:caps/>
        </w:rPr>
      </w:pPr>
    </w:p>
    <w:p w:rsidR="00100427" w:rsidRDefault="00100427" w:rsidP="00D566F6">
      <w:pPr>
        <w:pStyle w:val="Bibliography"/>
        <w:jc w:val="both"/>
        <w:rPr>
          <w:noProof/>
          <w:sz w:val="22"/>
          <w:szCs w:val="22"/>
        </w:rPr>
      </w:pPr>
      <w:r>
        <w:rPr>
          <w:noProof/>
          <w:sz w:val="22"/>
          <w:szCs w:val="22"/>
        </w:rPr>
        <w:t>Congress of South African Trade Unions</w:t>
      </w:r>
      <w:r w:rsidRPr="00161240">
        <w:rPr>
          <w:noProof/>
          <w:sz w:val="22"/>
          <w:szCs w:val="22"/>
        </w:rPr>
        <w:t>. (2013). COSATU's Response to the State of the Nation Address 2013. Braamfontein.</w:t>
      </w:r>
    </w:p>
    <w:p w:rsidR="00100427" w:rsidRDefault="00100427" w:rsidP="00D566F6"/>
    <w:p w:rsidR="00100427" w:rsidRDefault="00100427" w:rsidP="00BC1D18">
      <w:pPr>
        <w:pStyle w:val="Bibliography"/>
        <w:jc w:val="both"/>
        <w:rPr>
          <w:noProof/>
          <w:sz w:val="22"/>
          <w:szCs w:val="22"/>
        </w:rPr>
      </w:pPr>
      <w:r w:rsidRPr="00161240">
        <w:rPr>
          <w:noProof/>
          <w:sz w:val="22"/>
          <w:szCs w:val="22"/>
        </w:rPr>
        <w:t xml:space="preserve">Department of Cooperative Governance. (2013). Highlights of SONA 2013: Implications for DCoG. </w:t>
      </w:r>
      <w:r w:rsidRPr="00161240">
        <w:rPr>
          <w:i/>
          <w:iCs/>
          <w:noProof/>
          <w:sz w:val="22"/>
          <w:szCs w:val="22"/>
        </w:rPr>
        <w:t>Presentation to the Portfolio Committee on Cooperative Governance</w:t>
      </w:r>
      <w:r w:rsidRPr="00161240">
        <w:rPr>
          <w:noProof/>
          <w:sz w:val="22"/>
          <w:szCs w:val="22"/>
        </w:rPr>
        <w:t xml:space="preserve"> .</w:t>
      </w:r>
      <w:r w:rsidRPr="00103F00">
        <w:rPr>
          <w:noProof/>
          <w:sz w:val="22"/>
          <w:szCs w:val="22"/>
        </w:rPr>
        <w:t xml:space="preserve"> </w:t>
      </w:r>
      <w:r>
        <w:rPr>
          <w:noProof/>
          <w:sz w:val="22"/>
          <w:szCs w:val="22"/>
        </w:rPr>
        <w:t xml:space="preserve">26 </w:t>
      </w:r>
      <w:r w:rsidRPr="00161240">
        <w:rPr>
          <w:noProof/>
          <w:sz w:val="22"/>
          <w:szCs w:val="22"/>
        </w:rPr>
        <w:t>February</w:t>
      </w:r>
      <w:r>
        <w:rPr>
          <w:noProof/>
          <w:sz w:val="22"/>
          <w:szCs w:val="22"/>
        </w:rPr>
        <w:t>.</w:t>
      </w:r>
    </w:p>
    <w:p w:rsidR="00100427" w:rsidRDefault="00100427" w:rsidP="0047090F"/>
    <w:p w:rsidR="00100427" w:rsidRPr="0047090F" w:rsidRDefault="00100427" w:rsidP="0047090F">
      <w:pPr>
        <w:jc w:val="both"/>
        <w:rPr>
          <w:sz w:val="22"/>
          <w:szCs w:val="22"/>
        </w:rPr>
      </w:pPr>
      <w:r w:rsidRPr="0047090F">
        <w:rPr>
          <w:sz w:val="22"/>
          <w:szCs w:val="22"/>
        </w:rPr>
        <w:t xml:space="preserve">Department of Cooperative Governance. (2013). Detailed estimated expenditure for the Department of Cooperative Governance and Traditional Affairs. </w:t>
      </w:r>
      <w:r>
        <w:rPr>
          <w:sz w:val="22"/>
          <w:szCs w:val="22"/>
        </w:rPr>
        <w:t xml:space="preserve">Briefing </w:t>
      </w:r>
      <w:r w:rsidRPr="0047090F">
        <w:rPr>
          <w:sz w:val="22"/>
          <w:szCs w:val="22"/>
        </w:rPr>
        <w:t>to the Standing Committee on Appropriations. Parliament. Cape Town.</w:t>
      </w:r>
      <w:r>
        <w:rPr>
          <w:sz w:val="22"/>
          <w:szCs w:val="22"/>
        </w:rPr>
        <w:t xml:space="preserve"> 04 June.</w:t>
      </w:r>
    </w:p>
    <w:p w:rsidR="00100427" w:rsidRDefault="00100427" w:rsidP="00D566F6"/>
    <w:p w:rsidR="00100427" w:rsidRPr="000F0E56" w:rsidRDefault="00100427" w:rsidP="000F0E56">
      <w:pPr>
        <w:jc w:val="both"/>
        <w:rPr>
          <w:sz w:val="22"/>
          <w:szCs w:val="22"/>
        </w:rPr>
      </w:pPr>
      <w:r w:rsidRPr="000F0E56">
        <w:rPr>
          <w:sz w:val="22"/>
          <w:szCs w:val="22"/>
        </w:rPr>
        <w:t>Dlomo, P. (2013). Third Quarter Expenditure: An Analysis for 2012/13 financial year. Research Unit: Finance and Public Accounts Cluster. Parliament. Cape Town.</w:t>
      </w:r>
    </w:p>
    <w:p w:rsidR="00100427" w:rsidRDefault="00100427" w:rsidP="00D566F6"/>
    <w:p w:rsidR="00100427" w:rsidRDefault="00100427" w:rsidP="00BC4AB4">
      <w:pPr>
        <w:pStyle w:val="Bibliography"/>
        <w:jc w:val="both"/>
        <w:rPr>
          <w:noProof/>
          <w:sz w:val="22"/>
          <w:szCs w:val="22"/>
        </w:rPr>
      </w:pPr>
      <w:r w:rsidRPr="001F76EB">
        <w:rPr>
          <w:noProof/>
          <w:sz w:val="22"/>
          <w:szCs w:val="22"/>
        </w:rPr>
        <w:lastRenderedPageBreak/>
        <w:t xml:space="preserve">Gordhan, P. </w:t>
      </w:r>
      <w:r>
        <w:rPr>
          <w:noProof/>
          <w:sz w:val="22"/>
          <w:szCs w:val="22"/>
        </w:rPr>
        <w:t>(2013)</w:t>
      </w:r>
      <w:r w:rsidRPr="001F76EB">
        <w:rPr>
          <w:noProof/>
          <w:sz w:val="22"/>
          <w:szCs w:val="22"/>
        </w:rPr>
        <w:t>. Media Statement by the Minister of Finance, Mr Pravin Gordhan, on the Preliminary Outcome of Revenue Collection for the 2012/13 Fiscal Year.</w:t>
      </w:r>
      <w:r>
        <w:rPr>
          <w:noProof/>
          <w:sz w:val="22"/>
          <w:szCs w:val="22"/>
        </w:rPr>
        <w:t xml:space="preserve"> 02 April. Cape Town.</w:t>
      </w:r>
    </w:p>
    <w:p w:rsidR="00100427" w:rsidRPr="00FE3436" w:rsidRDefault="00100427" w:rsidP="00FE3436"/>
    <w:p w:rsidR="00100427" w:rsidRPr="00530CF8" w:rsidRDefault="00100427" w:rsidP="00530CF8">
      <w:pPr>
        <w:jc w:val="both"/>
        <w:rPr>
          <w:sz w:val="22"/>
          <w:szCs w:val="22"/>
        </w:rPr>
      </w:pPr>
      <w:r w:rsidRPr="00530CF8">
        <w:rPr>
          <w:sz w:val="22"/>
          <w:szCs w:val="22"/>
        </w:rPr>
        <w:t>Municipal Infrastructure Support Agent. (2013). Briefing Report</w:t>
      </w:r>
      <w:r>
        <w:rPr>
          <w:sz w:val="22"/>
          <w:szCs w:val="22"/>
        </w:rPr>
        <w:t xml:space="preserve"> for</w:t>
      </w:r>
      <w:r w:rsidRPr="00530CF8">
        <w:rPr>
          <w:sz w:val="22"/>
          <w:szCs w:val="22"/>
        </w:rPr>
        <w:t xml:space="preserve"> COGTA Portfolio Committee on the Municipal Infrastructure Support Agent (MISA). Parliament. Cape Town. June 11.</w:t>
      </w:r>
    </w:p>
    <w:p w:rsidR="00100427" w:rsidRDefault="00100427" w:rsidP="007F6D7F"/>
    <w:p w:rsidR="00100427" w:rsidRPr="007F6D7F" w:rsidRDefault="00100427" w:rsidP="007F6D7F">
      <w:pPr>
        <w:rPr>
          <w:sz w:val="22"/>
          <w:szCs w:val="22"/>
        </w:rPr>
      </w:pPr>
      <w:r w:rsidRPr="007F6D7F">
        <w:rPr>
          <w:sz w:val="22"/>
          <w:szCs w:val="22"/>
        </w:rPr>
        <w:t>National Treasury (2012). Response of National Treasury to the Portfolio Committees. National Treasury. Pretoria.</w:t>
      </w:r>
    </w:p>
    <w:p w:rsidR="00100427" w:rsidRDefault="00100427" w:rsidP="00D566F6"/>
    <w:p w:rsidR="00100427" w:rsidRDefault="00100427" w:rsidP="000500BF">
      <w:pPr>
        <w:pStyle w:val="Bibliography"/>
        <w:jc w:val="both"/>
        <w:rPr>
          <w:noProof/>
          <w:sz w:val="22"/>
          <w:szCs w:val="22"/>
        </w:rPr>
      </w:pPr>
      <w:r w:rsidRPr="001F76EB">
        <w:rPr>
          <w:noProof/>
          <w:sz w:val="22"/>
          <w:szCs w:val="22"/>
        </w:rPr>
        <w:t xml:space="preserve">National Treasury. (2013). </w:t>
      </w:r>
      <w:r w:rsidRPr="001F76EB">
        <w:rPr>
          <w:i/>
          <w:iCs/>
          <w:noProof/>
          <w:sz w:val="22"/>
          <w:szCs w:val="22"/>
        </w:rPr>
        <w:t>Budget 2013: Estimates of National Expenditure.</w:t>
      </w:r>
      <w:r w:rsidRPr="001F76EB">
        <w:rPr>
          <w:noProof/>
          <w:sz w:val="22"/>
          <w:szCs w:val="22"/>
        </w:rPr>
        <w:t xml:space="preserve"> Pretoria: Department of National Treasury.</w:t>
      </w:r>
    </w:p>
    <w:p w:rsidR="00100427" w:rsidRDefault="00100427" w:rsidP="00736829"/>
    <w:p w:rsidR="00100427" w:rsidRPr="00736829" w:rsidRDefault="00100427" w:rsidP="00736829">
      <w:pPr>
        <w:jc w:val="both"/>
        <w:rPr>
          <w:sz w:val="22"/>
          <w:szCs w:val="22"/>
        </w:rPr>
      </w:pPr>
      <w:r>
        <w:rPr>
          <w:sz w:val="22"/>
          <w:szCs w:val="22"/>
        </w:rPr>
        <w:t xml:space="preserve">National </w:t>
      </w:r>
      <w:r w:rsidRPr="00736829">
        <w:rPr>
          <w:sz w:val="22"/>
          <w:szCs w:val="22"/>
        </w:rPr>
        <w:t>Treasury. (2013). Standing Committee on Appropriations: 1</w:t>
      </w:r>
      <w:r w:rsidRPr="00736829">
        <w:rPr>
          <w:sz w:val="22"/>
          <w:szCs w:val="22"/>
          <w:vertAlign w:val="superscript"/>
        </w:rPr>
        <w:t>st</w:t>
      </w:r>
      <w:r w:rsidRPr="00736829">
        <w:rPr>
          <w:sz w:val="22"/>
          <w:szCs w:val="22"/>
        </w:rPr>
        <w:t xml:space="preserve"> Quarter Expenditure Report, 2013/14 financial year. Pretoria. National Treasury</w:t>
      </w:r>
    </w:p>
    <w:p w:rsidR="00100427" w:rsidRDefault="00100427" w:rsidP="00E3242F"/>
    <w:p w:rsidR="00100427" w:rsidRPr="00E3242F" w:rsidRDefault="00100427" w:rsidP="00E3242F">
      <w:pPr>
        <w:jc w:val="both"/>
        <w:rPr>
          <w:sz w:val="22"/>
          <w:szCs w:val="22"/>
        </w:rPr>
      </w:pPr>
      <w:r w:rsidRPr="00E3242F">
        <w:rPr>
          <w:sz w:val="22"/>
          <w:szCs w:val="22"/>
        </w:rPr>
        <w:t xml:space="preserve">Parliament. (2012). </w:t>
      </w:r>
      <w:r w:rsidRPr="00156430">
        <w:rPr>
          <w:i/>
          <w:sz w:val="22"/>
          <w:szCs w:val="22"/>
        </w:rPr>
        <w:t>Adjusted Estimates of National Expenditure – Summary of Adjustments per vote.</w:t>
      </w:r>
      <w:r w:rsidRPr="00E3242F">
        <w:rPr>
          <w:sz w:val="22"/>
          <w:szCs w:val="22"/>
        </w:rPr>
        <w:t xml:space="preserve"> Research Unit: Finance and Public Accounts Cluster. Cape Town.</w:t>
      </w:r>
    </w:p>
    <w:p w:rsidR="00100427" w:rsidRDefault="00100427" w:rsidP="000500BF"/>
    <w:p w:rsidR="00100427" w:rsidRDefault="00100427" w:rsidP="00A42C52">
      <w:pPr>
        <w:pStyle w:val="Bibliography"/>
        <w:jc w:val="both"/>
        <w:rPr>
          <w:noProof/>
          <w:sz w:val="22"/>
          <w:szCs w:val="22"/>
        </w:rPr>
      </w:pPr>
      <w:r w:rsidRPr="001F76EB">
        <w:rPr>
          <w:noProof/>
          <w:sz w:val="22"/>
          <w:szCs w:val="22"/>
        </w:rPr>
        <w:t xml:space="preserve">Portfolio Committee on Cooperative Governance and Traditional Affairs. (2012). </w:t>
      </w:r>
      <w:r w:rsidRPr="001F76EB">
        <w:rPr>
          <w:i/>
          <w:iCs/>
          <w:noProof/>
          <w:sz w:val="22"/>
          <w:szCs w:val="22"/>
        </w:rPr>
        <w:t>Budgetary Review and Recommendation Report of the Portfolio Committee on Co-operative Governance and Traditional Affairs.</w:t>
      </w:r>
      <w:r w:rsidRPr="001F76EB">
        <w:rPr>
          <w:noProof/>
          <w:sz w:val="22"/>
          <w:szCs w:val="22"/>
        </w:rPr>
        <w:t xml:space="preserve"> Cape Town.</w:t>
      </w:r>
    </w:p>
    <w:p w:rsidR="00100427" w:rsidRDefault="00100427" w:rsidP="00A3231D"/>
    <w:p w:rsidR="00100427" w:rsidRPr="00A3231D" w:rsidRDefault="00100427" w:rsidP="00A3231D">
      <w:pPr>
        <w:jc w:val="both"/>
      </w:pPr>
      <w:r w:rsidRPr="00A3231D">
        <w:rPr>
          <w:sz w:val="22"/>
          <w:szCs w:val="22"/>
        </w:rPr>
        <w:t>Portfolio Committee on Cooperative Governance and Traditional Affairs. (2013). Report of the Portfolio Committee on Cooperative Governance and Traditional Affairs on Budget Vote 3: Cooperative Governance and Traditional Affairs</w:t>
      </w:r>
      <w:r>
        <w:t>.</w:t>
      </w:r>
    </w:p>
    <w:p w:rsidR="00100427" w:rsidRDefault="00100427" w:rsidP="00736829">
      <w:pPr>
        <w:pStyle w:val="Bibliography"/>
        <w:jc w:val="both"/>
        <w:rPr>
          <w:noProof/>
          <w:sz w:val="22"/>
          <w:szCs w:val="22"/>
        </w:rPr>
      </w:pPr>
    </w:p>
    <w:p w:rsidR="00100427" w:rsidRDefault="00100427" w:rsidP="00736829">
      <w:pPr>
        <w:pStyle w:val="Bibliography"/>
        <w:jc w:val="both"/>
        <w:rPr>
          <w:noProof/>
          <w:sz w:val="22"/>
          <w:szCs w:val="22"/>
        </w:rPr>
      </w:pPr>
      <w:r w:rsidRPr="00161240">
        <w:rPr>
          <w:noProof/>
          <w:sz w:val="22"/>
          <w:szCs w:val="22"/>
        </w:rPr>
        <w:t xml:space="preserve">The Presidency. (2012). Performance of the State and its Challenges. </w:t>
      </w:r>
      <w:r w:rsidRPr="00161240">
        <w:rPr>
          <w:i/>
          <w:iCs/>
          <w:noProof/>
          <w:sz w:val="22"/>
          <w:szCs w:val="22"/>
        </w:rPr>
        <w:t>Presentation to Portfolio Committee on Public Service and Administration</w:t>
      </w:r>
      <w:r w:rsidRPr="00161240">
        <w:rPr>
          <w:noProof/>
          <w:sz w:val="22"/>
          <w:szCs w:val="22"/>
        </w:rPr>
        <w:t>. Cape Town.</w:t>
      </w:r>
      <w:r>
        <w:rPr>
          <w:noProof/>
          <w:sz w:val="22"/>
          <w:szCs w:val="22"/>
        </w:rPr>
        <w:t xml:space="preserve"> 12 </w:t>
      </w:r>
      <w:r w:rsidRPr="00161240">
        <w:rPr>
          <w:noProof/>
          <w:sz w:val="22"/>
          <w:szCs w:val="22"/>
        </w:rPr>
        <w:t>September</w:t>
      </w:r>
      <w:r>
        <w:rPr>
          <w:noProof/>
          <w:sz w:val="22"/>
          <w:szCs w:val="22"/>
        </w:rPr>
        <w:t>.</w:t>
      </w:r>
    </w:p>
    <w:p w:rsidR="00100427" w:rsidRDefault="00100427" w:rsidP="00D566F6"/>
    <w:p w:rsidR="00100427" w:rsidRDefault="00100427" w:rsidP="00F957BF">
      <w:pPr>
        <w:pStyle w:val="Bibliography"/>
        <w:jc w:val="both"/>
        <w:rPr>
          <w:noProof/>
          <w:sz w:val="22"/>
          <w:szCs w:val="22"/>
        </w:rPr>
      </w:pPr>
      <w:r w:rsidRPr="00161240">
        <w:rPr>
          <w:noProof/>
          <w:sz w:val="22"/>
          <w:szCs w:val="22"/>
        </w:rPr>
        <w:t>Zuma, J. (2013). State of the Nation Address by His Excellency Jacob G Zuma, President of the Republic of South Africa, on the Joint Sitting of Parliament, Cape Town. Cape Town.</w:t>
      </w:r>
      <w:r>
        <w:rPr>
          <w:noProof/>
          <w:sz w:val="22"/>
          <w:szCs w:val="22"/>
        </w:rPr>
        <w:t xml:space="preserve"> 14 February.</w:t>
      </w:r>
    </w:p>
    <w:p w:rsidR="00100427" w:rsidRDefault="00100427" w:rsidP="00D566F6"/>
    <w:p w:rsidR="00100427" w:rsidRPr="00D566F6" w:rsidRDefault="00100427" w:rsidP="00D566F6"/>
    <w:p w:rsidR="00100427" w:rsidRPr="00FD3F39" w:rsidRDefault="00100427" w:rsidP="00FD3F39">
      <w:pPr>
        <w:pStyle w:val="ListParagraph"/>
        <w:spacing w:after="0" w:line="280" w:lineRule="exact"/>
        <w:jc w:val="both"/>
        <w:rPr>
          <w:rFonts w:ascii="Arial" w:hAnsi="Arial" w:cs="Arial"/>
          <w:b/>
          <w:caps/>
        </w:rPr>
      </w:pPr>
    </w:p>
    <w:p w:rsidR="00100427" w:rsidRPr="00DD6FA0" w:rsidRDefault="00100427" w:rsidP="001B5ED1">
      <w:pPr>
        <w:jc w:val="both"/>
        <w:rPr>
          <w:rFonts w:cs="Arial"/>
          <w:sz w:val="22"/>
          <w:szCs w:val="22"/>
        </w:rPr>
      </w:pPr>
    </w:p>
    <w:sectPr w:rsidR="00100427" w:rsidRPr="00DD6FA0" w:rsidSect="009D3A30">
      <w:footerReference w:type="even" r:id="rId7"/>
      <w:footerReference w:type="default" r:id="rId8"/>
      <w:footerReference w:type="first" r:id="rId9"/>
      <w:pgSz w:w="11906" w:h="16838" w:code="9"/>
      <w:pgMar w:top="2552" w:right="1440" w:bottom="1134" w:left="1440"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AC" w:rsidRDefault="00D252AC">
      <w:r>
        <w:separator/>
      </w:r>
    </w:p>
  </w:endnote>
  <w:endnote w:type="continuationSeparator" w:id="0">
    <w:p w:rsidR="00D252AC" w:rsidRDefault="00D2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27" w:rsidRDefault="00D83C8B">
    <w:pPr>
      <w:pStyle w:val="Footer"/>
      <w:framePr w:wrap="around" w:vAnchor="text" w:hAnchor="margin" w:xAlign="right" w:y="1"/>
      <w:rPr>
        <w:rStyle w:val="PageNumber"/>
      </w:rPr>
    </w:pPr>
    <w:r>
      <w:rPr>
        <w:rStyle w:val="PageNumber"/>
      </w:rPr>
      <w:fldChar w:fldCharType="begin"/>
    </w:r>
    <w:r w:rsidR="00100427">
      <w:rPr>
        <w:rStyle w:val="PageNumber"/>
      </w:rPr>
      <w:instrText xml:space="preserve">PAGE  </w:instrText>
    </w:r>
    <w:r>
      <w:rPr>
        <w:rStyle w:val="PageNumber"/>
      </w:rPr>
      <w:fldChar w:fldCharType="end"/>
    </w:r>
  </w:p>
  <w:p w:rsidR="00100427" w:rsidRDefault="001004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27" w:rsidRDefault="00D83C8B">
    <w:pPr>
      <w:pStyle w:val="Footer"/>
      <w:framePr w:wrap="around" w:vAnchor="text" w:hAnchor="margin" w:xAlign="right" w:y="1"/>
      <w:spacing w:line="240" w:lineRule="auto"/>
      <w:rPr>
        <w:rStyle w:val="PageNumber"/>
      </w:rPr>
    </w:pPr>
    <w:r>
      <w:rPr>
        <w:rStyle w:val="PageNumber"/>
      </w:rPr>
      <w:fldChar w:fldCharType="begin"/>
    </w:r>
    <w:r w:rsidR="00100427">
      <w:rPr>
        <w:rStyle w:val="PageNumber"/>
      </w:rPr>
      <w:instrText xml:space="preserve">PAGE  </w:instrText>
    </w:r>
    <w:r>
      <w:rPr>
        <w:rStyle w:val="PageNumber"/>
      </w:rPr>
      <w:fldChar w:fldCharType="separate"/>
    </w:r>
    <w:r w:rsidR="006C09D4">
      <w:rPr>
        <w:rStyle w:val="PageNumber"/>
        <w:noProof/>
      </w:rPr>
      <w:t>2</w:t>
    </w:r>
    <w:r>
      <w:rPr>
        <w:rStyle w:val="PageNumber"/>
      </w:rPr>
      <w:fldChar w:fldCharType="end"/>
    </w:r>
  </w:p>
  <w:p w:rsidR="00100427" w:rsidRPr="00B86539" w:rsidRDefault="00100427" w:rsidP="00EC435B">
    <w:pPr>
      <w:pStyle w:val="Footer"/>
      <w:spacing w:line="240" w:lineRule="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27" w:rsidRDefault="00D83C8B">
    <w:pPr>
      <w:pStyle w:val="Footer"/>
      <w:framePr w:wrap="around" w:vAnchor="text" w:hAnchor="margin" w:xAlign="right" w:y="1"/>
      <w:spacing w:line="240" w:lineRule="auto"/>
      <w:rPr>
        <w:rStyle w:val="PageNumber"/>
      </w:rPr>
    </w:pPr>
    <w:r>
      <w:rPr>
        <w:rStyle w:val="PageNumber"/>
      </w:rPr>
      <w:fldChar w:fldCharType="begin"/>
    </w:r>
    <w:r w:rsidR="00100427">
      <w:rPr>
        <w:rStyle w:val="PageNumber"/>
      </w:rPr>
      <w:instrText xml:space="preserve">PAGE  </w:instrText>
    </w:r>
    <w:r>
      <w:rPr>
        <w:rStyle w:val="PageNumber"/>
      </w:rPr>
      <w:fldChar w:fldCharType="separate"/>
    </w:r>
    <w:r w:rsidR="006C09D4">
      <w:rPr>
        <w:rStyle w:val="PageNumber"/>
        <w:noProof/>
      </w:rPr>
      <w:t>1</w:t>
    </w:r>
    <w:r>
      <w:rPr>
        <w:rStyle w:val="PageNumber"/>
      </w:rPr>
      <w:fldChar w:fldCharType="end"/>
    </w:r>
  </w:p>
  <w:p w:rsidR="00100427" w:rsidRDefault="00100427" w:rsidP="00EC435B">
    <w:pPr>
      <w:pStyle w:val="Footer"/>
      <w:spacing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AC" w:rsidRDefault="00D252AC">
      <w:r>
        <w:separator/>
      </w:r>
    </w:p>
  </w:footnote>
  <w:footnote w:type="continuationSeparator" w:id="0">
    <w:p w:rsidR="00D252AC" w:rsidRDefault="00D252AC">
      <w:r>
        <w:continuationSeparator/>
      </w:r>
    </w:p>
  </w:footnote>
  <w:footnote w:id="1">
    <w:p w:rsidR="00100427" w:rsidRDefault="00100427" w:rsidP="003D5932">
      <w:pPr>
        <w:pStyle w:val="FootnoteText"/>
      </w:pPr>
      <w:r w:rsidRPr="009F2666">
        <w:rPr>
          <w:rStyle w:val="FootnoteReference"/>
          <w:sz w:val="18"/>
          <w:szCs w:val="18"/>
        </w:rPr>
        <w:footnoteRef/>
      </w:r>
      <w:r w:rsidRPr="009F2666">
        <w:rPr>
          <w:sz w:val="18"/>
          <w:szCs w:val="18"/>
        </w:rPr>
        <w:t xml:space="preserve"> </w:t>
      </w:r>
      <w:r w:rsidRPr="009F2666">
        <w:rPr>
          <w:sz w:val="18"/>
          <w:szCs w:val="18"/>
          <w:lang w:val="en-ZA"/>
        </w:rPr>
        <w:t>National Treasury, (2013).</w:t>
      </w:r>
    </w:p>
  </w:footnote>
  <w:footnote w:id="2">
    <w:p w:rsidR="00100427" w:rsidRDefault="00100427" w:rsidP="00BF4BD1">
      <w:pPr>
        <w:pStyle w:val="FootnoteText"/>
      </w:pPr>
      <w:r w:rsidRPr="00446598">
        <w:rPr>
          <w:rStyle w:val="FootnoteReference"/>
          <w:sz w:val="18"/>
          <w:szCs w:val="18"/>
        </w:rPr>
        <w:footnoteRef/>
      </w:r>
      <w:r w:rsidRPr="00446598">
        <w:rPr>
          <w:sz w:val="18"/>
          <w:szCs w:val="18"/>
        </w:rPr>
        <w:t xml:space="preserve"> </w:t>
      </w:r>
      <w:r w:rsidRPr="00446598">
        <w:rPr>
          <w:sz w:val="18"/>
          <w:szCs w:val="18"/>
          <w:lang w:val="en-ZA"/>
        </w:rPr>
        <w:t>Department of Cooperative Governance</w:t>
      </w:r>
      <w:r>
        <w:rPr>
          <w:sz w:val="18"/>
          <w:szCs w:val="18"/>
          <w:lang w:val="en-ZA"/>
        </w:rPr>
        <w:t>,</w:t>
      </w:r>
      <w:r w:rsidRPr="00446598">
        <w:rPr>
          <w:sz w:val="18"/>
          <w:szCs w:val="18"/>
          <w:lang w:val="en-ZA"/>
        </w:rPr>
        <w:t xml:space="preserve"> (2013).</w:t>
      </w:r>
    </w:p>
  </w:footnote>
  <w:footnote w:id="3">
    <w:p w:rsidR="00100427" w:rsidRDefault="00100427" w:rsidP="00BF4BD1">
      <w:pPr>
        <w:pStyle w:val="FootnoteText"/>
      </w:pPr>
      <w:r w:rsidRPr="00446598">
        <w:rPr>
          <w:rStyle w:val="FootnoteReference"/>
          <w:sz w:val="18"/>
          <w:szCs w:val="18"/>
        </w:rPr>
        <w:footnoteRef/>
      </w:r>
      <w:r w:rsidRPr="00446598">
        <w:rPr>
          <w:sz w:val="18"/>
          <w:szCs w:val="18"/>
        </w:rPr>
        <w:t xml:space="preserve"> </w:t>
      </w:r>
      <w:r w:rsidRPr="00446598">
        <w:rPr>
          <w:sz w:val="18"/>
          <w:szCs w:val="18"/>
          <w:lang w:val="en-ZA"/>
        </w:rPr>
        <w:t>Ibid.</w:t>
      </w:r>
    </w:p>
  </w:footnote>
  <w:footnote w:id="4">
    <w:p w:rsidR="00100427" w:rsidRDefault="00100427" w:rsidP="00BF4BD1">
      <w:pPr>
        <w:pStyle w:val="FootnoteText"/>
      </w:pPr>
      <w:r w:rsidRPr="00446598">
        <w:rPr>
          <w:rStyle w:val="FootnoteReference"/>
          <w:sz w:val="18"/>
          <w:szCs w:val="18"/>
        </w:rPr>
        <w:footnoteRef/>
      </w:r>
      <w:r w:rsidRPr="00446598">
        <w:rPr>
          <w:sz w:val="18"/>
          <w:szCs w:val="18"/>
        </w:rPr>
        <w:t xml:space="preserve"> </w:t>
      </w:r>
      <w:r>
        <w:rPr>
          <w:sz w:val="18"/>
          <w:szCs w:val="18"/>
          <w:lang w:val="en-ZA"/>
        </w:rPr>
        <w:t>Zuma, (2013).</w:t>
      </w:r>
    </w:p>
  </w:footnote>
  <w:footnote w:id="5">
    <w:p w:rsidR="00100427" w:rsidRDefault="00100427" w:rsidP="00946DDD">
      <w:pPr>
        <w:pStyle w:val="FootnoteText"/>
      </w:pPr>
      <w:r w:rsidRPr="00446598">
        <w:rPr>
          <w:rStyle w:val="FootnoteReference"/>
          <w:sz w:val="18"/>
          <w:szCs w:val="18"/>
        </w:rPr>
        <w:footnoteRef/>
      </w:r>
      <w:r w:rsidRPr="00446598">
        <w:rPr>
          <w:sz w:val="18"/>
          <w:szCs w:val="18"/>
          <w:lang w:val="en-ZA"/>
        </w:rPr>
        <w:t xml:space="preserve"> Ibid.</w:t>
      </w:r>
    </w:p>
  </w:footnote>
  <w:footnote w:id="6">
    <w:p w:rsidR="00100427" w:rsidRDefault="00100427" w:rsidP="00404535">
      <w:pPr>
        <w:pStyle w:val="FootnoteText"/>
      </w:pPr>
      <w:r w:rsidRPr="00446598">
        <w:rPr>
          <w:rStyle w:val="FootnoteReference"/>
          <w:sz w:val="18"/>
          <w:szCs w:val="18"/>
        </w:rPr>
        <w:footnoteRef/>
      </w:r>
      <w:r w:rsidRPr="00446598">
        <w:rPr>
          <w:sz w:val="18"/>
          <w:szCs w:val="18"/>
          <w:lang w:val="en-ZA"/>
        </w:rPr>
        <w:t xml:space="preserve"> COSATU, (2013).</w:t>
      </w:r>
    </w:p>
  </w:footnote>
  <w:footnote w:id="7">
    <w:p w:rsidR="00100427" w:rsidRDefault="00100427" w:rsidP="00404535">
      <w:pPr>
        <w:pStyle w:val="FootnoteText"/>
      </w:pPr>
      <w:r w:rsidRPr="00446598">
        <w:rPr>
          <w:rStyle w:val="FootnoteReference"/>
          <w:sz w:val="18"/>
          <w:szCs w:val="18"/>
        </w:rPr>
        <w:footnoteRef/>
      </w:r>
      <w:r w:rsidRPr="00446598">
        <w:rPr>
          <w:sz w:val="18"/>
          <w:szCs w:val="18"/>
        </w:rPr>
        <w:t xml:space="preserve"> </w:t>
      </w:r>
      <w:r w:rsidRPr="00446598">
        <w:rPr>
          <w:sz w:val="18"/>
          <w:szCs w:val="18"/>
          <w:lang w:val="en-ZA"/>
        </w:rPr>
        <w:t>Department of Cooperative Governance, op cit.</w:t>
      </w:r>
    </w:p>
  </w:footnote>
  <w:footnote w:id="8">
    <w:p w:rsidR="00100427" w:rsidRDefault="00100427" w:rsidP="00404535">
      <w:pPr>
        <w:pStyle w:val="FootnoteText"/>
      </w:pPr>
      <w:r>
        <w:rPr>
          <w:rStyle w:val="FootnoteReference"/>
        </w:rPr>
        <w:footnoteRef/>
      </w:r>
      <w:r>
        <w:t xml:space="preserve"> </w:t>
      </w:r>
      <w:r>
        <w:rPr>
          <w:lang w:val="en-ZA"/>
        </w:rPr>
        <w:t>Zuma, op cit.</w:t>
      </w:r>
    </w:p>
  </w:footnote>
  <w:footnote w:id="9">
    <w:p w:rsidR="00100427" w:rsidRDefault="00100427" w:rsidP="006D10A4">
      <w:pPr>
        <w:pStyle w:val="FootnoteText"/>
      </w:pPr>
      <w:r w:rsidRPr="00F85929">
        <w:rPr>
          <w:rStyle w:val="FootnoteReference"/>
          <w:sz w:val="18"/>
          <w:szCs w:val="18"/>
        </w:rPr>
        <w:footnoteRef/>
      </w:r>
      <w:r w:rsidRPr="00F85929">
        <w:rPr>
          <w:sz w:val="18"/>
          <w:szCs w:val="18"/>
        </w:rPr>
        <w:t xml:space="preserve"> </w:t>
      </w:r>
      <w:r w:rsidRPr="00F85929">
        <w:rPr>
          <w:sz w:val="18"/>
          <w:szCs w:val="18"/>
          <w:lang w:val="en-ZA"/>
        </w:rPr>
        <w:t>PC on COGTA, (2012)</w:t>
      </w:r>
      <w:r>
        <w:rPr>
          <w:sz w:val="18"/>
          <w:szCs w:val="18"/>
          <w:lang w:val="en-ZA"/>
        </w:rPr>
        <w:t>.</w:t>
      </w:r>
    </w:p>
  </w:footnote>
  <w:footnote w:id="10">
    <w:p w:rsidR="00100427" w:rsidRDefault="00100427">
      <w:pPr>
        <w:pStyle w:val="FootnoteText"/>
      </w:pPr>
      <w:r w:rsidRPr="00DC7F1E">
        <w:rPr>
          <w:rStyle w:val="FootnoteReference"/>
          <w:sz w:val="18"/>
          <w:szCs w:val="18"/>
        </w:rPr>
        <w:footnoteRef/>
      </w:r>
      <w:r w:rsidRPr="00DC7F1E">
        <w:rPr>
          <w:sz w:val="18"/>
          <w:szCs w:val="18"/>
        </w:rPr>
        <w:t xml:space="preserve"> </w:t>
      </w:r>
      <w:r w:rsidRPr="00DC7F1E">
        <w:rPr>
          <w:sz w:val="18"/>
          <w:szCs w:val="18"/>
          <w:lang w:val="en-ZA"/>
        </w:rPr>
        <w:t>National Treasury, (2012).</w:t>
      </w:r>
    </w:p>
  </w:footnote>
  <w:footnote w:id="11">
    <w:p w:rsidR="00100427" w:rsidRDefault="00100427" w:rsidP="00BF044D">
      <w:pPr>
        <w:pStyle w:val="FootnoteText"/>
      </w:pPr>
      <w:r w:rsidRPr="00A02773">
        <w:rPr>
          <w:rStyle w:val="FootnoteReference"/>
          <w:sz w:val="18"/>
          <w:szCs w:val="18"/>
        </w:rPr>
        <w:footnoteRef/>
      </w:r>
      <w:r w:rsidRPr="00A02773">
        <w:rPr>
          <w:sz w:val="18"/>
          <w:szCs w:val="18"/>
        </w:rPr>
        <w:t xml:space="preserve"> Dlomo, P. (2013). </w:t>
      </w:r>
    </w:p>
  </w:footnote>
  <w:footnote w:id="12">
    <w:p w:rsidR="00100427" w:rsidRDefault="00100427" w:rsidP="00FD61C3">
      <w:pPr>
        <w:pStyle w:val="FootnoteText"/>
        <w:jc w:val="both"/>
      </w:pPr>
      <w:r>
        <w:rPr>
          <w:rStyle w:val="FootnoteReference"/>
        </w:rPr>
        <w:footnoteRef/>
      </w:r>
      <w:r>
        <w:t xml:space="preserve"> </w:t>
      </w:r>
      <w:r w:rsidRPr="00056BD8">
        <w:rPr>
          <w:sz w:val="18"/>
          <w:szCs w:val="18"/>
          <w:lang w:val="en-ZA"/>
        </w:rPr>
        <w:t xml:space="preserve">This </w:t>
      </w:r>
      <w:r>
        <w:rPr>
          <w:sz w:val="18"/>
          <w:szCs w:val="18"/>
          <w:lang w:val="en-ZA"/>
        </w:rPr>
        <w:t>sub-</w:t>
      </w:r>
      <w:r w:rsidRPr="00056BD8">
        <w:rPr>
          <w:sz w:val="18"/>
          <w:szCs w:val="18"/>
          <w:lang w:val="en-ZA"/>
        </w:rPr>
        <w:t>section draws extensively from the work of the Finance and Public Accounts Cluster at the Research Unit.</w:t>
      </w:r>
    </w:p>
  </w:footnote>
  <w:footnote w:id="13">
    <w:p w:rsidR="00100427" w:rsidRDefault="00100427" w:rsidP="00D95FF4">
      <w:pPr>
        <w:pStyle w:val="FootnoteText"/>
      </w:pPr>
      <w:r w:rsidRPr="00193134">
        <w:rPr>
          <w:rStyle w:val="FootnoteReference"/>
          <w:sz w:val="18"/>
          <w:szCs w:val="18"/>
        </w:rPr>
        <w:footnoteRef/>
      </w:r>
      <w:r w:rsidRPr="00193134">
        <w:rPr>
          <w:sz w:val="18"/>
          <w:szCs w:val="18"/>
        </w:rPr>
        <w:t xml:space="preserve"> </w:t>
      </w:r>
      <w:r w:rsidRPr="00193134">
        <w:rPr>
          <w:sz w:val="18"/>
          <w:szCs w:val="18"/>
          <w:lang w:val="en-ZA"/>
        </w:rPr>
        <w:t>Gordhan, (2013)</w:t>
      </w:r>
    </w:p>
  </w:footnote>
  <w:footnote w:id="14">
    <w:p w:rsidR="00100427" w:rsidRDefault="00100427">
      <w:pPr>
        <w:pStyle w:val="FootnoteText"/>
      </w:pPr>
      <w:r w:rsidRPr="00193134">
        <w:rPr>
          <w:rStyle w:val="FootnoteReference"/>
          <w:sz w:val="18"/>
          <w:szCs w:val="18"/>
        </w:rPr>
        <w:footnoteRef/>
      </w:r>
      <w:r w:rsidRPr="00193134">
        <w:rPr>
          <w:sz w:val="18"/>
          <w:szCs w:val="18"/>
        </w:rPr>
        <w:t xml:space="preserve"> </w:t>
      </w:r>
      <w:r w:rsidRPr="00193134">
        <w:rPr>
          <w:sz w:val="18"/>
          <w:szCs w:val="18"/>
          <w:lang w:val="en-ZA"/>
        </w:rPr>
        <w:t>National Treasury (2013)</w:t>
      </w:r>
    </w:p>
  </w:footnote>
  <w:footnote w:id="15">
    <w:p w:rsidR="00100427" w:rsidRDefault="00100427" w:rsidP="00C27471">
      <w:pPr>
        <w:pStyle w:val="FootnoteText"/>
      </w:pPr>
      <w:r w:rsidRPr="003542BE">
        <w:rPr>
          <w:rStyle w:val="FootnoteReference"/>
          <w:sz w:val="18"/>
          <w:szCs w:val="18"/>
        </w:rPr>
        <w:footnoteRef/>
      </w:r>
      <w:r w:rsidRPr="003542BE">
        <w:rPr>
          <w:sz w:val="18"/>
          <w:szCs w:val="18"/>
        </w:rPr>
        <w:t xml:space="preserve"> </w:t>
      </w:r>
      <w:r w:rsidRPr="003542BE">
        <w:rPr>
          <w:sz w:val="18"/>
          <w:szCs w:val="18"/>
          <w:lang w:val="en-ZA"/>
        </w:rPr>
        <w:t>Auditor-General, (2013).</w:t>
      </w:r>
    </w:p>
  </w:footnote>
  <w:footnote w:id="16">
    <w:p w:rsidR="00100427" w:rsidRDefault="00100427" w:rsidP="00C27471">
      <w:pPr>
        <w:pStyle w:val="FootnoteText"/>
      </w:pPr>
      <w:r w:rsidRPr="004A5037">
        <w:rPr>
          <w:rStyle w:val="FootnoteReference"/>
          <w:sz w:val="18"/>
          <w:szCs w:val="18"/>
        </w:rPr>
        <w:footnoteRef/>
      </w:r>
      <w:r w:rsidRPr="004A5037">
        <w:rPr>
          <w:sz w:val="18"/>
          <w:szCs w:val="18"/>
        </w:rPr>
        <w:t xml:space="preserve"> Ibid.</w:t>
      </w:r>
    </w:p>
  </w:footnote>
  <w:footnote w:id="17">
    <w:p w:rsidR="00100427" w:rsidRDefault="00100427">
      <w:pPr>
        <w:pStyle w:val="FootnoteText"/>
      </w:pPr>
      <w:r w:rsidRPr="0047090F">
        <w:rPr>
          <w:rStyle w:val="FootnoteReference"/>
          <w:sz w:val="18"/>
          <w:szCs w:val="18"/>
        </w:rPr>
        <w:footnoteRef/>
      </w:r>
      <w:r w:rsidRPr="0047090F">
        <w:rPr>
          <w:sz w:val="18"/>
          <w:szCs w:val="18"/>
        </w:rPr>
        <w:t xml:space="preserve"> </w:t>
      </w:r>
      <w:r w:rsidRPr="0047090F">
        <w:rPr>
          <w:sz w:val="18"/>
          <w:szCs w:val="18"/>
          <w:lang w:val="en-ZA"/>
        </w:rPr>
        <w:t>Department of Cooperative Governance</w:t>
      </w:r>
      <w:r>
        <w:rPr>
          <w:sz w:val="18"/>
          <w:szCs w:val="18"/>
          <w:lang w:val="en-ZA"/>
        </w:rPr>
        <w:t>,</w:t>
      </w:r>
      <w:r w:rsidRPr="0047090F">
        <w:rPr>
          <w:sz w:val="18"/>
          <w:szCs w:val="18"/>
          <w:lang w:val="en-ZA"/>
        </w:rPr>
        <w:t xml:space="preserve"> (2013).</w:t>
      </w:r>
    </w:p>
  </w:footnote>
  <w:footnote w:id="18">
    <w:p w:rsidR="00100427" w:rsidRDefault="00100427">
      <w:pPr>
        <w:pStyle w:val="FootnoteText"/>
      </w:pPr>
      <w:r w:rsidRPr="005A68B7">
        <w:rPr>
          <w:rStyle w:val="FootnoteReference"/>
          <w:sz w:val="18"/>
          <w:szCs w:val="18"/>
        </w:rPr>
        <w:footnoteRef/>
      </w:r>
      <w:r w:rsidRPr="005A68B7">
        <w:rPr>
          <w:sz w:val="18"/>
          <w:szCs w:val="18"/>
        </w:rPr>
        <w:t xml:space="preserve"> PC on COGTA, (2013).</w:t>
      </w:r>
    </w:p>
  </w:footnote>
  <w:footnote w:id="19">
    <w:p w:rsidR="00100427" w:rsidRDefault="00100427">
      <w:pPr>
        <w:pStyle w:val="FootnoteText"/>
      </w:pPr>
      <w:r w:rsidRPr="00530CF8">
        <w:rPr>
          <w:rStyle w:val="FootnoteReference"/>
          <w:sz w:val="18"/>
          <w:szCs w:val="18"/>
        </w:rPr>
        <w:footnoteRef/>
      </w:r>
      <w:r w:rsidRPr="00530CF8">
        <w:rPr>
          <w:sz w:val="18"/>
          <w:szCs w:val="18"/>
        </w:rPr>
        <w:t xml:space="preserve"> MISA,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81A"/>
    <w:multiLevelType w:val="multilevel"/>
    <w:tmpl w:val="4AEA776C"/>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4CC2619"/>
    <w:multiLevelType w:val="hybridMultilevel"/>
    <w:tmpl w:val="912EF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F9020C"/>
    <w:multiLevelType w:val="hybridMultilevel"/>
    <w:tmpl w:val="6AE2F31A"/>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71C79F3"/>
    <w:multiLevelType w:val="hybridMultilevel"/>
    <w:tmpl w:val="7DE405EE"/>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8FA0991"/>
    <w:multiLevelType w:val="hybridMultilevel"/>
    <w:tmpl w:val="0F72D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01E7BDF"/>
    <w:multiLevelType w:val="hybridMultilevel"/>
    <w:tmpl w:val="D1E0F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E77523"/>
    <w:multiLevelType w:val="hybridMultilevel"/>
    <w:tmpl w:val="3ACAA1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0004B5"/>
    <w:multiLevelType w:val="hybridMultilevel"/>
    <w:tmpl w:val="C146532A"/>
    <w:lvl w:ilvl="0" w:tplc="1C090001">
      <w:start w:val="1"/>
      <w:numFmt w:val="bullet"/>
      <w:lvlText w:val=""/>
      <w:lvlJc w:val="left"/>
      <w:pPr>
        <w:tabs>
          <w:tab w:val="num" w:pos="1080"/>
        </w:tabs>
        <w:ind w:left="1080" w:hanging="360"/>
      </w:pPr>
      <w:rPr>
        <w:rFonts w:ascii="Symbol" w:hAnsi="Symbol" w:hint="default"/>
      </w:rPr>
    </w:lvl>
    <w:lvl w:ilvl="1" w:tplc="375066BA" w:tentative="1">
      <w:start w:val="1"/>
      <w:numFmt w:val="bullet"/>
      <w:lvlText w:val="•"/>
      <w:lvlJc w:val="left"/>
      <w:pPr>
        <w:tabs>
          <w:tab w:val="num" w:pos="1800"/>
        </w:tabs>
        <w:ind w:left="1800" w:hanging="360"/>
      </w:pPr>
      <w:rPr>
        <w:rFonts w:ascii="Arial" w:hAnsi="Arial" w:hint="default"/>
      </w:rPr>
    </w:lvl>
    <w:lvl w:ilvl="2" w:tplc="6890FA82" w:tentative="1">
      <w:start w:val="1"/>
      <w:numFmt w:val="bullet"/>
      <w:lvlText w:val="•"/>
      <w:lvlJc w:val="left"/>
      <w:pPr>
        <w:tabs>
          <w:tab w:val="num" w:pos="2520"/>
        </w:tabs>
        <w:ind w:left="2520" w:hanging="360"/>
      </w:pPr>
      <w:rPr>
        <w:rFonts w:ascii="Arial" w:hAnsi="Arial" w:hint="default"/>
      </w:rPr>
    </w:lvl>
    <w:lvl w:ilvl="3" w:tplc="FBBA90D4" w:tentative="1">
      <w:start w:val="1"/>
      <w:numFmt w:val="bullet"/>
      <w:lvlText w:val="•"/>
      <w:lvlJc w:val="left"/>
      <w:pPr>
        <w:tabs>
          <w:tab w:val="num" w:pos="3240"/>
        </w:tabs>
        <w:ind w:left="3240" w:hanging="360"/>
      </w:pPr>
      <w:rPr>
        <w:rFonts w:ascii="Arial" w:hAnsi="Arial" w:hint="default"/>
      </w:rPr>
    </w:lvl>
    <w:lvl w:ilvl="4" w:tplc="BB2E5D6C" w:tentative="1">
      <w:start w:val="1"/>
      <w:numFmt w:val="bullet"/>
      <w:lvlText w:val="•"/>
      <w:lvlJc w:val="left"/>
      <w:pPr>
        <w:tabs>
          <w:tab w:val="num" w:pos="3960"/>
        </w:tabs>
        <w:ind w:left="3960" w:hanging="360"/>
      </w:pPr>
      <w:rPr>
        <w:rFonts w:ascii="Arial" w:hAnsi="Arial" w:hint="default"/>
      </w:rPr>
    </w:lvl>
    <w:lvl w:ilvl="5" w:tplc="58ECE632" w:tentative="1">
      <w:start w:val="1"/>
      <w:numFmt w:val="bullet"/>
      <w:lvlText w:val="•"/>
      <w:lvlJc w:val="left"/>
      <w:pPr>
        <w:tabs>
          <w:tab w:val="num" w:pos="4680"/>
        </w:tabs>
        <w:ind w:left="4680" w:hanging="360"/>
      </w:pPr>
      <w:rPr>
        <w:rFonts w:ascii="Arial" w:hAnsi="Arial" w:hint="default"/>
      </w:rPr>
    </w:lvl>
    <w:lvl w:ilvl="6" w:tplc="AFF01930" w:tentative="1">
      <w:start w:val="1"/>
      <w:numFmt w:val="bullet"/>
      <w:lvlText w:val="•"/>
      <w:lvlJc w:val="left"/>
      <w:pPr>
        <w:tabs>
          <w:tab w:val="num" w:pos="5400"/>
        </w:tabs>
        <w:ind w:left="5400" w:hanging="360"/>
      </w:pPr>
      <w:rPr>
        <w:rFonts w:ascii="Arial" w:hAnsi="Arial" w:hint="default"/>
      </w:rPr>
    </w:lvl>
    <w:lvl w:ilvl="7" w:tplc="D03C1A8A" w:tentative="1">
      <w:start w:val="1"/>
      <w:numFmt w:val="bullet"/>
      <w:lvlText w:val="•"/>
      <w:lvlJc w:val="left"/>
      <w:pPr>
        <w:tabs>
          <w:tab w:val="num" w:pos="6120"/>
        </w:tabs>
        <w:ind w:left="6120" w:hanging="360"/>
      </w:pPr>
      <w:rPr>
        <w:rFonts w:ascii="Arial" w:hAnsi="Arial" w:hint="default"/>
      </w:rPr>
    </w:lvl>
    <w:lvl w:ilvl="8" w:tplc="65A6259C" w:tentative="1">
      <w:start w:val="1"/>
      <w:numFmt w:val="bullet"/>
      <w:lvlText w:val="•"/>
      <w:lvlJc w:val="left"/>
      <w:pPr>
        <w:tabs>
          <w:tab w:val="num" w:pos="6840"/>
        </w:tabs>
        <w:ind w:left="6840" w:hanging="360"/>
      </w:pPr>
      <w:rPr>
        <w:rFonts w:ascii="Arial" w:hAnsi="Arial" w:hint="default"/>
      </w:rPr>
    </w:lvl>
  </w:abstractNum>
  <w:abstractNum w:abstractNumId="8">
    <w:nsid w:val="17E3190F"/>
    <w:multiLevelType w:val="hybridMultilevel"/>
    <w:tmpl w:val="F364F3EA"/>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9F3641D"/>
    <w:multiLevelType w:val="hybridMultilevel"/>
    <w:tmpl w:val="0280318A"/>
    <w:lvl w:ilvl="0" w:tplc="1C09001B">
      <w:start w:val="1"/>
      <w:numFmt w:val="low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403919DA"/>
    <w:multiLevelType w:val="hybridMultilevel"/>
    <w:tmpl w:val="E81AB020"/>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409A1678"/>
    <w:multiLevelType w:val="hybridMultilevel"/>
    <w:tmpl w:val="769A8D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4814DD2"/>
    <w:multiLevelType w:val="hybridMultilevel"/>
    <w:tmpl w:val="5B3EF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DA2DE7"/>
    <w:multiLevelType w:val="hybridMultilevel"/>
    <w:tmpl w:val="519415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B8F7C8C"/>
    <w:multiLevelType w:val="hybridMultilevel"/>
    <w:tmpl w:val="0F2EAA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989254D"/>
    <w:multiLevelType w:val="hybridMultilevel"/>
    <w:tmpl w:val="8AFC5B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5E2B612D"/>
    <w:multiLevelType w:val="hybridMultilevel"/>
    <w:tmpl w:val="704EF5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E6A290B"/>
    <w:multiLevelType w:val="hybridMultilevel"/>
    <w:tmpl w:val="6792ABB4"/>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73EA30FA"/>
    <w:multiLevelType w:val="hybridMultilevel"/>
    <w:tmpl w:val="650860CC"/>
    <w:lvl w:ilvl="0" w:tplc="1C09001B">
      <w:start w:val="1"/>
      <w:numFmt w:val="low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73FF4A40"/>
    <w:multiLevelType w:val="hybridMultilevel"/>
    <w:tmpl w:val="2BAE09BE"/>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785D5F45"/>
    <w:multiLevelType w:val="hybridMultilevel"/>
    <w:tmpl w:val="59405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87E4577"/>
    <w:multiLevelType w:val="hybridMultilevel"/>
    <w:tmpl w:val="755005BE"/>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0"/>
  </w:num>
  <w:num w:numId="2">
    <w:abstractNumId w:val="14"/>
  </w:num>
  <w:num w:numId="3">
    <w:abstractNumId w:val="12"/>
  </w:num>
  <w:num w:numId="4">
    <w:abstractNumId w:val="4"/>
  </w:num>
  <w:num w:numId="5">
    <w:abstractNumId w:val="13"/>
  </w:num>
  <w:num w:numId="6">
    <w:abstractNumId w:val="16"/>
  </w:num>
  <w:num w:numId="7">
    <w:abstractNumId w:val="11"/>
  </w:num>
  <w:num w:numId="8">
    <w:abstractNumId w:val="15"/>
  </w:num>
  <w:num w:numId="9">
    <w:abstractNumId w:val="5"/>
  </w:num>
  <w:num w:numId="10">
    <w:abstractNumId w:val="6"/>
  </w:num>
  <w:num w:numId="11">
    <w:abstractNumId w:val="7"/>
  </w:num>
  <w:num w:numId="12">
    <w:abstractNumId w:val="18"/>
  </w:num>
  <w:num w:numId="13">
    <w:abstractNumId w:val="9"/>
  </w:num>
  <w:num w:numId="14">
    <w:abstractNumId w:val="3"/>
  </w:num>
  <w:num w:numId="15">
    <w:abstractNumId w:val="2"/>
  </w:num>
  <w:num w:numId="16">
    <w:abstractNumId w:val="21"/>
  </w:num>
  <w:num w:numId="17">
    <w:abstractNumId w:val="1"/>
  </w:num>
  <w:num w:numId="18">
    <w:abstractNumId w:val="10"/>
  </w:num>
  <w:num w:numId="19">
    <w:abstractNumId w:val="19"/>
  </w:num>
  <w:num w:numId="20">
    <w:abstractNumId w:val="17"/>
  </w:num>
  <w:num w:numId="21">
    <w:abstractNumId w:val="8"/>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footnotePr>
    <w:footnote w:id="-1"/>
    <w:footnote w:id="0"/>
  </w:footnotePr>
  <w:endnotePr>
    <w:endnote w:id="-1"/>
    <w:endnote w:id="0"/>
  </w:endnotePr>
  <w:compat/>
  <w:rsids>
    <w:rsidRoot w:val="00900A3C"/>
    <w:rsid w:val="00001526"/>
    <w:rsid w:val="000022F8"/>
    <w:rsid w:val="0000345A"/>
    <w:rsid w:val="0000380B"/>
    <w:rsid w:val="00003ADE"/>
    <w:rsid w:val="00006E78"/>
    <w:rsid w:val="000073FE"/>
    <w:rsid w:val="00010114"/>
    <w:rsid w:val="000104F2"/>
    <w:rsid w:val="00014EA3"/>
    <w:rsid w:val="000151E9"/>
    <w:rsid w:val="0001594D"/>
    <w:rsid w:val="00017286"/>
    <w:rsid w:val="00020EAB"/>
    <w:rsid w:val="000230E2"/>
    <w:rsid w:val="00023E6C"/>
    <w:rsid w:val="00024D0C"/>
    <w:rsid w:val="000260CA"/>
    <w:rsid w:val="00026B9F"/>
    <w:rsid w:val="000274B1"/>
    <w:rsid w:val="00027DE9"/>
    <w:rsid w:val="00030F4A"/>
    <w:rsid w:val="000315FC"/>
    <w:rsid w:val="000320E9"/>
    <w:rsid w:val="000366EC"/>
    <w:rsid w:val="00037A1C"/>
    <w:rsid w:val="00042552"/>
    <w:rsid w:val="000439D8"/>
    <w:rsid w:val="00044F2E"/>
    <w:rsid w:val="00045E89"/>
    <w:rsid w:val="00045FB2"/>
    <w:rsid w:val="000500BF"/>
    <w:rsid w:val="00050FB3"/>
    <w:rsid w:val="00051A22"/>
    <w:rsid w:val="00052049"/>
    <w:rsid w:val="000550BF"/>
    <w:rsid w:val="00056BD8"/>
    <w:rsid w:val="0006068F"/>
    <w:rsid w:val="000622CC"/>
    <w:rsid w:val="00062AEB"/>
    <w:rsid w:val="00065A7C"/>
    <w:rsid w:val="00072AC9"/>
    <w:rsid w:val="00074954"/>
    <w:rsid w:val="00077F77"/>
    <w:rsid w:val="00082A60"/>
    <w:rsid w:val="00082B86"/>
    <w:rsid w:val="00082FE7"/>
    <w:rsid w:val="00084687"/>
    <w:rsid w:val="0008605D"/>
    <w:rsid w:val="00086D85"/>
    <w:rsid w:val="00087042"/>
    <w:rsid w:val="00090104"/>
    <w:rsid w:val="0009029A"/>
    <w:rsid w:val="0009627C"/>
    <w:rsid w:val="00097105"/>
    <w:rsid w:val="000A0AC1"/>
    <w:rsid w:val="000A36A7"/>
    <w:rsid w:val="000A454F"/>
    <w:rsid w:val="000A5886"/>
    <w:rsid w:val="000A5C74"/>
    <w:rsid w:val="000A5EEA"/>
    <w:rsid w:val="000A73F5"/>
    <w:rsid w:val="000A7DCA"/>
    <w:rsid w:val="000B0156"/>
    <w:rsid w:val="000B1785"/>
    <w:rsid w:val="000B5AA0"/>
    <w:rsid w:val="000B5F12"/>
    <w:rsid w:val="000B6D8E"/>
    <w:rsid w:val="000B7515"/>
    <w:rsid w:val="000C1122"/>
    <w:rsid w:val="000C2CD2"/>
    <w:rsid w:val="000C36D6"/>
    <w:rsid w:val="000C44F2"/>
    <w:rsid w:val="000C6E2A"/>
    <w:rsid w:val="000C7337"/>
    <w:rsid w:val="000C7A33"/>
    <w:rsid w:val="000D0E16"/>
    <w:rsid w:val="000D15DC"/>
    <w:rsid w:val="000D2394"/>
    <w:rsid w:val="000D466F"/>
    <w:rsid w:val="000D4FC2"/>
    <w:rsid w:val="000D5A29"/>
    <w:rsid w:val="000D640D"/>
    <w:rsid w:val="000E2D75"/>
    <w:rsid w:val="000F0E56"/>
    <w:rsid w:val="000F2BAB"/>
    <w:rsid w:val="000F44E3"/>
    <w:rsid w:val="000F562C"/>
    <w:rsid w:val="001003FF"/>
    <w:rsid w:val="00100427"/>
    <w:rsid w:val="00101BE3"/>
    <w:rsid w:val="00102744"/>
    <w:rsid w:val="00103F00"/>
    <w:rsid w:val="0010401D"/>
    <w:rsid w:val="00106C5F"/>
    <w:rsid w:val="00110671"/>
    <w:rsid w:val="00111763"/>
    <w:rsid w:val="00111A99"/>
    <w:rsid w:val="00112FA0"/>
    <w:rsid w:val="00113BCE"/>
    <w:rsid w:val="0011514C"/>
    <w:rsid w:val="00115BF7"/>
    <w:rsid w:val="00116B32"/>
    <w:rsid w:val="00121AF8"/>
    <w:rsid w:val="001223DC"/>
    <w:rsid w:val="00124483"/>
    <w:rsid w:val="001245E2"/>
    <w:rsid w:val="00126B7C"/>
    <w:rsid w:val="0013157C"/>
    <w:rsid w:val="00131671"/>
    <w:rsid w:val="00131F52"/>
    <w:rsid w:val="0013400E"/>
    <w:rsid w:val="00137EFF"/>
    <w:rsid w:val="00142692"/>
    <w:rsid w:val="001438AB"/>
    <w:rsid w:val="00144BE5"/>
    <w:rsid w:val="00144DA3"/>
    <w:rsid w:val="00146121"/>
    <w:rsid w:val="00147CA7"/>
    <w:rsid w:val="00147E39"/>
    <w:rsid w:val="00147FC2"/>
    <w:rsid w:val="00150508"/>
    <w:rsid w:val="00150847"/>
    <w:rsid w:val="00152D5F"/>
    <w:rsid w:val="001548D9"/>
    <w:rsid w:val="001556E8"/>
    <w:rsid w:val="00156430"/>
    <w:rsid w:val="001602CE"/>
    <w:rsid w:val="001608DB"/>
    <w:rsid w:val="00160E3F"/>
    <w:rsid w:val="00161240"/>
    <w:rsid w:val="00162F83"/>
    <w:rsid w:val="00165F73"/>
    <w:rsid w:val="00165FDA"/>
    <w:rsid w:val="001720FA"/>
    <w:rsid w:val="0017414D"/>
    <w:rsid w:val="001807AE"/>
    <w:rsid w:val="00180EC3"/>
    <w:rsid w:val="00182842"/>
    <w:rsid w:val="00183095"/>
    <w:rsid w:val="001831D1"/>
    <w:rsid w:val="00183A29"/>
    <w:rsid w:val="00183A9A"/>
    <w:rsid w:val="00185C37"/>
    <w:rsid w:val="001907A0"/>
    <w:rsid w:val="00192720"/>
    <w:rsid w:val="00192EC1"/>
    <w:rsid w:val="00193134"/>
    <w:rsid w:val="00193C75"/>
    <w:rsid w:val="00195F69"/>
    <w:rsid w:val="00196889"/>
    <w:rsid w:val="00197BCC"/>
    <w:rsid w:val="00197F15"/>
    <w:rsid w:val="001A0208"/>
    <w:rsid w:val="001A0587"/>
    <w:rsid w:val="001A17F2"/>
    <w:rsid w:val="001A1E01"/>
    <w:rsid w:val="001A39E4"/>
    <w:rsid w:val="001A4EAA"/>
    <w:rsid w:val="001A638E"/>
    <w:rsid w:val="001A6A48"/>
    <w:rsid w:val="001A70CE"/>
    <w:rsid w:val="001B0161"/>
    <w:rsid w:val="001B38BA"/>
    <w:rsid w:val="001B3F49"/>
    <w:rsid w:val="001B5258"/>
    <w:rsid w:val="001B5791"/>
    <w:rsid w:val="001B5ED1"/>
    <w:rsid w:val="001B6239"/>
    <w:rsid w:val="001B6672"/>
    <w:rsid w:val="001B674A"/>
    <w:rsid w:val="001C02B3"/>
    <w:rsid w:val="001C0CDE"/>
    <w:rsid w:val="001C4AB6"/>
    <w:rsid w:val="001C55C9"/>
    <w:rsid w:val="001C76E1"/>
    <w:rsid w:val="001D40AF"/>
    <w:rsid w:val="001D68B7"/>
    <w:rsid w:val="001D77F0"/>
    <w:rsid w:val="001E1E4D"/>
    <w:rsid w:val="001E574A"/>
    <w:rsid w:val="001E581F"/>
    <w:rsid w:val="001E669E"/>
    <w:rsid w:val="001F09F0"/>
    <w:rsid w:val="001F0A1E"/>
    <w:rsid w:val="001F0A8B"/>
    <w:rsid w:val="001F11B7"/>
    <w:rsid w:val="001F20F6"/>
    <w:rsid w:val="001F4220"/>
    <w:rsid w:val="001F5675"/>
    <w:rsid w:val="001F6256"/>
    <w:rsid w:val="001F76EB"/>
    <w:rsid w:val="002007F3"/>
    <w:rsid w:val="0020100A"/>
    <w:rsid w:val="002016FB"/>
    <w:rsid w:val="0020258C"/>
    <w:rsid w:val="00202A23"/>
    <w:rsid w:val="002030BC"/>
    <w:rsid w:val="00204E0A"/>
    <w:rsid w:val="002070FA"/>
    <w:rsid w:val="0020733B"/>
    <w:rsid w:val="0021326D"/>
    <w:rsid w:val="00213CCF"/>
    <w:rsid w:val="00215651"/>
    <w:rsid w:val="00216C72"/>
    <w:rsid w:val="002230E4"/>
    <w:rsid w:val="002246AD"/>
    <w:rsid w:val="00230101"/>
    <w:rsid w:val="002305D2"/>
    <w:rsid w:val="00230A29"/>
    <w:rsid w:val="00234704"/>
    <w:rsid w:val="002353A7"/>
    <w:rsid w:val="00236EDF"/>
    <w:rsid w:val="00240603"/>
    <w:rsid w:val="00240E5D"/>
    <w:rsid w:val="002428D1"/>
    <w:rsid w:val="002438EE"/>
    <w:rsid w:val="002445C7"/>
    <w:rsid w:val="00247D2E"/>
    <w:rsid w:val="00251C71"/>
    <w:rsid w:val="00252072"/>
    <w:rsid w:val="00252306"/>
    <w:rsid w:val="00255003"/>
    <w:rsid w:val="00262E47"/>
    <w:rsid w:val="00263BE7"/>
    <w:rsid w:val="002669BB"/>
    <w:rsid w:val="00266F37"/>
    <w:rsid w:val="002709E3"/>
    <w:rsid w:val="00271026"/>
    <w:rsid w:val="0027411A"/>
    <w:rsid w:val="00276109"/>
    <w:rsid w:val="002776C0"/>
    <w:rsid w:val="002800BA"/>
    <w:rsid w:val="002823DF"/>
    <w:rsid w:val="00283600"/>
    <w:rsid w:val="002838FD"/>
    <w:rsid w:val="00283F03"/>
    <w:rsid w:val="00287299"/>
    <w:rsid w:val="00287CF2"/>
    <w:rsid w:val="00291C42"/>
    <w:rsid w:val="00293250"/>
    <w:rsid w:val="00295B1B"/>
    <w:rsid w:val="00297529"/>
    <w:rsid w:val="002A0156"/>
    <w:rsid w:val="002A0C90"/>
    <w:rsid w:val="002A2818"/>
    <w:rsid w:val="002A3928"/>
    <w:rsid w:val="002A4526"/>
    <w:rsid w:val="002A52DE"/>
    <w:rsid w:val="002A5439"/>
    <w:rsid w:val="002A65D3"/>
    <w:rsid w:val="002A7B69"/>
    <w:rsid w:val="002B0988"/>
    <w:rsid w:val="002B2F06"/>
    <w:rsid w:val="002B4479"/>
    <w:rsid w:val="002B5474"/>
    <w:rsid w:val="002B688D"/>
    <w:rsid w:val="002B6962"/>
    <w:rsid w:val="002B730D"/>
    <w:rsid w:val="002C14F2"/>
    <w:rsid w:val="002C432F"/>
    <w:rsid w:val="002C7BD4"/>
    <w:rsid w:val="002D0445"/>
    <w:rsid w:val="002D1628"/>
    <w:rsid w:val="002D199F"/>
    <w:rsid w:val="002D1F7E"/>
    <w:rsid w:val="002D3B9D"/>
    <w:rsid w:val="002D41ED"/>
    <w:rsid w:val="002D6835"/>
    <w:rsid w:val="002E00AE"/>
    <w:rsid w:val="002E6305"/>
    <w:rsid w:val="002F0CB3"/>
    <w:rsid w:val="002F1941"/>
    <w:rsid w:val="002F3D16"/>
    <w:rsid w:val="002F5611"/>
    <w:rsid w:val="002F5765"/>
    <w:rsid w:val="002F5C7E"/>
    <w:rsid w:val="002F5CB8"/>
    <w:rsid w:val="00301673"/>
    <w:rsid w:val="0030323E"/>
    <w:rsid w:val="00304D7D"/>
    <w:rsid w:val="00304FD6"/>
    <w:rsid w:val="003063E8"/>
    <w:rsid w:val="00306FA2"/>
    <w:rsid w:val="003161A2"/>
    <w:rsid w:val="00316DE7"/>
    <w:rsid w:val="003204CC"/>
    <w:rsid w:val="003218A0"/>
    <w:rsid w:val="003232A7"/>
    <w:rsid w:val="0032761F"/>
    <w:rsid w:val="003310D6"/>
    <w:rsid w:val="003315B2"/>
    <w:rsid w:val="00333E7D"/>
    <w:rsid w:val="00333ED6"/>
    <w:rsid w:val="0033462E"/>
    <w:rsid w:val="00334AB6"/>
    <w:rsid w:val="00336446"/>
    <w:rsid w:val="00340B0D"/>
    <w:rsid w:val="00340CE5"/>
    <w:rsid w:val="00342473"/>
    <w:rsid w:val="00343D78"/>
    <w:rsid w:val="003475D8"/>
    <w:rsid w:val="00347802"/>
    <w:rsid w:val="00347DED"/>
    <w:rsid w:val="00350738"/>
    <w:rsid w:val="00350DCE"/>
    <w:rsid w:val="0035148C"/>
    <w:rsid w:val="00353F4D"/>
    <w:rsid w:val="003542BE"/>
    <w:rsid w:val="00362270"/>
    <w:rsid w:val="003663BC"/>
    <w:rsid w:val="003672C9"/>
    <w:rsid w:val="0037275C"/>
    <w:rsid w:val="003738F9"/>
    <w:rsid w:val="00373EEF"/>
    <w:rsid w:val="00376F83"/>
    <w:rsid w:val="00383737"/>
    <w:rsid w:val="00383B05"/>
    <w:rsid w:val="00384E19"/>
    <w:rsid w:val="003871B7"/>
    <w:rsid w:val="00387AC6"/>
    <w:rsid w:val="00390A3F"/>
    <w:rsid w:val="003970F6"/>
    <w:rsid w:val="003A0993"/>
    <w:rsid w:val="003A18DE"/>
    <w:rsid w:val="003A40AE"/>
    <w:rsid w:val="003A43C3"/>
    <w:rsid w:val="003A66F6"/>
    <w:rsid w:val="003A7DDF"/>
    <w:rsid w:val="003B0823"/>
    <w:rsid w:val="003B2DFF"/>
    <w:rsid w:val="003B5D27"/>
    <w:rsid w:val="003C18C9"/>
    <w:rsid w:val="003C252C"/>
    <w:rsid w:val="003C48AC"/>
    <w:rsid w:val="003C648B"/>
    <w:rsid w:val="003D16ED"/>
    <w:rsid w:val="003D2D9E"/>
    <w:rsid w:val="003D32E7"/>
    <w:rsid w:val="003D370A"/>
    <w:rsid w:val="003D3C05"/>
    <w:rsid w:val="003D591C"/>
    <w:rsid w:val="003D5932"/>
    <w:rsid w:val="003E2CD8"/>
    <w:rsid w:val="003E309B"/>
    <w:rsid w:val="003E57C7"/>
    <w:rsid w:val="003E6258"/>
    <w:rsid w:val="003E6814"/>
    <w:rsid w:val="003E720E"/>
    <w:rsid w:val="003E7CBE"/>
    <w:rsid w:val="003F0936"/>
    <w:rsid w:val="003F0ABD"/>
    <w:rsid w:val="003F1257"/>
    <w:rsid w:val="003F194D"/>
    <w:rsid w:val="003F38A9"/>
    <w:rsid w:val="003F3DF1"/>
    <w:rsid w:val="003F4689"/>
    <w:rsid w:val="003F6BFF"/>
    <w:rsid w:val="00400ADA"/>
    <w:rsid w:val="00400D07"/>
    <w:rsid w:val="00401328"/>
    <w:rsid w:val="004013F6"/>
    <w:rsid w:val="00402721"/>
    <w:rsid w:val="00402D29"/>
    <w:rsid w:val="00402DF4"/>
    <w:rsid w:val="00404535"/>
    <w:rsid w:val="00405622"/>
    <w:rsid w:val="004069AD"/>
    <w:rsid w:val="00407D25"/>
    <w:rsid w:val="004118DA"/>
    <w:rsid w:val="0041264C"/>
    <w:rsid w:val="00414CDF"/>
    <w:rsid w:val="00415626"/>
    <w:rsid w:val="00415D38"/>
    <w:rsid w:val="00416FFB"/>
    <w:rsid w:val="004170E9"/>
    <w:rsid w:val="00417699"/>
    <w:rsid w:val="004177AA"/>
    <w:rsid w:val="004214F8"/>
    <w:rsid w:val="00422305"/>
    <w:rsid w:val="0042307D"/>
    <w:rsid w:val="00423C85"/>
    <w:rsid w:val="00426343"/>
    <w:rsid w:val="00427D93"/>
    <w:rsid w:val="004306F5"/>
    <w:rsid w:val="00433D31"/>
    <w:rsid w:val="004400B2"/>
    <w:rsid w:val="004401ED"/>
    <w:rsid w:val="004403AC"/>
    <w:rsid w:val="00440714"/>
    <w:rsid w:val="00440ECD"/>
    <w:rsid w:val="00441FCA"/>
    <w:rsid w:val="00442044"/>
    <w:rsid w:val="00443209"/>
    <w:rsid w:val="00444E63"/>
    <w:rsid w:val="0044562A"/>
    <w:rsid w:val="004463A6"/>
    <w:rsid w:val="00446598"/>
    <w:rsid w:val="00446CD1"/>
    <w:rsid w:val="00447680"/>
    <w:rsid w:val="00450B21"/>
    <w:rsid w:val="00450B93"/>
    <w:rsid w:val="00450F84"/>
    <w:rsid w:val="00454B77"/>
    <w:rsid w:val="00455A70"/>
    <w:rsid w:val="0045749D"/>
    <w:rsid w:val="00457C05"/>
    <w:rsid w:val="00457D58"/>
    <w:rsid w:val="00460D27"/>
    <w:rsid w:val="0046264C"/>
    <w:rsid w:val="004633B2"/>
    <w:rsid w:val="00463888"/>
    <w:rsid w:val="004639DE"/>
    <w:rsid w:val="00463E55"/>
    <w:rsid w:val="00464594"/>
    <w:rsid w:val="00464E10"/>
    <w:rsid w:val="004669AA"/>
    <w:rsid w:val="004670AD"/>
    <w:rsid w:val="00467CBD"/>
    <w:rsid w:val="0047090F"/>
    <w:rsid w:val="00473806"/>
    <w:rsid w:val="004758E8"/>
    <w:rsid w:val="0047774F"/>
    <w:rsid w:val="004804EE"/>
    <w:rsid w:val="0048341A"/>
    <w:rsid w:val="00484254"/>
    <w:rsid w:val="0048579B"/>
    <w:rsid w:val="00485F20"/>
    <w:rsid w:val="004864BE"/>
    <w:rsid w:val="00493C79"/>
    <w:rsid w:val="00494A9F"/>
    <w:rsid w:val="004A3FDC"/>
    <w:rsid w:val="004A5037"/>
    <w:rsid w:val="004A7B28"/>
    <w:rsid w:val="004B0DF1"/>
    <w:rsid w:val="004B0E12"/>
    <w:rsid w:val="004B43CA"/>
    <w:rsid w:val="004B5B9B"/>
    <w:rsid w:val="004B616B"/>
    <w:rsid w:val="004C143B"/>
    <w:rsid w:val="004C2814"/>
    <w:rsid w:val="004C2D48"/>
    <w:rsid w:val="004C4811"/>
    <w:rsid w:val="004C4F41"/>
    <w:rsid w:val="004C7505"/>
    <w:rsid w:val="004D0C22"/>
    <w:rsid w:val="004D0E3B"/>
    <w:rsid w:val="004E0C58"/>
    <w:rsid w:val="004E2A9F"/>
    <w:rsid w:val="004E375D"/>
    <w:rsid w:val="004E3B95"/>
    <w:rsid w:val="004E5FE3"/>
    <w:rsid w:val="004E6FB2"/>
    <w:rsid w:val="004E71FE"/>
    <w:rsid w:val="004F06BC"/>
    <w:rsid w:val="004F162F"/>
    <w:rsid w:val="004F1BBA"/>
    <w:rsid w:val="004F2181"/>
    <w:rsid w:val="004F3020"/>
    <w:rsid w:val="00500C7B"/>
    <w:rsid w:val="005036EE"/>
    <w:rsid w:val="00503967"/>
    <w:rsid w:val="005041AF"/>
    <w:rsid w:val="0050437B"/>
    <w:rsid w:val="00504905"/>
    <w:rsid w:val="005056D2"/>
    <w:rsid w:val="00506096"/>
    <w:rsid w:val="0050667D"/>
    <w:rsid w:val="00507084"/>
    <w:rsid w:val="005109BF"/>
    <w:rsid w:val="005110E6"/>
    <w:rsid w:val="00512806"/>
    <w:rsid w:val="00513B22"/>
    <w:rsid w:val="00514E75"/>
    <w:rsid w:val="005153D3"/>
    <w:rsid w:val="00516563"/>
    <w:rsid w:val="005213B3"/>
    <w:rsid w:val="005214FB"/>
    <w:rsid w:val="00522F32"/>
    <w:rsid w:val="00522FF9"/>
    <w:rsid w:val="00524C12"/>
    <w:rsid w:val="0053074F"/>
    <w:rsid w:val="00530CF8"/>
    <w:rsid w:val="00531B3D"/>
    <w:rsid w:val="00531B4D"/>
    <w:rsid w:val="00532FCD"/>
    <w:rsid w:val="0053571F"/>
    <w:rsid w:val="00535F53"/>
    <w:rsid w:val="00536A16"/>
    <w:rsid w:val="00542840"/>
    <w:rsid w:val="00542E0D"/>
    <w:rsid w:val="00543809"/>
    <w:rsid w:val="00544E81"/>
    <w:rsid w:val="00545637"/>
    <w:rsid w:val="005533D8"/>
    <w:rsid w:val="00553763"/>
    <w:rsid w:val="00554875"/>
    <w:rsid w:val="00554E9D"/>
    <w:rsid w:val="00555238"/>
    <w:rsid w:val="0055699F"/>
    <w:rsid w:val="00556FFD"/>
    <w:rsid w:val="00561BB1"/>
    <w:rsid w:val="00563BC9"/>
    <w:rsid w:val="00565DCF"/>
    <w:rsid w:val="0056652F"/>
    <w:rsid w:val="0056741E"/>
    <w:rsid w:val="00567497"/>
    <w:rsid w:val="00567DE6"/>
    <w:rsid w:val="00570035"/>
    <w:rsid w:val="00571902"/>
    <w:rsid w:val="00572DA5"/>
    <w:rsid w:val="00573624"/>
    <w:rsid w:val="00575309"/>
    <w:rsid w:val="00575BFA"/>
    <w:rsid w:val="00575D75"/>
    <w:rsid w:val="005769F1"/>
    <w:rsid w:val="005802D8"/>
    <w:rsid w:val="00580C83"/>
    <w:rsid w:val="00585401"/>
    <w:rsid w:val="00585D0E"/>
    <w:rsid w:val="00594EAA"/>
    <w:rsid w:val="005955BF"/>
    <w:rsid w:val="00596A86"/>
    <w:rsid w:val="005977C3"/>
    <w:rsid w:val="005A1447"/>
    <w:rsid w:val="005A1E45"/>
    <w:rsid w:val="005A4ADE"/>
    <w:rsid w:val="005A51F2"/>
    <w:rsid w:val="005A5FBD"/>
    <w:rsid w:val="005A68B7"/>
    <w:rsid w:val="005B4A23"/>
    <w:rsid w:val="005B598E"/>
    <w:rsid w:val="005B61B1"/>
    <w:rsid w:val="005B6BC9"/>
    <w:rsid w:val="005B7D43"/>
    <w:rsid w:val="005C1C9C"/>
    <w:rsid w:val="005C4276"/>
    <w:rsid w:val="005C46CC"/>
    <w:rsid w:val="005C570F"/>
    <w:rsid w:val="005C5C28"/>
    <w:rsid w:val="005C5F6A"/>
    <w:rsid w:val="005C7062"/>
    <w:rsid w:val="005D2900"/>
    <w:rsid w:val="005D2C94"/>
    <w:rsid w:val="005D2DF4"/>
    <w:rsid w:val="005D4156"/>
    <w:rsid w:val="005D4A96"/>
    <w:rsid w:val="005D5E06"/>
    <w:rsid w:val="005D6526"/>
    <w:rsid w:val="005D659F"/>
    <w:rsid w:val="005D7989"/>
    <w:rsid w:val="005E0EA3"/>
    <w:rsid w:val="005E2668"/>
    <w:rsid w:val="005E3033"/>
    <w:rsid w:val="005E4180"/>
    <w:rsid w:val="005E4DC9"/>
    <w:rsid w:val="005E55DE"/>
    <w:rsid w:val="005E5AE3"/>
    <w:rsid w:val="005E6879"/>
    <w:rsid w:val="005E7DB2"/>
    <w:rsid w:val="005F0B8A"/>
    <w:rsid w:val="005F184D"/>
    <w:rsid w:val="005F2264"/>
    <w:rsid w:val="005F422B"/>
    <w:rsid w:val="005F5F10"/>
    <w:rsid w:val="005F63E9"/>
    <w:rsid w:val="005F6959"/>
    <w:rsid w:val="006015C6"/>
    <w:rsid w:val="006044F6"/>
    <w:rsid w:val="00607086"/>
    <w:rsid w:val="00612298"/>
    <w:rsid w:val="00622E00"/>
    <w:rsid w:val="00623FAA"/>
    <w:rsid w:val="00625F94"/>
    <w:rsid w:val="00630D09"/>
    <w:rsid w:val="006348DD"/>
    <w:rsid w:val="00634FC6"/>
    <w:rsid w:val="00635CDB"/>
    <w:rsid w:val="0063654D"/>
    <w:rsid w:val="006414EF"/>
    <w:rsid w:val="006415D4"/>
    <w:rsid w:val="00645575"/>
    <w:rsid w:val="00647164"/>
    <w:rsid w:val="00647957"/>
    <w:rsid w:val="006507DC"/>
    <w:rsid w:val="00652C8F"/>
    <w:rsid w:val="00652D66"/>
    <w:rsid w:val="00654764"/>
    <w:rsid w:val="00654A26"/>
    <w:rsid w:val="00654A51"/>
    <w:rsid w:val="00657926"/>
    <w:rsid w:val="00657B00"/>
    <w:rsid w:val="00662227"/>
    <w:rsid w:val="00667F6D"/>
    <w:rsid w:val="00671A54"/>
    <w:rsid w:val="00673C1E"/>
    <w:rsid w:val="0067476F"/>
    <w:rsid w:val="00675399"/>
    <w:rsid w:val="0067597D"/>
    <w:rsid w:val="006759FD"/>
    <w:rsid w:val="00676D24"/>
    <w:rsid w:val="0067793C"/>
    <w:rsid w:val="00680F3B"/>
    <w:rsid w:val="00681677"/>
    <w:rsid w:val="00682627"/>
    <w:rsid w:val="0068441B"/>
    <w:rsid w:val="00685DC7"/>
    <w:rsid w:val="00686CA8"/>
    <w:rsid w:val="00687143"/>
    <w:rsid w:val="0068722A"/>
    <w:rsid w:val="00687307"/>
    <w:rsid w:val="00690974"/>
    <w:rsid w:val="006930FE"/>
    <w:rsid w:val="006937FA"/>
    <w:rsid w:val="00696B46"/>
    <w:rsid w:val="00696EA0"/>
    <w:rsid w:val="006A0654"/>
    <w:rsid w:val="006A0BF5"/>
    <w:rsid w:val="006A1169"/>
    <w:rsid w:val="006A24BE"/>
    <w:rsid w:val="006A3FDD"/>
    <w:rsid w:val="006A4041"/>
    <w:rsid w:val="006A4B32"/>
    <w:rsid w:val="006A6353"/>
    <w:rsid w:val="006A7287"/>
    <w:rsid w:val="006B05D7"/>
    <w:rsid w:val="006B1196"/>
    <w:rsid w:val="006B2142"/>
    <w:rsid w:val="006B2199"/>
    <w:rsid w:val="006B3BE6"/>
    <w:rsid w:val="006B6118"/>
    <w:rsid w:val="006B6132"/>
    <w:rsid w:val="006C00D6"/>
    <w:rsid w:val="006C05D1"/>
    <w:rsid w:val="006C09D4"/>
    <w:rsid w:val="006C0ED2"/>
    <w:rsid w:val="006C2F33"/>
    <w:rsid w:val="006C3035"/>
    <w:rsid w:val="006C3E92"/>
    <w:rsid w:val="006C7143"/>
    <w:rsid w:val="006D064A"/>
    <w:rsid w:val="006D10A4"/>
    <w:rsid w:val="006D1D72"/>
    <w:rsid w:val="006D282E"/>
    <w:rsid w:val="006D2A47"/>
    <w:rsid w:val="006D3CB1"/>
    <w:rsid w:val="006D6096"/>
    <w:rsid w:val="006E2493"/>
    <w:rsid w:val="006E24D0"/>
    <w:rsid w:val="006E787D"/>
    <w:rsid w:val="006F0E16"/>
    <w:rsid w:val="006F1CD8"/>
    <w:rsid w:val="006F4BB1"/>
    <w:rsid w:val="006F65BC"/>
    <w:rsid w:val="006F6A28"/>
    <w:rsid w:val="006F798C"/>
    <w:rsid w:val="00701977"/>
    <w:rsid w:val="00701C74"/>
    <w:rsid w:val="00701C8F"/>
    <w:rsid w:val="00702A66"/>
    <w:rsid w:val="00703C3F"/>
    <w:rsid w:val="00705D63"/>
    <w:rsid w:val="007065BB"/>
    <w:rsid w:val="00706B42"/>
    <w:rsid w:val="00711CFE"/>
    <w:rsid w:val="00712BD0"/>
    <w:rsid w:val="0071322B"/>
    <w:rsid w:val="00713F5A"/>
    <w:rsid w:val="00715E80"/>
    <w:rsid w:val="00716B45"/>
    <w:rsid w:val="00717251"/>
    <w:rsid w:val="00721820"/>
    <w:rsid w:val="007236BC"/>
    <w:rsid w:val="0072459C"/>
    <w:rsid w:val="00726E08"/>
    <w:rsid w:val="00727D91"/>
    <w:rsid w:val="00730EE4"/>
    <w:rsid w:val="00733F68"/>
    <w:rsid w:val="00733F74"/>
    <w:rsid w:val="00735C99"/>
    <w:rsid w:val="00736829"/>
    <w:rsid w:val="00741C6D"/>
    <w:rsid w:val="00742E26"/>
    <w:rsid w:val="007435C8"/>
    <w:rsid w:val="00745D0E"/>
    <w:rsid w:val="00747D63"/>
    <w:rsid w:val="00750D0C"/>
    <w:rsid w:val="00753A67"/>
    <w:rsid w:val="00755BCA"/>
    <w:rsid w:val="00755F8B"/>
    <w:rsid w:val="00756F53"/>
    <w:rsid w:val="00757F92"/>
    <w:rsid w:val="007603F9"/>
    <w:rsid w:val="00761E3F"/>
    <w:rsid w:val="0076203F"/>
    <w:rsid w:val="007621B9"/>
    <w:rsid w:val="007633D7"/>
    <w:rsid w:val="00765591"/>
    <w:rsid w:val="007659D1"/>
    <w:rsid w:val="007674A2"/>
    <w:rsid w:val="00770286"/>
    <w:rsid w:val="00774DCE"/>
    <w:rsid w:val="0077605C"/>
    <w:rsid w:val="00781285"/>
    <w:rsid w:val="00781DAD"/>
    <w:rsid w:val="00782460"/>
    <w:rsid w:val="0078274C"/>
    <w:rsid w:val="00782CC4"/>
    <w:rsid w:val="00786F0E"/>
    <w:rsid w:val="00787D06"/>
    <w:rsid w:val="00787D5B"/>
    <w:rsid w:val="0079357E"/>
    <w:rsid w:val="007A062A"/>
    <w:rsid w:val="007A077A"/>
    <w:rsid w:val="007A3409"/>
    <w:rsid w:val="007A6653"/>
    <w:rsid w:val="007A789C"/>
    <w:rsid w:val="007B0A4A"/>
    <w:rsid w:val="007B0DEE"/>
    <w:rsid w:val="007B192D"/>
    <w:rsid w:val="007B2DCE"/>
    <w:rsid w:val="007B4AC6"/>
    <w:rsid w:val="007B50F9"/>
    <w:rsid w:val="007B78EA"/>
    <w:rsid w:val="007B7991"/>
    <w:rsid w:val="007C0A4D"/>
    <w:rsid w:val="007C1D9C"/>
    <w:rsid w:val="007C271E"/>
    <w:rsid w:val="007C2960"/>
    <w:rsid w:val="007C4922"/>
    <w:rsid w:val="007C4C0B"/>
    <w:rsid w:val="007C613F"/>
    <w:rsid w:val="007C68D8"/>
    <w:rsid w:val="007C783E"/>
    <w:rsid w:val="007D0C24"/>
    <w:rsid w:val="007D1882"/>
    <w:rsid w:val="007D1DE7"/>
    <w:rsid w:val="007D48EF"/>
    <w:rsid w:val="007D574C"/>
    <w:rsid w:val="007D640E"/>
    <w:rsid w:val="007D7225"/>
    <w:rsid w:val="007D7705"/>
    <w:rsid w:val="007E06CD"/>
    <w:rsid w:val="007E18DF"/>
    <w:rsid w:val="007E1EFF"/>
    <w:rsid w:val="007E2BA7"/>
    <w:rsid w:val="007E2BDD"/>
    <w:rsid w:val="007E3010"/>
    <w:rsid w:val="007F2226"/>
    <w:rsid w:val="007F3E06"/>
    <w:rsid w:val="007F41BD"/>
    <w:rsid w:val="007F6023"/>
    <w:rsid w:val="007F6D7F"/>
    <w:rsid w:val="007F787D"/>
    <w:rsid w:val="007F7A0B"/>
    <w:rsid w:val="00800A44"/>
    <w:rsid w:val="00801CA6"/>
    <w:rsid w:val="00802C30"/>
    <w:rsid w:val="0080725D"/>
    <w:rsid w:val="00812357"/>
    <w:rsid w:val="0081573B"/>
    <w:rsid w:val="00815FF1"/>
    <w:rsid w:val="00816FF8"/>
    <w:rsid w:val="00821268"/>
    <w:rsid w:val="00821B46"/>
    <w:rsid w:val="008269BC"/>
    <w:rsid w:val="00827515"/>
    <w:rsid w:val="00830EDC"/>
    <w:rsid w:val="00831DC2"/>
    <w:rsid w:val="008320B7"/>
    <w:rsid w:val="00834280"/>
    <w:rsid w:val="0083648C"/>
    <w:rsid w:val="0083770D"/>
    <w:rsid w:val="00840437"/>
    <w:rsid w:val="0084066F"/>
    <w:rsid w:val="00841314"/>
    <w:rsid w:val="00841463"/>
    <w:rsid w:val="00841ACE"/>
    <w:rsid w:val="008421F1"/>
    <w:rsid w:val="00843181"/>
    <w:rsid w:val="00844011"/>
    <w:rsid w:val="00844223"/>
    <w:rsid w:val="00844AB9"/>
    <w:rsid w:val="0085015E"/>
    <w:rsid w:val="0085149A"/>
    <w:rsid w:val="00851572"/>
    <w:rsid w:val="00851F9B"/>
    <w:rsid w:val="00852FD9"/>
    <w:rsid w:val="0085313D"/>
    <w:rsid w:val="00854D3E"/>
    <w:rsid w:val="00857778"/>
    <w:rsid w:val="008604E7"/>
    <w:rsid w:val="00860CB5"/>
    <w:rsid w:val="00860E50"/>
    <w:rsid w:val="00861793"/>
    <w:rsid w:val="00861BE7"/>
    <w:rsid w:val="00861C08"/>
    <w:rsid w:val="00861D25"/>
    <w:rsid w:val="008623FE"/>
    <w:rsid w:val="00862C2C"/>
    <w:rsid w:val="00864C40"/>
    <w:rsid w:val="0086535C"/>
    <w:rsid w:val="0086628D"/>
    <w:rsid w:val="00870C43"/>
    <w:rsid w:val="00873ABA"/>
    <w:rsid w:val="0087508D"/>
    <w:rsid w:val="0087734E"/>
    <w:rsid w:val="008815D8"/>
    <w:rsid w:val="00882A42"/>
    <w:rsid w:val="00886E56"/>
    <w:rsid w:val="00890033"/>
    <w:rsid w:val="00890291"/>
    <w:rsid w:val="0089052C"/>
    <w:rsid w:val="00893138"/>
    <w:rsid w:val="00893695"/>
    <w:rsid w:val="008936DB"/>
    <w:rsid w:val="00894C00"/>
    <w:rsid w:val="00895BE8"/>
    <w:rsid w:val="0089629B"/>
    <w:rsid w:val="008A2783"/>
    <w:rsid w:val="008A3572"/>
    <w:rsid w:val="008A43F0"/>
    <w:rsid w:val="008A65A6"/>
    <w:rsid w:val="008A671E"/>
    <w:rsid w:val="008A6CF3"/>
    <w:rsid w:val="008B0CC5"/>
    <w:rsid w:val="008B235C"/>
    <w:rsid w:val="008B2842"/>
    <w:rsid w:val="008C080A"/>
    <w:rsid w:val="008C0927"/>
    <w:rsid w:val="008C2E20"/>
    <w:rsid w:val="008C3162"/>
    <w:rsid w:val="008C3C4E"/>
    <w:rsid w:val="008C3CF8"/>
    <w:rsid w:val="008C3DA3"/>
    <w:rsid w:val="008C41AF"/>
    <w:rsid w:val="008C48CA"/>
    <w:rsid w:val="008C5AAE"/>
    <w:rsid w:val="008D1980"/>
    <w:rsid w:val="008D265F"/>
    <w:rsid w:val="008D658F"/>
    <w:rsid w:val="008D7B60"/>
    <w:rsid w:val="008E0D85"/>
    <w:rsid w:val="008E3B93"/>
    <w:rsid w:val="008E3DD1"/>
    <w:rsid w:val="008E530B"/>
    <w:rsid w:val="008E6463"/>
    <w:rsid w:val="008E6614"/>
    <w:rsid w:val="008E674F"/>
    <w:rsid w:val="008E7F37"/>
    <w:rsid w:val="008F1AF1"/>
    <w:rsid w:val="008F1C7D"/>
    <w:rsid w:val="008F2564"/>
    <w:rsid w:val="008F2B81"/>
    <w:rsid w:val="008F4080"/>
    <w:rsid w:val="008F52DE"/>
    <w:rsid w:val="008F5ECA"/>
    <w:rsid w:val="008F603C"/>
    <w:rsid w:val="00900A3C"/>
    <w:rsid w:val="0090313E"/>
    <w:rsid w:val="009031D0"/>
    <w:rsid w:val="00904556"/>
    <w:rsid w:val="009045D0"/>
    <w:rsid w:val="00904C1F"/>
    <w:rsid w:val="00913BA0"/>
    <w:rsid w:val="00914457"/>
    <w:rsid w:val="00915343"/>
    <w:rsid w:val="0091626C"/>
    <w:rsid w:val="0091675C"/>
    <w:rsid w:val="0091769A"/>
    <w:rsid w:val="00920866"/>
    <w:rsid w:val="00920DA5"/>
    <w:rsid w:val="00925208"/>
    <w:rsid w:val="009264C1"/>
    <w:rsid w:val="0092662A"/>
    <w:rsid w:val="00930FD4"/>
    <w:rsid w:val="00931E8D"/>
    <w:rsid w:val="00934CC9"/>
    <w:rsid w:val="0093505A"/>
    <w:rsid w:val="009355E5"/>
    <w:rsid w:val="009459A2"/>
    <w:rsid w:val="00946529"/>
    <w:rsid w:val="00946DDD"/>
    <w:rsid w:val="009472B0"/>
    <w:rsid w:val="00947607"/>
    <w:rsid w:val="0094789A"/>
    <w:rsid w:val="00950814"/>
    <w:rsid w:val="00951965"/>
    <w:rsid w:val="0095513C"/>
    <w:rsid w:val="009551C8"/>
    <w:rsid w:val="00955B27"/>
    <w:rsid w:val="009565FB"/>
    <w:rsid w:val="00956C1E"/>
    <w:rsid w:val="009578BB"/>
    <w:rsid w:val="009621A5"/>
    <w:rsid w:val="00963D69"/>
    <w:rsid w:val="009652E9"/>
    <w:rsid w:val="00967E00"/>
    <w:rsid w:val="009738C7"/>
    <w:rsid w:val="009739B5"/>
    <w:rsid w:val="00973E34"/>
    <w:rsid w:val="00973F36"/>
    <w:rsid w:val="00977590"/>
    <w:rsid w:val="00980908"/>
    <w:rsid w:val="00984199"/>
    <w:rsid w:val="00986B1A"/>
    <w:rsid w:val="0099088A"/>
    <w:rsid w:val="00990E87"/>
    <w:rsid w:val="009918A7"/>
    <w:rsid w:val="0099296E"/>
    <w:rsid w:val="009933F0"/>
    <w:rsid w:val="00993D25"/>
    <w:rsid w:val="009941D3"/>
    <w:rsid w:val="009A0418"/>
    <w:rsid w:val="009A2DFC"/>
    <w:rsid w:val="009A3EEE"/>
    <w:rsid w:val="009A72E2"/>
    <w:rsid w:val="009A7ED3"/>
    <w:rsid w:val="009B0098"/>
    <w:rsid w:val="009B27BD"/>
    <w:rsid w:val="009C3456"/>
    <w:rsid w:val="009C3D6C"/>
    <w:rsid w:val="009C5F93"/>
    <w:rsid w:val="009C6E04"/>
    <w:rsid w:val="009D0500"/>
    <w:rsid w:val="009D2D9D"/>
    <w:rsid w:val="009D3A30"/>
    <w:rsid w:val="009D4A40"/>
    <w:rsid w:val="009D51D3"/>
    <w:rsid w:val="009D5ED1"/>
    <w:rsid w:val="009D7EAC"/>
    <w:rsid w:val="009D7FBB"/>
    <w:rsid w:val="009E019E"/>
    <w:rsid w:val="009E064A"/>
    <w:rsid w:val="009F134A"/>
    <w:rsid w:val="009F17DF"/>
    <w:rsid w:val="009F1E66"/>
    <w:rsid w:val="009F2649"/>
    <w:rsid w:val="009F2666"/>
    <w:rsid w:val="009F74AC"/>
    <w:rsid w:val="00A025EC"/>
    <w:rsid w:val="00A02773"/>
    <w:rsid w:val="00A04541"/>
    <w:rsid w:val="00A04E46"/>
    <w:rsid w:val="00A04EC7"/>
    <w:rsid w:val="00A05392"/>
    <w:rsid w:val="00A07775"/>
    <w:rsid w:val="00A07CBF"/>
    <w:rsid w:val="00A115DC"/>
    <w:rsid w:val="00A11AAF"/>
    <w:rsid w:val="00A127B5"/>
    <w:rsid w:val="00A14153"/>
    <w:rsid w:val="00A2147F"/>
    <w:rsid w:val="00A22326"/>
    <w:rsid w:val="00A22DED"/>
    <w:rsid w:val="00A22F8D"/>
    <w:rsid w:val="00A2462F"/>
    <w:rsid w:val="00A25803"/>
    <w:rsid w:val="00A2744C"/>
    <w:rsid w:val="00A310AF"/>
    <w:rsid w:val="00A3231D"/>
    <w:rsid w:val="00A3248A"/>
    <w:rsid w:val="00A33888"/>
    <w:rsid w:val="00A37C43"/>
    <w:rsid w:val="00A40B23"/>
    <w:rsid w:val="00A42C52"/>
    <w:rsid w:val="00A4347F"/>
    <w:rsid w:val="00A46D2B"/>
    <w:rsid w:val="00A504B9"/>
    <w:rsid w:val="00A52CA0"/>
    <w:rsid w:val="00A53A61"/>
    <w:rsid w:val="00A54F5E"/>
    <w:rsid w:val="00A55878"/>
    <w:rsid w:val="00A5657B"/>
    <w:rsid w:val="00A57EF3"/>
    <w:rsid w:val="00A6009D"/>
    <w:rsid w:val="00A60910"/>
    <w:rsid w:val="00A61F62"/>
    <w:rsid w:val="00A637B0"/>
    <w:rsid w:val="00A67888"/>
    <w:rsid w:val="00A760B2"/>
    <w:rsid w:val="00A83B38"/>
    <w:rsid w:val="00A84340"/>
    <w:rsid w:val="00A8475B"/>
    <w:rsid w:val="00A84AF7"/>
    <w:rsid w:val="00A86D58"/>
    <w:rsid w:val="00A91002"/>
    <w:rsid w:val="00A938A8"/>
    <w:rsid w:val="00A94234"/>
    <w:rsid w:val="00A9567D"/>
    <w:rsid w:val="00A96DE2"/>
    <w:rsid w:val="00AA046B"/>
    <w:rsid w:val="00AA0796"/>
    <w:rsid w:val="00AA18A5"/>
    <w:rsid w:val="00AA27EE"/>
    <w:rsid w:val="00AA3F8D"/>
    <w:rsid w:val="00AA547D"/>
    <w:rsid w:val="00AA5AD6"/>
    <w:rsid w:val="00AB0E74"/>
    <w:rsid w:val="00AB2675"/>
    <w:rsid w:val="00AB43AF"/>
    <w:rsid w:val="00AB4CF2"/>
    <w:rsid w:val="00AC11A2"/>
    <w:rsid w:val="00AC24A7"/>
    <w:rsid w:val="00AC2746"/>
    <w:rsid w:val="00AC32E4"/>
    <w:rsid w:val="00AC43E2"/>
    <w:rsid w:val="00AC588E"/>
    <w:rsid w:val="00AC6872"/>
    <w:rsid w:val="00AC6EB3"/>
    <w:rsid w:val="00AC700D"/>
    <w:rsid w:val="00AD1563"/>
    <w:rsid w:val="00AD22E1"/>
    <w:rsid w:val="00AD2895"/>
    <w:rsid w:val="00AD3B0D"/>
    <w:rsid w:val="00AD5FE9"/>
    <w:rsid w:val="00AD6DCB"/>
    <w:rsid w:val="00AD70FF"/>
    <w:rsid w:val="00AE22E8"/>
    <w:rsid w:val="00AE6FA5"/>
    <w:rsid w:val="00AF0291"/>
    <w:rsid w:val="00AF138F"/>
    <w:rsid w:val="00AF1605"/>
    <w:rsid w:val="00AF3CB4"/>
    <w:rsid w:val="00AF3F64"/>
    <w:rsid w:val="00AF40AC"/>
    <w:rsid w:val="00B02919"/>
    <w:rsid w:val="00B02EFD"/>
    <w:rsid w:val="00B05F35"/>
    <w:rsid w:val="00B12FA8"/>
    <w:rsid w:val="00B1649E"/>
    <w:rsid w:val="00B175BF"/>
    <w:rsid w:val="00B17E82"/>
    <w:rsid w:val="00B22898"/>
    <w:rsid w:val="00B23373"/>
    <w:rsid w:val="00B23D89"/>
    <w:rsid w:val="00B24519"/>
    <w:rsid w:val="00B2632F"/>
    <w:rsid w:val="00B271BA"/>
    <w:rsid w:val="00B275E1"/>
    <w:rsid w:val="00B307CC"/>
    <w:rsid w:val="00B32BCF"/>
    <w:rsid w:val="00B3386F"/>
    <w:rsid w:val="00B35600"/>
    <w:rsid w:val="00B35B37"/>
    <w:rsid w:val="00B40519"/>
    <w:rsid w:val="00B411AF"/>
    <w:rsid w:val="00B4162F"/>
    <w:rsid w:val="00B43B82"/>
    <w:rsid w:val="00B46464"/>
    <w:rsid w:val="00B46E6B"/>
    <w:rsid w:val="00B478FE"/>
    <w:rsid w:val="00B47FC8"/>
    <w:rsid w:val="00B51D4F"/>
    <w:rsid w:val="00B51E31"/>
    <w:rsid w:val="00B52444"/>
    <w:rsid w:val="00B558B0"/>
    <w:rsid w:val="00B56E51"/>
    <w:rsid w:val="00B608CE"/>
    <w:rsid w:val="00B64418"/>
    <w:rsid w:val="00B64795"/>
    <w:rsid w:val="00B7018A"/>
    <w:rsid w:val="00B702F6"/>
    <w:rsid w:val="00B74531"/>
    <w:rsid w:val="00B77045"/>
    <w:rsid w:val="00B80056"/>
    <w:rsid w:val="00B808C9"/>
    <w:rsid w:val="00B82443"/>
    <w:rsid w:val="00B84232"/>
    <w:rsid w:val="00B86539"/>
    <w:rsid w:val="00B91BE2"/>
    <w:rsid w:val="00B925BC"/>
    <w:rsid w:val="00B93321"/>
    <w:rsid w:val="00B93471"/>
    <w:rsid w:val="00B93DB3"/>
    <w:rsid w:val="00B956D6"/>
    <w:rsid w:val="00B95E4D"/>
    <w:rsid w:val="00B967EF"/>
    <w:rsid w:val="00BA35D7"/>
    <w:rsid w:val="00BA4388"/>
    <w:rsid w:val="00BA55C8"/>
    <w:rsid w:val="00BA7782"/>
    <w:rsid w:val="00BB0676"/>
    <w:rsid w:val="00BB0810"/>
    <w:rsid w:val="00BB13BE"/>
    <w:rsid w:val="00BB2FD2"/>
    <w:rsid w:val="00BB361B"/>
    <w:rsid w:val="00BB3A0F"/>
    <w:rsid w:val="00BB4A8E"/>
    <w:rsid w:val="00BB510E"/>
    <w:rsid w:val="00BB7E90"/>
    <w:rsid w:val="00BC1012"/>
    <w:rsid w:val="00BC1A12"/>
    <w:rsid w:val="00BC1D18"/>
    <w:rsid w:val="00BC1EA8"/>
    <w:rsid w:val="00BC2038"/>
    <w:rsid w:val="00BC2237"/>
    <w:rsid w:val="00BC2C0E"/>
    <w:rsid w:val="00BC4AB4"/>
    <w:rsid w:val="00BD0EE3"/>
    <w:rsid w:val="00BD2A26"/>
    <w:rsid w:val="00BD34EE"/>
    <w:rsid w:val="00BD510E"/>
    <w:rsid w:val="00BD5179"/>
    <w:rsid w:val="00BD5CA2"/>
    <w:rsid w:val="00BD7E38"/>
    <w:rsid w:val="00BE0FD3"/>
    <w:rsid w:val="00BE34E3"/>
    <w:rsid w:val="00BE424D"/>
    <w:rsid w:val="00BE45F8"/>
    <w:rsid w:val="00BE4FA0"/>
    <w:rsid w:val="00BE6F52"/>
    <w:rsid w:val="00BE7ACA"/>
    <w:rsid w:val="00BF044D"/>
    <w:rsid w:val="00BF04A7"/>
    <w:rsid w:val="00BF3AFB"/>
    <w:rsid w:val="00BF4BD1"/>
    <w:rsid w:val="00BF669A"/>
    <w:rsid w:val="00C01237"/>
    <w:rsid w:val="00C02FC7"/>
    <w:rsid w:val="00C0678A"/>
    <w:rsid w:val="00C0789C"/>
    <w:rsid w:val="00C117BE"/>
    <w:rsid w:val="00C14827"/>
    <w:rsid w:val="00C1589E"/>
    <w:rsid w:val="00C172B7"/>
    <w:rsid w:val="00C20793"/>
    <w:rsid w:val="00C217A3"/>
    <w:rsid w:val="00C217C8"/>
    <w:rsid w:val="00C21EF5"/>
    <w:rsid w:val="00C23C88"/>
    <w:rsid w:val="00C24C8D"/>
    <w:rsid w:val="00C24DBC"/>
    <w:rsid w:val="00C253BB"/>
    <w:rsid w:val="00C260C8"/>
    <w:rsid w:val="00C27471"/>
    <w:rsid w:val="00C27983"/>
    <w:rsid w:val="00C301FC"/>
    <w:rsid w:val="00C31E47"/>
    <w:rsid w:val="00C323F4"/>
    <w:rsid w:val="00C329A8"/>
    <w:rsid w:val="00C351DE"/>
    <w:rsid w:val="00C36571"/>
    <w:rsid w:val="00C36929"/>
    <w:rsid w:val="00C4069C"/>
    <w:rsid w:val="00C40CCD"/>
    <w:rsid w:val="00C4162C"/>
    <w:rsid w:val="00C41DEB"/>
    <w:rsid w:val="00C424C6"/>
    <w:rsid w:val="00C445AB"/>
    <w:rsid w:val="00C51666"/>
    <w:rsid w:val="00C51C04"/>
    <w:rsid w:val="00C52EE8"/>
    <w:rsid w:val="00C5376A"/>
    <w:rsid w:val="00C54776"/>
    <w:rsid w:val="00C607BB"/>
    <w:rsid w:val="00C61AED"/>
    <w:rsid w:val="00C62F66"/>
    <w:rsid w:val="00C631B1"/>
    <w:rsid w:val="00C64230"/>
    <w:rsid w:val="00C64848"/>
    <w:rsid w:val="00C713AF"/>
    <w:rsid w:val="00C72110"/>
    <w:rsid w:val="00C732D8"/>
    <w:rsid w:val="00C740A4"/>
    <w:rsid w:val="00C74585"/>
    <w:rsid w:val="00C74B45"/>
    <w:rsid w:val="00C74EFC"/>
    <w:rsid w:val="00C771AE"/>
    <w:rsid w:val="00C77A6E"/>
    <w:rsid w:val="00C81180"/>
    <w:rsid w:val="00C81549"/>
    <w:rsid w:val="00C82E5C"/>
    <w:rsid w:val="00C8357D"/>
    <w:rsid w:val="00C84F03"/>
    <w:rsid w:val="00C873EE"/>
    <w:rsid w:val="00C90EEF"/>
    <w:rsid w:val="00C94626"/>
    <w:rsid w:val="00CA0942"/>
    <w:rsid w:val="00CA2820"/>
    <w:rsid w:val="00CA2CE4"/>
    <w:rsid w:val="00CA323A"/>
    <w:rsid w:val="00CA404F"/>
    <w:rsid w:val="00CA4A7B"/>
    <w:rsid w:val="00CA56F9"/>
    <w:rsid w:val="00CA7925"/>
    <w:rsid w:val="00CB08AF"/>
    <w:rsid w:val="00CB3436"/>
    <w:rsid w:val="00CB4FF0"/>
    <w:rsid w:val="00CC0064"/>
    <w:rsid w:val="00CC44E4"/>
    <w:rsid w:val="00CC5860"/>
    <w:rsid w:val="00CC5BBF"/>
    <w:rsid w:val="00CC7A85"/>
    <w:rsid w:val="00CD28C9"/>
    <w:rsid w:val="00CD3A5D"/>
    <w:rsid w:val="00CD5990"/>
    <w:rsid w:val="00CE062D"/>
    <w:rsid w:val="00CE0C48"/>
    <w:rsid w:val="00CE4EEF"/>
    <w:rsid w:val="00CF2DB3"/>
    <w:rsid w:val="00CF43E5"/>
    <w:rsid w:val="00CF6263"/>
    <w:rsid w:val="00D00554"/>
    <w:rsid w:val="00D00AC3"/>
    <w:rsid w:val="00D05878"/>
    <w:rsid w:val="00D06232"/>
    <w:rsid w:val="00D06697"/>
    <w:rsid w:val="00D112F8"/>
    <w:rsid w:val="00D127E1"/>
    <w:rsid w:val="00D12990"/>
    <w:rsid w:val="00D13C1A"/>
    <w:rsid w:val="00D202E6"/>
    <w:rsid w:val="00D2156C"/>
    <w:rsid w:val="00D21F15"/>
    <w:rsid w:val="00D223AF"/>
    <w:rsid w:val="00D2372B"/>
    <w:rsid w:val="00D252AC"/>
    <w:rsid w:val="00D30514"/>
    <w:rsid w:val="00D3081B"/>
    <w:rsid w:val="00D3220B"/>
    <w:rsid w:val="00D32BCD"/>
    <w:rsid w:val="00D32E27"/>
    <w:rsid w:val="00D3331E"/>
    <w:rsid w:val="00D34620"/>
    <w:rsid w:val="00D40373"/>
    <w:rsid w:val="00D4166E"/>
    <w:rsid w:val="00D44F45"/>
    <w:rsid w:val="00D46774"/>
    <w:rsid w:val="00D46E68"/>
    <w:rsid w:val="00D50AF4"/>
    <w:rsid w:val="00D53A86"/>
    <w:rsid w:val="00D566F6"/>
    <w:rsid w:val="00D6499A"/>
    <w:rsid w:val="00D662BA"/>
    <w:rsid w:val="00D70D0D"/>
    <w:rsid w:val="00D714BB"/>
    <w:rsid w:val="00D748EA"/>
    <w:rsid w:val="00D75715"/>
    <w:rsid w:val="00D75ECF"/>
    <w:rsid w:val="00D77C6C"/>
    <w:rsid w:val="00D77E21"/>
    <w:rsid w:val="00D821BE"/>
    <w:rsid w:val="00D82BB7"/>
    <w:rsid w:val="00D83C8B"/>
    <w:rsid w:val="00D84D90"/>
    <w:rsid w:val="00D85F29"/>
    <w:rsid w:val="00D8607D"/>
    <w:rsid w:val="00D877A5"/>
    <w:rsid w:val="00D92DF1"/>
    <w:rsid w:val="00D9342C"/>
    <w:rsid w:val="00D944D8"/>
    <w:rsid w:val="00D94925"/>
    <w:rsid w:val="00D94D21"/>
    <w:rsid w:val="00D95FF4"/>
    <w:rsid w:val="00D97EB9"/>
    <w:rsid w:val="00DA06CE"/>
    <w:rsid w:val="00DA1329"/>
    <w:rsid w:val="00DA1CE6"/>
    <w:rsid w:val="00DA3106"/>
    <w:rsid w:val="00DA42F9"/>
    <w:rsid w:val="00DA5CB5"/>
    <w:rsid w:val="00DA6A68"/>
    <w:rsid w:val="00DB01C4"/>
    <w:rsid w:val="00DB409F"/>
    <w:rsid w:val="00DB4159"/>
    <w:rsid w:val="00DB5400"/>
    <w:rsid w:val="00DB58E7"/>
    <w:rsid w:val="00DB6CBC"/>
    <w:rsid w:val="00DC0173"/>
    <w:rsid w:val="00DC026D"/>
    <w:rsid w:val="00DC11F9"/>
    <w:rsid w:val="00DC34FA"/>
    <w:rsid w:val="00DC3B0D"/>
    <w:rsid w:val="00DC3D91"/>
    <w:rsid w:val="00DC58B1"/>
    <w:rsid w:val="00DC696E"/>
    <w:rsid w:val="00DC6E80"/>
    <w:rsid w:val="00DC7896"/>
    <w:rsid w:val="00DC7F1E"/>
    <w:rsid w:val="00DD1F37"/>
    <w:rsid w:val="00DD6FA0"/>
    <w:rsid w:val="00DE011C"/>
    <w:rsid w:val="00DE083D"/>
    <w:rsid w:val="00DE0B42"/>
    <w:rsid w:val="00DE7686"/>
    <w:rsid w:val="00DF5704"/>
    <w:rsid w:val="00DF700B"/>
    <w:rsid w:val="00DF7608"/>
    <w:rsid w:val="00DF796C"/>
    <w:rsid w:val="00DF7ACD"/>
    <w:rsid w:val="00E0129C"/>
    <w:rsid w:val="00E036D1"/>
    <w:rsid w:val="00E119FE"/>
    <w:rsid w:val="00E12021"/>
    <w:rsid w:val="00E1221F"/>
    <w:rsid w:val="00E13003"/>
    <w:rsid w:val="00E15985"/>
    <w:rsid w:val="00E16FE9"/>
    <w:rsid w:val="00E17B10"/>
    <w:rsid w:val="00E17B34"/>
    <w:rsid w:val="00E20F03"/>
    <w:rsid w:val="00E20FC5"/>
    <w:rsid w:val="00E2325B"/>
    <w:rsid w:val="00E23438"/>
    <w:rsid w:val="00E23723"/>
    <w:rsid w:val="00E26BE6"/>
    <w:rsid w:val="00E30D70"/>
    <w:rsid w:val="00E3242F"/>
    <w:rsid w:val="00E35661"/>
    <w:rsid w:val="00E414AB"/>
    <w:rsid w:val="00E45359"/>
    <w:rsid w:val="00E45A9F"/>
    <w:rsid w:val="00E47B53"/>
    <w:rsid w:val="00E51651"/>
    <w:rsid w:val="00E523F2"/>
    <w:rsid w:val="00E56A9D"/>
    <w:rsid w:val="00E60CFA"/>
    <w:rsid w:val="00E62ADB"/>
    <w:rsid w:val="00E62B4F"/>
    <w:rsid w:val="00E634DD"/>
    <w:rsid w:val="00E63A2D"/>
    <w:rsid w:val="00E63FCD"/>
    <w:rsid w:val="00E647E6"/>
    <w:rsid w:val="00E6540C"/>
    <w:rsid w:val="00E65FBE"/>
    <w:rsid w:val="00E66F5C"/>
    <w:rsid w:val="00E679F5"/>
    <w:rsid w:val="00E70E55"/>
    <w:rsid w:val="00E71181"/>
    <w:rsid w:val="00E715E3"/>
    <w:rsid w:val="00E724D9"/>
    <w:rsid w:val="00E733E1"/>
    <w:rsid w:val="00E7500E"/>
    <w:rsid w:val="00E75976"/>
    <w:rsid w:val="00E75A32"/>
    <w:rsid w:val="00E767B4"/>
    <w:rsid w:val="00E83A67"/>
    <w:rsid w:val="00E83F22"/>
    <w:rsid w:val="00E84188"/>
    <w:rsid w:val="00E848F4"/>
    <w:rsid w:val="00E84F08"/>
    <w:rsid w:val="00E85650"/>
    <w:rsid w:val="00E90FCA"/>
    <w:rsid w:val="00E91F0C"/>
    <w:rsid w:val="00E933E2"/>
    <w:rsid w:val="00E942EB"/>
    <w:rsid w:val="00E968CF"/>
    <w:rsid w:val="00EA6D78"/>
    <w:rsid w:val="00EA74A8"/>
    <w:rsid w:val="00EB12F6"/>
    <w:rsid w:val="00EB1611"/>
    <w:rsid w:val="00EB1AA1"/>
    <w:rsid w:val="00EB2585"/>
    <w:rsid w:val="00EB2A62"/>
    <w:rsid w:val="00EB3727"/>
    <w:rsid w:val="00EB3D77"/>
    <w:rsid w:val="00EB4613"/>
    <w:rsid w:val="00EB6A31"/>
    <w:rsid w:val="00EC129E"/>
    <w:rsid w:val="00EC29C3"/>
    <w:rsid w:val="00EC3243"/>
    <w:rsid w:val="00EC3C9D"/>
    <w:rsid w:val="00EC432B"/>
    <w:rsid w:val="00EC435B"/>
    <w:rsid w:val="00EC4BA9"/>
    <w:rsid w:val="00EC4BB5"/>
    <w:rsid w:val="00EC5595"/>
    <w:rsid w:val="00EC5BC1"/>
    <w:rsid w:val="00EC5CDF"/>
    <w:rsid w:val="00EC5DDB"/>
    <w:rsid w:val="00EC6B02"/>
    <w:rsid w:val="00EC7679"/>
    <w:rsid w:val="00EC7AD0"/>
    <w:rsid w:val="00ED0EF6"/>
    <w:rsid w:val="00ED11B4"/>
    <w:rsid w:val="00ED2B46"/>
    <w:rsid w:val="00ED3B0A"/>
    <w:rsid w:val="00ED3DC0"/>
    <w:rsid w:val="00ED3EB3"/>
    <w:rsid w:val="00ED5A9B"/>
    <w:rsid w:val="00ED5EE2"/>
    <w:rsid w:val="00ED60C1"/>
    <w:rsid w:val="00EE0AA1"/>
    <w:rsid w:val="00EE104E"/>
    <w:rsid w:val="00EE2BF1"/>
    <w:rsid w:val="00EE356D"/>
    <w:rsid w:val="00EE7265"/>
    <w:rsid w:val="00EE75BF"/>
    <w:rsid w:val="00EF11CC"/>
    <w:rsid w:val="00EF2680"/>
    <w:rsid w:val="00EF3990"/>
    <w:rsid w:val="00EF5575"/>
    <w:rsid w:val="00EF65DF"/>
    <w:rsid w:val="00EF7448"/>
    <w:rsid w:val="00F002D7"/>
    <w:rsid w:val="00F00528"/>
    <w:rsid w:val="00F048C4"/>
    <w:rsid w:val="00F05A45"/>
    <w:rsid w:val="00F05A60"/>
    <w:rsid w:val="00F05C1A"/>
    <w:rsid w:val="00F12388"/>
    <w:rsid w:val="00F12E4C"/>
    <w:rsid w:val="00F16C6B"/>
    <w:rsid w:val="00F17915"/>
    <w:rsid w:val="00F2159D"/>
    <w:rsid w:val="00F25C23"/>
    <w:rsid w:val="00F300B6"/>
    <w:rsid w:val="00F310E7"/>
    <w:rsid w:val="00F31F29"/>
    <w:rsid w:val="00F31F33"/>
    <w:rsid w:val="00F330D7"/>
    <w:rsid w:val="00F36B8F"/>
    <w:rsid w:val="00F36C20"/>
    <w:rsid w:val="00F36F93"/>
    <w:rsid w:val="00F40608"/>
    <w:rsid w:val="00F41168"/>
    <w:rsid w:val="00F41CAA"/>
    <w:rsid w:val="00F445E6"/>
    <w:rsid w:val="00F44B21"/>
    <w:rsid w:val="00F4571D"/>
    <w:rsid w:val="00F45BAC"/>
    <w:rsid w:val="00F470C0"/>
    <w:rsid w:val="00F50375"/>
    <w:rsid w:val="00F51883"/>
    <w:rsid w:val="00F52D67"/>
    <w:rsid w:val="00F536D9"/>
    <w:rsid w:val="00F55647"/>
    <w:rsid w:val="00F6046C"/>
    <w:rsid w:val="00F60B03"/>
    <w:rsid w:val="00F61842"/>
    <w:rsid w:val="00F628FC"/>
    <w:rsid w:val="00F63CB8"/>
    <w:rsid w:val="00F64E2F"/>
    <w:rsid w:val="00F650EC"/>
    <w:rsid w:val="00F715CC"/>
    <w:rsid w:val="00F7199F"/>
    <w:rsid w:val="00F71D34"/>
    <w:rsid w:val="00F72AC6"/>
    <w:rsid w:val="00F72FF3"/>
    <w:rsid w:val="00F73F45"/>
    <w:rsid w:val="00F77A07"/>
    <w:rsid w:val="00F813EE"/>
    <w:rsid w:val="00F81456"/>
    <w:rsid w:val="00F81E10"/>
    <w:rsid w:val="00F8579B"/>
    <w:rsid w:val="00F85929"/>
    <w:rsid w:val="00F85D22"/>
    <w:rsid w:val="00F870E0"/>
    <w:rsid w:val="00F93D82"/>
    <w:rsid w:val="00F943A3"/>
    <w:rsid w:val="00F9446C"/>
    <w:rsid w:val="00F957BF"/>
    <w:rsid w:val="00F95AFA"/>
    <w:rsid w:val="00F96037"/>
    <w:rsid w:val="00F97F2E"/>
    <w:rsid w:val="00FA2EC5"/>
    <w:rsid w:val="00FA4C85"/>
    <w:rsid w:val="00FA5A14"/>
    <w:rsid w:val="00FA5AE5"/>
    <w:rsid w:val="00FA66BC"/>
    <w:rsid w:val="00FB0223"/>
    <w:rsid w:val="00FB1AC5"/>
    <w:rsid w:val="00FB4815"/>
    <w:rsid w:val="00FB5262"/>
    <w:rsid w:val="00FB5CCD"/>
    <w:rsid w:val="00FB78C2"/>
    <w:rsid w:val="00FC04B5"/>
    <w:rsid w:val="00FC448F"/>
    <w:rsid w:val="00FC6BF2"/>
    <w:rsid w:val="00FC7B64"/>
    <w:rsid w:val="00FD2B62"/>
    <w:rsid w:val="00FD3F39"/>
    <w:rsid w:val="00FD53E5"/>
    <w:rsid w:val="00FD5B23"/>
    <w:rsid w:val="00FD61C3"/>
    <w:rsid w:val="00FD6279"/>
    <w:rsid w:val="00FD646D"/>
    <w:rsid w:val="00FD6494"/>
    <w:rsid w:val="00FE05E9"/>
    <w:rsid w:val="00FE1F35"/>
    <w:rsid w:val="00FE3436"/>
    <w:rsid w:val="00FE506E"/>
    <w:rsid w:val="00FE5D44"/>
    <w:rsid w:val="00FE79D5"/>
    <w:rsid w:val="00FF54D4"/>
    <w:rsid w:val="00FF7B96"/>
    <w:rsid w:val="00FF7E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BD"/>
    <w:pPr>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uiPriority w:val="99"/>
    <w:qFormat/>
    <w:rsid w:val="005A5FBD"/>
    <w:pPr>
      <w:keepNext/>
      <w:outlineLvl w:val="0"/>
    </w:pPr>
    <w:rPr>
      <w:rFonts w:cs="Arial"/>
      <w:b/>
      <w:bCs/>
      <w:spacing w:val="-2"/>
      <w:kern w:val="32"/>
      <w:sz w:val="20"/>
      <w:szCs w:val="20"/>
    </w:rPr>
  </w:style>
  <w:style w:type="paragraph" w:styleId="Heading2">
    <w:name w:val="heading 2"/>
    <w:basedOn w:val="Normal"/>
    <w:next w:val="Normal"/>
    <w:link w:val="Heading2Char"/>
    <w:uiPriority w:val="99"/>
    <w:qFormat/>
    <w:rsid w:val="005A5FBD"/>
    <w:pPr>
      <w:keepNext/>
      <w:outlineLvl w:val="1"/>
    </w:pPr>
    <w:rPr>
      <w:rFonts w:cs="Arial"/>
      <w:b/>
      <w:bCs/>
      <w:iCs/>
    </w:rPr>
  </w:style>
  <w:style w:type="paragraph" w:styleId="Heading3">
    <w:name w:val="heading 3"/>
    <w:basedOn w:val="Normal"/>
    <w:next w:val="Normal"/>
    <w:link w:val="Heading3Char"/>
    <w:uiPriority w:val="99"/>
    <w:qFormat/>
    <w:rsid w:val="005A5FB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5A5FBD"/>
    <w:pPr>
      <w:keepNext/>
      <w:jc w:val="both"/>
      <w:outlineLvl w:val="3"/>
    </w:pPr>
    <w:rPr>
      <w:b/>
      <w:bCs/>
    </w:rPr>
  </w:style>
  <w:style w:type="paragraph" w:styleId="Heading5">
    <w:name w:val="heading 5"/>
    <w:basedOn w:val="Normal"/>
    <w:next w:val="Normal"/>
    <w:link w:val="Heading5Char"/>
    <w:uiPriority w:val="99"/>
    <w:qFormat/>
    <w:rsid w:val="005A5FBD"/>
    <w:pPr>
      <w:keepNext/>
      <w:outlineLvl w:val="4"/>
    </w:pPr>
    <w:rPr>
      <w:i/>
      <w:iCs/>
    </w:rPr>
  </w:style>
  <w:style w:type="paragraph" w:styleId="Heading6">
    <w:name w:val="heading 6"/>
    <w:basedOn w:val="Normal"/>
    <w:next w:val="Normal"/>
    <w:link w:val="Heading6Char"/>
    <w:uiPriority w:val="99"/>
    <w:qFormat/>
    <w:rsid w:val="005A5FBD"/>
    <w:pPr>
      <w:keepNext/>
      <w:outlineLvl w:val="5"/>
    </w:pPr>
    <w:rPr>
      <w:bCs/>
      <w:sz w:val="24"/>
    </w:rPr>
  </w:style>
  <w:style w:type="paragraph" w:styleId="Heading7">
    <w:name w:val="heading 7"/>
    <w:basedOn w:val="Normal"/>
    <w:next w:val="Normal"/>
    <w:link w:val="Heading7Char"/>
    <w:uiPriority w:val="99"/>
    <w:qFormat/>
    <w:rsid w:val="005A5FBD"/>
    <w:pPr>
      <w:keepNext/>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064"/>
    <w:rPr>
      <w:rFonts w:ascii="Arial" w:hAnsi="Arial" w:cs="Arial"/>
      <w:b/>
      <w:bCs/>
      <w:color w:val="000000"/>
      <w:spacing w:val="-2"/>
      <w:kern w:val="32"/>
      <w:lang w:val="en-GB" w:eastAsia="en-GB"/>
    </w:rPr>
  </w:style>
  <w:style w:type="character" w:customStyle="1" w:styleId="Heading2Char">
    <w:name w:val="Heading 2 Char"/>
    <w:basedOn w:val="DefaultParagraphFont"/>
    <w:link w:val="Heading2"/>
    <w:uiPriority w:val="9"/>
    <w:semiHidden/>
    <w:rsid w:val="00016256"/>
    <w:rPr>
      <w:rFonts w:asciiTheme="majorHAnsi" w:eastAsiaTheme="majorEastAsia" w:hAnsiTheme="majorHAnsi" w:cstheme="majorBidi"/>
      <w:b/>
      <w:bCs/>
      <w:i/>
      <w:iCs/>
      <w:color w:val="000000"/>
      <w:spacing w:val="6"/>
      <w:sz w:val="28"/>
      <w:szCs w:val="28"/>
      <w:lang w:val="en-GB" w:eastAsia="en-GB"/>
    </w:rPr>
  </w:style>
  <w:style w:type="character" w:customStyle="1" w:styleId="Heading3Char">
    <w:name w:val="Heading 3 Char"/>
    <w:basedOn w:val="DefaultParagraphFont"/>
    <w:link w:val="Heading3"/>
    <w:uiPriority w:val="9"/>
    <w:semiHidden/>
    <w:rsid w:val="00016256"/>
    <w:rPr>
      <w:rFonts w:asciiTheme="majorHAnsi" w:eastAsiaTheme="majorEastAsia" w:hAnsiTheme="majorHAnsi" w:cstheme="majorBidi"/>
      <w:b/>
      <w:bCs/>
      <w:color w:val="000000"/>
      <w:spacing w:val="6"/>
      <w:sz w:val="26"/>
      <w:szCs w:val="26"/>
      <w:lang w:val="en-GB" w:eastAsia="en-GB"/>
    </w:rPr>
  </w:style>
  <w:style w:type="character" w:customStyle="1" w:styleId="Heading4Char">
    <w:name w:val="Heading 4 Char"/>
    <w:basedOn w:val="DefaultParagraphFont"/>
    <w:link w:val="Heading4"/>
    <w:uiPriority w:val="9"/>
    <w:semiHidden/>
    <w:rsid w:val="00016256"/>
    <w:rPr>
      <w:rFonts w:asciiTheme="minorHAnsi" w:eastAsiaTheme="minorEastAsia" w:hAnsiTheme="minorHAnsi" w:cstheme="minorBidi"/>
      <w:b/>
      <w:bCs/>
      <w:color w:val="000000"/>
      <w:spacing w:val="6"/>
      <w:sz w:val="28"/>
      <w:szCs w:val="28"/>
      <w:lang w:val="en-GB" w:eastAsia="en-GB"/>
    </w:rPr>
  </w:style>
  <w:style w:type="character" w:customStyle="1" w:styleId="Heading5Char">
    <w:name w:val="Heading 5 Char"/>
    <w:basedOn w:val="DefaultParagraphFont"/>
    <w:link w:val="Heading5"/>
    <w:uiPriority w:val="9"/>
    <w:semiHidden/>
    <w:rsid w:val="00016256"/>
    <w:rPr>
      <w:rFonts w:asciiTheme="minorHAnsi" w:eastAsiaTheme="minorEastAsia" w:hAnsiTheme="minorHAnsi" w:cstheme="minorBidi"/>
      <w:b/>
      <w:bCs/>
      <w:i/>
      <w:iCs/>
      <w:color w:val="000000"/>
      <w:spacing w:val="6"/>
      <w:sz w:val="26"/>
      <w:szCs w:val="26"/>
      <w:lang w:val="en-GB" w:eastAsia="en-GB"/>
    </w:rPr>
  </w:style>
  <w:style w:type="character" w:customStyle="1" w:styleId="Heading6Char">
    <w:name w:val="Heading 6 Char"/>
    <w:basedOn w:val="DefaultParagraphFont"/>
    <w:link w:val="Heading6"/>
    <w:uiPriority w:val="9"/>
    <w:semiHidden/>
    <w:rsid w:val="00016256"/>
    <w:rPr>
      <w:rFonts w:asciiTheme="minorHAnsi" w:eastAsiaTheme="minorEastAsia" w:hAnsiTheme="minorHAnsi" w:cstheme="minorBidi"/>
      <w:b/>
      <w:bCs/>
      <w:color w:val="000000"/>
      <w:spacing w:val="6"/>
      <w:lang w:val="en-GB" w:eastAsia="en-GB"/>
    </w:rPr>
  </w:style>
  <w:style w:type="character" w:customStyle="1" w:styleId="Heading7Char">
    <w:name w:val="Heading 7 Char"/>
    <w:basedOn w:val="DefaultParagraphFont"/>
    <w:link w:val="Heading7"/>
    <w:uiPriority w:val="9"/>
    <w:semiHidden/>
    <w:rsid w:val="00016256"/>
    <w:rPr>
      <w:rFonts w:asciiTheme="minorHAnsi" w:eastAsiaTheme="minorEastAsia" w:hAnsiTheme="minorHAnsi" w:cstheme="minorBidi"/>
      <w:color w:val="000000"/>
      <w:spacing w:val="6"/>
      <w:sz w:val="24"/>
      <w:szCs w:val="24"/>
      <w:lang w:val="en-GB" w:eastAsia="en-GB"/>
    </w:rPr>
  </w:style>
  <w:style w:type="paragraph" w:customStyle="1" w:styleId="NormalUpper">
    <w:name w:val="Normal Upper"/>
    <w:basedOn w:val="Normal"/>
    <w:uiPriority w:val="99"/>
    <w:rsid w:val="005A5FBD"/>
    <w:rPr>
      <w:caps/>
    </w:rPr>
  </w:style>
  <w:style w:type="paragraph" w:customStyle="1" w:styleId="Normalbold">
    <w:name w:val="Normal bold"/>
    <w:basedOn w:val="Normal"/>
    <w:uiPriority w:val="99"/>
    <w:rsid w:val="005A5FBD"/>
    <w:rPr>
      <w:b/>
    </w:rPr>
  </w:style>
  <w:style w:type="paragraph" w:customStyle="1" w:styleId="NormalUpperbold">
    <w:name w:val="Normal Upper bold"/>
    <w:basedOn w:val="Normal"/>
    <w:uiPriority w:val="99"/>
    <w:rsid w:val="005A5FBD"/>
    <w:rPr>
      <w:b/>
      <w:caps/>
    </w:rPr>
  </w:style>
  <w:style w:type="paragraph" w:styleId="Footer">
    <w:name w:val="footer"/>
    <w:basedOn w:val="Normal"/>
    <w:link w:val="FooterChar"/>
    <w:uiPriority w:val="99"/>
    <w:rsid w:val="005A5FBD"/>
    <w:rPr>
      <w:color w:val="auto"/>
      <w:sz w:val="14"/>
      <w:szCs w:val="14"/>
    </w:rPr>
  </w:style>
  <w:style w:type="character" w:customStyle="1" w:styleId="FooterChar">
    <w:name w:val="Footer Char"/>
    <w:basedOn w:val="DefaultParagraphFont"/>
    <w:link w:val="Footer"/>
    <w:uiPriority w:val="99"/>
    <w:rsid w:val="005A5FBD"/>
    <w:rPr>
      <w:rFonts w:ascii="Arial" w:hAnsi="Arial" w:cs="Times New Roman"/>
      <w:sz w:val="14"/>
      <w:szCs w:val="14"/>
      <w:lang w:val="en-GB" w:eastAsia="en-GB" w:bidi="ar-SA"/>
    </w:rPr>
  </w:style>
  <w:style w:type="paragraph" w:customStyle="1" w:styleId="Footerbold">
    <w:name w:val="Footer bold"/>
    <w:basedOn w:val="Footer"/>
    <w:uiPriority w:val="99"/>
    <w:rsid w:val="005A5FBD"/>
    <w:rPr>
      <w:b/>
    </w:rPr>
  </w:style>
  <w:style w:type="paragraph" w:styleId="Header">
    <w:name w:val="header"/>
    <w:basedOn w:val="Normal"/>
    <w:link w:val="HeaderChar"/>
    <w:uiPriority w:val="99"/>
    <w:rsid w:val="005A5FBD"/>
    <w:pPr>
      <w:tabs>
        <w:tab w:val="center" w:pos="4153"/>
        <w:tab w:val="right" w:pos="8306"/>
      </w:tabs>
    </w:pPr>
  </w:style>
  <w:style w:type="character" w:customStyle="1" w:styleId="HeaderChar">
    <w:name w:val="Header Char"/>
    <w:basedOn w:val="DefaultParagraphFont"/>
    <w:link w:val="Header"/>
    <w:uiPriority w:val="99"/>
    <w:semiHidden/>
    <w:rsid w:val="00016256"/>
    <w:rPr>
      <w:rFonts w:ascii="Arial" w:hAnsi="Arial"/>
      <w:color w:val="000000"/>
      <w:spacing w:val="6"/>
      <w:sz w:val="18"/>
      <w:szCs w:val="18"/>
      <w:lang w:val="en-GB" w:eastAsia="en-GB"/>
    </w:rPr>
  </w:style>
  <w:style w:type="character" w:customStyle="1" w:styleId="FooterboldChar">
    <w:name w:val="Footer bold Char"/>
    <w:basedOn w:val="FooterChar"/>
    <w:uiPriority w:val="99"/>
    <w:rsid w:val="005A5FBD"/>
    <w:rPr>
      <w:b/>
    </w:rPr>
  </w:style>
  <w:style w:type="character" w:styleId="PageNumber">
    <w:name w:val="page number"/>
    <w:basedOn w:val="DefaultParagraphFont"/>
    <w:uiPriority w:val="99"/>
    <w:rsid w:val="005A5FBD"/>
    <w:rPr>
      <w:rFonts w:cs="Times New Roman"/>
    </w:rPr>
  </w:style>
  <w:style w:type="paragraph" w:styleId="BodyText">
    <w:name w:val="Body Text"/>
    <w:basedOn w:val="Normal"/>
    <w:link w:val="BodyTextChar"/>
    <w:uiPriority w:val="99"/>
    <w:rsid w:val="005A5FBD"/>
    <w:pPr>
      <w:spacing w:after="60" w:line="240" w:lineRule="auto"/>
      <w:jc w:val="both"/>
    </w:pPr>
    <w:rPr>
      <w:rFonts w:cs="Arial"/>
      <w:spacing w:val="0"/>
      <w:sz w:val="24"/>
    </w:rPr>
  </w:style>
  <w:style w:type="character" w:customStyle="1" w:styleId="BodyTextChar">
    <w:name w:val="Body Text Char"/>
    <w:basedOn w:val="DefaultParagraphFont"/>
    <w:link w:val="BodyText"/>
    <w:uiPriority w:val="99"/>
    <w:semiHidden/>
    <w:rsid w:val="00016256"/>
    <w:rPr>
      <w:rFonts w:ascii="Arial" w:hAnsi="Arial"/>
      <w:color w:val="000000"/>
      <w:spacing w:val="6"/>
      <w:sz w:val="18"/>
      <w:szCs w:val="18"/>
      <w:lang w:val="en-GB" w:eastAsia="en-GB"/>
    </w:rPr>
  </w:style>
  <w:style w:type="paragraph" w:customStyle="1" w:styleId="NormalRight">
    <w:name w:val="Normal Right"/>
    <w:basedOn w:val="Normal"/>
    <w:uiPriority w:val="99"/>
    <w:rsid w:val="005A5FBD"/>
    <w:pPr>
      <w:jc w:val="right"/>
    </w:pPr>
  </w:style>
  <w:style w:type="paragraph" w:customStyle="1" w:styleId="NormalCenter">
    <w:name w:val="Normal Center"/>
    <w:basedOn w:val="Normal"/>
    <w:uiPriority w:val="99"/>
    <w:rsid w:val="005A5FBD"/>
    <w:pPr>
      <w:jc w:val="center"/>
    </w:pPr>
  </w:style>
  <w:style w:type="paragraph" w:customStyle="1" w:styleId="NormalBoldCenter">
    <w:name w:val="Normal Bold Center"/>
    <w:basedOn w:val="NormalCenter"/>
    <w:uiPriority w:val="99"/>
    <w:rsid w:val="005A5FBD"/>
    <w:rPr>
      <w:b/>
    </w:rPr>
  </w:style>
  <w:style w:type="paragraph" w:customStyle="1" w:styleId="Spacer">
    <w:name w:val="Spacer"/>
    <w:basedOn w:val="Normal"/>
    <w:uiPriority w:val="99"/>
    <w:rsid w:val="005A5FBD"/>
    <w:rPr>
      <w:sz w:val="2"/>
    </w:rPr>
  </w:style>
  <w:style w:type="paragraph" w:customStyle="1" w:styleId="Normalboldwhite">
    <w:name w:val="Normal bold white"/>
    <w:basedOn w:val="Normalbold"/>
    <w:uiPriority w:val="99"/>
    <w:rsid w:val="005A5FBD"/>
    <w:rPr>
      <w:color w:val="FFFFFF"/>
      <w:lang w:val="en-US"/>
    </w:rPr>
  </w:style>
  <w:style w:type="paragraph" w:styleId="FootnoteText">
    <w:name w:val="footnote text"/>
    <w:basedOn w:val="Normal"/>
    <w:link w:val="FootnoteTextChar"/>
    <w:uiPriority w:val="99"/>
    <w:semiHidden/>
    <w:rsid w:val="005A5FBD"/>
    <w:rPr>
      <w:sz w:val="20"/>
      <w:szCs w:val="20"/>
    </w:rPr>
  </w:style>
  <w:style w:type="character" w:customStyle="1" w:styleId="FootnoteTextChar">
    <w:name w:val="Footnote Text Char"/>
    <w:basedOn w:val="DefaultParagraphFont"/>
    <w:link w:val="FootnoteText"/>
    <w:uiPriority w:val="99"/>
    <w:semiHidden/>
    <w:rsid w:val="00016256"/>
    <w:rPr>
      <w:rFonts w:ascii="Arial" w:hAnsi="Arial"/>
      <w:color w:val="000000"/>
      <w:spacing w:val="6"/>
      <w:sz w:val="20"/>
      <w:szCs w:val="20"/>
      <w:lang w:val="en-GB" w:eastAsia="en-GB"/>
    </w:rPr>
  </w:style>
  <w:style w:type="character" w:styleId="FootnoteReference">
    <w:name w:val="footnote reference"/>
    <w:basedOn w:val="DefaultParagraphFont"/>
    <w:uiPriority w:val="99"/>
    <w:semiHidden/>
    <w:rsid w:val="005A5FBD"/>
    <w:rPr>
      <w:rFonts w:cs="Times New Roman"/>
      <w:vertAlign w:val="superscript"/>
    </w:rPr>
  </w:style>
  <w:style w:type="paragraph" w:customStyle="1" w:styleId="Pa2">
    <w:name w:val="Pa2"/>
    <w:basedOn w:val="Normal"/>
    <w:next w:val="Normal"/>
    <w:uiPriority w:val="99"/>
    <w:rsid w:val="005A5FBD"/>
    <w:pPr>
      <w:autoSpaceDE w:val="0"/>
      <w:autoSpaceDN w:val="0"/>
      <w:adjustRightInd w:val="0"/>
      <w:spacing w:after="100" w:line="241" w:lineRule="atLeast"/>
    </w:pPr>
    <w:rPr>
      <w:rFonts w:ascii="Helvetica 55 Roman" w:hAnsi="Helvetica 55 Roman"/>
      <w:color w:val="auto"/>
      <w:spacing w:val="0"/>
      <w:sz w:val="20"/>
      <w:szCs w:val="24"/>
      <w:lang w:val="en-US" w:eastAsia="en-US"/>
    </w:rPr>
  </w:style>
  <w:style w:type="character" w:customStyle="1" w:styleId="A21">
    <w:name w:val="A2+1"/>
    <w:uiPriority w:val="99"/>
    <w:rsid w:val="005A5FBD"/>
    <w:rPr>
      <w:color w:val="000000"/>
      <w:sz w:val="18"/>
    </w:rPr>
  </w:style>
  <w:style w:type="paragraph" w:styleId="NormalWeb">
    <w:name w:val="Normal (Web)"/>
    <w:basedOn w:val="Normal"/>
    <w:uiPriority w:val="99"/>
    <w:rsid w:val="005A5FBD"/>
    <w:pPr>
      <w:spacing w:before="100" w:beforeAutospacing="1" w:after="100" w:afterAutospacing="1" w:line="240" w:lineRule="auto"/>
    </w:pPr>
    <w:rPr>
      <w:rFonts w:ascii="Verdana" w:hAnsi="Verdana"/>
      <w:spacing w:val="0"/>
      <w:sz w:val="15"/>
      <w:szCs w:val="15"/>
      <w:lang w:eastAsia="en-US"/>
    </w:rPr>
  </w:style>
  <w:style w:type="paragraph" w:styleId="BodyText2">
    <w:name w:val="Body Text 2"/>
    <w:basedOn w:val="Normal"/>
    <w:link w:val="BodyText2Char"/>
    <w:uiPriority w:val="99"/>
    <w:rsid w:val="005A5FBD"/>
    <w:pPr>
      <w:jc w:val="both"/>
    </w:pPr>
    <w:rPr>
      <w:bCs/>
    </w:rPr>
  </w:style>
  <w:style w:type="character" w:customStyle="1" w:styleId="BodyText2Char">
    <w:name w:val="Body Text 2 Char"/>
    <w:basedOn w:val="DefaultParagraphFont"/>
    <w:link w:val="BodyText2"/>
    <w:uiPriority w:val="99"/>
    <w:semiHidden/>
    <w:rsid w:val="00016256"/>
    <w:rPr>
      <w:rFonts w:ascii="Arial" w:hAnsi="Arial"/>
      <w:color w:val="000000"/>
      <w:spacing w:val="6"/>
      <w:sz w:val="18"/>
      <w:szCs w:val="18"/>
      <w:lang w:val="en-GB" w:eastAsia="en-GB"/>
    </w:rPr>
  </w:style>
  <w:style w:type="character" w:styleId="Hyperlink">
    <w:name w:val="Hyperlink"/>
    <w:basedOn w:val="DefaultParagraphFont"/>
    <w:uiPriority w:val="99"/>
    <w:rsid w:val="005A5FBD"/>
    <w:rPr>
      <w:rFonts w:cs="Times New Roman"/>
      <w:color w:val="0000FF"/>
      <w:u w:val="single"/>
    </w:rPr>
  </w:style>
  <w:style w:type="paragraph" w:styleId="BodyText3">
    <w:name w:val="Body Text 3"/>
    <w:basedOn w:val="Normal"/>
    <w:link w:val="BodyText3Char"/>
    <w:uiPriority w:val="99"/>
    <w:rsid w:val="005A5FBD"/>
    <w:pPr>
      <w:jc w:val="both"/>
    </w:pPr>
    <w:rPr>
      <w:sz w:val="20"/>
    </w:rPr>
  </w:style>
  <w:style w:type="character" w:customStyle="1" w:styleId="BodyText3Char">
    <w:name w:val="Body Text 3 Char"/>
    <w:basedOn w:val="DefaultParagraphFont"/>
    <w:link w:val="BodyText3"/>
    <w:uiPriority w:val="99"/>
    <w:semiHidden/>
    <w:rsid w:val="00016256"/>
    <w:rPr>
      <w:rFonts w:ascii="Arial" w:hAnsi="Arial"/>
      <w:color w:val="000000"/>
      <w:spacing w:val="6"/>
      <w:sz w:val="16"/>
      <w:szCs w:val="16"/>
      <w:lang w:val="en-GB" w:eastAsia="en-GB"/>
    </w:rPr>
  </w:style>
  <w:style w:type="paragraph" w:styleId="EndnoteText">
    <w:name w:val="endnote text"/>
    <w:basedOn w:val="Normal"/>
    <w:link w:val="EndnoteTextChar"/>
    <w:uiPriority w:val="99"/>
    <w:semiHidden/>
    <w:rsid w:val="00A46D2B"/>
    <w:pPr>
      <w:spacing w:line="240" w:lineRule="auto"/>
    </w:pPr>
    <w:rPr>
      <w:rFonts w:ascii="Arial Narrow" w:hAnsi="Arial Narrow"/>
      <w:color w:val="auto"/>
      <w:spacing w:val="0"/>
      <w:sz w:val="16"/>
      <w:szCs w:val="20"/>
      <w:lang w:eastAsia="en-US"/>
    </w:rPr>
  </w:style>
  <w:style w:type="character" w:customStyle="1" w:styleId="EndnoteTextChar">
    <w:name w:val="Endnote Text Char"/>
    <w:basedOn w:val="DefaultParagraphFont"/>
    <w:link w:val="EndnoteText"/>
    <w:uiPriority w:val="99"/>
    <w:semiHidden/>
    <w:rsid w:val="00016256"/>
    <w:rPr>
      <w:rFonts w:ascii="Arial" w:hAnsi="Arial"/>
      <w:color w:val="000000"/>
      <w:spacing w:val="6"/>
      <w:sz w:val="20"/>
      <w:szCs w:val="20"/>
      <w:lang w:val="en-GB" w:eastAsia="en-GB"/>
    </w:rPr>
  </w:style>
  <w:style w:type="paragraph" w:styleId="ListParagraph">
    <w:name w:val="List Paragraph"/>
    <w:basedOn w:val="Normal"/>
    <w:uiPriority w:val="99"/>
    <w:qFormat/>
    <w:rsid w:val="009D3A30"/>
    <w:pPr>
      <w:spacing w:after="200" w:line="276" w:lineRule="auto"/>
      <w:ind w:left="720"/>
      <w:contextualSpacing/>
    </w:pPr>
    <w:rPr>
      <w:rFonts w:ascii="Calibri" w:hAnsi="Calibri"/>
      <w:color w:val="auto"/>
      <w:spacing w:val="0"/>
      <w:sz w:val="22"/>
      <w:szCs w:val="22"/>
      <w:lang w:val="en-ZA" w:eastAsia="en-US"/>
    </w:rPr>
  </w:style>
  <w:style w:type="table" w:styleId="TableGrid">
    <w:name w:val="Table Grid"/>
    <w:basedOn w:val="TableNormal"/>
    <w:uiPriority w:val="99"/>
    <w:rsid w:val="009E06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99"/>
    <w:rsid w:val="00D566F6"/>
  </w:style>
  <w:style w:type="character" w:styleId="Emphasis">
    <w:name w:val="Emphasis"/>
    <w:basedOn w:val="DefaultParagraphFont"/>
    <w:uiPriority w:val="99"/>
    <w:qFormat/>
    <w:rsid w:val="00EF11CC"/>
    <w:rPr>
      <w:rFonts w:cs="Times New Roman"/>
      <w:i/>
      <w:iCs/>
    </w:rPr>
  </w:style>
  <w:style w:type="paragraph" w:customStyle="1" w:styleId="Body">
    <w:name w:val="Body"/>
    <w:autoRedefine/>
    <w:uiPriority w:val="99"/>
    <w:rsid w:val="00F300B6"/>
    <w:rPr>
      <w:rFonts w:ascii="Helvetica" w:eastAsia="ヒラギノ角ゴ Pro W3" w:hAnsi="Helvetica"/>
      <w:color w:val="000000"/>
      <w:sz w:val="24"/>
      <w:szCs w:val="20"/>
      <w:lang w:val="en-US"/>
    </w:rPr>
  </w:style>
  <w:style w:type="character" w:styleId="CommentReference">
    <w:name w:val="annotation reference"/>
    <w:basedOn w:val="DefaultParagraphFont"/>
    <w:uiPriority w:val="99"/>
    <w:rsid w:val="0071322B"/>
    <w:rPr>
      <w:rFonts w:cs="Times New Roman"/>
      <w:sz w:val="16"/>
      <w:szCs w:val="16"/>
    </w:rPr>
  </w:style>
  <w:style w:type="paragraph" w:styleId="CommentText">
    <w:name w:val="annotation text"/>
    <w:basedOn w:val="Normal"/>
    <w:link w:val="CommentTextChar"/>
    <w:uiPriority w:val="99"/>
    <w:rsid w:val="0071322B"/>
    <w:rPr>
      <w:sz w:val="20"/>
      <w:szCs w:val="20"/>
    </w:rPr>
  </w:style>
  <w:style w:type="character" w:customStyle="1" w:styleId="CommentTextChar">
    <w:name w:val="Comment Text Char"/>
    <w:basedOn w:val="DefaultParagraphFont"/>
    <w:link w:val="CommentText"/>
    <w:uiPriority w:val="99"/>
    <w:locked/>
    <w:rsid w:val="0071322B"/>
    <w:rPr>
      <w:rFonts w:ascii="Arial" w:hAnsi="Arial" w:cs="Times New Roman"/>
      <w:color w:val="000000"/>
      <w:spacing w:val="6"/>
      <w:lang w:val="en-GB" w:eastAsia="en-GB"/>
    </w:rPr>
  </w:style>
  <w:style w:type="paragraph" w:styleId="CommentSubject">
    <w:name w:val="annotation subject"/>
    <w:basedOn w:val="CommentText"/>
    <w:next w:val="CommentText"/>
    <w:link w:val="CommentSubjectChar"/>
    <w:uiPriority w:val="99"/>
    <w:rsid w:val="0071322B"/>
    <w:rPr>
      <w:b/>
      <w:bCs/>
    </w:rPr>
  </w:style>
  <w:style w:type="character" w:customStyle="1" w:styleId="CommentSubjectChar">
    <w:name w:val="Comment Subject Char"/>
    <w:basedOn w:val="CommentTextChar"/>
    <w:link w:val="CommentSubject"/>
    <w:uiPriority w:val="99"/>
    <w:locked/>
    <w:rsid w:val="0071322B"/>
    <w:rPr>
      <w:b/>
      <w:bCs/>
    </w:rPr>
  </w:style>
  <w:style w:type="paragraph" w:styleId="BalloonText">
    <w:name w:val="Balloon Text"/>
    <w:basedOn w:val="Normal"/>
    <w:link w:val="BalloonTextChar"/>
    <w:uiPriority w:val="99"/>
    <w:rsid w:val="00713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1322B"/>
    <w:rPr>
      <w:rFonts w:ascii="Tahoma" w:hAnsi="Tahoma" w:cs="Tahoma"/>
      <w:color w:val="000000"/>
      <w:spacing w:val="6"/>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029797243">
      <w:marLeft w:val="60"/>
      <w:marRight w:val="60"/>
      <w:marTop w:val="60"/>
      <w:marBottom w:val="15"/>
      <w:divBdr>
        <w:top w:val="none" w:sz="0" w:space="0" w:color="auto"/>
        <w:left w:val="none" w:sz="0" w:space="0" w:color="auto"/>
        <w:bottom w:val="none" w:sz="0" w:space="0" w:color="auto"/>
        <w:right w:val="none" w:sz="0" w:space="0" w:color="auto"/>
      </w:divBdr>
      <w:divsChild>
        <w:div w:id="102979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8443</Words>
  <Characters>48127</Characters>
  <Application>Microsoft Office Word</Application>
  <DocSecurity>0</DocSecurity>
  <Lines>401</Lines>
  <Paragraphs>112</Paragraphs>
  <ScaleCrop>false</ScaleCrop>
  <Company>Wired</Company>
  <LinksUpToDate>false</LinksUpToDate>
  <CharactersWithSpaces>56458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2011-03-04T09:47:00Z</cp:lastPrinted>
  <dcterms:created xsi:type="dcterms:W3CDTF">2016-09-28T10:12:00Z</dcterms:created>
  <dcterms:modified xsi:type="dcterms:W3CDTF">2016-09-28T10:12:00Z</dcterms:modified>
</cp:coreProperties>
</file>