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1317F" w14:textId="77777777" w:rsidR="0075422F" w:rsidRPr="00DA385E" w:rsidRDefault="00CE5D31" w:rsidP="00694D6D">
      <w:pPr>
        <w:spacing w:after="0" w:line="360" w:lineRule="auto"/>
        <w:jc w:val="both"/>
        <w:rPr>
          <w:rFonts w:ascii="Times New Roman" w:hAnsi="Times New Roman" w:cs="Times New Roman"/>
          <w:b/>
          <w:sz w:val="28"/>
          <w:szCs w:val="28"/>
          <w:lang w:val="en-GB"/>
        </w:rPr>
      </w:pPr>
      <w:r>
        <w:rPr>
          <w:rFonts w:ascii="Times New Roman" w:hAnsi="Times New Roman" w:cs="Times New Roman"/>
          <w:b/>
          <w:sz w:val="28"/>
          <w:szCs w:val="28"/>
          <w:lang w:val="en-GB"/>
        </w:rPr>
        <w:t xml:space="preserve">3. </w:t>
      </w:r>
      <w:r w:rsidR="0075422F" w:rsidRPr="00DA385E">
        <w:rPr>
          <w:rFonts w:ascii="Times New Roman" w:hAnsi="Times New Roman" w:cs="Times New Roman"/>
          <w:b/>
          <w:sz w:val="28"/>
          <w:szCs w:val="28"/>
          <w:lang w:val="en-GB"/>
        </w:rPr>
        <w:t xml:space="preserve">Budgetary Review and Recommendation Report of the Portfolio Committee on </w:t>
      </w:r>
      <w:r w:rsidR="001734CF" w:rsidRPr="00DA385E">
        <w:rPr>
          <w:rFonts w:ascii="Times New Roman" w:hAnsi="Times New Roman" w:cs="Times New Roman"/>
          <w:b/>
          <w:sz w:val="28"/>
          <w:szCs w:val="28"/>
          <w:lang w:val="en-GB"/>
        </w:rPr>
        <w:t xml:space="preserve">Higher Education, </w:t>
      </w:r>
      <w:r w:rsidR="006E4A2F" w:rsidRPr="00DA385E">
        <w:rPr>
          <w:rFonts w:ascii="Times New Roman" w:hAnsi="Times New Roman" w:cs="Times New Roman"/>
          <w:b/>
          <w:sz w:val="28"/>
          <w:szCs w:val="28"/>
          <w:lang w:val="en-GB"/>
        </w:rPr>
        <w:t>Science and Technology</w:t>
      </w:r>
      <w:r w:rsidR="00C440E5" w:rsidRPr="00DA385E">
        <w:rPr>
          <w:rFonts w:ascii="Times New Roman" w:hAnsi="Times New Roman" w:cs="Times New Roman"/>
          <w:b/>
          <w:sz w:val="28"/>
          <w:szCs w:val="28"/>
          <w:lang w:val="en-GB"/>
        </w:rPr>
        <w:t xml:space="preserve"> on the </w:t>
      </w:r>
      <w:r w:rsidR="006706C3" w:rsidRPr="00DA385E">
        <w:rPr>
          <w:rFonts w:ascii="Times New Roman" w:hAnsi="Times New Roman" w:cs="Times New Roman"/>
          <w:b/>
          <w:sz w:val="28"/>
          <w:szCs w:val="28"/>
          <w:lang w:val="en-GB"/>
        </w:rPr>
        <w:t>p</w:t>
      </w:r>
      <w:r w:rsidR="00C440E5" w:rsidRPr="00DA385E">
        <w:rPr>
          <w:rFonts w:ascii="Times New Roman" w:hAnsi="Times New Roman" w:cs="Times New Roman"/>
          <w:b/>
          <w:sz w:val="28"/>
          <w:szCs w:val="28"/>
          <w:lang w:val="en-GB"/>
        </w:rPr>
        <w:t xml:space="preserve">erformance of the Department of Science and Technology for the </w:t>
      </w:r>
      <w:r w:rsidR="006706C3" w:rsidRPr="00DA385E">
        <w:rPr>
          <w:rFonts w:ascii="Times New Roman" w:hAnsi="Times New Roman" w:cs="Times New Roman"/>
          <w:b/>
          <w:sz w:val="28"/>
          <w:szCs w:val="28"/>
          <w:lang w:val="en-GB"/>
        </w:rPr>
        <w:t>2018</w:t>
      </w:r>
      <w:r w:rsidR="001734CF" w:rsidRPr="00DA385E">
        <w:rPr>
          <w:rFonts w:ascii="Times New Roman" w:hAnsi="Times New Roman" w:cs="Times New Roman"/>
          <w:b/>
          <w:sz w:val="28"/>
          <w:szCs w:val="28"/>
          <w:lang w:val="en-GB"/>
        </w:rPr>
        <w:t>/19</w:t>
      </w:r>
      <w:r w:rsidR="00C440E5" w:rsidRPr="00DA385E">
        <w:rPr>
          <w:rFonts w:ascii="Times New Roman" w:hAnsi="Times New Roman" w:cs="Times New Roman"/>
          <w:b/>
          <w:sz w:val="28"/>
          <w:szCs w:val="28"/>
          <w:lang w:val="en-GB"/>
        </w:rPr>
        <w:t xml:space="preserve"> financial year</w:t>
      </w:r>
      <w:r w:rsidR="0075422F" w:rsidRPr="00DA385E">
        <w:rPr>
          <w:rFonts w:ascii="Times New Roman" w:hAnsi="Times New Roman" w:cs="Times New Roman"/>
          <w:b/>
          <w:sz w:val="28"/>
          <w:szCs w:val="28"/>
          <w:lang w:val="en-GB"/>
        </w:rPr>
        <w:t xml:space="preserve">, dated </w:t>
      </w:r>
      <w:r w:rsidR="00CB2FA0" w:rsidRPr="00DA385E">
        <w:rPr>
          <w:rFonts w:ascii="Times New Roman" w:hAnsi="Times New Roman" w:cs="Times New Roman"/>
          <w:b/>
          <w:sz w:val="28"/>
          <w:szCs w:val="28"/>
          <w:lang w:val="en-GB"/>
        </w:rPr>
        <w:t>29</w:t>
      </w:r>
      <w:r w:rsidR="007057D2" w:rsidRPr="00DA385E">
        <w:rPr>
          <w:rFonts w:ascii="Times New Roman" w:hAnsi="Times New Roman" w:cs="Times New Roman"/>
          <w:b/>
          <w:sz w:val="28"/>
          <w:szCs w:val="28"/>
          <w:lang w:val="en-GB"/>
        </w:rPr>
        <w:t xml:space="preserve"> </w:t>
      </w:r>
      <w:r w:rsidR="0075422F" w:rsidRPr="00DA385E">
        <w:rPr>
          <w:rFonts w:ascii="Times New Roman" w:hAnsi="Times New Roman" w:cs="Times New Roman"/>
          <w:b/>
          <w:sz w:val="28"/>
          <w:szCs w:val="28"/>
          <w:lang w:val="en-GB"/>
        </w:rPr>
        <w:t>October 201</w:t>
      </w:r>
      <w:r w:rsidR="001734CF" w:rsidRPr="00DA385E">
        <w:rPr>
          <w:rFonts w:ascii="Times New Roman" w:hAnsi="Times New Roman" w:cs="Times New Roman"/>
          <w:b/>
          <w:sz w:val="28"/>
          <w:szCs w:val="28"/>
          <w:lang w:val="en-GB"/>
        </w:rPr>
        <w:t>9</w:t>
      </w:r>
    </w:p>
    <w:p w14:paraId="35349580" w14:textId="77777777" w:rsidR="009D6FE1" w:rsidRPr="00694D6D" w:rsidRDefault="009D6FE1" w:rsidP="00694D6D">
      <w:pPr>
        <w:spacing w:after="0" w:line="360" w:lineRule="auto"/>
        <w:jc w:val="both"/>
        <w:rPr>
          <w:rFonts w:ascii="Times New Roman" w:hAnsi="Times New Roman" w:cs="Times New Roman"/>
          <w:sz w:val="24"/>
          <w:szCs w:val="24"/>
          <w:lang w:val="en-GB"/>
        </w:rPr>
      </w:pPr>
    </w:p>
    <w:p w14:paraId="3D582A77" w14:textId="77777777" w:rsidR="0075422F" w:rsidRPr="00694D6D" w:rsidRDefault="0075422F" w:rsidP="00694D6D">
      <w:pPr>
        <w:spacing w:after="0" w:line="360" w:lineRule="auto"/>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 xml:space="preserve">The Portfolio Committee on </w:t>
      </w:r>
      <w:bookmarkStart w:id="0" w:name="_GoBack"/>
      <w:r w:rsidR="006A21CC" w:rsidRPr="00694D6D">
        <w:rPr>
          <w:rFonts w:ascii="Times New Roman" w:hAnsi="Times New Roman" w:cs="Times New Roman"/>
          <w:sz w:val="24"/>
          <w:szCs w:val="24"/>
          <w:lang w:val="en-GB"/>
        </w:rPr>
        <w:t xml:space="preserve">Higher Education, </w:t>
      </w:r>
      <w:r w:rsidR="006E4A2F" w:rsidRPr="00694D6D">
        <w:rPr>
          <w:rFonts w:ascii="Times New Roman" w:hAnsi="Times New Roman" w:cs="Times New Roman"/>
          <w:sz w:val="24"/>
          <w:szCs w:val="24"/>
          <w:lang w:val="en-GB"/>
        </w:rPr>
        <w:t>Science and Technology</w:t>
      </w:r>
      <w:r w:rsidRPr="00694D6D">
        <w:rPr>
          <w:rFonts w:ascii="Times New Roman" w:hAnsi="Times New Roman" w:cs="Times New Roman"/>
          <w:sz w:val="24"/>
          <w:szCs w:val="24"/>
          <w:lang w:val="en-GB"/>
        </w:rPr>
        <w:t xml:space="preserve">, </w:t>
      </w:r>
      <w:bookmarkEnd w:id="0"/>
      <w:r w:rsidRPr="00694D6D">
        <w:rPr>
          <w:rFonts w:ascii="Times New Roman" w:hAnsi="Times New Roman" w:cs="Times New Roman"/>
          <w:sz w:val="24"/>
          <w:szCs w:val="24"/>
          <w:lang w:val="en-GB"/>
        </w:rPr>
        <w:t xml:space="preserve">having </w:t>
      </w:r>
      <w:r w:rsidR="00C35120" w:rsidRPr="00694D6D">
        <w:rPr>
          <w:rFonts w:ascii="Times New Roman" w:hAnsi="Times New Roman" w:cs="Times New Roman"/>
          <w:sz w:val="24"/>
          <w:szCs w:val="24"/>
          <w:lang w:val="en-GB"/>
        </w:rPr>
        <w:t xml:space="preserve">considered the performance </w:t>
      </w:r>
      <w:r w:rsidRPr="00694D6D">
        <w:rPr>
          <w:rFonts w:ascii="Times New Roman" w:hAnsi="Times New Roman" w:cs="Times New Roman"/>
          <w:sz w:val="24"/>
          <w:szCs w:val="24"/>
          <w:lang w:val="en-GB"/>
        </w:rPr>
        <w:t>of the Department</w:t>
      </w:r>
      <w:r w:rsidR="009C0105" w:rsidRPr="00694D6D">
        <w:rPr>
          <w:rFonts w:ascii="Times New Roman" w:hAnsi="Times New Roman" w:cs="Times New Roman"/>
          <w:sz w:val="24"/>
          <w:szCs w:val="24"/>
          <w:lang w:val="en-GB"/>
        </w:rPr>
        <w:t xml:space="preserve"> of Science and </w:t>
      </w:r>
      <w:r w:rsidR="00F31539" w:rsidRPr="00694D6D">
        <w:rPr>
          <w:rFonts w:ascii="Times New Roman" w:hAnsi="Times New Roman" w:cs="Times New Roman"/>
          <w:sz w:val="24"/>
          <w:szCs w:val="24"/>
          <w:lang w:val="en-GB"/>
        </w:rPr>
        <w:t>Technology</w:t>
      </w:r>
      <w:r w:rsidR="006A21CC" w:rsidRPr="00694D6D">
        <w:rPr>
          <w:rFonts w:ascii="Times New Roman" w:hAnsi="Times New Roman" w:cs="Times New Roman"/>
          <w:sz w:val="24"/>
          <w:szCs w:val="24"/>
          <w:lang w:val="en-GB"/>
        </w:rPr>
        <w:t xml:space="preserve"> - Vote 30</w:t>
      </w:r>
      <w:r w:rsidR="00C35120" w:rsidRPr="00694D6D">
        <w:rPr>
          <w:rFonts w:ascii="Times New Roman" w:hAnsi="Times New Roman" w:cs="Times New Roman"/>
          <w:sz w:val="24"/>
          <w:szCs w:val="24"/>
          <w:lang w:val="en-GB"/>
        </w:rPr>
        <w:t xml:space="preserve"> </w:t>
      </w:r>
      <w:r w:rsidR="00292704" w:rsidRPr="00694D6D">
        <w:rPr>
          <w:rFonts w:ascii="Times New Roman" w:hAnsi="Times New Roman" w:cs="Times New Roman"/>
          <w:sz w:val="24"/>
          <w:szCs w:val="24"/>
          <w:lang w:val="en-GB"/>
        </w:rPr>
        <w:t xml:space="preserve">for the </w:t>
      </w:r>
      <w:r w:rsidR="006706C3" w:rsidRPr="00694D6D">
        <w:rPr>
          <w:rFonts w:ascii="Times New Roman" w:hAnsi="Times New Roman" w:cs="Times New Roman"/>
          <w:sz w:val="24"/>
          <w:szCs w:val="24"/>
          <w:lang w:val="en-GB"/>
        </w:rPr>
        <w:t>2018</w:t>
      </w:r>
      <w:r w:rsidR="006A21CC" w:rsidRPr="00694D6D">
        <w:rPr>
          <w:rFonts w:ascii="Times New Roman" w:hAnsi="Times New Roman" w:cs="Times New Roman"/>
          <w:sz w:val="24"/>
          <w:szCs w:val="24"/>
          <w:lang w:val="en-GB"/>
        </w:rPr>
        <w:t>/19</w:t>
      </w:r>
      <w:r w:rsidR="00F048C5" w:rsidRPr="00694D6D">
        <w:rPr>
          <w:rFonts w:ascii="Times New Roman" w:hAnsi="Times New Roman" w:cs="Times New Roman"/>
          <w:sz w:val="24"/>
          <w:szCs w:val="24"/>
          <w:lang w:val="en-GB"/>
        </w:rPr>
        <w:t xml:space="preserve"> financial year,</w:t>
      </w:r>
      <w:r w:rsidRPr="00694D6D">
        <w:rPr>
          <w:rFonts w:ascii="Times New Roman" w:hAnsi="Times New Roman" w:cs="Times New Roman"/>
          <w:sz w:val="24"/>
          <w:szCs w:val="24"/>
          <w:lang w:val="en-GB"/>
        </w:rPr>
        <w:t xml:space="preserve"> reports as follows:</w:t>
      </w:r>
    </w:p>
    <w:p w14:paraId="7A61DE56" w14:textId="77777777" w:rsidR="005B50D8" w:rsidRPr="00694D6D" w:rsidRDefault="005B50D8" w:rsidP="00694D6D">
      <w:pPr>
        <w:spacing w:after="0" w:line="360" w:lineRule="auto"/>
        <w:jc w:val="both"/>
        <w:rPr>
          <w:rFonts w:ascii="Times New Roman" w:hAnsi="Times New Roman" w:cs="Times New Roman"/>
          <w:sz w:val="24"/>
          <w:szCs w:val="24"/>
          <w:lang w:val="en-GB"/>
        </w:rPr>
      </w:pPr>
    </w:p>
    <w:p w14:paraId="179B718C" w14:textId="77777777" w:rsidR="0075422F" w:rsidRPr="00694D6D" w:rsidRDefault="0075422F" w:rsidP="00694D6D">
      <w:pPr>
        <w:pStyle w:val="ListParagraph"/>
        <w:numPr>
          <w:ilvl w:val="0"/>
          <w:numId w:val="1"/>
        </w:numPr>
        <w:spacing w:after="0" w:line="360" w:lineRule="auto"/>
        <w:ind w:left="0" w:firstLine="0"/>
        <w:jc w:val="both"/>
        <w:rPr>
          <w:rFonts w:ascii="Times New Roman" w:hAnsi="Times New Roman" w:cs="Times New Roman"/>
          <w:b/>
          <w:caps/>
          <w:sz w:val="24"/>
          <w:szCs w:val="24"/>
          <w:lang w:val="en-GB"/>
        </w:rPr>
      </w:pPr>
      <w:r w:rsidRPr="00694D6D">
        <w:rPr>
          <w:rFonts w:ascii="Times New Roman" w:hAnsi="Times New Roman" w:cs="Times New Roman"/>
          <w:b/>
          <w:caps/>
          <w:sz w:val="24"/>
          <w:szCs w:val="24"/>
          <w:lang w:val="en-GB"/>
        </w:rPr>
        <w:t>Introduction</w:t>
      </w:r>
    </w:p>
    <w:p w14:paraId="415FB557" w14:textId="77777777" w:rsidR="0075422F" w:rsidRPr="00694D6D" w:rsidRDefault="0075422F" w:rsidP="00694D6D">
      <w:pPr>
        <w:pStyle w:val="ListParagraph"/>
        <w:spacing w:after="0" w:line="360" w:lineRule="auto"/>
        <w:ind w:left="0"/>
        <w:jc w:val="both"/>
        <w:rPr>
          <w:rFonts w:ascii="Times New Roman" w:hAnsi="Times New Roman" w:cs="Times New Roman"/>
          <w:sz w:val="24"/>
          <w:szCs w:val="24"/>
          <w:lang w:val="en-GB"/>
        </w:rPr>
      </w:pPr>
    </w:p>
    <w:p w14:paraId="0FBCAE43" w14:textId="77777777" w:rsidR="00182EE2" w:rsidRPr="00694D6D" w:rsidRDefault="00C35120" w:rsidP="00694D6D">
      <w:pPr>
        <w:pStyle w:val="ListParagraph"/>
        <w:numPr>
          <w:ilvl w:val="1"/>
          <w:numId w:val="1"/>
        </w:numPr>
        <w:spacing w:after="0" w:line="360" w:lineRule="auto"/>
        <w:ind w:left="0" w:firstLine="0"/>
        <w:jc w:val="both"/>
        <w:rPr>
          <w:rFonts w:ascii="Times New Roman" w:hAnsi="Times New Roman" w:cs="Times New Roman"/>
          <w:b/>
          <w:sz w:val="24"/>
          <w:szCs w:val="24"/>
          <w:lang w:val="en-GB"/>
        </w:rPr>
      </w:pPr>
      <w:r w:rsidRPr="00694D6D">
        <w:rPr>
          <w:rFonts w:ascii="Times New Roman" w:hAnsi="Times New Roman" w:cs="Times New Roman"/>
          <w:b/>
          <w:sz w:val="24"/>
          <w:szCs w:val="24"/>
          <w:lang w:val="en-GB"/>
        </w:rPr>
        <w:t xml:space="preserve">Mandate </w:t>
      </w:r>
      <w:r w:rsidR="00CD29EC" w:rsidRPr="00694D6D">
        <w:rPr>
          <w:rFonts w:ascii="Times New Roman" w:hAnsi="Times New Roman" w:cs="Times New Roman"/>
          <w:b/>
          <w:sz w:val="24"/>
          <w:szCs w:val="24"/>
          <w:lang w:val="en-GB"/>
        </w:rPr>
        <w:t xml:space="preserve">of the Portfolio Committee on </w:t>
      </w:r>
      <w:r w:rsidR="006A21CC" w:rsidRPr="00694D6D">
        <w:rPr>
          <w:rFonts w:ascii="Times New Roman" w:hAnsi="Times New Roman" w:cs="Times New Roman"/>
          <w:b/>
          <w:sz w:val="24"/>
          <w:szCs w:val="24"/>
          <w:lang w:val="en-GB"/>
        </w:rPr>
        <w:t xml:space="preserve">Higher Education, </w:t>
      </w:r>
      <w:r w:rsidR="00CD29EC" w:rsidRPr="00694D6D">
        <w:rPr>
          <w:rFonts w:ascii="Times New Roman" w:hAnsi="Times New Roman" w:cs="Times New Roman"/>
          <w:b/>
          <w:sz w:val="24"/>
          <w:szCs w:val="24"/>
          <w:lang w:val="en-GB"/>
        </w:rPr>
        <w:t>Science and Technology</w:t>
      </w:r>
    </w:p>
    <w:p w14:paraId="54760A25" w14:textId="77777777" w:rsidR="00182EE2" w:rsidRPr="00694D6D" w:rsidRDefault="00182EE2" w:rsidP="00694D6D">
      <w:pPr>
        <w:pStyle w:val="ListParagraph"/>
        <w:spacing w:after="0" w:line="360" w:lineRule="auto"/>
        <w:ind w:left="0"/>
        <w:jc w:val="both"/>
        <w:rPr>
          <w:rFonts w:ascii="Times New Roman" w:hAnsi="Times New Roman" w:cs="Times New Roman"/>
          <w:sz w:val="24"/>
          <w:szCs w:val="24"/>
          <w:lang w:val="en-GB"/>
        </w:rPr>
      </w:pPr>
    </w:p>
    <w:p w14:paraId="4F70040F" w14:textId="77777777" w:rsidR="00BA4F80" w:rsidRPr="00694D6D" w:rsidRDefault="00EB41CE" w:rsidP="00694D6D">
      <w:pPr>
        <w:autoSpaceDE w:val="0"/>
        <w:autoSpaceDN w:val="0"/>
        <w:adjustRightInd w:val="0"/>
        <w:spacing w:after="0" w:line="360" w:lineRule="auto"/>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 xml:space="preserve">The </w:t>
      </w:r>
      <w:r w:rsidR="00DB08FB" w:rsidRPr="00694D6D">
        <w:rPr>
          <w:rFonts w:ascii="Times New Roman" w:hAnsi="Times New Roman" w:cs="Times New Roman"/>
          <w:sz w:val="24"/>
          <w:szCs w:val="24"/>
          <w:lang w:val="en-GB"/>
        </w:rPr>
        <w:t xml:space="preserve">Portfolio Committee on </w:t>
      </w:r>
      <w:r w:rsidR="006A21CC" w:rsidRPr="00694D6D">
        <w:rPr>
          <w:rFonts w:ascii="Times New Roman" w:hAnsi="Times New Roman" w:cs="Times New Roman"/>
          <w:sz w:val="24"/>
          <w:szCs w:val="24"/>
          <w:lang w:val="en-GB"/>
        </w:rPr>
        <w:t xml:space="preserve">Higher Education, </w:t>
      </w:r>
      <w:r w:rsidR="00DB08FB" w:rsidRPr="00694D6D">
        <w:rPr>
          <w:rFonts w:ascii="Times New Roman" w:hAnsi="Times New Roman" w:cs="Times New Roman"/>
          <w:sz w:val="24"/>
          <w:szCs w:val="24"/>
          <w:lang w:val="en-GB"/>
        </w:rPr>
        <w:t>Science and Technology (</w:t>
      </w:r>
      <w:r w:rsidR="006A21CC" w:rsidRPr="00694D6D">
        <w:rPr>
          <w:rFonts w:ascii="Times New Roman" w:hAnsi="Times New Roman" w:cs="Times New Roman"/>
          <w:sz w:val="24"/>
          <w:szCs w:val="24"/>
          <w:lang w:val="en-GB"/>
        </w:rPr>
        <w:t xml:space="preserve">hereafter, </w:t>
      </w:r>
      <w:r w:rsidR="00D029C0" w:rsidRPr="00694D6D">
        <w:rPr>
          <w:rFonts w:ascii="Times New Roman" w:hAnsi="Times New Roman" w:cs="Times New Roman"/>
          <w:sz w:val="24"/>
          <w:szCs w:val="24"/>
          <w:lang w:val="en-GB"/>
        </w:rPr>
        <w:t xml:space="preserve">the </w:t>
      </w:r>
      <w:r w:rsidRPr="00694D6D">
        <w:rPr>
          <w:rFonts w:ascii="Times New Roman" w:hAnsi="Times New Roman" w:cs="Times New Roman"/>
          <w:sz w:val="24"/>
          <w:szCs w:val="24"/>
          <w:lang w:val="en-GB"/>
        </w:rPr>
        <w:t>Committee</w:t>
      </w:r>
      <w:r w:rsidR="00DB08FB" w:rsidRPr="00694D6D">
        <w:rPr>
          <w:rFonts w:ascii="Times New Roman" w:hAnsi="Times New Roman" w:cs="Times New Roman"/>
          <w:sz w:val="24"/>
          <w:szCs w:val="24"/>
          <w:lang w:val="en-GB"/>
        </w:rPr>
        <w:t>)</w:t>
      </w:r>
      <w:r w:rsidRPr="00694D6D">
        <w:rPr>
          <w:rFonts w:ascii="Times New Roman" w:hAnsi="Times New Roman" w:cs="Times New Roman"/>
          <w:sz w:val="24"/>
          <w:szCs w:val="24"/>
          <w:lang w:val="en-GB"/>
        </w:rPr>
        <w:t xml:space="preserve"> is</w:t>
      </w:r>
      <w:r w:rsidR="00597CF4" w:rsidRPr="00694D6D">
        <w:rPr>
          <w:rFonts w:ascii="Times New Roman" w:hAnsi="Times New Roman" w:cs="Times New Roman"/>
          <w:sz w:val="24"/>
          <w:szCs w:val="24"/>
          <w:lang w:val="en-GB"/>
        </w:rPr>
        <w:t xml:space="preserve"> mandated by the Constitution and the Rules of Parliament to oversee the activities and performance of </w:t>
      </w:r>
      <w:r w:rsidRPr="00694D6D">
        <w:rPr>
          <w:rFonts w:ascii="Times New Roman" w:hAnsi="Times New Roman" w:cs="Times New Roman"/>
          <w:sz w:val="24"/>
          <w:szCs w:val="24"/>
          <w:lang w:val="en-GB"/>
        </w:rPr>
        <w:t>the Department of Science and Technology (</w:t>
      </w:r>
      <w:r w:rsidR="006A21CC" w:rsidRPr="00694D6D">
        <w:rPr>
          <w:rFonts w:ascii="Times New Roman" w:hAnsi="Times New Roman" w:cs="Times New Roman"/>
          <w:sz w:val="24"/>
          <w:szCs w:val="24"/>
          <w:lang w:val="en-GB"/>
        </w:rPr>
        <w:t xml:space="preserve">hereafter, </w:t>
      </w:r>
      <w:r w:rsidRPr="00694D6D">
        <w:rPr>
          <w:rFonts w:ascii="Times New Roman" w:hAnsi="Times New Roman" w:cs="Times New Roman"/>
          <w:sz w:val="24"/>
          <w:szCs w:val="24"/>
          <w:lang w:val="en-GB"/>
        </w:rPr>
        <w:t>the Department</w:t>
      </w:r>
      <w:r w:rsidR="00BD12E6" w:rsidRPr="00694D6D">
        <w:rPr>
          <w:rFonts w:ascii="Times New Roman" w:hAnsi="Times New Roman" w:cs="Times New Roman"/>
          <w:sz w:val="24"/>
          <w:szCs w:val="24"/>
          <w:lang w:val="en-GB"/>
        </w:rPr>
        <w:t xml:space="preserve"> or DST</w:t>
      </w:r>
      <w:r w:rsidRPr="00694D6D">
        <w:rPr>
          <w:rFonts w:ascii="Times New Roman" w:hAnsi="Times New Roman" w:cs="Times New Roman"/>
          <w:sz w:val="24"/>
          <w:szCs w:val="24"/>
          <w:lang w:val="en-GB"/>
        </w:rPr>
        <w:t xml:space="preserve">) and the </w:t>
      </w:r>
      <w:r w:rsidR="00597CF4" w:rsidRPr="00694D6D">
        <w:rPr>
          <w:rFonts w:ascii="Times New Roman" w:hAnsi="Times New Roman" w:cs="Times New Roman"/>
          <w:sz w:val="24"/>
          <w:szCs w:val="24"/>
          <w:lang w:val="en-GB"/>
        </w:rPr>
        <w:t xml:space="preserve">entities that report to it. </w:t>
      </w:r>
      <w:r w:rsidR="00D22C0C" w:rsidRPr="00694D6D">
        <w:rPr>
          <w:rFonts w:ascii="Times New Roman" w:hAnsi="Times New Roman" w:cs="Times New Roman"/>
          <w:sz w:val="24"/>
          <w:szCs w:val="24"/>
          <w:lang w:val="en-GB"/>
        </w:rPr>
        <w:t>Furthermore</w:t>
      </w:r>
      <w:r w:rsidR="002D7D39" w:rsidRPr="00694D6D">
        <w:rPr>
          <w:rFonts w:ascii="Times New Roman" w:hAnsi="Times New Roman" w:cs="Times New Roman"/>
          <w:sz w:val="24"/>
          <w:szCs w:val="24"/>
          <w:lang w:val="en-GB"/>
        </w:rPr>
        <w:t>, the Committee must consider, amend and/or initiate legislation; consider international agreements and provide a platform for the public to participate and present views on issues and/or legislation specific to the science, technology and innovation</w:t>
      </w:r>
      <w:r w:rsidR="00AC4747" w:rsidRPr="00694D6D">
        <w:rPr>
          <w:rFonts w:ascii="Times New Roman" w:hAnsi="Times New Roman" w:cs="Times New Roman"/>
          <w:sz w:val="24"/>
          <w:szCs w:val="24"/>
          <w:lang w:val="en-GB"/>
        </w:rPr>
        <w:t xml:space="preserve"> (STI)</w:t>
      </w:r>
      <w:r w:rsidR="002D7D39" w:rsidRPr="00694D6D">
        <w:rPr>
          <w:rFonts w:ascii="Times New Roman" w:hAnsi="Times New Roman" w:cs="Times New Roman"/>
          <w:sz w:val="24"/>
          <w:szCs w:val="24"/>
          <w:lang w:val="en-GB"/>
        </w:rPr>
        <w:t xml:space="preserve"> system.</w:t>
      </w:r>
    </w:p>
    <w:p w14:paraId="17588C64" w14:textId="77777777" w:rsidR="00AE2D60" w:rsidRPr="00694D6D" w:rsidRDefault="00AE2D60" w:rsidP="00694D6D">
      <w:pPr>
        <w:autoSpaceDE w:val="0"/>
        <w:autoSpaceDN w:val="0"/>
        <w:adjustRightInd w:val="0"/>
        <w:spacing w:after="0" w:line="360" w:lineRule="auto"/>
        <w:jc w:val="both"/>
        <w:rPr>
          <w:rFonts w:ascii="Times New Roman" w:hAnsi="Times New Roman" w:cs="Times New Roman"/>
          <w:sz w:val="24"/>
          <w:szCs w:val="24"/>
          <w:lang w:val="en-GB"/>
        </w:rPr>
      </w:pPr>
    </w:p>
    <w:p w14:paraId="3B0EA31B" w14:textId="77777777" w:rsidR="0042455B" w:rsidRPr="00694D6D" w:rsidRDefault="0042455B" w:rsidP="00694D6D">
      <w:pPr>
        <w:autoSpaceDE w:val="0"/>
        <w:autoSpaceDN w:val="0"/>
        <w:adjustRightInd w:val="0"/>
        <w:spacing w:after="0" w:line="360" w:lineRule="auto"/>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To enhance Parliament’s oversight role, the Money Bills Amendment Procedure and Related Matters Act (9 of 2009) was promulgated to provide Parliament with a procedure to make recommendations to the Minister of Finance to amend the budget of a national department. A key provision of this Act is that Portfolio Committees must annually compile Budgetary Review and Recommendation (BRR) Reports. These BRR Reports provide an assessment of service delivery performance given available resources; evaluates the effective and efficient use of resources; and may make recommendations on the forward use of resources. The BRR Reports are also source documents for the Committees on Appropriations when they make recommendations to the Houses of Parliament on the Medium-Term Budget Policy Statement (MTBPS).</w:t>
      </w:r>
    </w:p>
    <w:p w14:paraId="3B94274A" w14:textId="77777777" w:rsidR="00F34B6F" w:rsidRPr="00694D6D" w:rsidRDefault="00F34B6F" w:rsidP="00694D6D">
      <w:pPr>
        <w:autoSpaceDE w:val="0"/>
        <w:autoSpaceDN w:val="0"/>
        <w:adjustRightInd w:val="0"/>
        <w:spacing w:after="0" w:line="360" w:lineRule="auto"/>
        <w:jc w:val="both"/>
        <w:rPr>
          <w:rFonts w:ascii="Times New Roman" w:hAnsi="Times New Roman" w:cs="Times New Roman"/>
          <w:sz w:val="24"/>
          <w:szCs w:val="24"/>
          <w:lang w:val="en-GB"/>
        </w:rPr>
      </w:pPr>
    </w:p>
    <w:p w14:paraId="3DB40B9D" w14:textId="77777777" w:rsidR="00CE10A5" w:rsidRPr="00694D6D" w:rsidRDefault="00D22C0C" w:rsidP="00694D6D">
      <w:pPr>
        <w:pStyle w:val="ListParagraph"/>
        <w:numPr>
          <w:ilvl w:val="1"/>
          <w:numId w:val="1"/>
        </w:numPr>
        <w:spacing w:after="0" w:line="360" w:lineRule="auto"/>
        <w:ind w:left="567" w:hanging="567"/>
        <w:contextualSpacing w:val="0"/>
        <w:jc w:val="both"/>
        <w:rPr>
          <w:rFonts w:ascii="Times New Roman" w:hAnsi="Times New Roman" w:cs="Times New Roman"/>
          <w:b/>
          <w:sz w:val="24"/>
          <w:szCs w:val="24"/>
          <w:lang w:val="en-GB"/>
        </w:rPr>
      </w:pPr>
      <w:r w:rsidRPr="00694D6D">
        <w:rPr>
          <w:rFonts w:ascii="Times New Roman" w:hAnsi="Times New Roman" w:cs="Times New Roman"/>
          <w:b/>
          <w:sz w:val="24"/>
          <w:szCs w:val="24"/>
          <w:lang w:val="en-GB"/>
        </w:rPr>
        <w:t>Purpose of and m</w:t>
      </w:r>
      <w:r w:rsidR="00CE10A5" w:rsidRPr="00694D6D">
        <w:rPr>
          <w:rFonts w:ascii="Times New Roman" w:hAnsi="Times New Roman" w:cs="Times New Roman"/>
          <w:b/>
          <w:sz w:val="24"/>
          <w:szCs w:val="24"/>
          <w:lang w:val="en-GB"/>
        </w:rPr>
        <w:t>ethod to develop the 201</w:t>
      </w:r>
      <w:r w:rsidR="006A21CC" w:rsidRPr="00694D6D">
        <w:rPr>
          <w:rFonts w:ascii="Times New Roman" w:hAnsi="Times New Roman" w:cs="Times New Roman"/>
          <w:b/>
          <w:sz w:val="24"/>
          <w:szCs w:val="24"/>
          <w:lang w:val="en-GB"/>
        </w:rPr>
        <w:t>9</w:t>
      </w:r>
      <w:r w:rsidR="00CE10A5" w:rsidRPr="00694D6D">
        <w:rPr>
          <w:rFonts w:ascii="Times New Roman" w:hAnsi="Times New Roman" w:cs="Times New Roman"/>
          <w:b/>
          <w:sz w:val="24"/>
          <w:szCs w:val="24"/>
          <w:lang w:val="en-GB"/>
        </w:rPr>
        <w:t xml:space="preserve"> Budget</w:t>
      </w:r>
      <w:r w:rsidR="00AC4747" w:rsidRPr="00694D6D">
        <w:rPr>
          <w:rFonts w:ascii="Times New Roman" w:hAnsi="Times New Roman" w:cs="Times New Roman"/>
          <w:b/>
          <w:sz w:val="24"/>
          <w:szCs w:val="24"/>
          <w:lang w:val="en-GB"/>
        </w:rPr>
        <w:t>ary</w:t>
      </w:r>
      <w:r w:rsidR="00CE10A5" w:rsidRPr="00694D6D">
        <w:rPr>
          <w:rFonts w:ascii="Times New Roman" w:hAnsi="Times New Roman" w:cs="Times New Roman"/>
          <w:b/>
          <w:sz w:val="24"/>
          <w:szCs w:val="24"/>
          <w:lang w:val="en-GB"/>
        </w:rPr>
        <w:t xml:space="preserve"> Review and Recommendation Report of the Portfolio Committee on</w:t>
      </w:r>
      <w:r w:rsidR="006A21CC" w:rsidRPr="00694D6D">
        <w:rPr>
          <w:rFonts w:ascii="Times New Roman" w:hAnsi="Times New Roman" w:cs="Times New Roman"/>
          <w:b/>
          <w:sz w:val="24"/>
          <w:szCs w:val="24"/>
          <w:lang w:val="en-GB"/>
        </w:rPr>
        <w:t xml:space="preserve"> Higher Education,</w:t>
      </w:r>
      <w:r w:rsidR="00CE10A5" w:rsidRPr="00694D6D">
        <w:rPr>
          <w:rFonts w:ascii="Times New Roman" w:hAnsi="Times New Roman" w:cs="Times New Roman"/>
          <w:b/>
          <w:sz w:val="24"/>
          <w:szCs w:val="24"/>
          <w:lang w:val="en-GB"/>
        </w:rPr>
        <w:t xml:space="preserve"> Science and Technology</w:t>
      </w:r>
    </w:p>
    <w:p w14:paraId="3F2E55AF" w14:textId="77777777" w:rsidR="00CE10A5" w:rsidRPr="00694D6D" w:rsidRDefault="00CE10A5" w:rsidP="00694D6D">
      <w:pPr>
        <w:spacing w:after="0" w:line="360" w:lineRule="auto"/>
        <w:jc w:val="both"/>
        <w:rPr>
          <w:rFonts w:ascii="Times New Roman" w:hAnsi="Times New Roman" w:cs="Times New Roman"/>
          <w:sz w:val="24"/>
          <w:szCs w:val="24"/>
          <w:lang w:val="en-GB"/>
        </w:rPr>
      </w:pPr>
    </w:p>
    <w:p w14:paraId="6F99F7A2" w14:textId="77777777" w:rsidR="00137261" w:rsidRPr="00694D6D" w:rsidRDefault="005A0C9E" w:rsidP="00694D6D">
      <w:pPr>
        <w:spacing w:after="0" w:line="360" w:lineRule="auto"/>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lastRenderedPageBreak/>
        <w:t>The purpose of th</w:t>
      </w:r>
      <w:r w:rsidR="00AA2EAB" w:rsidRPr="00694D6D">
        <w:rPr>
          <w:rFonts w:ascii="Times New Roman" w:hAnsi="Times New Roman" w:cs="Times New Roman"/>
          <w:sz w:val="24"/>
          <w:szCs w:val="24"/>
          <w:lang w:val="en-GB"/>
        </w:rPr>
        <w:t>e</w:t>
      </w:r>
      <w:r w:rsidRPr="00694D6D">
        <w:rPr>
          <w:rFonts w:ascii="Times New Roman" w:hAnsi="Times New Roman" w:cs="Times New Roman"/>
          <w:sz w:val="24"/>
          <w:szCs w:val="24"/>
          <w:lang w:val="en-GB"/>
        </w:rPr>
        <w:t xml:space="preserve"> BRR Report is to account</w:t>
      </w:r>
      <w:r w:rsidR="0057390F" w:rsidRPr="00694D6D">
        <w:rPr>
          <w:rFonts w:ascii="Times New Roman" w:hAnsi="Times New Roman" w:cs="Times New Roman"/>
          <w:sz w:val="24"/>
          <w:szCs w:val="24"/>
          <w:lang w:val="en-GB"/>
        </w:rPr>
        <w:t>,</w:t>
      </w:r>
      <w:r w:rsidRPr="00694D6D">
        <w:rPr>
          <w:rFonts w:ascii="Times New Roman" w:hAnsi="Times New Roman" w:cs="Times New Roman"/>
          <w:sz w:val="24"/>
          <w:szCs w:val="24"/>
          <w:lang w:val="en-GB"/>
        </w:rPr>
        <w:t xml:space="preserve"> in accordance with </w:t>
      </w:r>
      <w:r w:rsidR="00B42DE3" w:rsidRPr="00694D6D">
        <w:rPr>
          <w:rFonts w:ascii="Times New Roman" w:hAnsi="Times New Roman" w:cs="Times New Roman"/>
          <w:sz w:val="24"/>
          <w:szCs w:val="24"/>
          <w:lang w:val="en-GB"/>
        </w:rPr>
        <w:t xml:space="preserve">National Assembly (NA) </w:t>
      </w:r>
      <w:r w:rsidRPr="00694D6D">
        <w:rPr>
          <w:rFonts w:ascii="Times New Roman" w:hAnsi="Times New Roman" w:cs="Times New Roman"/>
          <w:sz w:val="24"/>
          <w:szCs w:val="24"/>
          <w:lang w:val="en-GB"/>
        </w:rPr>
        <w:t>Rule</w:t>
      </w:r>
      <w:r w:rsidR="0057390F" w:rsidRPr="00694D6D">
        <w:rPr>
          <w:rFonts w:ascii="Times New Roman" w:hAnsi="Times New Roman" w:cs="Times New Roman"/>
          <w:sz w:val="24"/>
          <w:szCs w:val="24"/>
          <w:lang w:val="en-GB"/>
        </w:rPr>
        <w:t>s</w:t>
      </w:r>
      <w:r w:rsidRPr="00694D6D">
        <w:rPr>
          <w:rFonts w:ascii="Times New Roman" w:hAnsi="Times New Roman" w:cs="Times New Roman"/>
          <w:sz w:val="24"/>
          <w:szCs w:val="24"/>
          <w:lang w:val="en-GB"/>
        </w:rPr>
        <w:t xml:space="preserve"> 339</w:t>
      </w:r>
      <w:r w:rsidR="0057390F" w:rsidRPr="00694D6D">
        <w:rPr>
          <w:rFonts w:ascii="Times New Roman" w:hAnsi="Times New Roman" w:cs="Times New Roman"/>
          <w:sz w:val="24"/>
          <w:szCs w:val="24"/>
          <w:lang w:val="en-GB"/>
        </w:rPr>
        <w:t xml:space="preserve"> and 340,</w:t>
      </w:r>
      <w:r w:rsidRPr="00694D6D">
        <w:rPr>
          <w:rFonts w:ascii="Times New Roman" w:hAnsi="Times New Roman" w:cs="Times New Roman"/>
          <w:sz w:val="24"/>
          <w:szCs w:val="24"/>
          <w:lang w:val="en-GB"/>
        </w:rPr>
        <w:t xml:space="preserve"> for work done by the Committee in considering the 2018/19 Annual Reports of the Department and entities, which were tabled in accordance with Section 40(1) of the Public Finance Management Act (1 of 1999)</w:t>
      </w:r>
      <w:r w:rsidR="00B42DE3" w:rsidRPr="00694D6D">
        <w:rPr>
          <w:rFonts w:ascii="Times New Roman" w:hAnsi="Times New Roman" w:cs="Times New Roman"/>
          <w:sz w:val="24"/>
          <w:szCs w:val="24"/>
          <w:lang w:val="en-GB"/>
        </w:rPr>
        <w:t xml:space="preserve"> (PFMA)</w:t>
      </w:r>
      <w:r w:rsidRPr="00694D6D">
        <w:rPr>
          <w:rFonts w:ascii="Times New Roman" w:hAnsi="Times New Roman" w:cs="Times New Roman"/>
          <w:sz w:val="24"/>
          <w:szCs w:val="24"/>
          <w:lang w:val="en-GB"/>
        </w:rPr>
        <w:t xml:space="preserve"> and referred </w:t>
      </w:r>
      <w:r w:rsidR="0057390F" w:rsidRPr="00694D6D">
        <w:rPr>
          <w:rFonts w:ascii="Times New Roman" w:hAnsi="Times New Roman" w:cs="Times New Roman"/>
          <w:sz w:val="24"/>
          <w:szCs w:val="24"/>
          <w:lang w:val="en-GB"/>
        </w:rPr>
        <w:t xml:space="preserve">by the Speaker to the Committee </w:t>
      </w:r>
      <w:r w:rsidRPr="00694D6D">
        <w:rPr>
          <w:rFonts w:ascii="Times New Roman" w:hAnsi="Times New Roman" w:cs="Times New Roman"/>
          <w:sz w:val="24"/>
          <w:szCs w:val="24"/>
          <w:lang w:val="en-GB"/>
        </w:rPr>
        <w:t>for consideration and report.</w:t>
      </w:r>
    </w:p>
    <w:p w14:paraId="00BDF29F" w14:textId="77777777" w:rsidR="00137261" w:rsidRPr="00694D6D" w:rsidRDefault="00137261" w:rsidP="00694D6D">
      <w:pPr>
        <w:spacing w:after="0" w:line="360" w:lineRule="auto"/>
        <w:jc w:val="both"/>
        <w:rPr>
          <w:rFonts w:ascii="Times New Roman" w:hAnsi="Times New Roman" w:cs="Times New Roman"/>
          <w:sz w:val="24"/>
          <w:szCs w:val="24"/>
          <w:lang w:val="en-GB"/>
        </w:rPr>
      </w:pPr>
    </w:p>
    <w:p w14:paraId="12117F7A" w14:textId="77777777" w:rsidR="009178E3" w:rsidRPr="00694D6D" w:rsidRDefault="009178E3" w:rsidP="00694D6D">
      <w:pPr>
        <w:spacing w:after="0" w:line="360" w:lineRule="auto"/>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 xml:space="preserve">In preparation for the </w:t>
      </w:r>
      <w:r w:rsidR="00AB122A" w:rsidRPr="00694D6D">
        <w:rPr>
          <w:rFonts w:ascii="Times New Roman" w:hAnsi="Times New Roman" w:cs="Times New Roman"/>
          <w:sz w:val="24"/>
          <w:szCs w:val="24"/>
          <w:lang w:val="en-GB"/>
        </w:rPr>
        <w:t>BRR</w:t>
      </w:r>
      <w:r w:rsidRPr="00694D6D">
        <w:rPr>
          <w:rFonts w:ascii="Times New Roman" w:hAnsi="Times New Roman" w:cs="Times New Roman"/>
          <w:sz w:val="24"/>
          <w:szCs w:val="24"/>
          <w:lang w:val="en-GB"/>
        </w:rPr>
        <w:t xml:space="preserve"> Report, the Committee</w:t>
      </w:r>
      <w:r w:rsidR="00137261" w:rsidRPr="00694D6D">
        <w:rPr>
          <w:rFonts w:ascii="Times New Roman" w:hAnsi="Times New Roman" w:cs="Times New Roman"/>
          <w:sz w:val="24"/>
          <w:szCs w:val="24"/>
          <w:lang w:val="en-GB"/>
        </w:rPr>
        <w:t>, d</w:t>
      </w:r>
      <w:r w:rsidR="00B42DE3" w:rsidRPr="00694D6D">
        <w:rPr>
          <w:rFonts w:ascii="Times New Roman" w:hAnsi="Times New Roman" w:cs="Times New Roman"/>
          <w:sz w:val="24"/>
          <w:szCs w:val="24"/>
          <w:lang w:val="en-GB"/>
        </w:rPr>
        <w:t>uring the 2018/19 financial year, c</w:t>
      </w:r>
      <w:r w:rsidR="00C330DD" w:rsidRPr="00694D6D">
        <w:rPr>
          <w:rFonts w:ascii="Times New Roman" w:hAnsi="Times New Roman" w:cs="Times New Roman"/>
          <w:sz w:val="24"/>
          <w:szCs w:val="24"/>
          <w:lang w:val="en-GB"/>
        </w:rPr>
        <w:t>onsider</w:t>
      </w:r>
      <w:r w:rsidR="00137261" w:rsidRPr="00694D6D">
        <w:rPr>
          <w:rFonts w:ascii="Times New Roman" w:hAnsi="Times New Roman" w:cs="Times New Roman"/>
          <w:sz w:val="24"/>
          <w:szCs w:val="24"/>
          <w:lang w:val="en-GB"/>
        </w:rPr>
        <w:t>ed</w:t>
      </w:r>
      <w:r w:rsidR="00C330DD" w:rsidRPr="00694D6D">
        <w:rPr>
          <w:rFonts w:ascii="Times New Roman" w:hAnsi="Times New Roman" w:cs="Times New Roman"/>
          <w:sz w:val="24"/>
          <w:szCs w:val="24"/>
          <w:lang w:val="en-GB"/>
        </w:rPr>
        <w:t xml:space="preserve"> t</w:t>
      </w:r>
      <w:r w:rsidR="00607A60" w:rsidRPr="00694D6D">
        <w:rPr>
          <w:rFonts w:ascii="Times New Roman" w:hAnsi="Times New Roman" w:cs="Times New Roman"/>
          <w:sz w:val="24"/>
          <w:szCs w:val="24"/>
          <w:lang w:val="en-GB"/>
        </w:rPr>
        <w:t xml:space="preserve">he </w:t>
      </w:r>
      <w:r w:rsidR="00AA2EAB" w:rsidRPr="00694D6D">
        <w:rPr>
          <w:rFonts w:ascii="Times New Roman" w:hAnsi="Times New Roman" w:cs="Times New Roman"/>
          <w:sz w:val="24"/>
          <w:szCs w:val="24"/>
          <w:lang w:val="en-GB"/>
        </w:rPr>
        <w:t xml:space="preserve">Department and entities’ </w:t>
      </w:r>
      <w:r w:rsidR="00414255" w:rsidRPr="00694D6D">
        <w:rPr>
          <w:rFonts w:ascii="Times New Roman" w:hAnsi="Times New Roman" w:cs="Times New Roman"/>
          <w:sz w:val="24"/>
          <w:szCs w:val="24"/>
          <w:lang w:val="en-GB"/>
        </w:rPr>
        <w:t>prevailing</w:t>
      </w:r>
      <w:r w:rsidR="00607A60" w:rsidRPr="00694D6D">
        <w:rPr>
          <w:rFonts w:ascii="Times New Roman" w:hAnsi="Times New Roman" w:cs="Times New Roman"/>
          <w:sz w:val="24"/>
          <w:szCs w:val="24"/>
          <w:lang w:val="en-GB"/>
        </w:rPr>
        <w:t xml:space="preserve"> Strategic Plan</w:t>
      </w:r>
      <w:r w:rsidR="00414255" w:rsidRPr="00694D6D">
        <w:rPr>
          <w:rFonts w:ascii="Times New Roman" w:hAnsi="Times New Roman" w:cs="Times New Roman"/>
          <w:sz w:val="24"/>
          <w:szCs w:val="24"/>
          <w:lang w:val="en-GB"/>
        </w:rPr>
        <w:t>s</w:t>
      </w:r>
      <w:r w:rsidR="00137261" w:rsidRPr="00694D6D">
        <w:rPr>
          <w:rFonts w:ascii="Times New Roman" w:hAnsi="Times New Roman" w:cs="Times New Roman"/>
          <w:sz w:val="24"/>
          <w:szCs w:val="24"/>
          <w:lang w:val="en-GB"/>
        </w:rPr>
        <w:t>,</w:t>
      </w:r>
      <w:r w:rsidR="00607A60" w:rsidRPr="00694D6D">
        <w:rPr>
          <w:rFonts w:ascii="Times New Roman" w:hAnsi="Times New Roman" w:cs="Times New Roman"/>
          <w:sz w:val="24"/>
          <w:szCs w:val="24"/>
          <w:lang w:val="en-GB"/>
        </w:rPr>
        <w:t xml:space="preserve"> the </w:t>
      </w:r>
      <w:r w:rsidR="00E34B4F" w:rsidRPr="00694D6D">
        <w:rPr>
          <w:rFonts w:ascii="Times New Roman" w:hAnsi="Times New Roman" w:cs="Times New Roman"/>
          <w:sz w:val="24"/>
          <w:szCs w:val="24"/>
          <w:lang w:val="en-GB"/>
        </w:rPr>
        <w:t>2018/19</w:t>
      </w:r>
      <w:r w:rsidR="00607A60" w:rsidRPr="00694D6D">
        <w:rPr>
          <w:rFonts w:ascii="Times New Roman" w:hAnsi="Times New Roman" w:cs="Times New Roman"/>
          <w:sz w:val="24"/>
          <w:szCs w:val="24"/>
          <w:lang w:val="en-GB"/>
        </w:rPr>
        <w:t xml:space="preserve"> </w:t>
      </w:r>
      <w:r w:rsidR="00C330DD" w:rsidRPr="00694D6D">
        <w:rPr>
          <w:rFonts w:ascii="Times New Roman" w:hAnsi="Times New Roman" w:cs="Times New Roman"/>
          <w:sz w:val="24"/>
          <w:szCs w:val="24"/>
          <w:lang w:val="en-GB"/>
        </w:rPr>
        <w:t>b</w:t>
      </w:r>
      <w:r w:rsidR="00414255" w:rsidRPr="00694D6D">
        <w:rPr>
          <w:rFonts w:ascii="Times New Roman" w:hAnsi="Times New Roman" w:cs="Times New Roman"/>
          <w:sz w:val="24"/>
          <w:szCs w:val="24"/>
          <w:lang w:val="en-GB"/>
        </w:rPr>
        <w:t xml:space="preserve">udget allocations and </w:t>
      </w:r>
      <w:r w:rsidR="00607A60" w:rsidRPr="00694D6D">
        <w:rPr>
          <w:rFonts w:ascii="Times New Roman" w:hAnsi="Times New Roman" w:cs="Times New Roman"/>
          <w:sz w:val="24"/>
          <w:szCs w:val="24"/>
          <w:lang w:val="en-GB"/>
        </w:rPr>
        <w:t>Annual Performance Plans</w:t>
      </w:r>
      <w:r w:rsidR="00B42DE3" w:rsidRPr="00694D6D">
        <w:rPr>
          <w:rFonts w:ascii="Times New Roman" w:hAnsi="Times New Roman" w:cs="Times New Roman"/>
          <w:sz w:val="24"/>
          <w:szCs w:val="24"/>
          <w:lang w:val="en-GB"/>
        </w:rPr>
        <w:t xml:space="preserve">, the </w:t>
      </w:r>
      <w:r w:rsidR="00607A60" w:rsidRPr="00694D6D">
        <w:rPr>
          <w:rFonts w:ascii="Times New Roman" w:hAnsi="Times New Roman" w:cs="Times New Roman"/>
          <w:sz w:val="24"/>
          <w:szCs w:val="24"/>
          <w:lang w:val="en-GB"/>
        </w:rPr>
        <w:t>quarterly performance and expenditure trends</w:t>
      </w:r>
      <w:r w:rsidR="00B42DE3" w:rsidRPr="00694D6D">
        <w:rPr>
          <w:rFonts w:ascii="Times New Roman" w:hAnsi="Times New Roman" w:cs="Times New Roman"/>
          <w:sz w:val="24"/>
          <w:szCs w:val="24"/>
          <w:lang w:val="en-GB"/>
        </w:rPr>
        <w:t>, and c</w:t>
      </w:r>
      <w:r w:rsidR="00414255" w:rsidRPr="00694D6D">
        <w:rPr>
          <w:rFonts w:ascii="Times New Roman" w:hAnsi="Times New Roman" w:cs="Times New Roman"/>
          <w:sz w:val="24"/>
          <w:szCs w:val="24"/>
          <w:lang w:val="en-GB"/>
        </w:rPr>
        <w:t>onduct</w:t>
      </w:r>
      <w:r w:rsidR="00137261" w:rsidRPr="00694D6D">
        <w:rPr>
          <w:rFonts w:ascii="Times New Roman" w:hAnsi="Times New Roman" w:cs="Times New Roman"/>
          <w:sz w:val="24"/>
          <w:szCs w:val="24"/>
          <w:lang w:val="en-GB"/>
        </w:rPr>
        <w:t>ed</w:t>
      </w:r>
      <w:r w:rsidR="00414255" w:rsidRPr="00694D6D">
        <w:rPr>
          <w:rFonts w:ascii="Times New Roman" w:hAnsi="Times New Roman" w:cs="Times New Roman"/>
          <w:sz w:val="24"/>
          <w:szCs w:val="24"/>
          <w:lang w:val="en-GB"/>
        </w:rPr>
        <w:t xml:space="preserve"> oversight by having briefings on specific initiatives and programmes, which included site visits</w:t>
      </w:r>
      <w:r w:rsidR="00B42DE3" w:rsidRPr="00694D6D">
        <w:rPr>
          <w:rFonts w:ascii="Times New Roman" w:hAnsi="Times New Roman" w:cs="Times New Roman"/>
          <w:sz w:val="24"/>
          <w:szCs w:val="24"/>
          <w:lang w:val="en-GB"/>
        </w:rPr>
        <w:t>.</w:t>
      </w:r>
    </w:p>
    <w:p w14:paraId="44542A43" w14:textId="77777777" w:rsidR="00B42DE3" w:rsidRPr="00694D6D" w:rsidRDefault="00B42DE3" w:rsidP="00694D6D">
      <w:pPr>
        <w:spacing w:after="0" w:line="360" w:lineRule="auto"/>
        <w:jc w:val="both"/>
        <w:rPr>
          <w:rFonts w:ascii="Times New Roman" w:hAnsi="Times New Roman" w:cs="Times New Roman"/>
          <w:sz w:val="24"/>
          <w:szCs w:val="24"/>
          <w:lang w:val="en-GB"/>
        </w:rPr>
      </w:pPr>
    </w:p>
    <w:p w14:paraId="6BE6217E" w14:textId="77777777" w:rsidR="00E34B4F" w:rsidRPr="00694D6D" w:rsidRDefault="00B42DE3" w:rsidP="00694D6D">
      <w:pPr>
        <w:spacing w:after="0" w:line="360" w:lineRule="auto"/>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The Committee invited</w:t>
      </w:r>
      <w:r w:rsidR="00A402DD" w:rsidRPr="00694D6D">
        <w:rPr>
          <w:rFonts w:ascii="Times New Roman" w:hAnsi="Times New Roman" w:cs="Times New Roman"/>
          <w:sz w:val="24"/>
          <w:szCs w:val="24"/>
          <w:lang w:val="en-GB"/>
        </w:rPr>
        <w:t xml:space="preserve"> the Auditor-General </w:t>
      </w:r>
      <w:r w:rsidR="00F76015" w:rsidRPr="00694D6D">
        <w:rPr>
          <w:rFonts w:ascii="Times New Roman" w:hAnsi="Times New Roman" w:cs="Times New Roman"/>
          <w:sz w:val="24"/>
          <w:szCs w:val="24"/>
          <w:lang w:val="en-GB"/>
        </w:rPr>
        <w:t xml:space="preserve">of South Africa </w:t>
      </w:r>
      <w:r w:rsidR="00A402DD" w:rsidRPr="00694D6D">
        <w:rPr>
          <w:rFonts w:ascii="Times New Roman" w:hAnsi="Times New Roman" w:cs="Times New Roman"/>
          <w:sz w:val="24"/>
          <w:szCs w:val="24"/>
          <w:lang w:val="en-GB"/>
        </w:rPr>
        <w:t>(AG</w:t>
      </w:r>
      <w:r w:rsidR="00F76015" w:rsidRPr="00694D6D">
        <w:rPr>
          <w:rFonts w:ascii="Times New Roman" w:hAnsi="Times New Roman" w:cs="Times New Roman"/>
          <w:sz w:val="24"/>
          <w:szCs w:val="24"/>
          <w:lang w:val="en-GB"/>
        </w:rPr>
        <w:t>SA</w:t>
      </w:r>
      <w:r w:rsidR="00A402DD" w:rsidRPr="00694D6D">
        <w:rPr>
          <w:rFonts w:ascii="Times New Roman" w:hAnsi="Times New Roman" w:cs="Times New Roman"/>
          <w:sz w:val="24"/>
          <w:szCs w:val="24"/>
          <w:lang w:val="en-GB"/>
        </w:rPr>
        <w:t>)</w:t>
      </w:r>
      <w:r w:rsidR="00C330DD" w:rsidRPr="00694D6D">
        <w:rPr>
          <w:rFonts w:ascii="Times New Roman" w:hAnsi="Times New Roman" w:cs="Times New Roman"/>
          <w:sz w:val="24"/>
          <w:szCs w:val="24"/>
          <w:lang w:val="en-GB"/>
        </w:rPr>
        <w:t xml:space="preserve"> to explain the </w:t>
      </w:r>
      <w:r w:rsidR="00E34B4F" w:rsidRPr="00694D6D">
        <w:rPr>
          <w:rFonts w:ascii="Times New Roman" w:hAnsi="Times New Roman" w:cs="Times New Roman"/>
          <w:sz w:val="24"/>
          <w:szCs w:val="24"/>
          <w:lang w:val="en-GB"/>
        </w:rPr>
        <w:t>2018/19</w:t>
      </w:r>
      <w:r w:rsidR="00C330DD" w:rsidRPr="00694D6D">
        <w:rPr>
          <w:rFonts w:ascii="Times New Roman" w:hAnsi="Times New Roman" w:cs="Times New Roman"/>
          <w:sz w:val="24"/>
          <w:szCs w:val="24"/>
          <w:lang w:val="en-GB"/>
        </w:rPr>
        <w:t xml:space="preserve"> audit outcomes for the Department and the entities</w:t>
      </w:r>
      <w:r w:rsidRPr="00694D6D">
        <w:rPr>
          <w:rFonts w:ascii="Times New Roman" w:hAnsi="Times New Roman" w:cs="Times New Roman"/>
          <w:sz w:val="24"/>
          <w:szCs w:val="24"/>
          <w:lang w:val="en-GB"/>
        </w:rPr>
        <w:t>, and c</w:t>
      </w:r>
      <w:r w:rsidR="00C330DD" w:rsidRPr="00694D6D">
        <w:rPr>
          <w:rFonts w:ascii="Times New Roman" w:hAnsi="Times New Roman" w:cs="Times New Roman"/>
          <w:sz w:val="24"/>
          <w:szCs w:val="24"/>
          <w:lang w:val="en-GB"/>
        </w:rPr>
        <w:t>onsider</w:t>
      </w:r>
      <w:r w:rsidRPr="00694D6D">
        <w:rPr>
          <w:rFonts w:ascii="Times New Roman" w:hAnsi="Times New Roman" w:cs="Times New Roman"/>
          <w:sz w:val="24"/>
          <w:szCs w:val="24"/>
          <w:lang w:val="en-GB"/>
        </w:rPr>
        <w:t>ed the Department’s</w:t>
      </w:r>
      <w:r w:rsidR="00C330DD" w:rsidRPr="00694D6D">
        <w:rPr>
          <w:rFonts w:ascii="Times New Roman" w:hAnsi="Times New Roman" w:cs="Times New Roman"/>
          <w:sz w:val="24"/>
          <w:szCs w:val="24"/>
          <w:lang w:val="en-GB"/>
        </w:rPr>
        <w:t xml:space="preserve"> </w:t>
      </w:r>
      <w:r w:rsidR="00E34B4F" w:rsidRPr="00694D6D">
        <w:rPr>
          <w:rFonts w:ascii="Times New Roman" w:hAnsi="Times New Roman" w:cs="Times New Roman"/>
          <w:sz w:val="24"/>
          <w:szCs w:val="24"/>
          <w:lang w:val="en-GB"/>
        </w:rPr>
        <w:t>2018/19</w:t>
      </w:r>
      <w:r w:rsidRPr="00694D6D">
        <w:rPr>
          <w:rFonts w:ascii="Times New Roman" w:hAnsi="Times New Roman" w:cs="Times New Roman"/>
          <w:sz w:val="24"/>
          <w:szCs w:val="24"/>
          <w:lang w:val="en-GB"/>
        </w:rPr>
        <w:t xml:space="preserve"> Annual Report on 8 October 2019</w:t>
      </w:r>
      <w:r w:rsidR="00C330DD" w:rsidRPr="00694D6D">
        <w:rPr>
          <w:rFonts w:ascii="Times New Roman" w:hAnsi="Times New Roman" w:cs="Times New Roman"/>
          <w:sz w:val="24"/>
          <w:szCs w:val="24"/>
          <w:lang w:val="en-GB"/>
        </w:rPr>
        <w:t>.</w:t>
      </w:r>
      <w:r w:rsidRPr="00694D6D">
        <w:rPr>
          <w:rFonts w:ascii="Times New Roman" w:hAnsi="Times New Roman" w:cs="Times New Roman"/>
          <w:sz w:val="24"/>
          <w:szCs w:val="24"/>
          <w:lang w:val="en-GB"/>
        </w:rPr>
        <w:t xml:space="preserve"> The Committee </w:t>
      </w:r>
      <w:r w:rsidR="00CD0198" w:rsidRPr="00694D6D">
        <w:rPr>
          <w:rFonts w:ascii="Times New Roman" w:hAnsi="Times New Roman" w:cs="Times New Roman"/>
          <w:sz w:val="24"/>
          <w:szCs w:val="24"/>
          <w:lang w:val="en-GB"/>
        </w:rPr>
        <w:t xml:space="preserve">decided to focus on four of the eight </w:t>
      </w:r>
      <w:r w:rsidR="002D479C" w:rsidRPr="00694D6D">
        <w:rPr>
          <w:rFonts w:ascii="Times New Roman" w:hAnsi="Times New Roman" w:cs="Times New Roman"/>
          <w:sz w:val="24"/>
          <w:szCs w:val="24"/>
          <w:lang w:val="en-GB"/>
        </w:rPr>
        <w:t>entities</w:t>
      </w:r>
      <w:r w:rsidR="00CD0198" w:rsidRPr="00694D6D">
        <w:rPr>
          <w:rFonts w:ascii="Times New Roman" w:hAnsi="Times New Roman" w:cs="Times New Roman"/>
          <w:sz w:val="24"/>
          <w:szCs w:val="24"/>
          <w:lang w:val="en-GB"/>
        </w:rPr>
        <w:t xml:space="preserve"> for the period under review</w:t>
      </w:r>
      <w:r w:rsidR="002D479C" w:rsidRPr="00694D6D">
        <w:rPr>
          <w:rFonts w:ascii="Times New Roman" w:hAnsi="Times New Roman" w:cs="Times New Roman"/>
          <w:sz w:val="24"/>
          <w:szCs w:val="24"/>
          <w:lang w:val="en-GB"/>
        </w:rPr>
        <w:t>. Hence, it</w:t>
      </w:r>
      <w:r w:rsidR="00CD0198" w:rsidRPr="00694D6D">
        <w:rPr>
          <w:rFonts w:ascii="Times New Roman" w:hAnsi="Times New Roman" w:cs="Times New Roman"/>
          <w:sz w:val="24"/>
          <w:szCs w:val="24"/>
          <w:lang w:val="en-GB"/>
        </w:rPr>
        <w:t xml:space="preserve"> </w:t>
      </w:r>
      <w:r w:rsidRPr="00694D6D">
        <w:rPr>
          <w:rFonts w:ascii="Times New Roman" w:hAnsi="Times New Roman" w:cs="Times New Roman"/>
          <w:sz w:val="24"/>
          <w:szCs w:val="24"/>
          <w:lang w:val="en-GB"/>
        </w:rPr>
        <w:t xml:space="preserve">considered the 2018/19 Annual </w:t>
      </w:r>
      <w:r w:rsidR="00CD0198" w:rsidRPr="00694D6D">
        <w:rPr>
          <w:rFonts w:ascii="Times New Roman" w:hAnsi="Times New Roman" w:cs="Times New Roman"/>
          <w:sz w:val="24"/>
          <w:szCs w:val="24"/>
          <w:lang w:val="en-GB"/>
        </w:rPr>
        <w:t xml:space="preserve">Reports of the </w:t>
      </w:r>
      <w:r w:rsidRPr="00694D6D">
        <w:rPr>
          <w:rFonts w:ascii="Times New Roman" w:hAnsi="Times New Roman" w:cs="Times New Roman"/>
          <w:sz w:val="24"/>
          <w:szCs w:val="24"/>
          <w:lang w:val="en-GB"/>
        </w:rPr>
        <w:t>Council for Scientific and Industrial Research (hereafter, the CSIR), Human Sciences Research Council (hereafter, the HSRC), National Research Foundation (hereafter, the NRF), and Technology Innovation Agency</w:t>
      </w:r>
      <w:r w:rsidR="00137261" w:rsidRPr="00694D6D">
        <w:rPr>
          <w:rFonts w:ascii="Times New Roman" w:hAnsi="Times New Roman" w:cs="Times New Roman"/>
          <w:sz w:val="24"/>
          <w:szCs w:val="24"/>
          <w:lang w:val="en-GB"/>
        </w:rPr>
        <w:t xml:space="preserve"> (hereafter, the TIA) </w:t>
      </w:r>
      <w:r w:rsidR="00E34B4F" w:rsidRPr="00694D6D">
        <w:rPr>
          <w:rFonts w:ascii="Times New Roman" w:hAnsi="Times New Roman" w:cs="Times New Roman"/>
          <w:sz w:val="24"/>
          <w:szCs w:val="24"/>
          <w:lang w:val="en-GB"/>
        </w:rPr>
        <w:t>on 9 October 2019.</w:t>
      </w:r>
    </w:p>
    <w:p w14:paraId="769FDC80" w14:textId="77777777" w:rsidR="00E34B4F" w:rsidRPr="00694D6D" w:rsidRDefault="00E34B4F" w:rsidP="00694D6D">
      <w:pPr>
        <w:pStyle w:val="ListParagraph"/>
        <w:spacing w:after="0" w:line="360" w:lineRule="auto"/>
        <w:ind w:left="0"/>
        <w:jc w:val="both"/>
        <w:rPr>
          <w:rFonts w:ascii="Times New Roman" w:hAnsi="Times New Roman" w:cs="Times New Roman"/>
          <w:sz w:val="24"/>
          <w:szCs w:val="24"/>
          <w:lang w:val="en-GB"/>
        </w:rPr>
      </w:pPr>
    </w:p>
    <w:p w14:paraId="6DDB12E8" w14:textId="77777777" w:rsidR="00393199" w:rsidRPr="00694D6D" w:rsidRDefault="00393199" w:rsidP="00694D6D">
      <w:pPr>
        <w:pStyle w:val="ListParagraph"/>
        <w:numPr>
          <w:ilvl w:val="1"/>
          <w:numId w:val="1"/>
        </w:numPr>
        <w:spacing w:after="0" w:line="360" w:lineRule="auto"/>
        <w:ind w:left="0" w:firstLine="0"/>
        <w:contextualSpacing w:val="0"/>
        <w:jc w:val="both"/>
        <w:rPr>
          <w:rFonts w:ascii="Times New Roman" w:hAnsi="Times New Roman" w:cs="Times New Roman"/>
          <w:b/>
          <w:sz w:val="24"/>
          <w:szCs w:val="24"/>
          <w:lang w:val="en-GB" w:eastAsia="en-ZA"/>
        </w:rPr>
      </w:pPr>
      <w:r w:rsidRPr="00694D6D">
        <w:rPr>
          <w:rFonts w:ascii="Times New Roman" w:hAnsi="Times New Roman" w:cs="Times New Roman"/>
          <w:b/>
          <w:sz w:val="24"/>
          <w:szCs w:val="24"/>
          <w:lang w:val="en-GB" w:eastAsia="en-ZA"/>
        </w:rPr>
        <w:t>Relevant policy documents</w:t>
      </w:r>
    </w:p>
    <w:p w14:paraId="08714A97" w14:textId="77777777" w:rsidR="00393199" w:rsidRPr="00694D6D" w:rsidRDefault="00393199" w:rsidP="00694D6D">
      <w:pPr>
        <w:pStyle w:val="ListParagraph"/>
        <w:spacing w:after="0" w:line="360" w:lineRule="auto"/>
        <w:ind w:left="0"/>
        <w:contextualSpacing w:val="0"/>
        <w:jc w:val="both"/>
        <w:rPr>
          <w:rFonts w:ascii="Times New Roman" w:hAnsi="Times New Roman" w:cs="Times New Roman"/>
          <w:sz w:val="24"/>
          <w:szCs w:val="24"/>
          <w:lang w:val="en-GB" w:eastAsia="en-ZA"/>
        </w:rPr>
      </w:pPr>
    </w:p>
    <w:p w14:paraId="7D474384" w14:textId="77777777" w:rsidR="00573652" w:rsidRPr="00694D6D" w:rsidRDefault="00182EE2" w:rsidP="00694D6D">
      <w:pPr>
        <w:pStyle w:val="ListParagraph"/>
        <w:spacing w:after="0" w:line="360" w:lineRule="auto"/>
        <w:ind w:left="0"/>
        <w:contextualSpacing w:val="0"/>
        <w:jc w:val="both"/>
        <w:rPr>
          <w:rFonts w:ascii="Times New Roman" w:hAnsi="Times New Roman" w:cs="Times New Roman"/>
          <w:sz w:val="24"/>
          <w:szCs w:val="24"/>
          <w:lang w:val="en-GB" w:eastAsia="en-ZA"/>
        </w:rPr>
      </w:pPr>
      <w:r w:rsidRPr="00694D6D">
        <w:rPr>
          <w:rFonts w:ascii="Times New Roman" w:hAnsi="Times New Roman" w:cs="Times New Roman"/>
          <w:sz w:val="24"/>
          <w:szCs w:val="24"/>
          <w:lang w:val="en-GB"/>
        </w:rPr>
        <w:t>Science</w:t>
      </w:r>
      <w:r w:rsidR="00AC60A1" w:rsidRPr="00694D6D">
        <w:rPr>
          <w:rFonts w:ascii="Times New Roman" w:hAnsi="Times New Roman" w:cs="Times New Roman"/>
          <w:sz w:val="24"/>
          <w:szCs w:val="24"/>
          <w:lang w:val="en-GB"/>
        </w:rPr>
        <w:t xml:space="preserve">, </w:t>
      </w:r>
      <w:r w:rsidRPr="00694D6D">
        <w:rPr>
          <w:rFonts w:ascii="Times New Roman" w:hAnsi="Times New Roman" w:cs="Times New Roman"/>
          <w:sz w:val="24"/>
          <w:szCs w:val="24"/>
          <w:lang w:val="en-GB"/>
        </w:rPr>
        <w:t>technology</w:t>
      </w:r>
      <w:r w:rsidR="00AC60A1" w:rsidRPr="00694D6D">
        <w:rPr>
          <w:rFonts w:ascii="Times New Roman" w:hAnsi="Times New Roman" w:cs="Times New Roman"/>
          <w:sz w:val="24"/>
          <w:szCs w:val="24"/>
          <w:lang w:val="en-GB"/>
        </w:rPr>
        <w:t xml:space="preserve"> and innovation</w:t>
      </w:r>
      <w:r w:rsidRPr="00694D6D">
        <w:rPr>
          <w:rFonts w:ascii="Times New Roman" w:hAnsi="Times New Roman" w:cs="Times New Roman"/>
          <w:sz w:val="24"/>
          <w:szCs w:val="24"/>
          <w:lang w:val="en-GB"/>
        </w:rPr>
        <w:t xml:space="preserve"> are considered crucial for the creation of wealth and improving the quality of life in modern society. In South Africa, the 1996 White Paper on Science and Technology introduced the concept of a N</w:t>
      </w:r>
      <w:r w:rsidR="00E77C6C" w:rsidRPr="00694D6D">
        <w:rPr>
          <w:rFonts w:ascii="Times New Roman" w:hAnsi="Times New Roman" w:cs="Times New Roman"/>
          <w:sz w:val="24"/>
          <w:szCs w:val="24"/>
          <w:lang w:val="en-GB"/>
        </w:rPr>
        <w:t xml:space="preserve">ational </w:t>
      </w:r>
      <w:r w:rsidRPr="00694D6D">
        <w:rPr>
          <w:rFonts w:ascii="Times New Roman" w:hAnsi="Times New Roman" w:cs="Times New Roman"/>
          <w:sz w:val="24"/>
          <w:szCs w:val="24"/>
          <w:lang w:val="en-GB"/>
        </w:rPr>
        <w:t>S</w:t>
      </w:r>
      <w:r w:rsidR="00E77C6C" w:rsidRPr="00694D6D">
        <w:rPr>
          <w:rFonts w:ascii="Times New Roman" w:hAnsi="Times New Roman" w:cs="Times New Roman"/>
          <w:sz w:val="24"/>
          <w:szCs w:val="24"/>
          <w:lang w:val="en-GB"/>
        </w:rPr>
        <w:t xml:space="preserve">ystem of </w:t>
      </w:r>
      <w:r w:rsidRPr="00694D6D">
        <w:rPr>
          <w:rFonts w:ascii="Times New Roman" w:hAnsi="Times New Roman" w:cs="Times New Roman"/>
          <w:sz w:val="24"/>
          <w:szCs w:val="24"/>
          <w:lang w:val="en-GB"/>
        </w:rPr>
        <w:t>I</w:t>
      </w:r>
      <w:r w:rsidR="00E77C6C" w:rsidRPr="00694D6D">
        <w:rPr>
          <w:rFonts w:ascii="Times New Roman" w:hAnsi="Times New Roman" w:cs="Times New Roman"/>
          <w:sz w:val="24"/>
          <w:szCs w:val="24"/>
          <w:lang w:val="en-GB"/>
        </w:rPr>
        <w:t>nnovation (NSI)</w:t>
      </w:r>
      <w:r w:rsidR="00F40D19" w:rsidRPr="00694D6D">
        <w:rPr>
          <w:rFonts w:ascii="Times New Roman" w:hAnsi="Times New Roman" w:cs="Times New Roman"/>
          <w:sz w:val="24"/>
          <w:szCs w:val="24"/>
          <w:lang w:val="en-GB"/>
        </w:rPr>
        <w:t>, which is defined as a network of institutions, organisations and policies that work together to develop and implement science and technology to achieve a common set of social and economic goals and objectives.</w:t>
      </w:r>
      <w:r w:rsidRPr="00694D6D">
        <w:rPr>
          <w:rFonts w:ascii="Times New Roman" w:hAnsi="Times New Roman" w:cs="Times New Roman"/>
          <w:sz w:val="24"/>
          <w:szCs w:val="24"/>
          <w:lang w:val="en-GB"/>
        </w:rPr>
        <w:t xml:space="preserve"> </w:t>
      </w:r>
      <w:r w:rsidR="00D71237" w:rsidRPr="00694D6D">
        <w:rPr>
          <w:rFonts w:ascii="Times New Roman" w:hAnsi="Times New Roman" w:cs="Times New Roman"/>
          <w:sz w:val="24"/>
          <w:szCs w:val="24"/>
          <w:lang w:val="en-GB"/>
        </w:rPr>
        <w:t xml:space="preserve">The </w:t>
      </w:r>
      <w:r w:rsidR="00C57855" w:rsidRPr="00694D6D">
        <w:rPr>
          <w:rFonts w:ascii="Times New Roman" w:hAnsi="Times New Roman" w:cs="Times New Roman"/>
          <w:sz w:val="24"/>
          <w:szCs w:val="24"/>
          <w:lang w:val="en-GB"/>
        </w:rPr>
        <w:t xml:space="preserve">2002 </w:t>
      </w:r>
      <w:r w:rsidR="00D71237" w:rsidRPr="00694D6D">
        <w:rPr>
          <w:rFonts w:ascii="Times New Roman" w:hAnsi="Times New Roman" w:cs="Times New Roman"/>
          <w:sz w:val="24"/>
          <w:szCs w:val="24"/>
          <w:lang w:val="en-GB"/>
        </w:rPr>
        <w:t xml:space="preserve">National Research and Development Strategy (NRDS) and the </w:t>
      </w:r>
      <w:r w:rsidR="00C57855" w:rsidRPr="00694D6D">
        <w:rPr>
          <w:rFonts w:ascii="Times New Roman" w:hAnsi="Times New Roman" w:cs="Times New Roman"/>
          <w:sz w:val="24"/>
          <w:szCs w:val="24"/>
          <w:lang w:val="en-GB"/>
        </w:rPr>
        <w:t xml:space="preserve">2008 </w:t>
      </w:r>
      <w:r w:rsidR="00D71237" w:rsidRPr="00694D6D">
        <w:rPr>
          <w:rFonts w:ascii="Times New Roman" w:hAnsi="Times New Roman" w:cs="Times New Roman"/>
          <w:sz w:val="24"/>
          <w:szCs w:val="24"/>
          <w:lang w:val="en-GB"/>
        </w:rPr>
        <w:t>Ten</w:t>
      </w:r>
      <w:r w:rsidR="00D85DEF" w:rsidRPr="00694D6D">
        <w:rPr>
          <w:rFonts w:ascii="Times New Roman" w:hAnsi="Times New Roman" w:cs="Times New Roman"/>
          <w:sz w:val="24"/>
          <w:szCs w:val="24"/>
          <w:lang w:val="en-GB"/>
        </w:rPr>
        <w:t>-</w:t>
      </w:r>
      <w:r w:rsidR="00D71237" w:rsidRPr="00694D6D">
        <w:rPr>
          <w:rFonts w:ascii="Times New Roman" w:hAnsi="Times New Roman" w:cs="Times New Roman"/>
          <w:sz w:val="24"/>
          <w:szCs w:val="24"/>
          <w:lang w:val="en-GB"/>
        </w:rPr>
        <w:t xml:space="preserve">Year Innovation Plan (TYIP) are the key drivers of the NSI. The TYIP, particularly, </w:t>
      </w:r>
      <w:r w:rsidR="003126FE" w:rsidRPr="00694D6D">
        <w:rPr>
          <w:rFonts w:ascii="Times New Roman" w:hAnsi="Times New Roman" w:cs="Times New Roman"/>
          <w:sz w:val="24"/>
          <w:szCs w:val="24"/>
          <w:lang w:val="en-GB"/>
        </w:rPr>
        <w:t>aims</w:t>
      </w:r>
      <w:r w:rsidR="00D71237" w:rsidRPr="00694D6D">
        <w:rPr>
          <w:rFonts w:ascii="Times New Roman" w:hAnsi="Times New Roman" w:cs="Times New Roman"/>
          <w:sz w:val="24"/>
          <w:szCs w:val="24"/>
          <w:lang w:val="en-GB"/>
        </w:rPr>
        <w:t xml:space="preserve"> to guide the country towards a knowledge-based economy through human capital development</w:t>
      </w:r>
      <w:r w:rsidR="00BD12E6" w:rsidRPr="00694D6D">
        <w:rPr>
          <w:rFonts w:ascii="Times New Roman" w:hAnsi="Times New Roman" w:cs="Times New Roman"/>
          <w:sz w:val="24"/>
          <w:szCs w:val="24"/>
          <w:lang w:val="en-GB"/>
        </w:rPr>
        <w:t xml:space="preserve"> (HCD)</w:t>
      </w:r>
      <w:r w:rsidR="00D71237" w:rsidRPr="00694D6D">
        <w:rPr>
          <w:rFonts w:ascii="Times New Roman" w:hAnsi="Times New Roman" w:cs="Times New Roman"/>
          <w:sz w:val="24"/>
          <w:szCs w:val="24"/>
          <w:lang w:val="en-GB"/>
        </w:rPr>
        <w:t xml:space="preserve">, knowledge generation and exploitation, knowledge infrastructure and enablers to convert knowledge into socio-economic outcomes. </w:t>
      </w:r>
      <w:r w:rsidR="00A22266" w:rsidRPr="00694D6D">
        <w:rPr>
          <w:rFonts w:ascii="Times New Roman" w:hAnsi="Times New Roman" w:cs="Times New Roman"/>
          <w:sz w:val="24"/>
          <w:szCs w:val="24"/>
          <w:lang w:val="en-GB"/>
        </w:rPr>
        <w:t>Hence; t</w:t>
      </w:r>
      <w:r w:rsidR="00D71237" w:rsidRPr="00694D6D">
        <w:rPr>
          <w:rFonts w:ascii="Times New Roman" w:hAnsi="Times New Roman" w:cs="Times New Roman"/>
          <w:sz w:val="24"/>
          <w:szCs w:val="24"/>
          <w:lang w:val="en-GB"/>
        </w:rPr>
        <w:t xml:space="preserve">he </w:t>
      </w:r>
      <w:r w:rsidR="0064186D" w:rsidRPr="00694D6D">
        <w:rPr>
          <w:rFonts w:ascii="Times New Roman" w:hAnsi="Times New Roman" w:cs="Times New Roman"/>
          <w:sz w:val="24"/>
          <w:szCs w:val="24"/>
          <w:lang w:val="en-GB"/>
        </w:rPr>
        <w:t xml:space="preserve">TYIP </w:t>
      </w:r>
      <w:r w:rsidR="00A22266" w:rsidRPr="00694D6D">
        <w:rPr>
          <w:rFonts w:ascii="Times New Roman" w:hAnsi="Times New Roman" w:cs="Times New Roman"/>
          <w:sz w:val="24"/>
          <w:szCs w:val="24"/>
          <w:lang w:val="en-GB"/>
        </w:rPr>
        <w:t xml:space="preserve">seeks to enable </w:t>
      </w:r>
      <w:r w:rsidR="00D71237" w:rsidRPr="00694D6D">
        <w:rPr>
          <w:rFonts w:ascii="Times New Roman" w:hAnsi="Times New Roman" w:cs="Times New Roman"/>
          <w:sz w:val="24"/>
          <w:szCs w:val="24"/>
          <w:lang w:val="en-GB"/>
        </w:rPr>
        <w:t xml:space="preserve">multidisciplinary thinking </w:t>
      </w:r>
      <w:r w:rsidR="00A22266" w:rsidRPr="00694D6D">
        <w:rPr>
          <w:rFonts w:ascii="Times New Roman" w:hAnsi="Times New Roman" w:cs="Times New Roman"/>
          <w:sz w:val="24"/>
          <w:szCs w:val="24"/>
          <w:lang w:val="en-GB"/>
        </w:rPr>
        <w:t xml:space="preserve">and research </w:t>
      </w:r>
      <w:r w:rsidR="00D71237" w:rsidRPr="00694D6D">
        <w:rPr>
          <w:rFonts w:ascii="Times New Roman" w:hAnsi="Times New Roman" w:cs="Times New Roman"/>
          <w:sz w:val="24"/>
          <w:szCs w:val="24"/>
          <w:lang w:val="en-GB"/>
        </w:rPr>
        <w:t>that w</w:t>
      </w:r>
      <w:r w:rsidR="00A22266" w:rsidRPr="00694D6D">
        <w:rPr>
          <w:rFonts w:ascii="Times New Roman" w:hAnsi="Times New Roman" w:cs="Times New Roman"/>
          <w:sz w:val="24"/>
          <w:szCs w:val="24"/>
          <w:lang w:val="en-GB"/>
        </w:rPr>
        <w:t xml:space="preserve">ill result in the </w:t>
      </w:r>
      <w:r w:rsidR="00D71237" w:rsidRPr="00694D6D">
        <w:rPr>
          <w:rFonts w:ascii="Times New Roman" w:hAnsi="Times New Roman" w:cs="Times New Roman"/>
          <w:sz w:val="24"/>
          <w:szCs w:val="24"/>
          <w:lang w:val="en-GB"/>
        </w:rPr>
        <w:t xml:space="preserve">socio-economic changes envisaged in the </w:t>
      </w:r>
      <w:r w:rsidR="00851010" w:rsidRPr="00694D6D">
        <w:rPr>
          <w:rFonts w:ascii="Times New Roman" w:hAnsi="Times New Roman" w:cs="Times New Roman"/>
          <w:sz w:val="24"/>
          <w:szCs w:val="24"/>
          <w:lang w:val="en-GB"/>
        </w:rPr>
        <w:t>National Development Plan (NDP)</w:t>
      </w:r>
      <w:r w:rsidR="00D71237" w:rsidRPr="00694D6D">
        <w:rPr>
          <w:rFonts w:ascii="Times New Roman" w:hAnsi="Times New Roman" w:cs="Times New Roman"/>
          <w:sz w:val="24"/>
          <w:szCs w:val="24"/>
          <w:lang w:val="en-GB"/>
        </w:rPr>
        <w:t>.</w:t>
      </w:r>
    </w:p>
    <w:p w14:paraId="31F615CA" w14:textId="77777777" w:rsidR="00A15391" w:rsidRPr="00694D6D" w:rsidRDefault="00A15391" w:rsidP="00694D6D">
      <w:pPr>
        <w:autoSpaceDE w:val="0"/>
        <w:autoSpaceDN w:val="0"/>
        <w:adjustRightInd w:val="0"/>
        <w:spacing w:after="0" w:line="360" w:lineRule="auto"/>
        <w:jc w:val="both"/>
        <w:rPr>
          <w:rFonts w:ascii="Times New Roman" w:hAnsi="Times New Roman" w:cs="Times New Roman"/>
          <w:sz w:val="24"/>
          <w:szCs w:val="24"/>
          <w:lang w:val="en-GB"/>
        </w:rPr>
      </w:pPr>
    </w:p>
    <w:p w14:paraId="48AEC385" w14:textId="77777777" w:rsidR="00B52BA3" w:rsidRPr="00694D6D" w:rsidRDefault="007E1364" w:rsidP="00694D6D">
      <w:pPr>
        <w:autoSpaceDE w:val="0"/>
        <w:autoSpaceDN w:val="0"/>
        <w:adjustRightInd w:val="0"/>
        <w:spacing w:after="0" w:line="360" w:lineRule="auto"/>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The NDP identifies</w:t>
      </w:r>
      <w:r w:rsidR="00120F81" w:rsidRPr="00694D6D">
        <w:rPr>
          <w:rFonts w:ascii="Times New Roman" w:hAnsi="Times New Roman" w:cs="Times New Roman"/>
          <w:sz w:val="24"/>
          <w:szCs w:val="24"/>
          <w:lang w:val="en-GB"/>
        </w:rPr>
        <w:t xml:space="preserve"> </w:t>
      </w:r>
      <w:r w:rsidRPr="00694D6D">
        <w:rPr>
          <w:rFonts w:ascii="Times New Roman" w:hAnsi="Times New Roman" w:cs="Times New Roman"/>
          <w:sz w:val="24"/>
          <w:szCs w:val="24"/>
          <w:lang w:val="en-GB"/>
        </w:rPr>
        <w:t>the need to increase the size</w:t>
      </w:r>
      <w:r w:rsidR="00CD58E9" w:rsidRPr="00694D6D">
        <w:rPr>
          <w:rFonts w:ascii="Times New Roman" w:hAnsi="Times New Roman" w:cs="Times New Roman"/>
          <w:sz w:val="24"/>
          <w:szCs w:val="24"/>
          <w:lang w:val="en-GB"/>
        </w:rPr>
        <w:t>, coherence</w:t>
      </w:r>
      <w:r w:rsidRPr="00694D6D">
        <w:rPr>
          <w:rFonts w:ascii="Times New Roman" w:hAnsi="Times New Roman" w:cs="Times New Roman"/>
          <w:sz w:val="24"/>
          <w:szCs w:val="24"/>
          <w:lang w:val="en-GB"/>
        </w:rPr>
        <w:t xml:space="preserve"> and effectiveness of the NSI</w:t>
      </w:r>
      <w:r w:rsidR="00CD58E9" w:rsidRPr="00694D6D">
        <w:rPr>
          <w:rFonts w:ascii="Times New Roman" w:hAnsi="Times New Roman" w:cs="Times New Roman"/>
          <w:sz w:val="24"/>
          <w:szCs w:val="24"/>
          <w:lang w:val="en-GB"/>
        </w:rPr>
        <w:t xml:space="preserve"> </w:t>
      </w:r>
      <w:r w:rsidR="0064186D" w:rsidRPr="00694D6D">
        <w:rPr>
          <w:rFonts w:ascii="Times New Roman" w:hAnsi="Times New Roman" w:cs="Times New Roman"/>
          <w:sz w:val="24"/>
          <w:szCs w:val="24"/>
          <w:lang w:val="en-GB"/>
        </w:rPr>
        <w:t xml:space="preserve">because STI is crucial for national development. </w:t>
      </w:r>
      <w:r w:rsidR="00CD58E9" w:rsidRPr="00694D6D">
        <w:rPr>
          <w:rFonts w:ascii="Times New Roman" w:hAnsi="Times New Roman" w:cs="Times New Roman"/>
          <w:sz w:val="24"/>
          <w:szCs w:val="24"/>
          <w:lang w:val="en-GB"/>
        </w:rPr>
        <w:t>Hence, the country must enhance its investment in infrastructure, improve the skills base</w:t>
      </w:r>
      <w:r w:rsidR="00FD74A1" w:rsidRPr="00694D6D">
        <w:rPr>
          <w:rFonts w:ascii="Times New Roman" w:hAnsi="Times New Roman" w:cs="Times New Roman"/>
          <w:sz w:val="24"/>
          <w:szCs w:val="24"/>
          <w:lang w:val="en-GB"/>
        </w:rPr>
        <w:t xml:space="preserve"> and ensure that it better exploits the knowledge generated from its investments in</w:t>
      </w:r>
      <w:r w:rsidR="00BD12E6" w:rsidRPr="00694D6D">
        <w:rPr>
          <w:rFonts w:ascii="Times New Roman" w:hAnsi="Times New Roman" w:cs="Times New Roman"/>
          <w:sz w:val="24"/>
          <w:szCs w:val="24"/>
          <w:lang w:val="en-GB"/>
        </w:rPr>
        <w:t xml:space="preserve"> research, development and innovation</w:t>
      </w:r>
      <w:r w:rsidR="00FD74A1" w:rsidRPr="00694D6D">
        <w:rPr>
          <w:rFonts w:ascii="Times New Roman" w:hAnsi="Times New Roman" w:cs="Times New Roman"/>
          <w:sz w:val="24"/>
          <w:szCs w:val="24"/>
          <w:lang w:val="en-GB"/>
        </w:rPr>
        <w:t xml:space="preserve"> </w:t>
      </w:r>
      <w:r w:rsidR="00BD12E6" w:rsidRPr="00694D6D">
        <w:rPr>
          <w:rFonts w:ascii="Times New Roman" w:hAnsi="Times New Roman" w:cs="Times New Roman"/>
          <w:sz w:val="24"/>
          <w:szCs w:val="24"/>
          <w:lang w:val="en-GB"/>
        </w:rPr>
        <w:t>(</w:t>
      </w:r>
      <w:r w:rsidR="0096528A" w:rsidRPr="00694D6D">
        <w:rPr>
          <w:rFonts w:ascii="Times New Roman" w:hAnsi="Times New Roman" w:cs="Times New Roman"/>
          <w:sz w:val="24"/>
          <w:szCs w:val="24"/>
          <w:lang w:val="en-GB"/>
        </w:rPr>
        <w:t>RD</w:t>
      </w:r>
      <w:r w:rsidR="00BD12E6" w:rsidRPr="00694D6D">
        <w:rPr>
          <w:rFonts w:ascii="Times New Roman" w:hAnsi="Times New Roman" w:cs="Times New Roman"/>
          <w:sz w:val="24"/>
          <w:szCs w:val="24"/>
          <w:lang w:val="en-GB"/>
        </w:rPr>
        <w:t>I)</w:t>
      </w:r>
      <w:r w:rsidR="00FD74A1" w:rsidRPr="00694D6D">
        <w:rPr>
          <w:rFonts w:ascii="Times New Roman" w:hAnsi="Times New Roman" w:cs="Times New Roman"/>
          <w:sz w:val="24"/>
          <w:szCs w:val="24"/>
          <w:lang w:val="en-GB"/>
        </w:rPr>
        <w:t>.</w:t>
      </w:r>
    </w:p>
    <w:p w14:paraId="738F96B0" w14:textId="77777777" w:rsidR="00AA2EAB" w:rsidRPr="00694D6D" w:rsidRDefault="00AA2EAB" w:rsidP="00694D6D">
      <w:pPr>
        <w:autoSpaceDE w:val="0"/>
        <w:autoSpaceDN w:val="0"/>
        <w:adjustRightInd w:val="0"/>
        <w:spacing w:after="0" w:line="360" w:lineRule="auto"/>
        <w:jc w:val="both"/>
        <w:rPr>
          <w:rFonts w:ascii="Times New Roman" w:hAnsi="Times New Roman" w:cs="Times New Roman"/>
          <w:sz w:val="24"/>
          <w:szCs w:val="24"/>
          <w:lang w:val="en-GB"/>
        </w:rPr>
      </w:pPr>
    </w:p>
    <w:p w14:paraId="6694C1D1" w14:textId="77777777" w:rsidR="00AA2EAB" w:rsidRPr="00694D6D" w:rsidRDefault="00F40D19" w:rsidP="00694D6D">
      <w:pPr>
        <w:autoSpaceDE w:val="0"/>
        <w:autoSpaceDN w:val="0"/>
        <w:adjustRightInd w:val="0"/>
        <w:spacing w:after="0" w:line="360" w:lineRule="auto"/>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The advent of rapid global technological change and global megatrends require that governments, across the world, introduce new policy responses to ensure that the benefits of these changes accrue to nations and that the negative effects are mitigated. Therefore, Cabinet approved a new White Paper on Science, Technology and Innovation in March 2019.</w:t>
      </w:r>
      <w:r w:rsidR="00F54008" w:rsidRPr="00694D6D">
        <w:rPr>
          <w:rFonts w:ascii="Times New Roman" w:hAnsi="Times New Roman" w:cs="Times New Roman"/>
          <w:sz w:val="24"/>
          <w:szCs w:val="24"/>
          <w:lang w:val="en-GB"/>
        </w:rPr>
        <w:t xml:space="preserve"> The 2019 White Paper on Science, Technology and Innovation sets the current long-term policy direction for the NSI and seeks to ensure an increasing role for STI to accelerate inclusive economic growth, increase the competitiveness of the economy, and improve the livelihoods of South Africa’s citizens. A new Decadal Plan for STI (to replace the 2008 TYIP) will serve as an implementation plan for the 2019 White Paper.</w:t>
      </w:r>
    </w:p>
    <w:p w14:paraId="73DC4DB5" w14:textId="77777777" w:rsidR="00B52BA3" w:rsidRPr="00694D6D" w:rsidRDefault="00B52BA3" w:rsidP="00694D6D">
      <w:pPr>
        <w:autoSpaceDE w:val="0"/>
        <w:autoSpaceDN w:val="0"/>
        <w:adjustRightInd w:val="0"/>
        <w:spacing w:after="0" w:line="360" w:lineRule="auto"/>
        <w:jc w:val="both"/>
        <w:rPr>
          <w:rFonts w:ascii="Times New Roman" w:hAnsi="Times New Roman" w:cs="Times New Roman"/>
          <w:sz w:val="24"/>
          <w:szCs w:val="24"/>
          <w:lang w:val="en-GB"/>
        </w:rPr>
      </w:pPr>
    </w:p>
    <w:p w14:paraId="659E1056" w14:textId="77777777" w:rsidR="00684491" w:rsidRPr="00694D6D" w:rsidRDefault="00684491" w:rsidP="00694D6D">
      <w:pPr>
        <w:pStyle w:val="ListParagraph"/>
        <w:numPr>
          <w:ilvl w:val="1"/>
          <w:numId w:val="1"/>
        </w:numPr>
        <w:spacing w:after="0" w:line="360" w:lineRule="auto"/>
        <w:ind w:left="0" w:firstLine="0"/>
        <w:contextualSpacing w:val="0"/>
        <w:jc w:val="both"/>
        <w:rPr>
          <w:rFonts w:ascii="Times New Roman" w:hAnsi="Times New Roman" w:cs="Times New Roman"/>
          <w:sz w:val="24"/>
          <w:szCs w:val="24"/>
          <w:lang w:val="en-GB"/>
        </w:rPr>
      </w:pPr>
      <w:r w:rsidRPr="00694D6D">
        <w:rPr>
          <w:rFonts w:ascii="Times New Roman" w:hAnsi="Times New Roman" w:cs="Times New Roman"/>
          <w:b/>
          <w:sz w:val="24"/>
          <w:szCs w:val="24"/>
          <w:lang w:val="en-GB"/>
        </w:rPr>
        <w:t>Mandate of the Department of Science and Technology</w:t>
      </w:r>
    </w:p>
    <w:p w14:paraId="7BE5AF8B" w14:textId="77777777" w:rsidR="00684491" w:rsidRPr="00694D6D" w:rsidRDefault="00684491" w:rsidP="00694D6D">
      <w:pPr>
        <w:autoSpaceDE w:val="0"/>
        <w:autoSpaceDN w:val="0"/>
        <w:adjustRightInd w:val="0"/>
        <w:spacing w:after="0" w:line="360" w:lineRule="auto"/>
        <w:jc w:val="both"/>
        <w:rPr>
          <w:rFonts w:ascii="Times New Roman" w:hAnsi="Times New Roman" w:cs="Times New Roman"/>
          <w:sz w:val="24"/>
          <w:szCs w:val="24"/>
          <w:lang w:val="en-GB"/>
        </w:rPr>
      </w:pPr>
    </w:p>
    <w:p w14:paraId="358C74D0" w14:textId="77777777" w:rsidR="003F1A51" w:rsidRPr="00694D6D" w:rsidRDefault="003F1A51" w:rsidP="00694D6D">
      <w:pPr>
        <w:autoSpaceDE w:val="0"/>
        <w:autoSpaceDN w:val="0"/>
        <w:adjustRightInd w:val="0"/>
        <w:spacing w:after="0" w:line="360" w:lineRule="auto"/>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 xml:space="preserve">To position </w:t>
      </w:r>
      <w:r w:rsidR="003050A9" w:rsidRPr="00694D6D">
        <w:rPr>
          <w:rFonts w:ascii="Times New Roman" w:hAnsi="Times New Roman" w:cs="Times New Roman"/>
          <w:sz w:val="24"/>
          <w:szCs w:val="24"/>
          <w:lang w:val="en-GB"/>
        </w:rPr>
        <w:t>STI</w:t>
      </w:r>
      <w:r w:rsidRPr="00694D6D">
        <w:rPr>
          <w:rFonts w:ascii="Times New Roman" w:hAnsi="Times New Roman" w:cs="Times New Roman"/>
          <w:sz w:val="24"/>
          <w:szCs w:val="24"/>
          <w:lang w:val="en-GB"/>
        </w:rPr>
        <w:t xml:space="preserve"> within the framework of the NDP, the Department direct</w:t>
      </w:r>
      <w:r w:rsidR="0063043E" w:rsidRPr="00694D6D">
        <w:rPr>
          <w:rFonts w:ascii="Times New Roman" w:hAnsi="Times New Roman" w:cs="Times New Roman"/>
          <w:sz w:val="24"/>
          <w:szCs w:val="24"/>
          <w:lang w:val="en-GB"/>
        </w:rPr>
        <w:t>s</w:t>
      </w:r>
      <w:r w:rsidRPr="00694D6D">
        <w:rPr>
          <w:rFonts w:ascii="Times New Roman" w:hAnsi="Times New Roman" w:cs="Times New Roman"/>
          <w:sz w:val="24"/>
          <w:szCs w:val="24"/>
          <w:lang w:val="en-GB"/>
        </w:rPr>
        <w:t xml:space="preserve"> its efforts and resources toward the following five strategic outcome-orientated goals:</w:t>
      </w:r>
    </w:p>
    <w:p w14:paraId="686A1937" w14:textId="77777777" w:rsidR="003F1A51" w:rsidRPr="00694D6D" w:rsidRDefault="003F1A51" w:rsidP="00694D6D">
      <w:pPr>
        <w:autoSpaceDE w:val="0"/>
        <w:autoSpaceDN w:val="0"/>
        <w:adjustRightInd w:val="0"/>
        <w:spacing w:after="0" w:line="360" w:lineRule="auto"/>
        <w:jc w:val="both"/>
        <w:rPr>
          <w:rFonts w:ascii="Times New Roman" w:hAnsi="Times New Roman" w:cs="Times New Roman"/>
          <w:sz w:val="24"/>
          <w:szCs w:val="24"/>
          <w:lang w:val="en-GB"/>
        </w:rPr>
      </w:pPr>
    </w:p>
    <w:p w14:paraId="49564206" w14:textId="77777777" w:rsidR="003F1A51" w:rsidRPr="00694D6D" w:rsidRDefault="003F1A51" w:rsidP="00694D6D">
      <w:pPr>
        <w:pStyle w:val="ListParagraph"/>
        <w:numPr>
          <w:ilvl w:val="1"/>
          <w:numId w:val="2"/>
        </w:numPr>
        <w:autoSpaceDE w:val="0"/>
        <w:autoSpaceDN w:val="0"/>
        <w:adjustRightInd w:val="0"/>
        <w:spacing w:after="0" w:line="360" w:lineRule="auto"/>
        <w:ind w:left="567" w:hanging="567"/>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Goal 1: Responsive, co-ordinated and efficient NSI – build on previous gains to create a responsive, co</w:t>
      </w:r>
      <w:r w:rsidR="006F02EA" w:rsidRPr="00694D6D">
        <w:rPr>
          <w:rFonts w:ascii="Times New Roman" w:hAnsi="Times New Roman" w:cs="Times New Roman"/>
          <w:sz w:val="24"/>
          <w:szCs w:val="24"/>
          <w:lang w:val="en-GB"/>
        </w:rPr>
        <w:t>-</w:t>
      </w:r>
      <w:r w:rsidRPr="00694D6D">
        <w:rPr>
          <w:rFonts w:ascii="Times New Roman" w:hAnsi="Times New Roman" w:cs="Times New Roman"/>
          <w:sz w:val="24"/>
          <w:szCs w:val="24"/>
          <w:lang w:val="en-GB"/>
        </w:rPr>
        <w:t>ordinated and efficient NSI.</w:t>
      </w:r>
    </w:p>
    <w:p w14:paraId="0D2FC15D" w14:textId="77777777" w:rsidR="003F1A51" w:rsidRPr="00694D6D" w:rsidRDefault="003F1A51" w:rsidP="00694D6D">
      <w:pPr>
        <w:pStyle w:val="ListParagraph"/>
        <w:numPr>
          <w:ilvl w:val="1"/>
          <w:numId w:val="2"/>
        </w:numPr>
        <w:autoSpaceDE w:val="0"/>
        <w:autoSpaceDN w:val="0"/>
        <w:adjustRightInd w:val="0"/>
        <w:spacing w:after="0" w:line="360" w:lineRule="auto"/>
        <w:ind w:left="567" w:hanging="567"/>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Goal 2: Increased knowledge generation – maintain and increase the relative contribution of South African researchers to global scientific output.</w:t>
      </w:r>
    </w:p>
    <w:p w14:paraId="7C19D6D0" w14:textId="77777777" w:rsidR="003F1A51" w:rsidRPr="00694D6D" w:rsidRDefault="003F1A51" w:rsidP="00694D6D">
      <w:pPr>
        <w:pStyle w:val="ListParagraph"/>
        <w:numPr>
          <w:ilvl w:val="1"/>
          <w:numId w:val="2"/>
        </w:numPr>
        <w:autoSpaceDE w:val="0"/>
        <w:autoSpaceDN w:val="0"/>
        <w:adjustRightInd w:val="0"/>
        <w:spacing w:after="0" w:line="360" w:lineRule="auto"/>
        <w:ind w:left="567" w:hanging="567"/>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Goal 3: Human capital development – increase the number of high-level graduates and improve their representivity.</w:t>
      </w:r>
    </w:p>
    <w:p w14:paraId="0652D517" w14:textId="77777777" w:rsidR="003F1A51" w:rsidRPr="00694D6D" w:rsidRDefault="003F1A51" w:rsidP="00694D6D">
      <w:pPr>
        <w:pStyle w:val="ListParagraph"/>
        <w:numPr>
          <w:ilvl w:val="1"/>
          <w:numId w:val="2"/>
        </w:numPr>
        <w:autoSpaceDE w:val="0"/>
        <w:autoSpaceDN w:val="0"/>
        <w:adjustRightInd w:val="0"/>
        <w:spacing w:after="0" w:line="360" w:lineRule="auto"/>
        <w:ind w:left="567" w:hanging="567"/>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Goal 4: Using knowledge for economic development – derive a greater share of economic growth from</w:t>
      </w:r>
      <w:r w:rsidR="00190007" w:rsidRPr="00694D6D">
        <w:rPr>
          <w:rFonts w:ascii="Times New Roman" w:hAnsi="Times New Roman" w:cs="Times New Roman"/>
          <w:sz w:val="24"/>
          <w:szCs w:val="24"/>
          <w:lang w:val="en-GB"/>
        </w:rPr>
        <w:t xml:space="preserve"> research and development (</w:t>
      </w:r>
      <w:r w:rsidRPr="00694D6D">
        <w:rPr>
          <w:rFonts w:ascii="Times New Roman" w:hAnsi="Times New Roman" w:cs="Times New Roman"/>
          <w:sz w:val="24"/>
          <w:szCs w:val="24"/>
          <w:lang w:val="en-GB"/>
        </w:rPr>
        <w:t>R&amp;D</w:t>
      </w:r>
      <w:r w:rsidR="00190007" w:rsidRPr="00694D6D">
        <w:rPr>
          <w:rFonts w:ascii="Times New Roman" w:hAnsi="Times New Roman" w:cs="Times New Roman"/>
          <w:sz w:val="24"/>
          <w:szCs w:val="24"/>
          <w:lang w:val="en-GB"/>
        </w:rPr>
        <w:t>)</w:t>
      </w:r>
      <w:r w:rsidRPr="00694D6D">
        <w:rPr>
          <w:rFonts w:ascii="Times New Roman" w:hAnsi="Times New Roman" w:cs="Times New Roman"/>
          <w:sz w:val="24"/>
          <w:szCs w:val="24"/>
          <w:lang w:val="en-GB"/>
        </w:rPr>
        <w:t>-based opportunities and partnerships.</w:t>
      </w:r>
    </w:p>
    <w:p w14:paraId="32C579A5" w14:textId="77777777" w:rsidR="003F1A51" w:rsidRPr="00694D6D" w:rsidRDefault="003F1A51" w:rsidP="00694D6D">
      <w:pPr>
        <w:pStyle w:val="ListParagraph"/>
        <w:numPr>
          <w:ilvl w:val="1"/>
          <w:numId w:val="2"/>
        </w:numPr>
        <w:autoSpaceDE w:val="0"/>
        <w:autoSpaceDN w:val="0"/>
        <w:adjustRightInd w:val="0"/>
        <w:spacing w:after="0" w:line="360" w:lineRule="auto"/>
        <w:ind w:left="567" w:hanging="567"/>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Goal 5: Knowledge utilisation for inclusive development – accelerate inclusive development through scientific knowledge, evidence and appropriate technology.</w:t>
      </w:r>
    </w:p>
    <w:p w14:paraId="5CD881D0" w14:textId="77777777" w:rsidR="00AD0312" w:rsidRPr="00694D6D" w:rsidRDefault="00AD0312" w:rsidP="00694D6D">
      <w:pPr>
        <w:spacing w:after="0" w:line="360" w:lineRule="auto"/>
        <w:jc w:val="both"/>
        <w:rPr>
          <w:rFonts w:ascii="Times New Roman" w:eastAsia="Times New Roman" w:hAnsi="Times New Roman" w:cs="Times New Roman"/>
          <w:sz w:val="24"/>
          <w:szCs w:val="24"/>
          <w:lang w:val="en-GB"/>
        </w:rPr>
      </w:pPr>
    </w:p>
    <w:p w14:paraId="78F8DE5A" w14:textId="77777777" w:rsidR="00295154" w:rsidRPr="00694D6D" w:rsidRDefault="00295154" w:rsidP="00694D6D">
      <w:pPr>
        <w:spacing w:after="0" w:line="360" w:lineRule="auto"/>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The 2014-2019 Medium-Term Strategic Framework (MTSF) represent</w:t>
      </w:r>
      <w:r w:rsidR="00E672E0" w:rsidRPr="00694D6D">
        <w:rPr>
          <w:rFonts w:ascii="Times New Roman" w:eastAsia="Times New Roman" w:hAnsi="Times New Roman" w:cs="Times New Roman"/>
          <w:sz w:val="24"/>
          <w:szCs w:val="24"/>
          <w:lang w:val="en-GB"/>
        </w:rPr>
        <w:t>s</w:t>
      </w:r>
      <w:r w:rsidRPr="00694D6D">
        <w:rPr>
          <w:rFonts w:ascii="Times New Roman" w:eastAsia="Times New Roman" w:hAnsi="Times New Roman" w:cs="Times New Roman"/>
          <w:sz w:val="24"/>
          <w:szCs w:val="24"/>
          <w:lang w:val="en-GB"/>
        </w:rPr>
        <w:t xml:space="preserve"> the first phase of implementation of the NDP and commits Government to 14 key </w:t>
      </w:r>
      <w:r w:rsidR="004A72D6" w:rsidRPr="00694D6D">
        <w:rPr>
          <w:rFonts w:ascii="Times New Roman" w:eastAsia="Times New Roman" w:hAnsi="Times New Roman" w:cs="Times New Roman"/>
          <w:sz w:val="24"/>
          <w:szCs w:val="24"/>
          <w:lang w:val="en-GB"/>
        </w:rPr>
        <w:t>O</w:t>
      </w:r>
      <w:r w:rsidRPr="00694D6D">
        <w:rPr>
          <w:rFonts w:ascii="Times New Roman" w:eastAsia="Times New Roman" w:hAnsi="Times New Roman" w:cs="Times New Roman"/>
          <w:sz w:val="24"/>
          <w:szCs w:val="24"/>
          <w:lang w:val="en-GB"/>
        </w:rPr>
        <w:t xml:space="preserve">utcomes. The Programmes and initiatives of the Department </w:t>
      </w:r>
      <w:r w:rsidR="00C57855" w:rsidRPr="00694D6D">
        <w:rPr>
          <w:rFonts w:ascii="Times New Roman" w:eastAsia="Times New Roman" w:hAnsi="Times New Roman" w:cs="Times New Roman"/>
          <w:sz w:val="24"/>
          <w:szCs w:val="24"/>
          <w:lang w:val="en-GB"/>
        </w:rPr>
        <w:t>contribute to</w:t>
      </w:r>
      <w:r w:rsidRPr="00694D6D">
        <w:rPr>
          <w:rFonts w:ascii="Times New Roman" w:eastAsia="Times New Roman" w:hAnsi="Times New Roman" w:cs="Times New Roman"/>
          <w:sz w:val="24"/>
          <w:szCs w:val="24"/>
          <w:lang w:val="en-GB"/>
        </w:rPr>
        <w:t xml:space="preserve"> Outcomes 2 (long and healthy life), 4 (inclusive economic growth), 5 (skilled and capable workforce), 6 (efficient, competitive and responsive economic infrastructure network), 7 (sustainable rural communities) and 10 (environment and natural resources); as well as the Nine-Point Plan. The Nine-Point Plan seeks to stimulate and diversify South Africa’s economy. Specific areas where the Department contributes to the Nine-Point Plan include:</w:t>
      </w:r>
    </w:p>
    <w:p w14:paraId="7E772212" w14:textId="77777777" w:rsidR="00295154" w:rsidRPr="00694D6D" w:rsidRDefault="00295154" w:rsidP="00694D6D">
      <w:pPr>
        <w:spacing w:after="0" w:line="360" w:lineRule="auto"/>
        <w:jc w:val="both"/>
        <w:rPr>
          <w:rFonts w:ascii="Times New Roman" w:eastAsia="Times New Roman" w:hAnsi="Times New Roman" w:cs="Times New Roman"/>
          <w:sz w:val="24"/>
          <w:szCs w:val="24"/>
          <w:lang w:val="en-GB"/>
        </w:rPr>
      </w:pPr>
    </w:p>
    <w:p w14:paraId="3B6304A6" w14:textId="77777777" w:rsidR="00295154" w:rsidRPr="00694D6D" w:rsidRDefault="00295154" w:rsidP="00694D6D">
      <w:pPr>
        <w:pStyle w:val="ListParagraph"/>
        <w:numPr>
          <w:ilvl w:val="2"/>
          <w:numId w:val="3"/>
        </w:numPr>
        <w:spacing w:after="0" w:line="360" w:lineRule="auto"/>
        <w:ind w:left="567" w:hanging="567"/>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Revitalisation of agriculture and agro-processing.</w:t>
      </w:r>
    </w:p>
    <w:p w14:paraId="60B634BC" w14:textId="77777777" w:rsidR="00295154" w:rsidRPr="00694D6D" w:rsidRDefault="00295154" w:rsidP="00694D6D">
      <w:pPr>
        <w:pStyle w:val="ListParagraph"/>
        <w:numPr>
          <w:ilvl w:val="2"/>
          <w:numId w:val="3"/>
        </w:numPr>
        <w:spacing w:after="0" w:line="360" w:lineRule="auto"/>
        <w:ind w:left="567" w:hanging="567"/>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Increasing the impact of the Industrial Policy Action Plan (IPAP).</w:t>
      </w:r>
    </w:p>
    <w:p w14:paraId="491207BB" w14:textId="77777777" w:rsidR="00295154" w:rsidRPr="00694D6D" w:rsidRDefault="00295154" w:rsidP="00694D6D">
      <w:pPr>
        <w:pStyle w:val="ListParagraph"/>
        <w:numPr>
          <w:ilvl w:val="2"/>
          <w:numId w:val="3"/>
        </w:numPr>
        <w:spacing w:after="0" w:line="360" w:lineRule="auto"/>
        <w:ind w:left="567" w:hanging="567"/>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Beneficiation of mineral wealth.</w:t>
      </w:r>
    </w:p>
    <w:p w14:paraId="53BF7F4D" w14:textId="77777777" w:rsidR="00295154" w:rsidRPr="00694D6D" w:rsidRDefault="00295154" w:rsidP="00694D6D">
      <w:pPr>
        <w:pStyle w:val="ListParagraph"/>
        <w:numPr>
          <w:ilvl w:val="2"/>
          <w:numId w:val="3"/>
        </w:numPr>
        <w:spacing w:after="0" w:line="360" w:lineRule="auto"/>
        <w:ind w:left="567" w:hanging="567"/>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Unlocking the potential of small business and rural and township enterprises.</w:t>
      </w:r>
    </w:p>
    <w:p w14:paraId="74839C2A" w14:textId="77777777" w:rsidR="00295154" w:rsidRPr="00694D6D" w:rsidRDefault="00295154" w:rsidP="00694D6D">
      <w:pPr>
        <w:pStyle w:val="ListParagraph"/>
        <w:numPr>
          <w:ilvl w:val="2"/>
          <w:numId w:val="3"/>
        </w:numPr>
        <w:spacing w:after="0" w:line="360" w:lineRule="auto"/>
        <w:ind w:left="567" w:hanging="567"/>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Growing the oceans economy through Operation Phakisa.</w:t>
      </w:r>
    </w:p>
    <w:p w14:paraId="780AE660" w14:textId="77777777" w:rsidR="00295154" w:rsidRPr="00694D6D" w:rsidRDefault="00295154" w:rsidP="00694D6D">
      <w:pPr>
        <w:pStyle w:val="ListParagraph"/>
        <w:numPr>
          <w:ilvl w:val="2"/>
          <w:numId w:val="3"/>
        </w:numPr>
        <w:spacing w:after="0" w:line="360" w:lineRule="auto"/>
        <w:ind w:left="567" w:hanging="567"/>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Resolving the energy challenge by advancing alternative energy sources.</w:t>
      </w:r>
    </w:p>
    <w:p w14:paraId="5534D919" w14:textId="77777777" w:rsidR="00295154" w:rsidRPr="00694D6D" w:rsidRDefault="00295154" w:rsidP="00694D6D">
      <w:pPr>
        <w:pStyle w:val="ListParagraph"/>
        <w:numPr>
          <w:ilvl w:val="2"/>
          <w:numId w:val="3"/>
        </w:numPr>
        <w:spacing w:after="0" w:line="360" w:lineRule="auto"/>
        <w:ind w:left="567" w:hanging="567"/>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Scaling-up private sector participation in R&amp;D.</w:t>
      </w:r>
    </w:p>
    <w:p w14:paraId="67798765" w14:textId="77777777" w:rsidR="00295154" w:rsidRPr="00694D6D" w:rsidRDefault="00295154" w:rsidP="00694D6D">
      <w:pPr>
        <w:spacing w:after="0" w:line="360" w:lineRule="auto"/>
        <w:jc w:val="both"/>
        <w:rPr>
          <w:rFonts w:ascii="Times New Roman" w:eastAsia="Times New Roman" w:hAnsi="Times New Roman" w:cs="Times New Roman"/>
          <w:sz w:val="24"/>
          <w:szCs w:val="24"/>
          <w:lang w:val="en-GB"/>
        </w:rPr>
      </w:pPr>
    </w:p>
    <w:p w14:paraId="3C4C1C70" w14:textId="77777777" w:rsidR="00807ED8" w:rsidRPr="00694D6D" w:rsidRDefault="000B2426" w:rsidP="00694D6D">
      <w:pPr>
        <w:numPr>
          <w:ilvl w:val="0"/>
          <w:numId w:val="1"/>
        </w:numPr>
        <w:spacing w:after="0" w:line="360" w:lineRule="auto"/>
        <w:ind w:left="567" w:hanging="567"/>
        <w:jc w:val="both"/>
        <w:rPr>
          <w:rFonts w:ascii="Times New Roman" w:hAnsi="Times New Roman" w:cs="Times New Roman"/>
          <w:b/>
          <w:caps/>
          <w:sz w:val="24"/>
          <w:szCs w:val="24"/>
        </w:rPr>
      </w:pPr>
      <w:r w:rsidRPr="00694D6D">
        <w:rPr>
          <w:rFonts w:ascii="Times New Roman" w:hAnsi="Times New Roman" w:cs="Times New Roman"/>
          <w:b/>
          <w:caps/>
          <w:sz w:val="24"/>
          <w:szCs w:val="24"/>
        </w:rPr>
        <w:t>RESPONSE TO</w:t>
      </w:r>
      <w:r w:rsidR="00807ED8" w:rsidRPr="00694D6D">
        <w:rPr>
          <w:rFonts w:ascii="Times New Roman" w:hAnsi="Times New Roman" w:cs="Times New Roman"/>
          <w:b/>
          <w:caps/>
          <w:sz w:val="24"/>
          <w:szCs w:val="24"/>
        </w:rPr>
        <w:t xml:space="preserve"> previous financial recommendations of THE PORTFOLIO Committee ON SCIENCE AND TECHNOLOGY</w:t>
      </w:r>
    </w:p>
    <w:p w14:paraId="4EEBB9FF" w14:textId="77777777" w:rsidR="00807ED8" w:rsidRPr="00694D6D" w:rsidRDefault="00807ED8" w:rsidP="00694D6D">
      <w:pPr>
        <w:spacing w:after="0" w:line="360" w:lineRule="auto"/>
        <w:jc w:val="both"/>
        <w:rPr>
          <w:rFonts w:ascii="Times New Roman" w:hAnsi="Times New Roman" w:cs="Times New Roman"/>
          <w:caps/>
          <w:sz w:val="24"/>
          <w:szCs w:val="24"/>
        </w:rPr>
      </w:pPr>
    </w:p>
    <w:p w14:paraId="444B4626" w14:textId="77777777" w:rsidR="00A6654A" w:rsidRPr="00694D6D" w:rsidRDefault="00A6654A" w:rsidP="00694D6D">
      <w:pPr>
        <w:pStyle w:val="ListParagraph"/>
        <w:spacing w:after="0" w:line="360" w:lineRule="auto"/>
        <w:ind w:left="0"/>
        <w:jc w:val="both"/>
        <w:rPr>
          <w:rFonts w:ascii="Times New Roman" w:hAnsi="Times New Roman" w:cs="Times New Roman"/>
          <w:sz w:val="24"/>
          <w:szCs w:val="24"/>
        </w:rPr>
      </w:pPr>
      <w:r w:rsidRPr="00694D6D">
        <w:rPr>
          <w:rFonts w:ascii="Times New Roman" w:hAnsi="Times New Roman" w:cs="Times New Roman"/>
          <w:sz w:val="24"/>
          <w:szCs w:val="24"/>
        </w:rPr>
        <w:t>The Minister of Finance responded</w:t>
      </w:r>
      <w:r w:rsidR="00695867" w:rsidRPr="00694D6D">
        <w:rPr>
          <w:rFonts w:ascii="Times New Roman" w:hAnsi="Times New Roman" w:cs="Times New Roman"/>
          <w:sz w:val="24"/>
          <w:szCs w:val="24"/>
        </w:rPr>
        <w:t>, in National Treasury’s 2019 Budget Review,</w:t>
      </w:r>
      <w:r w:rsidRPr="00694D6D">
        <w:rPr>
          <w:rFonts w:ascii="Times New Roman" w:hAnsi="Times New Roman" w:cs="Times New Roman"/>
          <w:sz w:val="24"/>
          <w:szCs w:val="24"/>
        </w:rPr>
        <w:t xml:space="preserve"> to the </w:t>
      </w:r>
      <w:r w:rsidR="00976102" w:rsidRPr="00694D6D">
        <w:rPr>
          <w:rFonts w:ascii="Times New Roman" w:hAnsi="Times New Roman" w:cs="Times New Roman"/>
          <w:sz w:val="24"/>
          <w:szCs w:val="24"/>
        </w:rPr>
        <w:t xml:space="preserve">recommendations of the </w:t>
      </w:r>
      <w:r w:rsidRPr="00694D6D">
        <w:rPr>
          <w:rFonts w:ascii="Times New Roman" w:hAnsi="Times New Roman" w:cs="Times New Roman"/>
          <w:sz w:val="24"/>
          <w:szCs w:val="24"/>
        </w:rPr>
        <w:t>Committee’s 201</w:t>
      </w:r>
      <w:r w:rsidR="00190007" w:rsidRPr="00694D6D">
        <w:rPr>
          <w:rFonts w:ascii="Times New Roman" w:hAnsi="Times New Roman" w:cs="Times New Roman"/>
          <w:sz w:val="24"/>
          <w:szCs w:val="24"/>
        </w:rPr>
        <w:t>8</w:t>
      </w:r>
      <w:r w:rsidRPr="00694D6D">
        <w:rPr>
          <w:rFonts w:ascii="Times New Roman" w:hAnsi="Times New Roman" w:cs="Times New Roman"/>
          <w:sz w:val="24"/>
          <w:szCs w:val="24"/>
        </w:rPr>
        <w:t xml:space="preserve"> Budgetary Review and Recommendation Report as follows:</w:t>
      </w:r>
    </w:p>
    <w:p w14:paraId="16CF09D5" w14:textId="77777777" w:rsidR="00A6654A" w:rsidRPr="00694D6D" w:rsidRDefault="00A6654A" w:rsidP="00694D6D">
      <w:pPr>
        <w:pStyle w:val="ListParagraph"/>
        <w:spacing w:after="0" w:line="360" w:lineRule="auto"/>
        <w:ind w:left="0"/>
        <w:jc w:val="both"/>
        <w:rPr>
          <w:rFonts w:ascii="Times New Roman" w:hAnsi="Times New Roman" w:cs="Times New Roman"/>
          <w:sz w:val="24"/>
          <w:szCs w:val="24"/>
        </w:rPr>
      </w:pPr>
    </w:p>
    <w:p w14:paraId="1FB8E4AE" w14:textId="77777777" w:rsidR="00976102" w:rsidRPr="00694D6D" w:rsidRDefault="00976102" w:rsidP="00694D6D">
      <w:pPr>
        <w:pStyle w:val="ListParagraph"/>
        <w:spacing w:after="0" w:line="360" w:lineRule="auto"/>
        <w:ind w:left="0"/>
        <w:jc w:val="both"/>
        <w:rPr>
          <w:rFonts w:ascii="Times New Roman" w:hAnsi="Times New Roman" w:cs="Times New Roman"/>
          <w:sz w:val="24"/>
          <w:szCs w:val="24"/>
        </w:rPr>
      </w:pPr>
      <w:r w:rsidRPr="00694D6D">
        <w:rPr>
          <w:rFonts w:ascii="Times New Roman" w:hAnsi="Times New Roman" w:cs="Times New Roman"/>
          <w:sz w:val="24"/>
          <w:szCs w:val="24"/>
        </w:rPr>
        <w:t>Committee recommendation:</w:t>
      </w:r>
    </w:p>
    <w:p w14:paraId="1329B8D0" w14:textId="77777777" w:rsidR="00976102" w:rsidRPr="00694D6D" w:rsidRDefault="00976102" w:rsidP="00694D6D">
      <w:pPr>
        <w:spacing w:after="0" w:line="360" w:lineRule="auto"/>
        <w:jc w:val="both"/>
        <w:rPr>
          <w:rFonts w:ascii="Times New Roman" w:hAnsi="Times New Roman" w:cs="Times New Roman"/>
          <w:sz w:val="24"/>
          <w:szCs w:val="24"/>
        </w:rPr>
      </w:pPr>
      <w:r w:rsidRPr="00694D6D">
        <w:rPr>
          <w:rFonts w:ascii="Times New Roman" w:hAnsi="Times New Roman" w:cs="Times New Roman"/>
          <w:sz w:val="24"/>
          <w:szCs w:val="24"/>
        </w:rPr>
        <w:t>The Minister of Science and Technology should continue her engagement with the National Treasury to secure additional funding for the science and technology portfolio and that the committee supports all funding requests made in this regard.</w:t>
      </w:r>
    </w:p>
    <w:p w14:paraId="42A3AF9F" w14:textId="77777777" w:rsidR="00976102" w:rsidRPr="00694D6D" w:rsidRDefault="00976102" w:rsidP="00694D6D">
      <w:pPr>
        <w:spacing w:after="0" w:line="360" w:lineRule="auto"/>
        <w:jc w:val="both"/>
        <w:rPr>
          <w:rFonts w:ascii="Times New Roman" w:hAnsi="Times New Roman" w:cs="Times New Roman"/>
          <w:sz w:val="24"/>
          <w:szCs w:val="24"/>
        </w:rPr>
      </w:pPr>
    </w:p>
    <w:p w14:paraId="1C95391C" w14:textId="77777777" w:rsidR="00976102" w:rsidRPr="00694D6D" w:rsidRDefault="00976102" w:rsidP="00694D6D">
      <w:pPr>
        <w:spacing w:after="0" w:line="360" w:lineRule="auto"/>
        <w:jc w:val="both"/>
        <w:rPr>
          <w:rFonts w:ascii="Times New Roman" w:hAnsi="Times New Roman" w:cs="Times New Roman"/>
          <w:sz w:val="24"/>
          <w:szCs w:val="24"/>
        </w:rPr>
      </w:pPr>
      <w:r w:rsidRPr="00694D6D">
        <w:rPr>
          <w:rFonts w:ascii="Times New Roman" w:hAnsi="Times New Roman" w:cs="Times New Roman"/>
          <w:sz w:val="24"/>
          <w:szCs w:val="24"/>
        </w:rPr>
        <w:t>Minister of Finance response:</w:t>
      </w:r>
    </w:p>
    <w:p w14:paraId="23BCB28D" w14:textId="77777777" w:rsidR="00976102" w:rsidRPr="00694D6D" w:rsidRDefault="00976102" w:rsidP="00694D6D">
      <w:pPr>
        <w:spacing w:after="0" w:line="360" w:lineRule="auto"/>
        <w:jc w:val="both"/>
        <w:rPr>
          <w:rFonts w:ascii="Times New Roman" w:hAnsi="Times New Roman" w:cs="Times New Roman"/>
          <w:sz w:val="24"/>
          <w:szCs w:val="24"/>
        </w:rPr>
      </w:pPr>
      <w:r w:rsidRPr="00694D6D">
        <w:rPr>
          <w:rFonts w:ascii="Times New Roman" w:hAnsi="Times New Roman" w:cs="Times New Roman"/>
          <w:sz w:val="24"/>
          <w:szCs w:val="24"/>
        </w:rPr>
        <w:t>The National Treasury recognises the importance of science, technology and innovation in growing the economy. The Department of Science and Technology has been allocated R25 billion over the medium term. Of this, the department transfers 92 per cent to its entities to fund research and development programmes that form the strategic foundation for scientific innovation. The department will also receive donor funding amounting to R118.8 million over the 2019 MTEF period for projects relating to the green economy and strengthening the smallholder essential oils value chain. Due to the constrained fiscal outlook, the scope to provide additional funding is limited. Departments, public entities and constitutional institutions are required to reprioritise funds within their existing baselines to fund any emerging priorities. Should the fiscal outlook improve, future recommendations for additional funding may be considered.</w:t>
      </w:r>
    </w:p>
    <w:p w14:paraId="191A9AB9" w14:textId="77777777" w:rsidR="00695867" w:rsidRPr="00694D6D" w:rsidRDefault="00695867" w:rsidP="00694D6D">
      <w:pPr>
        <w:spacing w:after="0" w:line="360" w:lineRule="auto"/>
        <w:jc w:val="both"/>
        <w:rPr>
          <w:rFonts w:ascii="Times New Roman" w:hAnsi="Times New Roman" w:cs="Times New Roman"/>
          <w:sz w:val="24"/>
          <w:szCs w:val="24"/>
        </w:rPr>
      </w:pPr>
    </w:p>
    <w:p w14:paraId="2CAE7A55" w14:textId="77777777" w:rsidR="00976102" w:rsidRPr="00694D6D" w:rsidRDefault="00976102" w:rsidP="00694D6D">
      <w:pPr>
        <w:spacing w:after="0" w:line="360" w:lineRule="auto"/>
        <w:jc w:val="both"/>
        <w:rPr>
          <w:rFonts w:ascii="Times New Roman" w:hAnsi="Times New Roman" w:cs="Times New Roman"/>
          <w:sz w:val="24"/>
          <w:szCs w:val="24"/>
        </w:rPr>
      </w:pPr>
      <w:r w:rsidRPr="00694D6D">
        <w:rPr>
          <w:rFonts w:ascii="Times New Roman" w:hAnsi="Times New Roman" w:cs="Times New Roman"/>
          <w:sz w:val="24"/>
          <w:szCs w:val="24"/>
        </w:rPr>
        <w:t>Committee recommendation:</w:t>
      </w:r>
    </w:p>
    <w:p w14:paraId="3C97E186" w14:textId="77777777" w:rsidR="00976102" w:rsidRPr="00694D6D" w:rsidRDefault="00976102" w:rsidP="00694D6D">
      <w:pPr>
        <w:spacing w:after="0" w:line="360" w:lineRule="auto"/>
        <w:jc w:val="both"/>
        <w:rPr>
          <w:rFonts w:ascii="Times New Roman" w:hAnsi="Times New Roman" w:cs="Times New Roman"/>
          <w:sz w:val="24"/>
          <w:szCs w:val="24"/>
        </w:rPr>
      </w:pPr>
      <w:r w:rsidRPr="00694D6D">
        <w:rPr>
          <w:rFonts w:ascii="Times New Roman" w:hAnsi="Times New Roman" w:cs="Times New Roman"/>
          <w:sz w:val="24"/>
          <w:szCs w:val="24"/>
        </w:rPr>
        <w:t>The Minister of Science and Technology advises against all proposed funding reductions from the National Treasury and that the regulations regarding the non-acceptance of Memoranda of Agreement for remunerated services be reconsidered in light of the adverse effect it has had on entities like the Council for Scientific and Industrial Research (CSIR) who could not secure its targeted contract income.</w:t>
      </w:r>
    </w:p>
    <w:p w14:paraId="29B3B8EF" w14:textId="77777777" w:rsidR="00976102" w:rsidRPr="00694D6D" w:rsidRDefault="00976102" w:rsidP="00694D6D">
      <w:pPr>
        <w:pStyle w:val="ListParagraph"/>
        <w:spacing w:after="0" w:line="360" w:lineRule="auto"/>
        <w:ind w:left="0"/>
        <w:jc w:val="both"/>
        <w:rPr>
          <w:rFonts w:ascii="Times New Roman" w:hAnsi="Times New Roman" w:cs="Times New Roman"/>
          <w:sz w:val="24"/>
          <w:szCs w:val="24"/>
        </w:rPr>
      </w:pPr>
    </w:p>
    <w:p w14:paraId="6ECA67D6" w14:textId="77777777" w:rsidR="00976102" w:rsidRPr="00694D6D" w:rsidRDefault="00976102" w:rsidP="00694D6D">
      <w:pPr>
        <w:pStyle w:val="ListParagraph"/>
        <w:spacing w:after="0" w:line="360" w:lineRule="auto"/>
        <w:ind w:left="0"/>
        <w:jc w:val="both"/>
        <w:rPr>
          <w:rFonts w:ascii="Times New Roman" w:hAnsi="Times New Roman" w:cs="Times New Roman"/>
          <w:sz w:val="24"/>
          <w:szCs w:val="24"/>
        </w:rPr>
      </w:pPr>
      <w:r w:rsidRPr="00694D6D">
        <w:rPr>
          <w:rFonts w:ascii="Times New Roman" w:hAnsi="Times New Roman" w:cs="Times New Roman"/>
          <w:sz w:val="24"/>
          <w:szCs w:val="24"/>
        </w:rPr>
        <w:t>Minister of Finance response:</w:t>
      </w:r>
    </w:p>
    <w:p w14:paraId="65FE73BA" w14:textId="77777777" w:rsidR="00976102" w:rsidRPr="00694D6D" w:rsidRDefault="00976102" w:rsidP="00694D6D">
      <w:pPr>
        <w:spacing w:after="0" w:line="360" w:lineRule="auto"/>
        <w:jc w:val="both"/>
        <w:rPr>
          <w:rFonts w:ascii="Times New Roman" w:hAnsi="Times New Roman" w:cs="Times New Roman"/>
          <w:sz w:val="24"/>
          <w:szCs w:val="24"/>
        </w:rPr>
      </w:pPr>
      <w:r w:rsidRPr="00694D6D">
        <w:rPr>
          <w:rFonts w:ascii="Times New Roman" w:hAnsi="Times New Roman" w:cs="Times New Roman"/>
          <w:sz w:val="24"/>
          <w:szCs w:val="24"/>
        </w:rPr>
        <w:t>Given the tight fiscal environment and the need for the National Treasury to direct spending to other pressing national priorities that are underfunded, reductions have been effected across all votes, particularly on entities with favourable financial positions and large cash reserves. Baseline reductions to science and technology spending have been kept to a minimum.</w:t>
      </w:r>
    </w:p>
    <w:p w14:paraId="6DAA917E" w14:textId="77777777" w:rsidR="00976102" w:rsidRPr="00694D6D" w:rsidRDefault="00976102" w:rsidP="00694D6D">
      <w:pPr>
        <w:spacing w:after="0" w:line="360" w:lineRule="auto"/>
        <w:jc w:val="both"/>
        <w:rPr>
          <w:rFonts w:ascii="Times New Roman" w:hAnsi="Times New Roman" w:cs="Times New Roman"/>
          <w:sz w:val="24"/>
          <w:szCs w:val="24"/>
        </w:rPr>
      </w:pPr>
    </w:p>
    <w:p w14:paraId="439C7055" w14:textId="77777777" w:rsidR="00976102" w:rsidRPr="00694D6D" w:rsidRDefault="00976102" w:rsidP="00694D6D">
      <w:pPr>
        <w:spacing w:after="0" w:line="360" w:lineRule="auto"/>
        <w:jc w:val="both"/>
        <w:rPr>
          <w:rFonts w:ascii="Times New Roman" w:hAnsi="Times New Roman" w:cs="Times New Roman"/>
          <w:sz w:val="24"/>
          <w:szCs w:val="24"/>
        </w:rPr>
      </w:pPr>
      <w:r w:rsidRPr="00694D6D">
        <w:rPr>
          <w:rFonts w:ascii="Times New Roman" w:hAnsi="Times New Roman" w:cs="Times New Roman"/>
          <w:sz w:val="24"/>
          <w:szCs w:val="24"/>
        </w:rPr>
        <w:t>Committee recommendation:</w:t>
      </w:r>
    </w:p>
    <w:p w14:paraId="638E3389" w14:textId="77777777" w:rsidR="00976102" w:rsidRPr="00694D6D" w:rsidRDefault="00976102" w:rsidP="00694D6D">
      <w:pPr>
        <w:spacing w:after="0" w:line="360" w:lineRule="auto"/>
        <w:jc w:val="both"/>
        <w:rPr>
          <w:rFonts w:ascii="Times New Roman" w:hAnsi="Times New Roman" w:cs="Times New Roman"/>
          <w:sz w:val="24"/>
          <w:szCs w:val="24"/>
        </w:rPr>
      </w:pPr>
      <w:r w:rsidRPr="00694D6D">
        <w:rPr>
          <w:rFonts w:ascii="Times New Roman" w:hAnsi="Times New Roman" w:cs="Times New Roman"/>
          <w:sz w:val="24"/>
          <w:szCs w:val="24"/>
        </w:rPr>
        <w:t>National Treasury should elaborate on its view that, “the department’s six entities are adequately funded to deliver on their mandate given the yearly applications to the National Treasury to retain surplus funds.”</w:t>
      </w:r>
      <w:r w:rsidRPr="00694D6D">
        <w:rPr>
          <w:rStyle w:val="FootnoteReference"/>
          <w:rFonts w:ascii="Times New Roman" w:hAnsi="Times New Roman" w:cs="Times New Roman"/>
          <w:sz w:val="24"/>
          <w:szCs w:val="24"/>
        </w:rPr>
        <w:footnoteReference w:id="1"/>
      </w:r>
      <w:r w:rsidR="00B87F83" w:rsidRPr="00694D6D">
        <w:rPr>
          <w:rFonts w:ascii="Times New Roman" w:hAnsi="Times New Roman" w:cs="Times New Roman"/>
          <w:sz w:val="24"/>
          <w:szCs w:val="24"/>
        </w:rPr>
        <w:t xml:space="preserve"> </w:t>
      </w:r>
      <w:r w:rsidRPr="00694D6D">
        <w:rPr>
          <w:rFonts w:ascii="Times New Roman" w:hAnsi="Times New Roman" w:cs="Times New Roman"/>
          <w:sz w:val="24"/>
          <w:szCs w:val="24"/>
        </w:rPr>
        <w:t>The committee maintains that the performance delivery of the entities has been structured around the</w:t>
      </w:r>
      <w:r w:rsidR="00B87F83" w:rsidRPr="00694D6D">
        <w:rPr>
          <w:rFonts w:ascii="Times New Roman" w:hAnsi="Times New Roman" w:cs="Times New Roman"/>
          <w:sz w:val="24"/>
          <w:szCs w:val="24"/>
        </w:rPr>
        <w:t xml:space="preserve"> </w:t>
      </w:r>
      <w:r w:rsidRPr="00694D6D">
        <w:rPr>
          <w:rFonts w:ascii="Times New Roman" w:hAnsi="Times New Roman" w:cs="Times New Roman"/>
          <w:sz w:val="24"/>
          <w:szCs w:val="24"/>
        </w:rPr>
        <w:t>budgets that have been allocated to them, and not according to all the responsibilities that they are</w:t>
      </w:r>
      <w:r w:rsidR="00B87F83" w:rsidRPr="00694D6D">
        <w:rPr>
          <w:rFonts w:ascii="Times New Roman" w:hAnsi="Times New Roman" w:cs="Times New Roman"/>
          <w:sz w:val="24"/>
          <w:szCs w:val="24"/>
        </w:rPr>
        <w:t xml:space="preserve"> </w:t>
      </w:r>
      <w:r w:rsidRPr="00694D6D">
        <w:rPr>
          <w:rFonts w:ascii="Times New Roman" w:hAnsi="Times New Roman" w:cs="Times New Roman"/>
          <w:sz w:val="24"/>
          <w:szCs w:val="24"/>
        </w:rPr>
        <w:t>mandated to fulfil.</w:t>
      </w:r>
    </w:p>
    <w:p w14:paraId="615BF39F" w14:textId="77777777" w:rsidR="00B87F83" w:rsidRPr="00694D6D" w:rsidRDefault="00B87F83" w:rsidP="00694D6D">
      <w:pPr>
        <w:spacing w:after="0" w:line="360" w:lineRule="auto"/>
        <w:jc w:val="both"/>
        <w:rPr>
          <w:rFonts w:ascii="Times New Roman" w:hAnsi="Times New Roman" w:cs="Times New Roman"/>
          <w:sz w:val="24"/>
          <w:szCs w:val="24"/>
        </w:rPr>
      </w:pPr>
    </w:p>
    <w:p w14:paraId="1F9E0756" w14:textId="77777777" w:rsidR="00B87F83" w:rsidRPr="00694D6D" w:rsidRDefault="00B87F83" w:rsidP="00694D6D">
      <w:pPr>
        <w:spacing w:after="0" w:line="360" w:lineRule="auto"/>
        <w:jc w:val="both"/>
        <w:rPr>
          <w:rFonts w:ascii="Times New Roman" w:hAnsi="Times New Roman" w:cs="Times New Roman"/>
          <w:sz w:val="24"/>
          <w:szCs w:val="24"/>
        </w:rPr>
      </w:pPr>
      <w:r w:rsidRPr="00694D6D">
        <w:rPr>
          <w:rFonts w:ascii="Times New Roman" w:hAnsi="Times New Roman" w:cs="Times New Roman"/>
          <w:sz w:val="24"/>
          <w:szCs w:val="24"/>
        </w:rPr>
        <w:t>Minister of Finance response:</w:t>
      </w:r>
    </w:p>
    <w:p w14:paraId="0C8C294A" w14:textId="77777777" w:rsidR="00976102" w:rsidRPr="00694D6D" w:rsidRDefault="00976102" w:rsidP="00694D6D">
      <w:pPr>
        <w:spacing w:after="0" w:line="360" w:lineRule="auto"/>
        <w:jc w:val="both"/>
        <w:rPr>
          <w:rFonts w:ascii="Times New Roman" w:hAnsi="Times New Roman" w:cs="Times New Roman"/>
          <w:sz w:val="24"/>
          <w:szCs w:val="24"/>
        </w:rPr>
      </w:pPr>
      <w:r w:rsidRPr="00694D6D">
        <w:rPr>
          <w:rFonts w:ascii="Times New Roman" w:hAnsi="Times New Roman" w:cs="Times New Roman"/>
          <w:sz w:val="24"/>
          <w:szCs w:val="24"/>
        </w:rPr>
        <w:t>In 2018/19, the National Treasury applied stringent measures on the retention of surpluses, requiring</w:t>
      </w:r>
    </w:p>
    <w:p w14:paraId="7818B473" w14:textId="77777777" w:rsidR="00976102" w:rsidRPr="00694D6D" w:rsidRDefault="00976102" w:rsidP="00694D6D">
      <w:pPr>
        <w:spacing w:after="0" w:line="360" w:lineRule="auto"/>
        <w:jc w:val="both"/>
        <w:rPr>
          <w:rFonts w:ascii="Times New Roman" w:hAnsi="Times New Roman" w:cs="Times New Roman"/>
          <w:sz w:val="24"/>
          <w:szCs w:val="24"/>
        </w:rPr>
      </w:pPr>
      <w:r w:rsidRPr="00694D6D">
        <w:rPr>
          <w:rFonts w:ascii="Times New Roman" w:hAnsi="Times New Roman" w:cs="Times New Roman"/>
          <w:sz w:val="24"/>
          <w:szCs w:val="24"/>
        </w:rPr>
        <w:t>compelling evidence on the need to retain funds. Entities under the Department of Science and</w:t>
      </w:r>
      <w:r w:rsidR="00B87F83" w:rsidRPr="00694D6D">
        <w:rPr>
          <w:rFonts w:ascii="Times New Roman" w:hAnsi="Times New Roman" w:cs="Times New Roman"/>
          <w:sz w:val="24"/>
          <w:szCs w:val="24"/>
        </w:rPr>
        <w:t xml:space="preserve"> </w:t>
      </w:r>
      <w:r w:rsidRPr="00694D6D">
        <w:rPr>
          <w:rFonts w:ascii="Times New Roman" w:hAnsi="Times New Roman" w:cs="Times New Roman"/>
          <w:sz w:val="24"/>
          <w:szCs w:val="24"/>
        </w:rPr>
        <w:t>Technology are adequately funded to deliver on their mandate given the amount of transfers they receive</w:t>
      </w:r>
      <w:r w:rsidR="00B87F83" w:rsidRPr="00694D6D">
        <w:rPr>
          <w:rFonts w:ascii="Times New Roman" w:hAnsi="Times New Roman" w:cs="Times New Roman"/>
          <w:sz w:val="24"/>
          <w:szCs w:val="24"/>
        </w:rPr>
        <w:t xml:space="preserve"> </w:t>
      </w:r>
      <w:r w:rsidRPr="00694D6D">
        <w:rPr>
          <w:rFonts w:ascii="Times New Roman" w:hAnsi="Times New Roman" w:cs="Times New Roman"/>
          <w:sz w:val="24"/>
          <w:szCs w:val="24"/>
        </w:rPr>
        <w:t>in relation to their respective mandates. This is further supported by cash reserves in the entities’ bank</w:t>
      </w:r>
      <w:r w:rsidR="00B87F83" w:rsidRPr="00694D6D">
        <w:rPr>
          <w:rFonts w:ascii="Times New Roman" w:hAnsi="Times New Roman" w:cs="Times New Roman"/>
          <w:sz w:val="24"/>
          <w:szCs w:val="24"/>
        </w:rPr>
        <w:t xml:space="preserve"> </w:t>
      </w:r>
      <w:r w:rsidRPr="00694D6D">
        <w:rPr>
          <w:rFonts w:ascii="Times New Roman" w:hAnsi="Times New Roman" w:cs="Times New Roman"/>
          <w:sz w:val="24"/>
          <w:szCs w:val="24"/>
        </w:rPr>
        <w:t>accounts that accumulate interest, resulting in the requests to retain cash surpluses. Over the 2019 MTEF</w:t>
      </w:r>
      <w:r w:rsidR="00B87F83" w:rsidRPr="00694D6D">
        <w:rPr>
          <w:rFonts w:ascii="Times New Roman" w:hAnsi="Times New Roman" w:cs="Times New Roman"/>
          <w:sz w:val="24"/>
          <w:szCs w:val="24"/>
        </w:rPr>
        <w:t xml:space="preserve"> </w:t>
      </w:r>
      <w:r w:rsidRPr="00694D6D">
        <w:rPr>
          <w:rFonts w:ascii="Times New Roman" w:hAnsi="Times New Roman" w:cs="Times New Roman"/>
          <w:sz w:val="24"/>
          <w:szCs w:val="24"/>
        </w:rPr>
        <w:t>period the Department of Science and Technology will transfer the majority of its allocated budget to its</w:t>
      </w:r>
      <w:r w:rsidR="00B87F83" w:rsidRPr="00694D6D">
        <w:rPr>
          <w:rFonts w:ascii="Times New Roman" w:hAnsi="Times New Roman" w:cs="Times New Roman"/>
          <w:sz w:val="24"/>
          <w:szCs w:val="24"/>
        </w:rPr>
        <w:t xml:space="preserve"> </w:t>
      </w:r>
      <w:r w:rsidRPr="00694D6D">
        <w:rPr>
          <w:rFonts w:ascii="Times New Roman" w:hAnsi="Times New Roman" w:cs="Times New Roman"/>
          <w:sz w:val="24"/>
          <w:szCs w:val="24"/>
        </w:rPr>
        <w:t>entities to execute their mandates, and these entities also generate profits from their activities and the</w:t>
      </w:r>
      <w:r w:rsidR="00B87F83" w:rsidRPr="00694D6D">
        <w:rPr>
          <w:rFonts w:ascii="Times New Roman" w:hAnsi="Times New Roman" w:cs="Times New Roman"/>
          <w:sz w:val="24"/>
          <w:szCs w:val="24"/>
        </w:rPr>
        <w:t xml:space="preserve"> </w:t>
      </w:r>
      <w:r w:rsidRPr="00694D6D">
        <w:rPr>
          <w:rFonts w:ascii="Times New Roman" w:hAnsi="Times New Roman" w:cs="Times New Roman"/>
          <w:sz w:val="24"/>
          <w:szCs w:val="24"/>
        </w:rPr>
        <w:t>services they render to various stakeholders. Moreover, entities’ performance indicators indicate that</w:t>
      </w:r>
      <w:r w:rsidR="00B87F83" w:rsidRPr="00694D6D">
        <w:rPr>
          <w:rFonts w:ascii="Times New Roman" w:hAnsi="Times New Roman" w:cs="Times New Roman"/>
          <w:sz w:val="24"/>
          <w:szCs w:val="24"/>
        </w:rPr>
        <w:t xml:space="preserve"> </w:t>
      </w:r>
      <w:r w:rsidRPr="00694D6D">
        <w:rPr>
          <w:rFonts w:ascii="Times New Roman" w:hAnsi="Times New Roman" w:cs="Times New Roman"/>
          <w:sz w:val="24"/>
          <w:szCs w:val="24"/>
        </w:rPr>
        <w:t>they are able to achieve their targets with the allocated budget as shown in the various annual reports</w:t>
      </w:r>
      <w:r w:rsidR="00B87F83" w:rsidRPr="00694D6D">
        <w:rPr>
          <w:rFonts w:ascii="Times New Roman" w:hAnsi="Times New Roman" w:cs="Times New Roman"/>
          <w:sz w:val="24"/>
          <w:szCs w:val="24"/>
        </w:rPr>
        <w:t xml:space="preserve"> </w:t>
      </w:r>
      <w:r w:rsidRPr="00694D6D">
        <w:rPr>
          <w:rFonts w:ascii="Times New Roman" w:hAnsi="Times New Roman" w:cs="Times New Roman"/>
          <w:sz w:val="24"/>
          <w:szCs w:val="24"/>
        </w:rPr>
        <w:t>and annual performance plans submitted to the National Treasury.</w:t>
      </w:r>
    </w:p>
    <w:p w14:paraId="66CFA54C" w14:textId="77777777" w:rsidR="00312232" w:rsidRPr="00694D6D" w:rsidRDefault="00312232" w:rsidP="00694D6D">
      <w:pPr>
        <w:pStyle w:val="ListParagraph"/>
        <w:spacing w:after="0" w:line="360" w:lineRule="auto"/>
        <w:ind w:left="0"/>
        <w:jc w:val="both"/>
        <w:rPr>
          <w:rFonts w:ascii="Times New Roman" w:hAnsi="Times New Roman" w:cs="Times New Roman"/>
          <w:sz w:val="24"/>
          <w:szCs w:val="24"/>
        </w:rPr>
      </w:pPr>
    </w:p>
    <w:p w14:paraId="470548D3" w14:textId="77777777" w:rsidR="00CB2FA0" w:rsidRPr="00694D6D" w:rsidRDefault="00CB2FA0" w:rsidP="00694D6D">
      <w:pPr>
        <w:pStyle w:val="ListParagraph"/>
        <w:spacing w:after="0" w:line="360" w:lineRule="auto"/>
        <w:ind w:left="0"/>
        <w:jc w:val="both"/>
        <w:rPr>
          <w:rFonts w:ascii="Times New Roman" w:hAnsi="Times New Roman" w:cs="Times New Roman"/>
          <w:sz w:val="24"/>
          <w:szCs w:val="24"/>
        </w:rPr>
      </w:pPr>
    </w:p>
    <w:p w14:paraId="30C795ED" w14:textId="77777777" w:rsidR="0075422F" w:rsidRPr="00694D6D" w:rsidRDefault="00E34B4F" w:rsidP="00694D6D">
      <w:pPr>
        <w:pStyle w:val="ListParagraph"/>
        <w:numPr>
          <w:ilvl w:val="0"/>
          <w:numId w:val="1"/>
        </w:numPr>
        <w:spacing w:after="0" w:line="360" w:lineRule="auto"/>
        <w:ind w:left="567" w:hanging="567"/>
        <w:jc w:val="both"/>
        <w:rPr>
          <w:rFonts w:ascii="Times New Roman" w:hAnsi="Times New Roman" w:cs="Times New Roman"/>
          <w:b/>
          <w:caps/>
          <w:sz w:val="24"/>
          <w:szCs w:val="24"/>
          <w:lang w:val="en-GB"/>
        </w:rPr>
      </w:pPr>
      <w:r w:rsidRPr="00694D6D">
        <w:rPr>
          <w:rFonts w:ascii="Times New Roman" w:hAnsi="Times New Roman" w:cs="Times New Roman"/>
          <w:b/>
          <w:caps/>
          <w:sz w:val="24"/>
          <w:szCs w:val="24"/>
          <w:lang w:val="en-GB"/>
        </w:rPr>
        <w:t>2018/19</w:t>
      </w:r>
      <w:r w:rsidR="00407F87" w:rsidRPr="00694D6D">
        <w:rPr>
          <w:rFonts w:ascii="Times New Roman" w:hAnsi="Times New Roman" w:cs="Times New Roman"/>
          <w:b/>
          <w:caps/>
          <w:sz w:val="24"/>
          <w:szCs w:val="24"/>
          <w:lang w:val="en-GB"/>
        </w:rPr>
        <w:t xml:space="preserve"> </w:t>
      </w:r>
      <w:r w:rsidR="0075422F" w:rsidRPr="00694D6D">
        <w:rPr>
          <w:rFonts w:ascii="Times New Roman" w:hAnsi="Times New Roman" w:cs="Times New Roman"/>
          <w:b/>
          <w:caps/>
          <w:sz w:val="24"/>
          <w:szCs w:val="24"/>
          <w:lang w:val="en-GB"/>
        </w:rPr>
        <w:t>financial performance</w:t>
      </w:r>
      <w:r w:rsidR="000C7872" w:rsidRPr="00694D6D">
        <w:rPr>
          <w:rFonts w:ascii="Times New Roman" w:hAnsi="Times New Roman" w:cs="Times New Roman"/>
          <w:b/>
          <w:caps/>
          <w:sz w:val="24"/>
          <w:szCs w:val="24"/>
          <w:lang w:val="en-GB"/>
        </w:rPr>
        <w:t xml:space="preserve"> OF THE DEPARTMENT OF SCIENCE AND TECHNOLOGY</w:t>
      </w:r>
    </w:p>
    <w:p w14:paraId="73CF85AD" w14:textId="77777777" w:rsidR="0075422F" w:rsidRPr="00694D6D" w:rsidRDefault="0075422F" w:rsidP="00694D6D">
      <w:pPr>
        <w:pStyle w:val="ListParagraph"/>
        <w:spacing w:after="0" w:line="360" w:lineRule="auto"/>
        <w:ind w:left="0"/>
        <w:jc w:val="both"/>
        <w:rPr>
          <w:rFonts w:ascii="Times New Roman" w:hAnsi="Times New Roman" w:cs="Times New Roman"/>
          <w:sz w:val="24"/>
          <w:szCs w:val="24"/>
          <w:lang w:val="en-GB"/>
        </w:rPr>
      </w:pPr>
    </w:p>
    <w:p w14:paraId="7B484337" w14:textId="77777777" w:rsidR="005A46DB" w:rsidRPr="00694D6D" w:rsidRDefault="005A46DB" w:rsidP="00694D6D">
      <w:pPr>
        <w:pStyle w:val="ListParagraph"/>
        <w:spacing w:after="0" w:line="360" w:lineRule="auto"/>
        <w:ind w:left="0"/>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 xml:space="preserve">The Department’s budget allocation increased by R233.3 million from R7.6 billion in the 2017/18 financial year to </w:t>
      </w:r>
      <w:r w:rsidRPr="00694D6D">
        <w:rPr>
          <w:rFonts w:ascii="Times New Roman" w:hAnsi="Times New Roman" w:cs="Times New Roman"/>
          <w:b/>
          <w:i/>
          <w:sz w:val="24"/>
          <w:szCs w:val="24"/>
          <w:lang w:val="en-GB"/>
        </w:rPr>
        <w:t>R7.8 billion</w:t>
      </w:r>
      <w:r w:rsidRPr="00694D6D">
        <w:rPr>
          <w:rFonts w:ascii="Times New Roman" w:hAnsi="Times New Roman" w:cs="Times New Roman"/>
          <w:sz w:val="24"/>
          <w:szCs w:val="24"/>
          <w:lang w:val="en-GB"/>
        </w:rPr>
        <w:t xml:space="preserve"> in the 2018/19 financial year. This denoted, when adjusted for inflation, a real decrease of 2.3%. The Department’s budget allocation was projected to increase to R8.2 billion in 2019/20 and R8.7 billion in 2020/21. Over the medium-term, Cabinet approved budget reductions of R186.1 million, which would be effected on spending on goods and services, and on the baseline budgets of entities.</w:t>
      </w:r>
    </w:p>
    <w:p w14:paraId="1E47A179" w14:textId="77777777" w:rsidR="005A46DB" w:rsidRPr="00694D6D" w:rsidRDefault="005A46DB" w:rsidP="00694D6D">
      <w:pPr>
        <w:pStyle w:val="ListParagraph"/>
        <w:spacing w:after="0" w:line="360" w:lineRule="auto"/>
        <w:ind w:left="0"/>
        <w:jc w:val="both"/>
        <w:rPr>
          <w:rFonts w:ascii="Times New Roman" w:hAnsi="Times New Roman" w:cs="Times New Roman"/>
          <w:sz w:val="24"/>
          <w:szCs w:val="24"/>
          <w:lang w:val="en-GB"/>
        </w:rPr>
      </w:pPr>
    </w:p>
    <w:p w14:paraId="3D0A689D" w14:textId="77777777" w:rsidR="005A46DB" w:rsidRPr="00694D6D" w:rsidRDefault="005A46DB" w:rsidP="00694D6D">
      <w:pPr>
        <w:pStyle w:val="ListParagraph"/>
        <w:spacing w:after="0" w:line="360" w:lineRule="auto"/>
        <w:ind w:left="0"/>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In terms of economic classification, the apportionment of the Department’s 2018/19 budget allocation of R7.8 billion remained the same as in previous years and comprised Current payments of R603.3 million (7.8%), Transfers and subsidies of R7.2 billion (92%) and Payments for capital assets of R12.2 million (0.2%). The Department received donor funds (official development assistance) from the European Union, Finland and Austria totalling R45 million, and collected revenue totalling R32.7 million from the sale of old, uneconomical vehicles and the return of surplus project funds.</w:t>
      </w:r>
    </w:p>
    <w:p w14:paraId="535C17B7" w14:textId="77777777" w:rsidR="005A46DB" w:rsidRPr="00694D6D" w:rsidRDefault="005A46DB" w:rsidP="00694D6D">
      <w:pPr>
        <w:pStyle w:val="ListParagraph"/>
        <w:spacing w:after="0" w:line="360" w:lineRule="auto"/>
        <w:ind w:left="0"/>
        <w:jc w:val="both"/>
        <w:rPr>
          <w:rFonts w:ascii="Times New Roman" w:hAnsi="Times New Roman" w:cs="Times New Roman"/>
          <w:sz w:val="24"/>
          <w:szCs w:val="24"/>
          <w:lang w:val="en-GB"/>
        </w:rPr>
      </w:pPr>
    </w:p>
    <w:p w14:paraId="0F06A8AA" w14:textId="77777777" w:rsidR="00D8151F" w:rsidRPr="00694D6D" w:rsidRDefault="00D8151F" w:rsidP="00694D6D">
      <w:pPr>
        <w:pStyle w:val="ListParagraph"/>
        <w:spacing w:after="0" w:line="360" w:lineRule="auto"/>
        <w:ind w:left="0"/>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The budget allocation to each Programme comprised:</w:t>
      </w:r>
    </w:p>
    <w:p w14:paraId="0D814BCA" w14:textId="77777777" w:rsidR="00D8151F" w:rsidRPr="00694D6D" w:rsidRDefault="00D8151F" w:rsidP="00694D6D">
      <w:pPr>
        <w:pStyle w:val="ListParagraph"/>
        <w:numPr>
          <w:ilvl w:val="1"/>
          <w:numId w:val="4"/>
        </w:numPr>
        <w:spacing w:after="0" w:line="360" w:lineRule="auto"/>
        <w:ind w:left="567" w:hanging="567"/>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Programme 1– Administration – allocated R383.8 million</w:t>
      </w:r>
    </w:p>
    <w:p w14:paraId="3445498B" w14:textId="77777777" w:rsidR="00D8151F" w:rsidRPr="00694D6D" w:rsidRDefault="00D8151F" w:rsidP="00694D6D">
      <w:pPr>
        <w:pStyle w:val="ListParagraph"/>
        <w:numPr>
          <w:ilvl w:val="1"/>
          <w:numId w:val="4"/>
        </w:numPr>
        <w:spacing w:after="0" w:line="360" w:lineRule="auto"/>
        <w:ind w:left="567" w:hanging="567"/>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Programme 2– Technology Innovation – allocated R1.1 billion</w:t>
      </w:r>
    </w:p>
    <w:p w14:paraId="61232612" w14:textId="77777777" w:rsidR="00D8151F" w:rsidRPr="00694D6D" w:rsidRDefault="00D8151F" w:rsidP="00694D6D">
      <w:pPr>
        <w:pStyle w:val="ListParagraph"/>
        <w:numPr>
          <w:ilvl w:val="1"/>
          <w:numId w:val="4"/>
        </w:numPr>
        <w:spacing w:after="0" w:line="360" w:lineRule="auto"/>
        <w:ind w:left="567" w:hanging="567"/>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Programme 3– International Cooperation and Resources – allocated R136.4 million</w:t>
      </w:r>
    </w:p>
    <w:p w14:paraId="1C7872CF" w14:textId="77777777" w:rsidR="00D8151F" w:rsidRPr="00694D6D" w:rsidRDefault="00D8151F" w:rsidP="00694D6D">
      <w:pPr>
        <w:pStyle w:val="ListParagraph"/>
        <w:numPr>
          <w:ilvl w:val="1"/>
          <w:numId w:val="4"/>
        </w:numPr>
        <w:spacing w:after="0" w:line="360" w:lineRule="auto"/>
        <w:ind w:left="567" w:hanging="567"/>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Programme 4– Research, Development and Support – allocated R4.4 billion</w:t>
      </w:r>
    </w:p>
    <w:p w14:paraId="53D922C0" w14:textId="77777777" w:rsidR="00D8151F" w:rsidRPr="00694D6D" w:rsidRDefault="00D8151F" w:rsidP="00694D6D">
      <w:pPr>
        <w:pStyle w:val="ListParagraph"/>
        <w:numPr>
          <w:ilvl w:val="1"/>
          <w:numId w:val="4"/>
        </w:numPr>
        <w:spacing w:after="0" w:line="360" w:lineRule="auto"/>
        <w:ind w:left="567" w:hanging="567"/>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Programme 5– Socio-economic Innovation Partnerships – allocated R1.8 billion</w:t>
      </w:r>
    </w:p>
    <w:p w14:paraId="4C16F864" w14:textId="77777777" w:rsidR="00D8151F" w:rsidRPr="00694D6D" w:rsidRDefault="00D8151F" w:rsidP="00694D6D">
      <w:pPr>
        <w:pStyle w:val="ListParagraph"/>
        <w:spacing w:after="0" w:line="360" w:lineRule="auto"/>
        <w:ind w:left="0"/>
        <w:jc w:val="both"/>
        <w:rPr>
          <w:rFonts w:ascii="Times New Roman" w:hAnsi="Times New Roman" w:cs="Times New Roman"/>
          <w:sz w:val="24"/>
          <w:szCs w:val="24"/>
          <w:lang w:val="en-GB"/>
        </w:rPr>
      </w:pPr>
    </w:p>
    <w:p w14:paraId="2843E999" w14:textId="77777777" w:rsidR="00D8151F" w:rsidRPr="00694D6D" w:rsidRDefault="00D8151F" w:rsidP="00694D6D">
      <w:pPr>
        <w:pStyle w:val="ListParagraph"/>
        <w:spacing w:after="0" w:line="360" w:lineRule="auto"/>
        <w:ind w:left="0"/>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The budget allocation was aligned to the priorities of strengthening and expanding STI human capital development and ensuring that innovation and knowledge underpin the Government’s growth strategy. Hence, Programmes 2, 4 and 5 as in previous financial years, received 93.3% of the Department’s total budget allocation. The marginal increase in Programme 4’s budget, once adjusted for inflation, represented a real decrease of 5% (the largest across the five programmes), with the Basic Science and Infrastructure sub-programme being subjected to a R49 million decrease in its allocation. Programme 4’s allocation was largely for Transfers and subsidies (R4.3 billion), the bulk of which was transferred to the National Research Foundation (NRF). Budget cuts within Programme 4 meant that the performance targets regarding the number of students who received bursaries, the number of students who received work preparation (interns), and the number of infrastructure grants awarded all had to be reduced.</w:t>
      </w:r>
    </w:p>
    <w:p w14:paraId="5065612E" w14:textId="77777777" w:rsidR="00D8151F" w:rsidRPr="00694D6D" w:rsidRDefault="00D8151F" w:rsidP="00694D6D">
      <w:pPr>
        <w:pStyle w:val="ListParagraph"/>
        <w:spacing w:after="0" w:line="360" w:lineRule="auto"/>
        <w:ind w:left="0"/>
        <w:jc w:val="both"/>
        <w:rPr>
          <w:rFonts w:ascii="Times New Roman" w:hAnsi="Times New Roman" w:cs="Times New Roman"/>
          <w:sz w:val="24"/>
          <w:szCs w:val="24"/>
          <w:lang w:val="en-GB"/>
        </w:rPr>
      </w:pPr>
    </w:p>
    <w:p w14:paraId="5C4E104E" w14:textId="77777777" w:rsidR="00D8151F" w:rsidRPr="00694D6D" w:rsidRDefault="00D8151F" w:rsidP="00694D6D">
      <w:pPr>
        <w:pStyle w:val="ListParagraph"/>
        <w:spacing w:after="0" w:line="360" w:lineRule="auto"/>
        <w:ind w:left="0"/>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During the October 2018 budget adjustment process, the Department’s budget allocation increased to R7.96 billion because of an additional R167.9 million specifically allocated for maintaining and enhancing the research and training activities of the South African Isotopes Facility of the iThemba Laboratory for Accelerator Based Sciences (iThemba LABS).</w:t>
      </w:r>
    </w:p>
    <w:p w14:paraId="39D45E12" w14:textId="77777777" w:rsidR="00D8151F" w:rsidRPr="00694D6D" w:rsidRDefault="00D8151F" w:rsidP="00694D6D">
      <w:pPr>
        <w:pStyle w:val="ListParagraph"/>
        <w:spacing w:after="0" w:line="360" w:lineRule="auto"/>
        <w:ind w:left="0"/>
        <w:jc w:val="both"/>
        <w:rPr>
          <w:rFonts w:ascii="Times New Roman" w:hAnsi="Times New Roman" w:cs="Times New Roman"/>
          <w:sz w:val="24"/>
          <w:szCs w:val="24"/>
          <w:lang w:val="en-GB"/>
        </w:rPr>
      </w:pPr>
    </w:p>
    <w:p w14:paraId="2329BB4C" w14:textId="77777777" w:rsidR="00D8151F" w:rsidRPr="00694D6D" w:rsidRDefault="00D8151F" w:rsidP="00694D6D">
      <w:pPr>
        <w:pStyle w:val="ListParagraph"/>
        <w:spacing w:after="0" w:line="360" w:lineRule="auto"/>
        <w:ind w:left="0"/>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 xml:space="preserve">The Department effected virements </w:t>
      </w:r>
      <w:r w:rsidR="00F35966" w:rsidRPr="00694D6D">
        <w:rPr>
          <w:rFonts w:ascii="Times New Roman" w:hAnsi="Times New Roman" w:cs="Times New Roman"/>
          <w:sz w:val="24"/>
          <w:szCs w:val="24"/>
          <w:lang w:val="en-GB"/>
        </w:rPr>
        <w:t xml:space="preserve">that </w:t>
      </w:r>
      <w:r w:rsidRPr="00694D6D">
        <w:rPr>
          <w:rFonts w:ascii="Times New Roman" w:hAnsi="Times New Roman" w:cs="Times New Roman"/>
          <w:sz w:val="24"/>
          <w:szCs w:val="24"/>
          <w:lang w:val="en-GB"/>
        </w:rPr>
        <w:t>amount</w:t>
      </w:r>
      <w:r w:rsidR="00F35966" w:rsidRPr="00694D6D">
        <w:rPr>
          <w:rFonts w:ascii="Times New Roman" w:hAnsi="Times New Roman" w:cs="Times New Roman"/>
          <w:sz w:val="24"/>
          <w:szCs w:val="24"/>
          <w:lang w:val="en-GB"/>
        </w:rPr>
        <w:t xml:space="preserve">ed to </w:t>
      </w:r>
      <w:r w:rsidRPr="00694D6D">
        <w:rPr>
          <w:rFonts w:ascii="Times New Roman" w:hAnsi="Times New Roman" w:cs="Times New Roman"/>
          <w:sz w:val="24"/>
          <w:szCs w:val="24"/>
          <w:lang w:val="en-GB"/>
        </w:rPr>
        <w:t>R73.4 million after the budget adjustment process, which represented 1% of the adjusted budget. An amount of R145 000 was moved between major items and R31 million was moved between Programmes. R58.9 million was shifted within Transfers and subsidies to fund the International Centre for Genetic Engineering and Biotechnology</w:t>
      </w:r>
      <w:r w:rsidR="005D258D" w:rsidRPr="00694D6D">
        <w:rPr>
          <w:rFonts w:ascii="Times New Roman" w:hAnsi="Times New Roman" w:cs="Times New Roman"/>
          <w:sz w:val="24"/>
          <w:szCs w:val="24"/>
          <w:lang w:val="en-GB"/>
        </w:rPr>
        <w:t>’s</w:t>
      </w:r>
      <w:r w:rsidRPr="00694D6D">
        <w:rPr>
          <w:rFonts w:ascii="Times New Roman" w:hAnsi="Times New Roman" w:cs="Times New Roman"/>
          <w:sz w:val="24"/>
          <w:szCs w:val="24"/>
          <w:lang w:val="en-GB"/>
        </w:rPr>
        <w:t xml:space="preserve"> operations (as in previous years), intellectual property creator incentives, manufacturing of products and technology transfer related to indigenous knowledge systems, satellite launching capability and the South African Earth Observation Strategy.</w:t>
      </w:r>
    </w:p>
    <w:p w14:paraId="13031586" w14:textId="77777777" w:rsidR="00D8151F" w:rsidRPr="00694D6D" w:rsidRDefault="00D8151F" w:rsidP="00694D6D">
      <w:pPr>
        <w:pStyle w:val="ListParagraph"/>
        <w:spacing w:after="0" w:line="360" w:lineRule="auto"/>
        <w:ind w:left="0"/>
        <w:jc w:val="both"/>
        <w:rPr>
          <w:rFonts w:ascii="Times New Roman" w:hAnsi="Times New Roman" w:cs="Times New Roman"/>
          <w:sz w:val="24"/>
          <w:szCs w:val="24"/>
          <w:lang w:val="en-GB"/>
        </w:rPr>
      </w:pPr>
    </w:p>
    <w:p w14:paraId="785D7105" w14:textId="77777777" w:rsidR="00395F52" w:rsidRPr="00694D6D" w:rsidRDefault="00D8151F" w:rsidP="00694D6D">
      <w:pPr>
        <w:pStyle w:val="ListParagraph"/>
        <w:spacing w:after="0" w:line="360" w:lineRule="auto"/>
        <w:ind w:left="0"/>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 xml:space="preserve">The Department spent 99.2% (i.e. R7.89 billion of R7.96 billion, underspending by R66.5 million) of its 2018/19 budget (99.1% in 2017/18). Table 1 shows the expenditure by Programme and Economic classification. The variances in expenditure occurring in Programme 1 </w:t>
      </w:r>
      <w:r w:rsidR="009E3736" w:rsidRPr="00694D6D">
        <w:rPr>
          <w:rFonts w:ascii="Times New Roman" w:hAnsi="Times New Roman" w:cs="Times New Roman"/>
          <w:sz w:val="24"/>
          <w:szCs w:val="24"/>
          <w:lang w:val="en-GB"/>
        </w:rPr>
        <w:t>wa</w:t>
      </w:r>
      <w:r w:rsidRPr="00694D6D">
        <w:rPr>
          <w:rFonts w:ascii="Times New Roman" w:hAnsi="Times New Roman" w:cs="Times New Roman"/>
          <w:sz w:val="24"/>
          <w:szCs w:val="24"/>
          <w:lang w:val="en-GB"/>
        </w:rPr>
        <w:t xml:space="preserve">s due to the delays in filling identified critical posts, the cancellation of events, the discontinuation of the roof replacement, the savings on audit fees, and the delays in finalising an agreement for Microsoft licences. In Programme 2 the variance in expenditure </w:t>
      </w:r>
      <w:r w:rsidR="009E3736" w:rsidRPr="00694D6D">
        <w:rPr>
          <w:rFonts w:ascii="Times New Roman" w:hAnsi="Times New Roman" w:cs="Times New Roman"/>
          <w:sz w:val="24"/>
          <w:szCs w:val="24"/>
          <w:lang w:val="en-GB"/>
        </w:rPr>
        <w:t>wa</w:t>
      </w:r>
      <w:r w:rsidRPr="00694D6D">
        <w:rPr>
          <w:rFonts w:ascii="Times New Roman" w:hAnsi="Times New Roman" w:cs="Times New Roman"/>
          <w:sz w:val="24"/>
          <w:szCs w:val="24"/>
          <w:lang w:val="en-GB"/>
        </w:rPr>
        <w:t xml:space="preserve">s due to the late receipt of invoices for travel and subsistence and the hosting of the Indigenous Knowledge Bio-innovation Programme. In Programme 5 the variance in expenditure </w:t>
      </w:r>
      <w:r w:rsidR="009E3736" w:rsidRPr="00694D6D">
        <w:rPr>
          <w:rFonts w:ascii="Times New Roman" w:hAnsi="Times New Roman" w:cs="Times New Roman"/>
          <w:sz w:val="24"/>
          <w:szCs w:val="24"/>
          <w:lang w:val="en-GB"/>
        </w:rPr>
        <w:t>wa</w:t>
      </w:r>
      <w:r w:rsidRPr="00694D6D">
        <w:rPr>
          <w:rFonts w:ascii="Times New Roman" w:hAnsi="Times New Roman" w:cs="Times New Roman"/>
          <w:sz w:val="24"/>
          <w:szCs w:val="24"/>
          <w:lang w:val="en-GB"/>
        </w:rPr>
        <w:t>s due to the postponement of the intellectual property and technology transfer survey projects.</w:t>
      </w:r>
      <w:r w:rsidR="0000769B" w:rsidRPr="00694D6D">
        <w:rPr>
          <w:rFonts w:ascii="Times New Roman" w:hAnsi="Times New Roman" w:cs="Times New Roman"/>
          <w:sz w:val="24"/>
          <w:szCs w:val="24"/>
          <w:lang w:val="en-GB"/>
        </w:rPr>
        <w:t xml:space="preserve"> </w:t>
      </w:r>
      <w:r w:rsidR="00395F52" w:rsidRPr="00694D6D">
        <w:rPr>
          <w:rFonts w:ascii="Times New Roman" w:hAnsi="Times New Roman" w:cs="Times New Roman"/>
          <w:sz w:val="24"/>
          <w:szCs w:val="24"/>
          <w:lang w:val="en-GB"/>
        </w:rPr>
        <w:t xml:space="preserve">The variance in expenditure in terms of Current payments </w:t>
      </w:r>
      <w:r w:rsidR="009E3736" w:rsidRPr="00694D6D">
        <w:rPr>
          <w:rFonts w:ascii="Times New Roman" w:hAnsi="Times New Roman" w:cs="Times New Roman"/>
          <w:sz w:val="24"/>
          <w:szCs w:val="24"/>
          <w:lang w:val="en-GB"/>
        </w:rPr>
        <w:t>wa</w:t>
      </w:r>
      <w:r w:rsidR="00395F52" w:rsidRPr="00694D6D">
        <w:rPr>
          <w:rFonts w:ascii="Times New Roman" w:hAnsi="Times New Roman" w:cs="Times New Roman"/>
          <w:sz w:val="24"/>
          <w:szCs w:val="24"/>
          <w:lang w:val="en-GB"/>
        </w:rPr>
        <w:t xml:space="preserve">s due to underspending in Programme 1 on employee compensation and goods and services. In Programmes 2 and 5, the variance in expenditure in terms of Current payments </w:t>
      </w:r>
      <w:r w:rsidR="009E3736" w:rsidRPr="00694D6D">
        <w:rPr>
          <w:rFonts w:ascii="Times New Roman" w:hAnsi="Times New Roman" w:cs="Times New Roman"/>
          <w:sz w:val="24"/>
          <w:szCs w:val="24"/>
          <w:lang w:val="en-GB"/>
        </w:rPr>
        <w:t>wa</w:t>
      </w:r>
      <w:r w:rsidR="00395F52" w:rsidRPr="00694D6D">
        <w:rPr>
          <w:rFonts w:ascii="Times New Roman" w:hAnsi="Times New Roman" w:cs="Times New Roman"/>
          <w:sz w:val="24"/>
          <w:szCs w:val="24"/>
          <w:lang w:val="en-GB"/>
        </w:rPr>
        <w:t xml:space="preserve">s due to underspending on goods and services. The variance in expenditure in terms of Payment for capital assets </w:t>
      </w:r>
      <w:r w:rsidR="009E3736" w:rsidRPr="00694D6D">
        <w:rPr>
          <w:rFonts w:ascii="Times New Roman" w:hAnsi="Times New Roman" w:cs="Times New Roman"/>
          <w:sz w:val="24"/>
          <w:szCs w:val="24"/>
          <w:lang w:val="en-GB"/>
        </w:rPr>
        <w:t>wa</w:t>
      </w:r>
      <w:r w:rsidR="00395F52" w:rsidRPr="00694D6D">
        <w:rPr>
          <w:rFonts w:ascii="Times New Roman" w:hAnsi="Times New Roman" w:cs="Times New Roman"/>
          <w:sz w:val="24"/>
          <w:szCs w:val="24"/>
          <w:lang w:val="en-GB"/>
        </w:rPr>
        <w:t xml:space="preserve">s </w:t>
      </w:r>
      <w:r w:rsidR="00CD3F79" w:rsidRPr="00694D6D">
        <w:rPr>
          <w:rFonts w:ascii="Times New Roman" w:hAnsi="Times New Roman" w:cs="Times New Roman"/>
          <w:sz w:val="24"/>
          <w:szCs w:val="24"/>
          <w:lang w:val="en-GB"/>
        </w:rPr>
        <w:t xml:space="preserve">largely </w:t>
      </w:r>
      <w:r w:rsidR="00395F52" w:rsidRPr="00694D6D">
        <w:rPr>
          <w:rFonts w:ascii="Times New Roman" w:hAnsi="Times New Roman" w:cs="Times New Roman"/>
          <w:sz w:val="24"/>
          <w:szCs w:val="24"/>
          <w:lang w:val="en-GB"/>
        </w:rPr>
        <w:t xml:space="preserve">due to underspending </w:t>
      </w:r>
      <w:r w:rsidR="006C6A22" w:rsidRPr="00694D6D">
        <w:rPr>
          <w:rFonts w:ascii="Times New Roman" w:hAnsi="Times New Roman" w:cs="Times New Roman"/>
          <w:sz w:val="24"/>
          <w:szCs w:val="24"/>
          <w:lang w:val="en-GB"/>
        </w:rPr>
        <w:t xml:space="preserve">on machinery and equipment </w:t>
      </w:r>
      <w:r w:rsidR="00395F52" w:rsidRPr="00694D6D">
        <w:rPr>
          <w:rFonts w:ascii="Times New Roman" w:hAnsi="Times New Roman" w:cs="Times New Roman"/>
          <w:sz w:val="24"/>
          <w:szCs w:val="24"/>
          <w:lang w:val="en-GB"/>
        </w:rPr>
        <w:t>in Programme 1</w:t>
      </w:r>
      <w:r w:rsidR="006C6A22" w:rsidRPr="00694D6D">
        <w:rPr>
          <w:rFonts w:ascii="Times New Roman" w:hAnsi="Times New Roman" w:cs="Times New Roman"/>
          <w:sz w:val="24"/>
          <w:szCs w:val="24"/>
          <w:lang w:val="en-GB"/>
        </w:rPr>
        <w:t>.</w:t>
      </w:r>
      <w:r w:rsidR="00AF485E" w:rsidRPr="00694D6D">
        <w:rPr>
          <w:rFonts w:ascii="Times New Roman" w:hAnsi="Times New Roman" w:cs="Times New Roman"/>
          <w:sz w:val="24"/>
          <w:szCs w:val="24"/>
          <w:lang w:val="en-GB"/>
        </w:rPr>
        <w:t xml:space="preserve"> The Department anticipated that it would underspend on goods and services as a result of R650 000 that was not requested from the National Treasury.</w:t>
      </w:r>
      <w:r w:rsidR="0000769B" w:rsidRPr="00694D6D">
        <w:rPr>
          <w:rFonts w:ascii="Times New Roman" w:hAnsi="Times New Roman" w:cs="Times New Roman"/>
          <w:sz w:val="24"/>
          <w:szCs w:val="24"/>
          <w:lang w:val="en-GB"/>
        </w:rPr>
        <w:t xml:space="preserve"> The Department continued to ensure that they paid all their suppliers within the prescribed period, taking an average of nine days to settle the payments due.</w:t>
      </w:r>
    </w:p>
    <w:p w14:paraId="33C5C7A0" w14:textId="77777777" w:rsidR="00426F2E" w:rsidRPr="00694D6D" w:rsidRDefault="00426F2E" w:rsidP="00694D6D">
      <w:pPr>
        <w:pStyle w:val="ListParagraph"/>
        <w:spacing w:after="0" w:line="360" w:lineRule="auto"/>
        <w:ind w:left="0"/>
        <w:jc w:val="both"/>
        <w:rPr>
          <w:rFonts w:ascii="Times New Roman" w:hAnsi="Times New Roman" w:cs="Times New Roman"/>
          <w:sz w:val="24"/>
          <w:szCs w:val="24"/>
          <w:lang w:val="en-GB"/>
        </w:rPr>
      </w:pPr>
    </w:p>
    <w:p w14:paraId="458813E0" w14:textId="77777777" w:rsidR="00F64195" w:rsidRPr="00694D6D" w:rsidRDefault="00F64195" w:rsidP="00694D6D">
      <w:pPr>
        <w:spacing w:after="0" w:line="360" w:lineRule="auto"/>
        <w:jc w:val="both"/>
        <w:rPr>
          <w:rFonts w:ascii="Times New Roman" w:hAnsi="Times New Roman" w:cs="Times New Roman"/>
          <w:b/>
          <w:sz w:val="24"/>
          <w:szCs w:val="24"/>
          <w:lang w:val="en-GB"/>
        </w:rPr>
      </w:pPr>
      <w:r w:rsidRPr="00694D6D">
        <w:rPr>
          <w:rFonts w:ascii="Times New Roman" w:hAnsi="Times New Roman" w:cs="Times New Roman"/>
          <w:b/>
          <w:sz w:val="24"/>
          <w:szCs w:val="24"/>
          <w:lang w:val="en-GB"/>
        </w:rPr>
        <w:t>Table 1:</w:t>
      </w:r>
      <w:r w:rsidRPr="00694D6D">
        <w:rPr>
          <w:rFonts w:ascii="Times New Roman" w:hAnsi="Times New Roman" w:cs="Times New Roman"/>
          <w:sz w:val="24"/>
          <w:szCs w:val="24"/>
          <w:lang w:val="en-GB"/>
        </w:rPr>
        <w:tab/>
      </w:r>
      <w:r w:rsidRPr="00694D6D">
        <w:rPr>
          <w:rFonts w:ascii="Times New Roman" w:hAnsi="Times New Roman" w:cs="Times New Roman"/>
          <w:b/>
          <w:sz w:val="24"/>
          <w:szCs w:val="24"/>
          <w:lang w:val="en-GB"/>
        </w:rPr>
        <w:t xml:space="preserve">Overview of the Department’s </w:t>
      </w:r>
      <w:r w:rsidR="00E34B4F" w:rsidRPr="00694D6D">
        <w:rPr>
          <w:rFonts w:ascii="Times New Roman" w:hAnsi="Times New Roman" w:cs="Times New Roman"/>
          <w:b/>
          <w:sz w:val="24"/>
          <w:szCs w:val="24"/>
          <w:lang w:val="en-GB"/>
        </w:rPr>
        <w:t>2018/19</w:t>
      </w:r>
      <w:r w:rsidRPr="00694D6D">
        <w:rPr>
          <w:rFonts w:ascii="Times New Roman" w:hAnsi="Times New Roman" w:cs="Times New Roman"/>
          <w:b/>
          <w:sz w:val="24"/>
          <w:szCs w:val="24"/>
          <w:lang w:val="en-GB"/>
        </w:rPr>
        <w:t xml:space="preserve"> allocation and expenditure</w:t>
      </w:r>
    </w:p>
    <w:tbl>
      <w:tblPr>
        <w:tblStyle w:val="TableGrid"/>
        <w:tblW w:w="5000" w:type="pct"/>
        <w:tblLook w:val="04A0" w:firstRow="1" w:lastRow="0" w:firstColumn="1" w:lastColumn="0" w:noHBand="0" w:noVBand="1"/>
      </w:tblPr>
      <w:tblGrid>
        <w:gridCol w:w="2023"/>
        <w:gridCol w:w="1657"/>
        <w:gridCol w:w="1657"/>
        <w:gridCol w:w="1443"/>
        <w:gridCol w:w="1417"/>
        <w:gridCol w:w="1657"/>
      </w:tblGrid>
      <w:tr w:rsidR="00334976" w:rsidRPr="00694D6D" w14:paraId="662A2F18" w14:textId="77777777" w:rsidTr="00185C80">
        <w:trPr>
          <w:trHeight w:val="811"/>
        </w:trPr>
        <w:tc>
          <w:tcPr>
            <w:tcW w:w="1031" w:type="pct"/>
            <w:shd w:val="clear" w:color="auto" w:fill="C2D69B" w:themeFill="accent3" w:themeFillTint="99"/>
            <w:vAlign w:val="center"/>
          </w:tcPr>
          <w:p w14:paraId="106F4E8C" w14:textId="77777777" w:rsidR="00334976" w:rsidRPr="00694D6D" w:rsidRDefault="00334976" w:rsidP="00694D6D">
            <w:pPr>
              <w:spacing w:line="360" w:lineRule="auto"/>
              <w:jc w:val="center"/>
              <w:rPr>
                <w:rFonts w:ascii="Times New Roman" w:hAnsi="Times New Roman" w:cs="Times New Roman"/>
                <w:b/>
                <w:sz w:val="24"/>
                <w:szCs w:val="24"/>
                <w:lang w:val="en-GB"/>
              </w:rPr>
            </w:pPr>
            <w:r w:rsidRPr="00694D6D">
              <w:rPr>
                <w:rFonts w:ascii="Times New Roman" w:hAnsi="Times New Roman" w:cs="Times New Roman"/>
                <w:b/>
                <w:sz w:val="24"/>
                <w:szCs w:val="24"/>
                <w:lang w:val="en-GB"/>
              </w:rPr>
              <w:t>Programme</w:t>
            </w:r>
          </w:p>
        </w:tc>
        <w:tc>
          <w:tcPr>
            <w:tcW w:w="840" w:type="pct"/>
            <w:shd w:val="clear" w:color="auto" w:fill="C2D69B" w:themeFill="accent3" w:themeFillTint="99"/>
          </w:tcPr>
          <w:p w14:paraId="1924FFFE" w14:textId="77777777" w:rsidR="00334976" w:rsidRPr="00694D6D" w:rsidRDefault="00334976" w:rsidP="00694D6D">
            <w:pPr>
              <w:spacing w:line="360" w:lineRule="auto"/>
              <w:jc w:val="center"/>
              <w:rPr>
                <w:rFonts w:ascii="Times New Roman" w:hAnsi="Times New Roman" w:cs="Times New Roman"/>
                <w:b/>
                <w:sz w:val="24"/>
                <w:szCs w:val="24"/>
                <w:lang w:val="en-GB"/>
              </w:rPr>
            </w:pPr>
            <w:r w:rsidRPr="00694D6D">
              <w:rPr>
                <w:rFonts w:ascii="Times New Roman" w:hAnsi="Times New Roman" w:cs="Times New Roman"/>
                <w:b/>
                <w:sz w:val="24"/>
                <w:szCs w:val="24"/>
                <w:lang w:val="en-GB"/>
              </w:rPr>
              <w:t>Main appropriation</w:t>
            </w:r>
          </w:p>
          <w:p w14:paraId="3B7D706A" w14:textId="77777777" w:rsidR="00334976" w:rsidRPr="00694D6D" w:rsidRDefault="00334976" w:rsidP="00694D6D">
            <w:pPr>
              <w:spacing w:line="360" w:lineRule="auto"/>
              <w:jc w:val="center"/>
              <w:rPr>
                <w:rFonts w:ascii="Times New Roman" w:hAnsi="Times New Roman" w:cs="Times New Roman"/>
                <w:b/>
                <w:sz w:val="24"/>
                <w:szCs w:val="24"/>
                <w:lang w:val="en-GB"/>
              </w:rPr>
            </w:pPr>
            <w:r w:rsidRPr="00694D6D">
              <w:rPr>
                <w:rFonts w:ascii="Times New Roman" w:hAnsi="Times New Roman" w:cs="Times New Roman"/>
                <w:b/>
                <w:sz w:val="24"/>
                <w:szCs w:val="24"/>
                <w:lang w:val="en-GB"/>
              </w:rPr>
              <w:t>R’thousand</w:t>
            </w:r>
          </w:p>
        </w:tc>
        <w:tc>
          <w:tcPr>
            <w:tcW w:w="840" w:type="pct"/>
            <w:shd w:val="clear" w:color="auto" w:fill="C2D69B" w:themeFill="accent3" w:themeFillTint="99"/>
            <w:vAlign w:val="center"/>
          </w:tcPr>
          <w:p w14:paraId="564E74BD" w14:textId="77777777" w:rsidR="00334976" w:rsidRPr="00694D6D" w:rsidRDefault="00334976" w:rsidP="00694D6D">
            <w:pPr>
              <w:spacing w:line="360" w:lineRule="auto"/>
              <w:jc w:val="center"/>
              <w:rPr>
                <w:rFonts w:ascii="Times New Roman" w:hAnsi="Times New Roman" w:cs="Times New Roman"/>
                <w:b/>
                <w:sz w:val="24"/>
                <w:szCs w:val="24"/>
                <w:lang w:val="en-GB"/>
              </w:rPr>
            </w:pPr>
            <w:r w:rsidRPr="00694D6D">
              <w:rPr>
                <w:rFonts w:ascii="Times New Roman" w:hAnsi="Times New Roman" w:cs="Times New Roman"/>
                <w:b/>
                <w:sz w:val="24"/>
                <w:szCs w:val="24"/>
                <w:lang w:val="en-GB"/>
              </w:rPr>
              <w:t>Final appropriation</w:t>
            </w:r>
          </w:p>
          <w:p w14:paraId="1AE15586" w14:textId="77777777" w:rsidR="00334976" w:rsidRPr="00694D6D" w:rsidRDefault="00334976" w:rsidP="00694D6D">
            <w:pPr>
              <w:spacing w:line="360" w:lineRule="auto"/>
              <w:jc w:val="center"/>
              <w:rPr>
                <w:rFonts w:ascii="Times New Roman" w:hAnsi="Times New Roman" w:cs="Times New Roman"/>
                <w:b/>
                <w:sz w:val="24"/>
                <w:szCs w:val="24"/>
                <w:lang w:val="en-GB"/>
              </w:rPr>
            </w:pPr>
            <w:r w:rsidRPr="00694D6D">
              <w:rPr>
                <w:rFonts w:ascii="Times New Roman" w:hAnsi="Times New Roman" w:cs="Times New Roman"/>
                <w:b/>
                <w:sz w:val="24"/>
                <w:szCs w:val="24"/>
                <w:lang w:val="en-GB"/>
              </w:rPr>
              <w:t>R’thousand</w:t>
            </w:r>
          </w:p>
        </w:tc>
        <w:tc>
          <w:tcPr>
            <w:tcW w:w="731" w:type="pct"/>
            <w:shd w:val="clear" w:color="auto" w:fill="C2D69B" w:themeFill="accent3" w:themeFillTint="99"/>
            <w:vAlign w:val="center"/>
          </w:tcPr>
          <w:p w14:paraId="519AA782" w14:textId="77777777" w:rsidR="00334976" w:rsidRPr="00694D6D" w:rsidRDefault="00334976" w:rsidP="00694D6D">
            <w:pPr>
              <w:spacing w:line="360" w:lineRule="auto"/>
              <w:jc w:val="center"/>
              <w:rPr>
                <w:rFonts w:ascii="Times New Roman" w:hAnsi="Times New Roman" w:cs="Times New Roman"/>
                <w:b/>
                <w:sz w:val="24"/>
                <w:szCs w:val="24"/>
                <w:lang w:val="en-GB"/>
              </w:rPr>
            </w:pPr>
            <w:r w:rsidRPr="00694D6D">
              <w:rPr>
                <w:rFonts w:ascii="Times New Roman" w:hAnsi="Times New Roman" w:cs="Times New Roman"/>
                <w:b/>
                <w:sz w:val="24"/>
                <w:szCs w:val="24"/>
                <w:lang w:val="en-GB"/>
              </w:rPr>
              <w:t>Actual expenditure</w:t>
            </w:r>
          </w:p>
          <w:p w14:paraId="3518F80D" w14:textId="77777777" w:rsidR="00334976" w:rsidRPr="00694D6D" w:rsidRDefault="00334976" w:rsidP="00694D6D">
            <w:pPr>
              <w:spacing w:line="360" w:lineRule="auto"/>
              <w:jc w:val="center"/>
              <w:rPr>
                <w:rFonts w:ascii="Times New Roman" w:hAnsi="Times New Roman" w:cs="Times New Roman"/>
                <w:b/>
                <w:sz w:val="24"/>
                <w:szCs w:val="24"/>
                <w:lang w:val="en-GB"/>
              </w:rPr>
            </w:pPr>
            <w:r w:rsidRPr="00694D6D">
              <w:rPr>
                <w:rFonts w:ascii="Times New Roman" w:hAnsi="Times New Roman" w:cs="Times New Roman"/>
                <w:b/>
                <w:sz w:val="24"/>
                <w:szCs w:val="24"/>
                <w:lang w:val="en-GB"/>
              </w:rPr>
              <w:t>R’thousand</w:t>
            </w:r>
          </w:p>
        </w:tc>
        <w:tc>
          <w:tcPr>
            <w:tcW w:w="718" w:type="pct"/>
            <w:shd w:val="clear" w:color="auto" w:fill="C2D69B" w:themeFill="accent3" w:themeFillTint="99"/>
            <w:vAlign w:val="center"/>
          </w:tcPr>
          <w:p w14:paraId="19F0CBB0" w14:textId="77777777" w:rsidR="00334976" w:rsidRPr="00694D6D" w:rsidRDefault="00334976" w:rsidP="00694D6D">
            <w:pPr>
              <w:spacing w:line="360" w:lineRule="auto"/>
              <w:jc w:val="center"/>
              <w:rPr>
                <w:rFonts w:ascii="Times New Roman" w:hAnsi="Times New Roman" w:cs="Times New Roman"/>
                <w:b/>
                <w:sz w:val="24"/>
                <w:szCs w:val="24"/>
                <w:lang w:val="en-GB"/>
              </w:rPr>
            </w:pPr>
            <w:r w:rsidRPr="00694D6D">
              <w:rPr>
                <w:rFonts w:ascii="Times New Roman" w:hAnsi="Times New Roman" w:cs="Times New Roman"/>
                <w:b/>
                <w:sz w:val="24"/>
                <w:szCs w:val="24"/>
                <w:lang w:val="en-GB"/>
              </w:rPr>
              <w:t>Variance</w:t>
            </w:r>
          </w:p>
          <w:p w14:paraId="45C2E4EC" w14:textId="77777777" w:rsidR="00334976" w:rsidRPr="00694D6D" w:rsidRDefault="00334976" w:rsidP="00694D6D">
            <w:pPr>
              <w:spacing w:line="360" w:lineRule="auto"/>
              <w:jc w:val="center"/>
              <w:rPr>
                <w:rFonts w:ascii="Times New Roman" w:hAnsi="Times New Roman" w:cs="Times New Roman"/>
                <w:b/>
                <w:sz w:val="24"/>
                <w:szCs w:val="24"/>
                <w:lang w:val="en-GB"/>
              </w:rPr>
            </w:pPr>
            <w:r w:rsidRPr="00694D6D">
              <w:rPr>
                <w:rFonts w:ascii="Times New Roman" w:hAnsi="Times New Roman" w:cs="Times New Roman"/>
                <w:b/>
                <w:sz w:val="24"/>
                <w:szCs w:val="24"/>
                <w:lang w:val="en-GB"/>
              </w:rPr>
              <w:t>R’thousand</w:t>
            </w:r>
          </w:p>
        </w:tc>
        <w:tc>
          <w:tcPr>
            <w:tcW w:w="840" w:type="pct"/>
            <w:shd w:val="clear" w:color="auto" w:fill="C2D69B" w:themeFill="accent3" w:themeFillTint="99"/>
          </w:tcPr>
          <w:p w14:paraId="60D4FE3C" w14:textId="77777777" w:rsidR="00334976" w:rsidRPr="00694D6D" w:rsidRDefault="00334976" w:rsidP="00694D6D">
            <w:pPr>
              <w:spacing w:line="360" w:lineRule="auto"/>
              <w:jc w:val="center"/>
              <w:rPr>
                <w:rFonts w:ascii="Times New Roman" w:hAnsi="Times New Roman" w:cs="Times New Roman"/>
                <w:b/>
                <w:sz w:val="24"/>
                <w:szCs w:val="24"/>
                <w:lang w:val="en-GB"/>
              </w:rPr>
            </w:pPr>
            <w:r w:rsidRPr="00694D6D">
              <w:rPr>
                <w:rFonts w:ascii="Times New Roman" w:hAnsi="Times New Roman" w:cs="Times New Roman"/>
                <w:b/>
                <w:sz w:val="24"/>
                <w:szCs w:val="24"/>
                <w:lang w:val="en-GB"/>
              </w:rPr>
              <w:t>Expenditure as % of final appropriation</w:t>
            </w:r>
          </w:p>
        </w:tc>
      </w:tr>
      <w:tr w:rsidR="00334976" w:rsidRPr="00694D6D" w14:paraId="058FFA9A" w14:textId="77777777" w:rsidTr="00185C80">
        <w:tc>
          <w:tcPr>
            <w:tcW w:w="1031" w:type="pct"/>
          </w:tcPr>
          <w:p w14:paraId="7B5D89C0" w14:textId="77777777" w:rsidR="00334976" w:rsidRPr="00694D6D" w:rsidRDefault="00334976" w:rsidP="00694D6D">
            <w:pPr>
              <w:spacing w:line="360" w:lineRule="auto"/>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Programme 1 – Administration</w:t>
            </w:r>
          </w:p>
        </w:tc>
        <w:tc>
          <w:tcPr>
            <w:tcW w:w="840" w:type="pct"/>
            <w:vAlign w:val="center"/>
          </w:tcPr>
          <w:p w14:paraId="4E7A8961" w14:textId="77777777" w:rsidR="00334976" w:rsidRPr="00694D6D" w:rsidRDefault="00334976" w:rsidP="00694D6D">
            <w:pPr>
              <w:spacing w:line="360" w:lineRule="auto"/>
              <w:jc w:val="right"/>
              <w:rPr>
                <w:rFonts w:ascii="Times New Roman" w:hAnsi="Times New Roman" w:cs="Times New Roman"/>
                <w:sz w:val="24"/>
                <w:szCs w:val="24"/>
                <w:lang w:val="en-GB"/>
              </w:rPr>
            </w:pPr>
            <w:r w:rsidRPr="00694D6D">
              <w:rPr>
                <w:rFonts w:ascii="Times New Roman" w:hAnsi="Times New Roman" w:cs="Times New Roman"/>
                <w:sz w:val="24"/>
                <w:szCs w:val="24"/>
                <w:lang w:val="en-GB"/>
              </w:rPr>
              <w:t>383 802</w:t>
            </w:r>
          </w:p>
        </w:tc>
        <w:tc>
          <w:tcPr>
            <w:tcW w:w="840" w:type="pct"/>
            <w:vAlign w:val="center"/>
          </w:tcPr>
          <w:p w14:paraId="4DF5272D" w14:textId="77777777" w:rsidR="00334976" w:rsidRPr="00694D6D" w:rsidRDefault="00334976" w:rsidP="00694D6D">
            <w:pPr>
              <w:spacing w:line="360" w:lineRule="auto"/>
              <w:jc w:val="right"/>
              <w:rPr>
                <w:rFonts w:ascii="Times New Roman" w:hAnsi="Times New Roman" w:cs="Times New Roman"/>
                <w:sz w:val="24"/>
                <w:szCs w:val="24"/>
                <w:lang w:val="en-GB"/>
              </w:rPr>
            </w:pPr>
            <w:r w:rsidRPr="00694D6D">
              <w:rPr>
                <w:rFonts w:ascii="Times New Roman" w:hAnsi="Times New Roman" w:cs="Times New Roman"/>
                <w:sz w:val="24"/>
                <w:szCs w:val="24"/>
                <w:lang w:val="en-GB"/>
              </w:rPr>
              <w:t>380 349</w:t>
            </w:r>
          </w:p>
        </w:tc>
        <w:tc>
          <w:tcPr>
            <w:tcW w:w="731" w:type="pct"/>
            <w:vAlign w:val="center"/>
          </w:tcPr>
          <w:p w14:paraId="50ECDA7D" w14:textId="77777777" w:rsidR="00334976" w:rsidRPr="00694D6D" w:rsidRDefault="00334976" w:rsidP="00694D6D">
            <w:pPr>
              <w:spacing w:line="360" w:lineRule="auto"/>
              <w:jc w:val="right"/>
              <w:rPr>
                <w:rFonts w:ascii="Times New Roman" w:hAnsi="Times New Roman" w:cs="Times New Roman"/>
                <w:sz w:val="24"/>
                <w:szCs w:val="24"/>
                <w:lang w:val="en-GB"/>
              </w:rPr>
            </w:pPr>
            <w:r w:rsidRPr="00694D6D">
              <w:rPr>
                <w:rFonts w:ascii="Times New Roman" w:hAnsi="Times New Roman" w:cs="Times New Roman"/>
                <w:sz w:val="24"/>
                <w:szCs w:val="24"/>
                <w:lang w:val="en-GB"/>
              </w:rPr>
              <w:t>340 493</w:t>
            </w:r>
          </w:p>
        </w:tc>
        <w:tc>
          <w:tcPr>
            <w:tcW w:w="718" w:type="pct"/>
            <w:vAlign w:val="center"/>
          </w:tcPr>
          <w:p w14:paraId="2986D1E4" w14:textId="77777777" w:rsidR="00334976" w:rsidRPr="00694D6D" w:rsidRDefault="00334976" w:rsidP="00694D6D">
            <w:pPr>
              <w:spacing w:line="360" w:lineRule="auto"/>
              <w:jc w:val="right"/>
              <w:rPr>
                <w:rFonts w:ascii="Times New Roman" w:hAnsi="Times New Roman" w:cs="Times New Roman"/>
                <w:sz w:val="24"/>
                <w:szCs w:val="24"/>
                <w:lang w:val="en-GB"/>
              </w:rPr>
            </w:pPr>
            <w:r w:rsidRPr="00694D6D">
              <w:rPr>
                <w:rFonts w:ascii="Times New Roman" w:hAnsi="Times New Roman" w:cs="Times New Roman"/>
                <w:sz w:val="24"/>
                <w:szCs w:val="24"/>
                <w:lang w:val="en-GB"/>
              </w:rPr>
              <w:t>39 856</w:t>
            </w:r>
          </w:p>
        </w:tc>
        <w:tc>
          <w:tcPr>
            <w:tcW w:w="840" w:type="pct"/>
            <w:vAlign w:val="center"/>
          </w:tcPr>
          <w:p w14:paraId="342EE18F" w14:textId="77777777" w:rsidR="00334976" w:rsidRPr="00694D6D" w:rsidRDefault="00334976" w:rsidP="00694D6D">
            <w:pPr>
              <w:spacing w:line="360" w:lineRule="auto"/>
              <w:jc w:val="center"/>
              <w:rPr>
                <w:rFonts w:ascii="Times New Roman" w:hAnsi="Times New Roman" w:cs="Times New Roman"/>
                <w:sz w:val="24"/>
                <w:szCs w:val="24"/>
                <w:lang w:val="en-GB"/>
              </w:rPr>
            </w:pPr>
            <w:r w:rsidRPr="00694D6D">
              <w:rPr>
                <w:rFonts w:ascii="Times New Roman" w:hAnsi="Times New Roman" w:cs="Times New Roman"/>
                <w:sz w:val="24"/>
                <w:szCs w:val="24"/>
                <w:lang w:val="en-GB"/>
              </w:rPr>
              <w:t>89.5%</w:t>
            </w:r>
          </w:p>
        </w:tc>
      </w:tr>
      <w:tr w:rsidR="00334976" w:rsidRPr="00694D6D" w14:paraId="28D43202" w14:textId="77777777" w:rsidTr="00185C80">
        <w:tc>
          <w:tcPr>
            <w:tcW w:w="1031" w:type="pct"/>
          </w:tcPr>
          <w:p w14:paraId="7F8D9CA4" w14:textId="77777777" w:rsidR="00334976" w:rsidRPr="00694D6D" w:rsidRDefault="00334976" w:rsidP="00694D6D">
            <w:pPr>
              <w:spacing w:line="360" w:lineRule="auto"/>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Programme 2 – Technology Innovation</w:t>
            </w:r>
          </w:p>
        </w:tc>
        <w:tc>
          <w:tcPr>
            <w:tcW w:w="840" w:type="pct"/>
            <w:vAlign w:val="center"/>
          </w:tcPr>
          <w:p w14:paraId="76BF3058" w14:textId="77777777" w:rsidR="00334976" w:rsidRPr="00694D6D" w:rsidRDefault="00334976" w:rsidP="00694D6D">
            <w:pPr>
              <w:spacing w:line="360" w:lineRule="auto"/>
              <w:jc w:val="right"/>
              <w:rPr>
                <w:rFonts w:ascii="Times New Roman" w:hAnsi="Times New Roman" w:cs="Times New Roman"/>
                <w:sz w:val="24"/>
                <w:szCs w:val="24"/>
                <w:lang w:val="en-GB"/>
              </w:rPr>
            </w:pPr>
            <w:r w:rsidRPr="00694D6D">
              <w:rPr>
                <w:rFonts w:ascii="Times New Roman" w:hAnsi="Times New Roman" w:cs="Times New Roman"/>
                <w:sz w:val="24"/>
                <w:szCs w:val="24"/>
                <w:lang w:val="en-GB"/>
              </w:rPr>
              <w:t>1 131 723</w:t>
            </w:r>
          </w:p>
        </w:tc>
        <w:tc>
          <w:tcPr>
            <w:tcW w:w="840" w:type="pct"/>
            <w:vAlign w:val="center"/>
          </w:tcPr>
          <w:p w14:paraId="1FAE880C" w14:textId="77777777" w:rsidR="00334976" w:rsidRPr="00694D6D" w:rsidRDefault="00334976" w:rsidP="00694D6D">
            <w:pPr>
              <w:spacing w:line="360" w:lineRule="auto"/>
              <w:jc w:val="right"/>
              <w:rPr>
                <w:rFonts w:ascii="Times New Roman" w:hAnsi="Times New Roman" w:cs="Times New Roman"/>
                <w:sz w:val="24"/>
                <w:szCs w:val="24"/>
                <w:lang w:val="en-GB"/>
              </w:rPr>
            </w:pPr>
            <w:r w:rsidRPr="00694D6D">
              <w:rPr>
                <w:rFonts w:ascii="Times New Roman" w:hAnsi="Times New Roman" w:cs="Times New Roman"/>
                <w:sz w:val="24"/>
                <w:szCs w:val="24"/>
                <w:lang w:val="en-GB"/>
              </w:rPr>
              <w:t>1 157 338</w:t>
            </w:r>
          </w:p>
        </w:tc>
        <w:tc>
          <w:tcPr>
            <w:tcW w:w="731" w:type="pct"/>
            <w:vAlign w:val="center"/>
          </w:tcPr>
          <w:p w14:paraId="05A5F361" w14:textId="77777777" w:rsidR="00334976" w:rsidRPr="00694D6D" w:rsidRDefault="00334976" w:rsidP="00694D6D">
            <w:pPr>
              <w:spacing w:line="360" w:lineRule="auto"/>
              <w:jc w:val="right"/>
              <w:rPr>
                <w:rFonts w:ascii="Times New Roman" w:hAnsi="Times New Roman" w:cs="Times New Roman"/>
                <w:sz w:val="24"/>
                <w:szCs w:val="24"/>
                <w:lang w:val="en-GB"/>
              </w:rPr>
            </w:pPr>
            <w:r w:rsidRPr="00694D6D">
              <w:rPr>
                <w:rFonts w:ascii="Times New Roman" w:hAnsi="Times New Roman" w:cs="Times New Roman"/>
                <w:sz w:val="24"/>
                <w:szCs w:val="24"/>
                <w:lang w:val="en-GB"/>
              </w:rPr>
              <w:t>1 143 715</w:t>
            </w:r>
          </w:p>
        </w:tc>
        <w:tc>
          <w:tcPr>
            <w:tcW w:w="718" w:type="pct"/>
            <w:vAlign w:val="center"/>
          </w:tcPr>
          <w:p w14:paraId="4A767A7F" w14:textId="77777777" w:rsidR="00334976" w:rsidRPr="00694D6D" w:rsidRDefault="00334976" w:rsidP="00694D6D">
            <w:pPr>
              <w:spacing w:line="360" w:lineRule="auto"/>
              <w:jc w:val="right"/>
              <w:rPr>
                <w:rFonts w:ascii="Times New Roman" w:hAnsi="Times New Roman" w:cs="Times New Roman"/>
                <w:sz w:val="24"/>
                <w:szCs w:val="24"/>
                <w:lang w:val="en-GB"/>
              </w:rPr>
            </w:pPr>
            <w:r w:rsidRPr="00694D6D">
              <w:rPr>
                <w:rFonts w:ascii="Times New Roman" w:hAnsi="Times New Roman" w:cs="Times New Roman"/>
                <w:sz w:val="24"/>
                <w:szCs w:val="24"/>
                <w:lang w:val="en-GB"/>
              </w:rPr>
              <w:t>13 623</w:t>
            </w:r>
          </w:p>
        </w:tc>
        <w:tc>
          <w:tcPr>
            <w:tcW w:w="840" w:type="pct"/>
            <w:vAlign w:val="center"/>
          </w:tcPr>
          <w:p w14:paraId="3E46450F" w14:textId="77777777" w:rsidR="00334976" w:rsidRPr="00694D6D" w:rsidRDefault="00334976" w:rsidP="00694D6D">
            <w:pPr>
              <w:spacing w:line="360" w:lineRule="auto"/>
              <w:jc w:val="center"/>
              <w:rPr>
                <w:rFonts w:ascii="Times New Roman" w:hAnsi="Times New Roman" w:cs="Times New Roman"/>
                <w:sz w:val="24"/>
                <w:szCs w:val="24"/>
                <w:lang w:val="en-GB"/>
              </w:rPr>
            </w:pPr>
            <w:r w:rsidRPr="00694D6D">
              <w:rPr>
                <w:rFonts w:ascii="Times New Roman" w:hAnsi="Times New Roman" w:cs="Times New Roman"/>
                <w:sz w:val="24"/>
                <w:szCs w:val="24"/>
                <w:lang w:val="en-GB"/>
              </w:rPr>
              <w:t>98.8%</w:t>
            </w:r>
          </w:p>
        </w:tc>
      </w:tr>
      <w:tr w:rsidR="00334976" w:rsidRPr="00694D6D" w14:paraId="5EB30E8E" w14:textId="77777777" w:rsidTr="00185C80">
        <w:tc>
          <w:tcPr>
            <w:tcW w:w="1031" w:type="pct"/>
          </w:tcPr>
          <w:p w14:paraId="6F8F3D3B" w14:textId="77777777" w:rsidR="00334976" w:rsidRPr="00694D6D" w:rsidRDefault="00334976" w:rsidP="00694D6D">
            <w:pPr>
              <w:spacing w:line="360" w:lineRule="auto"/>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Programme 3 – International Cooperation and Resources</w:t>
            </w:r>
          </w:p>
        </w:tc>
        <w:tc>
          <w:tcPr>
            <w:tcW w:w="840" w:type="pct"/>
            <w:vAlign w:val="center"/>
          </w:tcPr>
          <w:p w14:paraId="652CFDB6" w14:textId="77777777" w:rsidR="00334976" w:rsidRPr="00694D6D" w:rsidRDefault="00334976" w:rsidP="00694D6D">
            <w:pPr>
              <w:spacing w:line="360" w:lineRule="auto"/>
              <w:jc w:val="right"/>
              <w:rPr>
                <w:rFonts w:ascii="Times New Roman" w:hAnsi="Times New Roman" w:cs="Times New Roman"/>
                <w:sz w:val="24"/>
                <w:szCs w:val="24"/>
                <w:lang w:val="en-GB"/>
              </w:rPr>
            </w:pPr>
            <w:r w:rsidRPr="00694D6D">
              <w:rPr>
                <w:rFonts w:ascii="Times New Roman" w:hAnsi="Times New Roman" w:cs="Times New Roman"/>
                <w:sz w:val="24"/>
                <w:szCs w:val="24"/>
                <w:lang w:val="en-GB"/>
              </w:rPr>
              <w:t>136 399</w:t>
            </w:r>
          </w:p>
        </w:tc>
        <w:tc>
          <w:tcPr>
            <w:tcW w:w="840" w:type="pct"/>
            <w:vAlign w:val="center"/>
          </w:tcPr>
          <w:p w14:paraId="0A0E23EF" w14:textId="77777777" w:rsidR="00334976" w:rsidRPr="00694D6D" w:rsidRDefault="00334976" w:rsidP="00694D6D">
            <w:pPr>
              <w:spacing w:line="360" w:lineRule="auto"/>
              <w:jc w:val="right"/>
              <w:rPr>
                <w:rFonts w:ascii="Times New Roman" w:hAnsi="Times New Roman" w:cs="Times New Roman"/>
                <w:sz w:val="24"/>
                <w:szCs w:val="24"/>
                <w:lang w:val="en-GB"/>
              </w:rPr>
            </w:pPr>
            <w:r w:rsidRPr="00694D6D">
              <w:rPr>
                <w:rFonts w:ascii="Times New Roman" w:hAnsi="Times New Roman" w:cs="Times New Roman"/>
                <w:sz w:val="24"/>
                <w:szCs w:val="24"/>
                <w:lang w:val="en-GB"/>
              </w:rPr>
              <w:t>142 449</w:t>
            </w:r>
          </w:p>
        </w:tc>
        <w:tc>
          <w:tcPr>
            <w:tcW w:w="731" w:type="pct"/>
            <w:vAlign w:val="center"/>
          </w:tcPr>
          <w:p w14:paraId="5B85421E" w14:textId="77777777" w:rsidR="00334976" w:rsidRPr="00694D6D" w:rsidRDefault="00334976" w:rsidP="00694D6D">
            <w:pPr>
              <w:spacing w:line="360" w:lineRule="auto"/>
              <w:jc w:val="right"/>
              <w:rPr>
                <w:rFonts w:ascii="Times New Roman" w:hAnsi="Times New Roman" w:cs="Times New Roman"/>
                <w:sz w:val="24"/>
                <w:szCs w:val="24"/>
                <w:lang w:val="en-GB"/>
              </w:rPr>
            </w:pPr>
            <w:r w:rsidRPr="00694D6D">
              <w:rPr>
                <w:rFonts w:ascii="Times New Roman" w:hAnsi="Times New Roman" w:cs="Times New Roman"/>
                <w:sz w:val="24"/>
                <w:szCs w:val="24"/>
                <w:lang w:val="en-GB"/>
              </w:rPr>
              <w:t>139 872</w:t>
            </w:r>
          </w:p>
        </w:tc>
        <w:tc>
          <w:tcPr>
            <w:tcW w:w="718" w:type="pct"/>
            <w:vAlign w:val="center"/>
          </w:tcPr>
          <w:p w14:paraId="22465EE1" w14:textId="77777777" w:rsidR="00334976" w:rsidRPr="00694D6D" w:rsidRDefault="00334976" w:rsidP="00694D6D">
            <w:pPr>
              <w:spacing w:line="360" w:lineRule="auto"/>
              <w:jc w:val="right"/>
              <w:rPr>
                <w:rFonts w:ascii="Times New Roman" w:hAnsi="Times New Roman" w:cs="Times New Roman"/>
                <w:sz w:val="24"/>
                <w:szCs w:val="24"/>
                <w:lang w:val="en-GB"/>
              </w:rPr>
            </w:pPr>
            <w:r w:rsidRPr="00694D6D">
              <w:rPr>
                <w:rFonts w:ascii="Times New Roman" w:hAnsi="Times New Roman" w:cs="Times New Roman"/>
                <w:sz w:val="24"/>
                <w:szCs w:val="24"/>
                <w:lang w:val="en-GB"/>
              </w:rPr>
              <w:t>2 577</w:t>
            </w:r>
          </w:p>
        </w:tc>
        <w:tc>
          <w:tcPr>
            <w:tcW w:w="840" w:type="pct"/>
            <w:vAlign w:val="center"/>
          </w:tcPr>
          <w:p w14:paraId="00B29963" w14:textId="77777777" w:rsidR="00334976" w:rsidRPr="00694D6D" w:rsidRDefault="00334976" w:rsidP="00694D6D">
            <w:pPr>
              <w:spacing w:line="360" w:lineRule="auto"/>
              <w:jc w:val="center"/>
              <w:rPr>
                <w:rFonts w:ascii="Times New Roman" w:hAnsi="Times New Roman" w:cs="Times New Roman"/>
                <w:sz w:val="24"/>
                <w:szCs w:val="24"/>
                <w:lang w:val="en-GB"/>
              </w:rPr>
            </w:pPr>
            <w:r w:rsidRPr="00694D6D">
              <w:rPr>
                <w:rFonts w:ascii="Times New Roman" w:hAnsi="Times New Roman" w:cs="Times New Roman"/>
                <w:sz w:val="24"/>
                <w:szCs w:val="24"/>
                <w:lang w:val="en-GB"/>
              </w:rPr>
              <w:t>98.2%</w:t>
            </w:r>
          </w:p>
        </w:tc>
      </w:tr>
      <w:tr w:rsidR="00334976" w:rsidRPr="00694D6D" w14:paraId="52A954D0" w14:textId="77777777" w:rsidTr="00185C80">
        <w:tc>
          <w:tcPr>
            <w:tcW w:w="1031" w:type="pct"/>
          </w:tcPr>
          <w:p w14:paraId="16424225" w14:textId="77777777" w:rsidR="00334976" w:rsidRPr="00694D6D" w:rsidRDefault="00334976" w:rsidP="00694D6D">
            <w:pPr>
              <w:spacing w:line="360" w:lineRule="auto"/>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Programme 4 – Research Development and Support</w:t>
            </w:r>
          </w:p>
        </w:tc>
        <w:tc>
          <w:tcPr>
            <w:tcW w:w="840" w:type="pct"/>
            <w:vAlign w:val="center"/>
          </w:tcPr>
          <w:p w14:paraId="06F03B3E" w14:textId="77777777" w:rsidR="00334976" w:rsidRPr="00694D6D" w:rsidRDefault="00334976" w:rsidP="00694D6D">
            <w:pPr>
              <w:spacing w:line="360" w:lineRule="auto"/>
              <w:jc w:val="right"/>
              <w:rPr>
                <w:rFonts w:ascii="Times New Roman" w:hAnsi="Times New Roman" w:cs="Times New Roman"/>
                <w:sz w:val="24"/>
                <w:szCs w:val="24"/>
                <w:lang w:val="en-GB"/>
              </w:rPr>
            </w:pPr>
            <w:r w:rsidRPr="00694D6D">
              <w:rPr>
                <w:rFonts w:ascii="Times New Roman" w:hAnsi="Times New Roman" w:cs="Times New Roman"/>
                <w:sz w:val="24"/>
                <w:szCs w:val="24"/>
                <w:lang w:val="en-GB"/>
              </w:rPr>
              <w:t>4 360 304</w:t>
            </w:r>
          </w:p>
        </w:tc>
        <w:tc>
          <w:tcPr>
            <w:tcW w:w="840" w:type="pct"/>
            <w:vAlign w:val="center"/>
          </w:tcPr>
          <w:p w14:paraId="491D7D09" w14:textId="77777777" w:rsidR="00334976" w:rsidRPr="00694D6D" w:rsidRDefault="00334976" w:rsidP="00694D6D">
            <w:pPr>
              <w:spacing w:line="360" w:lineRule="auto"/>
              <w:jc w:val="right"/>
              <w:rPr>
                <w:rFonts w:ascii="Times New Roman" w:hAnsi="Times New Roman" w:cs="Times New Roman"/>
                <w:sz w:val="24"/>
                <w:szCs w:val="24"/>
                <w:lang w:val="en-GB"/>
              </w:rPr>
            </w:pPr>
            <w:r w:rsidRPr="00694D6D">
              <w:rPr>
                <w:rFonts w:ascii="Times New Roman" w:hAnsi="Times New Roman" w:cs="Times New Roman"/>
                <w:sz w:val="24"/>
                <w:szCs w:val="24"/>
                <w:lang w:val="en-GB"/>
              </w:rPr>
              <w:t>4 519 058</w:t>
            </w:r>
          </w:p>
        </w:tc>
        <w:tc>
          <w:tcPr>
            <w:tcW w:w="731" w:type="pct"/>
            <w:vAlign w:val="center"/>
          </w:tcPr>
          <w:p w14:paraId="0B528F00" w14:textId="77777777" w:rsidR="00334976" w:rsidRPr="00694D6D" w:rsidRDefault="00334976" w:rsidP="00694D6D">
            <w:pPr>
              <w:spacing w:line="360" w:lineRule="auto"/>
              <w:jc w:val="right"/>
              <w:rPr>
                <w:rFonts w:ascii="Times New Roman" w:hAnsi="Times New Roman" w:cs="Times New Roman"/>
                <w:sz w:val="24"/>
                <w:szCs w:val="24"/>
                <w:lang w:val="en-GB"/>
              </w:rPr>
            </w:pPr>
            <w:r w:rsidRPr="00694D6D">
              <w:rPr>
                <w:rFonts w:ascii="Times New Roman" w:hAnsi="Times New Roman" w:cs="Times New Roman"/>
                <w:sz w:val="24"/>
                <w:szCs w:val="24"/>
                <w:lang w:val="en-GB"/>
              </w:rPr>
              <w:t>4 516 626</w:t>
            </w:r>
          </w:p>
        </w:tc>
        <w:tc>
          <w:tcPr>
            <w:tcW w:w="718" w:type="pct"/>
            <w:vAlign w:val="center"/>
          </w:tcPr>
          <w:p w14:paraId="7944A679" w14:textId="77777777" w:rsidR="00334976" w:rsidRPr="00694D6D" w:rsidRDefault="00334976" w:rsidP="00694D6D">
            <w:pPr>
              <w:spacing w:line="360" w:lineRule="auto"/>
              <w:jc w:val="right"/>
              <w:rPr>
                <w:rFonts w:ascii="Times New Roman" w:hAnsi="Times New Roman" w:cs="Times New Roman"/>
                <w:sz w:val="24"/>
                <w:szCs w:val="24"/>
                <w:lang w:val="en-GB"/>
              </w:rPr>
            </w:pPr>
            <w:r w:rsidRPr="00694D6D">
              <w:rPr>
                <w:rFonts w:ascii="Times New Roman" w:hAnsi="Times New Roman" w:cs="Times New Roman"/>
                <w:sz w:val="24"/>
                <w:szCs w:val="24"/>
                <w:lang w:val="en-GB"/>
              </w:rPr>
              <w:t>2 432</w:t>
            </w:r>
          </w:p>
        </w:tc>
        <w:tc>
          <w:tcPr>
            <w:tcW w:w="840" w:type="pct"/>
            <w:vAlign w:val="center"/>
          </w:tcPr>
          <w:p w14:paraId="59B367FE" w14:textId="77777777" w:rsidR="00334976" w:rsidRPr="00694D6D" w:rsidRDefault="00334976" w:rsidP="00694D6D">
            <w:pPr>
              <w:spacing w:line="360" w:lineRule="auto"/>
              <w:jc w:val="center"/>
              <w:rPr>
                <w:rFonts w:ascii="Times New Roman" w:hAnsi="Times New Roman" w:cs="Times New Roman"/>
                <w:sz w:val="24"/>
                <w:szCs w:val="24"/>
                <w:lang w:val="en-GB"/>
              </w:rPr>
            </w:pPr>
            <w:r w:rsidRPr="00694D6D">
              <w:rPr>
                <w:rFonts w:ascii="Times New Roman" w:hAnsi="Times New Roman" w:cs="Times New Roman"/>
                <w:sz w:val="24"/>
                <w:szCs w:val="24"/>
                <w:lang w:val="en-GB"/>
              </w:rPr>
              <w:t>99.9%</w:t>
            </w:r>
          </w:p>
        </w:tc>
      </w:tr>
      <w:tr w:rsidR="00334976" w:rsidRPr="00694D6D" w14:paraId="6A596817" w14:textId="77777777" w:rsidTr="00185C80">
        <w:tc>
          <w:tcPr>
            <w:tcW w:w="1031" w:type="pct"/>
          </w:tcPr>
          <w:p w14:paraId="45278BB9" w14:textId="77777777" w:rsidR="00334976" w:rsidRPr="00694D6D" w:rsidRDefault="00185C80" w:rsidP="00694D6D">
            <w:pPr>
              <w:spacing w:line="360" w:lineRule="auto"/>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Programme 5 – Socio-e</w:t>
            </w:r>
            <w:r w:rsidR="00334976" w:rsidRPr="00694D6D">
              <w:rPr>
                <w:rFonts w:ascii="Times New Roman" w:hAnsi="Times New Roman" w:cs="Times New Roman"/>
                <w:sz w:val="24"/>
                <w:szCs w:val="24"/>
                <w:lang w:val="en-GB"/>
              </w:rPr>
              <w:t>conomic Innovation Partnerships</w:t>
            </w:r>
          </w:p>
        </w:tc>
        <w:tc>
          <w:tcPr>
            <w:tcW w:w="840" w:type="pct"/>
            <w:vAlign w:val="center"/>
          </w:tcPr>
          <w:p w14:paraId="19282215" w14:textId="77777777" w:rsidR="00334976" w:rsidRPr="00694D6D" w:rsidRDefault="00334976" w:rsidP="00694D6D">
            <w:pPr>
              <w:spacing w:line="360" w:lineRule="auto"/>
              <w:jc w:val="right"/>
              <w:rPr>
                <w:rFonts w:ascii="Times New Roman" w:hAnsi="Times New Roman" w:cs="Times New Roman"/>
                <w:sz w:val="24"/>
                <w:szCs w:val="24"/>
                <w:lang w:val="en-GB"/>
              </w:rPr>
            </w:pPr>
            <w:r w:rsidRPr="00694D6D">
              <w:rPr>
                <w:rFonts w:ascii="Times New Roman" w:hAnsi="Times New Roman" w:cs="Times New Roman"/>
                <w:sz w:val="24"/>
                <w:szCs w:val="24"/>
                <w:lang w:val="en-GB"/>
              </w:rPr>
              <w:t>1 778 260</w:t>
            </w:r>
          </w:p>
        </w:tc>
        <w:tc>
          <w:tcPr>
            <w:tcW w:w="840" w:type="pct"/>
            <w:vAlign w:val="center"/>
          </w:tcPr>
          <w:p w14:paraId="33B04C5B" w14:textId="77777777" w:rsidR="00334976" w:rsidRPr="00694D6D" w:rsidRDefault="00334976" w:rsidP="00694D6D">
            <w:pPr>
              <w:spacing w:line="360" w:lineRule="auto"/>
              <w:jc w:val="right"/>
              <w:rPr>
                <w:rFonts w:ascii="Times New Roman" w:hAnsi="Times New Roman" w:cs="Times New Roman"/>
                <w:sz w:val="24"/>
                <w:szCs w:val="24"/>
                <w:lang w:val="en-GB"/>
              </w:rPr>
            </w:pPr>
            <w:r w:rsidRPr="00694D6D">
              <w:rPr>
                <w:rFonts w:ascii="Times New Roman" w:hAnsi="Times New Roman" w:cs="Times New Roman"/>
                <w:sz w:val="24"/>
                <w:szCs w:val="24"/>
                <w:lang w:val="en-GB"/>
              </w:rPr>
              <w:t>1 759 194</w:t>
            </w:r>
          </w:p>
        </w:tc>
        <w:tc>
          <w:tcPr>
            <w:tcW w:w="731" w:type="pct"/>
            <w:vAlign w:val="center"/>
          </w:tcPr>
          <w:p w14:paraId="0D6E18E7" w14:textId="77777777" w:rsidR="00334976" w:rsidRPr="00694D6D" w:rsidRDefault="00334976" w:rsidP="00694D6D">
            <w:pPr>
              <w:spacing w:line="360" w:lineRule="auto"/>
              <w:jc w:val="right"/>
              <w:rPr>
                <w:rFonts w:ascii="Times New Roman" w:hAnsi="Times New Roman" w:cs="Times New Roman"/>
                <w:sz w:val="24"/>
                <w:szCs w:val="24"/>
                <w:lang w:val="en-GB"/>
              </w:rPr>
            </w:pPr>
            <w:r w:rsidRPr="00694D6D">
              <w:rPr>
                <w:rFonts w:ascii="Times New Roman" w:hAnsi="Times New Roman" w:cs="Times New Roman"/>
                <w:sz w:val="24"/>
                <w:szCs w:val="24"/>
                <w:lang w:val="en-GB"/>
              </w:rPr>
              <w:t>1 751 220</w:t>
            </w:r>
          </w:p>
        </w:tc>
        <w:tc>
          <w:tcPr>
            <w:tcW w:w="718" w:type="pct"/>
            <w:vAlign w:val="center"/>
          </w:tcPr>
          <w:p w14:paraId="53BE013A" w14:textId="77777777" w:rsidR="00334976" w:rsidRPr="00694D6D" w:rsidRDefault="00334976" w:rsidP="00694D6D">
            <w:pPr>
              <w:spacing w:line="360" w:lineRule="auto"/>
              <w:jc w:val="right"/>
              <w:rPr>
                <w:rFonts w:ascii="Times New Roman" w:hAnsi="Times New Roman" w:cs="Times New Roman"/>
                <w:sz w:val="24"/>
                <w:szCs w:val="24"/>
                <w:lang w:val="en-GB"/>
              </w:rPr>
            </w:pPr>
            <w:r w:rsidRPr="00694D6D">
              <w:rPr>
                <w:rFonts w:ascii="Times New Roman" w:hAnsi="Times New Roman" w:cs="Times New Roman"/>
                <w:sz w:val="24"/>
                <w:szCs w:val="24"/>
                <w:lang w:val="en-GB"/>
              </w:rPr>
              <w:t>7 974</w:t>
            </w:r>
          </w:p>
        </w:tc>
        <w:tc>
          <w:tcPr>
            <w:tcW w:w="840" w:type="pct"/>
            <w:vAlign w:val="center"/>
          </w:tcPr>
          <w:p w14:paraId="3B41E776" w14:textId="77777777" w:rsidR="00334976" w:rsidRPr="00694D6D" w:rsidRDefault="00334976" w:rsidP="00694D6D">
            <w:pPr>
              <w:spacing w:line="360" w:lineRule="auto"/>
              <w:jc w:val="center"/>
              <w:rPr>
                <w:rFonts w:ascii="Times New Roman" w:hAnsi="Times New Roman" w:cs="Times New Roman"/>
                <w:sz w:val="24"/>
                <w:szCs w:val="24"/>
                <w:lang w:val="en-GB"/>
              </w:rPr>
            </w:pPr>
            <w:r w:rsidRPr="00694D6D">
              <w:rPr>
                <w:rFonts w:ascii="Times New Roman" w:hAnsi="Times New Roman" w:cs="Times New Roman"/>
                <w:sz w:val="24"/>
                <w:szCs w:val="24"/>
                <w:lang w:val="en-GB"/>
              </w:rPr>
              <w:t>99.5%</w:t>
            </w:r>
          </w:p>
        </w:tc>
      </w:tr>
      <w:tr w:rsidR="00334976" w:rsidRPr="00694D6D" w14:paraId="0782016D" w14:textId="77777777" w:rsidTr="00185C80">
        <w:tc>
          <w:tcPr>
            <w:tcW w:w="1031" w:type="pct"/>
            <w:shd w:val="clear" w:color="auto" w:fill="auto"/>
          </w:tcPr>
          <w:p w14:paraId="02FB2C7A" w14:textId="77777777" w:rsidR="00334976" w:rsidRPr="00694D6D" w:rsidRDefault="00334976" w:rsidP="00694D6D">
            <w:pPr>
              <w:spacing w:line="360" w:lineRule="auto"/>
              <w:jc w:val="both"/>
              <w:rPr>
                <w:rFonts w:ascii="Times New Roman" w:hAnsi="Times New Roman" w:cs="Times New Roman"/>
                <w:b/>
                <w:sz w:val="24"/>
                <w:szCs w:val="24"/>
                <w:lang w:val="en-GB"/>
              </w:rPr>
            </w:pPr>
            <w:r w:rsidRPr="00694D6D">
              <w:rPr>
                <w:rFonts w:ascii="Times New Roman" w:hAnsi="Times New Roman" w:cs="Times New Roman"/>
                <w:b/>
                <w:sz w:val="24"/>
                <w:szCs w:val="24"/>
                <w:lang w:val="en-GB"/>
              </w:rPr>
              <w:t>TOTAL</w:t>
            </w:r>
          </w:p>
        </w:tc>
        <w:tc>
          <w:tcPr>
            <w:tcW w:w="840" w:type="pct"/>
            <w:vAlign w:val="center"/>
          </w:tcPr>
          <w:p w14:paraId="78E5E9EE" w14:textId="77777777" w:rsidR="00334976" w:rsidRPr="00694D6D" w:rsidRDefault="00334976" w:rsidP="00694D6D">
            <w:pPr>
              <w:spacing w:line="360" w:lineRule="auto"/>
              <w:jc w:val="right"/>
              <w:rPr>
                <w:rFonts w:ascii="Times New Roman" w:hAnsi="Times New Roman" w:cs="Times New Roman"/>
                <w:b/>
                <w:sz w:val="24"/>
                <w:szCs w:val="24"/>
                <w:lang w:val="en-GB"/>
              </w:rPr>
            </w:pPr>
            <w:r w:rsidRPr="00694D6D">
              <w:rPr>
                <w:rFonts w:ascii="Times New Roman" w:hAnsi="Times New Roman" w:cs="Times New Roman"/>
                <w:b/>
                <w:sz w:val="24"/>
                <w:szCs w:val="24"/>
                <w:lang w:val="en-GB"/>
              </w:rPr>
              <w:t>7 790 488</w:t>
            </w:r>
          </w:p>
        </w:tc>
        <w:tc>
          <w:tcPr>
            <w:tcW w:w="840" w:type="pct"/>
            <w:shd w:val="clear" w:color="auto" w:fill="auto"/>
          </w:tcPr>
          <w:p w14:paraId="274C56B6" w14:textId="77777777" w:rsidR="00334976" w:rsidRPr="00694D6D" w:rsidRDefault="00334976" w:rsidP="00694D6D">
            <w:pPr>
              <w:spacing w:line="360" w:lineRule="auto"/>
              <w:jc w:val="right"/>
              <w:rPr>
                <w:rFonts w:ascii="Times New Roman" w:hAnsi="Times New Roman" w:cs="Times New Roman"/>
                <w:b/>
                <w:sz w:val="24"/>
                <w:szCs w:val="24"/>
                <w:lang w:val="en-GB"/>
              </w:rPr>
            </w:pPr>
            <w:r w:rsidRPr="00694D6D">
              <w:rPr>
                <w:rFonts w:ascii="Times New Roman" w:hAnsi="Times New Roman" w:cs="Times New Roman"/>
                <w:b/>
                <w:sz w:val="24"/>
                <w:szCs w:val="24"/>
                <w:lang w:val="en-GB"/>
              </w:rPr>
              <w:t>7 958 388</w:t>
            </w:r>
          </w:p>
        </w:tc>
        <w:tc>
          <w:tcPr>
            <w:tcW w:w="731" w:type="pct"/>
            <w:shd w:val="clear" w:color="auto" w:fill="auto"/>
          </w:tcPr>
          <w:p w14:paraId="36A74947" w14:textId="77777777" w:rsidR="00334976" w:rsidRPr="00694D6D" w:rsidRDefault="00334976" w:rsidP="00694D6D">
            <w:pPr>
              <w:spacing w:line="360" w:lineRule="auto"/>
              <w:jc w:val="right"/>
              <w:rPr>
                <w:rFonts w:ascii="Times New Roman" w:hAnsi="Times New Roman" w:cs="Times New Roman"/>
                <w:b/>
                <w:sz w:val="24"/>
                <w:szCs w:val="24"/>
                <w:lang w:val="en-GB"/>
              </w:rPr>
            </w:pPr>
            <w:r w:rsidRPr="00694D6D">
              <w:rPr>
                <w:rFonts w:ascii="Times New Roman" w:hAnsi="Times New Roman" w:cs="Times New Roman"/>
                <w:b/>
                <w:sz w:val="24"/>
                <w:szCs w:val="24"/>
                <w:lang w:val="en-GB"/>
              </w:rPr>
              <w:t>7 891 926</w:t>
            </w:r>
          </w:p>
        </w:tc>
        <w:tc>
          <w:tcPr>
            <w:tcW w:w="718" w:type="pct"/>
            <w:shd w:val="clear" w:color="auto" w:fill="auto"/>
          </w:tcPr>
          <w:p w14:paraId="4AB2F55F" w14:textId="77777777" w:rsidR="00334976" w:rsidRPr="00694D6D" w:rsidRDefault="00334976" w:rsidP="00694D6D">
            <w:pPr>
              <w:spacing w:line="360" w:lineRule="auto"/>
              <w:jc w:val="right"/>
              <w:rPr>
                <w:rFonts w:ascii="Times New Roman" w:hAnsi="Times New Roman" w:cs="Times New Roman"/>
                <w:b/>
                <w:sz w:val="24"/>
                <w:szCs w:val="24"/>
                <w:lang w:val="en-GB"/>
              </w:rPr>
            </w:pPr>
            <w:r w:rsidRPr="00694D6D">
              <w:rPr>
                <w:rFonts w:ascii="Times New Roman" w:hAnsi="Times New Roman" w:cs="Times New Roman"/>
                <w:b/>
                <w:sz w:val="24"/>
                <w:szCs w:val="24"/>
                <w:lang w:val="en-GB"/>
              </w:rPr>
              <w:t>66 462</w:t>
            </w:r>
          </w:p>
        </w:tc>
        <w:tc>
          <w:tcPr>
            <w:tcW w:w="840" w:type="pct"/>
            <w:vAlign w:val="center"/>
          </w:tcPr>
          <w:p w14:paraId="4E7C096A" w14:textId="77777777" w:rsidR="00334976" w:rsidRPr="00694D6D" w:rsidRDefault="00334976" w:rsidP="00694D6D">
            <w:pPr>
              <w:spacing w:line="360" w:lineRule="auto"/>
              <w:jc w:val="center"/>
              <w:rPr>
                <w:rFonts w:ascii="Times New Roman" w:hAnsi="Times New Roman" w:cs="Times New Roman"/>
                <w:b/>
                <w:sz w:val="24"/>
                <w:szCs w:val="24"/>
                <w:lang w:val="en-GB"/>
              </w:rPr>
            </w:pPr>
            <w:r w:rsidRPr="00694D6D">
              <w:rPr>
                <w:rFonts w:ascii="Times New Roman" w:hAnsi="Times New Roman" w:cs="Times New Roman"/>
                <w:b/>
                <w:sz w:val="24"/>
                <w:szCs w:val="24"/>
                <w:lang w:val="en-GB"/>
              </w:rPr>
              <w:t>99.2%</w:t>
            </w:r>
          </w:p>
        </w:tc>
      </w:tr>
      <w:tr w:rsidR="00334976" w:rsidRPr="00694D6D" w14:paraId="0C29B819" w14:textId="77777777" w:rsidTr="00185C80">
        <w:tc>
          <w:tcPr>
            <w:tcW w:w="1031" w:type="pct"/>
            <w:shd w:val="clear" w:color="auto" w:fill="C2D69B" w:themeFill="accent3" w:themeFillTint="99"/>
            <w:vAlign w:val="center"/>
          </w:tcPr>
          <w:p w14:paraId="217D64E0" w14:textId="77777777" w:rsidR="00334976" w:rsidRPr="00694D6D" w:rsidRDefault="00334976" w:rsidP="00694D6D">
            <w:pPr>
              <w:spacing w:line="360" w:lineRule="auto"/>
              <w:jc w:val="center"/>
              <w:rPr>
                <w:rFonts w:ascii="Times New Roman" w:hAnsi="Times New Roman" w:cs="Times New Roman"/>
                <w:b/>
                <w:sz w:val="24"/>
                <w:szCs w:val="24"/>
                <w:lang w:val="en-GB"/>
              </w:rPr>
            </w:pPr>
            <w:r w:rsidRPr="00694D6D">
              <w:rPr>
                <w:rFonts w:ascii="Times New Roman" w:hAnsi="Times New Roman" w:cs="Times New Roman"/>
                <w:b/>
                <w:sz w:val="24"/>
                <w:szCs w:val="24"/>
                <w:lang w:val="en-GB"/>
              </w:rPr>
              <w:t>Economic classification</w:t>
            </w:r>
          </w:p>
        </w:tc>
        <w:tc>
          <w:tcPr>
            <w:tcW w:w="840" w:type="pct"/>
            <w:shd w:val="clear" w:color="auto" w:fill="C2D69B" w:themeFill="accent3" w:themeFillTint="99"/>
          </w:tcPr>
          <w:p w14:paraId="6293BAA4" w14:textId="77777777" w:rsidR="00334976" w:rsidRPr="00694D6D" w:rsidRDefault="00334976" w:rsidP="00694D6D">
            <w:pPr>
              <w:spacing w:line="360" w:lineRule="auto"/>
              <w:jc w:val="center"/>
              <w:rPr>
                <w:rFonts w:ascii="Times New Roman" w:hAnsi="Times New Roman" w:cs="Times New Roman"/>
                <w:b/>
                <w:sz w:val="24"/>
                <w:szCs w:val="24"/>
                <w:lang w:val="en-GB"/>
              </w:rPr>
            </w:pPr>
            <w:r w:rsidRPr="00694D6D">
              <w:rPr>
                <w:rFonts w:ascii="Times New Roman" w:hAnsi="Times New Roman" w:cs="Times New Roman"/>
                <w:b/>
                <w:sz w:val="24"/>
                <w:szCs w:val="24"/>
                <w:lang w:val="en-GB"/>
              </w:rPr>
              <w:t>Main appropriation</w:t>
            </w:r>
          </w:p>
          <w:p w14:paraId="586C1A8A" w14:textId="77777777" w:rsidR="00334976" w:rsidRPr="00694D6D" w:rsidRDefault="00334976" w:rsidP="00694D6D">
            <w:pPr>
              <w:spacing w:line="360" w:lineRule="auto"/>
              <w:jc w:val="center"/>
              <w:rPr>
                <w:rFonts w:ascii="Times New Roman" w:hAnsi="Times New Roman" w:cs="Times New Roman"/>
                <w:b/>
                <w:sz w:val="24"/>
                <w:szCs w:val="24"/>
                <w:lang w:val="en-GB"/>
              </w:rPr>
            </w:pPr>
            <w:r w:rsidRPr="00694D6D">
              <w:rPr>
                <w:rFonts w:ascii="Times New Roman" w:hAnsi="Times New Roman" w:cs="Times New Roman"/>
                <w:b/>
                <w:sz w:val="24"/>
                <w:szCs w:val="24"/>
                <w:lang w:val="en-GB"/>
              </w:rPr>
              <w:t>R’thousand</w:t>
            </w:r>
          </w:p>
        </w:tc>
        <w:tc>
          <w:tcPr>
            <w:tcW w:w="840" w:type="pct"/>
            <w:shd w:val="clear" w:color="auto" w:fill="C2D69B" w:themeFill="accent3" w:themeFillTint="99"/>
            <w:vAlign w:val="center"/>
          </w:tcPr>
          <w:p w14:paraId="46430EBA" w14:textId="77777777" w:rsidR="00334976" w:rsidRPr="00694D6D" w:rsidRDefault="00334976" w:rsidP="00694D6D">
            <w:pPr>
              <w:spacing w:line="360" w:lineRule="auto"/>
              <w:jc w:val="center"/>
              <w:rPr>
                <w:rFonts w:ascii="Times New Roman" w:hAnsi="Times New Roman" w:cs="Times New Roman"/>
                <w:b/>
                <w:sz w:val="24"/>
                <w:szCs w:val="24"/>
                <w:lang w:val="en-GB"/>
              </w:rPr>
            </w:pPr>
            <w:r w:rsidRPr="00694D6D">
              <w:rPr>
                <w:rFonts w:ascii="Times New Roman" w:hAnsi="Times New Roman" w:cs="Times New Roman"/>
                <w:b/>
                <w:sz w:val="24"/>
                <w:szCs w:val="24"/>
                <w:lang w:val="en-GB"/>
              </w:rPr>
              <w:t>Final</w:t>
            </w:r>
          </w:p>
          <w:p w14:paraId="1598D34F" w14:textId="77777777" w:rsidR="00334976" w:rsidRPr="00694D6D" w:rsidRDefault="00334976" w:rsidP="00694D6D">
            <w:pPr>
              <w:spacing w:line="360" w:lineRule="auto"/>
              <w:jc w:val="center"/>
              <w:rPr>
                <w:rFonts w:ascii="Times New Roman" w:hAnsi="Times New Roman" w:cs="Times New Roman"/>
                <w:b/>
                <w:sz w:val="24"/>
                <w:szCs w:val="24"/>
                <w:lang w:val="en-GB"/>
              </w:rPr>
            </w:pPr>
            <w:r w:rsidRPr="00694D6D">
              <w:rPr>
                <w:rFonts w:ascii="Times New Roman" w:hAnsi="Times New Roman" w:cs="Times New Roman"/>
                <w:b/>
                <w:sz w:val="24"/>
                <w:szCs w:val="24"/>
                <w:lang w:val="en-GB"/>
              </w:rPr>
              <w:t>appropriation</w:t>
            </w:r>
          </w:p>
          <w:p w14:paraId="22EF3A18" w14:textId="77777777" w:rsidR="00334976" w:rsidRPr="00694D6D" w:rsidRDefault="00334976" w:rsidP="00694D6D">
            <w:pPr>
              <w:spacing w:line="360" w:lineRule="auto"/>
              <w:jc w:val="center"/>
              <w:rPr>
                <w:rFonts w:ascii="Times New Roman" w:hAnsi="Times New Roman" w:cs="Times New Roman"/>
                <w:b/>
                <w:sz w:val="24"/>
                <w:szCs w:val="24"/>
                <w:lang w:val="en-GB"/>
              </w:rPr>
            </w:pPr>
            <w:r w:rsidRPr="00694D6D">
              <w:rPr>
                <w:rFonts w:ascii="Times New Roman" w:hAnsi="Times New Roman" w:cs="Times New Roman"/>
                <w:b/>
                <w:sz w:val="24"/>
                <w:szCs w:val="24"/>
                <w:lang w:val="en-GB"/>
              </w:rPr>
              <w:t>R’thousand</w:t>
            </w:r>
          </w:p>
        </w:tc>
        <w:tc>
          <w:tcPr>
            <w:tcW w:w="731" w:type="pct"/>
            <w:shd w:val="clear" w:color="auto" w:fill="C2D69B" w:themeFill="accent3" w:themeFillTint="99"/>
            <w:vAlign w:val="center"/>
          </w:tcPr>
          <w:p w14:paraId="4E946DA1" w14:textId="77777777" w:rsidR="00334976" w:rsidRPr="00694D6D" w:rsidRDefault="00334976" w:rsidP="00694D6D">
            <w:pPr>
              <w:spacing w:line="360" w:lineRule="auto"/>
              <w:jc w:val="center"/>
              <w:rPr>
                <w:rFonts w:ascii="Times New Roman" w:hAnsi="Times New Roman" w:cs="Times New Roman"/>
                <w:b/>
                <w:sz w:val="24"/>
                <w:szCs w:val="24"/>
                <w:lang w:val="en-GB"/>
              </w:rPr>
            </w:pPr>
            <w:r w:rsidRPr="00694D6D">
              <w:rPr>
                <w:rFonts w:ascii="Times New Roman" w:hAnsi="Times New Roman" w:cs="Times New Roman"/>
                <w:b/>
                <w:sz w:val="24"/>
                <w:szCs w:val="24"/>
                <w:lang w:val="en-GB"/>
              </w:rPr>
              <w:t>Actual expenditure</w:t>
            </w:r>
          </w:p>
          <w:p w14:paraId="2F3E9B32" w14:textId="77777777" w:rsidR="00334976" w:rsidRPr="00694D6D" w:rsidRDefault="00334976" w:rsidP="00694D6D">
            <w:pPr>
              <w:spacing w:line="360" w:lineRule="auto"/>
              <w:jc w:val="center"/>
              <w:rPr>
                <w:rFonts w:ascii="Times New Roman" w:hAnsi="Times New Roman" w:cs="Times New Roman"/>
                <w:b/>
                <w:sz w:val="24"/>
                <w:szCs w:val="24"/>
                <w:lang w:val="en-GB"/>
              </w:rPr>
            </w:pPr>
            <w:r w:rsidRPr="00694D6D">
              <w:rPr>
                <w:rFonts w:ascii="Times New Roman" w:hAnsi="Times New Roman" w:cs="Times New Roman"/>
                <w:b/>
                <w:sz w:val="24"/>
                <w:szCs w:val="24"/>
                <w:lang w:val="en-GB"/>
              </w:rPr>
              <w:t>R’thousand</w:t>
            </w:r>
          </w:p>
        </w:tc>
        <w:tc>
          <w:tcPr>
            <w:tcW w:w="718" w:type="pct"/>
            <w:shd w:val="clear" w:color="auto" w:fill="C2D69B" w:themeFill="accent3" w:themeFillTint="99"/>
            <w:vAlign w:val="center"/>
          </w:tcPr>
          <w:p w14:paraId="0FD4A19D" w14:textId="77777777" w:rsidR="00334976" w:rsidRPr="00694D6D" w:rsidRDefault="00334976" w:rsidP="00694D6D">
            <w:pPr>
              <w:spacing w:line="360" w:lineRule="auto"/>
              <w:jc w:val="center"/>
              <w:rPr>
                <w:rFonts w:ascii="Times New Roman" w:hAnsi="Times New Roman" w:cs="Times New Roman"/>
                <w:b/>
                <w:sz w:val="24"/>
                <w:szCs w:val="24"/>
                <w:lang w:val="en-GB"/>
              </w:rPr>
            </w:pPr>
            <w:r w:rsidRPr="00694D6D">
              <w:rPr>
                <w:rFonts w:ascii="Times New Roman" w:hAnsi="Times New Roman" w:cs="Times New Roman"/>
                <w:b/>
                <w:sz w:val="24"/>
                <w:szCs w:val="24"/>
                <w:lang w:val="en-GB"/>
              </w:rPr>
              <w:t>Variance</w:t>
            </w:r>
          </w:p>
          <w:p w14:paraId="6B48AC58" w14:textId="77777777" w:rsidR="00334976" w:rsidRPr="00694D6D" w:rsidRDefault="00334976" w:rsidP="00694D6D">
            <w:pPr>
              <w:spacing w:line="360" w:lineRule="auto"/>
              <w:jc w:val="center"/>
              <w:rPr>
                <w:rFonts w:ascii="Times New Roman" w:hAnsi="Times New Roman" w:cs="Times New Roman"/>
                <w:b/>
                <w:sz w:val="24"/>
                <w:szCs w:val="24"/>
                <w:lang w:val="en-GB"/>
              </w:rPr>
            </w:pPr>
            <w:r w:rsidRPr="00694D6D">
              <w:rPr>
                <w:rFonts w:ascii="Times New Roman" w:hAnsi="Times New Roman" w:cs="Times New Roman"/>
                <w:b/>
                <w:sz w:val="24"/>
                <w:szCs w:val="24"/>
                <w:lang w:val="en-GB"/>
              </w:rPr>
              <w:t>R’thousand</w:t>
            </w:r>
          </w:p>
        </w:tc>
        <w:tc>
          <w:tcPr>
            <w:tcW w:w="840" w:type="pct"/>
            <w:shd w:val="clear" w:color="auto" w:fill="C2D69B" w:themeFill="accent3" w:themeFillTint="99"/>
            <w:vAlign w:val="center"/>
          </w:tcPr>
          <w:p w14:paraId="5E08A188" w14:textId="77777777" w:rsidR="00334976" w:rsidRPr="00694D6D" w:rsidRDefault="00334976" w:rsidP="00694D6D">
            <w:pPr>
              <w:spacing w:line="360" w:lineRule="auto"/>
              <w:jc w:val="center"/>
              <w:rPr>
                <w:rFonts w:ascii="Times New Roman" w:hAnsi="Times New Roman" w:cs="Times New Roman"/>
                <w:b/>
                <w:sz w:val="24"/>
                <w:szCs w:val="24"/>
                <w:lang w:val="en-GB"/>
              </w:rPr>
            </w:pPr>
            <w:r w:rsidRPr="00694D6D">
              <w:rPr>
                <w:rFonts w:ascii="Times New Roman" w:hAnsi="Times New Roman" w:cs="Times New Roman"/>
                <w:b/>
                <w:sz w:val="24"/>
                <w:szCs w:val="24"/>
                <w:lang w:val="en-GB"/>
              </w:rPr>
              <w:t>Expenditure as % of final appropriation</w:t>
            </w:r>
          </w:p>
        </w:tc>
      </w:tr>
      <w:tr w:rsidR="00334976" w:rsidRPr="00694D6D" w14:paraId="47DECB9E" w14:textId="77777777" w:rsidTr="001579E5">
        <w:tc>
          <w:tcPr>
            <w:tcW w:w="1031" w:type="pct"/>
          </w:tcPr>
          <w:p w14:paraId="37885AD1" w14:textId="77777777" w:rsidR="00334976" w:rsidRPr="00694D6D" w:rsidRDefault="00334976" w:rsidP="00694D6D">
            <w:pPr>
              <w:spacing w:line="360" w:lineRule="auto"/>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Current payments</w:t>
            </w:r>
          </w:p>
        </w:tc>
        <w:tc>
          <w:tcPr>
            <w:tcW w:w="840" w:type="pct"/>
            <w:vAlign w:val="center"/>
          </w:tcPr>
          <w:p w14:paraId="0510E590" w14:textId="77777777" w:rsidR="00334976" w:rsidRPr="00694D6D" w:rsidRDefault="00334976" w:rsidP="00694D6D">
            <w:pPr>
              <w:spacing w:line="360" w:lineRule="auto"/>
              <w:jc w:val="right"/>
              <w:rPr>
                <w:rFonts w:ascii="Times New Roman" w:hAnsi="Times New Roman" w:cs="Times New Roman"/>
                <w:sz w:val="24"/>
                <w:szCs w:val="24"/>
                <w:lang w:val="en-GB"/>
              </w:rPr>
            </w:pPr>
            <w:r w:rsidRPr="00694D6D">
              <w:rPr>
                <w:rFonts w:ascii="Times New Roman" w:hAnsi="Times New Roman" w:cs="Times New Roman"/>
                <w:sz w:val="24"/>
                <w:szCs w:val="24"/>
                <w:lang w:val="en-GB"/>
              </w:rPr>
              <w:t>603 305</w:t>
            </w:r>
          </w:p>
        </w:tc>
        <w:tc>
          <w:tcPr>
            <w:tcW w:w="840" w:type="pct"/>
            <w:vAlign w:val="center"/>
          </w:tcPr>
          <w:p w14:paraId="74436C6C" w14:textId="77777777" w:rsidR="00334976" w:rsidRPr="00694D6D" w:rsidRDefault="00334976" w:rsidP="00694D6D">
            <w:pPr>
              <w:spacing w:line="360" w:lineRule="auto"/>
              <w:jc w:val="right"/>
              <w:rPr>
                <w:rFonts w:ascii="Times New Roman" w:hAnsi="Times New Roman" w:cs="Times New Roman"/>
                <w:sz w:val="24"/>
                <w:szCs w:val="24"/>
                <w:lang w:val="en-GB"/>
              </w:rPr>
            </w:pPr>
            <w:r w:rsidRPr="00694D6D">
              <w:rPr>
                <w:rFonts w:ascii="Times New Roman" w:hAnsi="Times New Roman" w:cs="Times New Roman"/>
                <w:sz w:val="24"/>
                <w:szCs w:val="24"/>
                <w:lang w:val="en-GB"/>
              </w:rPr>
              <w:t>600 969</w:t>
            </w:r>
          </w:p>
        </w:tc>
        <w:tc>
          <w:tcPr>
            <w:tcW w:w="731" w:type="pct"/>
            <w:vAlign w:val="center"/>
          </w:tcPr>
          <w:p w14:paraId="59A36464" w14:textId="77777777" w:rsidR="00334976" w:rsidRPr="00694D6D" w:rsidRDefault="00334976" w:rsidP="00694D6D">
            <w:pPr>
              <w:spacing w:line="360" w:lineRule="auto"/>
              <w:jc w:val="right"/>
              <w:rPr>
                <w:rFonts w:ascii="Times New Roman" w:hAnsi="Times New Roman" w:cs="Times New Roman"/>
                <w:sz w:val="24"/>
                <w:szCs w:val="24"/>
                <w:lang w:val="en-GB"/>
              </w:rPr>
            </w:pPr>
            <w:r w:rsidRPr="00694D6D">
              <w:rPr>
                <w:rFonts w:ascii="Times New Roman" w:hAnsi="Times New Roman" w:cs="Times New Roman"/>
                <w:sz w:val="24"/>
                <w:szCs w:val="24"/>
                <w:lang w:val="en-GB"/>
              </w:rPr>
              <w:t>546 152</w:t>
            </w:r>
          </w:p>
        </w:tc>
        <w:tc>
          <w:tcPr>
            <w:tcW w:w="718" w:type="pct"/>
            <w:vAlign w:val="center"/>
          </w:tcPr>
          <w:p w14:paraId="6C4F4597" w14:textId="77777777" w:rsidR="00334976" w:rsidRPr="00694D6D" w:rsidRDefault="00334976" w:rsidP="00694D6D">
            <w:pPr>
              <w:spacing w:line="360" w:lineRule="auto"/>
              <w:jc w:val="right"/>
              <w:rPr>
                <w:rFonts w:ascii="Times New Roman" w:hAnsi="Times New Roman" w:cs="Times New Roman"/>
                <w:sz w:val="24"/>
                <w:szCs w:val="24"/>
                <w:lang w:val="en-GB"/>
              </w:rPr>
            </w:pPr>
            <w:r w:rsidRPr="00694D6D">
              <w:rPr>
                <w:rFonts w:ascii="Times New Roman" w:hAnsi="Times New Roman" w:cs="Times New Roman"/>
                <w:sz w:val="24"/>
                <w:szCs w:val="24"/>
                <w:lang w:val="en-GB"/>
              </w:rPr>
              <w:t>54 817</w:t>
            </w:r>
          </w:p>
        </w:tc>
        <w:tc>
          <w:tcPr>
            <w:tcW w:w="840" w:type="pct"/>
            <w:vAlign w:val="center"/>
          </w:tcPr>
          <w:p w14:paraId="382D95F6" w14:textId="77777777" w:rsidR="00334976" w:rsidRPr="00694D6D" w:rsidRDefault="00203292" w:rsidP="00694D6D">
            <w:pPr>
              <w:spacing w:line="360" w:lineRule="auto"/>
              <w:jc w:val="center"/>
              <w:rPr>
                <w:rFonts w:ascii="Times New Roman" w:hAnsi="Times New Roman" w:cs="Times New Roman"/>
                <w:sz w:val="24"/>
                <w:szCs w:val="24"/>
                <w:lang w:val="en-GB"/>
              </w:rPr>
            </w:pPr>
            <w:r w:rsidRPr="00694D6D">
              <w:rPr>
                <w:rFonts w:ascii="Times New Roman" w:hAnsi="Times New Roman" w:cs="Times New Roman"/>
                <w:sz w:val="24"/>
                <w:szCs w:val="24"/>
                <w:lang w:val="en-GB"/>
              </w:rPr>
              <w:t>90.9%</w:t>
            </w:r>
          </w:p>
        </w:tc>
      </w:tr>
      <w:tr w:rsidR="00334976" w:rsidRPr="00694D6D" w14:paraId="5926C9BF" w14:textId="77777777" w:rsidTr="001579E5">
        <w:tc>
          <w:tcPr>
            <w:tcW w:w="1031" w:type="pct"/>
          </w:tcPr>
          <w:p w14:paraId="493650A7" w14:textId="77777777" w:rsidR="00334976" w:rsidRPr="00694D6D" w:rsidRDefault="00334976" w:rsidP="00694D6D">
            <w:pPr>
              <w:spacing w:line="360" w:lineRule="auto"/>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Transfers and subsidies</w:t>
            </w:r>
          </w:p>
        </w:tc>
        <w:tc>
          <w:tcPr>
            <w:tcW w:w="840" w:type="pct"/>
            <w:vAlign w:val="center"/>
          </w:tcPr>
          <w:p w14:paraId="43C0F1DB" w14:textId="77777777" w:rsidR="00334976" w:rsidRPr="00694D6D" w:rsidRDefault="00334976" w:rsidP="00694D6D">
            <w:pPr>
              <w:spacing w:line="360" w:lineRule="auto"/>
              <w:jc w:val="right"/>
              <w:rPr>
                <w:rFonts w:ascii="Times New Roman" w:hAnsi="Times New Roman" w:cs="Times New Roman"/>
                <w:sz w:val="24"/>
                <w:szCs w:val="24"/>
                <w:lang w:val="en-GB"/>
              </w:rPr>
            </w:pPr>
            <w:r w:rsidRPr="00694D6D">
              <w:rPr>
                <w:rFonts w:ascii="Times New Roman" w:hAnsi="Times New Roman" w:cs="Times New Roman"/>
                <w:sz w:val="24"/>
                <w:szCs w:val="24"/>
                <w:lang w:val="en-GB"/>
              </w:rPr>
              <w:t>7 174 989</w:t>
            </w:r>
          </w:p>
        </w:tc>
        <w:tc>
          <w:tcPr>
            <w:tcW w:w="840" w:type="pct"/>
            <w:vAlign w:val="center"/>
          </w:tcPr>
          <w:p w14:paraId="5C0B3A92" w14:textId="77777777" w:rsidR="00334976" w:rsidRPr="00694D6D" w:rsidRDefault="00334976" w:rsidP="00694D6D">
            <w:pPr>
              <w:spacing w:line="360" w:lineRule="auto"/>
              <w:jc w:val="right"/>
              <w:rPr>
                <w:rFonts w:ascii="Times New Roman" w:hAnsi="Times New Roman" w:cs="Times New Roman"/>
                <w:sz w:val="24"/>
                <w:szCs w:val="24"/>
                <w:lang w:val="en-GB"/>
              </w:rPr>
            </w:pPr>
            <w:r w:rsidRPr="00694D6D">
              <w:rPr>
                <w:rFonts w:ascii="Times New Roman" w:hAnsi="Times New Roman" w:cs="Times New Roman"/>
                <w:sz w:val="24"/>
                <w:szCs w:val="24"/>
                <w:lang w:val="en-GB"/>
              </w:rPr>
              <w:t>7 343 539</w:t>
            </w:r>
          </w:p>
        </w:tc>
        <w:tc>
          <w:tcPr>
            <w:tcW w:w="731" w:type="pct"/>
            <w:vAlign w:val="center"/>
          </w:tcPr>
          <w:p w14:paraId="35D2CEFA" w14:textId="77777777" w:rsidR="00334976" w:rsidRPr="00694D6D" w:rsidRDefault="00334976" w:rsidP="00694D6D">
            <w:pPr>
              <w:spacing w:line="360" w:lineRule="auto"/>
              <w:jc w:val="right"/>
              <w:rPr>
                <w:rFonts w:ascii="Times New Roman" w:hAnsi="Times New Roman" w:cs="Times New Roman"/>
                <w:sz w:val="24"/>
                <w:szCs w:val="24"/>
                <w:lang w:val="en-GB"/>
              </w:rPr>
            </w:pPr>
            <w:r w:rsidRPr="00694D6D">
              <w:rPr>
                <w:rFonts w:ascii="Times New Roman" w:hAnsi="Times New Roman" w:cs="Times New Roman"/>
                <w:sz w:val="24"/>
                <w:szCs w:val="24"/>
                <w:lang w:val="en-GB"/>
              </w:rPr>
              <w:t>7 336 589</w:t>
            </w:r>
          </w:p>
        </w:tc>
        <w:tc>
          <w:tcPr>
            <w:tcW w:w="718" w:type="pct"/>
            <w:vAlign w:val="center"/>
          </w:tcPr>
          <w:p w14:paraId="735B21C9" w14:textId="77777777" w:rsidR="00334976" w:rsidRPr="00694D6D" w:rsidRDefault="00334976" w:rsidP="00694D6D">
            <w:pPr>
              <w:spacing w:line="360" w:lineRule="auto"/>
              <w:jc w:val="right"/>
              <w:rPr>
                <w:rFonts w:ascii="Times New Roman" w:hAnsi="Times New Roman" w:cs="Times New Roman"/>
                <w:sz w:val="24"/>
                <w:szCs w:val="24"/>
                <w:lang w:val="en-GB"/>
              </w:rPr>
            </w:pPr>
            <w:r w:rsidRPr="00694D6D">
              <w:rPr>
                <w:rFonts w:ascii="Times New Roman" w:hAnsi="Times New Roman" w:cs="Times New Roman"/>
                <w:sz w:val="24"/>
                <w:szCs w:val="24"/>
                <w:lang w:val="en-GB"/>
              </w:rPr>
              <w:t>6 950</w:t>
            </w:r>
          </w:p>
        </w:tc>
        <w:tc>
          <w:tcPr>
            <w:tcW w:w="840" w:type="pct"/>
            <w:vAlign w:val="center"/>
          </w:tcPr>
          <w:p w14:paraId="0A2C1B7A" w14:textId="77777777" w:rsidR="00334976" w:rsidRPr="00694D6D" w:rsidRDefault="00203292" w:rsidP="00694D6D">
            <w:pPr>
              <w:spacing w:line="360" w:lineRule="auto"/>
              <w:jc w:val="center"/>
              <w:rPr>
                <w:rFonts w:ascii="Times New Roman" w:hAnsi="Times New Roman" w:cs="Times New Roman"/>
                <w:sz w:val="24"/>
                <w:szCs w:val="24"/>
                <w:lang w:val="en-GB"/>
              </w:rPr>
            </w:pPr>
            <w:r w:rsidRPr="00694D6D">
              <w:rPr>
                <w:rFonts w:ascii="Times New Roman" w:hAnsi="Times New Roman" w:cs="Times New Roman"/>
                <w:sz w:val="24"/>
                <w:szCs w:val="24"/>
                <w:lang w:val="en-GB"/>
              </w:rPr>
              <w:t>99.9%</w:t>
            </w:r>
          </w:p>
        </w:tc>
      </w:tr>
      <w:tr w:rsidR="00334976" w:rsidRPr="00694D6D" w14:paraId="19D84F38" w14:textId="77777777" w:rsidTr="001579E5">
        <w:tc>
          <w:tcPr>
            <w:tcW w:w="1031" w:type="pct"/>
          </w:tcPr>
          <w:p w14:paraId="40168798" w14:textId="77777777" w:rsidR="00334976" w:rsidRPr="00694D6D" w:rsidRDefault="00334976" w:rsidP="00694D6D">
            <w:pPr>
              <w:spacing w:line="360" w:lineRule="auto"/>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Payments for capital assets</w:t>
            </w:r>
          </w:p>
        </w:tc>
        <w:tc>
          <w:tcPr>
            <w:tcW w:w="840" w:type="pct"/>
            <w:vAlign w:val="center"/>
          </w:tcPr>
          <w:p w14:paraId="3B5C9894" w14:textId="77777777" w:rsidR="00334976" w:rsidRPr="00694D6D" w:rsidRDefault="00334976" w:rsidP="00694D6D">
            <w:pPr>
              <w:spacing w:line="360" w:lineRule="auto"/>
              <w:jc w:val="right"/>
              <w:rPr>
                <w:rFonts w:ascii="Times New Roman" w:hAnsi="Times New Roman" w:cs="Times New Roman"/>
                <w:sz w:val="24"/>
                <w:szCs w:val="24"/>
                <w:lang w:val="en-GB"/>
              </w:rPr>
            </w:pPr>
            <w:r w:rsidRPr="00694D6D">
              <w:rPr>
                <w:rFonts w:ascii="Times New Roman" w:hAnsi="Times New Roman" w:cs="Times New Roman"/>
                <w:sz w:val="24"/>
                <w:szCs w:val="24"/>
                <w:lang w:val="en-GB"/>
              </w:rPr>
              <w:t>12 194</w:t>
            </w:r>
          </w:p>
        </w:tc>
        <w:tc>
          <w:tcPr>
            <w:tcW w:w="840" w:type="pct"/>
            <w:vAlign w:val="center"/>
          </w:tcPr>
          <w:p w14:paraId="6A562EBE" w14:textId="77777777" w:rsidR="00334976" w:rsidRPr="00694D6D" w:rsidRDefault="00334976" w:rsidP="00694D6D">
            <w:pPr>
              <w:spacing w:line="360" w:lineRule="auto"/>
              <w:jc w:val="right"/>
              <w:rPr>
                <w:rFonts w:ascii="Times New Roman" w:hAnsi="Times New Roman" w:cs="Times New Roman"/>
                <w:sz w:val="24"/>
                <w:szCs w:val="24"/>
                <w:lang w:val="en-GB"/>
              </w:rPr>
            </w:pPr>
            <w:r w:rsidRPr="00694D6D">
              <w:rPr>
                <w:rFonts w:ascii="Times New Roman" w:hAnsi="Times New Roman" w:cs="Times New Roman"/>
                <w:sz w:val="24"/>
                <w:szCs w:val="24"/>
                <w:lang w:val="en-GB"/>
              </w:rPr>
              <w:t>13 735</w:t>
            </w:r>
          </w:p>
        </w:tc>
        <w:tc>
          <w:tcPr>
            <w:tcW w:w="731" w:type="pct"/>
            <w:vAlign w:val="center"/>
          </w:tcPr>
          <w:p w14:paraId="074C2C15" w14:textId="77777777" w:rsidR="00334976" w:rsidRPr="00694D6D" w:rsidRDefault="00334976" w:rsidP="00694D6D">
            <w:pPr>
              <w:spacing w:line="360" w:lineRule="auto"/>
              <w:jc w:val="right"/>
              <w:rPr>
                <w:rFonts w:ascii="Times New Roman" w:hAnsi="Times New Roman" w:cs="Times New Roman"/>
                <w:sz w:val="24"/>
                <w:szCs w:val="24"/>
                <w:lang w:val="en-GB"/>
              </w:rPr>
            </w:pPr>
            <w:r w:rsidRPr="00694D6D">
              <w:rPr>
                <w:rFonts w:ascii="Times New Roman" w:hAnsi="Times New Roman" w:cs="Times New Roman"/>
                <w:sz w:val="24"/>
                <w:szCs w:val="24"/>
                <w:lang w:val="en-GB"/>
              </w:rPr>
              <w:t>9 042</w:t>
            </w:r>
          </w:p>
        </w:tc>
        <w:tc>
          <w:tcPr>
            <w:tcW w:w="718" w:type="pct"/>
            <w:vAlign w:val="center"/>
          </w:tcPr>
          <w:p w14:paraId="1043DB2D" w14:textId="77777777" w:rsidR="00334976" w:rsidRPr="00694D6D" w:rsidRDefault="00334976" w:rsidP="00694D6D">
            <w:pPr>
              <w:spacing w:line="360" w:lineRule="auto"/>
              <w:jc w:val="right"/>
              <w:rPr>
                <w:rFonts w:ascii="Times New Roman" w:hAnsi="Times New Roman" w:cs="Times New Roman"/>
                <w:sz w:val="24"/>
                <w:szCs w:val="24"/>
                <w:lang w:val="en-GB"/>
              </w:rPr>
            </w:pPr>
            <w:r w:rsidRPr="00694D6D">
              <w:rPr>
                <w:rFonts w:ascii="Times New Roman" w:hAnsi="Times New Roman" w:cs="Times New Roman"/>
                <w:sz w:val="24"/>
                <w:szCs w:val="24"/>
                <w:lang w:val="en-GB"/>
              </w:rPr>
              <w:t>4 693</w:t>
            </w:r>
          </w:p>
        </w:tc>
        <w:tc>
          <w:tcPr>
            <w:tcW w:w="840" w:type="pct"/>
            <w:vAlign w:val="center"/>
          </w:tcPr>
          <w:p w14:paraId="163C1402" w14:textId="77777777" w:rsidR="00334976" w:rsidRPr="00694D6D" w:rsidRDefault="00203292" w:rsidP="00694D6D">
            <w:pPr>
              <w:spacing w:line="360" w:lineRule="auto"/>
              <w:jc w:val="center"/>
              <w:rPr>
                <w:rFonts w:ascii="Times New Roman" w:hAnsi="Times New Roman" w:cs="Times New Roman"/>
                <w:sz w:val="24"/>
                <w:szCs w:val="24"/>
                <w:lang w:val="en-GB"/>
              </w:rPr>
            </w:pPr>
            <w:r w:rsidRPr="00694D6D">
              <w:rPr>
                <w:rFonts w:ascii="Times New Roman" w:hAnsi="Times New Roman" w:cs="Times New Roman"/>
                <w:sz w:val="24"/>
                <w:szCs w:val="24"/>
                <w:lang w:val="en-GB"/>
              </w:rPr>
              <w:t>65.7%</w:t>
            </w:r>
          </w:p>
        </w:tc>
      </w:tr>
      <w:tr w:rsidR="00334976" w:rsidRPr="00694D6D" w14:paraId="3DBA1D5E" w14:textId="77777777" w:rsidTr="00185C80">
        <w:tc>
          <w:tcPr>
            <w:tcW w:w="1031" w:type="pct"/>
            <w:shd w:val="clear" w:color="auto" w:fill="auto"/>
          </w:tcPr>
          <w:p w14:paraId="1A63DD8E" w14:textId="77777777" w:rsidR="00334976" w:rsidRPr="00694D6D" w:rsidRDefault="00334976" w:rsidP="00694D6D">
            <w:pPr>
              <w:spacing w:line="360" w:lineRule="auto"/>
              <w:jc w:val="both"/>
              <w:rPr>
                <w:rFonts w:ascii="Times New Roman" w:hAnsi="Times New Roman" w:cs="Times New Roman"/>
                <w:b/>
                <w:sz w:val="24"/>
                <w:szCs w:val="24"/>
                <w:lang w:val="en-GB"/>
              </w:rPr>
            </w:pPr>
            <w:r w:rsidRPr="00694D6D">
              <w:rPr>
                <w:rFonts w:ascii="Times New Roman" w:hAnsi="Times New Roman" w:cs="Times New Roman"/>
                <w:b/>
                <w:sz w:val="24"/>
                <w:szCs w:val="24"/>
                <w:lang w:val="en-GB"/>
              </w:rPr>
              <w:t>TOTAL</w:t>
            </w:r>
          </w:p>
        </w:tc>
        <w:tc>
          <w:tcPr>
            <w:tcW w:w="840" w:type="pct"/>
          </w:tcPr>
          <w:p w14:paraId="04374BA2" w14:textId="77777777" w:rsidR="00334976" w:rsidRPr="00694D6D" w:rsidRDefault="00334976" w:rsidP="00694D6D">
            <w:pPr>
              <w:spacing w:line="360" w:lineRule="auto"/>
              <w:jc w:val="right"/>
              <w:rPr>
                <w:rFonts w:ascii="Times New Roman" w:hAnsi="Times New Roman" w:cs="Times New Roman"/>
                <w:b/>
                <w:sz w:val="24"/>
                <w:szCs w:val="24"/>
                <w:lang w:val="en-GB"/>
              </w:rPr>
            </w:pPr>
            <w:r w:rsidRPr="00694D6D">
              <w:rPr>
                <w:rFonts w:ascii="Times New Roman" w:hAnsi="Times New Roman" w:cs="Times New Roman"/>
                <w:b/>
                <w:sz w:val="24"/>
                <w:szCs w:val="24"/>
                <w:lang w:val="en-GB"/>
              </w:rPr>
              <w:t>7 790 488</w:t>
            </w:r>
          </w:p>
        </w:tc>
        <w:tc>
          <w:tcPr>
            <w:tcW w:w="840" w:type="pct"/>
            <w:shd w:val="clear" w:color="auto" w:fill="auto"/>
          </w:tcPr>
          <w:p w14:paraId="585D3E6C" w14:textId="77777777" w:rsidR="00334976" w:rsidRPr="00694D6D" w:rsidRDefault="00334976" w:rsidP="00694D6D">
            <w:pPr>
              <w:spacing w:line="360" w:lineRule="auto"/>
              <w:jc w:val="right"/>
              <w:rPr>
                <w:rFonts w:ascii="Times New Roman" w:hAnsi="Times New Roman" w:cs="Times New Roman"/>
                <w:b/>
                <w:sz w:val="24"/>
                <w:szCs w:val="24"/>
                <w:lang w:val="en-GB"/>
              </w:rPr>
            </w:pPr>
            <w:r w:rsidRPr="00694D6D">
              <w:rPr>
                <w:rFonts w:ascii="Times New Roman" w:hAnsi="Times New Roman" w:cs="Times New Roman"/>
                <w:b/>
                <w:sz w:val="24"/>
                <w:szCs w:val="24"/>
                <w:lang w:val="en-GB"/>
              </w:rPr>
              <w:t>7 958 388</w:t>
            </w:r>
          </w:p>
        </w:tc>
        <w:tc>
          <w:tcPr>
            <w:tcW w:w="731" w:type="pct"/>
            <w:shd w:val="clear" w:color="auto" w:fill="auto"/>
          </w:tcPr>
          <w:p w14:paraId="0C309466" w14:textId="77777777" w:rsidR="00334976" w:rsidRPr="00694D6D" w:rsidRDefault="00334976" w:rsidP="00694D6D">
            <w:pPr>
              <w:spacing w:line="360" w:lineRule="auto"/>
              <w:jc w:val="right"/>
              <w:rPr>
                <w:rFonts w:ascii="Times New Roman" w:hAnsi="Times New Roman" w:cs="Times New Roman"/>
                <w:b/>
                <w:sz w:val="24"/>
                <w:szCs w:val="24"/>
                <w:lang w:val="en-GB"/>
              </w:rPr>
            </w:pPr>
            <w:r w:rsidRPr="00694D6D">
              <w:rPr>
                <w:rFonts w:ascii="Times New Roman" w:hAnsi="Times New Roman" w:cs="Times New Roman"/>
                <w:b/>
                <w:sz w:val="24"/>
                <w:szCs w:val="24"/>
                <w:lang w:val="en-GB"/>
              </w:rPr>
              <w:t>7 891 926</w:t>
            </w:r>
          </w:p>
        </w:tc>
        <w:tc>
          <w:tcPr>
            <w:tcW w:w="718" w:type="pct"/>
            <w:shd w:val="clear" w:color="auto" w:fill="auto"/>
          </w:tcPr>
          <w:p w14:paraId="3EB9B464" w14:textId="77777777" w:rsidR="00334976" w:rsidRPr="00694D6D" w:rsidRDefault="00334976" w:rsidP="00694D6D">
            <w:pPr>
              <w:spacing w:line="360" w:lineRule="auto"/>
              <w:jc w:val="right"/>
              <w:rPr>
                <w:rFonts w:ascii="Times New Roman" w:hAnsi="Times New Roman" w:cs="Times New Roman"/>
                <w:b/>
                <w:sz w:val="24"/>
                <w:szCs w:val="24"/>
                <w:lang w:val="en-GB"/>
              </w:rPr>
            </w:pPr>
            <w:r w:rsidRPr="00694D6D">
              <w:rPr>
                <w:rFonts w:ascii="Times New Roman" w:hAnsi="Times New Roman" w:cs="Times New Roman"/>
                <w:b/>
                <w:sz w:val="24"/>
                <w:szCs w:val="24"/>
                <w:lang w:val="en-GB"/>
              </w:rPr>
              <w:t>66 462</w:t>
            </w:r>
          </w:p>
        </w:tc>
        <w:tc>
          <w:tcPr>
            <w:tcW w:w="840" w:type="pct"/>
            <w:vAlign w:val="center"/>
          </w:tcPr>
          <w:p w14:paraId="754A4807" w14:textId="77777777" w:rsidR="00334976" w:rsidRPr="00694D6D" w:rsidRDefault="00203292" w:rsidP="00694D6D">
            <w:pPr>
              <w:spacing w:line="360" w:lineRule="auto"/>
              <w:jc w:val="center"/>
              <w:rPr>
                <w:rFonts w:ascii="Times New Roman" w:hAnsi="Times New Roman" w:cs="Times New Roman"/>
                <w:b/>
                <w:sz w:val="24"/>
                <w:szCs w:val="24"/>
                <w:lang w:val="en-GB"/>
              </w:rPr>
            </w:pPr>
            <w:r w:rsidRPr="00694D6D">
              <w:rPr>
                <w:rFonts w:ascii="Times New Roman" w:hAnsi="Times New Roman" w:cs="Times New Roman"/>
                <w:b/>
                <w:sz w:val="24"/>
                <w:szCs w:val="24"/>
                <w:lang w:val="en-GB"/>
              </w:rPr>
              <w:t>99.2%</w:t>
            </w:r>
          </w:p>
        </w:tc>
      </w:tr>
    </w:tbl>
    <w:p w14:paraId="28057D7C" w14:textId="77777777" w:rsidR="00F64195" w:rsidRPr="00694D6D" w:rsidRDefault="00F64195" w:rsidP="00694D6D">
      <w:pPr>
        <w:spacing w:after="0" w:line="360" w:lineRule="auto"/>
        <w:jc w:val="both"/>
        <w:rPr>
          <w:rFonts w:ascii="Times New Roman" w:hAnsi="Times New Roman" w:cs="Times New Roman"/>
          <w:sz w:val="24"/>
          <w:szCs w:val="24"/>
          <w:lang w:val="en-GB"/>
        </w:rPr>
      </w:pPr>
    </w:p>
    <w:p w14:paraId="75ABCBD2" w14:textId="77777777" w:rsidR="00AF485E" w:rsidRPr="00694D6D" w:rsidRDefault="00AF485E" w:rsidP="00694D6D">
      <w:pPr>
        <w:pStyle w:val="ListParagraph"/>
        <w:spacing w:after="0" w:line="360" w:lineRule="auto"/>
        <w:ind w:left="0"/>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As at 31 March 2019, the Department had 90 vacancies (total posts 490), which translated to a 18.4% vacancy rate. Furthermore, only 81% of the approved departmental organisational structure was funded, with staff in funded positions carrying out the functions of the unfunded positions, leaving many employees overburdened and overstretched.</w:t>
      </w:r>
    </w:p>
    <w:p w14:paraId="5AB725F5" w14:textId="77777777" w:rsidR="00AF485E" w:rsidRPr="00694D6D" w:rsidRDefault="00AF485E" w:rsidP="00694D6D">
      <w:pPr>
        <w:pStyle w:val="ListParagraph"/>
        <w:spacing w:after="0" w:line="360" w:lineRule="auto"/>
        <w:ind w:left="0"/>
        <w:jc w:val="both"/>
        <w:rPr>
          <w:rFonts w:ascii="Times New Roman" w:hAnsi="Times New Roman" w:cs="Times New Roman"/>
          <w:sz w:val="24"/>
          <w:szCs w:val="24"/>
          <w:lang w:val="en-GB"/>
        </w:rPr>
      </w:pPr>
    </w:p>
    <w:p w14:paraId="3F380CC8" w14:textId="77777777" w:rsidR="00D8151F" w:rsidRPr="00694D6D" w:rsidRDefault="00D8151F" w:rsidP="00694D6D">
      <w:pPr>
        <w:pStyle w:val="ListParagraph"/>
        <w:spacing w:after="0" w:line="360" w:lineRule="auto"/>
        <w:ind w:left="0"/>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 xml:space="preserve">The Department incurred R684 000 (R14.5 million in 2017/18) in irregular expenditure due to four incidences of non-compliance with supply chain management processes, the details of which </w:t>
      </w:r>
      <w:r w:rsidR="00A55E16" w:rsidRPr="00694D6D">
        <w:rPr>
          <w:rFonts w:ascii="Times New Roman" w:hAnsi="Times New Roman" w:cs="Times New Roman"/>
          <w:sz w:val="24"/>
          <w:szCs w:val="24"/>
          <w:lang w:val="en-GB"/>
        </w:rPr>
        <w:t>were</w:t>
      </w:r>
      <w:r w:rsidRPr="00694D6D">
        <w:rPr>
          <w:rFonts w:ascii="Times New Roman" w:hAnsi="Times New Roman" w:cs="Times New Roman"/>
          <w:sz w:val="24"/>
          <w:szCs w:val="24"/>
          <w:lang w:val="en-GB"/>
        </w:rPr>
        <w:t xml:space="preserve"> referred to the Accounting Officer for further action. Irregular expenditure awaiting condonation from the 2018/19 and prior (R34.4 million) financial years amount</w:t>
      </w:r>
      <w:r w:rsidR="00A55E16" w:rsidRPr="00694D6D">
        <w:rPr>
          <w:rFonts w:ascii="Times New Roman" w:hAnsi="Times New Roman" w:cs="Times New Roman"/>
          <w:sz w:val="24"/>
          <w:szCs w:val="24"/>
          <w:lang w:val="en-GB"/>
        </w:rPr>
        <w:t>ed</w:t>
      </w:r>
      <w:r w:rsidRPr="00694D6D">
        <w:rPr>
          <w:rFonts w:ascii="Times New Roman" w:hAnsi="Times New Roman" w:cs="Times New Roman"/>
          <w:sz w:val="24"/>
          <w:szCs w:val="24"/>
          <w:lang w:val="en-GB"/>
        </w:rPr>
        <w:t xml:space="preserve"> to R35 million.</w:t>
      </w:r>
    </w:p>
    <w:p w14:paraId="644F3A42" w14:textId="77777777" w:rsidR="00D8151F" w:rsidRPr="00694D6D" w:rsidRDefault="00D8151F" w:rsidP="00694D6D">
      <w:pPr>
        <w:pStyle w:val="ListParagraph"/>
        <w:spacing w:after="0" w:line="360" w:lineRule="auto"/>
        <w:ind w:left="0"/>
        <w:jc w:val="both"/>
        <w:rPr>
          <w:rFonts w:ascii="Times New Roman" w:hAnsi="Times New Roman" w:cs="Times New Roman"/>
          <w:sz w:val="24"/>
          <w:szCs w:val="24"/>
          <w:lang w:val="en-GB"/>
        </w:rPr>
      </w:pPr>
    </w:p>
    <w:p w14:paraId="4E7ADB81" w14:textId="77777777" w:rsidR="00927FAB" w:rsidRPr="00694D6D" w:rsidRDefault="00D8151F" w:rsidP="00694D6D">
      <w:pPr>
        <w:pStyle w:val="ListParagraph"/>
        <w:spacing w:after="0" w:line="360" w:lineRule="auto"/>
        <w:ind w:left="0"/>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The Department incurred R526 000 (zero in 2017/18) in fruitless and wasteful expenditure relat</w:t>
      </w:r>
      <w:r w:rsidR="00A55E16" w:rsidRPr="00694D6D">
        <w:rPr>
          <w:rFonts w:ascii="Times New Roman" w:hAnsi="Times New Roman" w:cs="Times New Roman"/>
          <w:sz w:val="24"/>
          <w:szCs w:val="24"/>
          <w:lang w:val="en-GB"/>
        </w:rPr>
        <w:t>ed</w:t>
      </w:r>
      <w:r w:rsidRPr="00694D6D">
        <w:rPr>
          <w:rFonts w:ascii="Times New Roman" w:hAnsi="Times New Roman" w:cs="Times New Roman"/>
          <w:sz w:val="24"/>
          <w:szCs w:val="24"/>
          <w:lang w:val="en-GB"/>
        </w:rPr>
        <w:t xml:space="preserve"> to the cancellation of an event; namely, the Mandela Mining Indaba.</w:t>
      </w:r>
    </w:p>
    <w:p w14:paraId="5A43C26C" w14:textId="77777777" w:rsidR="00D8151F" w:rsidRPr="00694D6D" w:rsidRDefault="00D8151F" w:rsidP="00694D6D">
      <w:pPr>
        <w:pStyle w:val="ListParagraph"/>
        <w:spacing w:after="0" w:line="360" w:lineRule="auto"/>
        <w:ind w:left="0"/>
        <w:jc w:val="both"/>
        <w:rPr>
          <w:rFonts w:ascii="Times New Roman" w:hAnsi="Times New Roman" w:cs="Times New Roman"/>
          <w:sz w:val="24"/>
          <w:szCs w:val="24"/>
          <w:lang w:val="en-GB"/>
        </w:rPr>
      </w:pPr>
    </w:p>
    <w:p w14:paraId="74868BE9" w14:textId="77777777" w:rsidR="00301B45" w:rsidRPr="00694D6D" w:rsidRDefault="0052323F" w:rsidP="00694D6D">
      <w:pPr>
        <w:pStyle w:val="ListParagraph"/>
        <w:numPr>
          <w:ilvl w:val="1"/>
          <w:numId w:val="1"/>
        </w:numPr>
        <w:spacing w:after="0" w:line="360" w:lineRule="auto"/>
        <w:ind w:left="567" w:hanging="567"/>
        <w:jc w:val="both"/>
        <w:rPr>
          <w:rFonts w:ascii="Times New Roman" w:hAnsi="Times New Roman" w:cs="Times New Roman"/>
          <w:b/>
          <w:sz w:val="24"/>
          <w:szCs w:val="24"/>
          <w:lang w:val="en-GB"/>
        </w:rPr>
      </w:pPr>
      <w:r w:rsidRPr="00694D6D">
        <w:rPr>
          <w:rFonts w:ascii="Times New Roman" w:hAnsi="Times New Roman" w:cs="Times New Roman"/>
          <w:b/>
          <w:sz w:val="24"/>
          <w:szCs w:val="24"/>
          <w:lang w:val="en-GB"/>
        </w:rPr>
        <w:t>Auditor</w:t>
      </w:r>
      <w:r w:rsidR="00927FAB" w:rsidRPr="00694D6D">
        <w:rPr>
          <w:rFonts w:ascii="Times New Roman" w:hAnsi="Times New Roman" w:cs="Times New Roman"/>
          <w:b/>
          <w:sz w:val="24"/>
          <w:szCs w:val="24"/>
          <w:lang w:val="en-GB"/>
        </w:rPr>
        <w:t>-</w:t>
      </w:r>
      <w:r w:rsidRPr="00694D6D">
        <w:rPr>
          <w:rFonts w:ascii="Times New Roman" w:hAnsi="Times New Roman" w:cs="Times New Roman"/>
          <w:b/>
          <w:sz w:val="24"/>
          <w:szCs w:val="24"/>
          <w:lang w:val="en-GB"/>
        </w:rPr>
        <w:t xml:space="preserve">General’s </w:t>
      </w:r>
      <w:r w:rsidR="00D73072" w:rsidRPr="00694D6D">
        <w:rPr>
          <w:rFonts w:ascii="Times New Roman" w:hAnsi="Times New Roman" w:cs="Times New Roman"/>
          <w:b/>
          <w:sz w:val="24"/>
          <w:szCs w:val="24"/>
          <w:lang w:val="en-GB"/>
        </w:rPr>
        <w:t>r</w:t>
      </w:r>
      <w:r w:rsidRPr="00694D6D">
        <w:rPr>
          <w:rFonts w:ascii="Times New Roman" w:hAnsi="Times New Roman" w:cs="Times New Roman"/>
          <w:b/>
          <w:sz w:val="24"/>
          <w:szCs w:val="24"/>
          <w:lang w:val="en-GB"/>
        </w:rPr>
        <w:t>eport</w:t>
      </w:r>
      <w:r w:rsidR="00BD5A07" w:rsidRPr="00694D6D">
        <w:rPr>
          <w:rFonts w:ascii="Times New Roman" w:hAnsi="Times New Roman" w:cs="Times New Roman"/>
          <w:b/>
          <w:sz w:val="24"/>
          <w:szCs w:val="24"/>
          <w:lang w:val="en-GB"/>
        </w:rPr>
        <w:t xml:space="preserve"> on the financial statements of the Department</w:t>
      </w:r>
      <w:r w:rsidR="000C7872" w:rsidRPr="00694D6D">
        <w:rPr>
          <w:rFonts w:ascii="Times New Roman" w:hAnsi="Times New Roman" w:cs="Times New Roman"/>
          <w:b/>
          <w:sz w:val="24"/>
          <w:szCs w:val="24"/>
          <w:lang w:val="en-GB"/>
        </w:rPr>
        <w:t xml:space="preserve"> of Science and Technology</w:t>
      </w:r>
    </w:p>
    <w:p w14:paraId="68B27250" w14:textId="77777777" w:rsidR="00301B45" w:rsidRPr="00694D6D" w:rsidRDefault="00301B45" w:rsidP="00694D6D">
      <w:pPr>
        <w:spacing w:after="0" w:line="360" w:lineRule="auto"/>
        <w:jc w:val="both"/>
        <w:rPr>
          <w:rFonts w:ascii="Times New Roman" w:hAnsi="Times New Roman" w:cs="Times New Roman"/>
          <w:sz w:val="24"/>
          <w:szCs w:val="24"/>
          <w:lang w:val="en-GB"/>
        </w:rPr>
      </w:pPr>
    </w:p>
    <w:p w14:paraId="20D84CE4" w14:textId="77777777" w:rsidR="00334976" w:rsidRPr="00694D6D" w:rsidRDefault="007125C9" w:rsidP="00694D6D">
      <w:pPr>
        <w:spacing w:after="0" w:line="360" w:lineRule="auto"/>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 xml:space="preserve">The </w:t>
      </w:r>
      <w:r w:rsidR="00F76015" w:rsidRPr="00694D6D">
        <w:rPr>
          <w:rFonts w:ascii="Times New Roman" w:hAnsi="Times New Roman" w:cs="Times New Roman"/>
          <w:sz w:val="24"/>
          <w:szCs w:val="24"/>
          <w:lang w:val="en-GB"/>
        </w:rPr>
        <w:t>AGSA</w:t>
      </w:r>
      <w:r w:rsidRPr="00694D6D">
        <w:rPr>
          <w:rFonts w:ascii="Times New Roman" w:hAnsi="Times New Roman" w:cs="Times New Roman"/>
          <w:sz w:val="24"/>
          <w:szCs w:val="24"/>
          <w:lang w:val="en-GB"/>
        </w:rPr>
        <w:t xml:space="preserve"> </w:t>
      </w:r>
      <w:r w:rsidR="00334976" w:rsidRPr="00694D6D">
        <w:rPr>
          <w:rFonts w:ascii="Times New Roman" w:hAnsi="Times New Roman" w:cs="Times New Roman"/>
          <w:sz w:val="24"/>
          <w:szCs w:val="24"/>
          <w:lang w:val="en-GB"/>
        </w:rPr>
        <w:t xml:space="preserve">awarded the Department an unqualified audit opinion with no findings; hence, a clean audit, as in the 2017/18 financial year. The </w:t>
      </w:r>
      <w:r w:rsidR="00F76015" w:rsidRPr="00694D6D">
        <w:rPr>
          <w:rFonts w:ascii="Times New Roman" w:hAnsi="Times New Roman" w:cs="Times New Roman"/>
          <w:sz w:val="24"/>
          <w:szCs w:val="24"/>
          <w:lang w:val="en-GB"/>
        </w:rPr>
        <w:t>AGSA</w:t>
      </w:r>
      <w:r w:rsidR="00334976" w:rsidRPr="00694D6D">
        <w:rPr>
          <w:rFonts w:ascii="Times New Roman" w:hAnsi="Times New Roman" w:cs="Times New Roman"/>
          <w:sz w:val="24"/>
          <w:szCs w:val="24"/>
          <w:lang w:val="en-GB"/>
        </w:rPr>
        <w:t xml:space="preserve"> further state</w:t>
      </w:r>
      <w:r w:rsidR="008A2DF0" w:rsidRPr="00694D6D">
        <w:rPr>
          <w:rFonts w:ascii="Times New Roman" w:hAnsi="Times New Roman" w:cs="Times New Roman"/>
          <w:sz w:val="24"/>
          <w:szCs w:val="24"/>
          <w:lang w:val="en-GB"/>
        </w:rPr>
        <w:t>d</w:t>
      </w:r>
      <w:r w:rsidR="00334976" w:rsidRPr="00694D6D">
        <w:rPr>
          <w:rFonts w:ascii="Times New Roman" w:hAnsi="Times New Roman" w:cs="Times New Roman"/>
          <w:sz w:val="24"/>
          <w:szCs w:val="24"/>
          <w:lang w:val="en-GB"/>
        </w:rPr>
        <w:t xml:space="preserve"> that no material findings on compliance with key legislation and that no significant deficiencies in internal control were identified.</w:t>
      </w:r>
      <w:r w:rsidR="008A2DF0" w:rsidRPr="00694D6D">
        <w:rPr>
          <w:rFonts w:ascii="Times New Roman" w:hAnsi="Times New Roman" w:cs="Times New Roman"/>
          <w:sz w:val="24"/>
          <w:szCs w:val="24"/>
          <w:lang w:val="en-GB"/>
        </w:rPr>
        <w:t xml:space="preserve"> However, the </w:t>
      </w:r>
      <w:r w:rsidR="00F76015" w:rsidRPr="00694D6D">
        <w:rPr>
          <w:rFonts w:ascii="Times New Roman" w:hAnsi="Times New Roman" w:cs="Times New Roman"/>
          <w:sz w:val="24"/>
          <w:szCs w:val="24"/>
          <w:lang w:val="en-GB"/>
        </w:rPr>
        <w:t>AGSA</w:t>
      </w:r>
      <w:r w:rsidR="008A2DF0" w:rsidRPr="00694D6D">
        <w:rPr>
          <w:rFonts w:ascii="Times New Roman" w:hAnsi="Times New Roman" w:cs="Times New Roman"/>
          <w:sz w:val="24"/>
          <w:szCs w:val="24"/>
          <w:lang w:val="en-GB"/>
        </w:rPr>
        <w:t xml:space="preserve"> did </w:t>
      </w:r>
      <w:r w:rsidR="00BD4455" w:rsidRPr="00694D6D">
        <w:rPr>
          <w:rFonts w:ascii="Times New Roman" w:hAnsi="Times New Roman" w:cs="Times New Roman"/>
          <w:sz w:val="24"/>
          <w:szCs w:val="24"/>
          <w:lang w:val="en-GB"/>
        </w:rPr>
        <w:t>indicate</w:t>
      </w:r>
      <w:r w:rsidR="008A2DF0" w:rsidRPr="00694D6D">
        <w:rPr>
          <w:rFonts w:ascii="Times New Roman" w:hAnsi="Times New Roman" w:cs="Times New Roman"/>
          <w:sz w:val="24"/>
          <w:szCs w:val="24"/>
          <w:lang w:val="en-GB"/>
        </w:rPr>
        <w:t xml:space="preserve"> to the Committee that the Department should ensure that the existing internal processes should be more closely adhered to so that all instances of irregular</w:t>
      </w:r>
      <w:r w:rsidR="00990700" w:rsidRPr="00694D6D">
        <w:rPr>
          <w:rFonts w:ascii="Times New Roman" w:hAnsi="Times New Roman" w:cs="Times New Roman"/>
          <w:sz w:val="24"/>
          <w:szCs w:val="24"/>
          <w:lang w:val="en-GB"/>
        </w:rPr>
        <w:t>,</w:t>
      </w:r>
      <w:r w:rsidR="008A2DF0" w:rsidRPr="00694D6D">
        <w:rPr>
          <w:rFonts w:ascii="Times New Roman" w:hAnsi="Times New Roman" w:cs="Times New Roman"/>
          <w:sz w:val="24"/>
          <w:szCs w:val="24"/>
          <w:lang w:val="en-GB"/>
        </w:rPr>
        <w:t xml:space="preserve"> and fruitless and wasteful expenditure can be prevented.</w:t>
      </w:r>
    </w:p>
    <w:p w14:paraId="250A9AE6" w14:textId="77777777" w:rsidR="00334976" w:rsidRPr="00694D6D" w:rsidRDefault="00334976" w:rsidP="00694D6D">
      <w:pPr>
        <w:spacing w:after="0" w:line="360" w:lineRule="auto"/>
        <w:jc w:val="both"/>
        <w:rPr>
          <w:rFonts w:ascii="Times New Roman" w:hAnsi="Times New Roman" w:cs="Times New Roman"/>
          <w:sz w:val="24"/>
          <w:szCs w:val="24"/>
          <w:lang w:val="en-GB"/>
        </w:rPr>
      </w:pPr>
    </w:p>
    <w:p w14:paraId="22E53BC1" w14:textId="77777777" w:rsidR="00984984" w:rsidRPr="00694D6D" w:rsidRDefault="008A2DF0" w:rsidP="00694D6D">
      <w:pPr>
        <w:spacing w:after="0" w:line="360" w:lineRule="auto"/>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T</w:t>
      </w:r>
      <w:r w:rsidR="00334976" w:rsidRPr="00694D6D">
        <w:rPr>
          <w:rFonts w:ascii="Times New Roman" w:hAnsi="Times New Roman" w:cs="Times New Roman"/>
          <w:sz w:val="24"/>
          <w:szCs w:val="24"/>
          <w:lang w:val="en-GB"/>
        </w:rPr>
        <w:t>he Department’s Internal Audit Committee raised the adequacy and effectiveness of Information Technology (IT) controls in the areas of IT Service Continuity Management, User Access Management and Programme Change Management, as areas of concern needing Management’s intervention.</w:t>
      </w:r>
      <w:r w:rsidRPr="00694D6D">
        <w:rPr>
          <w:rFonts w:ascii="Times New Roman" w:hAnsi="Times New Roman" w:cs="Times New Roman"/>
          <w:sz w:val="24"/>
          <w:szCs w:val="24"/>
          <w:lang w:val="en-GB"/>
        </w:rPr>
        <w:t xml:space="preserve"> This concern </w:t>
      </w:r>
      <w:r w:rsidR="0029122E" w:rsidRPr="00694D6D">
        <w:rPr>
          <w:rFonts w:ascii="Times New Roman" w:hAnsi="Times New Roman" w:cs="Times New Roman"/>
          <w:sz w:val="24"/>
          <w:szCs w:val="24"/>
          <w:lang w:val="en-GB"/>
        </w:rPr>
        <w:t>wa</w:t>
      </w:r>
      <w:r w:rsidRPr="00694D6D">
        <w:rPr>
          <w:rFonts w:ascii="Times New Roman" w:hAnsi="Times New Roman" w:cs="Times New Roman"/>
          <w:sz w:val="24"/>
          <w:szCs w:val="24"/>
          <w:lang w:val="en-GB"/>
        </w:rPr>
        <w:t xml:space="preserve">s further substantiated by the increase in audit findings by the </w:t>
      </w:r>
      <w:r w:rsidR="00F76015" w:rsidRPr="00694D6D">
        <w:rPr>
          <w:rFonts w:ascii="Times New Roman" w:hAnsi="Times New Roman" w:cs="Times New Roman"/>
          <w:sz w:val="24"/>
          <w:szCs w:val="24"/>
          <w:lang w:val="en-GB"/>
        </w:rPr>
        <w:t>AGSA</w:t>
      </w:r>
      <w:r w:rsidRPr="00694D6D">
        <w:rPr>
          <w:rFonts w:ascii="Times New Roman" w:hAnsi="Times New Roman" w:cs="Times New Roman"/>
          <w:sz w:val="24"/>
          <w:szCs w:val="24"/>
          <w:lang w:val="en-GB"/>
        </w:rPr>
        <w:t xml:space="preserve"> pertaining to IT, which increased from five in 2017/18 to 11 in 2018/19, out of a total of 14 audit findings.</w:t>
      </w:r>
    </w:p>
    <w:p w14:paraId="4F32188E" w14:textId="77777777" w:rsidR="00B40C42" w:rsidRPr="00694D6D" w:rsidRDefault="00B40C42" w:rsidP="00694D6D">
      <w:pPr>
        <w:spacing w:after="0" w:line="360" w:lineRule="auto"/>
        <w:jc w:val="both"/>
        <w:rPr>
          <w:rFonts w:ascii="Times New Roman" w:hAnsi="Times New Roman" w:cs="Times New Roman"/>
          <w:sz w:val="24"/>
          <w:szCs w:val="24"/>
          <w:lang w:val="en-GB"/>
        </w:rPr>
      </w:pPr>
    </w:p>
    <w:p w14:paraId="4FE4D754" w14:textId="77777777" w:rsidR="0075422F" w:rsidRPr="00694D6D" w:rsidRDefault="00E34B4F" w:rsidP="00694D6D">
      <w:pPr>
        <w:pStyle w:val="ListParagraph"/>
        <w:numPr>
          <w:ilvl w:val="0"/>
          <w:numId w:val="1"/>
        </w:numPr>
        <w:spacing w:after="0" w:line="360" w:lineRule="auto"/>
        <w:ind w:left="567" w:hanging="567"/>
        <w:jc w:val="both"/>
        <w:rPr>
          <w:rFonts w:ascii="Times New Roman" w:hAnsi="Times New Roman" w:cs="Times New Roman"/>
          <w:b/>
          <w:caps/>
          <w:sz w:val="24"/>
          <w:szCs w:val="24"/>
          <w:lang w:val="en-GB"/>
        </w:rPr>
      </w:pPr>
      <w:r w:rsidRPr="00694D6D">
        <w:rPr>
          <w:rFonts w:ascii="Times New Roman" w:hAnsi="Times New Roman" w:cs="Times New Roman"/>
          <w:b/>
          <w:caps/>
          <w:sz w:val="24"/>
          <w:szCs w:val="24"/>
          <w:lang w:val="en-GB"/>
        </w:rPr>
        <w:t>2018/19</w:t>
      </w:r>
      <w:r w:rsidR="00407F87" w:rsidRPr="00694D6D">
        <w:rPr>
          <w:rFonts w:ascii="Times New Roman" w:hAnsi="Times New Roman" w:cs="Times New Roman"/>
          <w:b/>
          <w:caps/>
          <w:sz w:val="24"/>
          <w:szCs w:val="24"/>
          <w:lang w:val="en-GB"/>
        </w:rPr>
        <w:t xml:space="preserve"> </w:t>
      </w:r>
      <w:r w:rsidR="0075422F" w:rsidRPr="00694D6D">
        <w:rPr>
          <w:rFonts w:ascii="Times New Roman" w:hAnsi="Times New Roman" w:cs="Times New Roman"/>
          <w:b/>
          <w:caps/>
          <w:sz w:val="24"/>
          <w:szCs w:val="24"/>
          <w:lang w:val="en-GB"/>
        </w:rPr>
        <w:t>performance</w:t>
      </w:r>
      <w:r w:rsidR="000C7872" w:rsidRPr="00694D6D">
        <w:rPr>
          <w:rFonts w:ascii="Times New Roman" w:hAnsi="Times New Roman" w:cs="Times New Roman"/>
          <w:b/>
          <w:caps/>
          <w:sz w:val="24"/>
          <w:szCs w:val="24"/>
          <w:lang w:val="en-GB"/>
        </w:rPr>
        <w:t xml:space="preserve"> OF THE DEPARTMENT OF SCIENCE AND TECHNOLOGY</w:t>
      </w:r>
      <w:r w:rsidR="00FC0B75" w:rsidRPr="00694D6D">
        <w:rPr>
          <w:rFonts w:ascii="Times New Roman" w:hAnsi="Times New Roman" w:cs="Times New Roman"/>
          <w:b/>
          <w:caps/>
          <w:sz w:val="24"/>
          <w:szCs w:val="24"/>
          <w:lang w:val="en-GB"/>
        </w:rPr>
        <w:t xml:space="preserve"> </w:t>
      </w:r>
    </w:p>
    <w:p w14:paraId="19257FE5" w14:textId="77777777" w:rsidR="0075422F" w:rsidRPr="00694D6D" w:rsidRDefault="0075422F" w:rsidP="00694D6D">
      <w:pPr>
        <w:pStyle w:val="ListParagraph"/>
        <w:spacing w:after="0" w:line="360" w:lineRule="auto"/>
        <w:ind w:left="0"/>
        <w:jc w:val="both"/>
        <w:rPr>
          <w:rFonts w:ascii="Times New Roman" w:hAnsi="Times New Roman" w:cs="Times New Roman"/>
          <w:sz w:val="24"/>
          <w:szCs w:val="24"/>
          <w:lang w:val="en-GB"/>
        </w:rPr>
      </w:pPr>
    </w:p>
    <w:p w14:paraId="4EA82784" w14:textId="77777777" w:rsidR="006E0130" w:rsidRPr="00694D6D" w:rsidRDefault="006E0130" w:rsidP="00694D6D">
      <w:pPr>
        <w:spacing w:after="0" w:line="360" w:lineRule="auto"/>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 xml:space="preserve">The Department’s Programmes, with their concomitant achievement against the performance targets for the </w:t>
      </w:r>
      <w:r w:rsidR="00E34B4F" w:rsidRPr="00694D6D">
        <w:rPr>
          <w:rFonts w:ascii="Times New Roman" w:hAnsi="Times New Roman" w:cs="Times New Roman"/>
          <w:sz w:val="24"/>
          <w:szCs w:val="24"/>
          <w:lang w:val="en-GB"/>
        </w:rPr>
        <w:t>2018/19</w:t>
      </w:r>
      <w:r w:rsidRPr="00694D6D">
        <w:rPr>
          <w:rFonts w:ascii="Times New Roman" w:hAnsi="Times New Roman" w:cs="Times New Roman"/>
          <w:sz w:val="24"/>
          <w:szCs w:val="24"/>
          <w:lang w:val="en-GB"/>
        </w:rPr>
        <w:t xml:space="preserve"> financial year, are shown in Table </w:t>
      </w:r>
      <w:r w:rsidR="00F66C1F" w:rsidRPr="00694D6D">
        <w:rPr>
          <w:rFonts w:ascii="Times New Roman" w:hAnsi="Times New Roman" w:cs="Times New Roman"/>
          <w:sz w:val="24"/>
          <w:szCs w:val="24"/>
          <w:lang w:val="en-GB"/>
        </w:rPr>
        <w:t>2</w:t>
      </w:r>
      <w:r w:rsidRPr="00694D6D">
        <w:rPr>
          <w:rFonts w:ascii="Times New Roman" w:hAnsi="Times New Roman" w:cs="Times New Roman"/>
          <w:sz w:val="24"/>
          <w:szCs w:val="24"/>
          <w:lang w:val="en-GB"/>
        </w:rPr>
        <w:t xml:space="preserve">. </w:t>
      </w:r>
      <w:r w:rsidR="00036159" w:rsidRPr="00694D6D">
        <w:rPr>
          <w:rFonts w:ascii="Times New Roman" w:hAnsi="Times New Roman" w:cs="Times New Roman"/>
          <w:sz w:val="24"/>
          <w:szCs w:val="24"/>
          <w:lang w:val="en-GB"/>
        </w:rPr>
        <w:t>O</w:t>
      </w:r>
      <w:r w:rsidRPr="00694D6D">
        <w:rPr>
          <w:rFonts w:ascii="Times New Roman" w:hAnsi="Times New Roman" w:cs="Times New Roman"/>
          <w:sz w:val="24"/>
          <w:szCs w:val="24"/>
          <w:lang w:val="en-GB"/>
        </w:rPr>
        <w:t>verall performance</w:t>
      </w:r>
      <w:r w:rsidR="00036159" w:rsidRPr="00694D6D">
        <w:rPr>
          <w:rFonts w:ascii="Times New Roman" w:hAnsi="Times New Roman" w:cs="Times New Roman"/>
          <w:sz w:val="24"/>
          <w:szCs w:val="24"/>
          <w:lang w:val="en-GB"/>
        </w:rPr>
        <w:t xml:space="preserve"> for the previous financial years</w:t>
      </w:r>
      <w:r w:rsidRPr="00694D6D">
        <w:rPr>
          <w:rFonts w:ascii="Times New Roman" w:hAnsi="Times New Roman" w:cs="Times New Roman"/>
          <w:sz w:val="24"/>
          <w:szCs w:val="24"/>
          <w:lang w:val="en-GB"/>
        </w:rPr>
        <w:t xml:space="preserve"> </w:t>
      </w:r>
      <w:r w:rsidR="00036159" w:rsidRPr="00694D6D">
        <w:rPr>
          <w:rFonts w:ascii="Times New Roman" w:hAnsi="Times New Roman" w:cs="Times New Roman"/>
          <w:sz w:val="24"/>
          <w:szCs w:val="24"/>
          <w:lang w:val="en-GB"/>
        </w:rPr>
        <w:t>is</w:t>
      </w:r>
      <w:r w:rsidRPr="00694D6D">
        <w:rPr>
          <w:rFonts w:ascii="Times New Roman" w:hAnsi="Times New Roman" w:cs="Times New Roman"/>
          <w:sz w:val="24"/>
          <w:szCs w:val="24"/>
          <w:lang w:val="en-GB"/>
        </w:rPr>
        <w:t xml:space="preserve"> shown at the bottom of Table </w:t>
      </w:r>
      <w:r w:rsidR="00F66C1F" w:rsidRPr="00694D6D">
        <w:rPr>
          <w:rFonts w:ascii="Times New Roman" w:hAnsi="Times New Roman" w:cs="Times New Roman"/>
          <w:sz w:val="24"/>
          <w:szCs w:val="24"/>
          <w:lang w:val="en-GB"/>
        </w:rPr>
        <w:t>2</w:t>
      </w:r>
      <w:r w:rsidRPr="00694D6D">
        <w:rPr>
          <w:rFonts w:ascii="Times New Roman" w:hAnsi="Times New Roman" w:cs="Times New Roman"/>
          <w:sz w:val="24"/>
          <w:szCs w:val="24"/>
          <w:lang w:val="en-GB"/>
        </w:rPr>
        <w:t>.</w:t>
      </w:r>
    </w:p>
    <w:p w14:paraId="2400DD0E" w14:textId="77777777" w:rsidR="006E0130" w:rsidRPr="00694D6D" w:rsidRDefault="006E0130" w:rsidP="00694D6D">
      <w:pPr>
        <w:spacing w:after="0" w:line="360" w:lineRule="auto"/>
        <w:jc w:val="both"/>
        <w:rPr>
          <w:rFonts w:ascii="Times New Roman" w:hAnsi="Times New Roman" w:cs="Times New Roman"/>
          <w:sz w:val="24"/>
          <w:szCs w:val="24"/>
          <w:lang w:val="en-GB"/>
        </w:rPr>
      </w:pPr>
    </w:p>
    <w:p w14:paraId="502D1D5B" w14:textId="77777777" w:rsidR="006E0130" w:rsidRPr="00694D6D" w:rsidRDefault="006E0130" w:rsidP="00694D6D">
      <w:pPr>
        <w:spacing w:after="0" w:line="360" w:lineRule="auto"/>
        <w:jc w:val="both"/>
        <w:rPr>
          <w:rFonts w:ascii="Times New Roman" w:hAnsi="Times New Roman" w:cs="Times New Roman"/>
          <w:sz w:val="24"/>
          <w:szCs w:val="24"/>
          <w:lang w:val="en-GB"/>
        </w:rPr>
      </w:pPr>
      <w:r w:rsidRPr="00694D6D">
        <w:rPr>
          <w:rFonts w:ascii="Times New Roman" w:hAnsi="Times New Roman" w:cs="Times New Roman"/>
          <w:b/>
          <w:sz w:val="24"/>
          <w:szCs w:val="24"/>
          <w:lang w:val="en-GB"/>
        </w:rPr>
        <w:t xml:space="preserve">Table </w:t>
      </w:r>
      <w:r w:rsidR="00F66C1F" w:rsidRPr="00694D6D">
        <w:rPr>
          <w:rFonts w:ascii="Times New Roman" w:hAnsi="Times New Roman" w:cs="Times New Roman"/>
          <w:b/>
          <w:sz w:val="24"/>
          <w:szCs w:val="24"/>
          <w:lang w:val="en-GB"/>
        </w:rPr>
        <w:t>2</w:t>
      </w:r>
      <w:r w:rsidRPr="00694D6D">
        <w:rPr>
          <w:rFonts w:ascii="Times New Roman" w:hAnsi="Times New Roman" w:cs="Times New Roman"/>
          <w:b/>
          <w:sz w:val="24"/>
          <w:szCs w:val="24"/>
          <w:lang w:val="en-GB"/>
        </w:rPr>
        <w:t xml:space="preserve">: Programme performance for the </w:t>
      </w:r>
      <w:r w:rsidR="00E34B4F" w:rsidRPr="00694D6D">
        <w:rPr>
          <w:rFonts w:ascii="Times New Roman" w:hAnsi="Times New Roman" w:cs="Times New Roman"/>
          <w:b/>
          <w:sz w:val="24"/>
          <w:szCs w:val="24"/>
          <w:lang w:val="en-GB"/>
        </w:rPr>
        <w:t>2018/19</w:t>
      </w:r>
      <w:r w:rsidRPr="00694D6D">
        <w:rPr>
          <w:rFonts w:ascii="Times New Roman" w:hAnsi="Times New Roman" w:cs="Times New Roman"/>
          <w:b/>
          <w:sz w:val="24"/>
          <w:szCs w:val="24"/>
          <w:lang w:val="en-GB"/>
        </w:rPr>
        <w:t xml:space="preserve"> financial year.</w:t>
      </w:r>
    </w:p>
    <w:tbl>
      <w:tblPr>
        <w:tblStyle w:val="TableGrid"/>
        <w:tblpPr w:leftFromText="180" w:rightFromText="180" w:vertAnchor="text" w:tblpY="1"/>
        <w:tblOverlap w:val="never"/>
        <w:tblW w:w="5000" w:type="pct"/>
        <w:tblLook w:val="04A0" w:firstRow="1" w:lastRow="0" w:firstColumn="1" w:lastColumn="0" w:noHBand="0" w:noVBand="1"/>
      </w:tblPr>
      <w:tblGrid>
        <w:gridCol w:w="4339"/>
        <w:gridCol w:w="1660"/>
        <w:gridCol w:w="1191"/>
        <w:gridCol w:w="1188"/>
        <w:gridCol w:w="1476"/>
      </w:tblGrid>
      <w:tr w:rsidR="001C5DD6" w:rsidRPr="00694D6D" w14:paraId="19498394" w14:textId="77777777" w:rsidTr="008704FD">
        <w:trPr>
          <w:trHeight w:val="989"/>
        </w:trPr>
        <w:tc>
          <w:tcPr>
            <w:tcW w:w="2201" w:type="pct"/>
            <w:vAlign w:val="center"/>
          </w:tcPr>
          <w:p w14:paraId="6DCBF988" w14:textId="77777777" w:rsidR="0022514E" w:rsidRPr="00694D6D" w:rsidRDefault="0022514E" w:rsidP="00694D6D">
            <w:pPr>
              <w:spacing w:line="360" w:lineRule="auto"/>
              <w:jc w:val="center"/>
              <w:rPr>
                <w:rFonts w:ascii="Times New Roman" w:hAnsi="Times New Roman" w:cs="Times New Roman"/>
                <w:b/>
                <w:sz w:val="24"/>
                <w:szCs w:val="24"/>
              </w:rPr>
            </w:pPr>
            <w:r w:rsidRPr="00694D6D">
              <w:rPr>
                <w:rFonts w:ascii="Times New Roman" w:hAnsi="Times New Roman" w:cs="Times New Roman"/>
                <w:b/>
                <w:sz w:val="24"/>
                <w:szCs w:val="24"/>
              </w:rPr>
              <w:t>Programme</w:t>
            </w:r>
          </w:p>
        </w:tc>
        <w:tc>
          <w:tcPr>
            <w:tcW w:w="842" w:type="pct"/>
            <w:vAlign w:val="center"/>
          </w:tcPr>
          <w:p w14:paraId="4530CF91" w14:textId="77777777" w:rsidR="0022514E" w:rsidRPr="00694D6D" w:rsidRDefault="0022514E" w:rsidP="00694D6D">
            <w:pPr>
              <w:spacing w:line="360" w:lineRule="auto"/>
              <w:jc w:val="center"/>
              <w:rPr>
                <w:rFonts w:ascii="Times New Roman" w:hAnsi="Times New Roman" w:cs="Times New Roman"/>
                <w:b/>
                <w:sz w:val="24"/>
                <w:szCs w:val="24"/>
              </w:rPr>
            </w:pPr>
            <w:r w:rsidRPr="00694D6D">
              <w:rPr>
                <w:rFonts w:ascii="Times New Roman" w:hAnsi="Times New Roman" w:cs="Times New Roman"/>
                <w:b/>
                <w:sz w:val="24"/>
                <w:szCs w:val="24"/>
              </w:rPr>
              <w:t xml:space="preserve">Number of </w:t>
            </w:r>
            <w:r w:rsidR="001C5DD6" w:rsidRPr="00694D6D">
              <w:rPr>
                <w:rFonts w:ascii="Times New Roman" w:hAnsi="Times New Roman" w:cs="Times New Roman"/>
                <w:b/>
                <w:sz w:val="24"/>
                <w:szCs w:val="24"/>
              </w:rPr>
              <w:t>t</w:t>
            </w:r>
            <w:r w:rsidRPr="00694D6D">
              <w:rPr>
                <w:rFonts w:ascii="Times New Roman" w:hAnsi="Times New Roman" w:cs="Times New Roman"/>
                <w:b/>
                <w:sz w:val="24"/>
                <w:szCs w:val="24"/>
              </w:rPr>
              <w:t>argets</w:t>
            </w:r>
          </w:p>
        </w:tc>
        <w:tc>
          <w:tcPr>
            <w:tcW w:w="604" w:type="pct"/>
            <w:shd w:val="clear" w:color="auto" w:fill="C2D69B" w:themeFill="accent3" w:themeFillTint="99"/>
            <w:vAlign w:val="center"/>
          </w:tcPr>
          <w:p w14:paraId="7C97BC92" w14:textId="77777777" w:rsidR="0022514E" w:rsidRPr="00694D6D" w:rsidRDefault="0022514E" w:rsidP="00694D6D">
            <w:pPr>
              <w:spacing w:line="360" w:lineRule="auto"/>
              <w:jc w:val="center"/>
              <w:rPr>
                <w:rFonts w:ascii="Times New Roman" w:hAnsi="Times New Roman" w:cs="Times New Roman"/>
                <w:b/>
                <w:sz w:val="24"/>
                <w:szCs w:val="24"/>
              </w:rPr>
            </w:pPr>
            <w:r w:rsidRPr="00694D6D">
              <w:rPr>
                <w:rFonts w:ascii="Times New Roman" w:hAnsi="Times New Roman" w:cs="Times New Roman"/>
                <w:b/>
                <w:sz w:val="24"/>
                <w:szCs w:val="24"/>
              </w:rPr>
              <w:t>Achieved</w:t>
            </w:r>
          </w:p>
        </w:tc>
        <w:tc>
          <w:tcPr>
            <w:tcW w:w="603" w:type="pct"/>
            <w:vAlign w:val="center"/>
          </w:tcPr>
          <w:p w14:paraId="642A3781" w14:textId="77777777" w:rsidR="0022514E" w:rsidRPr="00694D6D" w:rsidRDefault="0022514E" w:rsidP="00694D6D">
            <w:pPr>
              <w:spacing w:line="360" w:lineRule="auto"/>
              <w:jc w:val="center"/>
              <w:rPr>
                <w:rFonts w:ascii="Times New Roman" w:hAnsi="Times New Roman" w:cs="Times New Roman"/>
                <w:b/>
                <w:sz w:val="24"/>
                <w:szCs w:val="24"/>
              </w:rPr>
            </w:pPr>
            <w:r w:rsidRPr="00694D6D">
              <w:rPr>
                <w:rFonts w:ascii="Times New Roman" w:hAnsi="Times New Roman" w:cs="Times New Roman"/>
                <w:b/>
                <w:sz w:val="24"/>
                <w:szCs w:val="24"/>
              </w:rPr>
              <w:t>Not achieved</w:t>
            </w:r>
          </w:p>
        </w:tc>
        <w:tc>
          <w:tcPr>
            <w:tcW w:w="749" w:type="pct"/>
          </w:tcPr>
          <w:p w14:paraId="42A0437A" w14:textId="77777777" w:rsidR="0022514E" w:rsidRPr="00694D6D" w:rsidRDefault="0022514E" w:rsidP="00694D6D">
            <w:pPr>
              <w:spacing w:line="360" w:lineRule="auto"/>
              <w:jc w:val="center"/>
              <w:rPr>
                <w:rFonts w:ascii="Times New Roman" w:hAnsi="Times New Roman" w:cs="Times New Roman"/>
                <w:b/>
                <w:sz w:val="24"/>
                <w:szCs w:val="24"/>
              </w:rPr>
            </w:pPr>
            <w:r w:rsidRPr="00694D6D">
              <w:rPr>
                <w:rFonts w:ascii="Times New Roman" w:hAnsi="Times New Roman" w:cs="Times New Roman"/>
                <w:b/>
                <w:sz w:val="24"/>
                <w:szCs w:val="24"/>
              </w:rPr>
              <w:t xml:space="preserve">Programme </w:t>
            </w:r>
            <w:r w:rsidR="001C5DD6" w:rsidRPr="00694D6D">
              <w:rPr>
                <w:rFonts w:ascii="Times New Roman" w:hAnsi="Times New Roman" w:cs="Times New Roman"/>
                <w:b/>
                <w:sz w:val="24"/>
                <w:szCs w:val="24"/>
              </w:rPr>
              <w:t>e</w:t>
            </w:r>
            <w:r w:rsidRPr="00694D6D">
              <w:rPr>
                <w:rFonts w:ascii="Times New Roman" w:hAnsi="Times New Roman" w:cs="Times New Roman"/>
                <w:b/>
                <w:sz w:val="24"/>
                <w:szCs w:val="24"/>
              </w:rPr>
              <w:t>xpenditure (%)</w:t>
            </w:r>
          </w:p>
        </w:tc>
      </w:tr>
      <w:tr w:rsidR="00185C80" w:rsidRPr="00694D6D" w14:paraId="4C74FB04" w14:textId="77777777" w:rsidTr="008704FD">
        <w:tc>
          <w:tcPr>
            <w:tcW w:w="2201" w:type="pct"/>
          </w:tcPr>
          <w:p w14:paraId="34497997" w14:textId="77777777" w:rsidR="00185C80" w:rsidRPr="00694D6D" w:rsidRDefault="00185C80" w:rsidP="00694D6D">
            <w:pPr>
              <w:spacing w:line="360" w:lineRule="auto"/>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Programme 1 – Administration</w:t>
            </w:r>
          </w:p>
        </w:tc>
        <w:tc>
          <w:tcPr>
            <w:tcW w:w="842" w:type="pct"/>
          </w:tcPr>
          <w:p w14:paraId="01CA71DF" w14:textId="77777777" w:rsidR="00185C80" w:rsidRPr="00694D6D" w:rsidRDefault="00185C80" w:rsidP="00694D6D">
            <w:pPr>
              <w:spacing w:line="360" w:lineRule="auto"/>
              <w:jc w:val="center"/>
              <w:rPr>
                <w:rFonts w:ascii="Times New Roman" w:hAnsi="Times New Roman" w:cs="Times New Roman"/>
                <w:sz w:val="24"/>
                <w:szCs w:val="24"/>
              </w:rPr>
            </w:pPr>
            <w:r w:rsidRPr="00694D6D">
              <w:rPr>
                <w:rFonts w:ascii="Times New Roman" w:hAnsi="Times New Roman" w:cs="Times New Roman"/>
                <w:sz w:val="24"/>
                <w:szCs w:val="24"/>
              </w:rPr>
              <w:t>5</w:t>
            </w:r>
          </w:p>
        </w:tc>
        <w:tc>
          <w:tcPr>
            <w:tcW w:w="604" w:type="pct"/>
            <w:shd w:val="clear" w:color="auto" w:fill="C2D69B" w:themeFill="accent3" w:themeFillTint="99"/>
          </w:tcPr>
          <w:p w14:paraId="4E7F2D96" w14:textId="77777777" w:rsidR="00185C80" w:rsidRPr="00694D6D" w:rsidRDefault="00185C80" w:rsidP="00694D6D">
            <w:pPr>
              <w:spacing w:line="360" w:lineRule="auto"/>
              <w:jc w:val="center"/>
              <w:rPr>
                <w:rFonts w:ascii="Times New Roman" w:hAnsi="Times New Roman" w:cs="Times New Roman"/>
                <w:sz w:val="24"/>
                <w:szCs w:val="24"/>
              </w:rPr>
            </w:pPr>
            <w:r w:rsidRPr="00694D6D">
              <w:rPr>
                <w:rFonts w:ascii="Times New Roman" w:hAnsi="Times New Roman" w:cs="Times New Roman"/>
                <w:sz w:val="24"/>
                <w:szCs w:val="24"/>
              </w:rPr>
              <w:t>5</w:t>
            </w:r>
          </w:p>
        </w:tc>
        <w:tc>
          <w:tcPr>
            <w:tcW w:w="603" w:type="pct"/>
            <w:shd w:val="clear" w:color="auto" w:fill="auto"/>
          </w:tcPr>
          <w:p w14:paraId="0004A878" w14:textId="77777777" w:rsidR="00185C80" w:rsidRPr="00694D6D" w:rsidRDefault="00185C80" w:rsidP="00694D6D">
            <w:pPr>
              <w:spacing w:line="360" w:lineRule="auto"/>
              <w:jc w:val="center"/>
              <w:rPr>
                <w:rFonts w:ascii="Times New Roman" w:hAnsi="Times New Roman" w:cs="Times New Roman"/>
                <w:sz w:val="24"/>
                <w:szCs w:val="24"/>
              </w:rPr>
            </w:pPr>
            <w:r w:rsidRPr="00694D6D">
              <w:rPr>
                <w:rFonts w:ascii="Times New Roman" w:hAnsi="Times New Roman" w:cs="Times New Roman"/>
                <w:sz w:val="24"/>
                <w:szCs w:val="24"/>
              </w:rPr>
              <w:t>0</w:t>
            </w:r>
          </w:p>
        </w:tc>
        <w:tc>
          <w:tcPr>
            <w:tcW w:w="749" w:type="pct"/>
          </w:tcPr>
          <w:p w14:paraId="4DBFA6F6" w14:textId="77777777" w:rsidR="00185C80" w:rsidRPr="00694D6D" w:rsidRDefault="00185C80" w:rsidP="00694D6D">
            <w:pPr>
              <w:spacing w:line="360" w:lineRule="auto"/>
              <w:jc w:val="center"/>
              <w:rPr>
                <w:rFonts w:ascii="Times New Roman" w:hAnsi="Times New Roman" w:cs="Times New Roman"/>
                <w:sz w:val="24"/>
                <w:szCs w:val="24"/>
              </w:rPr>
            </w:pPr>
            <w:r w:rsidRPr="00694D6D">
              <w:rPr>
                <w:rFonts w:ascii="Times New Roman" w:hAnsi="Times New Roman" w:cs="Times New Roman"/>
                <w:sz w:val="24"/>
                <w:szCs w:val="24"/>
              </w:rPr>
              <w:t>89.5%</w:t>
            </w:r>
          </w:p>
        </w:tc>
      </w:tr>
      <w:tr w:rsidR="00185C80" w:rsidRPr="00694D6D" w14:paraId="16E4DF1C" w14:textId="77777777" w:rsidTr="008704FD">
        <w:tc>
          <w:tcPr>
            <w:tcW w:w="2201" w:type="pct"/>
          </w:tcPr>
          <w:p w14:paraId="3ECEB360" w14:textId="77777777" w:rsidR="00185C80" w:rsidRPr="00694D6D" w:rsidRDefault="00185C80" w:rsidP="00694D6D">
            <w:pPr>
              <w:spacing w:line="360" w:lineRule="auto"/>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Programme 2 – Technology Innovation</w:t>
            </w:r>
          </w:p>
        </w:tc>
        <w:tc>
          <w:tcPr>
            <w:tcW w:w="842" w:type="pct"/>
          </w:tcPr>
          <w:p w14:paraId="1AC44B6F" w14:textId="77777777" w:rsidR="00185C80" w:rsidRPr="00694D6D" w:rsidRDefault="00185C80" w:rsidP="00694D6D">
            <w:pPr>
              <w:spacing w:line="360" w:lineRule="auto"/>
              <w:jc w:val="center"/>
              <w:rPr>
                <w:rFonts w:ascii="Times New Roman" w:hAnsi="Times New Roman" w:cs="Times New Roman"/>
                <w:sz w:val="24"/>
                <w:szCs w:val="24"/>
              </w:rPr>
            </w:pPr>
            <w:r w:rsidRPr="00694D6D">
              <w:rPr>
                <w:rFonts w:ascii="Times New Roman" w:hAnsi="Times New Roman" w:cs="Times New Roman"/>
                <w:sz w:val="24"/>
                <w:szCs w:val="24"/>
              </w:rPr>
              <w:t>10</w:t>
            </w:r>
          </w:p>
        </w:tc>
        <w:tc>
          <w:tcPr>
            <w:tcW w:w="604" w:type="pct"/>
            <w:shd w:val="clear" w:color="auto" w:fill="C2D69B" w:themeFill="accent3" w:themeFillTint="99"/>
          </w:tcPr>
          <w:p w14:paraId="778EA7D4" w14:textId="77777777" w:rsidR="00185C80" w:rsidRPr="00694D6D" w:rsidRDefault="00185C80" w:rsidP="00694D6D">
            <w:pPr>
              <w:spacing w:line="360" w:lineRule="auto"/>
              <w:jc w:val="center"/>
              <w:rPr>
                <w:rFonts w:ascii="Times New Roman" w:hAnsi="Times New Roman" w:cs="Times New Roman"/>
                <w:sz w:val="24"/>
                <w:szCs w:val="24"/>
              </w:rPr>
            </w:pPr>
            <w:r w:rsidRPr="00694D6D">
              <w:rPr>
                <w:rFonts w:ascii="Times New Roman" w:hAnsi="Times New Roman" w:cs="Times New Roman"/>
                <w:sz w:val="24"/>
                <w:szCs w:val="24"/>
              </w:rPr>
              <w:t>10</w:t>
            </w:r>
          </w:p>
        </w:tc>
        <w:tc>
          <w:tcPr>
            <w:tcW w:w="603" w:type="pct"/>
            <w:shd w:val="clear" w:color="auto" w:fill="auto"/>
          </w:tcPr>
          <w:p w14:paraId="36C96D4C" w14:textId="77777777" w:rsidR="00185C80" w:rsidRPr="00694D6D" w:rsidRDefault="00185C80" w:rsidP="00694D6D">
            <w:pPr>
              <w:spacing w:line="360" w:lineRule="auto"/>
              <w:jc w:val="center"/>
              <w:rPr>
                <w:rFonts w:ascii="Times New Roman" w:hAnsi="Times New Roman" w:cs="Times New Roman"/>
                <w:sz w:val="24"/>
                <w:szCs w:val="24"/>
              </w:rPr>
            </w:pPr>
            <w:r w:rsidRPr="00694D6D">
              <w:rPr>
                <w:rFonts w:ascii="Times New Roman" w:hAnsi="Times New Roman" w:cs="Times New Roman"/>
                <w:sz w:val="24"/>
                <w:szCs w:val="24"/>
              </w:rPr>
              <w:t>0</w:t>
            </w:r>
          </w:p>
        </w:tc>
        <w:tc>
          <w:tcPr>
            <w:tcW w:w="749" w:type="pct"/>
          </w:tcPr>
          <w:p w14:paraId="6872CB0F" w14:textId="77777777" w:rsidR="00185C80" w:rsidRPr="00694D6D" w:rsidRDefault="00185C80" w:rsidP="00694D6D">
            <w:pPr>
              <w:spacing w:line="360" w:lineRule="auto"/>
              <w:jc w:val="center"/>
              <w:rPr>
                <w:rFonts w:ascii="Times New Roman" w:hAnsi="Times New Roman" w:cs="Times New Roman"/>
                <w:sz w:val="24"/>
                <w:szCs w:val="24"/>
              </w:rPr>
            </w:pPr>
            <w:r w:rsidRPr="00694D6D">
              <w:rPr>
                <w:rFonts w:ascii="Times New Roman" w:hAnsi="Times New Roman" w:cs="Times New Roman"/>
                <w:sz w:val="24"/>
                <w:szCs w:val="24"/>
              </w:rPr>
              <w:t>98.8%</w:t>
            </w:r>
          </w:p>
        </w:tc>
      </w:tr>
      <w:tr w:rsidR="00185C80" w:rsidRPr="00694D6D" w14:paraId="6EC05544" w14:textId="77777777" w:rsidTr="008704FD">
        <w:tc>
          <w:tcPr>
            <w:tcW w:w="2201" w:type="pct"/>
          </w:tcPr>
          <w:p w14:paraId="654FF4C9" w14:textId="77777777" w:rsidR="00185C80" w:rsidRPr="00694D6D" w:rsidRDefault="00185C80" w:rsidP="00694D6D">
            <w:pPr>
              <w:spacing w:line="360" w:lineRule="auto"/>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Programme 3 – International Cooperation and Resources</w:t>
            </w:r>
          </w:p>
        </w:tc>
        <w:tc>
          <w:tcPr>
            <w:tcW w:w="842" w:type="pct"/>
          </w:tcPr>
          <w:p w14:paraId="476EA507" w14:textId="77777777" w:rsidR="00185C80" w:rsidRPr="00694D6D" w:rsidRDefault="00185C80" w:rsidP="00694D6D">
            <w:pPr>
              <w:spacing w:line="360" w:lineRule="auto"/>
              <w:jc w:val="center"/>
              <w:rPr>
                <w:rFonts w:ascii="Times New Roman" w:hAnsi="Times New Roman" w:cs="Times New Roman"/>
                <w:sz w:val="24"/>
                <w:szCs w:val="24"/>
              </w:rPr>
            </w:pPr>
            <w:r w:rsidRPr="00694D6D">
              <w:rPr>
                <w:rFonts w:ascii="Times New Roman" w:hAnsi="Times New Roman" w:cs="Times New Roman"/>
                <w:sz w:val="24"/>
                <w:szCs w:val="24"/>
              </w:rPr>
              <w:t>10</w:t>
            </w:r>
          </w:p>
        </w:tc>
        <w:tc>
          <w:tcPr>
            <w:tcW w:w="604" w:type="pct"/>
            <w:shd w:val="clear" w:color="auto" w:fill="C2D69B" w:themeFill="accent3" w:themeFillTint="99"/>
          </w:tcPr>
          <w:p w14:paraId="7ABDC77E" w14:textId="77777777" w:rsidR="00185C80" w:rsidRPr="00694D6D" w:rsidRDefault="00185C80" w:rsidP="00694D6D">
            <w:pPr>
              <w:spacing w:line="360" w:lineRule="auto"/>
              <w:jc w:val="center"/>
              <w:rPr>
                <w:rFonts w:ascii="Times New Roman" w:hAnsi="Times New Roman" w:cs="Times New Roman"/>
                <w:sz w:val="24"/>
                <w:szCs w:val="24"/>
              </w:rPr>
            </w:pPr>
            <w:r w:rsidRPr="00694D6D">
              <w:rPr>
                <w:rFonts w:ascii="Times New Roman" w:hAnsi="Times New Roman" w:cs="Times New Roman"/>
                <w:sz w:val="24"/>
                <w:szCs w:val="24"/>
              </w:rPr>
              <w:t>10</w:t>
            </w:r>
          </w:p>
        </w:tc>
        <w:tc>
          <w:tcPr>
            <w:tcW w:w="603" w:type="pct"/>
            <w:shd w:val="clear" w:color="auto" w:fill="auto"/>
          </w:tcPr>
          <w:p w14:paraId="5D9B37B0" w14:textId="77777777" w:rsidR="00185C80" w:rsidRPr="00694D6D" w:rsidRDefault="00185C80" w:rsidP="00694D6D">
            <w:pPr>
              <w:spacing w:line="360" w:lineRule="auto"/>
              <w:jc w:val="center"/>
              <w:rPr>
                <w:rFonts w:ascii="Times New Roman" w:hAnsi="Times New Roman" w:cs="Times New Roman"/>
                <w:sz w:val="24"/>
                <w:szCs w:val="24"/>
              </w:rPr>
            </w:pPr>
            <w:r w:rsidRPr="00694D6D">
              <w:rPr>
                <w:rFonts w:ascii="Times New Roman" w:hAnsi="Times New Roman" w:cs="Times New Roman"/>
                <w:sz w:val="24"/>
                <w:szCs w:val="24"/>
              </w:rPr>
              <w:t>0</w:t>
            </w:r>
          </w:p>
        </w:tc>
        <w:tc>
          <w:tcPr>
            <w:tcW w:w="749" w:type="pct"/>
          </w:tcPr>
          <w:p w14:paraId="26B45226" w14:textId="77777777" w:rsidR="00185C80" w:rsidRPr="00694D6D" w:rsidRDefault="00185C80" w:rsidP="00694D6D">
            <w:pPr>
              <w:spacing w:line="360" w:lineRule="auto"/>
              <w:jc w:val="center"/>
              <w:rPr>
                <w:rFonts w:ascii="Times New Roman" w:hAnsi="Times New Roman" w:cs="Times New Roman"/>
                <w:sz w:val="24"/>
                <w:szCs w:val="24"/>
              </w:rPr>
            </w:pPr>
            <w:r w:rsidRPr="00694D6D">
              <w:rPr>
                <w:rFonts w:ascii="Times New Roman" w:hAnsi="Times New Roman" w:cs="Times New Roman"/>
                <w:sz w:val="24"/>
                <w:szCs w:val="24"/>
              </w:rPr>
              <w:t>98.2%</w:t>
            </w:r>
          </w:p>
        </w:tc>
      </w:tr>
      <w:tr w:rsidR="00185C80" w:rsidRPr="00694D6D" w14:paraId="5C238BF4" w14:textId="77777777" w:rsidTr="008704FD">
        <w:tc>
          <w:tcPr>
            <w:tcW w:w="2201" w:type="pct"/>
          </w:tcPr>
          <w:p w14:paraId="63940D42" w14:textId="77777777" w:rsidR="00185C80" w:rsidRPr="00694D6D" w:rsidRDefault="00185C80" w:rsidP="00694D6D">
            <w:pPr>
              <w:spacing w:line="360" w:lineRule="auto"/>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Programme 4 – Research Development and Support</w:t>
            </w:r>
          </w:p>
        </w:tc>
        <w:tc>
          <w:tcPr>
            <w:tcW w:w="842" w:type="pct"/>
            <w:tcBorders>
              <w:bottom w:val="single" w:sz="4" w:space="0" w:color="000000"/>
            </w:tcBorders>
          </w:tcPr>
          <w:p w14:paraId="41CD8B0C" w14:textId="77777777" w:rsidR="00185C80" w:rsidRPr="00694D6D" w:rsidRDefault="00185C80" w:rsidP="00694D6D">
            <w:pPr>
              <w:spacing w:line="360" w:lineRule="auto"/>
              <w:jc w:val="center"/>
              <w:rPr>
                <w:rFonts w:ascii="Times New Roman" w:hAnsi="Times New Roman" w:cs="Times New Roman"/>
                <w:sz w:val="24"/>
                <w:szCs w:val="24"/>
              </w:rPr>
            </w:pPr>
            <w:r w:rsidRPr="00694D6D">
              <w:rPr>
                <w:rFonts w:ascii="Times New Roman" w:hAnsi="Times New Roman" w:cs="Times New Roman"/>
                <w:sz w:val="24"/>
                <w:szCs w:val="24"/>
              </w:rPr>
              <w:t>10</w:t>
            </w:r>
          </w:p>
        </w:tc>
        <w:tc>
          <w:tcPr>
            <w:tcW w:w="604" w:type="pct"/>
            <w:tcBorders>
              <w:bottom w:val="single" w:sz="4" w:space="0" w:color="000000"/>
            </w:tcBorders>
            <w:shd w:val="clear" w:color="auto" w:fill="C2D69B" w:themeFill="accent3" w:themeFillTint="99"/>
          </w:tcPr>
          <w:p w14:paraId="055C1EAF" w14:textId="77777777" w:rsidR="00185C80" w:rsidRPr="00694D6D" w:rsidRDefault="00185C80" w:rsidP="00694D6D">
            <w:pPr>
              <w:spacing w:line="360" w:lineRule="auto"/>
              <w:jc w:val="center"/>
              <w:rPr>
                <w:rFonts w:ascii="Times New Roman" w:hAnsi="Times New Roman" w:cs="Times New Roman"/>
                <w:sz w:val="24"/>
                <w:szCs w:val="24"/>
              </w:rPr>
            </w:pPr>
            <w:r w:rsidRPr="00694D6D">
              <w:rPr>
                <w:rFonts w:ascii="Times New Roman" w:hAnsi="Times New Roman" w:cs="Times New Roman"/>
                <w:sz w:val="24"/>
                <w:szCs w:val="24"/>
              </w:rPr>
              <w:t>8</w:t>
            </w:r>
          </w:p>
        </w:tc>
        <w:tc>
          <w:tcPr>
            <w:tcW w:w="603" w:type="pct"/>
            <w:tcBorders>
              <w:bottom w:val="single" w:sz="4" w:space="0" w:color="auto"/>
            </w:tcBorders>
            <w:shd w:val="clear" w:color="auto" w:fill="auto"/>
          </w:tcPr>
          <w:p w14:paraId="3A11D274" w14:textId="77777777" w:rsidR="00185C80" w:rsidRPr="00694D6D" w:rsidRDefault="00185C80" w:rsidP="00694D6D">
            <w:pPr>
              <w:spacing w:line="360" w:lineRule="auto"/>
              <w:jc w:val="center"/>
              <w:rPr>
                <w:rFonts w:ascii="Times New Roman" w:hAnsi="Times New Roman" w:cs="Times New Roman"/>
                <w:sz w:val="24"/>
                <w:szCs w:val="24"/>
              </w:rPr>
            </w:pPr>
            <w:r w:rsidRPr="00694D6D">
              <w:rPr>
                <w:rFonts w:ascii="Times New Roman" w:hAnsi="Times New Roman" w:cs="Times New Roman"/>
                <w:sz w:val="24"/>
                <w:szCs w:val="24"/>
              </w:rPr>
              <w:t>2</w:t>
            </w:r>
          </w:p>
        </w:tc>
        <w:tc>
          <w:tcPr>
            <w:tcW w:w="749" w:type="pct"/>
            <w:tcBorders>
              <w:bottom w:val="single" w:sz="4" w:space="0" w:color="auto"/>
            </w:tcBorders>
          </w:tcPr>
          <w:p w14:paraId="58C36C6E" w14:textId="77777777" w:rsidR="00185C80" w:rsidRPr="00694D6D" w:rsidRDefault="00185C80" w:rsidP="00694D6D">
            <w:pPr>
              <w:spacing w:line="360" w:lineRule="auto"/>
              <w:jc w:val="center"/>
              <w:rPr>
                <w:rFonts w:ascii="Times New Roman" w:hAnsi="Times New Roman" w:cs="Times New Roman"/>
                <w:sz w:val="24"/>
                <w:szCs w:val="24"/>
              </w:rPr>
            </w:pPr>
            <w:r w:rsidRPr="00694D6D">
              <w:rPr>
                <w:rFonts w:ascii="Times New Roman" w:hAnsi="Times New Roman" w:cs="Times New Roman"/>
                <w:sz w:val="24"/>
                <w:szCs w:val="24"/>
              </w:rPr>
              <w:t>99.9%</w:t>
            </w:r>
          </w:p>
        </w:tc>
      </w:tr>
      <w:tr w:rsidR="00185C80" w:rsidRPr="00694D6D" w14:paraId="2CF14938" w14:textId="77777777" w:rsidTr="008704FD">
        <w:tc>
          <w:tcPr>
            <w:tcW w:w="2201" w:type="pct"/>
          </w:tcPr>
          <w:p w14:paraId="5ABD013B" w14:textId="77777777" w:rsidR="00185C80" w:rsidRPr="00694D6D" w:rsidRDefault="00185C80" w:rsidP="00694D6D">
            <w:pPr>
              <w:spacing w:line="360" w:lineRule="auto"/>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Programme 5 – Socio-economic Innovation Partnerships</w:t>
            </w:r>
          </w:p>
        </w:tc>
        <w:tc>
          <w:tcPr>
            <w:tcW w:w="842" w:type="pct"/>
            <w:tcBorders>
              <w:bottom w:val="single" w:sz="4" w:space="0" w:color="auto"/>
            </w:tcBorders>
          </w:tcPr>
          <w:p w14:paraId="1FE51C5D" w14:textId="77777777" w:rsidR="00185C80" w:rsidRPr="00694D6D" w:rsidRDefault="00185C80" w:rsidP="00694D6D">
            <w:pPr>
              <w:spacing w:line="360" w:lineRule="auto"/>
              <w:jc w:val="center"/>
              <w:rPr>
                <w:rFonts w:ascii="Times New Roman" w:hAnsi="Times New Roman" w:cs="Times New Roman"/>
                <w:sz w:val="24"/>
                <w:szCs w:val="24"/>
              </w:rPr>
            </w:pPr>
            <w:r w:rsidRPr="00694D6D">
              <w:rPr>
                <w:rFonts w:ascii="Times New Roman" w:hAnsi="Times New Roman" w:cs="Times New Roman"/>
                <w:sz w:val="24"/>
                <w:szCs w:val="24"/>
              </w:rPr>
              <w:t>12</w:t>
            </w:r>
          </w:p>
        </w:tc>
        <w:tc>
          <w:tcPr>
            <w:tcW w:w="604" w:type="pct"/>
            <w:tcBorders>
              <w:bottom w:val="single" w:sz="4" w:space="0" w:color="auto"/>
            </w:tcBorders>
            <w:shd w:val="clear" w:color="auto" w:fill="C2D69B" w:themeFill="accent3" w:themeFillTint="99"/>
          </w:tcPr>
          <w:p w14:paraId="337DCCCA" w14:textId="77777777" w:rsidR="00185C80" w:rsidRPr="00694D6D" w:rsidRDefault="00185C80" w:rsidP="00694D6D">
            <w:pPr>
              <w:spacing w:line="360" w:lineRule="auto"/>
              <w:jc w:val="center"/>
              <w:rPr>
                <w:rFonts w:ascii="Times New Roman" w:hAnsi="Times New Roman" w:cs="Times New Roman"/>
                <w:sz w:val="24"/>
                <w:szCs w:val="24"/>
              </w:rPr>
            </w:pPr>
            <w:r w:rsidRPr="00694D6D">
              <w:rPr>
                <w:rFonts w:ascii="Times New Roman" w:hAnsi="Times New Roman" w:cs="Times New Roman"/>
                <w:sz w:val="24"/>
                <w:szCs w:val="24"/>
              </w:rPr>
              <w:t>9</w:t>
            </w:r>
          </w:p>
        </w:tc>
        <w:tc>
          <w:tcPr>
            <w:tcW w:w="603" w:type="pct"/>
            <w:tcBorders>
              <w:top w:val="single" w:sz="4" w:space="0" w:color="auto"/>
              <w:bottom w:val="single" w:sz="4" w:space="0" w:color="auto"/>
            </w:tcBorders>
            <w:shd w:val="clear" w:color="auto" w:fill="auto"/>
          </w:tcPr>
          <w:p w14:paraId="7C263347" w14:textId="77777777" w:rsidR="00185C80" w:rsidRPr="00694D6D" w:rsidRDefault="00185C80" w:rsidP="00694D6D">
            <w:pPr>
              <w:spacing w:line="360" w:lineRule="auto"/>
              <w:jc w:val="center"/>
              <w:rPr>
                <w:rFonts w:ascii="Times New Roman" w:hAnsi="Times New Roman" w:cs="Times New Roman"/>
                <w:sz w:val="24"/>
                <w:szCs w:val="24"/>
              </w:rPr>
            </w:pPr>
            <w:r w:rsidRPr="00694D6D">
              <w:rPr>
                <w:rFonts w:ascii="Times New Roman" w:hAnsi="Times New Roman" w:cs="Times New Roman"/>
                <w:sz w:val="24"/>
                <w:szCs w:val="24"/>
              </w:rPr>
              <w:t>3</w:t>
            </w:r>
          </w:p>
        </w:tc>
        <w:tc>
          <w:tcPr>
            <w:tcW w:w="749" w:type="pct"/>
            <w:tcBorders>
              <w:top w:val="single" w:sz="4" w:space="0" w:color="auto"/>
              <w:bottom w:val="single" w:sz="4" w:space="0" w:color="auto"/>
            </w:tcBorders>
          </w:tcPr>
          <w:p w14:paraId="608A1916" w14:textId="77777777" w:rsidR="00185C80" w:rsidRPr="00694D6D" w:rsidRDefault="00185C80" w:rsidP="00694D6D">
            <w:pPr>
              <w:spacing w:line="360" w:lineRule="auto"/>
              <w:jc w:val="center"/>
              <w:rPr>
                <w:rFonts w:ascii="Times New Roman" w:hAnsi="Times New Roman" w:cs="Times New Roman"/>
                <w:sz w:val="24"/>
                <w:szCs w:val="24"/>
              </w:rPr>
            </w:pPr>
            <w:r w:rsidRPr="00694D6D">
              <w:rPr>
                <w:rFonts w:ascii="Times New Roman" w:hAnsi="Times New Roman" w:cs="Times New Roman"/>
                <w:sz w:val="24"/>
                <w:szCs w:val="24"/>
              </w:rPr>
              <w:t>99.5%</w:t>
            </w:r>
          </w:p>
        </w:tc>
      </w:tr>
      <w:tr w:rsidR="00185C80" w:rsidRPr="00694D6D" w14:paraId="7E5C063B" w14:textId="77777777" w:rsidTr="008704FD">
        <w:trPr>
          <w:gridAfter w:val="1"/>
          <w:wAfter w:w="749" w:type="pct"/>
        </w:trPr>
        <w:tc>
          <w:tcPr>
            <w:tcW w:w="2201" w:type="pct"/>
          </w:tcPr>
          <w:p w14:paraId="3F92B638" w14:textId="77777777" w:rsidR="00185C80" w:rsidRPr="00694D6D" w:rsidRDefault="00185C80" w:rsidP="00694D6D">
            <w:pPr>
              <w:spacing w:line="360" w:lineRule="auto"/>
              <w:jc w:val="both"/>
              <w:rPr>
                <w:rFonts w:ascii="Times New Roman" w:hAnsi="Times New Roman" w:cs="Times New Roman"/>
                <w:b/>
                <w:sz w:val="24"/>
                <w:szCs w:val="24"/>
                <w:lang w:val="en-GB"/>
              </w:rPr>
            </w:pPr>
            <w:r w:rsidRPr="00694D6D">
              <w:rPr>
                <w:rFonts w:ascii="Times New Roman" w:hAnsi="Times New Roman" w:cs="Times New Roman"/>
                <w:b/>
                <w:sz w:val="24"/>
                <w:szCs w:val="24"/>
                <w:lang w:val="en-GB"/>
              </w:rPr>
              <w:t>TOTAL</w:t>
            </w:r>
          </w:p>
        </w:tc>
        <w:tc>
          <w:tcPr>
            <w:tcW w:w="842" w:type="pct"/>
            <w:tcBorders>
              <w:bottom w:val="single" w:sz="4" w:space="0" w:color="auto"/>
            </w:tcBorders>
          </w:tcPr>
          <w:p w14:paraId="7A656A1E" w14:textId="77777777" w:rsidR="00185C80" w:rsidRPr="00694D6D" w:rsidRDefault="00185C80" w:rsidP="00694D6D">
            <w:pPr>
              <w:spacing w:line="360" w:lineRule="auto"/>
              <w:jc w:val="center"/>
              <w:rPr>
                <w:rFonts w:ascii="Times New Roman" w:hAnsi="Times New Roman" w:cs="Times New Roman"/>
                <w:b/>
                <w:sz w:val="24"/>
                <w:szCs w:val="24"/>
              </w:rPr>
            </w:pPr>
            <w:r w:rsidRPr="00694D6D">
              <w:rPr>
                <w:rFonts w:ascii="Times New Roman" w:hAnsi="Times New Roman" w:cs="Times New Roman"/>
                <w:b/>
                <w:sz w:val="24"/>
                <w:szCs w:val="24"/>
              </w:rPr>
              <w:t>47</w:t>
            </w:r>
          </w:p>
        </w:tc>
        <w:tc>
          <w:tcPr>
            <w:tcW w:w="604" w:type="pct"/>
            <w:tcBorders>
              <w:bottom w:val="single" w:sz="4" w:space="0" w:color="auto"/>
            </w:tcBorders>
            <w:shd w:val="clear" w:color="auto" w:fill="C2D69B" w:themeFill="accent3" w:themeFillTint="99"/>
          </w:tcPr>
          <w:p w14:paraId="1FA4F0B2" w14:textId="77777777" w:rsidR="00185C80" w:rsidRPr="00694D6D" w:rsidRDefault="00185C80" w:rsidP="00694D6D">
            <w:pPr>
              <w:spacing w:line="360" w:lineRule="auto"/>
              <w:jc w:val="center"/>
              <w:rPr>
                <w:rFonts w:ascii="Times New Roman" w:hAnsi="Times New Roman" w:cs="Times New Roman"/>
                <w:b/>
                <w:sz w:val="24"/>
                <w:szCs w:val="24"/>
              </w:rPr>
            </w:pPr>
            <w:r w:rsidRPr="00694D6D">
              <w:rPr>
                <w:rFonts w:ascii="Times New Roman" w:hAnsi="Times New Roman" w:cs="Times New Roman"/>
                <w:b/>
                <w:sz w:val="24"/>
                <w:szCs w:val="24"/>
              </w:rPr>
              <w:t>42 (89%)</w:t>
            </w:r>
          </w:p>
        </w:tc>
        <w:tc>
          <w:tcPr>
            <w:tcW w:w="603" w:type="pct"/>
            <w:tcBorders>
              <w:top w:val="single" w:sz="4" w:space="0" w:color="auto"/>
              <w:bottom w:val="single" w:sz="4" w:space="0" w:color="auto"/>
            </w:tcBorders>
            <w:shd w:val="clear" w:color="auto" w:fill="auto"/>
          </w:tcPr>
          <w:p w14:paraId="15B29071" w14:textId="77777777" w:rsidR="00185C80" w:rsidRPr="00694D6D" w:rsidRDefault="00185C80" w:rsidP="00694D6D">
            <w:pPr>
              <w:spacing w:line="360" w:lineRule="auto"/>
              <w:jc w:val="center"/>
              <w:rPr>
                <w:rFonts w:ascii="Times New Roman" w:hAnsi="Times New Roman" w:cs="Times New Roman"/>
                <w:b/>
                <w:sz w:val="24"/>
                <w:szCs w:val="24"/>
              </w:rPr>
            </w:pPr>
            <w:r w:rsidRPr="00694D6D">
              <w:rPr>
                <w:rFonts w:ascii="Times New Roman" w:hAnsi="Times New Roman" w:cs="Times New Roman"/>
                <w:b/>
                <w:sz w:val="24"/>
                <w:szCs w:val="24"/>
              </w:rPr>
              <w:t>5 (11%)</w:t>
            </w:r>
          </w:p>
        </w:tc>
      </w:tr>
      <w:tr w:rsidR="00203292" w:rsidRPr="00694D6D" w14:paraId="4020B56F" w14:textId="77777777" w:rsidTr="00185C80">
        <w:trPr>
          <w:gridAfter w:val="1"/>
          <w:wAfter w:w="749" w:type="pct"/>
        </w:trPr>
        <w:tc>
          <w:tcPr>
            <w:tcW w:w="2201" w:type="pct"/>
            <w:tcBorders>
              <w:bottom w:val="single" w:sz="4" w:space="0" w:color="auto"/>
            </w:tcBorders>
            <w:vAlign w:val="center"/>
          </w:tcPr>
          <w:p w14:paraId="2B67F4B4" w14:textId="77777777" w:rsidR="00203292" w:rsidRPr="00694D6D" w:rsidRDefault="00203292" w:rsidP="00694D6D">
            <w:pPr>
              <w:spacing w:line="360" w:lineRule="auto"/>
              <w:jc w:val="both"/>
              <w:rPr>
                <w:rFonts w:ascii="Times New Roman" w:hAnsi="Times New Roman" w:cs="Times New Roman"/>
                <w:b/>
                <w:sz w:val="24"/>
                <w:szCs w:val="24"/>
              </w:rPr>
            </w:pPr>
            <w:r w:rsidRPr="00694D6D">
              <w:rPr>
                <w:rFonts w:ascii="Times New Roman" w:hAnsi="Times New Roman" w:cs="Times New Roman"/>
                <w:b/>
                <w:sz w:val="24"/>
                <w:szCs w:val="24"/>
              </w:rPr>
              <w:t>2017/18 performance</w:t>
            </w:r>
          </w:p>
        </w:tc>
        <w:tc>
          <w:tcPr>
            <w:tcW w:w="2049" w:type="pct"/>
            <w:gridSpan w:val="3"/>
            <w:tcBorders>
              <w:bottom w:val="single" w:sz="4" w:space="0" w:color="auto"/>
            </w:tcBorders>
          </w:tcPr>
          <w:p w14:paraId="4E236D30" w14:textId="77777777" w:rsidR="00203292" w:rsidRPr="00694D6D" w:rsidRDefault="00203292" w:rsidP="00694D6D">
            <w:pPr>
              <w:spacing w:line="360" w:lineRule="auto"/>
              <w:jc w:val="center"/>
              <w:rPr>
                <w:rFonts w:ascii="Times New Roman" w:hAnsi="Times New Roman" w:cs="Times New Roman"/>
                <w:b/>
                <w:sz w:val="24"/>
                <w:szCs w:val="24"/>
              </w:rPr>
            </w:pPr>
            <w:r w:rsidRPr="00694D6D">
              <w:rPr>
                <w:rFonts w:ascii="Times New Roman" w:hAnsi="Times New Roman" w:cs="Times New Roman"/>
                <w:b/>
                <w:sz w:val="24"/>
                <w:szCs w:val="24"/>
              </w:rPr>
              <w:t>84%</w:t>
            </w:r>
          </w:p>
        </w:tc>
      </w:tr>
      <w:tr w:rsidR="00203292" w:rsidRPr="00694D6D" w14:paraId="44F0A76C" w14:textId="77777777" w:rsidTr="00185C80">
        <w:trPr>
          <w:gridAfter w:val="1"/>
          <w:wAfter w:w="749" w:type="pct"/>
        </w:trPr>
        <w:tc>
          <w:tcPr>
            <w:tcW w:w="2201" w:type="pct"/>
            <w:tcBorders>
              <w:bottom w:val="single" w:sz="4" w:space="0" w:color="auto"/>
            </w:tcBorders>
          </w:tcPr>
          <w:p w14:paraId="41DD4BD9" w14:textId="77777777" w:rsidR="00203292" w:rsidRPr="00694D6D" w:rsidRDefault="00203292" w:rsidP="00694D6D">
            <w:pPr>
              <w:spacing w:line="360" w:lineRule="auto"/>
              <w:jc w:val="both"/>
              <w:rPr>
                <w:rFonts w:ascii="Times New Roman" w:hAnsi="Times New Roman" w:cs="Times New Roman"/>
                <w:b/>
                <w:sz w:val="24"/>
                <w:szCs w:val="24"/>
              </w:rPr>
            </w:pPr>
            <w:r w:rsidRPr="00694D6D">
              <w:rPr>
                <w:rFonts w:ascii="Times New Roman" w:hAnsi="Times New Roman" w:cs="Times New Roman"/>
                <w:b/>
                <w:sz w:val="24"/>
                <w:szCs w:val="24"/>
              </w:rPr>
              <w:t>2016/17 performance</w:t>
            </w:r>
          </w:p>
        </w:tc>
        <w:tc>
          <w:tcPr>
            <w:tcW w:w="2049" w:type="pct"/>
            <w:gridSpan w:val="3"/>
            <w:tcBorders>
              <w:bottom w:val="single" w:sz="4" w:space="0" w:color="auto"/>
            </w:tcBorders>
          </w:tcPr>
          <w:p w14:paraId="61B3AC94" w14:textId="77777777" w:rsidR="00203292" w:rsidRPr="00694D6D" w:rsidRDefault="00203292" w:rsidP="00694D6D">
            <w:pPr>
              <w:spacing w:line="360" w:lineRule="auto"/>
              <w:jc w:val="center"/>
              <w:rPr>
                <w:rFonts w:ascii="Times New Roman" w:hAnsi="Times New Roman" w:cs="Times New Roman"/>
                <w:b/>
                <w:sz w:val="24"/>
                <w:szCs w:val="24"/>
              </w:rPr>
            </w:pPr>
            <w:r w:rsidRPr="00694D6D">
              <w:rPr>
                <w:rFonts w:ascii="Times New Roman" w:hAnsi="Times New Roman" w:cs="Times New Roman"/>
                <w:b/>
                <w:sz w:val="24"/>
                <w:szCs w:val="24"/>
              </w:rPr>
              <w:t>89%</w:t>
            </w:r>
          </w:p>
        </w:tc>
      </w:tr>
      <w:tr w:rsidR="00203292" w:rsidRPr="00694D6D" w14:paraId="7AEFA68C" w14:textId="77777777" w:rsidTr="00185C80">
        <w:trPr>
          <w:gridAfter w:val="1"/>
          <w:wAfter w:w="749" w:type="pct"/>
        </w:trPr>
        <w:tc>
          <w:tcPr>
            <w:tcW w:w="2201" w:type="pct"/>
            <w:tcBorders>
              <w:top w:val="single" w:sz="4" w:space="0" w:color="auto"/>
              <w:left w:val="single" w:sz="4" w:space="0" w:color="auto"/>
              <w:bottom w:val="single" w:sz="4" w:space="0" w:color="auto"/>
              <w:right w:val="single" w:sz="4" w:space="0" w:color="auto"/>
            </w:tcBorders>
          </w:tcPr>
          <w:p w14:paraId="5F53A529" w14:textId="77777777" w:rsidR="00203292" w:rsidRPr="00694D6D" w:rsidRDefault="00203292" w:rsidP="00694D6D">
            <w:pPr>
              <w:spacing w:line="360" w:lineRule="auto"/>
              <w:jc w:val="both"/>
              <w:rPr>
                <w:rFonts w:ascii="Times New Roman" w:hAnsi="Times New Roman" w:cs="Times New Roman"/>
                <w:sz w:val="24"/>
                <w:szCs w:val="24"/>
              </w:rPr>
            </w:pPr>
            <w:r w:rsidRPr="00694D6D">
              <w:rPr>
                <w:rFonts w:ascii="Times New Roman" w:hAnsi="Times New Roman" w:cs="Times New Roman"/>
                <w:b/>
                <w:sz w:val="24"/>
                <w:szCs w:val="24"/>
              </w:rPr>
              <w:t>2015/16 performance</w:t>
            </w:r>
          </w:p>
        </w:tc>
        <w:tc>
          <w:tcPr>
            <w:tcW w:w="2049" w:type="pct"/>
            <w:gridSpan w:val="3"/>
            <w:tcBorders>
              <w:top w:val="single" w:sz="4" w:space="0" w:color="auto"/>
              <w:left w:val="single" w:sz="4" w:space="0" w:color="auto"/>
              <w:bottom w:val="single" w:sz="4" w:space="0" w:color="auto"/>
              <w:right w:val="single" w:sz="4" w:space="0" w:color="auto"/>
            </w:tcBorders>
          </w:tcPr>
          <w:p w14:paraId="26F40850" w14:textId="77777777" w:rsidR="00203292" w:rsidRPr="00694D6D" w:rsidRDefault="00203292" w:rsidP="00694D6D">
            <w:pPr>
              <w:spacing w:line="360" w:lineRule="auto"/>
              <w:jc w:val="center"/>
              <w:rPr>
                <w:rFonts w:ascii="Times New Roman" w:hAnsi="Times New Roman" w:cs="Times New Roman"/>
                <w:b/>
                <w:sz w:val="24"/>
                <w:szCs w:val="24"/>
              </w:rPr>
            </w:pPr>
            <w:r w:rsidRPr="00694D6D">
              <w:rPr>
                <w:rFonts w:ascii="Times New Roman" w:hAnsi="Times New Roman" w:cs="Times New Roman"/>
                <w:b/>
                <w:sz w:val="24"/>
                <w:szCs w:val="24"/>
              </w:rPr>
              <w:t>84%</w:t>
            </w:r>
          </w:p>
        </w:tc>
      </w:tr>
      <w:tr w:rsidR="00203292" w:rsidRPr="00694D6D" w14:paraId="06867C16" w14:textId="77777777" w:rsidTr="00185C80">
        <w:trPr>
          <w:gridAfter w:val="1"/>
          <w:wAfter w:w="749" w:type="pct"/>
        </w:trPr>
        <w:tc>
          <w:tcPr>
            <w:tcW w:w="2201" w:type="pct"/>
            <w:tcBorders>
              <w:top w:val="single" w:sz="4" w:space="0" w:color="auto"/>
              <w:left w:val="single" w:sz="4" w:space="0" w:color="auto"/>
              <w:bottom w:val="single" w:sz="4" w:space="0" w:color="auto"/>
              <w:right w:val="single" w:sz="4" w:space="0" w:color="auto"/>
            </w:tcBorders>
          </w:tcPr>
          <w:p w14:paraId="56D53F9F" w14:textId="77777777" w:rsidR="00203292" w:rsidRPr="00694D6D" w:rsidRDefault="00203292" w:rsidP="00694D6D">
            <w:pPr>
              <w:spacing w:line="360" w:lineRule="auto"/>
              <w:jc w:val="both"/>
              <w:rPr>
                <w:rFonts w:ascii="Times New Roman" w:hAnsi="Times New Roman" w:cs="Times New Roman"/>
                <w:b/>
                <w:sz w:val="24"/>
                <w:szCs w:val="24"/>
              </w:rPr>
            </w:pPr>
            <w:r w:rsidRPr="00694D6D">
              <w:rPr>
                <w:rFonts w:ascii="Times New Roman" w:hAnsi="Times New Roman" w:cs="Times New Roman"/>
                <w:b/>
                <w:sz w:val="24"/>
                <w:szCs w:val="24"/>
              </w:rPr>
              <w:t>2014/15 performance</w:t>
            </w:r>
          </w:p>
        </w:tc>
        <w:tc>
          <w:tcPr>
            <w:tcW w:w="2049" w:type="pct"/>
            <w:gridSpan w:val="3"/>
            <w:tcBorders>
              <w:top w:val="single" w:sz="4" w:space="0" w:color="auto"/>
              <w:left w:val="single" w:sz="4" w:space="0" w:color="auto"/>
              <w:bottom w:val="single" w:sz="4" w:space="0" w:color="auto"/>
              <w:right w:val="single" w:sz="4" w:space="0" w:color="auto"/>
            </w:tcBorders>
          </w:tcPr>
          <w:p w14:paraId="4DF68CDB" w14:textId="77777777" w:rsidR="00203292" w:rsidRPr="00694D6D" w:rsidRDefault="00203292" w:rsidP="00694D6D">
            <w:pPr>
              <w:spacing w:line="360" w:lineRule="auto"/>
              <w:jc w:val="center"/>
              <w:rPr>
                <w:rFonts w:ascii="Times New Roman" w:hAnsi="Times New Roman" w:cs="Times New Roman"/>
                <w:b/>
                <w:sz w:val="24"/>
                <w:szCs w:val="24"/>
              </w:rPr>
            </w:pPr>
            <w:r w:rsidRPr="00694D6D">
              <w:rPr>
                <w:rFonts w:ascii="Times New Roman" w:hAnsi="Times New Roman" w:cs="Times New Roman"/>
                <w:b/>
                <w:sz w:val="24"/>
                <w:szCs w:val="24"/>
              </w:rPr>
              <w:t>85%</w:t>
            </w:r>
          </w:p>
        </w:tc>
      </w:tr>
    </w:tbl>
    <w:p w14:paraId="70531941" w14:textId="77777777" w:rsidR="006E0130" w:rsidRPr="00694D6D" w:rsidRDefault="006E0130" w:rsidP="00694D6D">
      <w:pPr>
        <w:spacing w:after="0" w:line="360" w:lineRule="auto"/>
        <w:jc w:val="both"/>
        <w:rPr>
          <w:rFonts w:ascii="Times New Roman" w:hAnsi="Times New Roman" w:cs="Times New Roman"/>
          <w:sz w:val="24"/>
          <w:szCs w:val="24"/>
          <w:lang w:val="en-GB"/>
        </w:rPr>
      </w:pPr>
    </w:p>
    <w:p w14:paraId="3EFCB478" w14:textId="77777777" w:rsidR="00736025" w:rsidRPr="00694D6D" w:rsidRDefault="00736025" w:rsidP="00694D6D">
      <w:pPr>
        <w:spacing w:after="0" w:line="360" w:lineRule="auto"/>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 xml:space="preserve">For 2018/19, the Department achieved an overall performance of 89%, achieving 42 of its 47 performance indicators. The five performance targets that were not achieved </w:t>
      </w:r>
      <w:r w:rsidR="00C0647B" w:rsidRPr="00694D6D">
        <w:rPr>
          <w:rFonts w:ascii="Times New Roman" w:hAnsi="Times New Roman" w:cs="Times New Roman"/>
          <w:sz w:val="24"/>
          <w:szCs w:val="24"/>
          <w:lang w:val="en-GB"/>
        </w:rPr>
        <w:t>included</w:t>
      </w:r>
      <w:r w:rsidRPr="00694D6D">
        <w:rPr>
          <w:rFonts w:ascii="Times New Roman" w:hAnsi="Times New Roman" w:cs="Times New Roman"/>
          <w:sz w:val="24"/>
          <w:szCs w:val="24"/>
          <w:lang w:val="en-GB"/>
        </w:rPr>
        <w:t>:</w:t>
      </w:r>
    </w:p>
    <w:p w14:paraId="7FA4421F" w14:textId="77777777" w:rsidR="00736025" w:rsidRPr="00694D6D" w:rsidRDefault="00736025" w:rsidP="00694D6D">
      <w:pPr>
        <w:spacing w:after="0" w:line="360" w:lineRule="auto"/>
        <w:jc w:val="both"/>
        <w:rPr>
          <w:rFonts w:ascii="Times New Roman" w:hAnsi="Times New Roman" w:cs="Times New Roman"/>
          <w:sz w:val="24"/>
          <w:szCs w:val="24"/>
          <w:lang w:val="en-GB"/>
        </w:rPr>
      </w:pPr>
    </w:p>
    <w:p w14:paraId="5B8999FE" w14:textId="77777777" w:rsidR="00736025" w:rsidRPr="00694D6D" w:rsidRDefault="00736025" w:rsidP="00694D6D">
      <w:pPr>
        <w:spacing w:after="0" w:line="360" w:lineRule="auto"/>
        <w:jc w:val="both"/>
        <w:rPr>
          <w:rFonts w:ascii="Times New Roman" w:hAnsi="Times New Roman" w:cs="Times New Roman"/>
          <w:b/>
          <w:sz w:val="24"/>
          <w:szCs w:val="24"/>
          <w:lang w:val="en-GB"/>
        </w:rPr>
      </w:pPr>
      <w:r w:rsidRPr="00694D6D">
        <w:rPr>
          <w:rFonts w:ascii="Times New Roman" w:hAnsi="Times New Roman" w:cs="Times New Roman"/>
          <w:b/>
          <w:sz w:val="24"/>
          <w:szCs w:val="24"/>
          <w:lang w:val="en-GB"/>
        </w:rPr>
        <w:t>Programme 4:</w:t>
      </w:r>
    </w:p>
    <w:p w14:paraId="48E5937E" w14:textId="77777777" w:rsidR="00736025" w:rsidRPr="00694D6D" w:rsidRDefault="00BD4455" w:rsidP="00694D6D">
      <w:pPr>
        <w:pStyle w:val="ListParagraph"/>
        <w:numPr>
          <w:ilvl w:val="1"/>
          <w:numId w:val="5"/>
        </w:numPr>
        <w:spacing w:after="0" w:line="360" w:lineRule="auto"/>
        <w:ind w:left="567" w:hanging="567"/>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 xml:space="preserve">Awarded bursaries to </w:t>
      </w:r>
      <w:r w:rsidR="00736025" w:rsidRPr="00694D6D">
        <w:rPr>
          <w:rFonts w:ascii="Times New Roman" w:hAnsi="Times New Roman" w:cs="Times New Roman"/>
          <w:sz w:val="24"/>
          <w:szCs w:val="24"/>
          <w:lang w:val="en-GB"/>
        </w:rPr>
        <w:t xml:space="preserve">9 774 </w:t>
      </w:r>
      <w:r w:rsidRPr="00694D6D">
        <w:rPr>
          <w:rFonts w:ascii="Times New Roman" w:hAnsi="Times New Roman" w:cs="Times New Roman"/>
          <w:sz w:val="24"/>
          <w:szCs w:val="24"/>
          <w:lang w:val="en-GB"/>
        </w:rPr>
        <w:t xml:space="preserve">of the targeted 10 800 </w:t>
      </w:r>
      <w:r w:rsidR="00736025" w:rsidRPr="00694D6D">
        <w:rPr>
          <w:rFonts w:ascii="Times New Roman" w:hAnsi="Times New Roman" w:cs="Times New Roman"/>
          <w:sz w:val="24"/>
          <w:szCs w:val="24"/>
          <w:lang w:val="en-GB"/>
        </w:rPr>
        <w:t xml:space="preserve">pipeline postgraduate (i.e., </w:t>
      </w:r>
      <w:r w:rsidR="00ED6BEB" w:rsidRPr="00694D6D">
        <w:rPr>
          <w:rFonts w:ascii="Times New Roman" w:hAnsi="Times New Roman" w:cs="Times New Roman"/>
          <w:sz w:val="24"/>
          <w:szCs w:val="24"/>
          <w:lang w:val="en-GB"/>
        </w:rPr>
        <w:t>H</w:t>
      </w:r>
      <w:r w:rsidR="00736025" w:rsidRPr="00694D6D">
        <w:rPr>
          <w:rFonts w:ascii="Times New Roman" w:hAnsi="Times New Roman" w:cs="Times New Roman"/>
          <w:sz w:val="24"/>
          <w:szCs w:val="24"/>
          <w:lang w:val="en-GB"/>
        </w:rPr>
        <w:t xml:space="preserve">onours, BTech and </w:t>
      </w:r>
      <w:r w:rsidR="00ED6BEB" w:rsidRPr="00694D6D">
        <w:rPr>
          <w:rFonts w:ascii="Times New Roman" w:hAnsi="Times New Roman" w:cs="Times New Roman"/>
          <w:sz w:val="24"/>
          <w:szCs w:val="24"/>
          <w:lang w:val="en-GB"/>
        </w:rPr>
        <w:t>M</w:t>
      </w:r>
      <w:r w:rsidR="00736025" w:rsidRPr="00694D6D">
        <w:rPr>
          <w:rFonts w:ascii="Times New Roman" w:hAnsi="Times New Roman" w:cs="Times New Roman"/>
          <w:sz w:val="24"/>
          <w:szCs w:val="24"/>
          <w:lang w:val="en-GB"/>
        </w:rPr>
        <w:t>asters) students. The Department state</w:t>
      </w:r>
      <w:r w:rsidR="00A85E01" w:rsidRPr="00694D6D">
        <w:rPr>
          <w:rFonts w:ascii="Times New Roman" w:hAnsi="Times New Roman" w:cs="Times New Roman"/>
          <w:sz w:val="24"/>
          <w:szCs w:val="24"/>
          <w:lang w:val="en-GB"/>
        </w:rPr>
        <w:t>d</w:t>
      </w:r>
      <w:r w:rsidR="00736025" w:rsidRPr="00694D6D">
        <w:rPr>
          <w:rFonts w:ascii="Times New Roman" w:hAnsi="Times New Roman" w:cs="Times New Roman"/>
          <w:sz w:val="24"/>
          <w:szCs w:val="24"/>
          <w:lang w:val="en-GB"/>
        </w:rPr>
        <w:t xml:space="preserve"> that the target was not achieved due to below-inflation incre</w:t>
      </w:r>
      <w:r w:rsidR="00FC0B75" w:rsidRPr="00694D6D">
        <w:rPr>
          <w:rFonts w:ascii="Times New Roman" w:hAnsi="Times New Roman" w:cs="Times New Roman"/>
          <w:sz w:val="24"/>
          <w:szCs w:val="24"/>
          <w:lang w:val="en-GB"/>
        </w:rPr>
        <w:t xml:space="preserve">ases to the existing budget, as well as a portion of the budget being used to support </w:t>
      </w:r>
      <w:r w:rsidR="00694D6D" w:rsidRPr="00694D6D">
        <w:rPr>
          <w:rFonts w:ascii="Times New Roman" w:hAnsi="Times New Roman" w:cs="Times New Roman"/>
          <w:sz w:val="24"/>
          <w:szCs w:val="24"/>
          <w:lang w:val="en-GB"/>
        </w:rPr>
        <w:t>D</w:t>
      </w:r>
      <w:r w:rsidR="00FC0B75" w:rsidRPr="00694D6D">
        <w:rPr>
          <w:rFonts w:ascii="Times New Roman" w:hAnsi="Times New Roman" w:cs="Times New Roman"/>
          <w:sz w:val="24"/>
          <w:szCs w:val="24"/>
          <w:lang w:val="en-GB"/>
        </w:rPr>
        <w:t>octoral students. The Department ascribed the underachievement to variables that were not foreseen when the target was formulated. This would be addressed in the next performance plan.</w:t>
      </w:r>
    </w:p>
    <w:p w14:paraId="2A582A08" w14:textId="77777777" w:rsidR="00736025" w:rsidRPr="00694D6D" w:rsidRDefault="00736025" w:rsidP="00694D6D">
      <w:pPr>
        <w:spacing w:after="0" w:line="360" w:lineRule="auto"/>
        <w:jc w:val="both"/>
        <w:rPr>
          <w:rFonts w:ascii="Times New Roman" w:hAnsi="Times New Roman" w:cs="Times New Roman"/>
          <w:sz w:val="24"/>
          <w:szCs w:val="24"/>
          <w:lang w:val="en-GB"/>
        </w:rPr>
      </w:pPr>
    </w:p>
    <w:p w14:paraId="135145E8" w14:textId="77777777" w:rsidR="00736025" w:rsidRPr="00694D6D" w:rsidRDefault="00736025" w:rsidP="00694D6D">
      <w:pPr>
        <w:pStyle w:val="ListParagraph"/>
        <w:numPr>
          <w:ilvl w:val="1"/>
          <w:numId w:val="5"/>
        </w:numPr>
        <w:spacing w:after="0" w:line="360" w:lineRule="auto"/>
        <w:ind w:left="567" w:hanging="567"/>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The Minister could not submit the second biennial report on the State of Climate Change Science and Technology in South Africa to Cabinet, due to Cabinet’s busy schedule.</w:t>
      </w:r>
      <w:r w:rsidR="00FC0B75" w:rsidRPr="00694D6D">
        <w:rPr>
          <w:rFonts w:ascii="Times New Roman" w:hAnsi="Times New Roman" w:cs="Times New Roman"/>
          <w:sz w:val="24"/>
          <w:szCs w:val="24"/>
          <w:lang w:val="en-GB"/>
        </w:rPr>
        <w:t xml:space="preserve"> </w:t>
      </w:r>
      <w:r w:rsidR="0063680A" w:rsidRPr="00694D6D">
        <w:rPr>
          <w:rFonts w:ascii="Times New Roman" w:hAnsi="Times New Roman" w:cs="Times New Roman"/>
          <w:sz w:val="24"/>
          <w:szCs w:val="24"/>
          <w:lang w:val="en-GB"/>
        </w:rPr>
        <w:t>The Department ascribed the non-achievement of this target to factors that were not within its control.</w:t>
      </w:r>
    </w:p>
    <w:p w14:paraId="2FF39652" w14:textId="77777777" w:rsidR="00736025" w:rsidRPr="00694D6D" w:rsidRDefault="00736025" w:rsidP="00694D6D">
      <w:pPr>
        <w:spacing w:after="0" w:line="360" w:lineRule="auto"/>
        <w:jc w:val="both"/>
        <w:rPr>
          <w:rFonts w:ascii="Times New Roman" w:hAnsi="Times New Roman" w:cs="Times New Roman"/>
          <w:sz w:val="24"/>
          <w:szCs w:val="24"/>
          <w:lang w:val="en-GB"/>
        </w:rPr>
      </w:pPr>
    </w:p>
    <w:p w14:paraId="2EDA94BE" w14:textId="77777777" w:rsidR="00736025" w:rsidRPr="00694D6D" w:rsidRDefault="00736025" w:rsidP="00694D6D">
      <w:pPr>
        <w:spacing w:after="0" w:line="360" w:lineRule="auto"/>
        <w:jc w:val="both"/>
        <w:rPr>
          <w:rFonts w:ascii="Times New Roman" w:hAnsi="Times New Roman" w:cs="Times New Roman"/>
          <w:b/>
          <w:sz w:val="24"/>
          <w:szCs w:val="24"/>
          <w:lang w:val="en-GB"/>
        </w:rPr>
      </w:pPr>
      <w:r w:rsidRPr="00694D6D">
        <w:rPr>
          <w:rFonts w:ascii="Times New Roman" w:hAnsi="Times New Roman" w:cs="Times New Roman"/>
          <w:b/>
          <w:sz w:val="24"/>
          <w:szCs w:val="24"/>
          <w:lang w:val="en-GB"/>
        </w:rPr>
        <w:t>Programme 5:</w:t>
      </w:r>
    </w:p>
    <w:p w14:paraId="12890568" w14:textId="77777777" w:rsidR="0063680A" w:rsidRPr="00694D6D" w:rsidRDefault="00BD4455" w:rsidP="00694D6D">
      <w:pPr>
        <w:pStyle w:val="ListParagraph"/>
        <w:numPr>
          <w:ilvl w:val="1"/>
          <w:numId w:val="5"/>
        </w:numPr>
        <w:spacing w:after="0" w:line="360" w:lineRule="auto"/>
        <w:ind w:left="567" w:hanging="567"/>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 xml:space="preserve">Supported </w:t>
      </w:r>
      <w:r w:rsidR="00736025" w:rsidRPr="00694D6D">
        <w:rPr>
          <w:rFonts w:ascii="Times New Roman" w:hAnsi="Times New Roman" w:cs="Times New Roman"/>
          <w:sz w:val="24"/>
          <w:szCs w:val="24"/>
          <w:lang w:val="en-GB"/>
        </w:rPr>
        <w:t xml:space="preserve">84 of the targeted 90 </w:t>
      </w:r>
      <w:r w:rsidR="00ED6BEB" w:rsidRPr="00694D6D">
        <w:rPr>
          <w:rFonts w:ascii="Times New Roman" w:hAnsi="Times New Roman" w:cs="Times New Roman"/>
          <w:sz w:val="24"/>
          <w:szCs w:val="24"/>
          <w:lang w:val="en-GB"/>
        </w:rPr>
        <w:t>H</w:t>
      </w:r>
      <w:r w:rsidR="00736025" w:rsidRPr="00694D6D">
        <w:rPr>
          <w:rFonts w:ascii="Times New Roman" w:hAnsi="Times New Roman" w:cs="Times New Roman"/>
          <w:sz w:val="24"/>
          <w:szCs w:val="24"/>
          <w:lang w:val="en-GB"/>
        </w:rPr>
        <w:t xml:space="preserve">onours, </w:t>
      </w:r>
      <w:r w:rsidR="00ED6BEB" w:rsidRPr="00694D6D">
        <w:rPr>
          <w:rFonts w:ascii="Times New Roman" w:hAnsi="Times New Roman" w:cs="Times New Roman"/>
          <w:sz w:val="24"/>
          <w:szCs w:val="24"/>
          <w:lang w:val="en-GB"/>
        </w:rPr>
        <w:t>M</w:t>
      </w:r>
      <w:r w:rsidR="00736025" w:rsidRPr="00694D6D">
        <w:rPr>
          <w:rFonts w:ascii="Times New Roman" w:hAnsi="Times New Roman" w:cs="Times New Roman"/>
          <w:sz w:val="24"/>
          <w:szCs w:val="24"/>
          <w:lang w:val="en-GB"/>
        </w:rPr>
        <w:t xml:space="preserve">asters and </w:t>
      </w:r>
      <w:r w:rsidR="00ED6BEB" w:rsidRPr="00694D6D">
        <w:rPr>
          <w:rFonts w:ascii="Times New Roman" w:hAnsi="Times New Roman" w:cs="Times New Roman"/>
          <w:sz w:val="24"/>
          <w:szCs w:val="24"/>
          <w:lang w:val="en-GB"/>
        </w:rPr>
        <w:t>D</w:t>
      </w:r>
      <w:r w:rsidR="00736025" w:rsidRPr="00694D6D">
        <w:rPr>
          <w:rFonts w:ascii="Times New Roman" w:hAnsi="Times New Roman" w:cs="Times New Roman"/>
          <w:sz w:val="24"/>
          <w:szCs w:val="24"/>
          <w:lang w:val="en-GB"/>
        </w:rPr>
        <w:t>octoral students in areas that support the green economy and sustainable development. The Department state</w:t>
      </w:r>
      <w:r w:rsidR="00A85E01" w:rsidRPr="00694D6D">
        <w:rPr>
          <w:rFonts w:ascii="Times New Roman" w:hAnsi="Times New Roman" w:cs="Times New Roman"/>
          <w:sz w:val="24"/>
          <w:szCs w:val="24"/>
          <w:lang w:val="en-GB"/>
        </w:rPr>
        <w:t>d</w:t>
      </w:r>
      <w:r w:rsidR="00736025" w:rsidRPr="00694D6D">
        <w:rPr>
          <w:rFonts w:ascii="Times New Roman" w:hAnsi="Times New Roman" w:cs="Times New Roman"/>
          <w:sz w:val="24"/>
          <w:szCs w:val="24"/>
          <w:lang w:val="en-GB"/>
        </w:rPr>
        <w:t xml:space="preserve"> that new students were not funded as there </w:t>
      </w:r>
      <w:r w:rsidRPr="00694D6D">
        <w:rPr>
          <w:rFonts w:ascii="Times New Roman" w:hAnsi="Times New Roman" w:cs="Times New Roman"/>
          <w:sz w:val="24"/>
          <w:szCs w:val="24"/>
          <w:lang w:val="en-GB"/>
        </w:rPr>
        <w:t>was</w:t>
      </w:r>
      <w:r w:rsidR="00736025" w:rsidRPr="00694D6D">
        <w:rPr>
          <w:rFonts w:ascii="Times New Roman" w:hAnsi="Times New Roman" w:cs="Times New Roman"/>
          <w:sz w:val="24"/>
          <w:szCs w:val="24"/>
          <w:lang w:val="en-GB"/>
        </w:rPr>
        <w:t xml:space="preserve"> no guarantee of funding for students to complete their studies.</w:t>
      </w:r>
      <w:r w:rsidR="0063680A" w:rsidRPr="00694D6D">
        <w:rPr>
          <w:rFonts w:ascii="Times New Roman" w:hAnsi="Times New Roman" w:cs="Times New Roman"/>
          <w:sz w:val="24"/>
          <w:szCs w:val="24"/>
          <w:lang w:val="en-GB"/>
        </w:rPr>
        <w:t xml:space="preserve"> The Department ascribed the underachievement to factors that were not within its control.</w:t>
      </w:r>
    </w:p>
    <w:p w14:paraId="2DA12C17" w14:textId="77777777" w:rsidR="00736025" w:rsidRPr="00694D6D" w:rsidRDefault="00736025" w:rsidP="00694D6D">
      <w:pPr>
        <w:spacing w:after="0" w:line="360" w:lineRule="auto"/>
        <w:jc w:val="both"/>
        <w:rPr>
          <w:rFonts w:ascii="Times New Roman" w:hAnsi="Times New Roman" w:cs="Times New Roman"/>
          <w:sz w:val="24"/>
          <w:szCs w:val="24"/>
          <w:highlight w:val="yellow"/>
          <w:lang w:val="en-GB"/>
        </w:rPr>
      </w:pPr>
    </w:p>
    <w:p w14:paraId="1B2548DF" w14:textId="77777777" w:rsidR="00071D65" w:rsidRPr="00694D6D" w:rsidRDefault="00736025" w:rsidP="00694D6D">
      <w:pPr>
        <w:pStyle w:val="ListParagraph"/>
        <w:numPr>
          <w:ilvl w:val="1"/>
          <w:numId w:val="5"/>
        </w:numPr>
        <w:spacing w:after="0" w:line="360" w:lineRule="auto"/>
        <w:ind w:left="567" w:hanging="567"/>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 xml:space="preserve">Five of the </w:t>
      </w:r>
      <w:r w:rsidR="00BD4455" w:rsidRPr="00694D6D">
        <w:rPr>
          <w:rFonts w:ascii="Times New Roman" w:hAnsi="Times New Roman" w:cs="Times New Roman"/>
          <w:sz w:val="24"/>
          <w:szCs w:val="24"/>
          <w:lang w:val="en-GB"/>
        </w:rPr>
        <w:t>targeted</w:t>
      </w:r>
      <w:r w:rsidRPr="00694D6D">
        <w:rPr>
          <w:rFonts w:ascii="Times New Roman" w:hAnsi="Times New Roman" w:cs="Times New Roman"/>
          <w:sz w:val="24"/>
          <w:szCs w:val="24"/>
          <w:lang w:val="en-GB"/>
        </w:rPr>
        <w:t xml:space="preserve"> six statistical reports or policy briefs were approved by EXCO or submitted to Cabinet. The policy brief</w:t>
      </w:r>
      <w:r w:rsidR="00071D65" w:rsidRPr="00694D6D">
        <w:rPr>
          <w:rFonts w:ascii="Times New Roman" w:hAnsi="Times New Roman" w:cs="Times New Roman"/>
          <w:sz w:val="24"/>
          <w:szCs w:val="24"/>
          <w:lang w:val="en-GB"/>
        </w:rPr>
        <w:t xml:space="preserve">; namely, the Impact of the R&amp;D Tax Incentive, </w:t>
      </w:r>
      <w:r w:rsidRPr="00694D6D">
        <w:rPr>
          <w:rFonts w:ascii="Times New Roman" w:hAnsi="Times New Roman" w:cs="Times New Roman"/>
          <w:sz w:val="24"/>
          <w:szCs w:val="24"/>
          <w:lang w:val="en-GB"/>
        </w:rPr>
        <w:t xml:space="preserve">was not finalised due to the resignation of the project leader. </w:t>
      </w:r>
      <w:r w:rsidR="00071D65" w:rsidRPr="00694D6D">
        <w:rPr>
          <w:rFonts w:ascii="Times New Roman" w:hAnsi="Times New Roman" w:cs="Times New Roman"/>
          <w:sz w:val="24"/>
          <w:szCs w:val="24"/>
          <w:lang w:val="en-GB"/>
        </w:rPr>
        <w:t>The Department ascribed the underachievement to factors that were not within its control. However, a new project leader was assigned and it was expected that the report would be finalised in the first quarter of the 2019/20 financial year.</w:t>
      </w:r>
    </w:p>
    <w:p w14:paraId="006956AD" w14:textId="77777777" w:rsidR="00736025" w:rsidRPr="00694D6D" w:rsidRDefault="00736025" w:rsidP="00694D6D">
      <w:pPr>
        <w:spacing w:after="0" w:line="360" w:lineRule="auto"/>
        <w:jc w:val="both"/>
        <w:rPr>
          <w:rFonts w:ascii="Times New Roman" w:hAnsi="Times New Roman" w:cs="Times New Roman"/>
          <w:sz w:val="24"/>
          <w:szCs w:val="24"/>
          <w:lang w:val="en-GB"/>
        </w:rPr>
      </w:pPr>
    </w:p>
    <w:p w14:paraId="642EDF25" w14:textId="77777777" w:rsidR="00071D65" w:rsidRPr="00694D6D" w:rsidRDefault="00736025" w:rsidP="00694D6D">
      <w:pPr>
        <w:pStyle w:val="ListParagraph"/>
        <w:numPr>
          <w:ilvl w:val="1"/>
          <w:numId w:val="5"/>
        </w:numPr>
        <w:spacing w:after="0" w:line="360" w:lineRule="auto"/>
        <w:ind w:left="567" w:hanging="567"/>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Due to on-going capacity challenges, the target for the time taken for pre-approval decisions for the R&amp;D Tax Incentive was once again not met.</w:t>
      </w:r>
      <w:r w:rsidR="00071D65" w:rsidRPr="00694D6D">
        <w:rPr>
          <w:rFonts w:ascii="Times New Roman" w:hAnsi="Times New Roman" w:cs="Times New Roman"/>
          <w:sz w:val="24"/>
          <w:szCs w:val="24"/>
          <w:lang w:val="en-GB"/>
        </w:rPr>
        <w:t xml:space="preserve"> The Department ascribed the non-achievement of this target to factors that were not within its control.</w:t>
      </w:r>
    </w:p>
    <w:p w14:paraId="75338666" w14:textId="77777777" w:rsidR="000549B9" w:rsidRPr="00694D6D" w:rsidRDefault="000549B9" w:rsidP="00694D6D">
      <w:pPr>
        <w:spacing w:after="0" w:line="360" w:lineRule="auto"/>
        <w:jc w:val="both"/>
        <w:rPr>
          <w:rFonts w:ascii="Times New Roman" w:hAnsi="Times New Roman" w:cs="Times New Roman"/>
          <w:sz w:val="24"/>
          <w:szCs w:val="24"/>
          <w:lang w:val="en-GB"/>
        </w:rPr>
      </w:pPr>
    </w:p>
    <w:p w14:paraId="54B7FE39" w14:textId="77777777" w:rsidR="00103951" w:rsidRPr="00694D6D" w:rsidRDefault="00103951" w:rsidP="00694D6D">
      <w:pPr>
        <w:pStyle w:val="ListParagraph"/>
        <w:numPr>
          <w:ilvl w:val="1"/>
          <w:numId w:val="1"/>
        </w:numPr>
        <w:spacing w:after="0" w:line="360" w:lineRule="auto"/>
        <w:ind w:left="567" w:hanging="567"/>
        <w:jc w:val="both"/>
        <w:rPr>
          <w:rFonts w:ascii="Times New Roman" w:hAnsi="Times New Roman" w:cs="Times New Roman"/>
          <w:sz w:val="24"/>
          <w:szCs w:val="24"/>
          <w:lang w:val="en-GB"/>
        </w:rPr>
      </w:pPr>
      <w:r w:rsidRPr="00694D6D">
        <w:rPr>
          <w:rFonts w:ascii="Times New Roman" w:hAnsi="Times New Roman" w:cs="Times New Roman"/>
          <w:b/>
          <w:sz w:val="24"/>
          <w:szCs w:val="24"/>
          <w:lang w:val="en-GB"/>
        </w:rPr>
        <w:t>Selected performance against the five strategic outcome-oriented goals</w:t>
      </w:r>
    </w:p>
    <w:p w14:paraId="31A0C49F" w14:textId="77777777" w:rsidR="00103951" w:rsidRPr="00694D6D" w:rsidRDefault="00103951" w:rsidP="00694D6D">
      <w:pPr>
        <w:spacing w:after="0" w:line="360" w:lineRule="auto"/>
        <w:jc w:val="both"/>
        <w:rPr>
          <w:rFonts w:ascii="Times New Roman" w:hAnsi="Times New Roman" w:cs="Times New Roman"/>
          <w:sz w:val="24"/>
          <w:szCs w:val="24"/>
          <w:lang w:val="en-GB"/>
        </w:rPr>
      </w:pPr>
    </w:p>
    <w:p w14:paraId="7FA3E186" w14:textId="77777777" w:rsidR="00103951" w:rsidRPr="00694D6D" w:rsidRDefault="00103951" w:rsidP="00694D6D">
      <w:pPr>
        <w:spacing w:after="0" w:line="360" w:lineRule="auto"/>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 xml:space="preserve">The Department continued to support national priorities by implementing its five strategic outcome-oriented goals, and </w:t>
      </w:r>
      <w:r w:rsidR="008059F6" w:rsidRPr="00694D6D">
        <w:rPr>
          <w:rFonts w:ascii="Times New Roman" w:hAnsi="Times New Roman" w:cs="Times New Roman"/>
          <w:sz w:val="24"/>
          <w:szCs w:val="24"/>
          <w:lang w:val="en-GB"/>
        </w:rPr>
        <w:t>selected</w:t>
      </w:r>
      <w:r w:rsidRPr="00694D6D">
        <w:rPr>
          <w:rFonts w:ascii="Times New Roman" w:hAnsi="Times New Roman" w:cs="Times New Roman"/>
          <w:sz w:val="24"/>
          <w:szCs w:val="24"/>
          <w:lang w:val="en-GB"/>
        </w:rPr>
        <w:t xml:space="preserve"> performance in relation to these goals included:</w:t>
      </w:r>
    </w:p>
    <w:p w14:paraId="4D0FC2BF" w14:textId="77777777" w:rsidR="000549B9" w:rsidRPr="00694D6D" w:rsidRDefault="000549B9" w:rsidP="00694D6D">
      <w:pPr>
        <w:spacing w:after="0" w:line="360" w:lineRule="auto"/>
        <w:jc w:val="both"/>
        <w:rPr>
          <w:rFonts w:ascii="Times New Roman" w:hAnsi="Times New Roman" w:cs="Times New Roman"/>
          <w:sz w:val="24"/>
          <w:szCs w:val="24"/>
          <w:lang w:val="en-GB"/>
        </w:rPr>
      </w:pPr>
    </w:p>
    <w:p w14:paraId="70AEF6F8" w14:textId="77777777" w:rsidR="00F07838" w:rsidRPr="00694D6D" w:rsidRDefault="00F07838" w:rsidP="00694D6D">
      <w:pPr>
        <w:autoSpaceDE w:val="0"/>
        <w:autoSpaceDN w:val="0"/>
        <w:adjustRightInd w:val="0"/>
        <w:spacing w:after="0" w:line="360" w:lineRule="auto"/>
        <w:jc w:val="both"/>
        <w:rPr>
          <w:rFonts w:ascii="Times New Roman" w:hAnsi="Times New Roman" w:cs="Times New Roman"/>
          <w:sz w:val="24"/>
          <w:szCs w:val="24"/>
          <w:lang w:val="en-GB"/>
        </w:rPr>
      </w:pPr>
      <w:r w:rsidRPr="00694D6D">
        <w:rPr>
          <w:rFonts w:ascii="Times New Roman" w:hAnsi="Times New Roman" w:cs="Times New Roman"/>
          <w:b/>
          <w:sz w:val="24"/>
          <w:szCs w:val="24"/>
          <w:lang w:val="en-GB"/>
        </w:rPr>
        <w:t>Goal 1: Responsive, co-ordinated and efficient NSI – build on previous gains to create a responsive, co-ordinated and efficient NSI.</w:t>
      </w:r>
    </w:p>
    <w:p w14:paraId="03458348" w14:textId="77777777" w:rsidR="008C72C7" w:rsidRPr="00694D6D" w:rsidRDefault="008C72C7" w:rsidP="00694D6D">
      <w:pPr>
        <w:autoSpaceDE w:val="0"/>
        <w:autoSpaceDN w:val="0"/>
        <w:adjustRightInd w:val="0"/>
        <w:spacing w:after="0" w:line="360" w:lineRule="auto"/>
        <w:jc w:val="both"/>
        <w:rPr>
          <w:rFonts w:ascii="Times New Roman" w:hAnsi="Times New Roman" w:cs="Times New Roman"/>
          <w:sz w:val="24"/>
          <w:szCs w:val="24"/>
          <w:lang w:val="en-GB"/>
        </w:rPr>
      </w:pPr>
    </w:p>
    <w:p w14:paraId="1CCA05F3" w14:textId="77777777" w:rsidR="00103951" w:rsidRPr="00694D6D" w:rsidRDefault="0057009D" w:rsidP="00694D6D">
      <w:pPr>
        <w:pStyle w:val="ListParagraph"/>
        <w:numPr>
          <w:ilvl w:val="0"/>
          <w:numId w:val="9"/>
        </w:numPr>
        <w:autoSpaceDE w:val="0"/>
        <w:autoSpaceDN w:val="0"/>
        <w:adjustRightInd w:val="0"/>
        <w:spacing w:after="0" w:line="360" w:lineRule="auto"/>
        <w:ind w:left="567" w:hanging="567"/>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The Department finalised the new White Paper on Science, Technology and Innovation, which was then approved by Cabinet in March 2019.</w:t>
      </w:r>
    </w:p>
    <w:p w14:paraId="0D52F5E1" w14:textId="77777777" w:rsidR="0057009D" w:rsidRPr="00694D6D" w:rsidRDefault="0057009D" w:rsidP="00694D6D">
      <w:pPr>
        <w:pStyle w:val="ListParagraph"/>
        <w:numPr>
          <w:ilvl w:val="0"/>
          <w:numId w:val="9"/>
        </w:numPr>
        <w:autoSpaceDE w:val="0"/>
        <w:autoSpaceDN w:val="0"/>
        <w:adjustRightInd w:val="0"/>
        <w:spacing w:after="0" w:line="360" w:lineRule="auto"/>
        <w:ind w:left="567" w:hanging="567"/>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A framework for the development of a new STI Decadal Plan was completed.</w:t>
      </w:r>
    </w:p>
    <w:p w14:paraId="42AF5E81" w14:textId="77777777" w:rsidR="00103951" w:rsidRPr="00694D6D" w:rsidRDefault="00103951" w:rsidP="00694D6D">
      <w:pPr>
        <w:autoSpaceDE w:val="0"/>
        <w:autoSpaceDN w:val="0"/>
        <w:adjustRightInd w:val="0"/>
        <w:spacing w:after="0" w:line="360" w:lineRule="auto"/>
        <w:jc w:val="both"/>
        <w:rPr>
          <w:rFonts w:ascii="Times New Roman" w:hAnsi="Times New Roman" w:cs="Times New Roman"/>
          <w:sz w:val="24"/>
          <w:szCs w:val="24"/>
          <w:lang w:val="en-GB"/>
        </w:rPr>
      </w:pPr>
    </w:p>
    <w:p w14:paraId="5CC94351" w14:textId="77777777" w:rsidR="00F07838" w:rsidRPr="00694D6D" w:rsidRDefault="00F07838" w:rsidP="00694D6D">
      <w:pPr>
        <w:autoSpaceDE w:val="0"/>
        <w:autoSpaceDN w:val="0"/>
        <w:adjustRightInd w:val="0"/>
        <w:spacing w:after="0" w:line="360" w:lineRule="auto"/>
        <w:jc w:val="both"/>
        <w:rPr>
          <w:rFonts w:ascii="Times New Roman" w:hAnsi="Times New Roman" w:cs="Times New Roman"/>
          <w:sz w:val="24"/>
          <w:szCs w:val="24"/>
          <w:lang w:val="en-GB"/>
        </w:rPr>
      </w:pPr>
      <w:r w:rsidRPr="00694D6D">
        <w:rPr>
          <w:rFonts w:ascii="Times New Roman" w:hAnsi="Times New Roman" w:cs="Times New Roman"/>
          <w:b/>
          <w:sz w:val="24"/>
          <w:szCs w:val="24"/>
          <w:lang w:val="en-GB"/>
        </w:rPr>
        <w:t>Goal 2: Increased knowledge generation – maintain and increase the relative contribution of South African researchers to global scientific output.</w:t>
      </w:r>
    </w:p>
    <w:p w14:paraId="30286D11" w14:textId="77777777" w:rsidR="008C72C7" w:rsidRPr="00694D6D" w:rsidRDefault="008C72C7" w:rsidP="00694D6D">
      <w:pPr>
        <w:autoSpaceDE w:val="0"/>
        <w:autoSpaceDN w:val="0"/>
        <w:adjustRightInd w:val="0"/>
        <w:spacing w:after="0" w:line="360" w:lineRule="auto"/>
        <w:jc w:val="both"/>
        <w:rPr>
          <w:rFonts w:ascii="Times New Roman" w:hAnsi="Times New Roman" w:cs="Times New Roman"/>
          <w:sz w:val="24"/>
          <w:szCs w:val="24"/>
          <w:lang w:val="en-GB"/>
        </w:rPr>
      </w:pPr>
    </w:p>
    <w:p w14:paraId="19ECFB92" w14:textId="77777777" w:rsidR="00103951" w:rsidRPr="00694D6D" w:rsidRDefault="004E16F4" w:rsidP="00694D6D">
      <w:pPr>
        <w:pStyle w:val="ListParagraph"/>
        <w:numPr>
          <w:ilvl w:val="0"/>
          <w:numId w:val="9"/>
        </w:numPr>
        <w:autoSpaceDE w:val="0"/>
        <w:autoSpaceDN w:val="0"/>
        <w:adjustRightInd w:val="0"/>
        <w:spacing w:after="0" w:line="360" w:lineRule="auto"/>
        <w:ind w:left="567" w:hanging="567"/>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Awarded research grants to 4 633 researchers, 40% of whom were black and 39% were women.</w:t>
      </w:r>
    </w:p>
    <w:p w14:paraId="337BD413" w14:textId="77777777" w:rsidR="004E16F4" w:rsidRPr="00694D6D" w:rsidRDefault="004E16F4" w:rsidP="00694D6D">
      <w:pPr>
        <w:pStyle w:val="ListParagraph"/>
        <w:numPr>
          <w:ilvl w:val="0"/>
          <w:numId w:val="9"/>
        </w:numPr>
        <w:autoSpaceDE w:val="0"/>
        <w:autoSpaceDN w:val="0"/>
        <w:adjustRightInd w:val="0"/>
        <w:spacing w:after="0" w:line="360" w:lineRule="auto"/>
        <w:ind w:left="567" w:hanging="567"/>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Completed and commissioned the 64-Antennae MeerKAT Radio Telescope.</w:t>
      </w:r>
    </w:p>
    <w:p w14:paraId="3083B40C" w14:textId="77777777" w:rsidR="0057009D" w:rsidRPr="00694D6D" w:rsidRDefault="0057009D" w:rsidP="00694D6D">
      <w:pPr>
        <w:autoSpaceDE w:val="0"/>
        <w:autoSpaceDN w:val="0"/>
        <w:adjustRightInd w:val="0"/>
        <w:spacing w:after="0" w:line="360" w:lineRule="auto"/>
        <w:jc w:val="both"/>
        <w:rPr>
          <w:rFonts w:ascii="Times New Roman" w:hAnsi="Times New Roman" w:cs="Times New Roman"/>
          <w:sz w:val="24"/>
          <w:szCs w:val="24"/>
          <w:lang w:val="en-GB"/>
        </w:rPr>
      </w:pPr>
    </w:p>
    <w:p w14:paraId="479EED5A" w14:textId="77777777" w:rsidR="00F07838" w:rsidRPr="00694D6D" w:rsidRDefault="00F07838" w:rsidP="00694D6D">
      <w:pPr>
        <w:autoSpaceDE w:val="0"/>
        <w:autoSpaceDN w:val="0"/>
        <w:adjustRightInd w:val="0"/>
        <w:spacing w:after="0" w:line="360" w:lineRule="auto"/>
        <w:jc w:val="both"/>
        <w:rPr>
          <w:rFonts w:ascii="Times New Roman" w:hAnsi="Times New Roman" w:cs="Times New Roman"/>
          <w:sz w:val="24"/>
          <w:szCs w:val="24"/>
          <w:lang w:val="en-GB"/>
        </w:rPr>
      </w:pPr>
      <w:r w:rsidRPr="00694D6D">
        <w:rPr>
          <w:rFonts w:ascii="Times New Roman" w:hAnsi="Times New Roman" w:cs="Times New Roman"/>
          <w:b/>
          <w:sz w:val="24"/>
          <w:szCs w:val="24"/>
          <w:lang w:val="en-GB"/>
        </w:rPr>
        <w:t>Goal 3: Human capital development – increase the number of high-level graduates and improve their representivity.</w:t>
      </w:r>
    </w:p>
    <w:p w14:paraId="370469FE" w14:textId="77777777" w:rsidR="0057009D" w:rsidRPr="00694D6D" w:rsidRDefault="0057009D" w:rsidP="00694D6D">
      <w:pPr>
        <w:autoSpaceDE w:val="0"/>
        <w:autoSpaceDN w:val="0"/>
        <w:adjustRightInd w:val="0"/>
        <w:spacing w:after="0" w:line="360" w:lineRule="auto"/>
        <w:jc w:val="both"/>
        <w:rPr>
          <w:rFonts w:ascii="Times New Roman" w:hAnsi="Times New Roman" w:cs="Times New Roman"/>
          <w:sz w:val="24"/>
          <w:szCs w:val="24"/>
          <w:lang w:val="en-GB"/>
        </w:rPr>
      </w:pPr>
    </w:p>
    <w:p w14:paraId="3F62F603" w14:textId="77777777" w:rsidR="004E16F4" w:rsidRPr="00694D6D" w:rsidRDefault="004E16F4" w:rsidP="00694D6D">
      <w:pPr>
        <w:pStyle w:val="ListParagraph"/>
        <w:numPr>
          <w:ilvl w:val="0"/>
          <w:numId w:val="9"/>
        </w:numPr>
        <w:autoSpaceDE w:val="0"/>
        <w:autoSpaceDN w:val="0"/>
        <w:adjustRightInd w:val="0"/>
        <w:spacing w:after="0" w:line="360" w:lineRule="auto"/>
        <w:ind w:left="567" w:hanging="567"/>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 xml:space="preserve">Supported 13 153 students, comprising 4 572 Honours and final-year BTech, 5 202 </w:t>
      </w:r>
      <w:r w:rsidR="00B37537" w:rsidRPr="00694D6D">
        <w:rPr>
          <w:rFonts w:ascii="Times New Roman" w:hAnsi="Times New Roman" w:cs="Times New Roman"/>
          <w:sz w:val="24"/>
          <w:szCs w:val="24"/>
          <w:lang w:val="en-GB"/>
        </w:rPr>
        <w:t>M</w:t>
      </w:r>
      <w:r w:rsidRPr="00694D6D">
        <w:rPr>
          <w:rFonts w:ascii="Times New Roman" w:hAnsi="Times New Roman" w:cs="Times New Roman"/>
          <w:sz w:val="24"/>
          <w:szCs w:val="24"/>
          <w:lang w:val="en-GB"/>
        </w:rPr>
        <w:t xml:space="preserve">asters, and 3 380 </w:t>
      </w:r>
      <w:r w:rsidR="00B37537" w:rsidRPr="00694D6D">
        <w:rPr>
          <w:rFonts w:ascii="Times New Roman" w:hAnsi="Times New Roman" w:cs="Times New Roman"/>
          <w:sz w:val="24"/>
          <w:szCs w:val="24"/>
          <w:lang w:val="en-GB"/>
        </w:rPr>
        <w:t>D</w:t>
      </w:r>
      <w:r w:rsidRPr="00694D6D">
        <w:rPr>
          <w:rFonts w:ascii="Times New Roman" w:hAnsi="Times New Roman" w:cs="Times New Roman"/>
          <w:sz w:val="24"/>
          <w:szCs w:val="24"/>
          <w:lang w:val="en-GB"/>
        </w:rPr>
        <w:t>octoral students.</w:t>
      </w:r>
    </w:p>
    <w:p w14:paraId="5284A888" w14:textId="77777777" w:rsidR="0057009D" w:rsidRPr="00694D6D" w:rsidRDefault="004E16F4" w:rsidP="00694D6D">
      <w:pPr>
        <w:pStyle w:val="ListParagraph"/>
        <w:numPr>
          <w:ilvl w:val="0"/>
          <w:numId w:val="9"/>
        </w:numPr>
        <w:autoSpaceDE w:val="0"/>
        <w:autoSpaceDN w:val="0"/>
        <w:adjustRightInd w:val="0"/>
        <w:spacing w:after="0" w:line="360" w:lineRule="auto"/>
        <w:ind w:left="567" w:hanging="567"/>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Placed 1 052 graduates and students in DST-funded work preparation programmes in science, engineering, technology and innovation (SETI) institutions.</w:t>
      </w:r>
    </w:p>
    <w:p w14:paraId="46424245" w14:textId="77777777" w:rsidR="0057009D" w:rsidRPr="00694D6D" w:rsidRDefault="0057009D" w:rsidP="00694D6D">
      <w:pPr>
        <w:autoSpaceDE w:val="0"/>
        <w:autoSpaceDN w:val="0"/>
        <w:adjustRightInd w:val="0"/>
        <w:spacing w:after="0" w:line="360" w:lineRule="auto"/>
        <w:jc w:val="both"/>
        <w:rPr>
          <w:rFonts w:ascii="Times New Roman" w:hAnsi="Times New Roman" w:cs="Times New Roman"/>
          <w:sz w:val="24"/>
          <w:szCs w:val="24"/>
          <w:lang w:val="en-GB"/>
        </w:rPr>
      </w:pPr>
    </w:p>
    <w:p w14:paraId="76F53B3D" w14:textId="77777777" w:rsidR="00F07838" w:rsidRPr="00694D6D" w:rsidRDefault="00F07838" w:rsidP="00694D6D">
      <w:pPr>
        <w:autoSpaceDE w:val="0"/>
        <w:autoSpaceDN w:val="0"/>
        <w:adjustRightInd w:val="0"/>
        <w:spacing w:after="0" w:line="360" w:lineRule="auto"/>
        <w:jc w:val="both"/>
        <w:rPr>
          <w:rFonts w:ascii="Times New Roman" w:hAnsi="Times New Roman" w:cs="Times New Roman"/>
          <w:sz w:val="24"/>
          <w:szCs w:val="24"/>
          <w:lang w:val="en-GB"/>
        </w:rPr>
      </w:pPr>
      <w:r w:rsidRPr="00694D6D">
        <w:rPr>
          <w:rFonts w:ascii="Times New Roman" w:hAnsi="Times New Roman" w:cs="Times New Roman"/>
          <w:b/>
          <w:sz w:val="24"/>
          <w:szCs w:val="24"/>
          <w:lang w:val="en-GB"/>
        </w:rPr>
        <w:t>Goal 4: Using knowledge for economic development – derive a greater share of economic growth from R&amp;D-based opportunities and partnerships.</w:t>
      </w:r>
    </w:p>
    <w:p w14:paraId="38EE7BC3" w14:textId="77777777" w:rsidR="0057009D" w:rsidRPr="00694D6D" w:rsidRDefault="0057009D" w:rsidP="00694D6D">
      <w:pPr>
        <w:autoSpaceDE w:val="0"/>
        <w:autoSpaceDN w:val="0"/>
        <w:adjustRightInd w:val="0"/>
        <w:spacing w:after="0" w:line="360" w:lineRule="auto"/>
        <w:jc w:val="both"/>
        <w:rPr>
          <w:rFonts w:ascii="Times New Roman" w:hAnsi="Times New Roman" w:cs="Times New Roman"/>
          <w:sz w:val="24"/>
          <w:szCs w:val="24"/>
          <w:lang w:val="en-GB"/>
        </w:rPr>
      </w:pPr>
    </w:p>
    <w:p w14:paraId="300EB132" w14:textId="77777777" w:rsidR="0057009D" w:rsidRPr="00694D6D" w:rsidRDefault="008059F6" w:rsidP="00694D6D">
      <w:pPr>
        <w:pStyle w:val="ListParagraph"/>
        <w:numPr>
          <w:ilvl w:val="0"/>
          <w:numId w:val="9"/>
        </w:numPr>
        <w:autoSpaceDE w:val="0"/>
        <w:autoSpaceDN w:val="0"/>
        <w:adjustRightInd w:val="0"/>
        <w:spacing w:after="0" w:line="360" w:lineRule="auto"/>
        <w:ind w:left="567" w:hanging="567"/>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Provided technology support to 3 182 small, medium and micro enterprises (SMMEs) to develop their technology capabilities to enable them to leverage procurement opportunities under the infrastructure build programmes of the state-owned enterprises.</w:t>
      </w:r>
    </w:p>
    <w:p w14:paraId="3EB09E56" w14:textId="77777777" w:rsidR="0057009D" w:rsidRPr="00694D6D" w:rsidRDefault="005D7C54" w:rsidP="00694D6D">
      <w:pPr>
        <w:pStyle w:val="ListParagraph"/>
        <w:numPr>
          <w:ilvl w:val="0"/>
          <w:numId w:val="9"/>
        </w:numPr>
        <w:autoSpaceDE w:val="0"/>
        <w:autoSpaceDN w:val="0"/>
        <w:adjustRightInd w:val="0"/>
        <w:spacing w:after="0" w:line="360" w:lineRule="auto"/>
        <w:ind w:left="567" w:hanging="567"/>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Through the Sector Innovation Fund (SIF), the Department supported a portfolio of industries; namely, horticulture, post-harvest innovation, viticulture, forestry, paper manufacturing, and agro-processing.</w:t>
      </w:r>
    </w:p>
    <w:p w14:paraId="18B7148C" w14:textId="77777777" w:rsidR="005D7C54" w:rsidRPr="00694D6D" w:rsidRDefault="005D7C54" w:rsidP="00694D6D">
      <w:pPr>
        <w:pStyle w:val="ListParagraph"/>
        <w:numPr>
          <w:ilvl w:val="0"/>
          <w:numId w:val="9"/>
        </w:numPr>
        <w:autoSpaceDE w:val="0"/>
        <w:autoSpaceDN w:val="0"/>
        <w:adjustRightInd w:val="0"/>
        <w:spacing w:after="0" w:line="360" w:lineRule="auto"/>
        <w:ind w:left="567" w:hanging="567"/>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In support of technology commercialisation and getting hydrogen fuel cell technology into the global market, HyPlat, a spin-off of the Hydrogen South Africa (HySA) Catalysis Centre of Competence, had its membrane electrode assemblies (MEAs) evaluated by a global original equipment manufacturer.</w:t>
      </w:r>
    </w:p>
    <w:p w14:paraId="429C0764" w14:textId="77777777" w:rsidR="005D7C54" w:rsidRPr="00694D6D" w:rsidRDefault="005D7C54" w:rsidP="00694D6D">
      <w:pPr>
        <w:pStyle w:val="ListParagraph"/>
        <w:numPr>
          <w:ilvl w:val="0"/>
          <w:numId w:val="9"/>
        </w:numPr>
        <w:autoSpaceDE w:val="0"/>
        <w:autoSpaceDN w:val="0"/>
        <w:adjustRightInd w:val="0"/>
        <w:spacing w:after="0" w:line="360" w:lineRule="auto"/>
        <w:ind w:left="567" w:hanging="567"/>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The Department-funded solar energy programme, Solar Turtle, a spin-out company of the Renewable Energy Hub-and-Spokes Programme at Stellenbosch University, deployed 10 Solar Turtle energy kiosks in Lesotho to support rural women in their business initiatives.</w:t>
      </w:r>
    </w:p>
    <w:p w14:paraId="76D45A92" w14:textId="77777777" w:rsidR="005D7C54" w:rsidRPr="00694D6D" w:rsidRDefault="005D7C54" w:rsidP="00694D6D">
      <w:pPr>
        <w:pStyle w:val="ListParagraph"/>
        <w:numPr>
          <w:ilvl w:val="0"/>
          <w:numId w:val="9"/>
        </w:numPr>
        <w:autoSpaceDE w:val="0"/>
        <w:autoSpaceDN w:val="0"/>
        <w:adjustRightInd w:val="0"/>
        <w:spacing w:after="0" w:line="360" w:lineRule="auto"/>
        <w:ind w:left="567" w:hanging="567"/>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International interest in the Aeroswift Additive Manufacturing Project continued to increase. This novel, locally developed additive manufacturing machine, once industrialised, has the potential to create a new manufacturing segment in South Africa. A number of demonstration components have been completed, and some are employed in a flying aircraft.</w:t>
      </w:r>
    </w:p>
    <w:p w14:paraId="4BA38BAC" w14:textId="77777777" w:rsidR="0057009D" w:rsidRPr="00694D6D" w:rsidRDefault="0057009D" w:rsidP="00694D6D">
      <w:pPr>
        <w:autoSpaceDE w:val="0"/>
        <w:autoSpaceDN w:val="0"/>
        <w:adjustRightInd w:val="0"/>
        <w:spacing w:after="0" w:line="360" w:lineRule="auto"/>
        <w:jc w:val="both"/>
        <w:rPr>
          <w:rFonts w:ascii="Times New Roman" w:hAnsi="Times New Roman" w:cs="Times New Roman"/>
          <w:sz w:val="24"/>
          <w:szCs w:val="24"/>
          <w:lang w:val="en-GB"/>
        </w:rPr>
      </w:pPr>
    </w:p>
    <w:p w14:paraId="5C323068" w14:textId="77777777" w:rsidR="00F07838" w:rsidRPr="00694D6D" w:rsidRDefault="00F07838" w:rsidP="00694D6D">
      <w:pPr>
        <w:autoSpaceDE w:val="0"/>
        <w:autoSpaceDN w:val="0"/>
        <w:adjustRightInd w:val="0"/>
        <w:spacing w:after="0" w:line="360" w:lineRule="auto"/>
        <w:jc w:val="both"/>
        <w:rPr>
          <w:rFonts w:ascii="Times New Roman" w:hAnsi="Times New Roman" w:cs="Times New Roman"/>
          <w:sz w:val="24"/>
          <w:szCs w:val="24"/>
          <w:lang w:val="en-GB"/>
        </w:rPr>
      </w:pPr>
      <w:r w:rsidRPr="00694D6D">
        <w:rPr>
          <w:rFonts w:ascii="Times New Roman" w:hAnsi="Times New Roman" w:cs="Times New Roman"/>
          <w:b/>
          <w:sz w:val="24"/>
          <w:szCs w:val="24"/>
          <w:lang w:val="en-GB"/>
        </w:rPr>
        <w:t>Goal 5: Knowledge utilisation for inclusive development – accelerate inclusive development through scientific knowledge, evidence and appropriate technology.</w:t>
      </w:r>
    </w:p>
    <w:p w14:paraId="0C77E757" w14:textId="77777777" w:rsidR="0057009D" w:rsidRPr="00694D6D" w:rsidRDefault="0057009D" w:rsidP="00694D6D">
      <w:pPr>
        <w:autoSpaceDE w:val="0"/>
        <w:autoSpaceDN w:val="0"/>
        <w:adjustRightInd w:val="0"/>
        <w:spacing w:after="0" w:line="360" w:lineRule="auto"/>
        <w:jc w:val="both"/>
        <w:rPr>
          <w:rFonts w:ascii="Times New Roman" w:hAnsi="Times New Roman" w:cs="Times New Roman"/>
          <w:sz w:val="24"/>
          <w:szCs w:val="24"/>
          <w:lang w:val="en-GB"/>
        </w:rPr>
      </w:pPr>
    </w:p>
    <w:p w14:paraId="6EF2BB1C" w14:textId="77777777" w:rsidR="0057009D" w:rsidRPr="00694D6D" w:rsidRDefault="009B1755" w:rsidP="00694D6D">
      <w:pPr>
        <w:pStyle w:val="ListParagraph"/>
        <w:numPr>
          <w:ilvl w:val="0"/>
          <w:numId w:val="9"/>
        </w:numPr>
        <w:autoSpaceDE w:val="0"/>
        <w:autoSpaceDN w:val="0"/>
        <w:adjustRightInd w:val="0"/>
        <w:spacing w:after="0" w:line="360" w:lineRule="auto"/>
        <w:ind w:left="567" w:hanging="567"/>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Up-scaled the Municipal Innovation Maturity Index, which is a tool for assessing the capabilities of municipalities to support innovation for improved basic service delivery.</w:t>
      </w:r>
    </w:p>
    <w:p w14:paraId="71011E73" w14:textId="77777777" w:rsidR="009B1755" w:rsidRPr="00694D6D" w:rsidRDefault="009B1755" w:rsidP="00694D6D">
      <w:pPr>
        <w:pStyle w:val="ListParagraph"/>
        <w:numPr>
          <w:ilvl w:val="0"/>
          <w:numId w:val="9"/>
        </w:numPr>
        <w:autoSpaceDE w:val="0"/>
        <w:autoSpaceDN w:val="0"/>
        <w:adjustRightInd w:val="0"/>
        <w:spacing w:after="0" w:line="360" w:lineRule="auto"/>
        <w:ind w:left="567" w:hanging="567"/>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The Convention establishing the new international Square Kilometre Array (SKA) Observatory, which will govern the global SKA Radio Telescope project</w:t>
      </w:r>
      <w:r w:rsidR="0040701C" w:rsidRPr="00694D6D">
        <w:rPr>
          <w:rFonts w:ascii="Times New Roman" w:hAnsi="Times New Roman" w:cs="Times New Roman"/>
          <w:sz w:val="24"/>
          <w:szCs w:val="24"/>
          <w:lang w:val="en-GB"/>
        </w:rPr>
        <w:t>,</w:t>
      </w:r>
      <w:r w:rsidRPr="00694D6D">
        <w:rPr>
          <w:rFonts w:ascii="Times New Roman" w:hAnsi="Times New Roman" w:cs="Times New Roman"/>
          <w:sz w:val="24"/>
          <w:szCs w:val="24"/>
          <w:lang w:val="en-GB"/>
        </w:rPr>
        <w:t xml:space="preserve"> and the Head Quarters Agreement, governing the International Centre for Genetic Engineering in Biotechnology</w:t>
      </w:r>
      <w:r w:rsidR="006435E5" w:rsidRPr="00694D6D">
        <w:rPr>
          <w:rFonts w:ascii="Times New Roman" w:hAnsi="Times New Roman" w:cs="Times New Roman"/>
          <w:sz w:val="24"/>
          <w:szCs w:val="24"/>
          <w:lang w:val="en-GB"/>
        </w:rPr>
        <w:t>,</w:t>
      </w:r>
      <w:r w:rsidRPr="00694D6D">
        <w:rPr>
          <w:rFonts w:ascii="Times New Roman" w:hAnsi="Times New Roman" w:cs="Times New Roman"/>
          <w:sz w:val="24"/>
          <w:szCs w:val="24"/>
          <w:lang w:val="en-GB"/>
        </w:rPr>
        <w:t xml:space="preserve"> was signed in Rome.</w:t>
      </w:r>
    </w:p>
    <w:p w14:paraId="52FA1697" w14:textId="77777777" w:rsidR="0057009D" w:rsidRPr="00694D6D" w:rsidRDefault="009B1755" w:rsidP="00694D6D">
      <w:pPr>
        <w:pStyle w:val="ListParagraph"/>
        <w:numPr>
          <w:ilvl w:val="0"/>
          <w:numId w:val="9"/>
        </w:numPr>
        <w:autoSpaceDE w:val="0"/>
        <w:autoSpaceDN w:val="0"/>
        <w:adjustRightInd w:val="0"/>
        <w:spacing w:after="0" w:line="360" w:lineRule="auto"/>
        <w:ind w:left="567" w:hanging="567"/>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The Department through the Strategic Health Innovation Partnerships programme in conjunction with South African Medical Research Council (SAMRC), funded a Phase III clinical trial to assess the efficacy of levofloxacin preventive therapy in children that have been exposed to multidrug-resistant tuberculosis (MDRTB). The study resulted in the development of a paediatric levofloxacin dispersible formulation, which has been prequalified by the World Health Organization (WHO) and is available globally to children living in countries that procure medicines from the Global Drug Facility.</w:t>
      </w:r>
    </w:p>
    <w:p w14:paraId="5F417F96" w14:textId="77777777" w:rsidR="0057009D" w:rsidRPr="00694D6D" w:rsidRDefault="0057009D" w:rsidP="00694D6D">
      <w:pPr>
        <w:autoSpaceDE w:val="0"/>
        <w:autoSpaceDN w:val="0"/>
        <w:adjustRightInd w:val="0"/>
        <w:spacing w:after="0" w:line="360" w:lineRule="auto"/>
        <w:jc w:val="both"/>
        <w:rPr>
          <w:rFonts w:ascii="Times New Roman" w:hAnsi="Times New Roman" w:cs="Times New Roman"/>
          <w:sz w:val="24"/>
          <w:szCs w:val="24"/>
          <w:lang w:val="en-GB"/>
        </w:rPr>
      </w:pPr>
    </w:p>
    <w:p w14:paraId="6EC88A6F" w14:textId="77777777" w:rsidR="00394E8E" w:rsidRPr="00694D6D" w:rsidRDefault="00394E8E" w:rsidP="00694D6D">
      <w:pPr>
        <w:pStyle w:val="ListParagraph"/>
        <w:numPr>
          <w:ilvl w:val="1"/>
          <w:numId w:val="1"/>
        </w:numPr>
        <w:spacing w:after="0" w:line="360" w:lineRule="auto"/>
        <w:ind w:left="567" w:hanging="567"/>
        <w:jc w:val="both"/>
        <w:rPr>
          <w:rFonts w:ascii="Times New Roman" w:hAnsi="Times New Roman" w:cs="Times New Roman"/>
          <w:b/>
          <w:sz w:val="24"/>
          <w:szCs w:val="24"/>
          <w:lang w:val="en-GB"/>
        </w:rPr>
      </w:pPr>
      <w:r w:rsidRPr="00694D6D">
        <w:rPr>
          <w:rFonts w:ascii="Times New Roman" w:hAnsi="Times New Roman" w:cs="Times New Roman"/>
          <w:b/>
          <w:sz w:val="24"/>
          <w:szCs w:val="24"/>
          <w:lang w:val="en-GB"/>
        </w:rPr>
        <w:t>Auditor-General’s report on the performance report of the Department of Science and Technology</w:t>
      </w:r>
    </w:p>
    <w:p w14:paraId="1E73C893" w14:textId="77777777" w:rsidR="006E0130" w:rsidRPr="00694D6D" w:rsidRDefault="006E0130" w:rsidP="00694D6D">
      <w:pPr>
        <w:spacing w:after="0" w:line="360" w:lineRule="auto"/>
        <w:jc w:val="both"/>
        <w:rPr>
          <w:rFonts w:ascii="Times New Roman" w:hAnsi="Times New Roman" w:cs="Times New Roman"/>
          <w:sz w:val="24"/>
          <w:szCs w:val="24"/>
          <w:lang w:val="en-GB"/>
        </w:rPr>
      </w:pPr>
    </w:p>
    <w:p w14:paraId="5AE279CE" w14:textId="77777777" w:rsidR="006E0130" w:rsidRPr="00694D6D" w:rsidRDefault="006E0130" w:rsidP="00694D6D">
      <w:pPr>
        <w:spacing w:after="0" w:line="360" w:lineRule="auto"/>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 xml:space="preserve">The </w:t>
      </w:r>
      <w:r w:rsidR="00F76015" w:rsidRPr="00694D6D">
        <w:rPr>
          <w:rFonts w:ascii="Times New Roman" w:hAnsi="Times New Roman" w:cs="Times New Roman"/>
          <w:sz w:val="24"/>
          <w:szCs w:val="24"/>
          <w:lang w:val="en-GB"/>
        </w:rPr>
        <w:t>AGSA</w:t>
      </w:r>
      <w:r w:rsidRPr="00694D6D">
        <w:rPr>
          <w:rFonts w:ascii="Times New Roman" w:hAnsi="Times New Roman" w:cs="Times New Roman"/>
          <w:sz w:val="24"/>
          <w:szCs w:val="24"/>
          <w:lang w:val="en-GB"/>
        </w:rPr>
        <w:t xml:space="preserve"> does not express an opinion or conclusion on the reported performance information. However, the </w:t>
      </w:r>
      <w:r w:rsidR="00F76015" w:rsidRPr="00694D6D">
        <w:rPr>
          <w:rFonts w:ascii="Times New Roman" w:hAnsi="Times New Roman" w:cs="Times New Roman"/>
          <w:sz w:val="24"/>
          <w:szCs w:val="24"/>
          <w:lang w:val="en-GB"/>
        </w:rPr>
        <w:t>AGSA</w:t>
      </w:r>
      <w:r w:rsidRPr="00694D6D">
        <w:rPr>
          <w:rFonts w:ascii="Times New Roman" w:hAnsi="Times New Roman" w:cs="Times New Roman"/>
          <w:sz w:val="24"/>
          <w:szCs w:val="24"/>
          <w:lang w:val="en-GB"/>
        </w:rPr>
        <w:t xml:space="preserve"> does test the usefulness and reliability of performance information for selected Programmes. In this case, Programmes 2, 4 and 5 were selected. </w:t>
      </w:r>
      <w:r w:rsidR="00736025" w:rsidRPr="00694D6D">
        <w:rPr>
          <w:rFonts w:ascii="Times New Roman" w:hAnsi="Times New Roman" w:cs="Times New Roman"/>
          <w:sz w:val="24"/>
          <w:szCs w:val="24"/>
          <w:lang w:val="en-GB"/>
        </w:rPr>
        <w:t xml:space="preserve">During the audit process the </w:t>
      </w:r>
      <w:r w:rsidR="00F76015" w:rsidRPr="00694D6D">
        <w:rPr>
          <w:rFonts w:ascii="Times New Roman" w:hAnsi="Times New Roman" w:cs="Times New Roman"/>
          <w:sz w:val="24"/>
          <w:szCs w:val="24"/>
          <w:lang w:val="en-GB"/>
        </w:rPr>
        <w:t>AGSA</w:t>
      </w:r>
      <w:r w:rsidR="00736025" w:rsidRPr="00694D6D">
        <w:rPr>
          <w:rFonts w:ascii="Times New Roman" w:hAnsi="Times New Roman" w:cs="Times New Roman"/>
          <w:sz w:val="24"/>
          <w:szCs w:val="24"/>
          <w:lang w:val="en-GB"/>
        </w:rPr>
        <w:t xml:space="preserve"> did not raise any material findings on the usefulness and reliability of the reported information for these Programmes.</w:t>
      </w:r>
    </w:p>
    <w:p w14:paraId="3D67BBD6" w14:textId="77777777" w:rsidR="00927A68" w:rsidRPr="00694D6D" w:rsidRDefault="00927A68" w:rsidP="00694D6D">
      <w:pPr>
        <w:spacing w:after="0" w:line="360" w:lineRule="auto"/>
        <w:jc w:val="both"/>
        <w:rPr>
          <w:rFonts w:ascii="Times New Roman" w:hAnsi="Times New Roman" w:cs="Times New Roman"/>
          <w:sz w:val="24"/>
          <w:szCs w:val="24"/>
          <w:lang w:val="en-GB"/>
        </w:rPr>
      </w:pPr>
    </w:p>
    <w:p w14:paraId="4F9DDF14" w14:textId="77777777" w:rsidR="00BB2A01" w:rsidRPr="00694D6D" w:rsidRDefault="00BB2A01" w:rsidP="00694D6D">
      <w:pPr>
        <w:pStyle w:val="ListParagraph"/>
        <w:numPr>
          <w:ilvl w:val="0"/>
          <w:numId w:val="1"/>
        </w:numPr>
        <w:spacing w:after="0" w:line="360" w:lineRule="auto"/>
        <w:ind w:left="0" w:firstLine="0"/>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b/>
          <w:sz w:val="24"/>
          <w:szCs w:val="24"/>
          <w:lang w:val="en-GB"/>
        </w:rPr>
        <w:t>ENTITIES</w:t>
      </w:r>
      <w:r w:rsidR="00082AEA" w:rsidRPr="00694D6D">
        <w:rPr>
          <w:rFonts w:ascii="Times New Roman" w:eastAsia="Times New Roman" w:hAnsi="Times New Roman" w:cs="Times New Roman"/>
          <w:b/>
          <w:sz w:val="24"/>
          <w:szCs w:val="24"/>
          <w:lang w:val="en-GB"/>
        </w:rPr>
        <w:t xml:space="preserve"> OF THE DEPARTMENT OF SCIENCE AND TECHNOLOGY</w:t>
      </w:r>
    </w:p>
    <w:p w14:paraId="7683D00A" w14:textId="77777777" w:rsidR="00BB2A01" w:rsidRPr="00694D6D" w:rsidRDefault="00BB2A01" w:rsidP="00694D6D">
      <w:pPr>
        <w:pStyle w:val="ListParagraph"/>
        <w:spacing w:after="0" w:line="360" w:lineRule="auto"/>
        <w:ind w:left="0"/>
        <w:jc w:val="both"/>
        <w:rPr>
          <w:rFonts w:ascii="Times New Roman" w:eastAsia="Times New Roman" w:hAnsi="Times New Roman" w:cs="Times New Roman"/>
          <w:sz w:val="24"/>
          <w:szCs w:val="24"/>
          <w:lang w:val="en-GB"/>
        </w:rPr>
      </w:pPr>
    </w:p>
    <w:p w14:paraId="39D0FE4D" w14:textId="77777777" w:rsidR="00BA5BBC" w:rsidRPr="00694D6D" w:rsidRDefault="00BA5BBC" w:rsidP="00694D6D">
      <w:pPr>
        <w:pStyle w:val="ListParagraph"/>
        <w:spacing w:after="0" w:line="360" w:lineRule="auto"/>
        <w:ind w:left="0"/>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The Department’s entities are funded through a Parliamentary grant (also called the baseline allocation), specific project and/or contract funds; or from income that is generated from research and commissioned projects, or from income that is generated from royalty, publishing, membership, registration and/or facility fees.</w:t>
      </w:r>
    </w:p>
    <w:p w14:paraId="21B8B4C1" w14:textId="77777777" w:rsidR="00A045EF" w:rsidRPr="00694D6D" w:rsidRDefault="00A045EF" w:rsidP="00694D6D">
      <w:pPr>
        <w:pStyle w:val="ListParagraph"/>
        <w:spacing w:after="0" w:line="360" w:lineRule="auto"/>
        <w:ind w:left="0"/>
        <w:jc w:val="both"/>
        <w:rPr>
          <w:rFonts w:ascii="Times New Roman" w:eastAsia="Times New Roman" w:hAnsi="Times New Roman" w:cs="Times New Roman"/>
          <w:sz w:val="24"/>
          <w:szCs w:val="24"/>
          <w:lang w:val="en-GB"/>
        </w:rPr>
      </w:pPr>
    </w:p>
    <w:p w14:paraId="45FB0F5A" w14:textId="77777777" w:rsidR="000209C6" w:rsidRPr="00694D6D" w:rsidRDefault="000209C6" w:rsidP="00694D6D">
      <w:pPr>
        <w:pStyle w:val="ListParagraph"/>
        <w:numPr>
          <w:ilvl w:val="1"/>
          <w:numId w:val="1"/>
        </w:numPr>
        <w:spacing w:after="0" w:line="360" w:lineRule="auto"/>
        <w:ind w:left="567" w:hanging="567"/>
        <w:jc w:val="both"/>
        <w:rPr>
          <w:rFonts w:ascii="Times New Roman" w:eastAsia="Times New Roman" w:hAnsi="Times New Roman" w:cs="Times New Roman"/>
          <w:b/>
          <w:sz w:val="24"/>
          <w:szCs w:val="24"/>
          <w:lang w:val="en-GB"/>
        </w:rPr>
      </w:pPr>
      <w:r w:rsidRPr="00694D6D">
        <w:rPr>
          <w:rFonts w:ascii="Times New Roman" w:eastAsia="Times New Roman" w:hAnsi="Times New Roman" w:cs="Times New Roman"/>
          <w:b/>
          <w:sz w:val="24"/>
          <w:szCs w:val="24"/>
          <w:lang w:val="en-GB"/>
        </w:rPr>
        <w:t>Council for Scientific and Industrial Research</w:t>
      </w:r>
    </w:p>
    <w:p w14:paraId="4B88D539"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p>
    <w:p w14:paraId="5B68CA44"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The CSIR’s mandate is to foster industrial and scientific development in the national interest through multidisciplinary research and technological innovation. The CSIR has implemented a new strategy; namely, Project Synapse, which seeks to strengthen the CSIR’s industrial research activities and create closer ties with industry. Project Synapse will ensure a balance between scientific and industrial research so that the CSIR’s support for, and development of, South African industry is enhanced.</w:t>
      </w:r>
    </w:p>
    <w:p w14:paraId="5E247562"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p>
    <w:p w14:paraId="37B812E9"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Annually, the CSIR enters into a Shareholder’s Compact with the Department, which lists the specific Key Performance Indicators (KPIs) against which its performance will be measured. The CSIR’s KPIs are structured around five strategic objectives (SO); namely:</w:t>
      </w:r>
    </w:p>
    <w:p w14:paraId="2BBA341C"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p>
    <w:p w14:paraId="216DEA3E" w14:textId="77777777" w:rsidR="00A045EF" w:rsidRPr="00694D6D" w:rsidRDefault="00A045EF" w:rsidP="00694D6D">
      <w:pPr>
        <w:pStyle w:val="ListParagraph"/>
        <w:numPr>
          <w:ilvl w:val="1"/>
          <w:numId w:val="6"/>
        </w:numPr>
        <w:spacing w:after="0" w:line="360" w:lineRule="auto"/>
        <w:ind w:left="567" w:hanging="567"/>
        <w:jc w:val="both"/>
        <w:rPr>
          <w:rFonts w:ascii="Times New Roman" w:eastAsia="Times New Roman" w:hAnsi="Times New Roman" w:cs="Times New Roman"/>
          <w:b/>
          <w:sz w:val="24"/>
          <w:szCs w:val="24"/>
          <w:lang w:val="en-GB"/>
        </w:rPr>
      </w:pPr>
      <w:r w:rsidRPr="00694D6D">
        <w:rPr>
          <w:rFonts w:ascii="Times New Roman" w:eastAsia="Times New Roman" w:hAnsi="Times New Roman" w:cs="Times New Roman"/>
          <w:b/>
          <w:sz w:val="24"/>
          <w:szCs w:val="24"/>
          <w:lang w:val="en-GB"/>
        </w:rPr>
        <w:t>SO1: Build and Transform Human Capital</w:t>
      </w:r>
    </w:p>
    <w:p w14:paraId="10C01EB9"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The CSIR met seven of the 17 indicators in this category, i.e. 41%. It did not achieve the targets set for the total number of science</w:t>
      </w:r>
      <w:r w:rsidR="00B37537" w:rsidRPr="00694D6D">
        <w:rPr>
          <w:rFonts w:ascii="Times New Roman" w:eastAsia="Times New Roman" w:hAnsi="Times New Roman" w:cs="Times New Roman"/>
          <w:sz w:val="24"/>
          <w:szCs w:val="24"/>
          <w:lang w:val="en-GB"/>
        </w:rPr>
        <w:t>,</w:t>
      </w:r>
      <w:r w:rsidRPr="00694D6D">
        <w:rPr>
          <w:rFonts w:ascii="Times New Roman" w:eastAsia="Times New Roman" w:hAnsi="Times New Roman" w:cs="Times New Roman"/>
          <w:sz w:val="24"/>
          <w:szCs w:val="24"/>
          <w:lang w:val="en-GB"/>
        </w:rPr>
        <w:t xml:space="preserve"> engineering and technology (SET) staff, number of black SET staff, number of female SET staff, number of SET staff with PhDs, total number of chief researchers, number and percentage of chief researchers who are black, number of chief researchers who are female, total number of principal researchers, and the number of principal researchers who are female.</w:t>
      </w:r>
    </w:p>
    <w:p w14:paraId="35675CA6"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p>
    <w:p w14:paraId="595A240B"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 xml:space="preserve">At the end of the 2018/19 financial year, the CSIR had a total staff complement of 2 342 (2 618 in 2017/18 and 2 740 in 2016/17), of which 1 608 comprised the SET staff who </w:t>
      </w:r>
      <w:r w:rsidR="009E3736" w:rsidRPr="00694D6D">
        <w:rPr>
          <w:rFonts w:ascii="Times New Roman" w:eastAsia="Times New Roman" w:hAnsi="Times New Roman" w:cs="Times New Roman"/>
          <w:sz w:val="24"/>
          <w:szCs w:val="24"/>
          <w:lang w:val="en-GB"/>
        </w:rPr>
        <w:t>we</w:t>
      </w:r>
      <w:r w:rsidRPr="00694D6D">
        <w:rPr>
          <w:rFonts w:ascii="Times New Roman" w:eastAsia="Times New Roman" w:hAnsi="Times New Roman" w:cs="Times New Roman"/>
          <w:sz w:val="24"/>
          <w:szCs w:val="24"/>
          <w:lang w:val="en-GB"/>
        </w:rPr>
        <w:t>re 62% black and 36% female. Staff comprising the professional and skilled categories ma</w:t>
      </w:r>
      <w:r w:rsidR="009E3736" w:rsidRPr="00694D6D">
        <w:rPr>
          <w:rFonts w:ascii="Times New Roman" w:eastAsia="Times New Roman" w:hAnsi="Times New Roman" w:cs="Times New Roman"/>
          <w:sz w:val="24"/>
          <w:szCs w:val="24"/>
          <w:lang w:val="en-GB"/>
        </w:rPr>
        <w:t>de</w:t>
      </w:r>
      <w:r w:rsidRPr="00694D6D">
        <w:rPr>
          <w:rFonts w:ascii="Times New Roman" w:eastAsia="Times New Roman" w:hAnsi="Times New Roman" w:cs="Times New Roman"/>
          <w:sz w:val="24"/>
          <w:szCs w:val="24"/>
          <w:lang w:val="en-GB"/>
        </w:rPr>
        <w:t xml:space="preserve"> up 82.5% of the total staff complement. Three hundred and twenty (348 in 2017/18) staff ha</w:t>
      </w:r>
      <w:r w:rsidR="009E3736" w:rsidRPr="00694D6D">
        <w:rPr>
          <w:rFonts w:ascii="Times New Roman" w:eastAsia="Times New Roman" w:hAnsi="Times New Roman" w:cs="Times New Roman"/>
          <w:sz w:val="24"/>
          <w:szCs w:val="24"/>
          <w:lang w:val="en-GB"/>
        </w:rPr>
        <w:t>d</w:t>
      </w:r>
      <w:r w:rsidRPr="00694D6D">
        <w:rPr>
          <w:rFonts w:ascii="Times New Roman" w:eastAsia="Times New Roman" w:hAnsi="Times New Roman" w:cs="Times New Roman"/>
          <w:sz w:val="24"/>
          <w:szCs w:val="24"/>
          <w:lang w:val="en-GB"/>
        </w:rPr>
        <w:t xml:space="preserve"> a </w:t>
      </w:r>
      <w:r w:rsidR="00CB2FA0" w:rsidRPr="00694D6D">
        <w:rPr>
          <w:rFonts w:ascii="Times New Roman" w:eastAsia="Times New Roman" w:hAnsi="Times New Roman" w:cs="Times New Roman"/>
          <w:sz w:val="24"/>
          <w:szCs w:val="24"/>
          <w:lang w:val="en-GB"/>
        </w:rPr>
        <w:t>D</w:t>
      </w:r>
      <w:r w:rsidRPr="00694D6D">
        <w:rPr>
          <w:rFonts w:ascii="Times New Roman" w:eastAsia="Times New Roman" w:hAnsi="Times New Roman" w:cs="Times New Roman"/>
          <w:sz w:val="24"/>
          <w:szCs w:val="24"/>
          <w:lang w:val="en-GB"/>
        </w:rPr>
        <w:t>octoral qualification and 586 (631 in 2017/18) staff ha</w:t>
      </w:r>
      <w:r w:rsidR="009E3736" w:rsidRPr="00694D6D">
        <w:rPr>
          <w:rFonts w:ascii="Times New Roman" w:eastAsia="Times New Roman" w:hAnsi="Times New Roman" w:cs="Times New Roman"/>
          <w:sz w:val="24"/>
          <w:szCs w:val="24"/>
          <w:lang w:val="en-GB"/>
        </w:rPr>
        <w:t>d</w:t>
      </w:r>
      <w:r w:rsidRPr="00694D6D">
        <w:rPr>
          <w:rFonts w:ascii="Times New Roman" w:eastAsia="Times New Roman" w:hAnsi="Times New Roman" w:cs="Times New Roman"/>
          <w:sz w:val="24"/>
          <w:szCs w:val="24"/>
          <w:lang w:val="en-GB"/>
        </w:rPr>
        <w:t xml:space="preserve"> a Masters-level qualification.</w:t>
      </w:r>
    </w:p>
    <w:p w14:paraId="7225AEBB"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p>
    <w:p w14:paraId="2AAD3BFD"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 xml:space="preserve">Due to the restructuring process undertaken by the CSIR, employees who could not be placed in alternate positions within the </w:t>
      </w:r>
      <w:r w:rsidR="006435E5" w:rsidRPr="00694D6D">
        <w:rPr>
          <w:rFonts w:ascii="Times New Roman" w:eastAsia="Times New Roman" w:hAnsi="Times New Roman" w:cs="Times New Roman"/>
          <w:sz w:val="24"/>
          <w:szCs w:val="24"/>
          <w:lang w:val="en-GB"/>
        </w:rPr>
        <w:t>organisation</w:t>
      </w:r>
      <w:r w:rsidRPr="00694D6D">
        <w:rPr>
          <w:rFonts w:ascii="Times New Roman" w:eastAsia="Times New Roman" w:hAnsi="Times New Roman" w:cs="Times New Roman"/>
          <w:sz w:val="24"/>
          <w:szCs w:val="24"/>
          <w:lang w:val="en-GB"/>
        </w:rPr>
        <w:t xml:space="preserve"> were issued</w:t>
      </w:r>
      <w:r w:rsidR="009E3736" w:rsidRPr="00694D6D">
        <w:rPr>
          <w:rFonts w:ascii="Times New Roman" w:eastAsia="Times New Roman" w:hAnsi="Times New Roman" w:cs="Times New Roman"/>
          <w:sz w:val="24"/>
          <w:szCs w:val="24"/>
          <w:lang w:val="en-GB"/>
        </w:rPr>
        <w:t xml:space="preserve">, on 28 March 2019, </w:t>
      </w:r>
      <w:r w:rsidRPr="00694D6D">
        <w:rPr>
          <w:rFonts w:ascii="Times New Roman" w:eastAsia="Times New Roman" w:hAnsi="Times New Roman" w:cs="Times New Roman"/>
          <w:sz w:val="24"/>
          <w:szCs w:val="24"/>
          <w:lang w:val="en-GB"/>
        </w:rPr>
        <w:t>with</w:t>
      </w:r>
      <w:r w:rsidR="009E3736" w:rsidRPr="00694D6D">
        <w:rPr>
          <w:rFonts w:ascii="Times New Roman" w:eastAsia="Times New Roman" w:hAnsi="Times New Roman" w:cs="Times New Roman"/>
          <w:sz w:val="24"/>
          <w:szCs w:val="24"/>
          <w:lang w:val="en-GB"/>
        </w:rPr>
        <w:t xml:space="preserve"> a</w:t>
      </w:r>
      <w:r w:rsidRPr="00694D6D">
        <w:rPr>
          <w:rFonts w:ascii="Times New Roman" w:eastAsia="Times New Roman" w:hAnsi="Times New Roman" w:cs="Times New Roman"/>
          <w:sz w:val="24"/>
          <w:szCs w:val="24"/>
          <w:lang w:val="en-GB"/>
        </w:rPr>
        <w:t xml:space="preserve"> notice of termination and a termination agreement setting forth the restructuring package they qualified for in terms of the CSIR’s Retrenchment Policy. The CSIR’s 2018/19 Annual Report states that, among other, 45 employees received a voluntary severance package and 28 employees were retrenched.</w:t>
      </w:r>
    </w:p>
    <w:p w14:paraId="52E31CB8"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p>
    <w:p w14:paraId="6DD1A771" w14:textId="77777777" w:rsidR="00A045EF" w:rsidRPr="00694D6D" w:rsidRDefault="00A045EF" w:rsidP="00694D6D">
      <w:pPr>
        <w:pStyle w:val="ListParagraph"/>
        <w:numPr>
          <w:ilvl w:val="1"/>
          <w:numId w:val="6"/>
        </w:numPr>
        <w:spacing w:after="0" w:line="360" w:lineRule="auto"/>
        <w:ind w:left="567" w:hanging="567"/>
        <w:jc w:val="both"/>
        <w:rPr>
          <w:rFonts w:ascii="Times New Roman" w:eastAsia="Times New Roman" w:hAnsi="Times New Roman" w:cs="Times New Roman"/>
          <w:b/>
          <w:sz w:val="24"/>
          <w:szCs w:val="24"/>
          <w:lang w:val="en-GB"/>
        </w:rPr>
      </w:pPr>
      <w:r w:rsidRPr="00694D6D">
        <w:rPr>
          <w:rFonts w:ascii="Times New Roman" w:eastAsia="Times New Roman" w:hAnsi="Times New Roman" w:cs="Times New Roman"/>
          <w:b/>
          <w:sz w:val="24"/>
          <w:szCs w:val="24"/>
          <w:lang w:val="en-GB"/>
        </w:rPr>
        <w:t>SO2: Conduct High-quality Research to Foster Scientific Development</w:t>
      </w:r>
    </w:p>
    <w:p w14:paraId="1F1189C5"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 xml:space="preserve">The CSIR met three of the four indicators in this category, i.e. 75%. It did not meet the target for contract R&amp;D income, as in 2017/18. The CSIR generated R1.7 billion in contract R&amp;D income against a target of R1.9 billion, and the variance </w:t>
      </w:r>
      <w:r w:rsidR="009E3736" w:rsidRPr="00694D6D">
        <w:rPr>
          <w:rFonts w:ascii="Times New Roman" w:eastAsia="Times New Roman" w:hAnsi="Times New Roman" w:cs="Times New Roman"/>
          <w:sz w:val="24"/>
          <w:szCs w:val="24"/>
          <w:lang w:val="en-GB"/>
        </w:rPr>
        <w:t>wa</w:t>
      </w:r>
      <w:r w:rsidRPr="00694D6D">
        <w:rPr>
          <w:rFonts w:ascii="Times New Roman" w:eastAsia="Times New Roman" w:hAnsi="Times New Roman" w:cs="Times New Roman"/>
          <w:sz w:val="24"/>
          <w:szCs w:val="24"/>
          <w:lang w:val="en-GB"/>
        </w:rPr>
        <w:t>s mainly attributed to the delays in securing and finalising a number of planned contracts; the tender process requirements of National Treasury; changes in the funding landscape; models of key funders that require the CSIR to increase co-funding on various initiatives; and the general global economic decline that has resulted in budget cuts and non-renewal of contracts with key customers.</w:t>
      </w:r>
    </w:p>
    <w:p w14:paraId="7EDF1DCF"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p>
    <w:p w14:paraId="508786D5" w14:textId="77777777" w:rsidR="00A045EF" w:rsidRPr="00694D6D" w:rsidRDefault="00A045EF" w:rsidP="00694D6D">
      <w:pPr>
        <w:pStyle w:val="ListParagraph"/>
        <w:numPr>
          <w:ilvl w:val="1"/>
          <w:numId w:val="6"/>
        </w:numPr>
        <w:spacing w:after="0" w:line="360" w:lineRule="auto"/>
        <w:ind w:left="567" w:hanging="567"/>
        <w:jc w:val="both"/>
        <w:rPr>
          <w:rFonts w:ascii="Times New Roman" w:eastAsia="Times New Roman" w:hAnsi="Times New Roman" w:cs="Times New Roman"/>
          <w:b/>
          <w:sz w:val="24"/>
          <w:szCs w:val="24"/>
          <w:lang w:val="en-GB"/>
        </w:rPr>
      </w:pPr>
      <w:r w:rsidRPr="00694D6D">
        <w:rPr>
          <w:rFonts w:ascii="Times New Roman" w:eastAsia="Times New Roman" w:hAnsi="Times New Roman" w:cs="Times New Roman"/>
          <w:b/>
          <w:sz w:val="24"/>
          <w:szCs w:val="24"/>
          <w:lang w:val="en-GB"/>
        </w:rPr>
        <w:t>SO3: Conduct Relevant Research to Foster Industrial Development</w:t>
      </w:r>
    </w:p>
    <w:p w14:paraId="7A4C844C"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The CSIR met both indicators in this category, i.e. 100%.</w:t>
      </w:r>
    </w:p>
    <w:p w14:paraId="647C5F87"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p>
    <w:p w14:paraId="1269AB11" w14:textId="77777777" w:rsidR="00A045EF" w:rsidRPr="00694D6D" w:rsidRDefault="00A045EF" w:rsidP="00694D6D">
      <w:pPr>
        <w:pStyle w:val="ListParagraph"/>
        <w:numPr>
          <w:ilvl w:val="1"/>
          <w:numId w:val="6"/>
        </w:numPr>
        <w:spacing w:after="0" w:line="360" w:lineRule="auto"/>
        <w:ind w:left="567" w:hanging="567"/>
        <w:jc w:val="both"/>
        <w:rPr>
          <w:rFonts w:ascii="Times New Roman" w:eastAsia="Times New Roman" w:hAnsi="Times New Roman" w:cs="Times New Roman"/>
          <w:b/>
          <w:sz w:val="24"/>
          <w:szCs w:val="24"/>
          <w:lang w:val="en-GB"/>
        </w:rPr>
      </w:pPr>
      <w:r w:rsidRPr="00694D6D">
        <w:rPr>
          <w:rFonts w:ascii="Times New Roman" w:eastAsia="Times New Roman" w:hAnsi="Times New Roman" w:cs="Times New Roman"/>
          <w:b/>
          <w:sz w:val="24"/>
          <w:szCs w:val="24"/>
          <w:lang w:val="en-GB"/>
        </w:rPr>
        <w:t>SO4: Infrastructure Renewal and Development</w:t>
      </w:r>
    </w:p>
    <w:p w14:paraId="7AD469AA"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The CSIR met the target in this category, i.e. 100%.</w:t>
      </w:r>
    </w:p>
    <w:p w14:paraId="41E68B54"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p>
    <w:p w14:paraId="447BF6FF" w14:textId="77777777" w:rsidR="00A045EF" w:rsidRPr="00694D6D" w:rsidRDefault="00A045EF" w:rsidP="00694D6D">
      <w:pPr>
        <w:pStyle w:val="ListParagraph"/>
        <w:numPr>
          <w:ilvl w:val="1"/>
          <w:numId w:val="6"/>
        </w:numPr>
        <w:spacing w:after="0" w:line="360" w:lineRule="auto"/>
        <w:ind w:left="567" w:hanging="567"/>
        <w:jc w:val="both"/>
        <w:rPr>
          <w:rFonts w:ascii="Times New Roman" w:eastAsia="Times New Roman" w:hAnsi="Times New Roman" w:cs="Times New Roman"/>
          <w:b/>
          <w:sz w:val="24"/>
          <w:szCs w:val="24"/>
          <w:lang w:val="en-GB"/>
        </w:rPr>
      </w:pPr>
      <w:r w:rsidRPr="00694D6D">
        <w:rPr>
          <w:rFonts w:ascii="Times New Roman" w:eastAsia="Times New Roman" w:hAnsi="Times New Roman" w:cs="Times New Roman"/>
          <w:b/>
          <w:sz w:val="24"/>
          <w:szCs w:val="24"/>
          <w:lang w:val="en-GB"/>
        </w:rPr>
        <w:t>SO5: Financial Sustainability and Governance</w:t>
      </w:r>
    </w:p>
    <w:p w14:paraId="62BF7A8A"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 xml:space="preserve">The CSIR met one of the four indicators in this category, i.e. 25%. The targets that were not achieved </w:t>
      </w:r>
      <w:r w:rsidR="00C0647B" w:rsidRPr="00694D6D">
        <w:rPr>
          <w:rFonts w:ascii="Times New Roman" w:eastAsia="Times New Roman" w:hAnsi="Times New Roman" w:cs="Times New Roman"/>
          <w:sz w:val="24"/>
          <w:szCs w:val="24"/>
          <w:lang w:val="en-GB"/>
        </w:rPr>
        <w:t>included</w:t>
      </w:r>
      <w:r w:rsidRPr="00694D6D">
        <w:rPr>
          <w:rFonts w:ascii="Times New Roman" w:eastAsia="Times New Roman" w:hAnsi="Times New Roman" w:cs="Times New Roman"/>
          <w:sz w:val="24"/>
          <w:szCs w:val="24"/>
          <w:lang w:val="en-GB"/>
        </w:rPr>
        <w:t>:</w:t>
      </w:r>
    </w:p>
    <w:p w14:paraId="66CCDB2B" w14:textId="77777777" w:rsidR="00A045EF" w:rsidRPr="00694D6D" w:rsidRDefault="00A045EF" w:rsidP="00694D6D">
      <w:pPr>
        <w:pStyle w:val="ListParagraph"/>
        <w:numPr>
          <w:ilvl w:val="2"/>
          <w:numId w:val="8"/>
        </w:numPr>
        <w:spacing w:after="0" w:line="360" w:lineRule="auto"/>
        <w:ind w:left="993" w:hanging="426"/>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Total income for the period am</w:t>
      </w:r>
      <w:r w:rsidR="009E3736" w:rsidRPr="00694D6D">
        <w:rPr>
          <w:rFonts w:ascii="Times New Roman" w:eastAsia="Times New Roman" w:hAnsi="Times New Roman" w:cs="Times New Roman"/>
          <w:sz w:val="24"/>
          <w:szCs w:val="24"/>
          <w:lang w:val="en-GB"/>
        </w:rPr>
        <w:t>ounted to R2.6 billion and this wa</w:t>
      </w:r>
      <w:r w:rsidRPr="00694D6D">
        <w:rPr>
          <w:rFonts w:ascii="Times New Roman" w:eastAsia="Times New Roman" w:hAnsi="Times New Roman" w:cs="Times New Roman"/>
          <w:sz w:val="24"/>
          <w:szCs w:val="24"/>
          <w:lang w:val="en-GB"/>
        </w:rPr>
        <w:t xml:space="preserve">s R218 million below target. The shortfall in total income </w:t>
      </w:r>
      <w:r w:rsidR="009E3736" w:rsidRPr="00694D6D">
        <w:rPr>
          <w:rFonts w:ascii="Times New Roman" w:eastAsia="Times New Roman" w:hAnsi="Times New Roman" w:cs="Times New Roman"/>
          <w:sz w:val="24"/>
          <w:szCs w:val="24"/>
          <w:lang w:val="en-GB"/>
        </w:rPr>
        <w:t>was</w:t>
      </w:r>
      <w:r w:rsidRPr="00694D6D">
        <w:rPr>
          <w:rFonts w:ascii="Times New Roman" w:eastAsia="Times New Roman" w:hAnsi="Times New Roman" w:cs="Times New Roman"/>
          <w:sz w:val="24"/>
          <w:szCs w:val="24"/>
          <w:lang w:val="en-GB"/>
        </w:rPr>
        <w:t xml:space="preserve"> attribut</w:t>
      </w:r>
      <w:r w:rsidR="009E3736" w:rsidRPr="00694D6D">
        <w:rPr>
          <w:rFonts w:ascii="Times New Roman" w:eastAsia="Times New Roman" w:hAnsi="Times New Roman" w:cs="Times New Roman"/>
          <w:sz w:val="24"/>
          <w:szCs w:val="24"/>
          <w:lang w:val="en-GB"/>
        </w:rPr>
        <w:t>ed</w:t>
      </w:r>
      <w:r w:rsidRPr="00694D6D">
        <w:rPr>
          <w:rFonts w:ascii="Times New Roman" w:eastAsia="Times New Roman" w:hAnsi="Times New Roman" w:cs="Times New Roman"/>
          <w:sz w:val="24"/>
          <w:szCs w:val="24"/>
          <w:lang w:val="en-GB"/>
        </w:rPr>
        <w:t xml:space="preserve"> to constrained financial performance in the operating units;</w:t>
      </w:r>
    </w:p>
    <w:p w14:paraId="5C00F50F" w14:textId="77777777" w:rsidR="00A045EF" w:rsidRPr="00694D6D" w:rsidRDefault="00A045EF" w:rsidP="00694D6D">
      <w:pPr>
        <w:pStyle w:val="ListParagraph"/>
        <w:numPr>
          <w:ilvl w:val="2"/>
          <w:numId w:val="8"/>
        </w:numPr>
        <w:spacing w:after="0" w:line="360" w:lineRule="auto"/>
        <w:ind w:left="993" w:hanging="426"/>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 xml:space="preserve">The CSIR </w:t>
      </w:r>
      <w:r w:rsidR="006A7B6F" w:rsidRPr="00694D6D">
        <w:rPr>
          <w:rFonts w:ascii="Times New Roman" w:eastAsia="Times New Roman" w:hAnsi="Times New Roman" w:cs="Times New Roman"/>
          <w:sz w:val="24"/>
          <w:szCs w:val="24"/>
          <w:lang w:val="en-GB"/>
        </w:rPr>
        <w:t xml:space="preserve">achieved </w:t>
      </w:r>
      <w:r w:rsidRPr="00694D6D">
        <w:rPr>
          <w:rFonts w:ascii="Times New Roman" w:eastAsia="Times New Roman" w:hAnsi="Times New Roman" w:cs="Times New Roman"/>
          <w:sz w:val="24"/>
          <w:szCs w:val="24"/>
          <w:lang w:val="en-GB"/>
        </w:rPr>
        <w:t xml:space="preserve">a Level 3 B-BBEE status against a Level 2 target. Additional measures, such as </w:t>
      </w:r>
      <w:r w:rsidR="00D52A97" w:rsidRPr="00694D6D">
        <w:rPr>
          <w:rFonts w:ascii="Times New Roman" w:eastAsia="Times New Roman" w:hAnsi="Times New Roman" w:cs="Times New Roman"/>
          <w:sz w:val="24"/>
          <w:szCs w:val="24"/>
          <w:lang w:val="en-GB"/>
        </w:rPr>
        <w:t xml:space="preserve">a </w:t>
      </w:r>
      <w:r w:rsidRPr="00694D6D">
        <w:rPr>
          <w:rFonts w:ascii="Times New Roman" w:eastAsia="Times New Roman" w:hAnsi="Times New Roman" w:cs="Times New Roman"/>
          <w:sz w:val="24"/>
          <w:szCs w:val="24"/>
          <w:lang w:val="en-GB"/>
        </w:rPr>
        <w:t>greater focus on attracting and/or developing enterprises with credible B-BBEE credentials and promot</w:t>
      </w:r>
      <w:r w:rsidR="00D52A97" w:rsidRPr="00694D6D">
        <w:rPr>
          <w:rFonts w:ascii="Times New Roman" w:eastAsia="Times New Roman" w:hAnsi="Times New Roman" w:cs="Times New Roman"/>
          <w:sz w:val="24"/>
          <w:szCs w:val="24"/>
          <w:lang w:val="en-GB"/>
        </w:rPr>
        <w:t>ing</w:t>
      </w:r>
      <w:r w:rsidRPr="00694D6D">
        <w:rPr>
          <w:rFonts w:ascii="Times New Roman" w:eastAsia="Times New Roman" w:hAnsi="Times New Roman" w:cs="Times New Roman"/>
          <w:sz w:val="24"/>
          <w:szCs w:val="24"/>
          <w:lang w:val="en-GB"/>
        </w:rPr>
        <w:t>, manag</w:t>
      </w:r>
      <w:r w:rsidR="00D52A97" w:rsidRPr="00694D6D">
        <w:rPr>
          <w:rFonts w:ascii="Times New Roman" w:eastAsia="Times New Roman" w:hAnsi="Times New Roman" w:cs="Times New Roman"/>
          <w:sz w:val="24"/>
          <w:szCs w:val="24"/>
          <w:lang w:val="en-GB"/>
        </w:rPr>
        <w:t>ing</w:t>
      </w:r>
      <w:r w:rsidRPr="00694D6D">
        <w:rPr>
          <w:rFonts w:ascii="Times New Roman" w:eastAsia="Times New Roman" w:hAnsi="Times New Roman" w:cs="Times New Roman"/>
          <w:sz w:val="24"/>
          <w:szCs w:val="24"/>
          <w:lang w:val="en-GB"/>
        </w:rPr>
        <w:t xml:space="preserve"> and enhanc</w:t>
      </w:r>
      <w:r w:rsidR="00D52A97" w:rsidRPr="00694D6D">
        <w:rPr>
          <w:rFonts w:ascii="Times New Roman" w:eastAsia="Times New Roman" w:hAnsi="Times New Roman" w:cs="Times New Roman"/>
          <w:sz w:val="24"/>
          <w:szCs w:val="24"/>
          <w:lang w:val="en-GB"/>
        </w:rPr>
        <w:t>ing</w:t>
      </w:r>
      <w:r w:rsidRPr="00694D6D">
        <w:rPr>
          <w:rFonts w:ascii="Times New Roman" w:eastAsia="Times New Roman" w:hAnsi="Times New Roman" w:cs="Times New Roman"/>
          <w:sz w:val="24"/>
          <w:szCs w:val="24"/>
          <w:lang w:val="en-GB"/>
        </w:rPr>
        <w:t xml:space="preserve"> the role that people with disabilities play within the organisation, have been initiated to ensure that </w:t>
      </w:r>
      <w:r w:rsidR="006435E5" w:rsidRPr="00694D6D">
        <w:rPr>
          <w:rFonts w:ascii="Times New Roman" w:eastAsia="Times New Roman" w:hAnsi="Times New Roman" w:cs="Times New Roman"/>
          <w:sz w:val="24"/>
          <w:szCs w:val="24"/>
          <w:lang w:val="en-GB"/>
        </w:rPr>
        <w:t>the organisation</w:t>
      </w:r>
      <w:r w:rsidRPr="00694D6D">
        <w:rPr>
          <w:rFonts w:ascii="Times New Roman" w:eastAsia="Times New Roman" w:hAnsi="Times New Roman" w:cs="Times New Roman"/>
          <w:sz w:val="24"/>
          <w:szCs w:val="24"/>
          <w:lang w:val="en-GB"/>
        </w:rPr>
        <w:t xml:space="preserve"> regain</w:t>
      </w:r>
      <w:r w:rsidR="006435E5" w:rsidRPr="00694D6D">
        <w:rPr>
          <w:rFonts w:ascii="Times New Roman" w:eastAsia="Times New Roman" w:hAnsi="Times New Roman" w:cs="Times New Roman"/>
          <w:sz w:val="24"/>
          <w:szCs w:val="24"/>
          <w:lang w:val="en-GB"/>
        </w:rPr>
        <w:t>s its</w:t>
      </w:r>
      <w:r w:rsidRPr="00694D6D">
        <w:rPr>
          <w:rFonts w:ascii="Times New Roman" w:eastAsia="Times New Roman" w:hAnsi="Times New Roman" w:cs="Times New Roman"/>
          <w:sz w:val="24"/>
          <w:szCs w:val="24"/>
          <w:lang w:val="en-GB"/>
        </w:rPr>
        <w:t xml:space="preserve"> Level 2 status; and</w:t>
      </w:r>
    </w:p>
    <w:p w14:paraId="2BC624A1" w14:textId="77777777" w:rsidR="00A045EF" w:rsidRPr="00694D6D" w:rsidRDefault="00A045EF" w:rsidP="00694D6D">
      <w:pPr>
        <w:pStyle w:val="ListParagraph"/>
        <w:numPr>
          <w:ilvl w:val="2"/>
          <w:numId w:val="8"/>
        </w:numPr>
        <w:spacing w:after="0" w:line="360" w:lineRule="auto"/>
        <w:ind w:left="993" w:hanging="426"/>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 xml:space="preserve">The CSIR did not achieve the annual target of ≤ 0.2 </w:t>
      </w:r>
      <w:r w:rsidR="006435E5" w:rsidRPr="00694D6D">
        <w:rPr>
          <w:rFonts w:ascii="Times New Roman" w:eastAsia="Times New Roman" w:hAnsi="Times New Roman" w:cs="Times New Roman"/>
          <w:sz w:val="24"/>
          <w:szCs w:val="24"/>
          <w:lang w:val="en-GB"/>
        </w:rPr>
        <w:t xml:space="preserve">disabling injuries </w:t>
      </w:r>
      <w:r w:rsidRPr="00694D6D">
        <w:rPr>
          <w:rFonts w:ascii="Times New Roman" w:eastAsia="Times New Roman" w:hAnsi="Times New Roman" w:cs="Times New Roman"/>
          <w:sz w:val="24"/>
          <w:szCs w:val="24"/>
          <w:lang w:val="en-GB"/>
        </w:rPr>
        <w:t>due to seven disabling inj</w:t>
      </w:r>
      <w:r w:rsidR="006435E5" w:rsidRPr="00694D6D">
        <w:rPr>
          <w:rFonts w:ascii="Times New Roman" w:eastAsia="Times New Roman" w:hAnsi="Times New Roman" w:cs="Times New Roman"/>
          <w:sz w:val="24"/>
          <w:szCs w:val="24"/>
          <w:lang w:val="en-GB"/>
        </w:rPr>
        <w:t>uries suffered during the year.</w:t>
      </w:r>
    </w:p>
    <w:p w14:paraId="6B7808B5"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p>
    <w:p w14:paraId="76F2E7E2"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 xml:space="preserve">The overall average performance of the CSIR for 2018/19 </w:t>
      </w:r>
      <w:r w:rsidR="006435E5" w:rsidRPr="00694D6D">
        <w:rPr>
          <w:rFonts w:ascii="Times New Roman" w:eastAsia="Times New Roman" w:hAnsi="Times New Roman" w:cs="Times New Roman"/>
          <w:sz w:val="24"/>
          <w:szCs w:val="24"/>
          <w:lang w:val="en-GB"/>
        </w:rPr>
        <w:t>was</w:t>
      </w:r>
      <w:r w:rsidRPr="00694D6D">
        <w:rPr>
          <w:rFonts w:ascii="Times New Roman" w:eastAsia="Times New Roman" w:hAnsi="Times New Roman" w:cs="Times New Roman"/>
          <w:sz w:val="24"/>
          <w:szCs w:val="24"/>
          <w:lang w:val="en-GB"/>
        </w:rPr>
        <w:t xml:space="preserve"> 68%, which is an improvement on the 46% average performance achieved in 2017/18.</w:t>
      </w:r>
    </w:p>
    <w:p w14:paraId="5FB6CB1A"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p>
    <w:p w14:paraId="029A83FC"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The CSIR is funded through a combination of baseline and ring-fenced grants from the Department and earns contract R&amp;D income from the public and private sectors; locally and internationally. Grant funding is invested in research programmes, research infrastructure, as well as in R&amp;D skills development. The total operating income of the CSIR was R2.5 billion (as in 2017/18, R2.7 billion in 2016/17 and 2015/16). The Parliamentary grant, recognised as income</w:t>
      </w:r>
      <w:r w:rsidR="006435E5" w:rsidRPr="00694D6D">
        <w:rPr>
          <w:rFonts w:ascii="Times New Roman" w:eastAsia="Times New Roman" w:hAnsi="Times New Roman" w:cs="Times New Roman"/>
          <w:sz w:val="24"/>
          <w:szCs w:val="24"/>
          <w:lang w:val="en-GB"/>
        </w:rPr>
        <w:t>,</w:t>
      </w:r>
      <w:r w:rsidRPr="00694D6D">
        <w:rPr>
          <w:rFonts w:ascii="Times New Roman" w:eastAsia="Times New Roman" w:hAnsi="Times New Roman" w:cs="Times New Roman"/>
          <w:sz w:val="24"/>
          <w:szCs w:val="24"/>
          <w:lang w:val="en-GB"/>
        </w:rPr>
        <w:t xml:space="preserve"> amounted to R752 million (R722.4 million in 2017/18</w:t>
      </w:r>
      <w:r w:rsidR="006435E5" w:rsidRPr="00694D6D">
        <w:rPr>
          <w:rFonts w:ascii="Times New Roman" w:eastAsia="Times New Roman" w:hAnsi="Times New Roman" w:cs="Times New Roman"/>
          <w:sz w:val="24"/>
          <w:szCs w:val="24"/>
          <w:lang w:val="en-GB"/>
        </w:rPr>
        <w:t>).</w:t>
      </w:r>
      <w:r w:rsidRPr="00694D6D">
        <w:rPr>
          <w:rFonts w:ascii="Times New Roman" w:eastAsia="Times New Roman" w:hAnsi="Times New Roman" w:cs="Times New Roman"/>
          <w:sz w:val="24"/>
          <w:szCs w:val="24"/>
          <w:lang w:val="en-GB"/>
        </w:rPr>
        <w:t xml:space="preserve"> The CSIR’s total contract R&amp;D income was R1.75 billion (R1.77 billion in 2017/18, R1.95 billion in 2016/17 and R1.97 billion in 2015/16). This included a R78 million ring-fenced allocation from the Department. The continued investment in scientific infrastructure and equipment remain</w:t>
      </w:r>
      <w:r w:rsidR="006435E5" w:rsidRPr="00694D6D">
        <w:rPr>
          <w:rFonts w:ascii="Times New Roman" w:eastAsia="Times New Roman" w:hAnsi="Times New Roman" w:cs="Times New Roman"/>
          <w:sz w:val="24"/>
          <w:szCs w:val="24"/>
          <w:lang w:val="en-GB"/>
        </w:rPr>
        <w:t>ed</w:t>
      </w:r>
      <w:r w:rsidRPr="00694D6D">
        <w:rPr>
          <w:rFonts w:ascii="Times New Roman" w:eastAsia="Times New Roman" w:hAnsi="Times New Roman" w:cs="Times New Roman"/>
          <w:sz w:val="24"/>
          <w:szCs w:val="24"/>
          <w:lang w:val="en-GB"/>
        </w:rPr>
        <w:t xml:space="preserve"> a priority to ensure that world-class facilities and equipment </w:t>
      </w:r>
      <w:r w:rsidR="006435E5" w:rsidRPr="00694D6D">
        <w:rPr>
          <w:rFonts w:ascii="Times New Roman" w:eastAsia="Times New Roman" w:hAnsi="Times New Roman" w:cs="Times New Roman"/>
          <w:sz w:val="24"/>
          <w:szCs w:val="24"/>
          <w:lang w:val="en-GB"/>
        </w:rPr>
        <w:t>were</w:t>
      </w:r>
      <w:r w:rsidRPr="00694D6D">
        <w:rPr>
          <w:rFonts w:ascii="Times New Roman" w:eastAsia="Times New Roman" w:hAnsi="Times New Roman" w:cs="Times New Roman"/>
          <w:sz w:val="24"/>
          <w:szCs w:val="24"/>
          <w:lang w:val="en-GB"/>
        </w:rPr>
        <w:t xml:space="preserve"> acquired and maintained. The net profit amount</w:t>
      </w:r>
      <w:r w:rsidR="00A55E16" w:rsidRPr="00694D6D">
        <w:rPr>
          <w:rFonts w:ascii="Times New Roman" w:eastAsia="Times New Roman" w:hAnsi="Times New Roman" w:cs="Times New Roman"/>
          <w:sz w:val="24"/>
          <w:szCs w:val="24"/>
          <w:lang w:val="en-GB"/>
        </w:rPr>
        <w:t>ed</w:t>
      </w:r>
      <w:r w:rsidRPr="00694D6D">
        <w:rPr>
          <w:rFonts w:ascii="Times New Roman" w:eastAsia="Times New Roman" w:hAnsi="Times New Roman" w:cs="Times New Roman"/>
          <w:sz w:val="24"/>
          <w:szCs w:val="24"/>
          <w:lang w:val="en-GB"/>
        </w:rPr>
        <w:t xml:space="preserve"> to R7.7 million (net loss of R13.8 million in 2017/18 and R77.2 million net profit in 2016/17). CSIR cash and cash equivalents were at R1.2 billion at the end of </w:t>
      </w:r>
      <w:r w:rsidR="00D52A97" w:rsidRPr="00694D6D">
        <w:rPr>
          <w:rFonts w:ascii="Times New Roman" w:eastAsia="Times New Roman" w:hAnsi="Times New Roman" w:cs="Times New Roman"/>
          <w:sz w:val="24"/>
          <w:szCs w:val="24"/>
          <w:lang w:val="en-GB"/>
        </w:rPr>
        <w:t>M</w:t>
      </w:r>
      <w:r w:rsidRPr="00694D6D">
        <w:rPr>
          <w:rFonts w:ascii="Times New Roman" w:eastAsia="Times New Roman" w:hAnsi="Times New Roman" w:cs="Times New Roman"/>
          <w:sz w:val="24"/>
          <w:szCs w:val="24"/>
          <w:lang w:val="en-GB"/>
        </w:rPr>
        <w:t>arch 2019, compared to R1.</w:t>
      </w:r>
      <w:r w:rsidR="007C3FC5" w:rsidRPr="00694D6D">
        <w:rPr>
          <w:rFonts w:ascii="Times New Roman" w:eastAsia="Times New Roman" w:hAnsi="Times New Roman" w:cs="Times New Roman"/>
          <w:sz w:val="24"/>
          <w:szCs w:val="24"/>
          <w:lang w:val="en-GB"/>
        </w:rPr>
        <w:t>1</w:t>
      </w:r>
      <w:r w:rsidRPr="00694D6D">
        <w:rPr>
          <w:rFonts w:ascii="Times New Roman" w:eastAsia="Times New Roman" w:hAnsi="Times New Roman" w:cs="Times New Roman"/>
          <w:sz w:val="24"/>
          <w:szCs w:val="24"/>
          <w:lang w:val="en-GB"/>
        </w:rPr>
        <w:t xml:space="preserve"> billion at the end of March</w:t>
      </w:r>
      <w:r w:rsidR="00D52A97" w:rsidRPr="00694D6D">
        <w:rPr>
          <w:rFonts w:ascii="Times New Roman" w:eastAsia="Times New Roman" w:hAnsi="Times New Roman" w:cs="Times New Roman"/>
          <w:sz w:val="24"/>
          <w:szCs w:val="24"/>
          <w:lang w:val="en-GB"/>
        </w:rPr>
        <w:t xml:space="preserve"> 2018</w:t>
      </w:r>
      <w:r w:rsidRPr="00694D6D">
        <w:rPr>
          <w:rFonts w:ascii="Times New Roman" w:eastAsia="Times New Roman" w:hAnsi="Times New Roman" w:cs="Times New Roman"/>
          <w:sz w:val="24"/>
          <w:szCs w:val="24"/>
          <w:lang w:val="en-GB"/>
        </w:rPr>
        <w:t>. Staff remuneration accounted for 62.3% (60.2% in 2017/18) of the CSIR’s total operating expenditure.</w:t>
      </w:r>
    </w:p>
    <w:p w14:paraId="7CC5FE5C" w14:textId="77777777" w:rsidR="007C3FC5" w:rsidRPr="00694D6D" w:rsidRDefault="007C3FC5" w:rsidP="00694D6D">
      <w:pPr>
        <w:spacing w:after="0" w:line="360" w:lineRule="auto"/>
        <w:jc w:val="both"/>
        <w:rPr>
          <w:rFonts w:ascii="Times New Roman" w:eastAsia="Times New Roman" w:hAnsi="Times New Roman" w:cs="Times New Roman"/>
          <w:sz w:val="24"/>
          <w:szCs w:val="24"/>
          <w:lang w:val="en-GB"/>
        </w:rPr>
      </w:pPr>
    </w:p>
    <w:p w14:paraId="52BC08E2" w14:textId="77777777" w:rsidR="006736A2" w:rsidRPr="00694D6D" w:rsidRDefault="007C3FC5" w:rsidP="00694D6D">
      <w:pPr>
        <w:spacing w:after="0" w:line="360" w:lineRule="auto"/>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The R7.7 million net profit was realised through extensive cost containment measures and improvements to internal processes. The challenges that continue</w:t>
      </w:r>
      <w:r w:rsidR="00C0647B" w:rsidRPr="00694D6D">
        <w:rPr>
          <w:rFonts w:ascii="Times New Roman" w:eastAsia="Times New Roman" w:hAnsi="Times New Roman" w:cs="Times New Roman"/>
          <w:sz w:val="24"/>
          <w:szCs w:val="24"/>
          <w:lang w:val="en-GB"/>
        </w:rPr>
        <w:t>d</w:t>
      </w:r>
      <w:r w:rsidRPr="00694D6D">
        <w:rPr>
          <w:rFonts w:ascii="Times New Roman" w:eastAsia="Times New Roman" w:hAnsi="Times New Roman" w:cs="Times New Roman"/>
          <w:sz w:val="24"/>
          <w:szCs w:val="24"/>
          <w:lang w:val="en-GB"/>
        </w:rPr>
        <w:t xml:space="preserve"> to</w:t>
      </w:r>
      <w:r w:rsidR="006736A2" w:rsidRPr="00694D6D">
        <w:rPr>
          <w:rFonts w:ascii="Times New Roman" w:eastAsia="Times New Roman" w:hAnsi="Times New Roman" w:cs="Times New Roman"/>
          <w:sz w:val="24"/>
          <w:szCs w:val="24"/>
          <w:lang w:val="en-GB"/>
        </w:rPr>
        <w:t xml:space="preserve"> negatively</w:t>
      </w:r>
      <w:r w:rsidRPr="00694D6D">
        <w:rPr>
          <w:rFonts w:ascii="Times New Roman" w:eastAsia="Times New Roman" w:hAnsi="Times New Roman" w:cs="Times New Roman"/>
          <w:sz w:val="24"/>
          <w:szCs w:val="24"/>
          <w:lang w:val="en-GB"/>
        </w:rPr>
        <w:t xml:space="preserve"> affect the operating environment of the CSIR include</w:t>
      </w:r>
      <w:r w:rsidR="00C0647B" w:rsidRPr="00694D6D">
        <w:rPr>
          <w:rFonts w:ascii="Times New Roman" w:eastAsia="Times New Roman" w:hAnsi="Times New Roman" w:cs="Times New Roman"/>
          <w:sz w:val="24"/>
          <w:szCs w:val="24"/>
          <w:lang w:val="en-GB"/>
        </w:rPr>
        <w:t>d</w:t>
      </w:r>
      <w:r w:rsidR="006736A2" w:rsidRPr="00694D6D">
        <w:rPr>
          <w:rFonts w:ascii="Times New Roman" w:eastAsia="Times New Roman" w:hAnsi="Times New Roman" w:cs="Times New Roman"/>
          <w:sz w:val="24"/>
          <w:szCs w:val="24"/>
          <w:lang w:val="en-GB"/>
        </w:rPr>
        <w:t>:</w:t>
      </w:r>
    </w:p>
    <w:p w14:paraId="12ADA171" w14:textId="77777777" w:rsidR="006736A2" w:rsidRPr="00694D6D" w:rsidRDefault="007C3FC5" w:rsidP="00694D6D">
      <w:pPr>
        <w:pStyle w:val="ListParagraph"/>
        <w:numPr>
          <w:ilvl w:val="1"/>
          <w:numId w:val="6"/>
        </w:numPr>
        <w:spacing w:after="0" w:line="360" w:lineRule="auto"/>
        <w:ind w:left="567" w:hanging="567"/>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Government’s policy on contracting with state-owned entities limit</w:t>
      </w:r>
      <w:r w:rsidR="006736A2" w:rsidRPr="00694D6D">
        <w:rPr>
          <w:rFonts w:ascii="Times New Roman" w:eastAsia="Times New Roman" w:hAnsi="Times New Roman" w:cs="Times New Roman"/>
          <w:sz w:val="24"/>
          <w:szCs w:val="24"/>
          <w:lang w:val="en-GB"/>
        </w:rPr>
        <w:t>ed</w:t>
      </w:r>
      <w:r w:rsidRPr="00694D6D">
        <w:rPr>
          <w:rFonts w:ascii="Times New Roman" w:eastAsia="Times New Roman" w:hAnsi="Times New Roman" w:cs="Times New Roman"/>
          <w:sz w:val="24"/>
          <w:szCs w:val="24"/>
          <w:lang w:val="en-GB"/>
        </w:rPr>
        <w:t xml:space="preserve"> the uptake of CSIR-developed technologies by government. With regard to the latter, R382 million in government opportunities was lost due to tender processes</w:t>
      </w:r>
      <w:r w:rsidR="00B6385F" w:rsidRPr="00694D6D">
        <w:rPr>
          <w:rFonts w:ascii="Times New Roman" w:eastAsia="Times New Roman" w:hAnsi="Times New Roman" w:cs="Times New Roman"/>
          <w:sz w:val="24"/>
          <w:szCs w:val="24"/>
          <w:lang w:val="en-GB"/>
        </w:rPr>
        <w:t>;</w:t>
      </w:r>
    </w:p>
    <w:p w14:paraId="2A172FA3" w14:textId="77777777" w:rsidR="006736A2" w:rsidRPr="00694D6D" w:rsidRDefault="006736A2" w:rsidP="00694D6D">
      <w:pPr>
        <w:pStyle w:val="ListParagraph"/>
        <w:numPr>
          <w:ilvl w:val="1"/>
          <w:numId w:val="6"/>
        </w:numPr>
        <w:spacing w:after="0" w:line="360" w:lineRule="auto"/>
        <w:ind w:left="567" w:hanging="567"/>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T</w:t>
      </w:r>
      <w:r w:rsidR="007C3FC5" w:rsidRPr="00694D6D">
        <w:rPr>
          <w:rFonts w:ascii="Times New Roman" w:eastAsia="Times New Roman" w:hAnsi="Times New Roman" w:cs="Times New Roman"/>
          <w:sz w:val="24"/>
          <w:szCs w:val="24"/>
          <w:lang w:val="en-GB"/>
        </w:rPr>
        <w:t>he adverse economic climate, tight fiscal environment, decline in national R&amp;D investment</w:t>
      </w:r>
      <w:r w:rsidRPr="00694D6D">
        <w:rPr>
          <w:rFonts w:ascii="Times New Roman" w:eastAsia="Times New Roman" w:hAnsi="Times New Roman" w:cs="Times New Roman"/>
          <w:sz w:val="24"/>
          <w:szCs w:val="24"/>
          <w:lang w:val="en-GB"/>
        </w:rPr>
        <w:t xml:space="preserve">, and </w:t>
      </w:r>
      <w:r w:rsidR="007C3FC5" w:rsidRPr="00694D6D">
        <w:rPr>
          <w:rFonts w:ascii="Times New Roman" w:eastAsia="Times New Roman" w:hAnsi="Times New Roman" w:cs="Times New Roman"/>
          <w:sz w:val="24"/>
          <w:szCs w:val="24"/>
          <w:lang w:val="en-GB"/>
        </w:rPr>
        <w:t xml:space="preserve">reductions in the Parliamentary </w:t>
      </w:r>
      <w:r w:rsidR="00AE3C5F" w:rsidRPr="00694D6D">
        <w:rPr>
          <w:rFonts w:ascii="Times New Roman" w:eastAsia="Times New Roman" w:hAnsi="Times New Roman" w:cs="Times New Roman"/>
          <w:sz w:val="24"/>
          <w:szCs w:val="24"/>
          <w:lang w:val="en-GB"/>
        </w:rPr>
        <w:t>g</w:t>
      </w:r>
      <w:r w:rsidR="007C3FC5" w:rsidRPr="00694D6D">
        <w:rPr>
          <w:rFonts w:ascii="Times New Roman" w:eastAsia="Times New Roman" w:hAnsi="Times New Roman" w:cs="Times New Roman"/>
          <w:sz w:val="24"/>
          <w:szCs w:val="24"/>
          <w:lang w:val="en-GB"/>
        </w:rPr>
        <w:t>rant</w:t>
      </w:r>
      <w:r w:rsidR="00B6385F" w:rsidRPr="00694D6D">
        <w:rPr>
          <w:rFonts w:ascii="Times New Roman" w:eastAsia="Times New Roman" w:hAnsi="Times New Roman" w:cs="Times New Roman"/>
          <w:sz w:val="24"/>
          <w:szCs w:val="24"/>
          <w:lang w:val="en-GB"/>
        </w:rPr>
        <w:t>; and</w:t>
      </w:r>
    </w:p>
    <w:p w14:paraId="568B53E9" w14:textId="77777777" w:rsidR="007C3FC5" w:rsidRPr="00694D6D" w:rsidRDefault="006736A2" w:rsidP="00694D6D">
      <w:pPr>
        <w:pStyle w:val="ListParagraph"/>
        <w:numPr>
          <w:ilvl w:val="1"/>
          <w:numId w:val="6"/>
        </w:numPr>
        <w:spacing w:after="0" w:line="360" w:lineRule="auto"/>
        <w:ind w:left="567" w:hanging="567"/>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 xml:space="preserve">The negative impact of the </w:t>
      </w:r>
      <w:r w:rsidR="007C3FC5" w:rsidRPr="00694D6D">
        <w:rPr>
          <w:rFonts w:ascii="Times New Roman" w:eastAsia="Times New Roman" w:hAnsi="Times New Roman" w:cs="Times New Roman"/>
          <w:sz w:val="24"/>
          <w:szCs w:val="24"/>
          <w:lang w:val="en-GB"/>
        </w:rPr>
        <w:t>wage freeze far outweigh</w:t>
      </w:r>
      <w:r w:rsidRPr="00694D6D">
        <w:rPr>
          <w:rFonts w:ascii="Times New Roman" w:eastAsia="Times New Roman" w:hAnsi="Times New Roman" w:cs="Times New Roman"/>
          <w:sz w:val="24"/>
          <w:szCs w:val="24"/>
          <w:lang w:val="en-GB"/>
        </w:rPr>
        <w:t>ed</w:t>
      </w:r>
      <w:r w:rsidR="007C3FC5" w:rsidRPr="00694D6D">
        <w:rPr>
          <w:rFonts w:ascii="Times New Roman" w:eastAsia="Times New Roman" w:hAnsi="Times New Roman" w:cs="Times New Roman"/>
          <w:sz w:val="24"/>
          <w:szCs w:val="24"/>
          <w:lang w:val="en-GB"/>
        </w:rPr>
        <w:t xml:space="preserve"> </w:t>
      </w:r>
      <w:r w:rsidRPr="00694D6D">
        <w:rPr>
          <w:rFonts w:ascii="Times New Roman" w:eastAsia="Times New Roman" w:hAnsi="Times New Roman" w:cs="Times New Roman"/>
          <w:sz w:val="24"/>
          <w:szCs w:val="24"/>
          <w:lang w:val="en-GB"/>
        </w:rPr>
        <w:t xml:space="preserve">the </w:t>
      </w:r>
      <w:r w:rsidR="007C3FC5" w:rsidRPr="00694D6D">
        <w:rPr>
          <w:rFonts w:ascii="Times New Roman" w:eastAsia="Times New Roman" w:hAnsi="Times New Roman" w:cs="Times New Roman"/>
          <w:sz w:val="24"/>
          <w:szCs w:val="24"/>
          <w:lang w:val="en-GB"/>
        </w:rPr>
        <w:t>minimal potential savings</w:t>
      </w:r>
      <w:r w:rsidRPr="00694D6D">
        <w:rPr>
          <w:rFonts w:ascii="Times New Roman" w:eastAsia="Times New Roman" w:hAnsi="Times New Roman" w:cs="Times New Roman"/>
          <w:sz w:val="24"/>
          <w:szCs w:val="24"/>
          <w:lang w:val="en-GB"/>
        </w:rPr>
        <w:t xml:space="preserve"> made.</w:t>
      </w:r>
    </w:p>
    <w:p w14:paraId="3A1EE75D"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p>
    <w:p w14:paraId="4E9EACD5"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 xml:space="preserve">The CSIR incurred irregular expenditure of R5.7 million in 2018/19 (R2.9 million in 2017/18) due to </w:t>
      </w:r>
      <w:r w:rsidR="00D007A1" w:rsidRPr="00694D6D">
        <w:rPr>
          <w:rFonts w:ascii="Times New Roman" w:eastAsia="Times New Roman" w:hAnsi="Times New Roman" w:cs="Times New Roman"/>
          <w:sz w:val="24"/>
          <w:szCs w:val="24"/>
          <w:lang w:val="en-GB"/>
        </w:rPr>
        <w:t xml:space="preserve">10 instances of </w:t>
      </w:r>
      <w:r w:rsidRPr="00694D6D">
        <w:rPr>
          <w:rFonts w:ascii="Times New Roman" w:eastAsia="Times New Roman" w:hAnsi="Times New Roman" w:cs="Times New Roman"/>
          <w:sz w:val="24"/>
          <w:szCs w:val="24"/>
          <w:lang w:val="en-GB"/>
        </w:rPr>
        <w:t>non-compliance with supply chain management regulations. However, it did not result in any losses or damages to the organisation as the relevant value was obtained from the transactions. Irregular expenditure relating to prior years but identified in 2018/19 amount</w:t>
      </w:r>
      <w:r w:rsidR="00A55E16" w:rsidRPr="00694D6D">
        <w:rPr>
          <w:rFonts w:ascii="Times New Roman" w:eastAsia="Times New Roman" w:hAnsi="Times New Roman" w:cs="Times New Roman"/>
          <w:sz w:val="24"/>
          <w:szCs w:val="24"/>
          <w:lang w:val="en-GB"/>
        </w:rPr>
        <w:t>ed</w:t>
      </w:r>
      <w:r w:rsidRPr="00694D6D">
        <w:rPr>
          <w:rFonts w:ascii="Times New Roman" w:eastAsia="Times New Roman" w:hAnsi="Times New Roman" w:cs="Times New Roman"/>
          <w:sz w:val="24"/>
          <w:szCs w:val="24"/>
          <w:lang w:val="en-GB"/>
        </w:rPr>
        <w:t xml:space="preserve"> to R6</w:t>
      </w:r>
      <w:r w:rsidR="00474A19" w:rsidRPr="00694D6D">
        <w:rPr>
          <w:rFonts w:ascii="Times New Roman" w:eastAsia="Times New Roman" w:hAnsi="Times New Roman" w:cs="Times New Roman"/>
          <w:sz w:val="24"/>
          <w:szCs w:val="24"/>
          <w:lang w:val="en-GB"/>
        </w:rPr>
        <w:t>2</w:t>
      </w:r>
      <w:r w:rsidR="0063520A" w:rsidRPr="00694D6D">
        <w:rPr>
          <w:rFonts w:ascii="Times New Roman" w:eastAsia="Times New Roman" w:hAnsi="Times New Roman" w:cs="Times New Roman"/>
          <w:sz w:val="24"/>
          <w:szCs w:val="24"/>
          <w:lang w:val="en-GB"/>
        </w:rPr>
        <w:t>0 000</w:t>
      </w:r>
      <w:r w:rsidRPr="00694D6D">
        <w:rPr>
          <w:rFonts w:ascii="Times New Roman" w:eastAsia="Times New Roman" w:hAnsi="Times New Roman" w:cs="Times New Roman"/>
          <w:sz w:val="24"/>
          <w:szCs w:val="24"/>
          <w:lang w:val="en-GB"/>
        </w:rPr>
        <w:t>. Fruitless and wasteful expenditure of R95 0</w:t>
      </w:r>
      <w:r w:rsidR="00D007A1" w:rsidRPr="00694D6D">
        <w:rPr>
          <w:rFonts w:ascii="Times New Roman" w:eastAsia="Times New Roman" w:hAnsi="Times New Roman" w:cs="Times New Roman"/>
          <w:sz w:val="24"/>
          <w:szCs w:val="24"/>
          <w:lang w:val="en-GB"/>
        </w:rPr>
        <w:t>87</w:t>
      </w:r>
      <w:r w:rsidRPr="00694D6D">
        <w:rPr>
          <w:rFonts w:ascii="Times New Roman" w:eastAsia="Times New Roman" w:hAnsi="Times New Roman" w:cs="Times New Roman"/>
          <w:sz w:val="24"/>
          <w:szCs w:val="24"/>
          <w:lang w:val="en-GB"/>
        </w:rPr>
        <w:t>; comprising R72 960 to settle an employee’s liability to a recruitment agent to retain the employee in the CSIR and R22 127 for an unnecessary service rendered to the CSIR due to a lack of consultation of the line manager by an employee, was incurred in the 2018/19 financial year.</w:t>
      </w:r>
    </w:p>
    <w:p w14:paraId="38593D3F"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p>
    <w:p w14:paraId="528F79DE"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 xml:space="preserve">The </w:t>
      </w:r>
      <w:r w:rsidR="00F76015" w:rsidRPr="00694D6D">
        <w:rPr>
          <w:rFonts w:ascii="Times New Roman" w:eastAsia="Times New Roman" w:hAnsi="Times New Roman" w:cs="Times New Roman"/>
          <w:sz w:val="24"/>
          <w:szCs w:val="24"/>
          <w:lang w:val="en-GB"/>
        </w:rPr>
        <w:t>AGSA</w:t>
      </w:r>
      <w:r w:rsidRPr="00694D6D">
        <w:rPr>
          <w:rFonts w:ascii="Times New Roman" w:eastAsia="Times New Roman" w:hAnsi="Times New Roman" w:cs="Times New Roman"/>
          <w:sz w:val="24"/>
          <w:szCs w:val="24"/>
          <w:lang w:val="en-GB"/>
        </w:rPr>
        <w:t>, for the 11</w:t>
      </w:r>
      <w:r w:rsidRPr="00694D6D">
        <w:rPr>
          <w:rFonts w:ascii="Times New Roman" w:eastAsia="Times New Roman" w:hAnsi="Times New Roman" w:cs="Times New Roman"/>
          <w:sz w:val="24"/>
          <w:szCs w:val="24"/>
          <w:vertAlign w:val="superscript"/>
          <w:lang w:val="en-GB"/>
        </w:rPr>
        <w:t>th</w:t>
      </w:r>
      <w:r w:rsidRPr="00694D6D">
        <w:rPr>
          <w:rFonts w:ascii="Times New Roman" w:eastAsia="Times New Roman" w:hAnsi="Times New Roman" w:cs="Times New Roman"/>
          <w:sz w:val="24"/>
          <w:szCs w:val="24"/>
          <w:lang w:val="en-GB"/>
        </w:rPr>
        <w:t xml:space="preserve"> consecutive year, awarded the CSIR an unqualified audit opinion with no findings regarding the financial statements, performance information, compliance with relevant legislation and deficiencies in internal control; hence, a clean audit.</w:t>
      </w:r>
    </w:p>
    <w:p w14:paraId="65432DA3"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p>
    <w:p w14:paraId="5D3AA6F2" w14:textId="77777777" w:rsidR="000209C6" w:rsidRPr="00694D6D" w:rsidRDefault="000209C6" w:rsidP="00694D6D">
      <w:pPr>
        <w:pStyle w:val="ListParagraph"/>
        <w:numPr>
          <w:ilvl w:val="1"/>
          <w:numId w:val="1"/>
        </w:numPr>
        <w:spacing w:after="0" w:line="360" w:lineRule="auto"/>
        <w:ind w:left="567" w:hanging="567"/>
        <w:jc w:val="both"/>
        <w:rPr>
          <w:rFonts w:ascii="Times New Roman" w:eastAsia="Times New Roman" w:hAnsi="Times New Roman" w:cs="Times New Roman"/>
          <w:b/>
          <w:sz w:val="24"/>
          <w:szCs w:val="24"/>
          <w:lang w:val="en-GB"/>
        </w:rPr>
      </w:pPr>
      <w:r w:rsidRPr="00694D6D">
        <w:rPr>
          <w:rFonts w:ascii="Times New Roman" w:eastAsia="Times New Roman" w:hAnsi="Times New Roman" w:cs="Times New Roman"/>
          <w:b/>
          <w:sz w:val="24"/>
          <w:szCs w:val="24"/>
          <w:lang w:val="en-GB"/>
        </w:rPr>
        <w:t>National Research Foundation</w:t>
      </w:r>
    </w:p>
    <w:p w14:paraId="2E237EDC"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p>
    <w:p w14:paraId="22C69BCF"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 xml:space="preserve">The NRF </w:t>
      </w:r>
      <w:r w:rsidR="00E733EE" w:rsidRPr="00694D6D">
        <w:rPr>
          <w:rFonts w:ascii="Times New Roman" w:eastAsia="Times New Roman" w:hAnsi="Times New Roman" w:cs="Times New Roman"/>
          <w:sz w:val="24"/>
          <w:szCs w:val="24"/>
          <w:lang w:val="en-GB"/>
        </w:rPr>
        <w:t xml:space="preserve">supports, </w:t>
      </w:r>
      <w:r w:rsidRPr="00694D6D">
        <w:rPr>
          <w:rFonts w:ascii="Times New Roman" w:eastAsia="Times New Roman" w:hAnsi="Times New Roman" w:cs="Times New Roman"/>
          <w:sz w:val="24"/>
          <w:szCs w:val="24"/>
          <w:lang w:val="en-GB"/>
        </w:rPr>
        <w:t xml:space="preserve">promotes and </w:t>
      </w:r>
      <w:r w:rsidR="00E733EE" w:rsidRPr="00694D6D">
        <w:rPr>
          <w:rFonts w:ascii="Times New Roman" w:eastAsia="Times New Roman" w:hAnsi="Times New Roman" w:cs="Times New Roman"/>
          <w:sz w:val="24"/>
          <w:szCs w:val="24"/>
          <w:lang w:val="en-GB"/>
        </w:rPr>
        <w:t xml:space="preserve">advances </w:t>
      </w:r>
      <w:r w:rsidRPr="00694D6D">
        <w:rPr>
          <w:rFonts w:ascii="Times New Roman" w:eastAsia="Times New Roman" w:hAnsi="Times New Roman" w:cs="Times New Roman"/>
          <w:sz w:val="24"/>
          <w:szCs w:val="24"/>
          <w:lang w:val="en-GB"/>
        </w:rPr>
        <w:t>research</w:t>
      </w:r>
      <w:r w:rsidR="00E733EE" w:rsidRPr="00694D6D">
        <w:rPr>
          <w:rFonts w:ascii="Times New Roman" w:eastAsia="Times New Roman" w:hAnsi="Times New Roman" w:cs="Times New Roman"/>
          <w:sz w:val="24"/>
          <w:szCs w:val="24"/>
          <w:lang w:val="en-GB"/>
        </w:rPr>
        <w:t xml:space="preserve"> and human capacity development</w:t>
      </w:r>
      <w:r w:rsidRPr="00694D6D">
        <w:rPr>
          <w:rFonts w:ascii="Times New Roman" w:eastAsia="Times New Roman" w:hAnsi="Times New Roman" w:cs="Times New Roman"/>
          <w:sz w:val="24"/>
          <w:szCs w:val="24"/>
          <w:lang w:val="en-GB"/>
        </w:rPr>
        <w:t xml:space="preserve"> in all fields of science</w:t>
      </w:r>
      <w:r w:rsidR="00E733EE" w:rsidRPr="00694D6D">
        <w:rPr>
          <w:rFonts w:ascii="Times New Roman" w:eastAsia="Times New Roman" w:hAnsi="Times New Roman" w:cs="Times New Roman"/>
          <w:sz w:val="24"/>
          <w:szCs w:val="24"/>
          <w:lang w:val="en-GB"/>
        </w:rPr>
        <w:t xml:space="preserve"> and technology;</w:t>
      </w:r>
      <w:r w:rsidRPr="00694D6D">
        <w:rPr>
          <w:rFonts w:ascii="Times New Roman" w:eastAsia="Times New Roman" w:hAnsi="Times New Roman" w:cs="Times New Roman"/>
          <w:sz w:val="24"/>
          <w:szCs w:val="24"/>
          <w:lang w:val="en-GB"/>
        </w:rPr>
        <w:t xml:space="preserve"> </w:t>
      </w:r>
      <w:r w:rsidR="00E733EE" w:rsidRPr="00694D6D">
        <w:rPr>
          <w:rFonts w:ascii="Times New Roman" w:eastAsia="Times New Roman" w:hAnsi="Times New Roman" w:cs="Times New Roman"/>
          <w:sz w:val="24"/>
          <w:szCs w:val="24"/>
          <w:lang w:val="en-GB"/>
        </w:rPr>
        <w:t xml:space="preserve">develops, supports and maintains </w:t>
      </w:r>
      <w:r w:rsidRPr="00694D6D">
        <w:rPr>
          <w:rFonts w:ascii="Times New Roman" w:eastAsia="Times New Roman" w:hAnsi="Times New Roman" w:cs="Times New Roman"/>
          <w:sz w:val="24"/>
          <w:szCs w:val="24"/>
          <w:lang w:val="en-GB"/>
        </w:rPr>
        <w:t>national</w:t>
      </w:r>
      <w:r w:rsidR="00E733EE" w:rsidRPr="00694D6D">
        <w:rPr>
          <w:rFonts w:ascii="Times New Roman" w:eastAsia="Times New Roman" w:hAnsi="Times New Roman" w:cs="Times New Roman"/>
          <w:sz w:val="24"/>
          <w:szCs w:val="24"/>
          <w:lang w:val="en-GB"/>
        </w:rPr>
        <w:t xml:space="preserve"> research</w:t>
      </w:r>
      <w:r w:rsidRPr="00694D6D">
        <w:rPr>
          <w:rFonts w:ascii="Times New Roman" w:eastAsia="Times New Roman" w:hAnsi="Times New Roman" w:cs="Times New Roman"/>
          <w:sz w:val="24"/>
          <w:szCs w:val="24"/>
          <w:lang w:val="en-GB"/>
        </w:rPr>
        <w:t xml:space="preserve"> facilities</w:t>
      </w:r>
      <w:r w:rsidR="00E733EE" w:rsidRPr="00694D6D">
        <w:rPr>
          <w:rFonts w:ascii="Times New Roman" w:eastAsia="Times New Roman" w:hAnsi="Times New Roman" w:cs="Times New Roman"/>
          <w:sz w:val="24"/>
          <w:szCs w:val="24"/>
          <w:lang w:val="en-GB"/>
        </w:rPr>
        <w:t>; supports and promotes</w:t>
      </w:r>
      <w:r w:rsidRPr="00694D6D">
        <w:rPr>
          <w:rFonts w:ascii="Times New Roman" w:eastAsia="Times New Roman" w:hAnsi="Times New Roman" w:cs="Times New Roman"/>
          <w:sz w:val="24"/>
          <w:szCs w:val="24"/>
          <w:lang w:val="en-GB"/>
        </w:rPr>
        <w:t xml:space="preserve"> science</w:t>
      </w:r>
      <w:r w:rsidR="00E733EE" w:rsidRPr="00694D6D">
        <w:rPr>
          <w:rFonts w:ascii="Times New Roman" w:eastAsia="Times New Roman" w:hAnsi="Times New Roman" w:cs="Times New Roman"/>
          <w:sz w:val="24"/>
          <w:szCs w:val="24"/>
          <w:lang w:val="en-GB"/>
        </w:rPr>
        <w:t xml:space="preserve"> awareness and</w:t>
      </w:r>
      <w:r w:rsidRPr="00694D6D">
        <w:rPr>
          <w:rFonts w:ascii="Times New Roman" w:eastAsia="Times New Roman" w:hAnsi="Times New Roman" w:cs="Times New Roman"/>
          <w:sz w:val="24"/>
          <w:szCs w:val="24"/>
          <w:lang w:val="en-GB"/>
        </w:rPr>
        <w:t xml:space="preserve"> engagement activities</w:t>
      </w:r>
      <w:r w:rsidR="00E733EE" w:rsidRPr="00694D6D">
        <w:rPr>
          <w:rFonts w:ascii="Times New Roman" w:eastAsia="Times New Roman" w:hAnsi="Times New Roman" w:cs="Times New Roman"/>
          <w:sz w:val="24"/>
          <w:szCs w:val="24"/>
          <w:lang w:val="en-GB"/>
        </w:rPr>
        <w:t>; and promotes the development and maintenance of the NSI</w:t>
      </w:r>
      <w:r w:rsidRPr="00694D6D">
        <w:rPr>
          <w:rFonts w:ascii="Times New Roman" w:eastAsia="Times New Roman" w:hAnsi="Times New Roman" w:cs="Times New Roman"/>
          <w:sz w:val="24"/>
          <w:szCs w:val="24"/>
          <w:lang w:val="en-GB"/>
        </w:rPr>
        <w:t xml:space="preserve">. </w:t>
      </w:r>
      <w:r w:rsidR="00E733EE" w:rsidRPr="00694D6D">
        <w:rPr>
          <w:rFonts w:ascii="Times New Roman" w:eastAsia="Times New Roman" w:hAnsi="Times New Roman" w:cs="Times New Roman"/>
          <w:sz w:val="24"/>
          <w:szCs w:val="24"/>
          <w:lang w:val="en-GB"/>
        </w:rPr>
        <w:t xml:space="preserve">A </w:t>
      </w:r>
      <w:r w:rsidRPr="00694D6D">
        <w:rPr>
          <w:rFonts w:ascii="Times New Roman" w:eastAsia="Times New Roman" w:hAnsi="Times New Roman" w:cs="Times New Roman"/>
          <w:sz w:val="24"/>
          <w:szCs w:val="24"/>
          <w:lang w:val="en-GB"/>
        </w:rPr>
        <w:t>key</w:t>
      </w:r>
      <w:r w:rsidR="00E733EE" w:rsidRPr="00694D6D">
        <w:rPr>
          <w:rFonts w:ascii="Times New Roman" w:eastAsia="Times New Roman" w:hAnsi="Times New Roman" w:cs="Times New Roman"/>
          <w:sz w:val="24"/>
          <w:szCs w:val="24"/>
          <w:lang w:val="en-GB"/>
        </w:rPr>
        <w:t xml:space="preserve"> strategic</w:t>
      </w:r>
      <w:r w:rsidRPr="00694D6D">
        <w:rPr>
          <w:rFonts w:ascii="Times New Roman" w:eastAsia="Times New Roman" w:hAnsi="Times New Roman" w:cs="Times New Roman"/>
          <w:sz w:val="24"/>
          <w:szCs w:val="24"/>
          <w:lang w:val="en-GB"/>
        </w:rPr>
        <w:t xml:space="preserve"> goal is to ensure that South Africa contributes at least </w:t>
      </w:r>
      <w:r w:rsidR="001B4C85" w:rsidRPr="00694D6D">
        <w:rPr>
          <w:rFonts w:ascii="Times New Roman" w:eastAsia="Times New Roman" w:hAnsi="Times New Roman" w:cs="Times New Roman"/>
          <w:sz w:val="24"/>
          <w:szCs w:val="24"/>
          <w:lang w:val="en-GB"/>
        </w:rPr>
        <w:t>1%</w:t>
      </w:r>
      <w:r w:rsidRPr="00694D6D">
        <w:rPr>
          <w:rFonts w:ascii="Times New Roman" w:eastAsia="Times New Roman" w:hAnsi="Times New Roman" w:cs="Times New Roman"/>
          <w:sz w:val="24"/>
          <w:szCs w:val="24"/>
          <w:lang w:val="en-GB"/>
        </w:rPr>
        <w:t xml:space="preserve"> to global R&amp;D output by 2020 and that this knowledge output benefits society.</w:t>
      </w:r>
    </w:p>
    <w:p w14:paraId="38541E87" w14:textId="77777777" w:rsidR="00C25558" w:rsidRPr="00694D6D" w:rsidRDefault="00C25558" w:rsidP="00694D6D">
      <w:pPr>
        <w:spacing w:after="0" w:line="360" w:lineRule="auto"/>
        <w:jc w:val="both"/>
        <w:rPr>
          <w:rFonts w:ascii="Times New Roman" w:eastAsia="Times New Roman" w:hAnsi="Times New Roman" w:cs="Times New Roman"/>
          <w:sz w:val="24"/>
          <w:szCs w:val="24"/>
          <w:lang w:val="en-GB"/>
        </w:rPr>
      </w:pPr>
    </w:p>
    <w:p w14:paraId="0E240214"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In 2018/19, the NRF achieved 62% (64% in 2017/18 and 63% in 2016/17) of its performance targets. Targets that were not achieved relate</w:t>
      </w:r>
      <w:r w:rsidR="00F35966" w:rsidRPr="00694D6D">
        <w:rPr>
          <w:rFonts w:ascii="Times New Roman" w:eastAsia="Times New Roman" w:hAnsi="Times New Roman" w:cs="Times New Roman"/>
          <w:sz w:val="24"/>
          <w:szCs w:val="24"/>
          <w:lang w:val="en-GB"/>
        </w:rPr>
        <w:t>d</w:t>
      </w:r>
      <w:r w:rsidRPr="00694D6D">
        <w:rPr>
          <w:rFonts w:ascii="Times New Roman" w:eastAsia="Times New Roman" w:hAnsi="Times New Roman" w:cs="Times New Roman"/>
          <w:sz w:val="24"/>
          <w:szCs w:val="24"/>
          <w:lang w:val="en-GB"/>
        </w:rPr>
        <w:t xml:space="preserve"> to not attaining the targeted gender representation at senior management level, higher than planned staff turnover, less learners and educators reached through science awareness initiatives, supporting less black researchers than planned, and the National Research Facilities supporting less students, having lower numbers of users and investing less than planned on infrastructure. </w:t>
      </w:r>
      <w:r w:rsidR="00E73604" w:rsidRPr="00694D6D">
        <w:rPr>
          <w:rFonts w:ascii="Times New Roman" w:eastAsia="Times New Roman" w:hAnsi="Times New Roman" w:cs="Times New Roman"/>
          <w:sz w:val="24"/>
          <w:szCs w:val="24"/>
          <w:lang w:val="en-GB"/>
        </w:rPr>
        <w:t>The NRF invested R2.3 billion in the national research and knowledge enterprise</w:t>
      </w:r>
      <w:r w:rsidR="00751D85" w:rsidRPr="00694D6D">
        <w:rPr>
          <w:rFonts w:ascii="Times New Roman" w:eastAsia="Times New Roman" w:hAnsi="Times New Roman" w:cs="Times New Roman"/>
          <w:sz w:val="24"/>
          <w:szCs w:val="24"/>
          <w:lang w:val="en-GB"/>
        </w:rPr>
        <w:t xml:space="preserve"> and supported 4 708 (24%) of the 19 637 researchers in the system</w:t>
      </w:r>
      <w:r w:rsidR="00E73604" w:rsidRPr="00694D6D">
        <w:rPr>
          <w:rFonts w:ascii="Times New Roman" w:eastAsia="Times New Roman" w:hAnsi="Times New Roman" w:cs="Times New Roman"/>
          <w:sz w:val="24"/>
          <w:szCs w:val="24"/>
          <w:lang w:val="en-GB"/>
        </w:rPr>
        <w:t xml:space="preserve"> in 2018/19. The top three research domains that received 57% of the </w:t>
      </w:r>
      <w:r w:rsidR="00C0647B" w:rsidRPr="00694D6D">
        <w:rPr>
          <w:rFonts w:ascii="Times New Roman" w:eastAsia="Times New Roman" w:hAnsi="Times New Roman" w:cs="Times New Roman"/>
          <w:sz w:val="24"/>
          <w:szCs w:val="24"/>
          <w:lang w:val="en-GB"/>
        </w:rPr>
        <w:t>R2.3 billion</w:t>
      </w:r>
      <w:r w:rsidR="00E73604" w:rsidRPr="00694D6D">
        <w:rPr>
          <w:rFonts w:ascii="Times New Roman" w:eastAsia="Times New Roman" w:hAnsi="Times New Roman" w:cs="Times New Roman"/>
          <w:sz w:val="24"/>
          <w:szCs w:val="24"/>
          <w:lang w:val="en-GB"/>
        </w:rPr>
        <w:t xml:space="preserve"> invested, comprised 29% disbursed to the biological and chemical sciences, 16% disbursed to the arts, humanities and social sciences, and 12% disbursed to the medical and health sciences. </w:t>
      </w:r>
      <w:r w:rsidR="00751D85" w:rsidRPr="00694D6D">
        <w:rPr>
          <w:rFonts w:ascii="Times New Roman" w:eastAsia="Times New Roman" w:hAnsi="Times New Roman" w:cs="Times New Roman"/>
          <w:sz w:val="24"/>
          <w:szCs w:val="24"/>
          <w:lang w:val="en-GB"/>
        </w:rPr>
        <w:t xml:space="preserve">With regard to human capital development, the NRF supported </w:t>
      </w:r>
      <w:r w:rsidR="00F1780C" w:rsidRPr="00694D6D">
        <w:rPr>
          <w:rFonts w:ascii="Times New Roman" w:eastAsia="Times New Roman" w:hAnsi="Times New Roman" w:cs="Times New Roman"/>
          <w:sz w:val="24"/>
          <w:szCs w:val="24"/>
          <w:lang w:val="en-GB"/>
        </w:rPr>
        <w:t>7% (4 730) of all Honours, 9.2% (5 435) of all Masters, and 15.6% (3 519) of all Doctoral students in 2018/19.</w:t>
      </w:r>
    </w:p>
    <w:p w14:paraId="1670755C"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p>
    <w:p w14:paraId="735317D2"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 xml:space="preserve">The NRF’s total </w:t>
      </w:r>
      <w:r w:rsidR="00D171CE" w:rsidRPr="00694D6D">
        <w:rPr>
          <w:rFonts w:ascii="Times New Roman" w:eastAsia="Times New Roman" w:hAnsi="Times New Roman" w:cs="Times New Roman"/>
          <w:sz w:val="24"/>
          <w:szCs w:val="24"/>
          <w:lang w:val="en-GB"/>
        </w:rPr>
        <w:t xml:space="preserve">2018/19 </w:t>
      </w:r>
      <w:r w:rsidRPr="00694D6D">
        <w:rPr>
          <w:rFonts w:ascii="Times New Roman" w:eastAsia="Times New Roman" w:hAnsi="Times New Roman" w:cs="Times New Roman"/>
          <w:sz w:val="24"/>
          <w:szCs w:val="24"/>
          <w:lang w:val="en-GB"/>
        </w:rPr>
        <w:t xml:space="preserve">income of R4.1 </w:t>
      </w:r>
      <w:r w:rsidR="00A55E16" w:rsidRPr="00694D6D">
        <w:rPr>
          <w:rFonts w:ascii="Times New Roman" w:eastAsia="Times New Roman" w:hAnsi="Times New Roman" w:cs="Times New Roman"/>
          <w:sz w:val="24"/>
          <w:szCs w:val="24"/>
          <w:lang w:val="en-GB"/>
        </w:rPr>
        <w:t xml:space="preserve">billion </w:t>
      </w:r>
      <w:r w:rsidRPr="00694D6D">
        <w:rPr>
          <w:rFonts w:ascii="Times New Roman" w:eastAsia="Times New Roman" w:hAnsi="Times New Roman" w:cs="Times New Roman"/>
          <w:sz w:val="24"/>
          <w:szCs w:val="24"/>
          <w:lang w:val="en-GB"/>
        </w:rPr>
        <w:t xml:space="preserve">(R4.7 billion in 2017/18 and R4.5 billion in 2016/17) </w:t>
      </w:r>
      <w:r w:rsidR="00D171CE" w:rsidRPr="00694D6D">
        <w:rPr>
          <w:rFonts w:ascii="Times New Roman" w:eastAsia="Times New Roman" w:hAnsi="Times New Roman" w:cs="Times New Roman"/>
          <w:sz w:val="24"/>
          <w:szCs w:val="24"/>
          <w:lang w:val="en-GB"/>
        </w:rPr>
        <w:t xml:space="preserve">decreased by 8.6% in real terms and </w:t>
      </w:r>
      <w:r w:rsidRPr="00694D6D">
        <w:rPr>
          <w:rFonts w:ascii="Times New Roman" w:eastAsia="Times New Roman" w:hAnsi="Times New Roman" w:cs="Times New Roman"/>
          <w:sz w:val="24"/>
          <w:szCs w:val="24"/>
          <w:lang w:val="en-GB"/>
        </w:rPr>
        <w:t>comprised the Parliamentary grant of R905 million, ring-fenced funding</w:t>
      </w:r>
      <w:r w:rsidR="002A05F8" w:rsidRPr="00694D6D">
        <w:rPr>
          <w:rFonts w:ascii="Times New Roman" w:eastAsia="Times New Roman" w:hAnsi="Times New Roman" w:cs="Times New Roman"/>
          <w:sz w:val="24"/>
          <w:szCs w:val="24"/>
          <w:lang w:val="en-GB"/>
        </w:rPr>
        <w:t xml:space="preserve"> </w:t>
      </w:r>
      <w:r w:rsidRPr="00694D6D">
        <w:rPr>
          <w:rFonts w:ascii="Times New Roman" w:eastAsia="Times New Roman" w:hAnsi="Times New Roman" w:cs="Times New Roman"/>
          <w:sz w:val="24"/>
          <w:szCs w:val="24"/>
          <w:lang w:val="en-GB"/>
        </w:rPr>
        <w:t xml:space="preserve">from the Department of R2.6 billion, </w:t>
      </w:r>
      <w:r w:rsidR="002A05F8" w:rsidRPr="00694D6D">
        <w:rPr>
          <w:rFonts w:ascii="Times New Roman" w:eastAsia="Times New Roman" w:hAnsi="Times New Roman" w:cs="Times New Roman"/>
          <w:sz w:val="24"/>
          <w:szCs w:val="24"/>
          <w:lang w:val="en-GB"/>
        </w:rPr>
        <w:t>contract</w:t>
      </w:r>
      <w:r w:rsidRPr="00694D6D">
        <w:rPr>
          <w:rFonts w:ascii="Times New Roman" w:eastAsia="Times New Roman" w:hAnsi="Times New Roman" w:cs="Times New Roman"/>
          <w:sz w:val="24"/>
          <w:szCs w:val="24"/>
          <w:lang w:val="en-GB"/>
        </w:rPr>
        <w:t xml:space="preserve"> income of R470 million, and other income of R141.5 million. Total expenditure was R4 billion.</w:t>
      </w:r>
    </w:p>
    <w:p w14:paraId="55C5C57B"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p>
    <w:p w14:paraId="1F35D2A2" w14:textId="77777777" w:rsidR="00D171CE" w:rsidRPr="00694D6D" w:rsidRDefault="00D171CE" w:rsidP="00694D6D">
      <w:pPr>
        <w:spacing w:after="0" w:line="360" w:lineRule="auto"/>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 xml:space="preserve">The key factors that impacted the 2018/19 </w:t>
      </w:r>
      <w:r w:rsidR="00B6385F" w:rsidRPr="00694D6D">
        <w:rPr>
          <w:rFonts w:ascii="Times New Roman" w:eastAsia="Times New Roman" w:hAnsi="Times New Roman" w:cs="Times New Roman"/>
          <w:sz w:val="24"/>
          <w:szCs w:val="24"/>
          <w:lang w:val="en-GB"/>
        </w:rPr>
        <w:t xml:space="preserve">total income </w:t>
      </w:r>
      <w:r w:rsidRPr="00694D6D">
        <w:rPr>
          <w:rFonts w:ascii="Times New Roman" w:eastAsia="Times New Roman" w:hAnsi="Times New Roman" w:cs="Times New Roman"/>
          <w:sz w:val="24"/>
          <w:szCs w:val="24"/>
          <w:lang w:val="en-GB"/>
        </w:rPr>
        <w:t>of the NRF included:</w:t>
      </w:r>
    </w:p>
    <w:p w14:paraId="6EDE473F" w14:textId="77777777" w:rsidR="00B6385F" w:rsidRPr="00694D6D" w:rsidRDefault="00B6385F" w:rsidP="00694D6D">
      <w:pPr>
        <w:pStyle w:val="ListParagraph"/>
        <w:numPr>
          <w:ilvl w:val="0"/>
          <w:numId w:val="10"/>
        </w:numPr>
        <w:spacing w:after="0" w:line="360" w:lineRule="auto"/>
        <w:ind w:left="567" w:hanging="567"/>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 xml:space="preserve">A nominal decrease of 2.3% in the Parliamentary </w:t>
      </w:r>
      <w:r w:rsidR="00AE3C5F" w:rsidRPr="00694D6D">
        <w:rPr>
          <w:rFonts w:ascii="Times New Roman" w:eastAsia="Times New Roman" w:hAnsi="Times New Roman" w:cs="Times New Roman"/>
          <w:sz w:val="24"/>
          <w:szCs w:val="24"/>
          <w:lang w:val="en-GB"/>
        </w:rPr>
        <w:t>g</w:t>
      </w:r>
      <w:r w:rsidRPr="00694D6D">
        <w:rPr>
          <w:rFonts w:ascii="Times New Roman" w:eastAsia="Times New Roman" w:hAnsi="Times New Roman" w:cs="Times New Roman"/>
          <w:sz w:val="24"/>
          <w:szCs w:val="24"/>
          <w:lang w:val="en-GB"/>
        </w:rPr>
        <w:t>rant due to the transfer of the National Zoological Gardens</w:t>
      </w:r>
      <w:r w:rsidR="00AF6527" w:rsidRPr="00694D6D">
        <w:rPr>
          <w:rFonts w:ascii="Times New Roman" w:eastAsia="Times New Roman" w:hAnsi="Times New Roman" w:cs="Times New Roman"/>
          <w:sz w:val="24"/>
          <w:szCs w:val="24"/>
          <w:lang w:val="en-GB"/>
        </w:rPr>
        <w:t xml:space="preserve"> (NZG)</w:t>
      </w:r>
      <w:r w:rsidRPr="00694D6D">
        <w:rPr>
          <w:rFonts w:ascii="Times New Roman" w:eastAsia="Times New Roman" w:hAnsi="Times New Roman" w:cs="Times New Roman"/>
          <w:sz w:val="24"/>
          <w:szCs w:val="24"/>
          <w:lang w:val="en-GB"/>
        </w:rPr>
        <w:t xml:space="preserve"> to the South African National Biodiversity Institute;</w:t>
      </w:r>
    </w:p>
    <w:p w14:paraId="60603724" w14:textId="77777777" w:rsidR="00B6385F" w:rsidRPr="00694D6D" w:rsidRDefault="00B6385F" w:rsidP="00694D6D">
      <w:pPr>
        <w:pStyle w:val="ListParagraph"/>
        <w:numPr>
          <w:ilvl w:val="0"/>
          <w:numId w:val="10"/>
        </w:numPr>
        <w:spacing w:after="0" w:line="360" w:lineRule="auto"/>
        <w:ind w:left="567" w:hanging="567"/>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 xml:space="preserve">A 9% increase in </w:t>
      </w:r>
      <w:r w:rsidR="002A05F8" w:rsidRPr="00694D6D">
        <w:rPr>
          <w:rFonts w:ascii="Times New Roman" w:eastAsia="Times New Roman" w:hAnsi="Times New Roman" w:cs="Times New Roman"/>
          <w:sz w:val="24"/>
          <w:szCs w:val="24"/>
          <w:lang w:val="en-GB"/>
        </w:rPr>
        <w:t xml:space="preserve">ring-fenced </w:t>
      </w:r>
      <w:r w:rsidR="00D171CE" w:rsidRPr="00694D6D">
        <w:rPr>
          <w:rFonts w:ascii="Times New Roman" w:eastAsia="Times New Roman" w:hAnsi="Times New Roman" w:cs="Times New Roman"/>
          <w:sz w:val="24"/>
          <w:szCs w:val="24"/>
          <w:lang w:val="en-GB"/>
        </w:rPr>
        <w:t xml:space="preserve">funding </w:t>
      </w:r>
      <w:r w:rsidRPr="00694D6D">
        <w:rPr>
          <w:rFonts w:ascii="Times New Roman" w:eastAsia="Times New Roman" w:hAnsi="Times New Roman" w:cs="Times New Roman"/>
          <w:sz w:val="24"/>
          <w:szCs w:val="24"/>
          <w:lang w:val="en-GB"/>
        </w:rPr>
        <w:t xml:space="preserve">due to </w:t>
      </w:r>
      <w:r w:rsidR="00D171CE" w:rsidRPr="00694D6D">
        <w:rPr>
          <w:rFonts w:ascii="Times New Roman" w:eastAsia="Times New Roman" w:hAnsi="Times New Roman" w:cs="Times New Roman"/>
          <w:sz w:val="24"/>
          <w:szCs w:val="24"/>
          <w:lang w:val="en-GB"/>
        </w:rPr>
        <w:t xml:space="preserve">additional funding for </w:t>
      </w:r>
      <w:r w:rsidRPr="00694D6D">
        <w:rPr>
          <w:rFonts w:ascii="Times New Roman" w:eastAsia="Times New Roman" w:hAnsi="Times New Roman" w:cs="Times New Roman"/>
          <w:sz w:val="24"/>
          <w:szCs w:val="24"/>
          <w:lang w:val="en-GB"/>
        </w:rPr>
        <w:t xml:space="preserve">the </w:t>
      </w:r>
      <w:r w:rsidR="00D171CE" w:rsidRPr="00694D6D">
        <w:rPr>
          <w:rFonts w:ascii="Times New Roman" w:eastAsia="Times New Roman" w:hAnsi="Times New Roman" w:cs="Times New Roman"/>
          <w:sz w:val="24"/>
          <w:szCs w:val="24"/>
          <w:lang w:val="en-GB"/>
        </w:rPr>
        <w:t>N</w:t>
      </w:r>
      <w:r w:rsidRPr="00694D6D">
        <w:rPr>
          <w:rFonts w:ascii="Times New Roman" w:eastAsia="Times New Roman" w:hAnsi="Times New Roman" w:cs="Times New Roman"/>
          <w:sz w:val="24"/>
          <w:szCs w:val="24"/>
          <w:lang w:val="en-GB"/>
        </w:rPr>
        <w:t xml:space="preserve">ational </w:t>
      </w:r>
      <w:r w:rsidR="00D171CE" w:rsidRPr="00694D6D">
        <w:rPr>
          <w:rFonts w:ascii="Times New Roman" w:eastAsia="Times New Roman" w:hAnsi="Times New Roman" w:cs="Times New Roman"/>
          <w:sz w:val="24"/>
          <w:szCs w:val="24"/>
          <w:lang w:val="en-GB"/>
        </w:rPr>
        <w:t>E</w:t>
      </w:r>
      <w:r w:rsidRPr="00694D6D">
        <w:rPr>
          <w:rFonts w:ascii="Times New Roman" w:eastAsia="Times New Roman" w:hAnsi="Times New Roman" w:cs="Times New Roman"/>
          <w:sz w:val="24"/>
          <w:szCs w:val="24"/>
          <w:lang w:val="en-GB"/>
        </w:rPr>
        <w:t xml:space="preserve">quipment </w:t>
      </w:r>
      <w:r w:rsidR="00D171CE" w:rsidRPr="00694D6D">
        <w:rPr>
          <w:rFonts w:ascii="Times New Roman" w:eastAsia="Times New Roman" w:hAnsi="Times New Roman" w:cs="Times New Roman"/>
          <w:sz w:val="24"/>
          <w:szCs w:val="24"/>
          <w:lang w:val="en-GB"/>
        </w:rPr>
        <w:t>P</w:t>
      </w:r>
      <w:r w:rsidRPr="00694D6D">
        <w:rPr>
          <w:rFonts w:ascii="Times New Roman" w:eastAsia="Times New Roman" w:hAnsi="Times New Roman" w:cs="Times New Roman"/>
          <w:sz w:val="24"/>
          <w:szCs w:val="24"/>
          <w:lang w:val="en-GB"/>
        </w:rPr>
        <w:t>rogramme;</w:t>
      </w:r>
    </w:p>
    <w:p w14:paraId="663058A3" w14:textId="77777777" w:rsidR="00B6385F" w:rsidRPr="00694D6D" w:rsidRDefault="00B6385F" w:rsidP="00694D6D">
      <w:pPr>
        <w:pStyle w:val="ListParagraph"/>
        <w:numPr>
          <w:ilvl w:val="0"/>
          <w:numId w:val="10"/>
        </w:numPr>
        <w:spacing w:after="0" w:line="360" w:lineRule="auto"/>
        <w:ind w:left="567" w:hanging="567"/>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A nominal decrease of 62% in contract income; and</w:t>
      </w:r>
    </w:p>
    <w:p w14:paraId="67C54904" w14:textId="77777777" w:rsidR="00D171CE" w:rsidRPr="00694D6D" w:rsidRDefault="00B6385F" w:rsidP="00694D6D">
      <w:pPr>
        <w:pStyle w:val="ListParagraph"/>
        <w:numPr>
          <w:ilvl w:val="0"/>
          <w:numId w:val="10"/>
        </w:numPr>
        <w:spacing w:after="0" w:line="360" w:lineRule="auto"/>
        <w:ind w:left="567" w:hanging="567"/>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A 17% decrease in o</w:t>
      </w:r>
      <w:r w:rsidR="00D171CE" w:rsidRPr="00694D6D">
        <w:rPr>
          <w:rFonts w:ascii="Times New Roman" w:eastAsia="Times New Roman" w:hAnsi="Times New Roman" w:cs="Times New Roman"/>
          <w:sz w:val="24"/>
          <w:szCs w:val="24"/>
          <w:lang w:val="en-GB"/>
        </w:rPr>
        <w:t xml:space="preserve">ther income </w:t>
      </w:r>
      <w:r w:rsidRPr="00694D6D">
        <w:rPr>
          <w:rFonts w:ascii="Times New Roman" w:eastAsia="Times New Roman" w:hAnsi="Times New Roman" w:cs="Times New Roman"/>
          <w:sz w:val="24"/>
          <w:szCs w:val="24"/>
          <w:lang w:val="en-GB"/>
        </w:rPr>
        <w:t>due to</w:t>
      </w:r>
      <w:r w:rsidR="00D171CE" w:rsidRPr="00694D6D">
        <w:rPr>
          <w:rFonts w:ascii="Times New Roman" w:eastAsia="Times New Roman" w:hAnsi="Times New Roman" w:cs="Times New Roman"/>
          <w:sz w:val="24"/>
          <w:szCs w:val="24"/>
          <w:lang w:val="en-GB"/>
        </w:rPr>
        <w:t xml:space="preserve"> the exclusion of the NZG</w:t>
      </w:r>
      <w:r w:rsidRPr="00694D6D">
        <w:rPr>
          <w:rFonts w:ascii="Times New Roman" w:eastAsia="Times New Roman" w:hAnsi="Times New Roman" w:cs="Times New Roman"/>
          <w:sz w:val="24"/>
          <w:szCs w:val="24"/>
          <w:lang w:val="en-GB"/>
        </w:rPr>
        <w:t>.</w:t>
      </w:r>
    </w:p>
    <w:p w14:paraId="168F1C8F" w14:textId="77777777" w:rsidR="00D171CE" w:rsidRPr="00694D6D" w:rsidRDefault="00D171CE" w:rsidP="00694D6D">
      <w:pPr>
        <w:spacing w:after="0" w:line="360" w:lineRule="auto"/>
        <w:jc w:val="both"/>
        <w:rPr>
          <w:rFonts w:ascii="Times New Roman" w:eastAsia="Times New Roman" w:hAnsi="Times New Roman" w:cs="Times New Roman"/>
          <w:sz w:val="24"/>
          <w:szCs w:val="24"/>
          <w:lang w:val="en-GB"/>
        </w:rPr>
      </w:pPr>
    </w:p>
    <w:p w14:paraId="0B476854"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The NRF’s 2018/19 Annual Report states that, “the current resourcing model of the NRF is not ideal to enable the organisation to direct its resources effectively towards achieving expected outcomes in the delivery of its mandate. The current model results in some 75% of the total budget of the NRF being predetermined. This does not allow the organisation to respond strategically to emergent national priorities. A process has been initiated to develop an appropriate framework for funding the NRF mandate in consultation with National Treasury and the Department.” Furthermore, the 2018/19 Annual Report states that, “A major and ongoing challenge remains centred on a need to increase public investment to resource the mandate of the organisation. There is a significant need to increase the reach and quantum of funding for postgraduate students and researchers. Currently, the NRF supports less than 10% of registered postgraduate students and approximately 20% of researchers and academics at universities. Equally important is the renewal and acquisition of essential research infrastructure to enable support to researchers and postgraduate students.”</w:t>
      </w:r>
    </w:p>
    <w:p w14:paraId="4D7A11D7"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p>
    <w:p w14:paraId="5F0B4F34"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 xml:space="preserve">The </w:t>
      </w:r>
      <w:r w:rsidR="00F76015" w:rsidRPr="00694D6D">
        <w:rPr>
          <w:rFonts w:ascii="Times New Roman" w:eastAsia="Times New Roman" w:hAnsi="Times New Roman" w:cs="Times New Roman"/>
          <w:sz w:val="24"/>
          <w:szCs w:val="24"/>
          <w:lang w:val="en-GB"/>
        </w:rPr>
        <w:t>AGSA</w:t>
      </w:r>
      <w:r w:rsidRPr="00694D6D">
        <w:rPr>
          <w:rFonts w:ascii="Times New Roman" w:eastAsia="Times New Roman" w:hAnsi="Times New Roman" w:cs="Times New Roman"/>
          <w:sz w:val="24"/>
          <w:szCs w:val="24"/>
          <w:lang w:val="en-GB"/>
        </w:rPr>
        <w:t xml:space="preserve"> awarded the NRF an unqualified audit with findings. The findings relate</w:t>
      </w:r>
      <w:r w:rsidR="00FE74C3" w:rsidRPr="00694D6D">
        <w:rPr>
          <w:rFonts w:ascii="Times New Roman" w:eastAsia="Times New Roman" w:hAnsi="Times New Roman" w:cs="Times New Roman"/>
          <w:sz w:val="24"/>
          <w:szCs w:val="24"/>
          <w:lang w:val="en-GB"/>
        </w:rPr>
        <w:t>d</w:t>
      </w:r>
      <w:r w:rsidRPr="00694D6D">
        <w:rPr>
          <w:rFonts w:ascii="Times New Roman" w:eastAsia="Times New Roman" w:hAnsi="Times New Roman" w:cs="Times New Roman"/>
          <w:sz w:val="24"/>
          <w:szCs w:val="24"/>
          <w:lang w:val="en-GB"/>
        </w:rPr>
        <w:t xml:space="preserve"> to the NRF not taking effective and appropriate steps to prevent irregular expenditure </w:t>
      </w:r>
      <w:r w:rsidR="00F35966" w:rsidRPr="00694D6D">
        <w:rPr>
          <w:rFonts w:ascii="Times New Roman" w:eastAsia="Times New Roman" w:hAnsi="Times New Roman" w:cs="Times New Roman"/>
          <w:sz w:val="24"/>
          <w:szCs w:val="24"/>
          <w:lang w:val="en-GB"/>
        </w:rPr>
        <w:t>of</w:t>
      </w:r>
      <w:r w:rsidRPr="00694D6D">
        <w:rPr>
          <w:rFonts w:ascii="Times New Roman" w:eastAsia="Times New Roman" w:hAnsi="Times New Roman" w:cs="Times New Roman"/>
          <w:sz w:val="24"/>
          <w:szCs w:val="24"/>
          <w:lang w:val="en-GB"/>
        </w:rPr>
        <w:t xml:space="preserve"> R4.4 million. The NRF also incurred fruitless and wasteful expenditure</w:t>
      </w:r>
      <w:r w:rsidR="003E2B3D" w:rsidRPr="00694D6D">
        <w:rPr>
          <w:rFonts w:ascii="Times New Roman" w:eastAsia="Times New Roman" w:hAnsi="Times New Roman" w:cs="Times New Roman"/>
          <w:sz w:val="24"/>
          <w:szCs w:val="24"/>
          <w:lang w:val="en-GB"/>
        </w:rPr>
        <w:t xml:space="preserve"> related to two incidences</w:t>
      </w:r>
      <w:r w:rsidRPr="00694D6D">
        <w:rPr>
          <w:rFonts w:ascii="Times New Roman" w:eastAsia="Times New Roman" w:hAnsi="Times New Roman" w:cs="Times New Roman"/>
          <w:sz w:val="24"/>
          <w:szCs w:val="24"/>
          <w:lang w:val="en-GB"/>
        </w:rPr>
        <w:t xml:space="preserve"> </w:t>
      </w:r>
      <w:r w:rsidR="003E2B3D" w:rsidRPr="00694D6D">
        <w:rPr>
          <w:rFonts w:ascii="Times New Roman" w:eastAsia="Times New Roman" w:hAnsi="Times New Roman" w:cs="Times New Roman"/>
          <w:sz w:val="24"/>
          <w:szCs w:val="24"/>
          <w:lang w:val="en-GB"/>
        </w:rPr>
        <w:t>that amounted to</w:t>
      </w:r>
      <w:r w:rsidR="00F35966" w:rsidRPr="00694D6D">
        <w:rPr>
          <w:rFonts w:ascii="Times New Roman" w:eastAsia="Times New Roman" w:hAnsi="Times New Roman" w:cs="Times New Roman"/>
          <w:sz w:val="24"/>
          <w:szCs w:val="24"/>
          <w:lang w:val="en-GB"/>
        </w:rPr>
        <w:t xml:space="preserve"> </w:t>
      </w:r>
      <w:r w:rsidRPr="00694D6D">
        <w:rPr>
          <w:rFonts w:ascii="Times New Roman" w:eastAsia="Times New Roman" w:hAnsi="Times New Roman" w:cs="Times New Roman"/>
          <w:sz w:val="24"/>
          <w:szCs w:val="24"/>
          <w:lang w:val="en-GB"/>
        </w:rPr>
        <w:t xml:space="preserve">R6 000 due to a </w:t>
      </w:r>
      <w:r w:rsidR="003E2B3D" w:rsidRPr="00694D6D">
        <w:rPr>
          <w:rFonts w:ascii="Times New Roman" w:eastAsia="Times New Roman" w:hAnsi="Times New Roman" w:cs="Times New Roman"/>
          <w:sz w:val="24"/>
          <w:szCs w:val="24"/>
          <w:lang w:val="en-GB"/>
        </w:rPr>
        <w:t xml:space="preserve">penalty fee and a flight that was </w:t>
      </w:r>
      <w:r w:rsidRPr="00694D6D">
        <w:rPr>
          <w:rFonts w:ascii="Times New Roman" w:eastAsia="Times New Roman" w:hAnsi="Times New Roman" w:cs="Times New Roman"/>
          <w:sz w:val="24"/>
          <w:szCs w:val="24"/>
          <w:lang w:val="en-GB"/>
        </w:rPr>
        <w:t xml:space="preserve">missed </w:t>
      </w:r>
      <w:r w:rsidR="003E2B3D" w:rsidRPr="00694D6D">
        <w:rPr>
          <w:rFonts w:ascii="Times New Roman" w:eastAsia="Times New Roman" w:hAnsi="Times New Roman" w:cs="Times New Roman"/>
          <w:sz w:val="24"/>
          <w:szCs w:val="24"/>
          <w:lang w:val="en-GB"/>
        </w:rPr>
        <w:t xml:space="preserve">due to </w:t>
      </w:r>
      <w:r w:rsidR="008073FE" w:rsidRPr="00694D6D">
        <w:rPr>
          <w:rFonts w:ascii="Times New Roman" w:eastAsia="Times New Roman" w:hAnsi="Times New Roman" w:cs="Times New Roman"/>
          <w:sz w:val="24"/>
          <w:szCs w:val="24"/>
          <w:lang w:val="en-GB"/>
        </w:rPr>
        <w:t xml:space="preserve">a </w:t>
      </w:r>
      <w:r w:rsidR="003E2B3D" w:rsidRPr="00694D6D">
        <w:rPr>
          <w:rFonts w:ascii="Times New Roman" w:eastAsia="Times New Roman" w:hAnsi="Times New Roman" w:cs="Times New Roman"/>
          <w:sz w:val="24"/>
          <w:szCs w:val="24"/>
          <w:lang w:val="en-GB"/>
        </w:rPr>
        <w:t>shuttle arriving late</w:t>
      </w:r>
      <w:r w:rsidRPr="00694D6D">
        <w:rPr>
          <w:rFonts w:ascii="Times New Roman" w:eastAsia="Times New Roman" w:hAnsi="Times New Roman" w:cs="Times New Roman"/>
          <w:sz w:val="24"/>
          <w:szCs w:val="24"/>
          <w:lang w:val="en-GB"/>
        </w:rPr>
        <w:t>.</w:t>
      </w:r>
    </w:p>
    <w:p w14:paraId="4FEA5F86"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p>
    <w:p w14:paraId="6D5F6527" w14:textId="77777777" w:rsidR="000209C6" w:rsidRPr="00694D6D" w:rsidRDefault="000209C6" w:rsidP="00694D6D">
      <w:pPr>
        <w:pStyle w:val="ListParagraph"/>
        <w:numPr>
          <w:ilvl w:val="1"/>
          <w:numId w:val="1"/>
        </w:numPr>
        <w:spacing w:after="0" w:line="360" w:lineRule="auto"/>
        <w:ind w:left="567" w:hanging="567"/>
        <w:jc w:val="both"/>
        <w:rPr>
          <w:rFonts w:ascii="Times New Roman" w:eastAsia="Times New Roman" w:hAnsi="Times New Roman" w:cs="Times New Roman"/>
          <w:b/>
          <w:sz w:val="24"/>
          <w:szCs w:val="24"/>
          <w:lang w:val="en-GB"/>
        </w:rPr>
      </w:pPr>
      <w:r w:rsidRPr="00694D6D">
        <w:rPr>
          <w:rFonts w:ascii="Times New Roman" w:eastAsia="Times New Roman" w:hAnsi="Times New Roman" w:cs="Times New Roman"/>
          <w:b/>
          <w:sz w:val="24"/>
          <w:szCs w:val="24"/>
          <w:lang w:val="en-GB"/>
        </w:rPr>
        <w:t>Human Sciences Research Council</w:t>
      </w:r>
    </w:p>
    <w:p w14:paraId="7FB88253"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p>
    <w:p w14:paraId="646C9F6A"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The HSRC aims to be a research organisation that advances social sciences and humanities to help address pressing social issues such as inequality and poverty, and enhances human welfare and development. Hence, its strategic intent is to address key priorities facing South Africa through its research, and to generate new knowledge that helps us understand the changing human and social environment in which we live. Key outputs in relation to its mandate include, fostering public dialogue and producing publications, researching and analysing developmental problems, promoting the African research agenda, developing research capacity for the humanities, and developing policy briefs that will inform Government policy and evaluate its implementation. Furthermore, the HSRC’s research programmes and centres specifically focus on poverty and inequality.</w:t>
      </w:r>
    </w:p>
    <w:p w14:paraId="362C89B0"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p>
    <w:p w14:paraId="65AAF928"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The performance measurements and quantifiable performance targets for the reporting period are in five areas, summarised by the acronym ADEPTS:</w:t>
      </w:r>
    </w:p>
    <w:p w14:paraId="6B2553A9" w14:textId="77777777" w:rsidR="00A045EF" w:rsidRPr="00694D6D" w:rsidRDefault="00A045EF" w:rsidP="00694D6D">
      <w:pPr>
        <w:spacing w:after="0" w:line="360" w:lineRule="auto"/>
        <w:ind w:left="567" w:hanging="567"/>
        <w:jc w:val="both"/>
        <w:rPr>
          <w:rFonts w:ascii="Times New Roman" w:eastAsia="Times New Roman" w:hAnsi="Times New Roman" w:cs="Times New Roman"/>
          <w:sz w:val="24"/>
          <w:szCs w:val="24"/>
          <w:lang w:val="en-GB"/>
        </w:rPr>
      </w:pPr>
    </w:p>
    <w:p w14:paraId="12077C53" w14:textId="77777777" w:rsidR="00A045EF" w:rsidRPr="00694D6D" w:rsidRDefault="00A045EF" w:rsidP="00694D6D">
      <w:pPr>
        <w:pStyle w:val="ListParagraph"/>
        <w:numPr>
          <w:ilvl w:val="1"/>
          <w:numId w:val="7"/>
        </w:numPr>
        <w:spacing w:after="0" w:line="360" w:lineRule="auto"/>
        <w:ind w:left="567" w:hanging="567"/>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 xml:space="preserve">Knowledge </w:t>
      </w:r>
      <w:r w:rsidRPr="00694D6D">
        <w:rPr>
          <w:rFonts w:ascii="Times New Roman" w:eastAsia="Times New Roman" w:hAnsi="Times New Roman" w:cs="Times New Roman"/>
          <w:b/>
          <w:sz w:val="24"/>
          <w:szCs w:val="24"/>
          <w:u w:val="single"/>
          <w:lang w:val="en-GB"/>
        </w:rPr>
        <w:t>A</w:t>
      </w:r>
      <w:r w:rsidRPr="00694D6D">
        <w:rPr>
          <w:rFonts w:ascii="Times New Roman" w:eastAsia="Times New Roman" w:hAnsi="Times New Roman" w:cs="Times New Roman"/>
          <w:sz w:val="24"/>
          <w:szCs w:val="24"/>
          <w:lang w:val="en-GB"/>
        </w:rPr>
        <w:t>dvancement through peer reviewed publications, policy briefs, collaboration and public communications – achieved all 8 performance targets, 100%.</w:t>
      </w:r>
    </w:p>
    <w:p w14:paraId="44392E6E" w14:textId="77777777" w:rsidR="00A045EF" w:rsidRPr="00694D6D" w:rsidRDefault="00A045EF" w:rsidP="00694D6D">
      <w:pPr>
        <w:pStyle w:val="ListParagraph"/>
        <w:numPr>
          <w:ilvl w:val="1"/>
          <w:numId w:val="7"/>
        </w:numPr>
        <w:spacing w:after="0" w:line="360" w:lineRule="auto"/>
        <w:ind w:left="567" w:hanging="567"/>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 xml:space="preserve">Contributing to </w:t>
      </w:r>
      <w:r w:rsidRPr="00694D6D">
        <w:rPr>
          <w:rFonts w:ascii="Times New Roman" w:eastAsia="Times New Roman" w:hAnsi="Times New Roman" w:cs="Times New Roman"/>
          <w:b/>
          <w:sz w:val="24"/>
          <w:szCs w:val="24"/>
          <w:u w:val="single"/>
          <w:lang w:val="en-GB"/>
        </w:rPr>
        <w:t>D</w:t>
      </w:r>
      <w:r w:rsidRPr="00694D6D">
        <w:rPr>
          <w:rFonts w:ascii="Times New Roman" w:eastAsia="Times New Roman" w:hAnsi="Times New Roman" w:cs="Times New Roman"/>
          <w:sz w:val="24"/>
          <w:szCs w:val="24"/>
          <w:lang w:val="en-GB"/>
        </w:rPr>
        <w:t>evelopment and social progress in Africa – achieved 2 of 3 performance targets, 67%.</w:t>
      </w:r>
    </w:p>
    <w:p w14:paraId="60B7073A" w14:textId="77777777" w:rsidR="00A045EF" w:rsidRPr="00694D6D" w:rsidRDefault="00A045EF" w:rsidP="00694D6D">
      <w:pPr>
        <w:pStyle w:val="ListParagraph"/>
        <w:numPr>
          <w:ilvl w:val="1"/>
          <w:numId w:val="7"/>
        </w:numPr>
        <w:spacing w:after="0" w:line="360" w:lineRule="auto"/>
        <w:ind w:left="567" w:hanging="567"/>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 xml:space="preserve">Creating and </w:t>
      </w:r>
      <w:r w:rsidRPr="00694D6D">
        <w:rPr>
          <w:rFonts w:ascii="Times New Roman" w:eastAsia="Times New Roman" w:hAnsi="Times New Roman" w:cs="Times New Roman"/>
          <w:b/>
          <w:sz w:val="24"/>
          <w:szCs w:val="24"/>
          <w:u w:val="single"/>
          <w:lang w:val="en-GB"/>
        </w:rPr>
        <w:t>E</w:t>
      </w:r>
      <w:r w:rsidRPr="00694D6D">
        <w:rPr>
          <w:rFonts w:ascii="Times New Roman" w:eastAsia="Times New Roman" w:hAnsi="Times New Roman" w:cs="Times New Roman"/>
          <w:sz w:val="24"/>
          <w:szCs w:val="24"/>
          <w:lang w:val="en-GB"/>
        </w:rPr>
        <w:t>nhancing a skilled and capable workforce – achieved 5 of 6 performance targets, 83%.</w:t>
      </w:r>
    </w:p>
    <w:p w14:paraId="689D3108" w14:textId="77777777" w:rsidR="00A045EF" w:rsidRPr="00694D6D" w:rsidRDefault="00A045EF" w:rsidP="00694D6D">
      <w:pPr>
        <w:pStyle w:val="ListParagraph"/>
        <w:numPr>
          <w:ilvl w:val="1"/>
          <w:numId w:val="7"/>
        </w:numPr>
        <w:spacing w:after="0" w:line="360" w:lineRule="auto"/>
        <w:ind w:left="567" w:hanging="567"/>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b/>
          <w:sz w:val="24"/>
          <w:szCs w:val="24"/>
          <w:u w:val="single"/>
          <w:lang w:val="en-GB"/>
        </w:rPr>
        <w:t>P</w:t>
      </w:r>
      <w:r w:rsidRPr="00694D6D">
        <w:rPr>
          <w:rFonts w:ascii="Times New Roman" w:eastAsia="Times New Roman" w:hAnsi="Times New Roman" w:cs="Times New Roman"/>
          <w:sz w:val="24"/>
          <w:szCs w:val="24"/>
          <w:lang w:val="en-GB"/>
        </w:rPr>
        <w:t>reserving and archiving research data as a resource for future use by researchers and other users – achieved both performance targets, 100%.</w:t>
      </w:r>
    </w:p>
    <w:p w14:paraId="716EEE7F" w14:textId="77777777" w:rsidR="00A045EF" w:rsidRPr="00694D6D" w:rsidRDefault="00A045EF" w:rsidP="00694D6D">
      <w:pPr>
        <w:pStyle w:val="ListParagraph"/>
        <w:numPr>
          <w:ilvl w:val="1"/>
          <w:numId w:val="7"/>
        </w:numPr>
        <w:spacing w:after="0" w:line="360" w:lineRule="auto"/>
        <w:ind w:left="567" w:hanging="567"/>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 xml:space="preserve">Contributing to ongoing institutional </w:t>
      </w:r>
      <w:r w:rsidRPr="00694D6D">
        <w:rPr>
          <w:rFonts w:ascii="Times New Roman" w:eastAsia="Times New Roman" w:hAnsi="Times New Roman" w:cs="Times New Roman"/>
          <w:b/>
          <w:sz w:val="24"/>
          <w:szCs w:val="24"/>
          <w:u w:val="single"/>
          <w:lang w:val="en-GB"/>
        </w:rPr>
        <w:t>T</w:t>
      </w:r>
      <w:r w:rsidRPr="00694D6D">
        <w:rPr>
          <w:rFonts w:ascii="Times New Roman" w:eastAsia="Times New Roman" w:hAnsi="Times New Roman" w:cs="Times New Roman"/>
          <w:sz w:val="24"/>
          <w:szCs w:val="24"/>
          <w:lang w:val="en-GB"/>
        </w:rPr>
        <w:t>ransformation – 2 performance targets, neither achieved, 0% (as in 2017/18).</w:t>
      </w:r>
    </w:p>
    <w:p w14:paraId="47C0823C" w14:textId="77777777" w:rsidR="00A045EF" w:rsidRPr="00694D6D" w:rsidRDefault="00A045EF" w:rsidP="00694D6D">
      <w:pPr>
        <w:pStyle w:val="ListParagraph"/>
        <w:numPr>
          <w:ilvl w:val="1"/>
          <w:numId w:val="7"/>
        </w:numPr>
        <w:spacing w:after="0" w:line="360" w:lineRule="auto"/>
        <w:ind w:left="567" w:hanging="567"/>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 xml:space="preserve">Developing and implementing strategies for financial </w:t>
      </w:r>
      <w:r w:rsidRPr="00694D6D">
        <w:rPr>
          <w:rFonts w:ascii="Times New Roman" w:eastAsia="Times New Roman" w:hAnsi="Times New Roman" w:cs="Times New Roman"/>
          <w:b/>
          <w:sz w:val="24"/>
          <w:szCs w:val="24"/>
          <w:u w:val="single"/>
          <w:lang w:val="en-GB"/>
        </w:rPr>
        <w:t>S</w:t>
      </w:r>
      <w:r w:rsidRPr="00694D6D">
        <w:rPr>
          <w:rFonts w:ascii="Times New Roman" w:eastAsia="Times New Roman" w:hAnsi="Times New Roman" w:cs="Times New Roman"/>
          <w:sz w:val="24"/>
          <w:szCs w:val="24"/>
          <w:lang w:val="en-GB"/>
        </w:rPr>
        <w:t>ustainability – achieved 1 of 2 performance targets, 50%.</w:t>
      </w:r>
    </w:p>
    <w:p w14:paraId="3F511AA1"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p>
    <w:p w14:paraId="25775C5F"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The overall performance of the HSRC for 2018/19 was 78%, achieving 18 of 23 performance targets (70% in 2017/18).</w:t>
      </w:r>
    </w:p>
    <w:p w14:paraId="6F1F5FBB"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p>
    <w:p w14:paraId="21A8841E"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The targets that were not achieved include:</w:t>
      </w:r>
    </w:p>
    <w:p w14:paraId="58E13E0D"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w:t>
      </w:r>
      <w:r w:rsidRPr="00694D6D">
        <w:rPr>
          <w:rFonts w:ascii="Times New Roman" w:eastAsia="Times New Roman" w:hAnsi="Times New Roman" w:cs="Times New Roman"/>
          <w:sz w:val="24"/>
          <w:szCs w:val="24"/>
          <w:lang w:val="en-GB"/>
        </w:rPr>
        <w:tab/>
        <w:t>Development – not achieving the number of African research fellows hosted at the HSRC.</w:t>
      </w:r>
    </w:p>
    <w:p w14:paraId="541659AE"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w:t>
      </w:r>
      <w:r w:rsidRPr="00694D6D">
        <w:rPr>
          <w:rFonts w:ascii="Times New Roman" w:eastAsia="Times New Roman" w:hAnsi="Times New Roman" w:cs="Times New Roman"/>
          <w:sz w:val="24"/>
          <w:szCs w:val="24"/>
          <w:lang w:val="en-GB"/>
        </w:rPr>
        <w:tab/>
        <w:t xml:space="preserve">Enhancing –the numbers of </w:t>
      </w:r>
      <w:r w:rsidR="00694D6D" w:rsidRPr="00694D6D">
        <w:rPr>
          <w:rFonts w:ascii="Times New Roman" w:eastAsia="Times New Roman" w:hAnsi="Times New Roman" w:cs="Times New Roman"/>
          <w:sz w:val="24"/>
          <w:szCs w:val="24"/>
          <w:lang w:val="en-GB"/>
        </w:rPr>
        <w:t>D</w:t>
      </w:r>
      <w:r w:rsidRPr="00694D6D">
        <w:rPr>
          <w:rFonts w:ascii="Times New Roman" w:eastAsia="Times New Roman" w:hAnsi="Times New Roman" w:cs="Times New Roman"/>
          <w:sz w:val="24"/>
          <w:szCs w:val="24"/>
          <w:lang w:val="en-GB"/>
        </w:rPr>
        <w:t>octoral students not completing their research internships.</w:t>
      </w:r>
    </w:p>
    <w:p w14:paraId="787B43B2"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w:t>
      </w:r>
      <w:r w:rsidRPr="00694D6D">
        <w:rPr>
          <w:rFonts w:ascii="Times New Roman" w:eastAsia="Times New Roman" w:hAnsi="Times New Roman" w:cs="Times New Roman"/>
          <w:sz w:val="24"/>
          <w:szCs w:val="24"/>
          <w:lang w:val="en-GB"/>
        </w:rPr>
        <w:tab/>
        <w:t>Transformation – not achieving the gender and race targets for senior researchers.</w:t>
      </w:r>
    </w:p>
    <w:p w14:paraId="2BE0FB8D"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w:t>
      </w:r>
      <w:r w:rsidRPr="00694D6D">
        <w:rPr>
          <w:rFonts w:ascii="Times New Roman" w:eastAsia="Times New Roman" w:hAnsi="Times New Roman" w:cs="Times New Roman"/>
          <w:sz w:val="24"/>
          <w:szCs w:val="24"/>
          <w:lang w:val="en-GB"/>
        </w:rPr>
        <w:tab/>
        <w:t>Sustainability – not securing the targeted percentage of contract income.</w:t>
      </w:r>
    </w:p>
    <w:p w14:paraId="711F1BAC"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p>
    <w:p w14:paraId="51759250"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In 2018/19, the HSRC received revenue from Parliament (R264.1 million), research revenue (R179.2 million) and other sources (R41.7 million)</w:t>
      </w:r>
      <w:r w:rsidR="00A55E16" w:rsidRPr="00694D6D">
        <w:rPr>
          <w:rFonts w:ascii="Times New Roman" w:eastAsia="Times New Roman" w:hAnsi="Times New Roman" w:cs="Times New Roman"/>
          <w:sz w:val="24"/>
          <w:szCs w:val="24"/>
          <w:lang w:val="en-GB"/>
        </w:rPr>
        <w:t xml:space="preserve"> that amounted to </w:t>
      </w:r>
      <w:r w:rsidRPr="00694D6D">
        <w:rPr>
          <w:rFonts w:ascii="Times New Roman" w:eastAsia="Times New Roman" w:hAnsi="Times New Roman" w:cs="Times New Roman"/>
          <w:sz w:val="24"/>
          <w:szCs w:val="24"/>
          <w:lang w:val="en-GB"/>
        </w:rPr>
        <w:t>R484.99 million (R555.7 million in 2017/18 and R459.5 million in 2016/17). The total expenditure was R485.6 million, which included R293.2 million (60%) for staff costs and R</w:t>
      </w:r>
      <w:r w:rsidR="00AE3C5F" w:rsidRPr="00694D6D">
        <w:rPr>
          <w:rFonts w:ascii="Times New Roman" w:eastAsia="Times New Roman" w:hAnsi="Times New Roman" w:cs="Times New Roman"/>
          <w:sz w:val="24"/>
          <w:szCs w:val="24"/>
          <w:lang w:val="en-GB"/>
        </w:rPr>
        <w:t>94</w:t>
      </w:r>
      <w:r w:rsidRPr="00694D6D">
        <w:rPr>
          <w:rFonts w:ascii="Times New Roman" w:eastAsia="Times New Roman" w:hAnsi="Times New Roman" w:cs="Times New Roman"/>
          <w:sz w:val="24"/>
          <w:szCs w:val="24"/>
          <w:lang w:val="en-GB"/>
        </w:rPr>
        <w:t xml:space="preserve"> million</w:t>
      </w:r>
      <w:r w:rsidR="00AE3C5F" w:rsidRPr="00694D6D">
        <w:rPr>
          <w:rFonts w:ascii="Times New Roman" w:eastAsia="Times New Roman" w:hAnsi="Times New Roman" w:cs="Times New Roman"/>
          <w:sz w:val="24"/>
          <w:szCs w:val="24"/>
          <w:lang w:val="en-GB"/>
        </w:rPr>
        <w:t xml:space="preserve"> (R175 million in 2017/18)</w:t>
      </w:r>
      <w:r w:rsidRPr="00694D6D">
        <w:rPr>
          <w:rFonts w:ascii="Times New Roman" w:eastAsia="Times New Roman" w:hAnsi="Times New Roman" w:cs="Times New Roman"/>
          <w:sz w:val="24"/>
          <w:szCs w:val="24"/>
          <w:lang w:val="en-GB"/>
        </w:rPr>
        <w:t xml:space="preserve"> for research costs. The HSRC recorded a deficit of R552 000.</w:t>
      </w:r>
    </w:p>
    <w:p w14:paraId="267AF895"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p>
    <w:p w14:paraId="569F26B9"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The current financial model of the HSRC has a strong dependence on external funding to support research and the broader mandate of the HSRC. The Parliamentary grant funding received is mainly used to cover core institutional costs, notably salary costs of critical staff. According to current projections, the HSRC will have to secure a greater proportion of its operating budget from external sources if it is to continue providing the quality and scale of research</w:t>
      </w:r>
      <w:r w:rsidR="00330745" w:rsidRPr="00694D6D">
        <w:rPr>
          <w:rFonts w:ascii="Times New Roman" w:eastAsia="Times New Roman" w:hAnsi="Times New Roman" w:cs="Times New Roman"/>
          <w:sz w:val="24"/>
          <w:szCs w:val="24"/>
          <w:lang w:val="en-GB"/>
        </w:rPr>
        <w:t>,</w:t>
      </w:r>
      <w:r w:rsidRPr="00694D6D">
        <w:rPr>
          <w:rFonts w:ascii="Times New Roman" w:eastAsia="Times New Roman" w:hAnsi="Times New Roman" w:cs="Times New Roman"/>
          <w:sz w:val="24"/>
          <w:szCs w:val="24"/>
          <w:lang w:val="en-GB"/>
        </w:rPr>
        <w:t xml:space="preserve"> which is essential for addressing the problems of poverty and inequality.</w:t>
      </w:r>
    </w:p>
    <w:p w14:paraId="329D62B2"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p>
    <w:p w14:paraId="5AE0182F"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 xml:space="preserve">The HSRC incurred irregular expenditure of R1.1 million due to procurement that was not made in accordance with applicable legislation. The total amount of irregular expenditure awaiting condonement </w:t>
      </w:r>
      <w:r w:rsidR="00A55E16" w:rsidRPr="00694D6D">
        <w:rPr>
          <w:rFonts w:ascii="Times New Roman" w:eastAsia="Times New Roman" w:hAnsi="Times New Roman" w:cs="Times New Roman"/>
          <w:sz w:val="24"/>
          <w:szCs w:val="24"/>
          <w:lang w:val="en-GB"/>
        </w:rPr>
        <w:t>was</w:t>
      </w:r>
      <w:r w:rsidRPr="00694D6D">
        <w:rPr>
          <w:rFonts w:ascii="Times New Roman" w:eastAsia="Times New Roman" w:hAnsi="Times New Roman" w:cs="Times New Roman"/>
          <w:sz w:val="24"/>
          <w:szCs w:val="24"/>
          <w:lang w:val="en-GB"/>
        </w:rPr>
        <w:t xml:space="preserve"> R1.3 million. The HSRC also incurred fruitless and wasteful expenditure of R193 000 due to overpayme</w:t>
      </w:r>
      <w:r w:rsidR="00A55E16" w:rsidRPr="00694D6D">
        <w:rPr>
          <w:rFonts w:ascii="Times New Roman" w:eastAsia="Times New Roman" w:hAnsi="Times New Roman" w:cs="Times New Roman"/>
          <w:sz w:val="24"/>
          <w:szCs w:val="24"/>
          <w:lang w:val="en-GB"/>
        </w:rPr>
        <w:t>nts to staff and interest fees.</w:t>
      </w:r>
    </w:p>
    <w:p w14:paraId="620CB4E3" w14:textId="77777777" w:rsidR="00A55E16" w:rsidRPr="00694D6D" w:rsidRDefault="00A55E16" w:rsidP="00694D6D">
      <w:pPr>
        <w:spacing w:after="0" w:line="360" w:lineRule="auto"/>
        <w:jc w:val="both"/>
        <w:rPr>
          <w:rFonts w:ascii="Times New Roman" w:eastAsia="Times New Roman" w:hAnsi="Times New Roman" w:cs="Times New Roman"/>
          <w:sz w:val="24"/>
          <w:szCs w:val="24"/>
          <w:lang w:val="en-GB"/>
        </w:rPr>
      </w:pPr>
    </w:p>
    <w:p w14:paraId="1C84654C"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 xml:space="preserve">The </w:t>
      </w:r>
      <w:r w:rsidR="00F76015" w:rsidRPr="00694D6D">
        <w:rPr>
          <w:rFonts w:ascii="Times New Roman" w:eastAsia="Times New Roman" w:hAnsi="Times New Roman" w:cs="Times New Roman"/>
          <w:sz w:val="24"/>
          <w:szCs w:val="24"/>
          <w:lang w:val="en-GB"/>
        </w:rPr>
        <w:t>AGSA</w:t>
      </w:r>
      <w:r w:rsidRPr="00694D6D">
        <w:rPr>
          <w:rFonts w:ascii="Times New Roman" w:eastAsia="Times New Roman" w:hAnsi="Times New Roman" w:cs="Times New Roman"/>
          <w:sz w:val="24"/>
          <w:szCs w:val="24"/>
          <w:lang w:val="en-GB"/>
        </w:rPr>
        <w:t xml:space="preserve"> awarded the HSRC an unqualified audit opinion with findings due to material non-compliance by not preventing irregular expenditure. This is a regression from the clean audit awarded in 2017/18.</w:t>
      </w:r>
    </w:p>
    <w:p w14:paraId="1E2EDF9D"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p>
    <w:p w14:paraId="07455D0F" w14:textId="77777777" w:rsidR="000209C6" w:rsidRPr="00694D6D" w:rsidRDefault="000209C6" w:rsidP="00694D6D">
      <w:pPr>
        <w:pStyle w:val="ListParagraph"/>
        <w:numPr>
          <w:ilvl w:val="1"/>
          <w:numId w:val="1"/>
        </w:numPr>
        <w:spacing w:after="0" w:line="360" w:lineRule="auto"/>
        <w:ind w:left="567" w:hanging="567"/>
        <w:jc w:val="both"/>
        <w:rPr>
          <w:rFonts w:ascii="Times New Roman" w:eastAsia="Times New Roman" w:hAnsi="Times New Roman" w:cs="Times New Roman"/>
          <w:b/>
          <w:sz w:val="24"/>
          <w:szCs w:val="24"/>
          <w:lang w:val="en-GB"/>
        </w:rPr>
      </w:pPr>
      <w:r w:rsidRPr="00694D6D">
        <w:rPr>
          <w:rFonts w:ascii="Times New Roman" w:eastAsia="Times New Roman" w:hAnsi="Times New Roman" w:cs="Times New Roman"/>
          <w:b/>
          <w:sz w:val="24"/>
          <w:szCs w:val="24"/>
          <w:lang w:val="en-GB"/>
        </w:rPr>
        <w:t>Technology Innovation Agency</w:t>
      </w:r>
    </w:p>
    <w:p w14:paraId="0B0FC5D2"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p>
    <w:p w14:paraId="7724B3B2" w14:textId="77777777" w:rsidR="00A045EF" w:rsidRPr="00694D6D" w:rsidRDefault="001E6065" w:rsidP="00694D6D">
      <w:pPr>
        <w:spacing w:after="0" w:line="360" w:lineRule="auto"/>
        <w:jc w:val="both"/>
        <w:rPr>
          <w:rFonts w:ascii="Times New Roman" w:eastAsia="Times New Roman" w:hAnsi="Times New Roman" w:cs="Times New Roman"/>
          <w:sz w:val="24"/>
          <w:szCs w:val="24"/>
          <w:lang w:val="en-GB"/>
        </w:rPr>
      </w:pPr>
      <w:r w:rsidRPr="00694D6D">
        <w:rPr>
          <w:rFonts w:ascii="Times New Roman" w:eastAsia="Times New Roman" w:hAnsi="Times New Roman" w:cs="Times New Roman"/>
          <w:sz w:val="24"/>
          <w:szCs w:val="24"/>
          <w:lang w:val="en-GB"/>
        </w:rPr>
        <w:t>The TIA presented its 2018/19 Annual Report as tabled in Parliament. However, the Committee had serious reservations about the TIA report and found the report and presentation to be incomplete and misleading, because it excluded information about the former Chief Executive Officer (CEO) and the circumstances under which the CEO had left the organisation. It further excluded appendices referred to in the report. The Committee was also concerned that the Chairperson of the Board was absent from the meeting since he does not reside in South Africa.</w:t>
      </w:r>
    </w:p>
    <w:p w14:paraId="560EAC86" w14:textId="77777777" w:rsidR="00A045EF" w:rsidRPr="00694D6D" w:rsidRDefault="00A045EF" w:rsidP="00694D6D">
      <w:pPr>
        <w:spacing w:after="0" w:line="360" w:lineRule="auto"/>
        <w:jc w:val="both"/>
        <w:rPr>
          <w:rFonts w:ascii="Times New Roman" w:eastAsia="Times New Roman" w:hAnsi="Times New Roman" w:cs="Times New Roman"/>
          <w:sz w:val="24"/>
          <w:szCs w:val="24"/>
          <w:lang w:val="en-GB"/>
        </w:rPr>
      </w:pPr>
    </w:p>
    <w:p w14:paraId="0BFD6A13" w14:textId="77777777" w:rsidR="003D3A61" w:rsidRPr="00694D6D" w:rsidRDefault="003D3A61" w:rsidP="00694D6D">
      <w:pPr>
        <w:pStyle w:val="ListParagraph"/>
        <w:numPr>
          <w:ilvl w:val="0"/>
          <w:numId w:val="1"/>
        </w:numPr>
        <w:spacing w:after="0" w:line="360" w:lineRule="auto"/>
        <w:ind w:left="0" w:firstLine="0"/>
        <w:jc w:val="both"/>
        <w:rPr>
          <w:rFonts w:ascii="Times New Roman" w:hAnsi="Times New Roman" w:cs="Times New Roman"/>
          <w:b/>
          <w:caps/>
          <w:sz w:val="24"/>
          <w:szCs w:val="24"/>
          <w:lang w:val="en-GB"/>
        </w:rPr>
      </w:pPr>
      <w:r w:rsidRPr="00694D6D">
        <w:rPr>
          <w:rFonts w:ascii="Times New Roman" w:hAnsi="Times New Roman" w:cs="Times New Roman"/>
          <w:b/>
          <w:caps/>
          <w:sz w:val="24"/>
          <w:szCs w:val="24"/>
          <w:lang w:val="en-GB"/>
        </w:rPr>
        <w:t>Finance and Service delivery performance assessment</w:t>
      </w:r>
    </w:p>
    <w:p w14:paraId="13DB02C4" w14:textId="77777777" w:rsidR="003D3A61" w:rsidRPr="00694D6D" w:rsidRDefault="003D3A61" w:rsidP="00694D6D">
      <w:pPr>
        <w:spacing w:after="0" w:line="360" w:lineRule="auto"/>
        <w:jc w:val="both"/>
        <w:rPr>
          <w:rFonts w:ascii="Times New Roman" w:hAnsi="Times New Roman" w:cs="Times New Roman"/>
          <w:b/>
          <w:sz w:val="24"/>
          <w:szCs w:val="24"/>
          <w:u w:val="single"/>
          <w:lang w:val="en-GB"/>
        </w:rPr>
      </w:pPr>
    </w:p>
    <w:p w14:paraId="5405E4F4" w14:textId="77777777" w:rsidR="00BB5357" w:rsidRPr="00694D6D" w:rsidRDefault="006406F3" w:rsidP="00694D6D">
      <w:pPr>
        <w:spacing w:after="0" w:line="360" w:lineRule="auto"/>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T</w:t>
      </w:r>
      <w:r w:rsidR="00B41AA9" w:rsidRPr="00694D6D">
        <w:rPr>
          <w:rFonts w:ascii="Times New Roman" w:hAnsi="Times New Roman" w:cs="Times New Roman"/>
          <w:sz w:val="24"/>
          <w:szCs w:val="24"/>
          <w:lang w:val="en-GB"/>
        </w:rPr>
        <w:t xml:space="preserve">he </w:t>
      </w:r>
      <w:r w:rsidR="003D3A61" w:rsidRPr="00694D6D">
        <w:rPr>
          <w:rFonts w:ascii="Times New Roman" w:hAnsi="Times New Roman" w:cs="Times New Roman"/>
          <w:sz w:val="24"/>
          <w:szCs w:val="24"/>
          <w:lang w:val="en-GB"/>
        </w:rPr>
        <w:t xml:space="preserve">Department has consistently demonstrated that it can spend, to a </w:t>
      </w:r>
      <w:r w:rsidR="008059E0" w:rsidRPr="00694D6D">
        <w:rPr>
          <w:rFonts w:ascii="Times New Roman" w:hAnsi="Times New Roman" w:cs="Times New Roman"/>
          <w:sz w:val="24"/>
          <w:szCs w:val="24"/>
          <w:lang w:val="en-GB"/>
        </w:rPr>
        <w:t>significant</w:t>
      </w:r>
      <w:r w:rsidR="003D3A61" w:rsidRPr="00694D6D">
        <w:rPr>
          <w:rFonts w:ascii="Times New Roman" w:hAnsi="Times New Roman" w:cs="Times New Roman"/>
          <w:sz w:val="24"/>
          <w:szCs w:val="24"/>
          <w:lang w:val="en-GB"/>
        </w:rPr>
        <w:t xml:space="preserve"> degree, its budget allocation according to spending targets</w:t>
      </w:r>
      <w:r w:rsidR="00AA21A9" w:rsidRPr="00694D6D">
        <w:rPr>
          <w:rFonts w:ascii="Times New Roman" w:hAnsi="Times New Roman" w:cs="Times New Roman"/>
          <w:sz w:val="24"/>
          <w:szCs w:val="24"/>
          <w:lang w:val="en-GB"/>
        </w:rPr>
        <w:t xml:space="preserve">, and that it has taken the necessary steps to ensure that the same progress is made with achieving its performance targets. </w:t>
      </w:r>
      <w:r w:rsidR="00B50EEB" w:rsidRPr="00694D6D">
        <w:rPr>
          <w:rFonts w:ascii="Times New Roman" w:hAnsi="Times New Roman" w:cs="Times New Roman"/>
          <w:sz w:val="24"/>
          <w:szCs w:val="24"/>
          <w:lang w:val="en-GB"/>
        </w:rPr>
        <w:t>For the</w:t>
      </w:r>
      <w:r w:rsidR="00D67FA8" w:rsidRPr="00694D6D">
        <w:rPr>
          <w:rFonts w:ascii="Times New Roman" w:hAnsi="Times New Roman" w:cs="Times New Roman"/>
          <w:sz w:val="24"/>
          <w:szCs w:val="24"/>
          <w:lang w:val="en-GB"/>
        </w:rPr>
        <w:t xml:space="preserve"> </w:t>
      </w:r>
      <w:r w:rsidR="00E34B4F" w:rsidRPr="00694D6D">
        <w:rPr>
          <w:rFonts w:ascii="Times New Roman" w:hAnsi="Times New Roman" w:cs="Times New Roman"/>
          <w:sz w:val="24"/>
          <w:szCs w:val="24"/>
          <w:lang w:val="en-GB"/>
        </w:rPr>
        <w:t>2018/19</w:t>
      </w:r>
      <w:r w:rsidR="00746435" w:rsidRPr="00694D6D">
        <w:rPr>
          <w:rFonts w:ascii="Times New Roman" w:hAnsi="Times New Roman" w:cs="Times New Roman"/>
          <w:sz w:val="24"/>
          <w:szCs w:val="24"/>
          <w:lang w:val="en-GB"/>
        </w:rPr>
        <w:t xml:space="preserve"> financial year, the Department’s budget allocation declined in real terms by </w:t>
      </w:r>
      <w:r w:rsidR="008E1414" w:rsidRPr="00694D6D">
        <w:rPr>
          <w:rFonts w:ascii="Times New Roman" w:hAnsi="Times New Roman" w:cs="Times New Roman"/>
          <w:sz w:val="24"/>
          <w:szCs w:val="24"/>
          <w:lang w:val="en-GB"/>
        </w:rPr>
        <w:t>2</w:t>
      </w:r>
      <w:r w:rsidR="00746435" w:rsidRPr="00694D6D">
        <w:rPr>
          <w:rFonts w:ascii="Times New Roman" w:hAnsi="Times New Roman" w:cs="Times New Roman"/>
          <w:sz w:val="24"/>
          <w:szCs w:val="24"/>
          <w:lang w:val="en-GB"/>
        </w:rPr>
        <w:t>.3%</w:t>
      </w:r>
      <w:r w:rsidR="00BB5357" w:rsidRPr="00694D6D">
        <w:rPr>
          <w:rFonts w:ascii="Times New Roman" w:hAnsi="Times New Roman" w:cs="Times New Roman"/>
          <w:sz w:val="24"/>
          <w:szCs w:val="24"/>
          <w:lang w:val="en-GB"/>
        </w:rPr>
        <w:t>,</w:t>
      </w:r>
      <w:r w:rsidR="00746435" w:rsidRPr="00694D6D">
        <w:rPr>
          <w:rFonts w:ascii="Times New Roman" w:hAnsi="Times New Roman" w:cs="Times New Roman"/>
          <w:sz w:val="24"/>
          <w:szCs w:val="24"/>
          <w:lang w:val="en-GB"/>
        </w:rPr>
        <w:t xml:space="preserve"> it </w:t>
      </w:r>
      <w:r w:rsidR="00D67FA8" w:rsidRPr="00694D6D">
        <w:rPr>
          <w:rFonts w:ascii="Times New Roman" w:hAnsi="Times New Roman" w:cs="Times New Roman"/>
          <w:sz w:val="24"/>
          <w:szCs w:val="24"/>
          <w:lang w:val="en-GB"/>
        </w:rPr>
        <w:t>spent 99.</w:t>
      </w:r>
      <w:r w:rsidR="008E1414" w:rsidRPr="00694D6D">
        <w:rPr>
          <w:rFonts w:ascii="Times New Roman" w:hAnsi="Times New Roman" w:cs="Times New Roman"/>
          <w:sz w:val="24"/>
          <w:szCs w:val="24"/>
          <w:lang w:val="en-GB"/>
        </w:rPr>
        <w:t>2</w:t>
      </w:r>
      <w:r w:rsidR="00D67FA8" w:rsidRPr="00694D6D">
        <w:rPr>
          <w:rFonts w:ascii="Times New Roman" w:hAnsi="Times New Roman" w:cs="Times New Roman"/>
          <w:sz w:val="24"/>
          <w:szCs w:val="24"/>
          <w:lang w:val="en-GB"/>
        </w:rPr>
        <w:t>% of its budget and achieved 8</w:t>
      </w:r>
      <w:r w:rsidR="008E1414" w:rsidRPr="00694D6D">
        <w:rPr>
          <w:rFonts w:ascii="Times New Roman" w:hAnsi="Times New Roman" w:cs="Times New Roman"/>
          <w:sz w:val="24"/>
          <w:szCs w:val="24"/>
          <w:lang w:val="en-GB"/>
        </w:rPr>
        <w:t>9% (8</w:t>
      </w:r>
      <w:r w:rsidRPr="00694D6D">
        <w:rPr>
          <w:rFonts w:ascii="Times New Roman" w:hAnsi="Times New Roman" w:cs="Times New Roman"/>
          <w:sz w:val="24"/>
          <w:szCs w:val="24"/>
          <w:lang w:val="en-GB"/>
        </w:rPr>
        <w:t>4</w:t>
      </w:r>
      <w:r w:rsidR="00D67FA8" w:rsidRPr="00694D6D">
        <w:rPr>
          <w:rFonts w:ascii="Times New Roman" w:hAnsi="Times New Roman" w:cs="Times New Roman"/>
          <w:sz w:val="24"/>
          <w:szCs w:val="24"/>
          <w:lang w:val="en-GB"/>
        </w:rPr>
        <w:t>%</w:t>
      </w:r>
      <w:r w:rsidR="008E1414" w:rsidRPr="00694D6D">
        <w:rPr>
          <w:rFonts w:ascii="Times New Roman" w:hAnsi="Times New Roman" w:cs="Times New Roman"/>
          <w:sz w:val="24"/>
          <w:szCs w:val="24"/>
          <w:lang w:val="en-GB"/>
        </w:rPr>
        <w:t xml:space="preserve"> in 2017/18</w:t>
      </w:r>
      <w:r w:rsidR="000351FD" w:rsidRPr="00694D6D">
        <w:rPr>
          <w:rFonts w:ascii="Times New Roman" w:hAnsi="Times New Roman" w:cs="Times New Roman"/>
          <w:sz w:val="24"/>
          <w:szCs w:val="24"/>
          <w:lang w:val="en-GB"/>
        </w:rPr>
        <w:t xml:space="preserve">) </w:t>
      </w:r>
      <w:r w:rsidR="00D67FA8" w:rsidRPr="00694D6D">
        <w:rPr>
          <w:rFonts w:ascii="Times New Roman" w:hAnsi="Times New Roman" w:cs="Times New Roman"/>
          <w:sz w:val="24"/>
          <w:szCs w:val="24"/>
          <w:lang w:val="en-GB"/>
        </w:rPr>
        <w:t>of its performance targets</w:t>
      </w:r>
      <w:r w:rsidR="002829CC" w:rsidRPr="00694D6D">
        <w:rPr>
          <w:rFonts w:ascii="Times New Roman" w:hAnsi="Times New Roman" w:cs="Times New Roman"/>
          <w:sz w:val="24"/>
          <w:szCs w:val="24"/>
          <w:lang w:val="en-GB"/>
        </w:rPr>
        <w:t>, which is an improvement on its performance and financial expenditure of 2017/18</w:t>
      </w:r>
      <w:r w:rsidR="00D67FA8" w:rsidRPr="00694D6D">
        <w:rPr>
          <w:rFonts w:ascii="Times New Roman" w:hAnsi="Times New Roman" w:cs="Times New Roman"/>
          <w:sz w:val="24"/>
          <w:szCs w:val="24"/>
          <w:lang w:val="en-GB"/>
        </w:rPr>
        <w:t>.</w:t>
      </w:r>
      <w:r w:rsidR="009D294B" w:rsidRPr="00694D6D">
        <w:rPr>
          <w:rFonts w:ascii="Times New Roman" w:hAnsi="Times New Roman" w:cs="Times New Roman"/>
          <w:sz w:val="24"/>
          <w:szCs w:val="24"/>
          <w:lang w:val="en-GB"/>
        </w:rPr>
        <w:t xml:space="preserve"> </w:t>
      </w:r>
      <w:r w:rsidR="00A056CA" w:rsidRPr="00694D6D">
        <w:rPr>
          <w:rFonts w:ascii="Times New Roman" w:hAnsi="Times New Roman" w:cs="Times New Roman"/>
          <w:sz w:val="24"/>
          <w:szCs w:val="24"/>
          <w:lang w:val="en-GB"/>
        </w:rPr>
        <w:t>A recurring issue for the Department is that</w:t>
      </w:r>
      <w:r w:rsidR="00BB5357" w:rsidRPr="00694D6D">
        <w:rPr>
          <w:rFonts w:ascii="Times New Roman" w:hAnsi="Times New Roman" w:cs="Times New Roman"/>
          <w:sz w:val="24"/>
          <w:szCs w:val="24"/>
          <w:lang w:val="en-GB"/>
        </w:rPr>
        <w:t xml:space="preserve"> </w:t>
      </w:r>
      <w:r w:rsidR="0060620D" w:rsidRPr="00694D6D">
        <w:rPr>
          <w:rFonts w:ascii="Times New Roman" w:hAnsi="Times New Roman" w:cs="Times New Roman"/>
          <w:sz w:val="24"/>
          <w:szCs w:val="24"/>
          <w:lang w:val="en-GB"/>
        </w:rPr>
        <w:t xml:space="preserve">due to </w:t>
      </w:r>
      <w:r w:rsidR="002829CC" w:rsidRPr="00694D6D">
        <w:rPr>
          <w:rFonts w:ascii="Times New Roman" w:hAnsi="Times New Roman" w:cs="Times New Roman"/>
          <w:sz w:val="24"/>
          <w:szCs w:val="24"/>
          <w:lang w:val="en-GB"/>
        </w:rPr>
        <w:t xml:space="preserve">ongoing </w:t>
      </w:r>
      <w:r w:rsidR="0060620D" w:rsidRPr="00694D6D">
        <w:rPr>
          <w:rFonts w:ascii="Times New Roman" w:hAnsi="Times New Roman" w:cs="Times New Roman"/>
          <w:sz w:val="24"/>
          <w:szCs w:val="24"/>
          <w:lang w:val="en-GB"/>
        </w:rPr>
        <w:t>capacity constraints (i.e. technical expertise and numbers of staff)</w:t>
      </w:r>
      <w:r w:rsidR="00A056CA" w:rsidRPr="00694D6D">
        <w:rPr>
          <w:rFonts w:ascii="Times New Roman" w:hAnsi="Times New Roman" w:cs="Times New Roman"/>
          <w:sz w:val="24"/>
          <w:szCs w:val="24"/>
          <w:lang w:val="en-GB"/>
        </w:rPr>
        <w:t xml:space="preserve"> it </w:t>
      </w:r>
      <w:r w:rsidR="008E1414" w:rsidRPr="00694D6D">
        <w:rPr>
          <w:rFonts w:ascii="Times New Roman" w:hAnsi="Times New Roman" w:cs="Times New Roman"/>
          <w:sz w:val="24"/>
          <w:szCs w:val="24"/>
          <w:lang w:val="en-GB"/>
        </w:rPr>
        <w:t>continues to not</w:t>
      </w:r>
      <w:r w:rsidR="00A056CA" w:rsidRPr="00694D6D">
        <w:rPr>
          <w:rFonts w:ascii="Times New Roman" w:hAnsi="Times New Roman" w:cs="Times New Roman"/>
          <w:sz w:val="24"/>
          <w:szCs w:val="24"/>
          <w:lang w:val="en-GB"/>
        </w:rPr>
        <w:t xml:space="preserve"> meet the targets set for administering the R&amp;D Tax Incen</w:t>
      </w:r>
      <w:r w:rsidR="0060620D" w:rsidRPr="00694D6D">
        <w:rPr>
          <w:rFonts w:ascii="Times New Roman" w:hAnsi="Times New Roman" w:cs="Times New Roman"/>
          <w:sz w:val="24"/>
          <w:szCs w:val="24"/>
          <w:lang w:val="en-GB"/>
        </w:rPr>
        <w:t>tive.</w:t>
      </w:r>
      <w:r w:rsidR="003820D3" w:rsidRPr="00694D6D">
        <w:rPr>
          <w:rFonts w:ascii="Times New Roman" w:hAnsi="Times New Roman" w:cs="Times New Roman"/>
          <w:sz w:val="24"/>
          <w:szCs w:val="24"/>
          <w:lang w:val="en-GB"/>
        </w:rPr>
        <w:t xml:space="preserve"> </w:t>
      </w:r>
      <w:r w:rsidR="002829CC" w:rsidRPr="00694D6D">
        <w:rPr>
          <w:rFonts w:ascii="Times New Roman" w:hAnsi="Times New Roman" w:cs="Times New Roman"/>
          <w:sz w:val="24"/>
          <w:szCs w:val="24"/>
          <w:lang w:val="en-GB"/>
        </w:rPr>
        <w:t xml:space="preserve">The CSIR, NRF and HSRC achieved </w:t>
      </w:r>
      <w:r w:rsidR="00413A25" w:rsidRPr="00694D6D">
        <w:rPr>
          <w:rFonts w:ascii="Times New Roman" w:hAnsi="Times New Roman" w:cs="Times New Roman"/>
          <w:sz w:val="24"/>
          <w:szCs w:val="24"/>
          <w:lang w:val="en-GB"/>
        </w:rPr>
        <w:t>68%, 62% and 78% of their performance targets, respectively, which is an improvement on the performance achieved during 2017/18</w:t>
      </w:r>
      <w:r w:rsidR="00643220" w:rsidRPr="00694D6D">
        <w:rPr>
          <w:rFonts w:ascii="Times New Roman" w:hAnsi="Times New Roman" w:cs="Times New Roman"/>
          <w:sz w:val="24"/>
          <w:szCs w:val="24"/>
          <w:lang w:val="en-GB"/>
        </w:rPr>
        <w:t xml:space="preserve"> by the CSIR and HSRC.</w:t>
      </w:r>
    </w:p>
    <w:p w14:paraId="012D56FC" w14:textId="77777777" w:rsidR="00BB5357" w:rsidRPr="00694D6D" w:rsidRDefault="00BB5357" w:rsidP="00694D6D">
      <w:pPr>
        <w:spacing w:after="0" w:line="360" w:lineRule="auto"/>
        <w:jc w:val="both"/>
        <w:rPr>
          <w:rFonts w:ascii="Times New Roman" w:hAnsi="Times New Roman" w:cs="Times New Roman"/>
          <w:sz w:val="24"/>
          <w:szCs w:val="24"/>
          <w:lang w:val="en-GB"/>
        </w:rPr>
      </w:pPr>
    </w:p>
    <w:p w14:paraId="436EBC11" w14:textId="77777777" w:rsidR="00EF71E1" w:rsidRPr="00694D6D" w:rsidRDefault="00213E1A" w:rsidP="00694D6D">
      <w:pPr>
        <w:spacing w:after="0" w:line="360" w:lineRule="auto"/>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 xml:space="preserve">The Department and the entities </w:t>
      </w:r>
      <w:r w:rsidR="00113E27" w:rsidRPr="00694D6D">
        <w:rPr>
          <w:rFonts w:ascii="Times New Roman" w:hAnsi="Times New Roman" w:cs="Times New Roman"/>
          <w:sz w:val="24"/>
          <w:szCs w:val="24"/>
          <w:lang w:val="en-GB"/>
        </w:rPr>
        <w:t xml:space="preserve">have </w:t>
      </w:r>
      <w:r w:rsidR="000D4B23" w:rsidRPr="00694D6D">
        <w:rPr>
          <w:rFonts w:ascii="Times New Roman" w:hAnsi="Times New Roman" w:cs="Times New Roman"/>
          <w:sz w:val="24"/>
          <w:szCs w:val="24"/>
          <w:lang w:val="en-GB"/>
        </w:rPr>
        <w:t xml:space="preserve">also </w:t>
      </w:r>
      <w:r w:rsidR="0098442F" w:rsidRPr="00694D6D">
        <w:rPr>
          <w:rFonts w:ascii="Times New Roman" w:hAnsi="Times New Roman" w:cs="Times New Roman"/>
          <w:sz w:val="24"/>
          <w:szCs w:val="24"/>
          <w:lang w:val="en-GB"/>
        </w:rPr>
        <w:t>continued their efforts</w:t>
      </w:r>
      <w:r w:rsidR="00113E27" w:rsidRPr="00694D6D">
        <w:rPr>
          <w:rFonts w:ascii="Times New Roman" w:hAnsi="Times New Roman" w:cs="Times New Roman"/>
          <w:sz w:val="24"/>
          <w:szCs w:val="24"/>
          <w:lang w:val="en-GB"/>
        </w:rPr>
        <w:t xml:space="preserve"> to en</w:t>
      </w:r>
      <w:r w:rsidR="0098442F" w:rsidRPr="00694D6D">
        <w:rPr>
          <w:rFonts w:ascii="Times New Roman" w:hAnsi="Times New Roman" w:cs="Times New Roman"/>
          <w:sz w:val="24"/>
          <w:szCs w:val="24"/>
          <w:lang w:val="en-GB"/>
        </w:rPr>
        <w:t xml:space="preserve">sure that operational costs are kept within acceptable margins so </w:t>
      </w:r>
      <w:r w:rsidR="00113E27" w:rsidRPr="00694D6D">
        <w:rPr>
          <w:rFonts w:ascii="Times New Roman" w:hAnsi="Times New Roman" w:cs="Times New Roman"/>
          <w:sz w:val="24"/>
          <w:szCs w:val="24"/>
          <w:lang w:val="en-GB"/>
        </w:rPr>
        <w:t>that the bulk of the publicly allocated and externally sourced funds are used to fulfil core mandates.</w:t>
      </w:r>
      <w:r w:rsidR="006406F3" w:rsidRPr="00694D6D">
        <w:rPr>
          <w:rFonts w:ascii="Times New Roman" w:hAnsi="Times New Roman" w:cs="Times New Roman"/>
          <w:sz w:val="24"/>
          <w:szCs w:val="24"/>
          <w:lang w:val="en-GB"/>
        </w:rPr>
        <w:t xml:space="preserve"> </w:t>
      </w:r>
      <w:r w:rsidR="00EF71E1" w:rsidRPr="00694D6D">
        <w:rPr>
          <w:rFonts w:ascii="Times New Roman" w:hAnsi="Times New Roman" w:cs="Times New Roman"/>
          <w:sz w:val="24"/>
          <w:szCs w:val="24"/>
          <w:lang w:val="en-GB"/>
        </w:rPr>
        <w:t>In this regard, t</w:t>
      </w:r>
      <w:r w:rsidR="00911FB1" w:rsidRPr="00694D6D">
        <w:rPr>
          <w:rFonts w:ascii="Times New Roman" w:hAnsi="Times New Roman" w:cs="Times New Roman"/>
          <w:sz w:val="24"/>
          <w:szCs w:val="24"/>
          <w:lang w:val="en-GB"/>
        </w:rPr>
        <w:t>he Department</w:t>
      </w:r>
      <w:r w:rsidR="007571E6" w:rsidRPr="00694D6D">
        <w:rPr>
          <w:rFonts w:ascii="Times New Roman" w:hAnsi="Times New Roman" w:cs="Times New Roman"/>
          <w:sz w:val="24"/>
          <w:szCs w:val="24"/>
          <w:lang w:val="en-GB"/>
        </w:rPr>
        <w:t xml:space="preserve"> continued to execute its operations with 8% of the total budget allocated to it.</w:t>
      </w:r>
      <w:r w:rsidR="00911FB1" w:rsidRPr="00694D6D">
        <w:rPr>
          <w:rFonts w:ascii="Times New Roman" w:hAnsi="Times New Roman" w:cs="Times New Roman"/>
          <w:sz w:val="24"/>
          <w:szCs w:val="24"/>
          <w:lang w:val="en-GB"/>
        </w:rPr>
        <w:t xml:space="preserve"> </w:t>
      </w:r>
      <w:r w:rsidR="007571E6" w:rsidRPr="00694D6D">
        <w:rPr>
          <w:rFonts w:ascii="Times New Roman" w:hAnsi="Times New Roman" w:cs="Times New Roman"/>
          <w:sz w:val="24"/>
          <w:szCs w:val="24"/>
          <w:lang w:val="en-GB"/>
        </w:rPr>
        <w:t>The CSIR</w:t>
      </w:r>
      <w:r w:rsidR="00EF71E1" w:rsidRPr="00694D6D">
        <w:rPr>
          <w:rFonts w:ascii="Times New Roman" w:hAnsi="Times New Roman" w:cs="Times New Roman"/>
          <w:sz w:val="24"/>
          <w:szCs w:val="24"/>
          <w:lang w:val="en-GB"/>
        </w:rPr>
        <w:t>, NRF and HSRC spent 35%, 37% and 20%, respectively, of their total income on operations. The CSIR and HSRC, due to their mandate to conduct research and provide evidence-based policy advice, respectively spent 62% and 60% of their total income on salaries.</w:t>
      </w:r>
      <w:r w:rsidR="00687211" w:rsidRPr="00694D6D">
        <w:rPr>
          <w:rFonts w:ascii="Times New Roman" w:hAnsi="Times New Roman" w:cs="Times New Roman"/>
          <w:sz w:val="24"/>
          <w:szCs w:val="24"/>
          <w:lang w:val="en-GB"/>
        </w:rPr>
        <w:t xml:space="preserve"> However, after successive years of budget cuts and below inflation increases in the Parliamentary grant, the Department and its entities are increasingly compelled to find additional forms of funding. Furthermore, due to the weak state of the economy, the external funding the entities rely on to execute their functions has also declined; and increasingly, public entities are finding that they have to compete with the private sector for Government contracts to ensure financial sustainability.</w:t>
      </w:r>
    </w:p>
    <w:p w14:paraId="0A31ACB3" w14:textId="77777777" w:rsidR="004F4712" w:rsidRPr="00694D6D" w:rsidRDefault="004F4712" w:rsidP="00694D6D">
      <w:pPr>
        <w:spacing w:after="0" w:line="360" w:lineRule="auto"/>
        <w:jc w:val="both"/>
        <w:rPr>
          <w:rFonts w:ascii="Times New Roman" w:hAnsi="Times New Roman" w:cs="Times New Roman"/>
          <w:sz w:val="24"/>
          <w:szCs w:val="24"/>
          <w:lang w:val="en-GB"/>
        </w:rPr>
      </w:pPr>
    </w:p>
    <w:p w14:paraId="2EBB09C6" w14:textId="77777777" w:rsidR="004F4712" w:rsidRPr="00694D6D" w:rsidRDefault="004F4712" w:rsidP="00694D6D">
      <w:pPr>
        <w:spacing w:after="0" w:line="360" w:lineRule="auto"/>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 xml:space="preserve">The </w:t>
      </w:r>
      <w:r w:rsidR="00F76015" w:rsidRPr="00694D6D">
        <w:rPr>
          <w:rFonts w:ascii="Times New Roman" w:hAnsi="Times New Roman" w:cs="Times New Roman"/>
          <w:sz w:val="24"/>
          <w:szCs w:val="24"/>
          <w:lang w:val="en-GB"/>
        </w:rPr>
        <w:t>AGSA</w:t>
      </w:r>
      <w:r w:rsidRPr="00694D6D">
        <w:rPr>
          <w:rFonts w:ascii="Times New Roman" w:hAnsi="Times New Roman" w:cs="Times New Roman"/>
          <w:sz w:val="24"/>
          <w:szCs w:val="24"/>
          <w:lang w:val="en-GB"/>
        </w:rPr>
        <w:t xml:space="preserve"> indicated that there were no serious concerns within the science and technology portfolio</w:t>
      </w:r>
      <w:r w:rsidR="00F212D1" w:rsidRPr="00694D6D">
        <w:rPr>
          <w:rFonts w:ascii="Times New Roman" w:hAnsi="Times New Roman" w:cs="Times New Roman"/>
          <w:sz w:val="24"/>
          <w:szCs w:val="24"/>
          <w:lang w:val="en-GB"/>
        </w:rPr>
        <w:t xml:space="preserve"> and the shortcomings in corporate governance</w:t>
      </w:r>
      <w:r w:rsidR="008073FE" w:rsidRPr="00694D6D">
        <w:rPr>
          <w:rFonts w:ascii="Times New Roman" w:hAnsi="Times New Roman" w:cs="Times New Roman"/>
          <w:sz w:val="24"/>
          <w:szCs w:val="24"/>
          <w:lang w:val="en-GB"/>
        </w:rPr>
        <w:t>,</w:t>
      </w:r>
      <w:r w:rsidR="00F212D1" w:rsidRPr="00694D6D">
        <w:rPr>
          <w:rFonts w:ascii="Times New Roman" w:hAnsi="Times New Roman" w:cs="Times New Roman"/>
          <w:sz w:val="24"/>
          <w:szCs w:val="24"/>
          <w:lang w:val="en-GB"/>
        </w:rPr>
        <w:t xml:space="preserve"> identified in previous financial years</w:t>
      </w:r>
      <w:r w:rsidR="008073FE" w:rsidRPr="00694D6D">
        <w:rPr>
          <w:rFonts w:ascii="Times New Roman" w:hAnsi="Times New Roman" w:cs="Times New Roman"/>
          <w:sz w:val="24"/>
          <w:szCs w:val="24"/>
          <w:lang w:val="en-GB"/>
        </w:rPr>
        <w:t>, has</w:t>
      </w:r>
      <w:r w:rsidR="00F212D1" w:rsidRPr="00694D6D">
        <w:rPr>
          <w:rFonts w:ascii="Times New Roman" w:hAnsi="Times New Roman" w:cs="Times New Roman"/>
          <w:sz w:val="24"/>
          <w:szCs w:val="24"/>
          <w:lang w:val="en-GB"/>
        </w:rPr>
        <w:t xml:space="preserve"> received attention; hence, the steady improvement in the number of audit findings relating to the 2018/19 financial year. H</w:t>
      </w:r>
      <w:r w:rsidRPr="00694D6D">
        <w:rPr>
          <w:rFonts w:ascii="Times New Roman" w:hAnsi="Times New Roman" w:cs="Times New Roman"/>
          <w:sz w:val="24"/>
          <w:szCs w:val="24"/>
          <w:lang w:val="en-GB"/>
        </w:rPr>
        <w:t>owever, despite the Department and entities all having internal controls and processes, these were not adequately implemented to prevent incurring irregular</w:t>
      </w:r>
      <w:r w:rsidR="00990700" w:rsidRPr="00694D6D">
        <w:rPr>
          <w:rFonts w:ascii="Times New Roman" w:hAnsi="Times New Roman" w:cs="Times New Roman"/>
          <w:sz w:val="24"/>
          <w:szCs w:val="24"/>
          <w:lang w:val="en-GB"/>
        </w:rPr>
        <w:t>,</w:t>
      </w:r>
      <w:r w:rsidRPr="00694D6D">
        <w:rPr>
          <w:rFonts w:ascii="Times New Roman" w:hAnsi="Times New Roman" w:cs="Times New Roman"/>
          <w:sz w:val="24"/>
          <w:szCs w:val="24"/>
          <w:lang w:val="en-GB"/>
        </w:rPr>
        <w:t xml:space="preserve"> and fruitless and wasteful expenditure, even though the former decreased from R52 million in 2017/18 to R12 million in 2018/19</w:t>
      </w:r>
      <w:r w:rsidR="00F30BF1" w:rsidRPr="00694D6D">
        <w:rPr>
          <w:rFonts w:ascii="Times New Roman" w:hAnsi="Times New Roman" w:cs="Times New Roman"/>
          <w:sz w:val="24"/>
          <w:szCs w:val="24"/>
          <w:lang w:val="en-GB"/>
        </w:rPr>
        <w:t>. Fruitless and wasteful expenditure increased from R300 000 in 2017/18 to R800 000 in 2018/19.</w:t>
      </w:r>
      <w:r w:rsidR="00E51886" w:rsidRPr="00694D6D">
        <w:rPr>
          <w:rFonts w:ascii="Times New Roman" w:hAnsi="Times New Roman" w:cs="Times New Roman"/>
          <w:sz w:val="24"/>
          <w:szCs w:val="24"/>
          <w:lang w:val="en-GB"/>
        </w:rPr>
        <w:t xml:space="preserve"> </w:t>
      </w:r>
      <w:r w:rsidR="00BF282A" w:rsidRPr="00694D6D">
        <w:rPr>
          <w:rFonts w:ascii="Times New Roman" w:hAnsi="Times New Roman" w:cs="Times New Roman"/>
          <w:sz w:val="24"/>
          <w:szCs w:val="24"/>
          <w:lang w:val="en-GB"/>
        </w:rPr>
        <w:t xml:space="preserve">With regard to the irregular expenditure incurred by the NRF and CSIR, no material losses were incurred by these organisations. </w:t>
      </w:r>
      <w:r w:rsidR="00E51886" w:rsidRPr="00694D6D">
        <w:rPr>
          <w:rFonts w:ascii="Times New Roman" w:hAnsi="Times New Roman" w:cs="Times New Roman"/>
          <w:sz w:val="24"/>
          <w:szCs w:val="24"/>
          <w:lang w:val="en-GB"/>
        </w:rPr>
        <w:t>The audit finding relating to the HSRC incurring irregular expenditure also cost it a clean audit</w:t>
      </w:r>
      <w:r w:rsidR="00990700" w:rsidRPr="00694D6D">
        <w:rPr>
          <w:rFonts w:ascii="Times New Roman" w:hAnsi="Times New Roman" w:cs="Times New Roman"/>
          <w:sz w:val="24"/>
          <w:szCs w:val="24"/>
          <w:lang w:val="en-GB"/>
        </w:rPr>
        <w:t>, decreasing the number of clean audits in the portfolio from 75% to 50%</w:t>
      </w:r>
      <w:r w:rsidR="00E51886" w:rsidRPr="00694D6D">
        <w:rPr>
          <w:rFonts w:ascii="Times New Roman" w:hAnsi="Times New Roman" w:cs="Times New Roman"/>
          <w:sz w:val="24"/>
          <w:szCs w:val="24"/>
          <w:lang w:val="en-GB"/>
        </w:rPr>
        <w:t xml:space="preserve">. </w:t>
      </w:r>
      <w:r w:rsidR="00D22653" w:rsidRPr="00694D6D">
        <w:rPr>
          <w:rFonts w:ascii="Times New Roman" w:hAnsi="Times New Roman" w:cs="Times New Roman"/>
          <w:sz w:val="24"/>
          <w:szCs w:val="24"/>
          <w:lang w:val="en-GB"/>
        </w:rPr>
        <w:t xml:space="preserve">The </w:t>
      </w:r>
      <w:r w:rsidR="00F76015" w:rsidRPr="00694D6D">
        <w:rPr>
          <w:rFonts w:ascii="Times New Roman" w:hAnsi="Times New Roman" w:cs="Times New Roman"/>
          <w:sz w:val="24"/>
          <w:szCs w:val="24"/>
          <w:lang w:val="en-GB"/>
        </w:rPr>
        <w:t>AGSA</w:t>
      </w:r>
      <w:r w:rsidR="00D22653" w:rsidRPr="00694D6D">
        <w:rPr>
          <w:rFonts w:ascii="Times New Roman" w:hAnsi="Times New Roman" w:cs="Times New Roman"/>
          <w:sz w:val="24"/>
          <w:szCs w:val="24"/>
          <w:lang w:val="en-GB"/>
        </w:rPr>
        <w:t xml:space="preserve"> also recommended that because the CSIR is largely a self-funded entity, it should improve the management of its debt recovery to ensure its sustainability.</w:t>
      </w:r>
      <w:r w:rsidR="002D222B" w:rsidRPr="00694D6D">
        <w:rPr>
          <w:rFonts w:ascii="Times New Roman" w:hAnsi="Times New Roman" w:cs="Times New Roman"/>
          <w:sz w:val="24"/>
          <w:szCs w:val="24"/>
          <w:lang w:val="en-GB"/>
        </w:rPr>
        <w:t xml:space="preserve"> The </w:t>
      </w:r>
      <w:r w:rsidR="00F76015" w:rsidRPr="00694D6D">
        <w:rPr>
          <w:rFonts w:ascii="Times New Roman" w:hAnsi="Times New Roman" w:cs="Times New Roman"/>
          <w:sz w:val="24"/>
          <w:szCs w:val="24"/>
          <w:lang w:val="en-GB"/>
        </w:rPr>
        <w:t>AGSA</w:t>
      </w:r>
      <w:r w:rsidR="002D222B" w:rsidRPr="00694D6D">
        <w:rPr>
          <w:rFonts w:ascii="Times New Roman" w:hAnsi="Times New Roman" w:cs="Times New Roman"/>
          <w:sz w:val="24"/>
          <w:szCs w:val="24"/>
          <w:lang w:val="en-GB"/>
        </w:rPr>
        <w:t xml:space="preserve"> made no findings on the performance information submitted by the Department and the entities.</w:t>
      </w:r>
    </w:p>
    <w:p w14:paraId="5872B3FD" w14:textId="77777777" w:rsidR="00EF71E1" w:rsidRPr="00694D6D" w:rsidRDefault="00EF71E1" w:rsidP="00694D6D">
      <w:pPr>
        <w:spacing w:after="0" w:line="360" w:lineRule="auto"/>
        <w:jc w:val="both"/>
        <w:rPr>
          <w:rFonts w:ascii="Times New Roman" w:hAnsi="Times New Roman" w:cs="Times New Roman"/>
          <w:sz w:val="24"/>
          <w:szCs w:val="24"/>
          <w:lang w:val="en-GB"/>
        </w:rPr>
      </w:pPr>
    </w:p>
    <w:p w14:paraId="436FE08E" w14:textId="77777777" w:rsidR="003770CE" w:rsidRPr="00694D6D" w:rsidRDefault="00EF71E1" w:rsidP="00694D6D">
      <w:pPr>
        <w:spacing w:after="0" w:line="360" w:lineRule="auto"/>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 xml:space="preserve">The </w:t>
      </w:r>
      <w:r w:rsidR="00486845" w:rsidRPr="00694D6D">
        <w:rPr>
          <w:rFonts w:ascii="Times New Roman" w:hAnsi="Times New Roman" w:cs="Times New Roman"/>
          <w:sz w:val="24"/>
          <w:szCs w:val="24"/>
          <w:lang w:val="en-GB"/>
        </w:rPr>
        <w:t xml:space="preserve">performance reported in the </w:t>
      </w:r>
      <w:r w:rsidRPr="00694D6D">
        <w:rPr>
          <w:rFonts w:ascii="Times New Roman" w:hAnsi="Times New Roman" w:cs="Times New Roman"/>
          <w:sz w:val="24"/>
          <w:szCs w:val="24"/>
          <w:lang w:val="en-GB"/>
        </w:rPr>
        <w:t>2018/19 Annual Reports of the Department</w:t>
      </w:r>
      <w:r w:rsidR="00486845" w:rsidRPr="00694D6D">
        <w:rPr>
          <w:rFonts w:ascii="Times New Roman" w:hAnsi="Times New Roman" w:cs="Times New Roman"/>
          <w:sz w:val="24"/>
          <w:szCs w:val="24"/>
          <w:lang w:val="en-GB"/>
        </w:rPr>
        <w:t>,</w:t>
      </w:r>
      <w:r w:rsidRPr="00694D6D">
        <w:rPr>
          <w:rFonts w:ascii="Times New Roman" w:hAnsi="Times New Roman" w:cs="Times New Roman"/>
          <w:sz w:val="24"/>
          <w:szCs w:val="24"/>
          <w:lang w:val="en-GB"/>
        </w:rPr>
        <w:t xml:space="preserve"> CSIR, NRF and HSRC show </w:t>
      </w:r>
      <w:r w:rsidR="00486845" w:rsidRPr="00694D6D">
        <w:rPr>
          <w:rFonts w:ascii="Times New Roman" w:hAnsi="Times New Roman" w:cs="Times New Roman"/>
          <w:sz w:val="24"/>
          <w:szCs w:val="24"/>
          <w:lang w:val="en-GB"/>
        </w:rPr>
        <w:t xml:space="preserve">significant effort and achievement with regard to realising the potential of STI in addressing national priorities and supporting sustainable socio-economic development. </w:t>
      </w:r>
      <w:r w:rsidR="003770CE" w:rsidRPr="00694D6D">
        <w:rPr>
          <w:rFonts w:ascii="Times New Roman" w:hAnsi="Times New Roman" w:cs="Times New Roman"/>
          <w:sz w:val="24"/>
          <w:szCs w:val="24"/>
          <w:lang w:val="en-GB"/>
        </w:rPr>
        <w:t>Overall, the Department with its entities have shown that they can spend their allocated budget and achieve a significant percentage of their performance targets, as well as ensuring that they closely adhere to legislative prescripts in managing the allocations received from the public purse.</w:t>
      </w:r>
    </w:p>
    <w:p w14:paraId="360673CA" w14:textId="77777777" w:rsidR="002C7B31" w:rsidRPr="00694D6D" w:rsidRDefault="002C7B31" w:rsidP="00694D6D">
      <w:pPr>
        <w:spacing w:after="0" w:line="360" w:lineRule="auto"/>
        <w:jc w:val="both"/>
        <w:rPr>
          <w:rFonts w:ascii="Times New Roman" w:hAnsi="Times New Roman" w:cs="Times New Roman"/>
          <w:sz w:val="24"/>
          <w:szCs w:val="24"/>
          <w:lang w:val="en-GB"/>
        </w:rPr>
      </w:pPr>
    </w:p>
    <w:p w14:paraId="3094DBCF" w14:textId="77777777" w:rsidR="00193A02" w:rsidRPr="00694D6D" w:rsidRDefault="00C53114" w:rsidP="00694D6D">
      <w:pPr>
        <w:pStyle w:val="BodyTextIndent"/>
        <w:numPr>
          <w:ilvl w:val="0"/>
          <w:numId w:val="1"/>
        </w:numPr>
        <w:spacing w:after="0" w:line="360" w:lineRule="auto"/>
        <w:ind w:left="0" w:firstLine="0"/>
        <w:jc w:val="both"/>
        <w:rPr>
          <w:bCs/>
          <w:lang w:val="en-GB"/>
        </w:rPr>
      </w:pPr>
      <w:r w:rsidRPr="00694D6D">
        <w:rPr>
          <w:b/>
          <w:bCs/>
          <w:lang w:val="en-GB"/>
        </w:rPr>
        <w:t>COMMITTEE OBSERVATIONS</w:t>
      </w:r>
    </w:p>
    <w:p w14:paraId="59C15C5B" w14:textId="77777777" w:rsidR="002C7B31" w:rsidRPr="00694D6D" w:rsidRDefault="002C7B31" w:rsidP="00694D6D">
      <w:pPr>
        <w:spacing w:after="0" w:line="360" w:lineRule="auto"/>
        <w:jc w:val="both"/>
        <w:rPr>
          <w:rFonts w:ascii="Times New Roman" w:hAnsi="Times New Roman" w:cs="Times New Roman"/>
          <w:sz w:val="24"/>
          <w:szCs w:val="24"/>
          <w:lang w:val="en-GB"/>
        </w:rPr>
      </w:pPr>
    </w:p>
    <w:p w14:paraId="6A00E5D3" w14:textId="77777777" w:rsidR="008D61BA" w:rsidRPr="00694D6D" w:rsidRDefault="00966357" w:rsidP="00694D6D">
      <w:pPr>
        <w:spacing w:after="0" w:line="360" w:lineRule="auto"/>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 xml:space="preserve">The Committee commended the Department and the entities for their efforts in delivering on some of the key areas for social and economic development in line with the goals of the NDP and against stringent financial constraints. </w:t>
      </w:r>
      <w:r w:rsidR="00F15976" w:rsidRPr="00694D6D">
        <w:rPr>
          <w:rFonts w:ascii="Times New Roman" w:hAnsi="Times New Roman" w:cs="Times New Roman"/>
          <w:sz w:val="24"/>
          <w:szCs w:val="24"/>
          <w:lang w:val="en-GB"/>
        </w:rPr>
        <w:t>The Committee’s observations highlight some of the key areas emanating from the interactions with the Department, entities and relevant stakeholders, which require further attention and discussion:</w:t>
      </w:r>
    </w:p>
    <w:p w14:paraId="3F7DB687" w14:textId="77777777" w:rsidR="008D61BA" w:rsidRPr="00694D6D" w:rsidRDefault="008D61BA" w:rsidP="00694D6D">
      <w:pPr>
        <w:spacing w:after="0" w:line="360" w:lineRule="auto"/>
        <w:jc w:val="both"/>
        <w:rPr>
          <w:rFonts w:ascii="Times New Roman" w:hAnsi="Times New Roman" w:cs="Times New Roman"/>
          <w:sz w:val="24"/>
          <w:szCs w:val="24"/>
          <w:lang w:val="en-GB"/>
        </w:rPr>
      </w:pPr>
    </w:p>
    <w:p w14:paraId="54D041F1" w14:textId="77777777" w:rsidR="001D7FAC" w:rsidRPr="00694D6D" w:rsidRDefault="001D7FAC" w:rsidP="00694D6D">
      <w:pPr>
        <w:pStyle w:val="BodyTextIndent"/>
        <w:numPr>
          <w:ilvl w:val="1"/>
          <w:numId w:val="1"/>
        </w:numPr>
        <w:spacing w:after="0" w:line="360" w:lineRule="auto"/>
        <w:ind w:left="567" w:hanging="567"/>
        <w:jc w:val="both"/>
        <w:rPr>
          <w:lang w:val="en-GB"/>
        </w:rPr>
      </w:pPr>
      <w:r w:rsidRPr="00694D6D">
        <w:rPr>
          <w:lang w:val="en-GB"/>
        </w:rPr>
        <w:t>The Committee noted the Department’s name change from Science and Technology to Science and Innovation.</w:t>
      </w:r>
    </w:p>
    <w:p w14:paraId="547E9FC7" w14:textId="77777777" w:rsidR="001D7FAC" w:rsidRPr="00694D6D" w:rsidRDefault="001D7FAC" w:rsidP="00694D6D">
      <w:pPr>
        <w:pStyle w:val="BodyTextIndent"/>
        <w:spacing w:after="0" w:line="360" w:lineRule="auto"/>
        <w:ind w:left="0"/>
        <w:jc w:val="both"/>
        <w:rPr>
          <w:lang w:val="en-GB"/>
        </w:rPr>
      </w:pPr>
    </w:p>
    <w:p w14:paraId="18C47E58" w14:textId="77777777" w:rsidR="00F15976" w:rsidRPr="00694D6D" w:rsidRDefault="00F15976" w:rsidP="00694D6D">
      <w:pPr>
        <w:pStyle w:val="BodyTextIndent"/>
        <w:numPr>
          <w:ilvl w:val="1"/>
          <w:numId w:val="1"/>
        </w:numPr>
        <w:spacing w:after="0" w:line="360" w:lineRule="auto"/>
        <w:ind w:left="567" w:hanging="567"/>
        <w:jc w:val="both"/>
        <w:rPr>
          <w:lang w:val="en-GB"/>
        </w:rPr>
      </w:pPr>
      <w:r w:rsidRPr="00694D6D">
        <w:rPr>
          <w:lang w:val="en-GB"/>
        </w:rPr>
        <w:t xml:space="preserve">The allocated budget for the Department was R7.96 billion for the reporting period. This decreased allocation, in terms of inflation, is of concern given the crucial role that </w:t>
      </w:r>
      <w:r w:rsidR="00A91FC4" w:rsidRPr="00694D6D">
        <w:rPr>
          <w:lang w:val="en-GB"/>
        </w:rPr>
        <w:t>STI</w:t>
      </w:r>
      <w:r w:rsidRPr="00694D6D">
        <w:rPr>
          <w:lang w:val="en-GB"/>
        </w:rPr>
        <w:t xml:space="preserve"> ha</w:t>
      </w:r>
      <w:r w:rsidR="00A91FC4" w:rsidRPr="00694D6D">
        <w:rPr>
          <w:lang w:val="en-GB"/>
        </w:rPr>
        <w:t>s</w:t>
      </w:r>
      <w:r w:rsidRPr="00694D6D">
        <w:rPr>
          <w:lang w:val="en-GB"/>
        </w:rPr>
        <w:t xml:space="preserve"> to play in enhancing productivity, growing a sustainable and inclusive economy and improving the socio-economic conditions </w:t>
      </w:r>
      <w:r w:rsidR="00A91FC4" w:rsidRPr="00694D6D">
        <w:rPr>
          <w:lang w:val="en-GB"/>
        </w:rPr>
        <w:t>of</w:t>
      </w:r>
      <w:r w:rsidRPr="00694D6D">
        <w:rPr>
          <w:lang w:val="en-GB"/>
        </w:rPr>
        <w:t xml:space="preserve"> the country.  </w:t>
      </w:r>
    </w:p>
    <w:p w14:paraId="452FC2C5" w14:textId="77777777" w:rsidR="00F15976" w:rsidRPr="00694D6D" w:rsidRDefault="00F15976" w:rsidP="00694D6D">
      <w:pPr>
        <w:pStyle w:val="BodyTextIndent"/>
        <w:spacing w:after="0" w:line="360" w:lineRule="auto"/>
        <w:ind w:left="567" w:hanging="567"/>
        <w:jc w:val="both"/>
        <w:rPr>
          <w:lang w:val="en-GB"/>
        </w:rPr>
      </w:pPr>
    </w:p>
    <w:p w14:paraId="544FE05F" w14:textId="77777777" w:rsidR="00F15976" w:rsidRPr="00694D6D" w:rsidRDefault="00F15976" w:rsidP="00694D6D">
      <w:pPr>
        <w:pStyle w:val="BodyTextIndent"/>
        <w:numPr>
          <w:ilvl w:val="1"/>
          <w:numId w:val="1"/>
        </w:numPr>
        <w:spacing w:after="0" w:line="360" w:lineRule="auto"/>
        <w:ind w:left="567" w:hanging="567"/>
        <w:jc w:val="both"/>
        <w:rPr>
          <w:lang w:val="en-GB"/>
        </w:rPr>
      </w:pPr>
      <w:r w:rsidRPr="00694D6D">
        <w:rPr>
          <w:lang w:val="en-GB"/>
        </w:rPr>
        <w:t>It is known that science related inflation is higher than standard inflation</w:t>
      </w:r>
      <w:r w:rsidR="00A91FC4" w:rsidRPr="00694D6D">
        <w:rPr>
          <w:lang w:val="en-GB"/>
        </w:rPr>
        <w:t>;</w:t>
      </w:r>
      <w:r w:rsidRPr="00694D6D">
        <w:rPr>
          <w:lang w:val="en-GB"/>
        </w:rPr>
        <w:t xml:space="preserve"> hence</w:t>
      </w:r>
      <w:r w:rsidR="00A91FC4" w:rsidRPr="00694D6D">
        <w:rPr>
          <w:lang w:val="en-GB"/>
        </w:rPr>
        <w:t>,</w:t>
      </w:r>
      <w:r w:rsidRPr="00694D6D">
        <w:rPr>
          <w:lang w:val="en-GB"/>
        </w:rPr>
        <w:t xml:space="preserve"> allocations in line with standard inflation only marginally assist the STI objectives; and allocation increases that are below standard inflation, further exacerbate the sub-optimal funding environment that prevails.</w:t>
      </w:r>
    </w:p>
    <w:p w14:paraId="175F906E" w14:textId="77777777" w:rsidR="00F15976" w:rsidRPr="00694D6D" w:rsidRDefault="00F15976" w:rsidP="00694D6D">
      <w:pPr>
        <w:pStyle w:val="BodyTextIndent"/>
        <w:spacing w:after="0" w:line="360" w:lineRule="auto"/>
        <w:ind w:left="567" w:hanging="567"/>
        <w:jc w:val="both"/>
        <w:rPr>
          <w:lang w:val="en-GB"/>
        </w:rPr>
      </w:pPr>
    </w:p>
    <w:p w14:paraId="48347F5D" w14:textId="77777777" w:rsidR="00F15976" w:rsidRPr="00694D6D" w:rsidRDefault="00F15976" w:rsidP="00694D6D">
      <w:pPr>
        <w:pStyle w:val="BodyTextIndent"/>
        <w:numPr>
          <w:ilvl w:val="1"/>
          <w:numId w:val="1"/>
        </w:numPr>
        <w:spacing w:after="0" w:line="360" w:lineRule="auto"/>
        <w:ind w:left="567" w:hanging="567"/>
        <w:jc w:val="both"/>
        <w:rPr>
          <w:lang w:val="en-GB"/>
        </w:rPr>
      </w:pPr>
      <w:r w:rsidRPr="00694D6D">
        <w:rPr>
          <w:lang w:val="en-GB"/>
        </w:rPr>
        <w:t xml:space="preserve">The Department with its entities, spent their allocated budget, achieved a significant percentage of their performance targets, </w:t>
      </w:r>
      <w:r w:rsidR="00A91FC4" w:rsidRPr="00694D6D">
        <w:rPr>
          <w:lang w:val="en-GB"/>
        </w:rPr>
        <w:t>and adhered</w:t>
      </w:r>
      <w:r w:rsidRPr="00694D6D">
        <w:rPr>
          <w:lang w:val="en-GB"/>
        </w:rPr>
        <w:t xml:space="preserve"> to legislative prescripts in managing their public allocations. </w:t>
      </w:r>
      <w:r w:rsidR="00984593" w:rsidRPr="00694D6D">
        <w:rPr>
          <w:lang w:val="en-GB"/>
        </w:rPr>
        <w:t>The Committee questioned whether th</w:t>
      </w:r>
      <w:r w:rsidR="009327DE" w:rsidRPr="00694D6D">
        <w:rPr>
          <w:lang w:val="en-GB"/>
        </w:rPr>
        <w:t>e</w:t>
      </w:r>
      <w:r w:rsidR="00984593" w:rsidRPr="00694D6D">
        <w:rPr>
          <w:lang w:val="en-GB"/>
        </w:rPr>
        <w:t>s</w:t>
      </w:r>
      <w:r w:rsidR="009327DE" w:rsidRPr="00694D6D">
        <w:rPr>
          <w:lang w:val="en-GB"/>
        </w:rPr>
        <w:t xml:space="preserve">e achievements </w:t>
      </w:r>
      <w:r w:rsidR="00984593" w:rsidRPr="00694D6D">
        <w:rPr>
          <w:lang w:val="en-GB"/>
        </w:rPr>
        <w:t>could be attributed to their performance targets not being sufficiently ambitious due to the constrained budget.</w:t>
      </w:r>
    </w:p>
    <w:p w14:paraId="2106DD7E" w14:textId="77777777" w:rsidR="00F15976" w:rsidRPr="00694D6D" w:rsidRDefault="00F15976" w:rsidP="00694D6D">
      <w:pPr>
        <w:pStyle w:val="BodyTextIndent"/>
        <w:spacing w:after="0" w:line="360" w:lineRule="auto"/>
        <w:ind w:left="567" w:hanging="567"/>
        <w:jc w:val="both"/>
        <w:rPr>
          <w:lang w:val="en-GB"/>
        </w:rPr>
      </w:pPr>
    </w:p>
    <w:p w14:paraId="1F6BE1EC" w14:textId="77777777" w:rsidR="00F15976" w:rsidRPr="00694D6D" w:rsidRDefault="009327DE" w:rsidP="00694D6D">
      <w:pPr>
        <w:pStyle w:val="BodyTextIndent"/>
        <w:numPr>
          <w:ilvl w:val="1"/>
          <w:numId w:val="1"/>
        </w:numPr>
        <w:spacing w:after="0" w:line="360" w:lineRule="auto"/>
        <w:ind w:left="567" w:hanging="567"/>
        <w:jc w:val="both"/>
        <w:rPr>
          <w:lang w:val="en-GB"/>
        </w:rPr>
      </w:pPr>
      <w:r w:rsidRPr="00694D6D">
        <w:rPr>
          <w:lang w:val="en-GB"/>
        </w:rPr>
        <w:t>T</w:t>
      </w:r>
      <w:r w:rsidR="00F15976" w:rsidRPr="00694D6D">
        <w:rPr>
          <w:lang w:val="en-GB"/>
        </w:rPr>
        <w:t>he Committee maintain</w:t>
      </w:r>
      <w:r w:rsidR="007D678A" w:rsidRPr="00694D6D">
        <w:rPr>
          <w:lang w:val="en-GB"/>
        </w:rPr>
        <w:t>ed</w:t>
      </w:r>
      <w:r w:rsidR="00F15976" w:rsidRPr="00694D6D">
        <w:rPr>
          <w:lang w:val="en-GB"/>
        </w:rPr>
        <w:t xml:space="preserve"> that the</w:t>
      </w:r>
      <w:r w:rsidR="00C25558" w:rsidRPr="00694D6D">
        <w:rPr>
          <w:lang w:val="en-GB"/>
        </w:rPr>
        <w:t xml:space="preserve"> Department and entities’ </w:t>
      </w:r>
      <w:r w:rsidR="00F15976" w:rsidRPr="00694D6D">
        <w:rPr>
          <w:lang w:val="en-GB"/>
        </w:rPr>
        <w:t>responsibil</w:t>
      </w:r>
      <w:r w:rsidR="00A91FC4" w:rsidRPr="00694D6D">
        <w:rPr>
          <w:lang w:val="en-GB"/>
        </w:rPr>
        <w:t>ity</w:t>
      </w:r>
      <w:r w:rsidR="00F15976" w:rsidRPr="00694D6D">
        <w:rPr>
          <w:lang w:val="en-GB"/>
        </w:rPr>
        <w:t xml:space="preserve"> toward their mandate </w:t>
      </w:r>
      <w:r w:rsidR="00A91FC4" w:rsidRPr="00694D6D">
        <w:rPr>
          <w:lang w:val="en-GB"/>
        </w:rPr>
        <w:t xml:space="preserve">is </w:t>
      </w:r>
      <w:r w:rsidR="00F15976" w:rsidRPr="00694D6D">
        <w:rPr>
          <w:lang w:val="en-GB"/>
        </w:rPr>
        <w:t>compromised as their performance targets ha</w:t>
      </w:r>
      <w:r w:rsidR="00A91FC4" w:rsidRPr="00694D6D">
        <w:rPr>
          <w:lang w:val="en-GB"/>
        </w:rPr>
        <w:t>ve</w:t>
      </w:r>
      <w:r w:rsidR="00F15976" w:rsidRPr="00694D6D">
        <w:rPr>
          <w:lang w:val="en-GB"/>
        </w:rPr>
        <w:t xml:space="preserve"> been structured around the allocations received. </w:t>
      </w:r>
    </w:p>
    <w:p w14:paraId="08C6E897" w14:textId="77777777" w:rsidR="00F15976" w:rsidRPr="00694D6D" w:rsidRDefault="00F15976" w:rsidP="00694D6D">
      <w:pPr>
        <w:pStyle w:val="BodyTextIndent"/>
        <w:spacing w:after="0" w:line="360" w:lineRule="auto"/>
        <w:ind w:left="567" w:hanging="567"/>
        <w:jc w:val="both"/>
        <w:rPr>
          <w:lang w:val="en-GB"/>
        </w:rPr>
      </w:pPr>
    </w:p>
    <w:p w14:paraId="51D591C4" w14:textId="77777777" w:rsidR="00F15976" w:rsidRPr="00694D6D" w:rsidRDefault="00F15976" w:rsidP="00694D6D">
      <w:pPr>
        <w:pStyle w:val="BodyTextIndent"/>
        <w:numPr>
          <w:ilvl w:val="1"/>
          <w:numId w:val="1"/>
        </w:numPr>
        <w:spacing w:after="0" w:line="360" w:lineRule="auto"/>
        <w:ind w:left="567" w:hanging="567"/>
        <w:jc w:val="both"/>
        <w:rPr>
          <w:lang w:val="en-GB"/>
        </w:rPr>
      </w:pPr>
      <w:r w:rsidRPr="00694D6D">
        <w:rPr>
          <w:lang w:val="en-GB"/>
        </w:rPr>
        <w:t>Furthermore, the Committee question</w:t>
      </w:r>
      <w:r w:rsidR="007D678A" w:rsidRPr="00694D6D">
        <w:rPr>
          <w:lang w:val="en-GB"/>
        </w:rPr>
        <w:t>ed</w:t>
      </w:r>
      <w:r w:rsidRPr="00694D6D">
        <w:rPr>
          <w:lang w:val="en-GB"/>
        </w:rPr>
        <w:t xml:space="preserve"> whether the STI mandate, which seeks to facilitate inclusive economic growth and socio-economic development, promote environmental sustainability, improve service delivery and government decision making</w:t>
      </w:r>
      <w:r w:rsidR="007D678A" w:rsidRPr="00694D6D">
        <w:rPr>
          <w:lang w:val="en-GB"/>
        </w:rPr>
        <w:t>,</w:t>
      </w:r>
      <w:r w:rsidRPr="00694D6D">
        <w:rPr>
          <w:lang w:val="en-GB"/>
        </w:rPr>
        <w:t xml:space="preserve"> as well as enhanc</w:t>
      </w:r>
      <w:r w:rsidR="004B6121" w:rsidRPr="00694D6D">
        <w:rPr>
          <w:lang w:val="en-GB"/>
        </w:rPr>
        <w:t>e</w:t>
      </w:r>
      <w:r w:rsidRPr="00694D6D">
        <w:rPr>
          <w:lang w:val="en-GB"/>
        </w:rPr>
        <w:t xml:space="preserve"> the efficiency of institutions</w:t>
      </w:r>
      <w:r w:rsidR="007D678A" w:rsidRPr="00694D6D">
        <w:rPr>
          <w:lang w:val="en-GB"/>
        </w:rPr>
        <w:t>,</w:t>
      </w:r>
      <w:r w:rsidRPr="00694D6D">
        <w:rPr>
          <w:lang w:val="en-GB"/>
        </w:rPr>
        <w:t xml:space="preserve"> </w:t>
      </w:r>
      <w:r w:rsidR="001F7586" w:rsidRPr="00694D6D">
        <w:rPr>
          <w:lang w:val="en-GB"/>
        </w:rPr>
        <w:t>is</w:t>
      </w:r>
      <w:r w:rsidRPr="00694D6D">
        <w:rPr>
          <w:lang w:val="en-GB"/>
        </w:rPr>
        <w:t xml:space="preserve"> fully implemented at the current levels of funding. </w:t>
      </w:r>
    </w:p>
    <w:p w14:paraId="0945ECCA" w14:textId="77777777" w:rsidR="00F15976" w:rsidRPr="00694D6D" w:rsidRDefault="00F15976" w:rsidP="00694D6D">
      <w:pPr>
        <w:pStyle w:val="BodyTextIndent"/>
        <w:spacing w:after="0" w:line="360" w:lineRule="auto"/>
        <w:ind w:left="567" w:hanging="567"/>
        <w:jc w:val="both"/>
        <w:rPr>
          <w:lang w:val="en-GB"/>
        </w:rPr>
      </w:pPr>
    </w:p>
    <w:p w14:paraId="5A99BA07" w14:textId="77777777" w:rsidR="00F15976" w:rsidRPr="00694D6D" w:rsidRDefault="00F15976" w:rsidP="00694D6D">
      <w:pPr>
        <w:pStyle w:val="BodyTextIndent"/>
        <w:numPr>
          <w:ilvl w:val="1"/>
          <w:numId w:val="1"/>
        </w:numPr>
        <w:spacing w:after="0" w:line="360" w:lineRule="auto"/>
        <w:ind w:left="567" w:hanging="567"/>
        <w:jc w:val="both"/>
        <w:rPr>
          <w:lang w:val="en-GB"/>
        </w:rPr>
      </w:pPr>
      <w:r w:rsidRPr="00694D6D">
        <w:rPr>
          <w:lang w:val="en-GB"/>
        </w:rPr>
        <w:t>Another concern is the below inflation increases in the Parliamentary grants that are specifically allocated to entities to fulfil their core, legislated mandates. This makes the entities reliant on sourcing external funding to fulfil government-specific mandates</w:t>
      </w:r>
      <w:r w:rsidR="00D60108" w:rsidRPr="00694D6D">
        <w:rPr>
          <w:lang w:val="en-GB"/>
        </w:rPr>
        <w:t>,</w:t>
      </w:r>
      <w:r w:rsidRPr="00694D6D">
        <w:rPr>
          <w:lang w:val="en-GB"/>
        </w:rPr>
        <w:t xml:space="preserve"> which poses the risk that R&amp;D focus may shift away from Government’s priorities. The Department and the entities have a mandate to deliver on Government’s national priorities in line with </w:t>
      </w:r>
      <w:r w:rsidR="00D60108" w:rsidRPr="00694D6D">
        <w:rPr>
          <w:lang w:val="en-GB"/>
        </w:rPr>
        <w:t xml:space="preserve">the </w:t>
      </w:r>
      <w:r w:rsidRPr="00694D6D">
        <w:rPr>
          <w:lang w:val="en-GB"/>
        </w:rPr>
        <w:t xml:space="preserve">goals set for the NSI by the NDP Vision 2030. The Committee is concerned about the evident financial sustainability challenges affecting </w:t>
      </w:r>
      <w:r w:rsidR="00D60108" w:rsidRPr="00694D6D">
        <w:rPr>
          <w:lang w:val="en-GB"/>
        </w:rPr>
        <w:t xml:space="preserve">the </w:t>
      </w:r>
      <w:r w:rsidRPr="00694D6D">
        <w:rPr>
          <w:lang w:val="en-GB"/>
        </w:rPr>
        <w:t>attain</w:t>
      </w:r>
      <w:r w:rsidR="00D60108" w:rsidRPr="00694D6D">
        <w:rPr>
          <w:lang w:val="en-GB"/>
        </w:rPr>
        <w:t>ment of</w:t>
      </w:r>
      <w:r w:rsidRPr="00694D6D">
        <w:rPr>
          <w:lang w:val="en-GB"/>
        </w:rPr>
        <w:t xml:space="preserve"> th</w:t>
      </w:r>
      <w:r w:rsidR="00D60108" w:rsidRPr="00694D6D">
        <w:rPr>
          <w:lang w:val="en-GB"/>
        </w:rPr>
        <w:t>e</w:t>
      </w:r>
      <w:r w:rsidRPr="00694D6D">
        <w:rPr>
          <w:lang w:val="en-GB"/>
        </w:rPr>
        <w:t xml:space="preserve">se goals. </w:t>
      </w:r>
    </w:p>
    <w:p w14:paraId="568284AB" w14:textId="77777777" w:rsidR="00F15976" w:rsidRPr="00694D6D" w:rsidRDefault="00F15976" w:rsidP="00694D6D">
      <w:pPr>
        <w:pStyle w:val="BodyTextIndent"/>
        <w:spacing w:after="0" w:line="360" w:lineRule="auto"/>
        <w:ind w:left="567" w:hanging="567"/>
        <w:jc w:val="both"/>
        <w:rPr>
          <w:lang w:val="en-GB"/>
        </w:rPr>
      </w:pPr>
    </w:p>
    <w:p w14:paraId="68288410" w14:textId="77777777" w:rsidR="00F15976" w:rsidRPr="00694D6D" w:rsidRDefault="00F15976" w:rsidP="00694D6D">
      <w:pPr>
        <w:pStyle w:val="BodyTextIndent"/>
        <w:numPr>
          <w:ilvl w:val="1"/>
          <w:numId w:val="1"/>
        </w:numPr>
        <w:spacing w:after="0" w:line="360" w:lineRule="auto"/>
        <w:ind w:left="567" w:hanging="567"/>
        <w:jc w:val="both"/>
        <w:rPr>
          <w:lang w:val="en-GB"/>
        </w:rPr>
      </w:pPr>
      <w:r w:rsidRPr="00694D6D">
        <w:rPr>
          <w:lang w:val="en-GB"/>
        </w:rPr>
        <w:t xml:space="preserve">South Africa’s investment in R&amp;D as a percentage of </w:t>
      </w:r>
      <w:r w:rsidR="00D60108" w:rsidRPr="00694D6D">
        <w:rPr>
          <w:lang w:val="en-GB"/>
        </w:rPr>
        <w:t>Gross Domestic Product (</w:t>
      </w:r>
      <w:r w:rsidRPr="00694D6D">
        <w:rPr>
          <w:lang w:val="en-GB"/>
        </w:rPr>
        <w:t>GDP</w:t>
      </w:r>
      <w:r w:rsidR="00D60108" w:rsidRPr="00694D6D">
        <w:rPr>
          <w:lang w:val="en-GB"/>
        </w:rPr>
        <w:t>)</w:t>
      </w:r>
      <w:r w:rsidRPr="00694D6D">
        <w:rPr>
          <w:lang w:val="en-GB"/>
        </w:rPr>
        <w:t xml:space="preserve"> stands at around 0.82%, which has been stagnant over the last few years. It has been conclusively shown that during fiscal strain, economies that significantly increase their investment in STI are able to respond faster and more comprehensively to fiscal improvement than economies that decrease their spending, or allow it only to increase at the existing rate of growth. </w:t>
      </w:r>
    </w:p>
    <w:p w14:paraId="755F41E3" w14:textId="77777777" w:rsidR="00F15976" w:rsidRPr="00694D6D" w:rsidRDefault="00F15976" w:rsidP="00694D6D">
      <w:pPr>
        <w:pStyle w:val="BodyTextIndent"/>
        <w:spacing w:after="0" w:line="360" w:lineRule="auto"/>
        <w:ind w:left="567" w:hanging="567"/>
        <w:jc w:val="both"/>
        <w:rPr>
          <w:lang w:val="en-GB"/>
        </w:rPr>
      </w:pPr>
    </w:p>
    <w:p w14:paraId="626F86C4" w14:textId="77777777" w:rsidR="00BD4883" w:rsidRPr="00694D6D" w:rsidRDefault="000A1C53" w:rsidP="00694D6D">
      <w:pPr>
        <w:pStyle w:val="BodyTextIndent"/>
        <w:numPr>
          <w:ilvl w:val="1"/>
          <w:numId w:val="1"/>
        </w:numPr>
        <w:spacing w:after="0" w:line="360" w:lineRule="auto"/>
        <w:ind w:left="567" w:hanging="567"/>
        <w:jc w:val="both"/>
        <w:rPr>
          <w:lang w:val="en-GB"/>
        </w:rPr>
      </w:pPr>
      <w:r w:rsidRPr="00694D6D">
        <w:rPr>
          <w:lang w:val="en-GB"/>
        </w:rPr>
        <w:t>T</w:t>
      </w:r>
      <w:r w:rsidR="00B51A09" w:rsidRPr="00694D6D">
        <w:rPr>
          <w:lang w:val="en-GB"/>
        </w:rPr>
        <w:t xml:space="preserve">he Committee is concerned by the </w:t>
      </w:r>
      <w:r w:rsidR="00747467" w:rsidRPr="00694D6D">
        <w:rPr>
          <w:lang w:val="en-GB"/>
        </w:rPr>
        <w:t>declining</w:t>
      </w:r>
      <w:r w:rsidR="00B51A09" w:rsidRPr="00694D6D">
        <w:rPr>
          <w:lang w:val="en-GB"/>
        </w:rPr>
        <w:t xml:space="preserve"> level of </w:t>
      </w:r>
      <w:r w:rsidR="00313433" w:rsidRPr="00694D6D">
        <w:rPr>
          <w:lang w:val="en-GB"/>
        </w:rPr>
        <w:t>investment in</w:t>
      </w:r>
      <w:r w:rsidR="00B51A09" w:rsidRPr="00694D6D">
        <w:rPr>
          <w:lang w:val="en-GB"/>
        </w:rPr>
        <w:t xml:space="preserve"> RDI by both the private and public sectors</w:t>
      </w:r>
      <w:r w:rsidRPr="00694D6D">
        <w:rPr>
          <w:lang w:val="en-GB"/>
        </w:rPr>
        <w:t xml:space="preserve">; and </w:t>
      </w:r>
      <w:r w:rsidR="00313433" w:rsidRPr="00694D6D">
        <w:rPr>
          <w:lang w:val="en-GB"/>
        </w:rPr>
        <w:t xml:space="preserve">that the </w:t>
      </w:r>
      <w:r w:rsidR="00F15976" w:rsidRPr="00694D6D">
        <w:rPr>
          <w:lang w:val="en-GB"/>
        </w:rPr>
        <w:t xml:space="preserve">R&amp;D Tax </w:t>
      </w:r>
      <w:r w:rsidR="00B51A09" w:rsidRPr="00694D6D">
        <w:rPr>
          <w:lang w:val="en-GB"/>
        </w:rPr>
        <w:t>I</w:t>
      </w:r>
      <w:r w:rsidR="00F15976" w:rsidRPr="00694D6D">
        <w:rPr>
          <w:lang w:val="en-GB"/>
        </w:rPr>
        <w:t>ncentive</w:t>
      </w:r>
      <w:r w:rsidR="00313433" w:rsidRPr="00694D6D">
        <w:rPr>
          <w:lang w:val="en-GB"/>
        </w:rPr>
        <w:t xml:space="preserve"> has not sufficiently stimulated the</w:t>
      </w:r>
      <w:r w:rsidR="00F15976" w:rsidRPr="00694D6D">
        <w:rPr>
          <w:lang w:val="en-GB"/>
        </w:rPr>
        <w:t xml:space="preserve"> desired levels of private sector investment</w:t>
      </w:r>
      <w:r w:rsidR="00313433" w:rsidRPr="00694D6D">
        <w:rPr>
          <w:lang w:val="en-GB"/>
        </w:rPr>
        <w:t>.</w:t>
      </w:r>
    </w:p>
    <w:p w14:paraId="6B91FD38" w14:textId="77777777" w:rsidR="00B51A09" w:rsidRPr="00694D6D" w:rsidRDefault="00B51A09" w:rsidP="00694D6D">
      <w:pPr>
        <w:pStyle w:val="BodyTextIndent"/>
        <w:spacing w:after="0" w:line="360" w:lineRule="auto"/>
        <w:ind w:left="0"/>
        <w:jc w:val="both"/>
        <w:rPr>
          <w:lang w:val="en-GB"/>
        </w:rPr>
      </w:pPr>
    </w:p>
    <w:p w14:paraId="5AAC3C63" w14:textId="77777777" w:rsidR="00F15976" w:rsidRPr="00694D6D" w:rsidRDefault="00F15976" w:rsidP="00694D6D">
      <w:pPr>
        <w:pStyle w:val="BodyTextIndent"/>
        <w:numPr>
          <w:ilvl w:val="1"/>
          <w:numId w:val="1"/>
        </w:numPr>
        <w:spacing w:after="0" w:line="360" w:lineRule="auto"/>
        <w:ind w:left="567" w:hanging="567"/>
        <w:jc w:val="both"/>
        <w:rPr>
          <w:lang w:val="en-GB"/>
        </w:rPr>
      </w:pPr>
      <w:r w:rsidRPr="00694D6D">
        <w:rPr>
          <w:lang w:val="en-GB"/>
        </w:rPr>
        <w:t>The Committee encourage</w:t>
      </w:r>
      <w:r w:rsidR="001D7FAC" w:rsidRPr="00694D6D">
        <w:rPr>
          <w:lang w:val="en-GB"/>
        </w:rPr>
        <w:t>d</w:t>
      </w:r>
      <w:r w:rsidRPr="00694D6D">
        <w:rPr>
          <w:lang w:val="en-GB"/>
        </w:rPr>
        <w:t xml:space="preserve"> the Department </w:t>
      </w:r>
      <w:r w:rsidR="00747467" w:rsidRPr="00694D6D">
        <w:rPr>
          <w:lang w:val="en-GB"/>
        </w:rPr>
        <w:t xml:space="preserve">to </w:t>
      </w:r>
      <w:r w:rsidRPr="00694D6D">
        <w:rPr>
          <w:lang w:val="en-GB"/>
        </w:rPr>
        <w:t xml:space="preserve">continue its focus on R&amp;D in the existing areas of competitive advantage and in areas where existing markets are set to grow. </w:t>
      </w:r>
    </w:p>
    <w:p w14:paraId="1C95834D" w14:textId="77777777" w:rsidR="00F15976" w:rsidRPr="00694D6D" w:rsidRDefault="00F15976" w:rsidP="00694D6D">
      <w:pPr>
        <w:pStyle w:val="BodyTextIndent"/>
        <w:spacing w:after="0" w:line="360" w:lineRule="auto"/>
        <w:ind w:left="567" w:hanging="567"/>
        <w:jc w:val="both"/>
        <w:rPr>
          <w:lang w:val="en-GB"/>
        </w:rPr>
      </w:pPr>
    </w:p>
    <w:p w14:paraId="2EDAD294" w14:textId="77777777" w:rsidR="00BD4883" w:rsidRPr="00694D6D" w:rsidRDefault="00F15976" w:rsidP="00694D6D">
      <w:pPr>
        <w:pStyle w:val="BodyTextIndent"/>
        <w:numPr>
          <w:ilvl w:val="1"/>
          <w:numId w:val="1"/>
        </w:numPr>
        <w:spacing w:after="0" w:line="360" w:lineRule="auto"/>
        <w:ind w:left="567" w:hanging="567"/>
        <w:jc w:val="both"/>
        <w:rPr>
          <w:lang w:val="en-GB"/>
        </w:rPr>
      </w:pPr>
      <w:r w:rsidRPr="00694D6D">
        <w:rPr>
          <w:lang w:val="en-GB"/>
        </w:rPr>
        <w:t>The Committee note</w:t>
      </w:r>
      <w:r w:rsidR="001D7FAC" w:rsidRPr="00694D6D">
        <w:rPr>
          <w:lang w:val="en-GB"/>
        </w:rPr>
        <w:t>d</w:t>
      </w:r>
      <w:r w:rsidRPr="00694D6D">
        <w:rPr>
          <w:lang w:val="en-GB"/>
        </w:rPr>
        <w:t xml:space="preserve"> the anticipated amendments to the PFMA that would facilitate the uptake of locally-developed technology.</w:t>
      </w:r>
    </w:p>
    <w:p w14:paraId="1BCD34AF" w14:textId="77777777" w:rsidR="00F15976" w:rsidRPr="00694D6D" w:rsidRDefault="00F15976" w:rsidP="00694D6D">
      <w:pPr>
        <w:pStyle w:val="BodyTextIndent"/>
        <w:spacing w:after="0" w:line="360" w:lineRule="auto"/>
        <w:ind w:left="0"/>
        <w:jc w:val="both"/>
        <w:rPr>
          <w:lang w:val="en-GB"/>
        </w:rPr>
      </w:pPr>
    </w:p>
    <w:p w14:paraId="2A6AEAE7" w14:textId="77777777" w:rsidR="00F15976" w:rsidRPr="00694D6D" w:rsidRDefault="00F15976" w:rsidP="00694D6D">
      <w:pPr>
        <w:pStyle w:val="BodyTextIndent"/>
        <w:numPr>
          <w:ilvl w:val="1"/>
          <w:numId w:val="1"/>
        </w:numPr>
        <w:spacing w:after="0" w:line="360" w:lineRule="auto"/>
        <w:ind w:left="567" w:hanging="567"/>
        <w:jc w:val="both"/>
        <w:rPr>
          <w:lang w:val="en-GB"/>
        </w:rPr>
      </w:pPr>
      <w:r w:rsidRPr="00694D6D">
        <w:rPr>
          <w:lang w:val="en-GB"/>
        </w:rPr>
        <w:t>The Committee consider</w:t>
      </w:r>
      <w:r w:rsidR="001D7FAC" w:rsidRPr="00694D6D">
        <w:rPr>
          <w:lang w:val="en-GB"/>
        </w:rPr>
        <w:t>ed</w:t>
      </w:r>
      <w:r w:rsidRPr="00694D6D">
        <w:rPr>
          <w:lang w:val="en-GB"/>
        </w:rPr>
        <w:t xml:space="preserve"> the increase</w:t>
      </w:r>
      <w:r w:rsidR="00D73BC3" w:rsidRPr="00694D6D">
        <w:rPr>
          <w:lang w:val="en-GB"/>
        </w:rPr>
        <w:t>d</w:t>
      </w:r>
      <w:r w:rsidRPr="00694D6D">
        <w:rPr>
          <w:lang w:val="en-GB"/>
        </w:rPr>
        <w:t xml:space="preserve"> </w:t>
      </w:r>
      <w:r w:rsidR="00D73BC3" w:rsidRPr="00694D6D">
        <w:rPr>
          <w:lang w:val="en-GB"/>
        </w:rPr>
        <w:t xml:space="preserve">participation </w:t>
      </w:r>
      <w:r w:rsidRPr="00694D6D">
        <w:rPr>
          <w:lang w:val="en-GB"/>
        </w:rPr>
        <w:t xml:space="preserve">of women in </w:t>
      </w:r>
      <w:r w:rsidR="00D73BC3" w:rsidRPr="00694D6D">
        <w:rPr>
          <w:lang w:val="en-GB"/>
        </w:rPr>
        <w:t>SETI</w:t>
      </w:r>
      <w:r w:rsidRPr="00694D6D">
        <w:rPr>
          <w:lang w:val="en-GB"/>
        </w:rPr>
        <w:t xml:space="preserve"> as important, and acknowledged the application of Ministerial </w:t>
      </w:r>
      <w:r w:rsidR="004B6121" w:rsidRPr="00694D6D">
        <w:rPr>
          <w:lang w:val="en-GB"/>
        </w:rPr>
        <w:t>G</w:t>
      </w:r>
      <w:r w:rsidRPr="00694D6D">
        <w:rPr>
          <w:lang w:val="en-GB"/>
        </w:rPr>
        <w:t>uidelines to support both female postgraduate students and researchers</w:t>
      </w:r>
      <w:r w:rsidR="00D73BC3" w:rsidRPr="00694D6D">
        <w:rPr>
          <w:lang w:val="en-GB"/>
        </w:rPr>
        <w:t>,</w:t>
      </w:r>
      <w:r w:rsidRPr="00694D6D">
        <w:rPr>
          <w:lang w:val="en-GB"/>
        </w:rPr>
        <w:t xml:space="preserve"> and the implementation of a gender-based budgeting framework by the DS</w:t>
      </w:r>
      <w:r w:rsidR="00D73BC3" w:rsidRPr="00694D6D">
        <w:rPr>
          <w:lang w:val="en-GB"/>
        </w:rPr>
        <w:t>T</w:t>
      </w:r>
      <w:r w:rsidRPr="00694D6D">
        <w:rPr>
          <w:lang w:val="en-GB"/>
        </w:rPr>
        <w:t xml:space="preserve"> and its entities with regard to procur</w:t>
      </w:r>
      <w:r w:rsidR="00D73BC3" w:rsidRPr="00694D6D">
        <w:rPr>
          <w:lang w:val="en-GB"/>
        </w:rPr>
        <w:t>ing services from</w:t>
      </w:r>
      <w:r w:rsidR="00FA4223" w:rsidRPr="00694D6D">
        <w:rPr>
          <w:lang w:val="en-GB"/>
        </w:rPr>
        <w:t xml:space="preserve"> and assistance for</w:t>
      </w:r>
      <w:r w:rsidR="00D73BC3" w:rsidRPr="00694D6D">
        <w:rPr>
          <w:lang w:val="en-GB"/>
        </w:rPr>
        <w:t xml:space="preserve"> </w:t>
      </w:r>
      <w:r w:rsidRPr="00694D6D">
        <w:rPr>
          <w:lang w:val="en-GB"/>
        </w:rPr>
        <w:t xml:space="preserve">innovation-based businesses. </w:t>
      </w:r>
    </w:p>
    <w:p w14:paraId="62C264C6" w14:textId="77777777" w:rsidR="00BD4883" w:rsidRPr="00694D6D" w:rsidRDefault="00BD4883" w:rsidP="00694D6D">
      <w:pPr>
        <w:pStyle w:val="BodyTextIndent"/>
        <w:spacing w:after="0" w:line="360" w:lineRule="auto"/>
        <w:ind w:left="0"/>
        <w:jc w:val="both"/>
        <w:rPr>
          <w:lang w:val="en-GB"/>
        </w:rPr>
      </w:pPr>
    </w:p>
    <w:p w14:paraId="56A0FD5C" w14:textId="77777777" w:rsidR="00BD4883" w:rsidRPr="00694D6D" w:rsidRDefault="00F15976" w:rsidP="00694D6D">
      <w:pPr>
        <w:pStyle w:val="BodyTextIndent"/>
        <w:numPr>
          <w:ilvl w:val="1"/>
          <w:numId w:val="1"/>
        </w:numPr>
        <w:spacing w:after="0" w:line="360" w:lineRule="auto"/>
        <w:ind w:left="567" w:hanging="567"/>
        <w:jc w:val="both"/>
        <w:rPr>
          <w:lang w:val="en-GB"/>
        </w:rPr>
      </w:pPr>
      <w:r w:rsidRPr="00694D6D">
        <w:rPr>
          <w:lang w:val="en-GB"/>
        </w:rPr>
        <w:t>Intergovernmental co-ordination and partnerships are instrumental in ensuring that the work done by the Department and the entities is used and implemented. These relationships are crucial to ensuring that crosscutting activities are better co-ordinated, and resources are not wasted. The Committee note</w:t>
      </w:r>
      <w:r w:rsidR="001D7FAC" w:rsidRPr="00694D6D">
        <w:rPr>
          <w:lang w:val="en-GB"/>
        </w:rPr>
        <w:t>d</w:t>
      </w:r>
      <w:r w:rsidRPr="00694D6D">
        <w:rPr>
          <w:lang w:val="en-GB"/>
        </w:rPr>
        <w:t xml:space="preserve"> the collaborative relations with other government departments</w:t>
      </w:r>
      <w:r w:rsidR="003150B2" w:rsidRPr="00694D6D">
        <w:rPr>
          <w:lang w:val="en-GB"/>
        </w:rPr>
        <w:t>,</w:t>
      </w:r>
      <w:r w:rsidRPr="00694D6D">
        <w:rPr>
          <w:lang w:val="en-GB"/>
        </w:rPr>
        <w:t xml:space="preserve"> with specific reference to Environmental Affairs, Health, Home Affairs, Social Development as well as Local Government.</w:t>
      </w:r>
    </w:p>
    <w:p w14:paraId="79248ECE" w14:textId="77777777" w:rsidR="00F15976" w:rsidRPr="00694D6D" w:rsidRDefault="00F15976" w:rsidP="00694D6D">
      <w:pPr>
        <w:pStyle w:val="BodyTextIndent"/>
        <w:spacing w:after="0" w:line="360" w:lineRule="auto"/>
        <w:ind w:left="0"/>
        <w:jc w:val="both"/>
        <w:rPr>
          <w:lang w:val="en-GB"/>
        </w:rPr>
      </w:pPr>
    </w:p>
    <w:p w14:paraId="0A87739E" w14:textId="77777777" w:rsidR="00F15976" w:rsidRPr="00694D6D" w:rsidRDefault="00F15976" w:rsidP="00694D6D">
      <w:pPr>
        <w:pStyle w:val="BodyTextIndent"/>
        <w:numPr>
          <w:ilvl w:val="1"/>
          <w:numId w:val="1"/>
        </w:numPr>
        <w:spacing w:after="0" w:line="360" w:lineRule="auto"/>
        <w:ind w:left="567" w:hanging="567"/>
        <w:jc w:val="both"/>
        <w:rPr>
          <w:lang w:val="en-GB"/>
        </w:rPr>
      </w:pPr>
      <w:r w:rsidRPr="00694D6D">
        <w:rPr>
          <w:lang w:val="en-GB"/>
        </w:rPr>
        <w:t>Enhanced co-ordination is also necessary at Parliament among the various portfolio and select committees in instances where science and technology issues are transversal. The Fourth Industrial Revolution may</w:t>
      </w:r>
      <w:r w:rsidR="00F14B77" w:rsidRPr="00694D6D">
        <w:rPr>
          <w:lang w:val="en-GB"/>
        </w:rPr>
        <w:t xml:space="preserve"> </w:t>
      </w:r>
      <w:r w:rsidRPr="00694D6D">
        <w:rPr>
          <w:lang w:val="en-GB"/>
        </w:rPr>
        <w:t xml:space="preserve">be such a tool in forging tighter working relationships.   </w:t>
      </w:r>
    </w:p>
    <w:p w14:paraId="096B34C4" w14:textId="77777777" w:rsidR="00F15976" w:rsidRPr="00694D6D" w:rsidRDefault="00F15976" w:rsidP="00694D6D">
      <w:pPr>
        <w:pStyle w:val="BodyTextIndent"/>
        <w:spacing w:after="0" w:line="360" w:lineRule="auto"/>
        <w:ind w:left="0"/>
        <w:jc w:val="both"/>
        <w:rPr>
          <w:lang w:val="en-GB"/>
        </w:rPr>
      </w:pPr>
    </w:p>
    <w:p w14:paraId="70D3F7CD" w14:textId="77777777" w:rsidR="00F15976" w:rsidRPr="00694D6D" w:rsidRDefault="00F15976" w:rsidP="00694D6D">
      <w:pPr>
        <w:pStyle w:val="BodyTextIndent"/>
        <w:numPr>
          <w:ilvl w:val="1"/>
          <w:numId w:val="1"/>
        </w:numPr>
        <w:spacing w:after="0" w:line="360" w:lineRule="auto"/>
        <w:ind w:left="567" w:hanging="567"/>
        <w:jc w:val="both"/>
        <w:rPr>
          <w:lang w:val="en-GB"/>
        </w:rPr>
      </w:pPr>
      <w:r w:rsidRPr="00694D6D">
        <w:rPr>
          <w:lang w:val="en-GB"/>
        </w:rPr>
        <w:t>The Committee acknowledge</w:t>
      </w:r>
      <w:r w:rsidR="001D7FAC" w:rsidRPr="00694D6D">
        <w:rPr>
          <w:lang w:val="en-GB"/>
        </w:rPr>
        <w:t>d</w:t>
      </w:r>
      <w:r w:rsidRPr="00694D6D">
        <w:rPr>
          <w:lang w:val="en-GB"/>
        </w:rPr>
        <w:t xml:space="preserve"> the Science Engagement Strategy, implemented with the Department of Basic Education</w:t>
      </w:r>
      <w:r w:rsidR="003150B2" w:rsidRPr="00694D6D">
        <w:rPr>
          <w:lang w:val="en-GB"/>
        </w:rPr>
        <w:t xml:space="preserve"> </w:t>
      </w:r>
      <w:r w:rsidRPr="00694D6D">
        <w:rPr>
          <w:lang w:val="en-GB"/>
        </w:rPr>
        <w:t>and by the NRF’s South African Agency for Science and Technology Advancement (SAASTA)</w:t>
      </w:r>
      <w:r w:rsidR="003150B2" w:rsidRPr="00694D6D">
        <w:rPr>
          <w:lang w:val="en-GB"/>
        </w:rPr>
        <w:t>,</w:t>
      </w:r>
      <w:r w:rsidRPr="00694D6D">
        <w:rPr>
          <w:lang w:val="en-GB"/>
        </w:rPr>
        <w:t xml:space="preserve"> to orientate and get young learners interested in science from an early stage. SAASTA collaborates with provincial education departments on specific outreach programmes such as the National Science Week and Science centres. Awareness and understanding of science and knowing what South African STI institutions are doing, is key to stimulating and improving the public discourse around the advantages of implementing a science policy for social wellbeing and economic growth. However, existing awareness initiatives have been reduced due to budget cuts.</w:t>
      </w:r>
    </w:p>
    <w:p w14:paraId="0ED660F2" w14:textId="77777777" w:rsidR="00F15976" w:rsidRPr="00694D6D" w:rsidRDefault="00F15976" w:rsidP="00694D6D">
      <w:pPr>
        <w:pStyle w:val="BodyTextIndent"/>
        <w:spacing w:after="0" w:line="360" w:lineRule="auto"/>
        <w:ind w:left="0"/>
        <w:jc w:val="both"/>
        <w:rPr>
          <w:lang w:val="en-GB"/>
        </w:rPr>
      </w:pPr>
    </w:p>
    <w:p w14:paraId="5151E5ED" w14:textId="77777777" w:rsidR="00F15976" w:rsidRPr="00694D6D" w:rsidRDefault="00F15976" w:rsidP="00694D6D">
      <w:pPr>
        <w:pStyle w:val="BodyTextIndent"/>
        <w:numPr>
          <w:ilvl w:val="1"/>
          <w:numId w:val="1"/>
        </w:numPr>
        <w:spacing w:after="0" w:line="360" w:lineRule="auto"/>
        <w:ind w:left="567" w:hanging="567"/>
        <w:jc w:val="both"/>
        <w:rPr>
          <w:lang w:val="en-GB"/>
        </w:rPr>
      </w:pPr>
      <w:r w:rsidRPr="00694D6D">
        <w:rPr>
          <w:lang w:val="en-GB"/>
        </w:rPr>
        <w:t>The Committee note</w:t>
      </w:r>
      <w:r w:rsidR="001D7FAC" w:rsidRPr="00694D6D">
        <w:rPr>
          <w:lang w:val="en-GB"/>
        </w:rPr>
        <w:t>d</w:t>
      </w:r>
      <w:r w:rsidRPr="00694D6D">
        <w:rPr>
          <w:lang w:val="en-GB"/>
        </w:rPr>
        <w:t xml:space="preserve"> the finalisation of the Decadal </w:t>
      </w:r>
      <w:r w:rsidR="00F14B77" w:rsidRPr="00694D6D">
        <w:rPr>
          <w:lang w:val="en-GB"/>
        </w:rPr>
        <w:t>P</w:t>
      </w:r>
      <w:r w:rsidRPr="00694D6D">
        <w:rPr>
          <w:lang w:val="en-GB"/>
        </w:rPr>
        <w:t xml:space="preserve">lan for the implementation of the </w:t>
      </w:r>
      <w:r w:rsidR="00F14B77" w:rsidRPr="00694D6D">
        <w:rPr>
          <w:lang w:val="en-GB"/>
        </w:rPr>
        <w:t xml:space="preserve">2019 </w:t>
      </w:r>
      <w:r w:rsidRPr="00694D6D">
        <w:rPr>
          <w:lang w:val="en-GB"/>
        </w:rPr>
        <w:t xml:space="preserve">White Paper </w:t>
      </w:r>
      <w:r w:rsidR="00F14B77" w:rsidRPr="00694D6D">
        <w:rPr>
          <w:lang w:val="en-GB"/>
        </w:rPr>
        <w:t xml:space="preserve">on STI </w:t>
      </w:r>
      <w:r w:rsidRPr="00694D6D">
        <w:rPr>
          <w:lang w:val="en-GB"/>
        </w:rPr>
        <w:t>and expect</w:t>
      </w:r>
      <w:r w:rsidR="00F14B77" w:rsidRPr="00694D6D">
        <w:rPr>
          <w:lang w:val="en-GB"/>
        </w:rPr>
        <w:t>s</w:t>
      </w:r>
      <w:r w:rsidRPr="00694D6D">
        <w:rPr>
          <w:lang w:val="en-GB"/>
        </w:rPr>
        <w:t xml:space="preserve"> a briefing on it in the next parliamentary term.</w:t>
      </w:r>
    </w:p>
    <w:p w14:paraId="4DEE8FE9" w14:textId="77777777" w:rsidR="00F15976" w:rsidRPr="00694D6D" w:rsidRDefault="00F15976" w:rsidP="00694D6D">
      <w:pPr>
        <w:pStyle w:val="BodyTextIndent"/>
        <w:spacing w:after="0" w:line="360" w:lineRule="auto"/>
        <w:ind w:left="0"/>
        <w:jc w:val="both"/>
        <w:rPr>
          <w:lang w:val="en-GB"/>
        </w:rPr>
      </w:pPr>
    </w:p>
    <w:p w14:paraId="5413BD2D" w14:textId="77777777" w:rsidR="009821FE" w:rsidRPr="00694D6D" w:rsidRDefault="00F15976" w:rsidP="00694D6D">
      <w:pPr>
        <w:pStyle w:val="BodyTextIndent"/>
        <w:numPr>
          <w:ilvl w:val="1"/>
          <w:numId w:val="1"/>
        </w:numPr>
        <w:spacing w:after="0" w:line="360" w:lineRule="auto"/>
        <w:ind w:left="567" w:hanging="567"/>
        <w:jc w:val="both"/>
        <w:rPr>
          <w:lang w:val="en-GB"/>
        </w:rPr>
      </w:pPr>
      <w:r w:rsidRPr="00694D6D">
        <w:rPr>
          <w:lang w:val="en-GB"/>
        </w:rPr>
        <w:t>The Committee no</w:t>
      </w:r>
      <w:r w:rsidR="00F76015" w:rsidRPr="00694D6D">
        <w:rPr>
          <w:lang w:val="en-GB"/>
        </w:rPr>
        <w:t>te</w:t>
      </w:r>
      <w:r w:rsidR="001D7FAC" w:rsidRPr="00694D6D">
        <w:rPr>
          <w:lang w:val="en-GB"/>
        </w:rPr>
        <w:t>d</w:t>
      </w:r>
      <w:r w:rsidRPr="00694D6D">
        <w:rPr>
          <w:lang w:val="en-GB"/>
        </w:rPr>
        <w:t xml:space="preserve"> the </w:t>
      </w:r>
      <w:r w:rsidR="00F76015" w:rsidRPr="00694D6D">
        <w:rPr>
          <w:lang w:val="en-GB"/>
        </w:rPr>
        <w:t>audit findings of</w:t>
      </w:r>
      <w:r w:rsidRPr="00694D6D">
        <w:rPr>
          <w:lang w:val="en-GB"/>
        </w:rPr>
        <w:t xml:space="preserve"> the </w:t>
      </w:r>
      <w:r w:rsidR="00F76015" w:rsidRPr="00694D6D">
        <w:rPr>
          <w:lang w:val="en-GB"/>
        </w:rPr>
        <w:t xml:space="preserve">AGSA with regard to the Department and the entities for the 2018/19 financial year. </w:t>
      </w:r>
      <w:r w:rsidR="00974593" w:rsidRPr="00694D6D">
        <w:rPr>
          <w:lang w:val="en-GB"/>
        </w:rPr>
        <w:t>The Committee was pleased with the unqualified audit opinions attained; however, expressed concern regarding the findings related to internal controls deficiencies.</w:t>
      </w:r>
    </w:p>
    <w:p w14:paraId="144D57E5" w14:textId="77777777" w:rsidR="00B41DF3" w:rsidRPr="00694D6D" w:rsidRDefault="00B41DF3" w:rsidP="00694D6D">
      <w:pPr>
        <w:pStyle w:val="BodyTextIndent"/>
        <w:spacing w:after="0" w:line="360" w:lineRule="auto"/>
        <w:ind w:left="0"/>
        <w:jc w:val="both"/>
        <w:rPr>
          <w:lang w:val="en-GB"/>
        </w:rPr>
      </w:pPr>
    </w:p>
    <w:p w14:paraId="763198EC" w14:textId="77777777" w:rsidR="00B41DF3" w:rsidRPr="00694D6D" w:rsidRDefault="00B41DF3" w:rsidP="00694D6D">
      <w:pPr>
        <w:pStyle w:val="BodyTextIndent"/>
        <w:numPr>
          <w:ilvl w:val="1"/>
          <w:numId w:val="1"/>
        </w:numPr>
        <w:spacing w:after="0" w:line="360" w:lineRule="auto"/>
        <w:ind w:left="567" w:hanging="567"/>
        <w:jc w:val="both"/>
        <w:rPr>
          <w:lang w:val="en-GB"/>
        </w:rPr>
      </w:pPr>
      <w:r w:rsidRPr="00694D6D">
        <w:rPr>
          <w:lang w:val="en-GB"/>
        </w:rPr>
        <w:t>The Committee was dissatisfied with the lack of detail reflected in the financial presentation of the Department.</w:t>
      </w:r>
    </w:p>
    <w:p w14:paraId="67C4806E" w14:textId="77777777" w:rsidR="00BD4883" w:rsidRPr="00694D6D" w:rsidRDefault="00BD4883" w:rsidP="00694D6D">
      <w:pPr>
        <w:pStyle w:val="BodyTextIndent"/>
        <w:spacing w:after="0" w:line="360" w:lineRule="auto"/>
        <w:ind w:left="0"/>
        <w:jc w:val="both"/>
        <w:rPr>
          <w:lang w:val="en-GB"/>
        </w:rPr>
      </w:pPr>
    </w:p>
    <w:p w14:paraId="787FEEF9" w14:textId="77777777" w:rsidR="00C7744B" w:rsidRPr="00694D6D" w:rsidRDefault="00C7744B" w:rsidP="00694D6D">
      <w:pPr>
        <w:pStyle w:val="BodyTextIndent"/>
        <w:numPr>
          <w:ilvl w:val="1"/>
          <w:numId w:val="1"/>
        </w:numPr>
        <w:spacing w:after="0" w:line="360" w:lineRule="auto"/>
        <w:ind w:left="567" w:hanging="567"/>
        <w:jc w:val="both"/>
        <w:rPr>
          <w:lang w:val="en-GB"/>
        </w:rPr>
      </w:pPr>
      <w:r w:rsidRPr="00694D6D">
        <w:rPr>
          <w:lang w:val="en-GB"/>
        </w:rPr>
        <w:t xml:space="preserve">The Committee found that the information pertaining to transformation of the sector was limited to race and gender. Details regarding </w:t>
      </w:r>
      <w:r w:rsidR="00437388" w:rsidRPr="00694D6D">
        <w:rPr>
          <w:lang w:val="en-GB"/>
        </w:rPr>
        <w:t>youth</w:t>
      </w:r>
      <w:r w:rsidRPr="00694D6D">
        <w:rPr>
          <w:lang w:val="en-GB"/>
        </w:rPr>
        <w:t xml:space="preserve"> and</w:t>
      </w:r>
      <w:r w:rsidR="00437388" w:rsidRPr="00694D6D">
        <w:rPr>
          <w:lang w:val="en-GB"/>
        </w:rPr>
        <w:t xml:space="preserve"> </w:t>
      </w:r>
      <w:r w:rsidR="00A625BA" w:rsidRPr="00694D6D">
        <w:rPr>
          <w:lang w:val="en-GB"/>
        </w:rPr>
        <w:t>disabled</w:t>
      </w:r>
      <w:r w:rsidR="00437388" w:rsidRPr="00694D6D">
        <w:rPr>
          <w:lang w:val="en-GB"/>
        </w:rPr>
        <w:t xml:space="preserve"> </w:t>
      </w:r>
      <w:r w:rsidRPr="00694D6D">
        <w:rPr>
          <w:lang w:val="en-GB"/>
        </w:rPr>
        <w:t xml:space="preserve">beneficiaries, as well as </w:t>
      </w:r>
      <w:r w:rsidR="00C328D8" w:rsidRPr="00694D6D">
        <w:rPr>
          <w:lang w:val="en-GB"/>
        </w:rPr>
        <w:t>their geographic location and institutional affiliation,</w:t>
      </w:r>
      <w:r w:rsidRPr="00694D6D">
        <w:rPr>
          <w:lang w:val="en-GB"/>
        </w:rPr>
        <w:t xml:space="preserve"> was not </w:t>
      </w:r>
      <w:r w:rsidR="00C328D8" w:rsidRPr="00694D6D">
        <w:rPr>
          <w:lang w:val="en-GB"/>
        </w:rPr>
        <w:t>always</w:t>
      </w:r>
      <w:r w:rsidR="00A625BA" w:rsidRPr="00694D6D">
        <w:rPr>
          <w:lang w:val="en-GB"/>
        </w:rPr>
        <w:t xml:space="preserve"> provided</w:t>
      </w:r>
      <w:r w:rsidR="00437388" w:rsidRPr="00694D6D">
        <w:rPr>
          <w:lang w:val="en-GB"/>
        </w:rPr>
        <w:t xml:space="preserve">. </w:t>
      </w:r>
      <w:r w:rsidR="00A625BA" w:rsidRPr="00694D6D">
        <w:rPr>
          <w:lang w:val="en-GB"/>
        </w:rPr>
        <w:t>Thus</w:t>
      </w:r>
      <w:r w:rsidR="000566D1" w:rsidRPr="00694D6D">
        <w:rPr>
          <w:lang w:val="en-GB"/>
        </w:rPr>
        <w:t>,</w:t>
      </w:r>
      <w:r w:rsidR="00A625BA" w:rsidRPr="00694D6D">
        <w:rPr>
          <w:lang w:val="en-GB"/>
        </w:rPr>
        <w:t xml:space="preserve"> it w</w:t>
      </w:r>
      <w:r w:rsidR="00437388" w:rsidRPr="00694D6D">
        <w:rPr>
          <w:lang w:val="en-GB"/>
        </w:rPr>
        <w:t xml:space="preserve">as difficult to ascertain </w:t>
      </w:r>
      <w:r w:rsidR="00A625BA" w:rsidRPr="00694D6D">
        <w:rPr>
          <w:lang w:val="en-GB"/>
        </w:rPr>
        <w:t xml:space="preserve">the impact </w:t>
      </w:r>
      <w:r w:rsidR="00C328D8" w:rsidRPr="00694D6D">
        <w:rPr>
          <w:lang w:val="en-GB"/>
        </w:rPr>
        <w:t>of initiatives geared toward addressing the imbalances in society.</w:t>
      </w:r>
    </w:p>
    <w:p w14:paraId="5EFFBFB1" w14:textId="77777777" w:rsidR="00C328D8" w:rsidRPr="00694D6D" w:rsidRDefault="00C328D8" w:rsidP="00694D6D">
      <w:pPr>
        <w:pStyle w:val="BodyTextIndent"/>
        <w:spacing w:after="0" w:line="360" w:lineRule="auto"/>
        <w:ind w:left="0"/>
        <w:jc w:val="both"/>
        <w:rPr>
          <w:lang w:val="en-GB"/>
        </w:rPr>
      </w:pPr>
    </w:p>
    <w:p w14:paraId="1469BF3F" w14:textId="77777777" w:rsidR="00E2671F" w:rsidRPr="00694D6D" w:rsidRDefault="002973BA" w:rsidP="00694D6D">
      <w:pPr>
        <w:pStyle w:val="BodyTextIndent"/>
        <w:numPr>
          <w:ilvl w:val="1"/>
          <w:numId w:val="1"/>
        </w:numPr>
        <w:spacing w:after="0" w:line="360" w:lineRule="auto"/>
        <w:ind w:left="567" w:hanging="567"/>
        <w:jc w:val="both"/>
        <w:rPr>
          <w:lang w:val="en-GB"/>
        </w:rPr>
      </w:pPr>
      <w:r w:rsidRPr="00694D6D">
        <w:rPr>
          <w:lang w:val="en-GB"/>
        </w:rPr>
        <w:t xml:space="preserve">The Committee was concerned </w:t>
      </w:r>
      <w:r w:rsidR="005D03D1" w:rsidRPr="00694D6D">
        <w:rPr>
          <w:lang w:val="en-GB"/>
        </w:rPr>
        <w:t xml:space="preserve">that the limited use </w:t>
      </w:r>
      <w:r w:rsidR="00225A35" w:rsidRPr="00694D6D">
        <w:rPr>
          <w:lang w:val="en-GB"/>
        </w:rPr>
        <w:t xml:space="preserve">of </w:t>
      </w:r>
      <w:r w:rsidR="005D03D1" w:rsidRPr="00694D6D">
        <w:rPr>
          <w:lang w:val="en-GB"/>
        </w:rPr>
        <w:t xml:space="preserve">one or two </w:t>
      </w:r>
      <w:r w:rsidR="00225A35" w:rsidRPr="00694D6D">
        <w:rPr>
          <w:lang w:val="en-GB"/>
        </w:rPr>
        <w:t>language</w:t>
      </w:r>
      <w:r w:rsidR="005D03D1" w:rsidRPr="00694D6D">
        <w:rPr>
          <w:lang w:val="en-GB"/>
        </w:rPr>
        <w:t>s to communicate information about the NSI could disadvantage other language groups from participating in the sector</w:t>
      </w:r>
      <w:r w:rsidR="00225A35" w:rsidRPr="00694D6D">
        <w:rPr>
          <w:lang w:val="en-GB"/>
        </w:rPr>
        <w:t>.</w:t>
      </w:r>
    </w:p>
    <w:p w14:paraId="37DA947A" w14:textId="77777777" w:rsidR="00A625BA" w:rsidRPr="00694D6D" w:rsidRDefault="00A625BA" w:rsidP="00694D6D">
      <w:pPr>
        <w:spacing w:line="360" w:lineRule="auto"/>
        <w:rPr>
          <w:rFonts w:ascii="Times New Roman" w:hAnsi="Times New Roman" w:cs="Times New Roman"/>
          <w:sz w:val="24"/>
          <w:szCs w:val="24"/>
          <w:lang w:val="en-GB"/>
        </w:rPr>
      </w:pPr>
    </w:p>
    <w:p w14:paraId="577ED5D3" w14:textId="77777777" w:rsidR="00A625BA" w:rsidRPr="00694D6D" w:rsidRDefault="00EF07F8" w:rsidP="00694D6D">
      <w:pPr>
        <w:pStyle w:val="BodyTextIndent"/>
        <w:numPr>
          <w:ilvl w:val="1"/>
          <w:numId w:val="1"/>
        </w:numPr>
        <w:spacing w:after="0" w:line="360" w:lineRule="auto"/>
        <w:ind w:left="567" w:hanging="567"/>
        <w:jc w:val="both"/>
        <w:rPr>
          <w:lang w:val="en-GB"/>
        </w:rPr>
      </w:pPr>
      <w:r w:rsidRPr="00694D6D">
        <w:rPr>
          <w:lang w:val="en-GB"/>
        </w:rPr>
        <w:t>When the Department and entities reported on some of the work undertaken, t</w:t>
      </w:r>
      <w:r w:rsidR="00A625BA" w:rsidRPr="00694D6D">
        <w:rPr>
          <w:lang w:val="en-GB"/>
        </w:rPr>
        <w:t xml:space="preserve">he importance of </w:t>
      </w:r>
      <w:r w:rsidR="002973BA" w:rsidRPr="00694D6D">
        <w:rPr>
          <w:lang w:val="en-GB"/>
        </w:rPr>
        <w:t>partnerships</w:t>
      </w:r>
      <w:r w:rsidR="00A625BA" w:rsidRPr="00694D6D">
        <w:rPr>
          <w:lang w:val="en-GB"/>
        </w:rPr>
        <w:t xml:space="preserve"> with municipalities</w:t>
      </w:r>
      <w:r w:rsidR="00F07926" w:rsidRPr="00694D6D">
        <w:rPr>
          <w:lang w:val="en-GB"/>
        </w:rPr>
        <w:t>, institutions</w:t>
      </w:r>
      <w:r w:rsidR="00A625BA" w:rsidRPr="00694D6D">
        <w:rPr>
          <w:lang w:val="en-GB"/>
        </w:rPr>
        <w:t xml:space="preserve"> </w:t>
      </w:r>
      <w:r w:rsidR="002973BA" w:rsidRPr="00694D6D">
        <w:rPr>
          <w:lang w:val="en-GB"/>
        </w:rPr>
        <w:t>and</w:t>
      </w:r>
      <w:r w:rsidR="00A625BA" w:rsidRPr="00694D6D">
        <w:rPr>
          <w:lang w:val="en-GB"/>
        </w:rPr>
        <w:t xml:space="preserve"> industry </w:t>
      </w:r>
      <w:r w:rsidR="002973BA" w:rsidRPr="00694D6D">
        <w:rPr>
          <w:lang w:val="en-GB"/>
        </w:rPr>
        <w:t>to</w:t>
      </w:r>
      <w:r w:rsidR="00F07926" w:rsidRPr="00694D6D">
        <w:rPr>
          <w:lang w:val="en-GB"/>
        </w:rPr>
        <w:t xml:space="preserve"> support or </w:t>
      </w:r>
      <w:r w:rsidR="002973BA" w:rsidRPr="00694D6D">
        <w:rPr>
          <w:lang w:val="en-GB"/>
        </w:rPr>
        <w:t>develop</w:t>
      </w:r>
      <w:r w:rsidR="00A625BA" w:rsidRPr="00694D6D">
        <w:rPr>
          <w:lang w:val="en-GB"/>
        </w:rPr>
        <w:t xml:space="preserve"> </w:t>
      </w:r>
      <w:r w:rsidR="00F07926" w:rsidRPr="00694D6D">
        <w:rPr>
          <w:lang w:val="en-GB"/>
        </w:rPr>
        <w:t xml:space="preserve">innovative </w:t>
      </w:r>
      <w:r w:rsidR="00A625BA" w:rsidRPr="00694D6D">
        <w:rPr>
          <w:lang w:val="en-GB"/>
        </w:rPr>
        <w:t>solutions for service delivery</w:t>
      </w:r>
      <w:r w:rsidR="00F07926" w:rsidRPr="00694D6D">
        <w:rPr>
          <w:lang w:val="en-GB"/>
        </w:rPr>
        <w:t xml:space="preserve"> </w:t>
      </w:r>
      <w:r w:rsidR="00A625BA" w:rsidRPr="00694D6D">
        <w:rPr>
          <w:lang w:val="en-GB"/>
        </w:rPr>
        <w:t>was noted</w:t>
      </w:r>
      <w:r w:rsidR="002973BA" w:rsidRPr="00694D6D">
        <w:rPr>
          <w:lang w:val="en-GB"/>
        </w:rPr>
        <w:t>. H</w:t>
      </w:r>
      <w:r w:rsidR="00F07926" w:rsidRPr="00694D6D">
        <w:rPr>
          <w:lang w:val="en-GB"/>
        </w:rPr>
        <w:t>owever</w:t>
      </w:r>
      <w:r w:rsidR="002973BA" w:rsidRPr="00694D6D">
        <w:rPr>
          <w:lang w:val="en-GB"/>
        </w:rPr>
        <w:t>,</w:t>
      </w:r>
      <w:r w:rsidR="00F07926" w:rsidRPr="00694D6D">
        <w:rPr>
          <w:lang w:val="en-GB"/>
        </w:rPr>
        <w:t xml:space="preserve"> </w:t>
      </w:r>
      <w:r w:rsidR="00A625BA" w:rsidRPr="00694D6D">
        <w:rPr>
          <w:lang w:val="en-GB"/>
        </w:rPr>
        <w:t xml:space="preserve">it was not clear how </w:t>
      </w:r>
      <w:r w:rsidR="00F07926" w:rsidRPr="00694D6D">
        <w:rPr>
          <w:lang w:val="en-GB"/>
        </w:rPr>
        <w:t xml:space="preserve">these institutions and </w:t>
      </w:r>
      <w:r w:rsidR="00A625BA" w:rsidRPr="00694D6D">
        <w:rPr>
          <w:lang w:val="en-GB"/>
        </w:rPr>
        <w:t>municipalities were selected</w:t>
      </w:r>
      <w:r w:rsidRPr="00694D6D">
        <w:rPr>
          <w:lang w:val="en-GB"/>
        </w:rPr>
        <w:t>,</w:t>
      </w:r>
      <w:r w:rsidR="00A625BA" w:rsidRPr="00694D6D">
        <w:rPr>
          <w:lang w:val="en-GB"/>
        </w:rPr>
        <w:t xml:space="preserve"> whether there </w:t>
      </w:r>
      <w:r w:rsidR="00F07926" w:rsidRPr="00694D6D">
        <w:rPr>
          <w:lang w:val="en-GB"/>
        </w:rPr>
        <w:t>was</w:t>
      </w:r>
      <w:r w:rsidR="00A625BA" w:rsidRPr="00694D6D">
        <w:rPr>
          <w:lang w:val="en-GB"/>
        </w:rPr>
        <w:t xml:space="preserve"> successful uptake of </w:t>
      </w:r>
      <w:r w:rsidR="00F07926" w:rsidRPr="00694D6D">
        <w:rPr>
          <w:lang w:val="en-GB"/>
        </w:rPr>
        <w:t xml:space="preserve">the </w:t>
      </w:r>
      <w:r w:rsidR="00A625BA" w:rsidRPr="00694D6D">
        <w:rPr>
          <w:lang w:val="en-GB"/>
        </w:rPr>
        <w:t>projects</w:t>
      </w:r>
      <w:r w:rsidR="00F07926" w:rsidRPr="00694D6D">
        <w:rPr>
          <w:lang w:val="en-GB"/>
        </w:rPr>
        <w:t xml:space="preserve"> and what the impact thereof was. </w:t>
      </w:r>
    </w:p>
    <w:p w14:paraId="37DDE0C3" w14:textId="77777777" w:rsidR="009821FE" w:rsidRPr="00694D6D" w:rsidRDefault="009821FE" w:rsidP="00694D6D">
      <w:pPr>
        <w:spacing w:after="0" w:line="360" w:lineRule="auto"/>
        <w:jc w:val="both"/>
        <w:rPr>
          <w:rFonts w:ascii="Times New Roman" w:hAnsi="Times New Roman" w:cs="Times New Roman"/>
          <w:sz w:val="24"/>
          <w:szCs w:val="24"/>
          <w:lang w:val="en-GB"/>
        </w:rPr>
      </w:pPr>
    </w:p>
    <w:p w14:paraId="56045BE6" w14:textId="77777777" w:rsidR="00282559" w:rsidRPr="00694D6D" w:rsidRDefault="00282559" w:rsidP="00694D6D">
      <w:pPr>
        <w:pStyle w:val="BodyTextIndent"/>
        <w:numPr>
          <w:ilvl w:val="1"/>
          <w:numId w:val="1"/>
        </w:numPr>
        <w:spacing w:after="0" w:line="360" w:lineRule="auto"/>
        <w:ind w:left="567" w:hanging="567"/>
        <w:jc w:val="both"/>
        <w:rPr>
          <w:lang w:val="en-GB"/>
        </w:rPr>
      </w:pPr>
      <w:r w:rsidRPr="00694D6D">
        <w:rPr>
          <w:lang w:val="en-GB"/>
        </w:rPr>
        <w:t>The Committee welcomed the merger of the Ministries of Higher Education and Science and Technology and the preliminary discussions on the possible synergi</w:t>
      </w:r>
      <w:r w:rsidR="00C01275" w:rsidRPr="00694D6D">
        <w:rPr>
          <w:lang w:val="en-GB"/>
        </w:rPr>
        <w:t>es between the two Departments. Initial areas identified include the possibility of science councils accessing the research subsidy allocated to Universities and the NRF collaborating with the National Student Financial Aid Scheme (NSFAS).</w:t>
      </w:r>
    </w:p>
    <w:p w14:paraId="00467634" w14:textId="77777777" w:rsidR="00C01275" w:rsidRPr="00694D6D" w:rsidRDefault="00C01275" w:rsidP="00694D6D">
      <w:pPr>
        <w:pStyle w:val="BodyTextIndent"/>
        <w:spacing w:after="0" w:line="360" w:lineRule="auto"/>
        <w:ind w:left="0"/>
        <w:jc w:val="both"/>
        <w:rPr>
          <w:lang w:val="en-GB"/>
        </w:rPr>
      </w:pPr>
    </w:p>
    <w:p w14:paraId="2A314EBB" w14:textId="77777777" w:rsidR="00C53114" w:rsidRPr="00694D6D" w:rsidRDefault="00C53114" w:rsidP="00694D6D">
      <w:pPr>
        <w:pStyle w:val="BodyTextIndent"/>
        <w:numPr>
          <w:ilvl w:val="0"/>
          <w:numId w:val="1"/>
        </w:numPr>
        <w:spacing w:after="0" w:line="360" w:lineRule="auto"/>
        <w:ind w:left="0" w:firstLine="0"/>
        <w:jc w:val="both"/>
        <w:rPr>
          <w:b/>
          <w:lang w:val="en-GB"/>
        </w:rPr>
      </w:pPr>
      <w:r w:rsidRPr="00694D6D">
        <w:rPr>
          <w:b/>
          <w:lang w:val="en-GB"/>
        </w:rPr>
        <w:t>RECOMMENDATIONS</w:t>
      </w:r>
    </w:p>
    <w:p w14:paraId="40A62B5C" w14:textId="77777777" w:rsidR="00C53114" w:rsidRPr="00694D6D" w:rsidRDefault="00C53114" w:rsidP="00694D6D">
      <w:pPr>
        <w:spacing w:after="0" w:line="360" w:lineRule="auto"/>
        <w:jc w:val="both"/>
        <w:rPr>
          <w:rFonts w:ascii="Times New Roman" w:hAnsi="Times New Roman" w:cs="Times New Roman"/>
          <w:sz w:val="24"/>
          <w:szCs w:val="24"/>
          <w:lang w:val="en-GB"/>
        </w:rPr>
      </w:pPr>
    </w:p>
    <w:p w14:paraId="41DA3EF7" w14:textId="77777777" w:rsidR="00C53114" w:rsidRPr="00694D6D" w:rsidRDefault="00C53114" w:rsidP="00694D6D">
      <w:pPr>
        <w:spacing w:after="0" w:line="360" w:lineRule="auto"/>
        <w:jc w:val="both"/>
        <w:rPr>
          <w:rFonts w:ascii="Times New Roman" w:hAnsi="Times New Roman" w:cs="Times New Roman"/>
          <w:sz w:val="24"/>
          <w:szCs w:val="24"/>
          <w:lang w:val="en-GB"/>
        </w:rPr>
      </w:pPr>
      <w:r w:rsidRPr="00694D6D">
        <w:rPr>
          <w:rFonts w:ascii="Times New Roman" w:hAnsi="Times New Roman" w:cs="Times New Roman"/>
          <w:sz w:val="24"/>
          <w:szCs w:val="24"/>
          <w:lang w:val="en-GB"/>
        </w:rPr>
        <w:t xml:space="preserve">The Portfolio Committee on </w:t>
      </w:r>
      <w:r w:rsidR="009821FE" w:rsidRPr="00694D6D">
        <w:rPr>
          <w:rFonts w:ascii="Times New Roman" w:hAnsi="Times New Roman" w:cs="Times New Roman"/>
          <w:sz w:val="24"/>
          <w:szCs w:val="24"/>
          <w:lang w:val="en-GB"/>
        </w:rPr>
        <w:t xml:space="preserve">Higher Education, </w:t>
      </w:r>
      <w:r w:rsidRPr="00694D6D">
        <w:rPr>
          <w:rFonts w:ascii="Times New Roman" w:hAnsi="Times New Roman" w:cs="Times New Roman"/>
          <w:sz w:val="24"/>
          <w:szCs w:val="24"/>
          <w:lang w:val="en-GB"/>
        </w:rPr>
        <w:t>Science and Technology recommends the following:</w:t>
      </w:r>
    </w:p>
    <w:p w14:paraId="6CAE5BB3" w14:textId="77777777" w:rsidR="00D00A78" w:rsidRPr="00694D6D" w:rsidRDefault="00D00A78" w:rsidP="00694D6D">
      <w:pPr>
        <w:spacing w:after="0" w:line="360" w:lineRule="auto"/>
        <w:jc w:val="both"/>
        <w:rPr>
          <w:rFonts w:ascii="Times New Roman" w:hAnsi="Times New Roman" w:cs="Times New Roman"/>
          <w:sz w:val="24"/>
          <w:szCs w:val="24"/>
          <w:lang w:val="en-GB"/>
        </w:rPr>
      </w:pPr>
    </w:p>
    <w:p w14:paraId="7800D749" w14:textId="77777777" w:rsidR="001C2446" w:rsidRPr="00694D6D" w:rsidRDefault="00F91D8F" w:rsidP="00694D6D">
      <w:pPr>
        <w:pStyle w:val="BodyTextIndent"/>
        <w:numPr>
          <w:ilvl w:val="1"/>
          <w:numId w:val="1"/>
        </w:numPr>
        <w:spacing w:after="0" w:line="360" w:lineRule="auto"/>
        <w:ind w:left="567" w:hanging="567"/>
        <w:jc w:val="both"/>
      </w:pPr>
      <w:r w:rsidRPr="00694D6D">
        <w:t>M</w:t>
      </w:r>
      <w:r w:rsidR="001C2446" w:rsidRPr="00694D6D">
        <w:t xml:space="preserve">echanisms to increase the budget allocation to the Department of Science and </w:t>
      </w:r>
      <w:r w:rsidR="001D7FAC" w:rsidRPr="00694D6D">
        <w:t>Innovation</w:t>
      </w:r>
      <w:r w:rsidRPr="00694D6D">
        <w:t xml:space="preserve"> </w:t>
      </w:r>
      <w:r w:rsidR="001C2446" w:rsidRPr="00694D6D">
        <w:t>be explored and pursued by the Minister of Higher Education, Science and Technology and that the Committee would support all efforts to secure additional funding for the science and innovation portfolio.</w:t>
      </w:r>
    </w:p>
    <w:p w14:paraId="53501610" w14:textId="77777777" w:rsidR="001D7FAC" w:rsidRPr="00694D6D" w:rsidRDefault="001D7FAC" w:rsidP="00694D6D">
      <w:pPr>
        <w:spacing w:line="360" w:lineRule="auto"/>
        <w:rPr>
          <w:rFonts w:ascii="Times New Roman" w:hAnsi="Times New Roman" w:cs="Times New Roman"/>
          <w:sz w:val="24"/>
          <w:szCs w:val="24"/>
        </w:rPr>
      </w:pPr>
    </w:p>
    <w:p w14:paraId="426B381B" w14:textId="77777777" w:rsidR="00950C09" w:rsidRPr="00694D6D" w:rsidRDefault="001C2446" w:rsidP="00694D6D">
      <w:pPr>
        <w:pStyle w:val="BodyTextIndent"/>
        <w:numPr>
          <w:ilvl w:val="1"/>
          <w:numId w:val="1"/>
        </w:numPr>
        <w:spacing w:after="0" w:line="360" w:lineRule="auto"/>
        <w:ind w:left="567" w:hanging="567"/>
        <w:jc w:val="both"/>
      </w:pPr>
      <w:r w:rsidRPr="00694D6D">
        <w:t xml:space="preserve">The Minister </w:t>
      </w:r>
      <w:r w:rsidR="00F91D8F" w:rsidRPr="00694D6D">
        <w:t xml:space="preserve">further </w:t>
      </w:r>
      <w:r w:rsidRPr="00694D6D">
        <w:t xml:space="preserve">advises against proposed funding reductions </w:t>
      </w:r>
      <w:r w:rsidR="001D7FAC" w:rsidRPr="00694D6D">
        <w:t>by</w:t>
      </w:r>
      <w:r w:rsidRPr="00694D6D">
        <w:t xml:space="preserve"> the National Treasury, based on the key motive that economic transformation, growth and the nation</w:t>
      </w:r>
      <w:r w:rsidR="001D7FAC" w:rsidRPr="00694D6D">
        <w:t>’</w:t>
      </w:r>
      <w:r w:rsidRPr="00694D6D">
        <w:t>s progress are strategically linked to our investment in science, technology and innovation.</w:t>
      </w:r>
    </w:p>
    <w:p w14:paraId="26544AE9" w14:textId="77777777" w:rsidR="00F2452E" w:rsidRPr="00694D6D" w:rsidRDefault="00F2452E" w:rsidP="00694D6D">
      <w:pPr>
        <w:pStyle w:val="ListParagraph"/>
        <w:spacing w:line="360" w:lineRule="auto"/>
        <w:ind w:left="567" w:hanging="567"/>
        <w:rPr>
          <w:rFonts w:ascii="Times New Roman" w:hAnsi="Times New Roman" w:cs="Times New Roman"/>
          <w:sz w:val="24"/>
          <w:szCs w:val="24"/>
        </w:rPr>
      </w:pPr>
    </w:p>
    <w:p w14:paraId="0ACAA417" w14:textId="77777777" w:rsidR="00F2452E" w:rsidRPr="00694D6D" w:rsidRDefault="00F2452E" w:rsidP="00694D6D">
      <w:pPr>
        <w:pStyle w:val="BodyTextIndent"/>
        <w:numPr>
          <w:ilvl w:val="1"/>
          <w:numId w:val="1"/>
        </w:numPr>
        <w:spacing w:after="0" w:line="360" w:lineRule="auto"/>
        <w:ind w:left="567" w:hanging="567"/>
        <w:jc w:val="both"/>
      </w:pPr>
      <w:r w:rsidRPr="00694D6D">
        <w:rPr>
          <w:lang w:val="en-GB"/>
        </w:rPr>
        <w:t>For STI to support the country to reach its economic goals, Government will have to ensure that the minimum target of 1.5% of GDP spent on R&amp;D, be attained as envisaged in the NDP.</w:t>
      </w:r>
    </w:p>
    <w:p w14:paraId="1B05B8DC" w14:textId="77777777" w:rsidR="001C2446" w:rsidRPr="00694D6D" w:rsidRDefault="001C2446" w:rsidP="00694D6D">
      <w:pPr>
        <w:pStyle w:val="BodyTextIndent"/>
        <w:spacing w:after="0" w:line="360" w:lineRule="auto"/>
        <w:ind w:left="0"/>
        <w:jc w:val="both"/>
      </w:pPr>
    </w:p>
    <w:p w14:paraId="459193BB" w14:textId="77777777" w:rsidR="00D33563" w:rsidRPr="00694D6D" w:rsidRDefault="00747467" w:rsidP="00694D6D">
      <w:pPr>
        <w:pStyle w:val="BodyTextIndent"/>
        <w:numPr>
          <w:ilvl w:val="1"/>
          <w:numId w:val="1"/>
        </w:numPr>
        <w:spacing w:after="0" w:line="360" w:lineRule="auto"/>
        <w:ind w:left="567" w:hanging="567"/>
        <w:jc w:val="both"/>
        <w:rPr>
          <w:lang w:val="en-GB"/>
        </w:rPr>
      </w:pPr>
      <w:r w:rsidRPr="00694D6D">
        <w:rPr>
          <w:lang w:val="en-GB"/>
        </w:rPr>
        <w:t xml:space="preserve">The Committee be updated on the </w:t>
      </w:r>
      <w:r w:rsidR="001D7FAC" w:rsidRPr="00694D6D">
        <w:rPr>
          <w:lang w:val="en-GB"/>
        </w:rPr>
        <w:t>Small Business</w:t>
      </w:r>
      <w:r w:rsidRPr="00694D6D">
        <w:rPr>
          <w:lang w:val="en-GB"/>
        </w:rPr>
        <w:t xml:space="preserve"> Innovation Fund after the commitments by the National Treasury have been formalised. </w:t>
      </w:r>
    </w:p>
    <w:p w14:paraId="7CDD5588" w14:textId="77777777" w:rsidR="00D33563" w:rsidRPr="00694D6D" w:rsidRDefault="00D33563" w:rsidP="00694D6D">
      <w:pPr>
        <w:spacing w:after="0" w:line="360" w:lineRule="auto"/>
        <w:jc w:val="both"/>
        <w:rPr>
          <w:rFonts w:ascii="Times New Roman" w:hAnsi="Times New Roman" w:cs="Times New Roman"/>
          <w:sz w:val="24"/>
          <w:szCs w:val="24"/>
        </w:rPr>
      </w:pPr>
    </w:p>
    <w:p w14:paraId="52273220" w14:textId="77777777" w:rsidR="00F14B77" w:rsidRPr="00694D6D" w:rsidRDefault="00F14B77" w:rsidP="00694D6D">
      <w:pPr>
        <w:pStyle w:val="BodyTextIndent"/>
        <w:numPr>
          <w:ilvl w:val="1"/>
          <w:numId w:val="1"/>
        </w:numPr>
        <w:spacing w:after="0" w:line="360" w:lineRule="auto"/>
        <w:ind w:left="567" w:hanging="567"/>
        <w:jc w:val="both"/>
        <w:rPr>
          <w:lang w:val="en-GB"/>
        </w:rPr>
      </w:pPr>
      <w:r w:rsidRPr="00694D6D">
        <w:rPr>
          <w:lang w:val="en-GB"/>
        </w:rPr>
        <w:t xml:space="preserve">The </w:t>
      </w:r>
      <w:r w:rsidR="00A97CC4" w:rsidRPr="00694D6D">
        <w:rPr>
          <w:lang w:val="en-GB"/>
        </w:rPr>
        <w:t xml:space="preserve">Department increase its focus on </w:t>
      </w:r>
      <w:r w:rsidR="008E67AA" w:rsidRPr="00694D6D">
        <w:rPr>
          <w:lang w:val="en-GB"/>
        </w:rPr>
        <w:t xml:space="preserve">joint </w:t>
      </w:r>
      <w:r w:rsidRPr="00694D6D">
        <w:rPr>
          <w:lang w:val="en-GB"/>
        </w:rPr>
        <w:t>programmes and projects with other government departments, to address some of the national challenges, more specifically in areas of water scarcity, electricity and information and communication technolog</w:t>
      </w:r>
      <w:r w:rsidR="008E67AA" w:rsidRPr="00694D6D">
        <w:rPr>
          <w:lang w:val="en-GB"/>
        </w:rPr>
        <w:t>ies,</w:t>
      </w:r>
      <w:r w:rsidR="00DA0C49" w:rsidRPr="00694D6D">
        <w:rPr>
          <w:lang w:val="en-GB"/>
        </w:rPr>
        <w:t xml:space="preserve"> and that reporting on these include the </w:t>
      </w:r>
      <w:r w:rsidR="00E11A56" w:rsidRPr="00694D6D">
        <w:rPr>
          <w:lang w:val="en-GB"/>
        </w:rPr>
        <w:t>impact.</w:t>
      </w:r>
      <w:r w:rsidRPr="00694D6D">
        <w:rPr>
          <w:lang w:val="en-GB"/>
        </w:rPr>
        <w:t xml:space="preserve"> </w:t>
      </w:r>
    </w:p>
    <w:p w14:paraId="44BAC8DF" w14:textId="77777777" w:rsidR="00747467" w:rsidRPr="00694D6D" w:rsidRDefault="00747467" w:rsidP="00694D6D">
      <w:pPr>
        <w:spacing w:after="0" w:line="360" w:lineRule="auto"/>
        <w:ind w:left="567" w:hanging="567"/>
        <w:jc w:val="both"/>
        <w:rPr>
          <w:rFonts w:ascii="Times New Roman" w:hAnsi="Times New Roman" w:cs="Times New Roman"/>
          <w:sz w:val="24"/>
          <w:szCs w:val="24"/>
          <w:lang w:val="en-GB"/>
        </w:rPr>
      </w:pPr>
    </w:p>
    <w:p w14:paraId="4CB8E548" w14:textId="77777777" w:rsidR="00F76015" w:rsidRPr="00694D6D" w:rsidRDefault="00F76015" w:rsidP="00694D6D">
      <w:pPr>
        <w:pStyle w:val="BodyTextIndent"/>
        <w:numPr>
          <w:ilvl w:val="1"/>
          <w:numId w:val="1"/>
        </w:numPr>
        <w:spacing w:after="0" w:line="360" w:lineRule="auto"/>
        <w:ind w:left="567" w:hanging="567"/>
        <w:jc w:val="both"/>
        <w:rPr>
          <w:lang w:val="en-GB"/>
        </w:rPr>
      </w:pPr>
      <w:r w:rsidRPr="00694D6D">
        <w:rPr>
          <w:lang w:val="en-GB"/>
        </w:rPr>
        <w:t xml:space="preserve">The Committee, aware of the complexity of measuring and reporting on the impact of investment in science, recommends that the Department continue to explore mechanisms to better report on the impact of science and technology. </w:t>
      </w:r>
    </w:p>
    <w:p w14:paraId="6C40E5ED" w14:textId="77777777" w:rsidR="008E67AA" w:rsidRPr="00694D6D" w:rsidRDefault="008E67AA" w:rsidP="00694D6D">
      <w:pPr>
        <w:spacing w:line="360" w:lineRule="auto"/>
        <w:rPr>
          <w:rFonts w:ascii="Times New Roman" w:hAnsi="Times New Roman" w:cs="Times New Roman"/>
          <w:sz w:val="24"/>
          <w:szCs w:val="24"/>
          <w:lang w:val="en-GB"/>
        </w:rPr>
      </w:pPr>
    </w:p>
    <w:p w14:paraId="10C1AF16" w14:textId="77777777" w:rsidR="00D33563" w:rsidRPr="00694D6D" w:rsidRDefault="00A97CC4" w:rsidP="00694D6D">
      <w:pPr>
        <w:pStyle w:val="BodyTextIndent"/>
        <w:numPr>
          <w:ilvl w:val="1"/>
          <w:numId w:val="1"/>
        </w:numPr>
        <w:spacing w:after="0" w:line="360" w:lineRule="auto"/>
        <w:ind w:left="567" w:hanging="567"/>
        <w:jc w:val="both"/>
      </w:pPr>
      <w:r w:rsidRPr="00694D6D">
        <w:t>The</w:t>
      </w:r>
      <w:r w:rsidR="00D33563" w:rsidRPr="00694D6D">
        <w:t xml:space="preserve"> Department </w:t>
      </w:r>
      <w:r w:rsidRPr="00694D6D">
        <w:t xml:space="preserve">and entities </w:t>
      </w:r>
      <w:r w:rsidR="00D33563" w:rsidRPr="00694D6D">
        <w:t>ensures that when it enters into agreements to secure contract funding for research and development, these agreements do not compromise the intentions of the research agenda to address national priorities.</w:t>
      </w:r>
    </w:p>
    <w:p w14:paraId="71668760" w14:textId="77777777" w:rsidR="00D33563" w:rsidRPr="00694D6D" w:rsidRDefault="00D33563" w:rsidP="00694D6D">
      <w:pPr>
        <w:spacing w:after="0" w:line="360" w:lineRule="auto"/>
        <w:jc w:val="both"/>
        <w:rPr>
          <w:rFonts w:ascii="Times New Roman" w:hAnsi="Times New Roman" w:cs="Times New Roman"/>
          <w:sz w:val="24"/>
          <w:szCs w:val="24"/>
        </w:rPr>
      </w:pPr>
    </w:p>
    <w:p w14:paraId="05646A69" w14:textId="77777777" w:rsidR="00BB1179" w:rsidRPr="00694D6D" w:rsidRDefault="00BB1179" w:rsidP="00694D6D">
      <w:pPr>
        <w:pStyle w:val="BodyTextIndent"/>
        <w:numPr>
          <w:ilvl w:val="1"/>
          <w:numId w:val="1"/>
        </w:numPr>
        <w:spacing w:after="0" w:line="360" w:lineRule="auto"/>
        <w:ind w:left="567" w:hanging="567"/>
        <w:jc w:val="both"/>
      </w:pPr>
      <w:r w:rsidRPr="00694D6D">
        <w:t xml:space="preserve">The Committee </w:t>
      </w:r>
      <w:r w:rsidR="00776894" w:rsidRPr="00694D6D">
        <w:t xml:space="preserve">anticipates the approval of the Decadal Plan, </w:t>
      </w:r>
      <w:r w:rsidR="00BA20D0" w:rsidRPr="00694D6D">
        <w:t xml:space="preserve">which endorses the finance model for the uptake of the programmes outlined in the White Paper on Science, Technology and Innovation and speaks to the implementation thereof. </w:t>
      </w:r>
      <w:r w:rsidR="0026643F" w:rsidRPr="00694D6D">
        <w:t>T</w:t>
      </w:r>
      <w:r w:rsidR="00776894" w:rsidRPr="00694D6D">
        <w:t xml:space="preserve">he Department </w:t>
      </w:r>
      <w:r w:rsidR="0026643F" w:rsidRPr="00694D6D">
        <w:t xml:space="preserve">to </w:t>
      </w:r>
      <w:r w:rsidR="00776894" w:rsidRPr="00694D6D">
        <w:t>brief them on this Plan</w:t>
      </w:r>
      <w:r w:rsidRPr="00694D6D">
        <w:t xml:space="preserve"> </w:t>
      </w:r>
      <w:r w:rsidR="0026643F" w:rsidRPr="00694D6D">
        <w:t>once approved.</w:t>
      </w:r>
    </w:p>
    <w:p w14:paraId="7852ED6C" w14:textId="77777777" w:rsidR="00776894" w:rsidRPr="00694D6D" w:rsidRDefault="00776894" w:rsidP="00694D6D">
      <w:pPr>
        <w:spacing w:line="360" w:lineRule="auto"/>
        <w:contextualSpacing/>
        <w:rPr>
          <w:rFonts w:ascii="Times New Roman" w:hAnsi="Times New Roman" w:cs="Times New Roman"/>
          <w:sz w:val="24"/>
          <w:szCs w:val="24"/>
        </w:rPr>
      </w:pPr>
    </w:p>
    <w:p w14:paraId="206B39AE" w14:textId="77777777" w:rsidR="00BB1179" w:rsidRPr="00694D6D" w:rsidRDefault="00776894" w:rsidP="00694D6D">
      <w:pPr>
        <w:pStyle w:val="BodyTextIndent"/>
        <w:numPr>
          <w:ilvl w:val="1"/>
          <w:numId w:val="1"/>
        </w:numPr>
        <w:spacing w:after="0" w:line="360" w:lineRule="auto"/>
        <w:ind w:left="567" w:hanging="567"/>
        <w:jc w:val="both"/>
      </w:pPr>
      <w:r w:rsidRPr="00694D6D">
        <w:t xml:space="preserve">The Committee be briefed on the R&amp;D Tax Incentive Programme with regard to strategies to </w:t>
      </w:r>
      <w:r w:rsidR="000566D1" w:rsidRPr="00694D6D">
        <w:t xml:space="preserve">further </w:t>
      </w:r>
      <w:r w:rsidRPr="00694D6D">
        <w:t xml:space="preserve">stimulate private sector investment and also how it </w:t>
      </w:r>
      <w:r w:rsidR="00436442" w:rsidRPr="00694D6D">
        <w:t>proposes</w:t>
      </w:r>
      <w:r w:rsidRPr="00694D6D">
        <w:t xml:space="preserve"> to address the internal administrative and operation</w:t>
      </w:r>
      <w:r w:rsidR="0026643F" w:rsidRPr="00694D6D">
        <w:t>al</w:t>
      </w:r>
      <w:r w:rsidRPr="00694D6D">
        <w:t xml:space="preserve"> challenge</w:t>
      </w:r>
      <w:r w:rsidR="0026643F" w:rsidRPr="00694D6D">
        <w:t>s</w:t>
      </w:r>
      <w:r w:rsidRPr="00694D6D">
        <w:t xml:space="preserve"> to </w:t>
      </w:r>
      <w:r w:rsidR="0026643F" w:rsidRPr="00694D6D">
        <w:t>implement</w:t>
      </w:r>
      <w:r w:rsidRPr="00694D6D">
        <w:t xml:space="preserve"> this </w:t>
      </w:r>
      <w:r w:rsidR="000566D1" w:rsidRPr="00694D6D">
        <w:t>P</w:t>
      </w:r>
      <w:r w:rsidRPr="00694D6D">
        <w:t>rogramme successfully.</w:t>
      </w:r>
    </w:p>
    <w:p w14:paraId="4C907BFC" w14:textId="77777777" w:rsidR="00C01275" w:rsidRPr="00694D6D" w:rsidRDefault="00C01275" w:rsidP="00694D6D">
      <w:pPr>
        <w:spacing w:line="360" w:lineRule="auto"/>
        <w:contextualSpacing/>
        <w:rPr>
          <w:rFonts w:ascii="Times New Roman" w:hAnsi="Times New Roman" w:cs="Times New Roman"/>
          <w:sz w:val="24"/>
          <w:szCs w:val="24"/>
        </w:rPr>
      </w:pPr>
    </w:p>
    <w:p w14:paraId="5DF16017" w14:textId="77777777" w:rsidR="00C01275" w:rsidRPr="00694D6D" w:rsidRDefault="00C01275" w:rsidP="00694D6D">
      <w:pPr>
        <w:pStyle w:val="BodyTextIndent"/>
        <w:numPr>
          <w:ilvl w:val="1"/>
          <w:numId w:val="1"/>
        </w:numPr>
        <w:spacing w:after="0" w:line="360" w:lineRule="auto"/>
        <w:ind w:left="567" w:hanging="567"/>
        <w:jc w:val="both"/>
      </w:pPr>
      <w:r w:rsidRPr="00694D6D">
        <w:t>The Committee be briefed on the developments regarding access to the research subsidy and the collaboration between the NRF and the NSFAS.</w:t>
      </w:r>
    </w:p>
    <w:p w14:paraId="100041A1" w14:textId="77777777" w:rsidR="00436442" w:rsidRPr="00694D6D" w:rsidRDefault="00436442" w:rsidP="00694D6D">
      <w:pPr>
        <w:spacing w:line="360" w:lineRule="auto"/>
        <w:contextualSpacing/>
        <w:rPr>
          <w:rFonts w:ascii="Times New Roman" w:hAnsi="Times New Roman" w:cs="Times New Roman"/>
          <w:sz w:val="24"/>
          <w:szCs w:val="24"/>
        </w:rPr>
      </w:pPr>
    </w:p>
    <w:p w14:paraId="74E266D9" w14:textId="77777777" w:rsidR="00BA20D0" w:rsidRPr="00694D6D" w:rsidRDefault="00BA20D0" w:rsidP="00694D6D">
      <w:pPr>
        <w:pStyle w:val="BodyTextIndent"/>
        <w:numPr>
          <w:ilvl w:val="1"/>
          <w:numId w:val="1"/>
        </w:numPr>
        <w:spacing w:after="0" w:line="360" w:lineRule="auto"/>
        <w:ind w:left="567" w:hanging="567"/>
        <w:jc w:val="both"/>
      </w:pPr>
      <w:r w:rsidRPr="00694D6D">
        <w:t xml:space="preserve">The Department and entities, when presenting </w:t>
      </w:r>
      <w:r w:rsidR="000566D1" w:rsidRPr="00694D6D">
        <w:t>their</w:t>
      </w:r>
      <w:r w:rsidRPr="00694D6D">
        <w:t xml:space="preserve"> Annual Report, should report in a more illustrative manner on programmes, targets and allocations</w:t>
      </w:r>
      <w:r w:rsidR="000566D1" w:rsidRPr="00694D6D">
        <w:t>,</w:t>
      </w:r>
      <w:r w:rsidRPr="00694D6D">
        <w:t xml:space="preserve"> what was spent and achieved. In future, the Department is requested to submit more financial detail when they report on the budgetary aspects of their plans.</w:t>
      </w:r>
    </w:p>
    <w:p w14:paraId="2C9076DD" w14:textId="77777777" w:rsidR="00BA20D0" w:rsidRPr="00694D6D" w:rsidRDefault="00BA20D0" w:rsidP="00694D6D">
      <w:pPr>
        <w:spacing w:after="0" w:line="360" w:lineRule="auto"/>
        <w:jc w:val="both"/>
        <w:rPr>
          <w:rFonts w:ascii="Times New Roman" w:eastAsia="Times New Roman" w:hAnsi="Times New Roman" w:cs="Times New Roman"/>
          <w:bCs/>
          <w:sz w:val="24"/>
          <w:szCs w:val="24"/>
          <w:lang w:val="en-GB"/>
        </w:rPr>
      </w:pPr>
    </w:p>
    <w:p w14:paraId="3D2CC2A5" w14:textId="77777777" w:rsidR="00BA20D0" w:rsidRPr="00694D6D" w:rsidRDefault="00BA20D0" w:rsidP="00694D6D">
      <w:pPr>
        <w:pStyle w:val="BodyTextIndent"/>
        <w:numPr>
          <w:ilvl w:val="1"/>
          <w:numId w:val="1"/>
        </w:numPr>
        <w:spacing w:after="0" w:line="360" w:lineRule="auto"/>
        <w:ind w:left="567" w:hanging="567"/>
        <w:jc w:val="both"/>
      </w:pPr>
      <w:r w:rsidRPr="00694D6D">
        <w:t>The Department and entities strengthen their internal control functions and ensure full compliance with legislative prescripts to avoid future findings from the Auditor-General</w:t>
      </w:r>
      <w:r w:rsidR="0026643F" w:rsidRPr="00694D6D">
        <w:t>.</w:t>
      </w:r>
      <w:r w:rsidRPr="00694D6D">
        <w:t xml:space="preserve"> </w:t>
      </w:r>
    </w:p>
    <w:p w14:paraId="7933FCEB" w14:textId="77777777" w:rsidR="00BA20D0" w:rsidRPr="00694D6D" w:rsidRDefault="00BA20D0" w:rsidP="00694D6D">
      <w:pPr>
        <w:spacing w:line="360" w:lineRule="auto"/>
        <w:contextualSpacing/>
        <w:rPr>
          <w:rFonts w:ascii="Times New Roman" w:hAnsi="Times New Roman" w:cs="Times New Roman"/>
          <w:sz w:val="24"/>
          <w:szCs w:val="24"/>
        </w:rPr>
      </w:pPr>
    </w:p>
    <w:p w14:paraId="5A7AC06D" w14:textId="77777777" w:rsidR="00FA2E4C" w:rsidRPr="00694D6D" w:rsidRDefault="00FA2E4C" w:rsidP="00694D6D">
      <w:pPr>
        <w:pStyle w:val="BodyTextIndent"/>
        <w:numPr>
          <w:ilvl w:val="1"/>
          <w:numId w:val="1"/>
        </w:numPr>
        <w:spacing w:after="0" w:line="360" w:lineRule="auto"/>
        <w:ind w:left="567" w:hanging="567"/>
        <w:jc w:val="both"/>
      </w:pPr>
      <w:r w:rsidRPr="00694D6D">
        <w:t>The Committee rejected the TIA report and recommends that the TIA, represented by the Chairperson of the Board, re-appear before the Committee, presenting a full account of its 2018/19 finances and performance, including the omitted information about its former CEO as well as the appendices referred to in the report, but not attached.</w:t>
      </w:r>
    </w:p>
    <w:p w14:paraId="3234F595" w14:textId="77777777" w:rsidR="00436442" w:rsidRPr="00694D6D" w:rsidRDefault="00436442" w:rsidP="00694D6D">
      <w:pPr>
        <w:pStyle w:val="BodyTextIndent"/>
        <w:spacing w:after="0" w:line="360" w:lineRule="auto"/>
        <w:ind w:left="0"/>
        <w:jc w:val="both"/>
      </w:pPr>
    </w:p>
    <w:p w14:paraId="34BE22C1" w14:textId="77777777" w:rsidR="008A1EEF" w:rsidRPr="00694D6D" w:rsidRDefault="008A1EEF" w:rsidP="00694D6D">
      <w:pPr>
        <w:pStyle w:val="ListParagraph"/>
        <w:spacing w:line="360" w:lineRule="auto"/>
        <w:ind w:left="0"/>
        <w:rPr>
          <w:rFonts w:ascii="Times New Roman" w:hAnsi="Times New Roman" w:cs="Times New Roman"/>
          <w:b/>
          <w:sz w:val="24"/>
          <w:szCs w:val="24"/>
        </w:rPr>
      </w:pPr>
      <w:r w:rsidRPr="00694D6D">
        <w:rPr>
          <w:rFonts w:ascii="Times New Roman" w:hAnsi="Times New Roman" w:cs="Times New Roman"/>
          <w:b/>
          <w:sz w:val="24"/>
          <w:szCs w:val="24"/>
        </w:rPr>
        <w:t>Conclusion</w:t>
      </w:r>
    </w:p>
    <w:p w14:paraId="7D4826D8" w14:textId="77777777" w:rsidR="0026643F" w:rsidRPr="00694D6D" w:rsidRDefault="0026643F" w:rsidP="00694D6D">
      <w:pPr>
        <w:pStyle w:val="ListParagraph"/>
        <w:spacing w:line="360" w:lineRule="auto"/>
        <w:ind w:left="0"/>
        <w:rPr>
          <w:rFonts w:ascii="Times New Roman" w:hAnsi="Times New Roman" w:cs="Times New Roman"/>
          <w:sz w:val="24"/>
          <w:szCs w:val="24"/>
        </w:rPr>
      </w:pPr>
      <w:r w:rsidRPr="00694D6D">
        <w:rPr>
          <w:rFonts w:ascii="Times New Roman" w:hAnsi="Times New Roman" w:cs="Times New Roman"/>
          <w:sz w:val="24"/>
          <w:szCs w:val="24"/>
        </w:rPr>
        <w:t>The Committee thanks the Minister, Deputy Minister, Department and the entities for their co-operation and commitment.</w:t>
      </w:r>
    </w:p>
    <w:p w14:paraId="5407196A" w14:textId="77777777" w:rsidR="008A1EEF" w:rsidRPr="00694D6D" w:rsidRDefault="008A1EEF" w:rsidP="00694D6D">
      <w:pPr>
        <w:pStyle w:val="ListParagraph"/>
        <w:spacing w:after="0" w:line="360" w:lineRule="auto"/>
        <w:ind w:left="0"/>
        <w:rPr>
          <w:rFonts w:ascii="Times New Roman" w:hAnsi="Times New Roman" w:cs="Times New Roman"/>
          <w:sz w:val="24"/>
          <w:szCs w:val="24"/>
        </w:rPr>
      </w:pPr>
      <w:r w:rsidRPr="00694D6D">
        <w:rPr>
          <w:rFonts w:ascii="Times New Roman" w:hAnsi="Times New Roman" w:cs="Times New Roman"/>
          <w:sz w:val="24"/>
          <w:szCs w:val="24"/>
        </w:rPr>
        <w:t>The Committee expressed its thanks and appreciation to the staff and officials supporting the Committee.</w:t>
      </w:r>
    </w:p>
    <w:p w14:paraId="2F66D58B" w14:textId="77777777" w:rsidR="00694D6D" w:rsidRDefault="00694D6D" w:rsidP="00694D6D">
      <w:pPr>
        <w:spacing w:after="0" w:line="360" w:lineRule="auto"/>
        <w:rPr>
          <w:rFonts w:ascii="Times New Roman" w:hAnsi="Times New Roman" w:cs="Times New Roman"/>
          <w:sz w:val="24"/>
          <w:szCs w:val="24"/>
        </w:rPr>
      </w:pPr>
    </w:p>
    <w:p w14:paraId="171B0DC4" w14:textId="77777777" w:rsidR="00694D6D" w:rsidRDefault="00694D6D" w:rsidP="00694D6D">
      <w:pPr>
        <w:spacing w:after="0" w:line="360" w:lineRule="auto"/>
        <w:rPr>
          <w:rFonts w:ascii="Times New Roman" w:hAnsi="Times New Roman" w:cs="Times New Roman"/>
          <w:sz w:val="24"/>
          <w:szCs w:val="24"/>
        </w:rPr>
      </w:pPr>
    </w:p>
    <w:p w14:paraId="03EBCAA2" w14:textId="77777777" w:rsidR="008A1EEF" w:rsidRPr="00694D6D" w:rsidRDefault="00FA2E4C" w:rsidP="00694D6D">
      <w:pPr>
        <w:spacing w:after="0" w:line="360" w:lineRule="auto"/>
        <w:rPr>
          <w:rFonts w:ascii="Times New Roman" w:hAnsi="Times New Roman" w:cs="Times New Roman"/>
          <w:sz w:val="24"/>
          <w:szCs w:val="24"/>
        </w:rPr>
      </w:pPr>
      <w:r w:rsidRPr="00694D6D">
        <w:rPr>
          <w:rFonts w:ascii="Times New Roman" w:hAnsi="Times New Roman" w:cs="Times New Roman"/>
          <w:sz w:val="24"/>
          <w:szCs w:val="24"/>
        </w:rPr>
        <w:t xml:space="preserve">The Democratic Alliance </w:t>
      </w:r>
      <w:r w:rsidR="008A1EEF" w:rsidRPr="00694D6D">
        <w:rPr>
          <w:rFonts w:ascii="Times New Roman" w:hAnsi="Times New Roman" w:cs="Times New Roman"/>
          <w:sz w:val="24"/>
          <w:szCs w:val="24"/>
        </w:rPr>
        <w:t xml:space="preserve">reserved their right to an opinion on the </w:t>
      </w:r>
      <w:r w:rsidR="000566D1" w:rsidRPr="00694D6D">
        <w:rPr>
          <w:rFonts w:ascii="Times New Roman" w:hAnsi="Times New Roman" w:cs="Times New Roman"/>
          <w:sz w:val="24"/>
          <w:szCs w:val="24"/>
        </w:rPr>
        <w:t>Report</w:t>
      </w:r>
      <w:r w:rsidR="008A1EEF" w:rsidRPr="00694D6D">
        <w:rPr>
          <w:rFonts w:ascii="Times New Roman" w:hAnsi="Times New Roman" w:cs="Times New Roman"/>
          <w:sz w:val="24"/>
          <w:szCs w:val="24"/>
        </w:rPr>
        <w:t>.</w:t>
      </w:r>
    </w:p>
    <w:p w14:paraId="07C965B2" w14:textId="77777777" w:rsidR="00694D6D" w:rsidRDefault="00694D6D" w:rsidP="00694D6D">
      <w:pPr>
        <w:spacing w:after="0" w:line="360" w:lineRule="auto"/>
        <w:rPr>
          <w:rFonts w:ascii="Times New Roman" w:hAnsi="Times New Roman" w:cs="Times New Roman"/>
          <w:sz w:val="24"/>
          <w:szCs w:val="24"/>
        </w:rPr>
      </w:pPr>
    </w:p>
    <w:p w14:paraId="544F2405" w14:textId="77777777" w:rsidR="00694D6D" w:rsidRPr="00694D6D" w:rsidRDefault="00694D6D" w:rsidP="00694D6D">
      <w:pPr>
        <w:spacing w:after="0" w:line="360" w:lineRule="auto"/>
        <w:rPr>
          <w:rFonts w:ascii="Times New Roman" w:hAnsi="Times New Roman" w:cs="Times New Roman"/>
          <w:sz w:val="24"/>
          <w:szCs w:val="24"/>
        </w:rPr>
      </w:pPr>
    </w:p>
    <w:p w14:paraId="7B25C328" w14:textId="77777777" w:rsidR="008A1EEF" w:rsidRPr="00694D6D" w:rsidRDefault="00FA2E4C" w:rsidP="00694D6D">
      <w:pPr>
        <w:spacing w:line="360" w:lineRule="auto"/>
        <w:rPr>
          <w:rFonts w:ascii="Times New Roman" w:hAnsi="Times New Roman" w:cs="Times New Roman"/>
          <w:b/>
          <w:sz w:val="24"/>
          <w:szCs w:val="24"/>
        </w:rPr>
      </w:pPr>
      <w:r w:rsidRPr="00694D6D">
        <w:rPr>
          <w:rFonts w:ascii="Times New Roman" w:hAnsi="Times New Roman" w:cs="Times New Roman"/>
          <w:b/>
          <w:sz w:val="24"/>
          <w:szCs w:val="24"/>
        </w:rPr>
        <w:t>R</w:t>
      </w:r>
      <w:r w:rsidR="008A1EEF" w:rsidRPr="00694D6D">
        <w:rPr>
          <w:rFonts w:ascii="Times New Roman" w:hAnsi="Times New Roman" w:cs="Times New Roman"/>
          <w:b/>
          <w:sz w:val="24"/>
          <w:szCs w:val="24"/>
        </w:rPr>
        <w:t>eport to be considered.</w:t>
      </w:r>
    </w:p>
    <w:p w14:paraId="72BCD295" w14:textId="77777777" w:rsidR="00400BF4" w:rsidRPr="00694D6D" w:rsidRDefault="00400BF4" w:rsidP="00694D6D">
      <w:pPr>
        <w:spacing w:after="0" w:line="360" w:lineRule="auto"/>
        <w:jc w:val="both"/>
        <w:rPr>
          <w:rFonts w:ascii="Times New Roman" w:hAnsi="Times New Roman" w:cs="Times New Roman"/>
          <w:sz w:val="24"/>
          <w:szCs w:val="24"/>
          <w:lang w:val="en-GB"/>
        </w:rPr>
      </w:pPr>
    </w:p>
    <w:sectPr w:rsidR="00400BF4" w:rsidRPr="00694D6D" w:rsidSect="009A6C97">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DA619" w14:textId="77777777" w:rsidR="00151B69" w:rsidRDefault="00151B69" w:rsidP="00353A2C">
      <w:pPr>
        <w:spacing w:after="0" w:line="240" w:lineRule="auto"/>
      </w:pPr>
      <w:r>
        <w:separator/>
      </w:r>
    </w:p>
  </w:endnote>
  <w:endnote w:type="continuationSeparator" w:id="0">
    <w:p w14:paraId="0573C287" w14:textId="77777777" w:rsidR="00151B69" w:rsidRDefault="00151B69" w:rsidP="00353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3437"/>
      <w:docPartObj>
        <w:docPartGallery w:val="Page Numbers (Bottom of Page)"/>
        <w:docPartUnique/>
      </w:docPartObj>
    </w:sdtPr>
    <w:sdtEndPr/>
    <w:sdtContent>
      <w:p w14:paraId="13636447" w14:textId="31D92368" w:rsidR="002973BA" w:rsidRDefault="002973BA">
        <w:pPr>
          <w:pStyle w:val="Footer"/>
          <w:jc w:val="right"/>
        </w:pPr>
        <w:r w:rsidRPr="00095F3E">
          <w:rPr>
            <w:rFonts w:ascii="Arial" w:hAnsi="Arial"/>
          </w:rPr>
          <w:fldChar w:fldCharType="begin"/>
        </w:r>
        <w:r w:rsidRPr="00095F3E">
          <w:rPr>
            <w:rFonts w:ascii="Arial" w:hAnsi="Arial"/>
          </w:rPr>
          <w:instrText xml:space="preserve"> PAGE   \* MERGEFORMAT </w:instrText>
        </w:r>
        <w:r w:rsidRPr="00095F3E">
          <w:rPr>
            <w:rFonts w:ascii="Arial" w:hAnsi="Arial"/>
          </w:rPr>
          <w:fldChar w:fldCharType="separate"/>
        </w:r>
        <w:r w:rsidR="00151B69">
          <w:rPr>
            <w:rFonts w:ascii="Arial" w:hAnsi="Arial"/>
            <w:noProof/>
          </w:rPr>
          <w:t>1</w:t>
        </w:r>
        <w:r w:rsidRPr="00095F3E">
          <w:rPr>
            <w:rFonts w:ascii="Arial" w:hAnsi="Arial"/>
          </w:rPr>
          <w:fldChar w:fldCharType="end"/>
        </w:r>
      </w:p>
    </w:sdtContent>
  </w:sdt>
  <w:p w14:paraId="670AA892" w14:textId="77777777" w:rsidR="002973BA" w:rsidRDefault="002973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F5759" w14:textId="77777777" w:rsidR="00151B69" w:rsidRDefault="00151B69" w:rsidP="00353A2C">
      <w:pPr>
        <w:spacing w:after="0" w:line="240" w:lineRule="auto"/>
      </w:pPr>
      <w:r>
        <w:separator/>
      </w:r>
    </w:p>
  </w:footnote>
  <w:footnote w:type="continuationSeparator" w:id="0">
    <w:p w14:paraId="7B5286F9" w14:textId="77777777" w:rsidR="00151B69" w:rsidRDefault="00151B69" w:rsidP="00353A2C">
      <w:pPr>
        <w:spacing w:after="0" w:line="240" w:lineRule="auto"/>
      </w:pPr>
      <w:r>
        <w:continuationSeparator/>
      </w:r>
    </w:p>
  </w:footnote>
  <w:footnote w:id="1">
    <w:p w14:paraId="1E5434A7" w14:textId="77777777" w:rsidR="002973BA" w:rsidRDefault="002973BA">
      <w:pPr>
        <w:pStyle w:val="FootnoteText"/>
      </w:pPr>
      <w:r>
        <w:rPr>
          <w:rStyle w:val="FootnoteReference"/>
        </w:rPr>
        <w:footnoteRef/>
      </w:r>
      <w:r>
        <w:t xml:space="preserve"> As stated in the Minister of Finance’s response to the Committee’s 2017 BRR Report. National Treasury, 2018 Budget Review.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AA3"/>
    <w:multiLevelType w:val="hybridMultilevel"/>
    <w:tmpl w:val="8A929A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0D4681A"/>
    <w:multiLevelType w:val="multilevel"/>
    <w:tmpl w:val="D06A05EE"/>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isLgl/>
      <w:lvlText w:val="%1.%2."/>
      <w:lvlJc w:val="left"/>
      <w:pPr>
        <w:ind w:left="1146"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02C02DA1"/>
    <w:multiLevelType w:val="hybridMultilevel"/>
    <w:tmpl w:val="464AED7A"/>
    <w:lvl w:ilvl="0" w:tplc="1C090001">
      <w:start w:val="1"/>
      <w:numFmt w:val="bullet"/>
      <w:lvlText w:val=""/>
      <w:lvlJc w:val="left"/>
      <w:pPr>
        <w:ind w:left="1440" w:hanging="360"/>
      </w:pPr>
      <w:rPr>
        <w:rFonts w:ascii="Symbol" w:hAnsi="Symbol" w:hint="default"/>
      </w:rPr>
    </w:lvl>
    <w:lvl w:ilvl="1" w:tplc="1C090001">
      <w:start w:val="1"/>
      <w:numFmt w:val="bullet"/>
      <w:lvlText w:val=""/>
      <w:lvlJc w:val="left"/>
      <w:pPr>
        <w:ind w:left="2160" w:hanging="360"/>
      </w:pPr>
      <w:rPr>
        <w:rFonts w:ascii="Symbol" w:hAnsi="Symbol"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0AD410CD"/>
    <w:multiLevelType w:val="hybridMultilevel"/>
    <w:tmpl w:val="84484C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58E1905"/>
    <w:multiLevelType w:val="hybridMultilevel"/>
    <w:tmpl w:val="312A95E8"/>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F3021810">
      <w:start w:val="1"/>
      <w:numFmt w:val="bullet"/>
      <w:lvlText w:val="o"/>
      <w:lvlJc w:val="left"/>
      <w:pPr>
        <w:ind w:left="2160" w:hanging="360"/>
      </w:pPr>
      <w:rPr>
        <w:rFonts w:ascii="Symbol" w:hAnsi="Symbol" w:cs="Courier New" w:hint="default"/>
        <w:b/>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FB21E04"/>
    <w:multiLevelType w:val="hybridMultilevel"/>
    <w:tmpl w:val="9788EA6C"/>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6740" w:hanging="360"/>
      </w:pPr>
      <w:rPr>
        <w:rFonts w:ascii="Symbol" w:hAnsi="Symbol" w:hint="default"/>
      </w:rPr>
    </w:lvl>
    <w:lvl w:ilvl="2" w:tplc="3392B7D2">
      <w:start w:val="1"/>
      <w:numFmt w:val="bullet"/>
      <w:lvlText w:val="o"/>
      <w:lvlJc w:val="left"/>
      <w:pPr>
        <w:ind w:left="2370" w:hanging="570"/>
      </w:pPr>
      <w:rPr>
        <w:rFonts w:ascii="Symbol" w:hAnsi="Symbol" w:cs="Courier New" w:hint="default"/>
        <w:b/>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5696C10"/>
    <w:multiLevelType w:val="hybridMultilevel"/>
    <w:tmpl w:val="39FCD6E0"/>
    <w:lvl w:ilvl="0" w:tplc="1C090001">
      <w:start w:val="1"/>
      <w:numFmt w:val="bullet"/>
      <w:lvlText w:val=""/>
      <w:lvlJc w:val="left"/>
      <w:pPr>
        <w:ind w:left="720" w:hanging="360"/>
      </w:pPr>
      <w:rPr>
        <w:rFonts w:ascii="Symbol" w:hAnsi="Symbo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1B06466"/>
    <w:multiLevelType w:val="hybridMultilevel"/>
    <w:tmpl w:val="5F68784A"/>
    <w:lvl w:ilvl="0" w:tplc="1C090001">
      <w:start w:val="1"/>
      <w:numFmt w:val="bullet"/>
      <w:lvlText w:val=""/>
      <w:lvlJc w:val="left"/>
      <w:pPr>
        <w:ind w:left="1440" w:hanging="360"/>
      </w:pPr>
      <w:rPr>
        <w:rFonts w:ascii="Symbol" w:hAnsi="Symbol" w:hint="default"/>
      </w:rPr>
    </w:lvl>
    <w:lvl w:ilvl="1" w:tplc="1C090001">
      <w:start w:val="1"/>
      <w:numFmt w:val="bullet"/>
      <w:lvlText w:val=""/>
      <w:lvlJc w:val="left"/>
      <w:pPr>
        <w:ind w:left="2160" w:hanging="360"/>
      </w:pPr>
      <w:rPr>
        <w:rFonts w:ascii="Symbol" w:hAnsi="Symbol"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4C5110D2"/>
    <w:multiLevelType w:val="hybridMultilevel"/>
    <w:tmpl w:val="1DBE5A46"/>
    <w:lvl w:ilvl="0" w:tplc="1C090001">
      <w:start w:val="1"/>
      <w:numFmt w:val="bullet"/>
      <w:lvlText w:val=""/>
      <w:lvlJc w:val="left"/>
      <w:pPr>
        <w:ind w:left="720" w:hanging="360"/>
      </w:pPr>
      <w:rPr>
        <w:rFonts w:ascii="Symbol" w:hAnsi="Symbol" w:hint="default"/>
      </w:rPr>
    </w:lvl>
    <w:lvl w:ilvl="1" w:tplc="A31251BA">
      <w:numFmt w:val="bullet"/>
      <w:lvlText w:val="•"/>
      <w:lvlJc w:val="left"/>
      <w:pPr>
        <w:ind w:left="1650" w:hanging="570"/>
      </w:pPr>
      <w:rPr>
        <w:rFonts w:ascii="Times New Roman" w:eastAsiaTheme="minorHAnsi" w:hAnsi="Times New Roman" w:cs="Times New Roman" w:hint="default"/>
      </w:rPr>
    </w:lvl>
    <w:lvl w:ilvl="2" w:tplc="1C090001">
      <w:start w:val="1"/>
      <w:numFmt w:val="bullet"/>
      <w:lvlText w:val=""/>
      <w:lvlJc w:val="left"/>
      <w:pPr>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B6921B3"/>
    <w:multiLevelType w:val="hybridMultilevel"/>
    <w:tmpl w:val="00F27C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0A86072"/>
    <w:multiLevelType w:val="multilevel"/>
    <w:tmpl w:val="948C43F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757D1B29"/>
    <w:multiLevelType w:val="hybridMultilevel"/>
    <w:tmpl w:val="77882890"/>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7E874F5D"/>
    <w:multiLevelType w:val="hybridMultilevel"/>
    <w:tmpl w:val="30883E48"/>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11"/>
  </w:num>
  <w:num w:numId="5">
    <w:abstractNumId w:val="12"/>
  </w:num>
  <w:num w:numId="6">
    <w:abstractNumId w:val="7"/>
  </w:num>
  <w:num w:numId="7">
    <w:abstractNumId w:val="2"/>
  </w:num>
  <w:num w:numId="8">
    <w:abstractNumId w:val="4"/>
  </w:num>
  <w:num w:numId="9">
    <w:abstractNumId w:val="6"/>
  </w:num>
  <w:num w:numId="10">
    <w:abstractNumId w:val="9"/>
  </w:num>
  <w:num w:numId="11">
    <w:abstractNumId w:val="10"/>
  </w:num>
  <w:num w:numId="12">
    <w:abstractNumId w:val="3"/>
  </w:num>
  <w:num w:numId="1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ZA" w:vendorID="64" w:dllVersion="131078" w:nlCheck="1" w:checkStyle="0"/>
  <w:activeWritingStyle w:appName="MSWord" w:lang="en-GB" w:vendorID="64" w:dllVersion="131078" w:nlCheck="1" w:checkStyle="0"/>
  <w:activeWritingStyle w:appName="MSWord" w:lang="en-US" w:vendorID="64" w:dllVersion="131078" w:nlCheck="1" w:checkStyle="0"/>
  <w:defaultTabStop w:val="567"/>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22F"/>
    <w:rsid w:val="00002776"/>
    <w:rsid w:val="00005171"/>
    <w:rsid w:val="0000536A"/>
    <w:rsid w:val="000060F8"/>
    <w:rsid w:val="00006677"/>
    <w:rsid w:val="0000725A"/>
    <w:rsid w:val="0000769B"/>
    <w:rsid w:val="00007D9D"/>
    <w:rsid w:val="00010513"/>
    <w:rsid w:val="000106DF"/>
    <w:rsid w:val="000107DB"/>
    <w:rsid w:val="00010897"/>
    <w:rsid w:val="00010BBF"/>
    <w:rsid w:val="00011D25"/>
    <w:rsid w:val="00012E77"/>
    <w:rsid w:val="00013B1F"/>
    <w:rsid w:val="00015363"/>
    <w:rsid w:val="000209C6"/>
    <w:rsid w:val="00020B6D"/>
    <w:rsid w:val="00020D61"/>
    <w:rsid w:val="00023E1A"/>
    <w:rsid w:val="00024D3C"/>
    <w:rsid w:val="00024E00"/>
    <w:rsid w:val="00024F26"/>
    <w:rsid w:val="00026559"/>
    <w:rsid w:val="00026934"/>
    <w:rsid w:val="00027515"/>
    <w:rsid w:val="000278EB"/>
    <w:rsid w:val="00030368"/>
    <w:rsid w:val="00030474"/>
    <w:rsid w:val="000315C8"/>
    <w:rsid w:val="00032F7B"/>
    <w:rsid w:val="000336DD"/>
    <w:rsid w:val="000341AE"/>
    <w:rsid w:val="000351FD"/>
    <w:rsid w:val="00036159"/>
    <w:rsid w:val="00037322"/>
    <w:rsid w:val="00037DA5"/>
    <w:rsid w:val="00037E95"/>
    <w:rsid w:val="00042F24"/>
    <w:rsid w:val="00043ABE"/>
    <w:rsid w:val="00046082"/>
    <w:rsid w:val="00047172"/>
    <w:rsid w:val="00050DCD"/>
    <w:rsid w:val="000529F2"/>
    <w:rsid w:val="00052F5A"/>
    <w:rsid w:val="0005383F"/>
    <w:rsid w:val="000548B4"/>
    <w:rsid w:val="000549B9"/>
    <w:rsid w:val="000566D1"/>
    <w:rsid w:val="00057736"/>
    <w:rsid w:val="00057DEF"/>
    <w:rsid w:val="000600BE"/>
    <w:rsid w:val="000610F3"/>
    <w:rsid w:val="00061D6D"/>
    <w:rsid w:val="00065229"/>
    <w:rsid w:val="00065311"/>
    <w:rsid w:val="0006651F"/>
    <w:rsid w:val="000705F1"/>
    <w:rsid w:val="00070AE2"/>
    <w:rsid w:val="00071D65"/>
    <w:rsid w:val="000728B5"/>
    <w:rsid w:val="00073105"/>
    <w:rsid w:val="000737C6"/>
    <w:rsid w:val="00073AFE"/>
    <w:rsid w:val="00074102"/>
    <w:rsid w:val="00077F71"/>
    <w:rsid w:val="00080DD6"/>
    <w:rsid w:val="000810BE"/>
    <w:rsid w:val="000816CC"/>
    <w:rsid w:val="00081AD6"/>
    <w:rsid w:val="00082AEA"/>
    <w:rsid w:val="00083201"/>
    <w:rsid w:val="000845A0"/>
    <w:rsid w:val="00084E11"/>
    <w:rsid w:val="00085414"/>
    <w:rsid w:val="00085C07"/>
    <w:rsid w:val="0008685E"/>
    <w:rsid w:val="00090107"/>
    <w:rsid w:val="00090DCD"/>
    <w:rsid w:val="000913C9"/>
    <w:rsid w:val="00091C85"/>
    <w:rsid w:val="00092350"/>
    <w:rsid w:val="00093EDA"/>
    <w:rsid w:val="00095AD8"/>
    <w:rsid w:val="00095F3E"/>
    <w:rsid w:val="000A0223"/>
    <w:rsid w:val="000A0BAB"/>
    <w:rsid w:val="000A1450"/>
    <w:rsid w:val="000A1C53"/>
    <w:rsid w:val="000A5EFC"/>
    <w:rsid w:val="000A60ED"/>
    <w:rsid w:val="000A679A"/>
    <w:rsid w:val="000A7C6C"/>
    <w:rsid w:val="000B0557"/>
    <w:rsid w:val="000B10F3"/>
    <w:rsid w:val="000B2426"/>
    <w:rsid w:val="000B3194"/>
    <w:rsid w:val="000B3FF4"/>
    <w:rsid w:val="000B6614"/>
    <w:rsid w:val="000C067A"/>
    <w:rsid w:val="000C2EBF"/>
    <w:rsid w:val="000C34EA"/>
    <w:rsid w:val="000C360F"/>
    <w:rsid w:val="000C3BE1"/>
    <w:rsid w:val="000C58C6"/>
    <w:rsid w:val="000C71DC"/>
    <w:rsid w:val="000C7872"/>
    <w:rsid w:val="000D02F6"/>
    <w:rsid w:val="000D0482"/>
    <w:rsid w:val="000D1DB0"/>
    <w:rsid w:val="000D1FEF"/>
    <w:rsid w:val="000D2A7A"/>
    <w:rsid w:val="000D2FCD"/>
    <w:rsid w:val="000D4805"/>
    <w:rsid w:val="000D4B23"/>
    <w:rsid w:val="000D6042"/>
    <w:rsid w:val="000D649E"/>
    <w:rsid w:val="000D6E67"/>
    <w:rsid w:val="000D7D3E"/>
    <w:rsid w:val="000E1BCA"/>
    <w:rsid w:val="000E1BE5"/>
    <w:rsid w:val="000E4931"/>
    <w:rsid w:val="000E673D"/>
    <w:rsid w:val="000E70DB"/>
    <w:rsid w:val="000F1A97"/>
    <w:rsid w:val="000F3961"/>
    <w:rsid w:val="000F3A5F"/>
    <w:rsid w:val="000F47A6"/>
    <w:rsid w:val="000F4D5F"/>
    <w:rsid w:val="000F5AAE"/>
    <w:rsid w:val="001005D5"/>
    <w:rsid w:val="00100DDA"/>
    <w:rsid w:val="00102196"/>
    <w:rsid w:val="00103951"/>
    <w:rsid w:val="00103DAD"/>
    <w:rsid w:val="0010599C"/>
    <w:rsid w:val="00107709"/>
    <w:rsid w:val="00107CF1"/>
    <w:rsid w:val="001105BF"/>
    <w:rsid w:val="00113E27"/>
    <w:rsid w:val="001145B4"/>
    <w:rsid w:val="00115B6E"/>
    <w:rsid w:val="00120252"/>
    <w:rsid w:val="00120F81"/>
    <w:rsid w:val="0012399B"/>
    <w:rsid w:val="001252F6"/>
    <w:rsid w:val="00125BFB"/>
    <w:rsid w:val="00131DC4"/>
    <w:rsid w:val="0013488D"/>
    <w:rsid w:val="00135C4F"/>
    <w:rsid w:val="00135DD4"/>
    <w:rsid w:val="00137261"/>
    <w:rsid w:val="00141C4E"/>
    <w:rsid w:val="001426DB"/>
    <w:rsid w:val="00143858"/>
    <w:rsid w:val="001479D5"/>
    <w:rsid w:val="00147B96"/>
    <w:rsid w:val="00151B69"/>
    <w:rsid w:val="00151DA8"/>
    <w:rsid w:val="00155E0E"/>
    <w:rsid w:val="001579E5"/>
    <w:rsid w:val="001619D2"/>
    <w:rsid w:val="00162A66"/>
    <w:rsid w:val="0016536A"/>
    <w:rsid w:val="00165E23"/>
    <w:rsid w:val="001662E1"/>
    <w:rsid w:val="00166F99"/>
    <w:rsid w:val="0016714D"/>
    <w:rsid w:val="0016749C"/>
    <w:rsid w:val="001715ED"/>
    <w:rsid w:val="0017167A"/>
    <w:rsid w:val="0017321D"/>
    <w:rsid w:val="001734CF"/>
    <w:rsid w:val="00176C22"/>
    <w:rsid w:val="001771D0"/>
    <w:rsid w:val="001777F1"/>
    <w:rsid w:val="001800CD"/>
    <w:rsid w:val="00182EE2"/>
    <w:rsid w:val="0018372E"/>
    <w:rsid w:val="00185C80"/>
    <w:rsid w:val="00187630"/>
    <w:rsid w:val="00187650"/>
    <w:rsid w:val="00187756"/>
    <w:rsid w:val="00190007"/>
    <w:rsid w:val="00190B12"/>
    <w:rsid w:val="001911BC"/>
    <w:rsid w:val="00192511"/>
    <w:rsid w:val="001926BE"/>
    <w:rsid w:val="00192F15"/>
    <w:rsid w:val="00193A02"/>
    <w:rsid w:val="001956DC"/>
    <w:rsid w:val="001A06C5"/>
    <w:rsid w:val="001A0FB5"/>
    <w:rsid w:val="001A1F86"/>
    <w:rsid w:val="001A264F"/>
    <w:rsid w:val="001A2C43"/>
    <w:rsid w:val="001A3A2D"/>
    <w:rsid w:val="001A3F7E"/>
    <w:rsid w:val="001A4BF6"/>
    <w:rsid w:val="001A4DA1"/>
    <w:rsid w:val="001A533B"/>
    <w:rsid w:val="001A54BA"/>
    <w:rsid w:val="001A73E0"/>
    <w:rsid w:val="001B1697"/>
    <w:rsid w:val="001B1D1F"/>
    <w:rsid w:val="001B23C3"/>
    <w:rsid w:val="001B3E16"/>
    <w:rsid w:val="001B4864"/>
    <w:rsid w:val="001B4C85"/>
    <w:rsid w:val="001B5CF5"/>
    <w:rsid w:val="001B6006"/>
    <w:rsid w:val="001B6080"/>
    <w:rsid w:val="001C10E5"/>
    <w:rsid w:val="001C17E7"/>
    <w:rsid w:val="001C2446"/>
    <w:rsid w:val="001C2602"/>
    <w:rsid w:val="001C27FF"/>
    <w:rsid w:val="001C32D4"/>
    <w:rsid w:val="001C3AC0"/>
    <w:rsid w:val="001C3C55"/>
    <w:rsid w:val="001C4115"/>
    <w:rsid w:val="001C4E83"/>
    <w:rsid w:val="001C5DD6"/>
    <w:rsid w:val="001C5DFA"/>
    <w:rsid w:val="001C5E3E"/>
    <w:rsid w:val="001C6055"/>
    <w:rsid w:val="001C6233"/>
    <w:rsid w:val="001D3217"/>
    <w:rsid w:val="001D47AE"/>
    <w:rsid w:val="001D6379"/>
    <w:rsid w:val="001D6BA9"/>
    <w:rsid w:val="001D6F5D"/>
    <w:rsid w:val="001D7FAC"/>
    <w:rsid w:val="001E06DF"/>
    <w:rsid w:val="001E29D5"/>
    <w:rsid w:val="001E37BF"/>
    <w:rsid w:val="001E40CD"/>
    <w:rsid w:val="001E4715"/>
    <w:rsid w:val="001E5296"/>
    <w:rsid w:val="001E6065"/>
    <w:rsid w:val="001E6460"/>
    <w:rsid w:val="001E71A7"/>
    <w:rsid w:val="001F112E"/>
    <w:rsid w:val="001F2873"/>
    <w:rsid w:val="001F2A60"/>
    <w:rsid w:val="001F2EB0"/>
    <w:rsid w:val="001F3A9B"/>
    <w:rsid w:val="001F4503"/>
    <w:rsid w:val="001F4CAA"/>
    <w:rsid w:val="001F69A7"/>
    <w:rsid w:val="001F7586"/>
    <w:rsid w:val="002000FB"/>
    <w:rsid w:val="00203034"/>
    <w:rsid w:val="00203292"/>
    <w:rsid w:val="0020428A"/>
    <w:rsid w:val="00204738"/>
    <w:rsid w:val="00207135"/>
    <w:rsid w:val="002106D3"/>
    <w:rsid w:val="00210981"/>
    <w:rsid w:val="00210E80"/>
    <w:rsid w:val="002118B0"/>
    <w:rsid w:val="00213971"/>
    <w:rsid w:val="00213E1A"/>
    <w:rsid w:val="00214F21"/>
    <w:rsid w:val="00216299"/>
    <w:rsid w:val="002175FC"/>
    <w:rsid w:val="0022263D"/>
    <w:rsid w:val="00224A98"/>
    <w:rsid w:val="00224C55"/>
    <w:rsid w:val="00225098"/>
    <w:rsid w:val="0022514E"/>
    <w:rsid w:val="002257FD"/>
    <w:rsid w:val="00225A35"/>
    <w:rsid w:val="0022632A"/>
    <w:rsid w:val="00226820"/>
    <w:rsid w:val="00230B62"/>
    <w:rsid w:val="002327C5"/>
    <w:rsid w:val="00232D5D"/>
    <w:rsid w:val="0023409E"/>
    <w:rsid w:val="00234359"/>
    <w:rsid w:val="00236041"/>
    <w:rsid w:val="00236522"/>
    <w:rsid w:val="00237809"/>
    <w:rsid w:val="00237ABD"/>
    <w:rsid w:val="00241155"/>
    <w:rsid w:val="002416D4"/>
    <w:rsid w:val="00242541"/>
    <w:rsid w:val="00242980"/>
    <w:rsid w:val="00243040"/>
    <w:rsid w:val="002430F8"/>
    <w:rsid w:val="00243D3E"/>
    <w:rsid w:val="00243DCD"/>
    <w:rsid w:val="002441A2"/>
    <w:rsid w:val="00247397"/>
    <w:rsid w:val="00247B8B"/>
    <w:rsid w:val="00250A8B"/>
    <w:rsid w:val="002510D2"/>
    <w:rsid w:val="00252EE9"/>
    <w:rsid w:val="0025339B"/>
    <w:rsid w:val="00254C7C"/>
    <w:rsid w:val="0025513C"/>
    <w:rsid w:val="00255948"/>
    <w:rsid w:val="00255EB0"/>
    <w:rsid w:val="002563C9"/>
    <w:rsid w:val="00256DDF"/>
    <w:rsid w:val="00257FDF"/>
    <w:rsid w:val="00263242"/>
    <w:rsid w:val="002643AD"/>
    <w:rsid w:val="00264424"/>
    <w:rsid w:val="00265261"/>
    <w:rsid w:val="00265811"/>
    <w:rsid w:val="0026614A"/>
    <w:rsid w:val="0026643F"/>
    <w:rsid w:val="00270460"/>
    <w:rsid w:val="00274980"/>
    <w:rsid w:val="00275C70"/>
    <w:rsid w:val="00275EDA"/>
    <w:rsid w:val="00276027"/>
    <w:rsid w:val="00276FB0"/>
    <w:rsid w:val="002771C1"/>
    <w:rsid w:val="00277CC8"/>
    <w:rsid w:val="00277D7F"/>
    <w:rsid w:val="00277FAE"/>
    <w:rsid w:val="0028055A"/>
    <w:rsid w:val="0028132C"/>
    <w:rsid w:val="0028206B"/>
    <w:rsid w:val="00282559"/>
    <w:rsid w:val="002829CC"/>
    <w:rsid w:val="00282AF8"/>
    <w:rsid w:val="00284D0A"/>
    <w:rsid w:val="00284E55"/>
    <w:rsid w:val="002855DF"/>
    <w:rsid w:val="00286E78"/>
    <w:rsid w:val="002875BA"/>
    <w:rsid w:val="00290F9E"/>
    <w:rsid w:val="0029122E"/>
    <w:rsid w:val="00291387"/>
    <w:rsid w:val="00292704"/>
    <w:rsid w:val="00293AEF"/>
    <w:rsid w:val="00295154"/>
    <w:rsid w:val="002973BA"/>
    <w:rsid w:val="002A05F8"/>
    <w:rsid w:val="002A0E6C"/>
    <w:rsid w:val="002A25F9"/>
    <w:rsid w:val="002A341D"/>
    <w:rsid w:val="002A6CA5"/>
    <w:rsid w:val="002B09C3"/>
    <w:rsid w:val="002B15F9"/>
    <w:rsid w:val="002B1FCB"/>
    <w:rsid w:val="002B2E5A"/>
    <w:rsid w:val="002B3009"/>
    <w:rsid w:val="002B62C1"/>
    <w:rsid w:val="002B6B4F"/>
    <w:rsid w:val="002B77EC"/>
    <w:rsid w:val="002C007D"/>
    <w:rsid w:val="002C0E84"/>
    <w:rsid w:val="002C2878"/>
    <w:rsid w:val="002C5415"/>
    <w:rsid w:val="002C7B31"/>
    <w:rsid w:val="002D0786"/>
    <w:rsid w:val="002D1E5A"/>
    <w:rsid w:val="002D222B"/>
    <w:rsid w:val="002D479C"/>
    <w:rsid w:val="002D51E0"/>
    <w:rsid w:val="002D6169"/>
    <w:rsid w:val="002D68BE"/>
    <w:rsid w:val="002D6E0F"/>
    <w:rsid w:val="002D7D39"/>
    <w:rsid w:val="002E0F66"/>
    <w:rsid w:val="002E1704"/>
    <w:rsid w:val="002E2894"/>
    <w:rsid w:val="002E3A6A"/>
    <w:rsid w:val="002E5939"/>
    <w:rsid w:val="002E66EF"/>
    <w:rsid w:val="002E681E"/>
    <w:rsid w:val="002E774D"/>
    <w:rsid w:val="002E79E8"/>
    <w:rsid w:val="002F0146"/>
    <w:rsid w:val="002F150F"/>
    <w:rsid w:val="002F1E90"/>
    <w:rsid w:val="002F364D"/>
    <w:rsid w:val="002F42E4"/>
    <w:rsid w:val="002F6789"/>
    <w:rsid w:val="002F67C9"/>
    <w:rsid w:val="00301559"/>
    <w:rsid w:val="00301B45"/>
    <w:rsid w:val="003050A9"/>
    <w:rsid w:val="003057D7"/>
    <w:rsid w:val="00307063"/>
    <w:rsid w:val="00311449"/>
    <w:rsid w:val="00312232"/>
    <w:rsid w:val="003126E2"/>
    <w:rsid w:val="003126FE"/>
    <w:rsid w:val="00313433"/>
    <w:rsid w:val="00313AAD"/>
    <w:rsid w:val="00314388"/>
    <w:rsid w:val="003150B2"/>
    <w:rsid w:val="00316B69"/>
    <w:rsid w:val="00316BA5"/>
    <w:rsid w:val="00320571"/>
    <w:rsid w:val="00321075"/>
    <w:rsid w:val="00321AA7"/>
    <w:rsid w:val="00322335"/>
    <w:rsid w:val="00323EE6"/>
    <w:rsid w:val="00323EF2"/>
    <w:rsid w:val="00324AAA"/>
    <w:rsid w:val="00324E14"/>
    <w:rsid w:val="0032535E"/>
    <w:rsid w:val="003254B7"/>
    <w:rsid w:val="0032580D"/>
    <w:rsid w:val="00326684"/>
    <w:rsid w:val="00326CE4"/>
    <w:rsid w:val="00330745"/>
    <w:rsid w:val="00330E96"/>
    <w:rsid w:val="00333058"/>
    <w:rsid w:val="00333120"/>
    <w:rsid w:val="00333E45"/>
    <w:rsid w:val="00334976"/>
    <w:rsid w:val="00335985"/>
    <w:rsid w:val="003371B0"/>
    <w:rsid w:val="00340D0A"/>
    <w:rsid w:val="00341B31"/>
    <w:rsid w:val="00341E44"/>
    <w:rsid w:val="00342036"/>
    <w:rsid w:val="003457B6"/>
    <w:rsid w:val="00346A55"/>
    <w:rsid w:val="00346E23"/>
    <w:rsid w:val="003520B4"/>
    <w:rsid w:val="003526B2"/>
    <w:rsid w:val="00353A2C"/>
    <w:rsid w:val="003544D7"/>
    <w:rsid w:val="0035511B"/>
    <w:rsid w:val="00356309"/>
    <w:rsid w:val="00357722"/>
    <w:rsid w:val="00363693"/>
    <w:rsid w:val="00363CD6"/>
    <w:rsid w:val="00363DD6"/>
    <w:rsid w:val="00364AEE"/>
    <w:rsid w:val="00364BC1"/>
    <w:rsid w:val="00364DC6"/>
    <w:rsid w:val="00365A51"/>
    <w:rsid w:val="0036721B"/>
    <w:rsid w:val="00367223"/>
    <w:rsid w:val="00367F0D"/>
    <w:rsid w:val="00370178"/>
    <w:rsid w:val="00370F15"/>
    <w:rsid w:val="00371094"/>
    <w:rsid w:val="00373774"/>
    <w:rsid w:val="00374212"/>
    <w:rsid w:val="0037642D"/>
    <w:rsid w:val="00376584"/>
    <w:rsid w:val="003770CE"/>
    <w:rsid w:val="003806B8"/>
    <w:rsid w:val="0038113D"/>
    <w:rsid w:val="003819B9"/>
    <w:rsid w:val="00381DC6"/>
    <w:rsid w:val="00381FA3"/>
    <w:rsid w:val="003820D3"/>
    <w:rsid w:val="0038275D"/>
    <w:rsid w:val="00383B6C"/>
    <w:rsid w:val="00383DA6"/>
    <w:rsid w:val="003841F0"/>
    <w:rsid w:val="00384B74"/>
    <w:rsid w:val="00385140"/>
    <w:rsid w:val="00385382"/>
    <w:rsid w:val="00387018"/>
    <w:rsid w:val="00387A1F"/>
    <w:rsid w:val="00390566"/>
    <w:rsid w:val="00390FD0"/>
    <w:rsid w:val="003913DB"/>
    <w:rsid w:val="0039144E"/>
    <w:rsid w:val="00393199"/>
    <w:rsid w:val="00394E8E"/>
    <w:rsid w:val="00395D15"/>
    <w:rsid w:val="00395F52"/>
    <w:rsid w:val="003968A8"/>
    <w:rsid w:val="003A1729"/>
    <w:rsid w:val="003A2AEA"/>
    <w:rsid w:val="003A2D88"/>
    <w:rsid w:val="003A46CC"/>
    <w:rsid w:val="003A4ED5"/>
    <w:rsid w:val="003A55E5"/>
    <w:rsid w:val="003A6882"/>
    <w:rsid w:val="003B179F"/>
    <w:rsid w:val="003B1EC4"/>
    <w:rsid w:val="003B3CAC"/>
    <w:rsid w:val="003B4DC4"/>
    <w:rsid w:val="003B5E0F"/>
    <w:rsid w:val="003B6350"/>
    <w:rsid w:val="003B7743"/>
    <w:rsid w:val="003B7A61"/>
    <w:rsid w:val="003C091F"/>
    <w:rsid w:val="003C0CD5"/>
    <w:rsid w:val="003C0E08"/>
    <w:rsid w:val="003C10E9"/>
    <w:rsid w:val="003C37EA"/>
    <w:rsid w:val="003C3FD7"/>
    <w:rsid w:val="003C452A"/>
    <w:rsid w:val="003C472C"/>
    <w:rsid w:val="003C4D78"/>
    <w:rsid w:val="003C4E8A"/>
    <w:rsid w:val="003C582E"/>
    <w:rsid w:val="003C699D"/>
    <w:rsid w:val="003D22E9"/>
    <w:rsid w:val="003D26C7"/>
    <w:rsid w:val="003D2C31"/>
    <w:rsid w:val="003D3A61"/>
    <w:rsid w:val="003D5C8A"/>
    <w:rsid w:val="003D6C12"/>
    <w:rsid w:val="003D6D94"/>
    <w:rsid w:val="003D73BF"/>
    <w:rsid w:val="003E075A"/>
    <w:rsid w:val="003E0823"/>
    <w:rsid w:val="003E2B3D"/>
    <w:rsid w:val="003E581E"/>
    <w:rsid w:val="003E5B12"/>
    <w:rsid w:val="003E6CD9"/>
    <w:rsid w:val="003E6FD3"/>
    <w:rsid w:val="003E7254"/>
    <w:rsid w:val="003E7CC3"/>
    <w:rsid w:val="003E7CD0"/>
    <w:rsid w:val="003F188E"/>
    <w:rsid w:val="003F1A51"/>
    <w:rsid w:val="003F28BD"/>
    <w:rsid w:val="003F3672"/>
    <w:rsid w:val="003F36AC"/>
    <w:rsid w:val="003F3D4C"/>
    <w:rsid w:val="003F504E"/>
    <w:rsid w:val="003F6E5A"/>
    <w:rsid w:val="003F7012"/>
    <w:rsid w:val="004002E5"/>
    <w:rsid w:val="00400BF4"/>
    <w:rsid w:val="00401997"/>
    <w:rsid w:val="00402C6C"/>
    <w:rsid w:val="004046EC"/>
    <w:rsid w:val="0040577F"/>
    <w:rsid w:val="00405E52"/>
    <w:rsid w:val="0040670E"/>
    <w:rsid w:val="00406F67"/>
    <w:rsid w:val="0040701C"/>
    <w:rsid w:val="00407DE7"/>
    <w:rsid w:val="00407F87"/>
    <w:rsid w:val="00410196"/>
    <w:rsid w:val="004116F9"/>
    <w:rsid w:val="004132CD"/>
    <w:rsid w:val="0041355B"/>
    <w:rsid w:val="00413A25"/>
    <w:rsid w:val="00414255"/>
    <w:rsid w:val="00414746"/>
    <w:rsid w:val="00417279"/>
    <w:rsid w:val="004178EC"/>
    <w:rsid w:val="00420485"/>
    <w:rsid w:val="00422352"/>
    <w:rsid w:val="00422E6F"/>
    <w:rsid w:val="004239D2"/>
    <w:rsid w:val="004239D9"/>
    <w:rsid w:val="0042455B"/>
    <w:rsid w:val="00425214"/>
    <w:rsid w:val="00426505"/>
    <w:rsid w:val="00426E1E"/>
    <w:rsid w:val="00426F2E"/>
    <w:rsid w:val="004278D2"/>
    <w:rsid w:val="004322A1"/>
    <w:rsid w:val="0043243D"/>
    <w:rsid w:val="004360ED"/>
    <w:rsid w:val="00436442"/>
    <w:rsid w:val="00436746"/>
    <w:rsid w:val="00437388"/>
    <w:rsid w:val="0043744D"/>
    <w:rsid w:val="00437BA4"/>
    <w:rsid w:val="00441054"/>
    <w:rsid w:val="0044141F"/>
    <w:rsid w:val="00441423"/>
    <w:rsid w:val="0044156C"/>
    <w:rsid w:val="00441815"/>
    <w:rsid w:val="00442B36"/>
    <w:rsid w:val="0044361E"/>
    <w:rsid w:val="00444797"/>
    <w:rsid w:val="004454F8"/>
    <w:rsid w:val="00445921"/>
    <w:rsid w:val="00445E60"/>
    <w:rsid w:val="0045034B"/>
    <w:rsid w:val="0045124B"/>
    <w:rsid w:val="00452E08"/>
    <w:rsid w:val="004540DB"/>
    <w:rsid w:val="00454BCF"/>
    <w:rsid w:val="00455692"/>
    <w:rsid w:val="004560AE"/>
    <w:rsid w:val="0045773B"/>
    <w:rsid w:val="00460C29"/>
    <w:rsid w:val="00461F1E"/>
    <w:rsid w:val="0046426F"/>
    <w:rsid w:val="0046440D"/>
    <w:rsid w:val="00464B89"/>
    <w:rsid w:val="004668EE"/>
    <w:rsid w:val="00466AE5"/>
    <w:rsid w:val="00466B62"/>
    <w:rsid w:val="0046733A"/>
    <w:rsid w:val="00470972"/>
    <w:rsid w:val="00471C37"/>
    <w:rsid w:val="00472E6B"/>
    <w:rsid w:val="00474A19"/>
    <w:rsid w:val="00476587"/>
    <w:rsid w:val="00476B4A"/>
    <w:rsid w:val="004776E9"/>
    <w:rsid w:val="004856B8"/>
    <w:rsid w:val="00485C77"/>
    <w:rsid w:val="00486730"/>
    <w:rsid w:val="00486845"/>
    <w:rsid w:val="00486ACA"/>
    <w:rsid w:val="004910A9"/>
    <w:rsid w:val="00492E8A"/>
    <w:rsid w:val="004938FC"/>
    <w:rsid w:val="0049672E"/>
    <w:rsid w:val="004971F4"/>
    <w:rsid w:val="004A025C"/>
    <w:rsid w:val="004A1214"/>
    <w:rsid w:val="004A1727"/>
    <w:rsid w:val="004A2E3E"/>
    <w:rsid w:val="004A4638"/>
    <w:rsid w:val="004A53FD"/>
    <w:rsid w:val="004A626E"/>
    <w:rsid w:val="004A72D6"/>
    <w:rsid w:val="004A7A17"/>
    <w:rsid w:val="004B0621"/>
    <w:rsid w:val="004B1C59"/>
    <w:rsid w:val="004B35D8"/>
    <w:rsid w:val="004B3B8D"/>
    <w:rsid w:val="004B3BCE"/>
    <w:rsid w:val="004B5C84"/>
    <w:rsid w:val="004B6121"/>
    <w:rsid w:val="004B7BBE"/>
    <w:rsid w:val="004C18C0"/>
    <w:rsid w:val="004C311B"/>
    <w:rsid w:val="004C349D"/>
    <w:rsid w:val="004C3B2E"/>
    <w:rsid w:val="004C56E5"/>
    <w:rsid w:val="004C5B08"/>
    <w:rsid w:val="004D04E5"/>
    <w:rsid w:val="004D1D99"/>
    <w:rsid w:val="004D24C9"/>
    <w:rsid w:val="004D3CE0"/>
    <w:rsid w:val="004E0B12"/>
    <w:rsid w:val="004E16F4"/>
    <w:rsid w:val="004E5FC1"/>
    <w:rsid w:val="004E76E2"/>
    <w:rsid w:val="004F173E"/>
    <w:rsid w:val="004F1F82"/>
    <w:rsid w:val="004F29D6"/>
    <w:rsid w:val="004F3A8E"/>
    <w:rsid w:val="004F46BF"/>
    <w:rsid w:val="004F4712"/>
    <w:rsid w:val="004F4894"/>
    <w:rsid w:val="004F5451"/>
    <w:rsid w:val="004F6BD0"/>
    <w:rsid w:val="004F70D8"/>
    <w:rsid w:val="004F7310"/>
    <w:rsid w:val="0050051F"/>
    <w:rsid w:val="00500759"/>
    <w:rsid w:val="00500E08"/>
    <w:rsid w:val="00500F2F"/>
    <w:rsid w:val="00502E43"/>
    <w:rsid w:val="00503198"/>
    <w:rsid w:val="005069C6"/>
    <w:rsid w:val="00506F9E"/>
    <w:rsid w:val="0051013B"/>
    <w:rsid w:val="005108D0"/>
    <w:rsid w:val="00510977"/>
    <w:rsid w:val="00510E1D"/>
    <w:rsid w:val="0051137C"/>
    <w:rsid w:val="0051199F"/>
    <w:rsid w:val="0051238C"/>
    <w:rsid w:val="00515963"/>
    <w:rsid w:val="00520890"/>
    <w:rsid w:val="00520F38"/>
    <w:rsid w:val="005230E2"/>
    <w:rsid w:val="0052323F"/>
    <w:rsid w:val="005236B8"/>
    <w:rsid w:val="00524557"/>
    <w:rsid w:val="00524600"/>
    <w:rsid w:val="0052517B"/>
    <w:rsid w:val="00527507"/>
    <w:rsid w:val="00530C06"/>
    <w:rsid w:val="005319CB"/>
    <w:rsid w:val="00532A96"/>
    <w:rsid w:val="00535001"/>
    <w:rsid w:val="00535832"/>
    <w:rsid w:val="005404F8"/>
    <w:rsid w:val="00540643"/>
    <w:rsid w:val="0054225D"/>
    <w:rsid w:val="00544981"/>
    <w:rsid w:val="005458D4"/>
    <w:rsid w:val="00545F50"/>
    <w:rsid w:val="005478B9"/>
    <w:rsid w:val="00547F26"/>
    <w:rsid w:val="00551EDC"/>
    <w:rsid w:val="00551F3B"/>
    <w:rsid w:val="005528DE"/>
    <w:rsid w:val="00553095"/>
    <w:rsid w:val="00555C28"/>
    <w:rsid w:val="00556539"/>
    <w:rsid w:val="00556C0D"/>
    <w:rsid w:val="00557E56"/>
    <w:rsid w:val="00561823"/>
    <w:rsid w:val="0056344B"/>
    <w:rsid w:val="00564E90"/>
    <w:rsid w:val="00564E94"/>
    <w:rsid w:val="0056677D"/>
    <w:rsid w:val="005675C3"/>
    <w:rsid w:val="00567927"/>
    <w:rsid w:val="00567CA7"/>
    <w:rsid w:val="0057009D"/>
    <w:rsid w:val="005707AB"/>
    <w:rsid w:val="00571593"/>
    <w:rsid w:val="00572147"/>
    <w:rsid w:val="00572234"/>
    <w:rsid w:val="00573652"/>
    <w:rsid w:val="0057390F"/>
    <w:rsid w:val="0057543B"/>
    <w:rsid w:val="00575AA3"/>
    <w:rsid w:val="0057708F"/>
    <w:rsid w:val="0058000B"/>
    <w:rsid w:val="00581155"/>
    <w:rsid w:val="00581AE1"/>
    <w:rsid w:val="00582828"/>
    <w:rsid w:val="00582D27"/>
    <w:rsid w:val="00583E1E"/>
    <w:rsid w:val="00586BE2"/>
    <w:rsid w:val="00586E5B"/>
    <w:rsid w:val="00587A8D"/>
    <w:rsid w:val="00591011"/>
    <w:rsid w:val="00593521"/>
    <w:rsid w:val="005942CC"/>
    <w:rsid w:val="00594EBC"/>
    <w:rsid w:val="00595D13"/>
    <w:rsid w:val="00596A3F"/>
    <w:rsid w:val="005975D3"/>
    <w:rsid w:val="00597CF4"/>
    <w:rsid w:val="005A0C9E"/>
    <w:rsid w:val="005A2ABE"/>
    <w:rsid w:val="005A40FA"/>
    <w:rsid w:val="005A46DB"/>
    <w:rsid w:val="005A470F"/>
    <w:rsid w:val="005A5E2F"/>
    <w:rsid w:val="005A7CB1"/>
    <w:rsid w:val="005B05A1"/>
    <w:rsid w:val="005B0F2D"/>
    <w:rsid w:val="005B17E1"/>
    <w:rsid w:val="005B50D8"/>
    <w:rsid w:val="005B665D"/>
    <w:rsid w:val="005C0A8A"/>
    <w:rsid w:val="005C4233"/>
    <w:rsid w:val="005C6F16"/>
    <w:rsid w:val="005C7B38"/>
    <w:rsid w:val="005D03D1"/>
    <w:rsid w:val="005D1103"/>
    <w:rsid w:val="005D1192"/>
    <w:rsid w:val="005D258D"/>
    <w:rsid w:val="005D2F72"/>
    <w:rsid w:val="005D34C4"/>
    <w:rsid w:val="005D3DD9"/>
    <w:rsid w:val="005D5722"/>
    <w:rsid w:val="005D625E"/>
    <w:rsid w:val="005D71FA"/>
    <w:rsid w:val="005D7C54"/>
    <w:rsid w:val="005E014F"/>
    <w:rsid w:val="005E1DD9"/>
    <w:rsid w:val="005E1FF6"/>
    <w:rsid w:val="005E2115"/>
    <w:rsid w:val="005E2FEF"/>
    <w:rsid w:val="005E371D"/>
    <w:rsid w:val="005E5151"/>
    <w:rsid w:val="005E6CDC"/>
    <w:rsid w:val="005E7069"/>
    <w:rsid w:val="005F1DBF"/>
    <w:rsid w:val="005F278F"/>
    <w:rsid w:val="005F2A9C"/>
    <w:rsid w:val="005F36E0"/>
    <w:rsid w:val="005F3D7D"/>
    <w:rsid w:val="006001CE"/>
    <w:rsid w:val="00601282"/>
    <w:rsid w:val="00601CF5"/>
    <w:rsid w:val="00602836"/>
    <w:rsid w:val="0060286D"/>
    <w:rsid w:val="00603042"/>
    <w:rsid w:val="00603189"/>
    <w:rsid w:val="006052A9"/>
    <w:rsid w:val="0060620D"/>
    <w:rsid w:val="0060795C"/>
    <w:rsid w:val="00607A60"/>
    <w:rsid w:val="006111E9"/>
    <w:rsid w:val="00611438"/>
    <w:rsid w:val="00612205"/>
    <w:rsid w:val="00612DE9"/>
    <w:rsid w:val="00613D66"/>
    <w:rsid w:val="00613E06"/>
    <w:rsid w:val="00613FAC"/>
    <w:rsid w:val="00614436"/>
    <w:rsid w:val="00615EBD"/>
    <w:rsid w:val="006172CE"/>
    <w:rsid w:val="00617D9C"/>
    <w:rsid w:val="006229AA"/>
    <w:rsid w:val="00623EFF"/>
    <w:rsid w:val="006259B6"/>
    <w:rsid w:val="006259DA"/>
    <w:rsid w:val="006273FC"/>
    <w:rsid w:val="0062797D"/>
    <w:rsid w:val="0063043E"/>
    <w:rsid w:val="00631F33"/>
    <w:rsid w:val="006324D7"/>
    <w:rsid w:val="00634AFD"/>
    <w:rsid w:val="0063520A"/>
    <w:rsid w:val="0063680A"/>
    <w:rsid w:val="00636E8C"/>
    <w:rsid w:val="0063773B"/>
    <w:rsid w:val="00637A15"/>
    <w:rsid w:val="00637F31"/>
    <w:rsid w:val="006406F3"/>
    <w:rsid w:val="0064186D"/>
    <w:rsid w:val="00643220"/>
    <w:rsid w:val="006435E5"/>
    <w:rsid w:val="00645396"/>
    <w:rsid w:val="00647654"/>
    <w:rsid w:val="00651C7A"/>
    <w:rsid w:val="00652CEF"/>
    <w:rsid w:val="00653F7E"/>
    <w:rsid w:val="00654D56"/>
    <w:rsid w:val="006556D7"/>
    <w:rsid w:val="00656741"/>
    <w:rsid w:val="006576EE"/>
    <w:rsid w:val="0065779A"/>
    <w:rsid w:val="00657BAB"/>
    <w:rsid w:val="00660D0C"/>
    <w:rsid w:val="00661B11"/>
    <w:rsid w:val="00662427"/>
    <w:rsid w:val="006627B2"/>
    <w:rsid w:val="00664FF1"/>
    <w:rsid w:val="006658A3"/>
    <w:rsid w:val="006674BC"/>
    <w:rsid w:val="00667548"/>
    <w:rsid w:val="006706C3"/>
    <w:rsid w:val="006728C8"/>
    <w:rsid w:val="00673387"/>
    <w:rsid w:val="00673435"/>
    <w:rsid w:val="006736A2"/>
    <w:rsid w:val="006738FB"/>
    <w:rsid w:val="00676A81"/>
    <w:rsid w:val="00676BE4"/>
    <w:rsid w:val="006817FA"/>
    <w:rsid w:val="00684491"/>
    <w:rsid w:val="00684C7C"/>
    <w:rsid w:val="00686041"/>
    <w:rsid w:val="00687211"/>
    <w:rsid w:val="00690DEB"/>
    <w:rsid w:val="00692D47"/>
    <w:rsid w:val="00694D6D"/>
    <w:rsid w:val="00695867"/>
    <w:rsid w:val="006975C5"/>
    <w:rsid w:val="006A04C2"/>
    <w:rsid w:val="006A0507"/>
    <w:rsid w:val="006A1AD9"/>
    <w:rsid w:val="006A21CC"/>
    <w:rsid w:val="006A3A6E"/>
    <w:rsid w:val="006A3E7A"/>
    <w:rsid w:val="006A3FA9"/>
    <w:rsid w:val="006A48B4"/>
    <w:rsid w:val="006A6153"/>
    <w:rsid w:val="006A7B6F"/>
    <w:rsid w:val="006B0182"/>
    <w:rsid w:val="006B02FA"/>
    <w:rsid w:val="006B06B9"/>
    <w:rsid w:val="006B06E7"/>
    <w:rsid w:val="006B28F3"/>
    <w:rsid w:val="006B2F5D"/>
    <w:rsid w:val="006B453F"/>
    <w:rsid w:val="006B4BC6"/>
    <w:rsid w:val="006B7A76"/>
    <w:rsid w:val="006C0F3E"/>
    <w:rsid w:val="006C1EBC"/>
    <w:rsid w:val="006C2AF5"/>
    <w:rsid w:val="006C44F2"/>
    <w:rsid w:val="006C4868"/>
    <w:rsid w:val="006C4AF9"/>
    <w:rsid w:val="006C6A00"/>
    <w:rsid w:val="006C6A22"/>
    <w:rsid w:val="006C6CE2"/>
    <w:rsid w:val="006C7333"/>
    <w:rsid w:val="006D0A1E"/>
    <w:rsid w:val="006D308B"/>
    <w:rsid w:val="006D33FC"/>
    <w:rsid w:val="006D355C"/>
    <w:rsid w:val="006D483F"/>
    <w:rsid w:val="006D5B95"/>
    <w:rsid w:val="006D5FAC"/>
    <w:rsid w:val="006E0130"/>
    <w:rsid w:val="006E021D"/>
    <w:rsid w:val="006E09CC"/>
    <w:rsid w:val="006E0A03"/>
    <w:rsid w:val="006E0FC6"/>
    <w:rsid w:val="006E1EAF"/>
    <w:rsid w:val="006E281C"/>
    <w:rsid w:val="006E2CE5"/>
    <w:rsid w:val="006E41DB"/>
    <w:rsid w:val="006E4A2F"/>
    <w:rsid w:val="006E5C77"/>
    <w:rsid w:val="006E7887"/>
    <w:rsid w:val="006E7935"/>
    <w:rsid w:val="006F02EA"/>
    <w:rsid w:val="006F1679"/>
    <w:rsid w:val="006F5185"/>
    <w:rsid w:val="006F622E"/>
    <w:rsid w:val="006F6901"/>
    <w:rsid w:val="006F6BBE"/>
    <w:rsid w:val="006F70D8"/>
    <w:rsid w:val="006F769D"/>
    <w:rsid w:val="007031E0"/>
    <w:rsid w:val="00703DC5"/>
    <w:rsid w:val="0070407F"/>
    <w:rsid w:val="00704D81"/>
    <w:rsid w:val="007057D2"/>
    <w:rsid w:val="0071181F"/>
    <w:rsid w:val="00711983"/>
    <w:rsid w:val="007125C9"/>
    <w:rsid w:val="00712E70"/>
    <w:rsid w:val="00713618"/>
    <w:rsid w:val="00713969"/>
    <w:rsid w:val="00713B98"/>
    <w:rsid w:val="00714613"/>
    <w:rsid w:val="00714A9C"/>
    <w:rsid w:val="00715128"/>
    <w:rsid w:val="00715D3E"/>
    <w:rsid w:val="007212DE"/>
    <w:rsid w:val="00721316"/>
    <w:rsid w:val="00722C9D"/>
    <w:rsid w:val="00722EA0"/>
    <w:rsid w:val="007251ED"/>
    <w:rsid w:val="00725905"/>
    <w:rsid w:val="00725EF3"/>
    <w:rsid w:val="007274A7"/>
    <w:rsid w:val="00731563"/>
    <w:rsid w:val="007334A5"/>
    <w:rsid w:val="00734AF8"/>
    <w:rsid w:val="0073583F"/>
    <w:rsid w:val="00736025"/>
    <w:rsid w:val="00736110"/>
    <w:rsid w:val="007374AC"/>
    <w:rsid w:val="00740ABD"/>
    <w:rsid w:val="007430D7"/>
    <w:rsid w:val="00745484"/>
    <w:rsid w:val="00746435"/>
    <w:rsid w:val="007467F5"/>
    <w:rsid w:val="00746FDA"/>
    <w:rsid w:val="00747467"/>
    <w:rsid w:val="007502A6"/>
    <w:rsid w:val="0075035E"/>
    <w:rsid w:val="007510F6"/>
    <w:rsid w:val="00751D85"/>
    <w:rsid w:val="00752739"/>
    <w:rsid w:val="0075422F"/>
    <w:rsid w:val="007546AC"/>
    <w:rsid w:val="00756224"/>
    <w:rsid w:val="007571E6"/>
    <w:rsid w:val="00760551"/>
    <w:rsid w:val="00761B0C"/>
    <w:rsid w:val="00761F57"/>
    <w:rsid w:val="00763B00"/>
    <w:rsid w:val="00764064"/>
    <w:rsid w:val="00765C25"/>
    <w:rsid w:val="00766BFC"/>
    <w:rsid w:val="007673DB"/>
    <w:rsid w:val="00770A26"/>
    <w:rsid w:val="00771967"/>
    <w:rsid w:val="00773535"/>
    <w:rsid w:val="00774534"/>
    <w:rsid w:val="00775594"/>
    <w:rsid w:val="0077565D"/>
    <w:rsid w:val="007759D9"/>
    <w:rsid w:val="007765DC"/>
    <w:rsid w:val="00776700"/>
    <w:rsid w:val="00776894"/>
    <w:rsid w:val="00776CAB"/>
    <w:rsid w:val="0078053E"/>
    <w:rsid w:val="007827F6"/>
    <w:rsid w:val="007834A6"/>
    <w:rsid w:val="0078461E"/>
    <w:rsid w:val="00784C78"/>
    <w:rsid w:val="0078552A"/>
    <w:rsid w:val="00792B9E"/>
    <w:rsid w:val="00792C4A"/>
    <w:rsid w:val="00793905"/>
    <w:rsid w:val="00793946"/>
    <w:rsid w:val="00794B0A"/>
    <w:rsid w:val="00796C57"/>
    <w:rsid w:val="00797278"/>
    <w:rsid w:val="007973F6"/>
    <w:rsid w:val="007A0C38"/>
    <w:rsid w:val="007A1794"/>
    <w:rsid w:val="007A24B3"/>
    <w:rsid w:val="007A3F26"/>
    <w:rsid w:val="007A4A30"/>
    <w:rsid w:val="007A4A55"/>
    <w:rsid w:val="007A4AD8"/>
    <w:rsid w:val="007A5D97"/>
    <w:rsid w:val="007A7A00"/>
    <w:rsid w:val="007B08C0"/>
    <w:rsid w:val="007B2429"/>
    <w:rsid w:val="007B455A"/>
    <w:rsid w:val="007B4F7D"/>
    <w:rsid w:val="007B4FA9"/>
    <w:rsid w:val="007B52EF"/>
    <w:rsid w:val="007B5D0F"/>
    <w:rsid w:val="007B6ECB"/>
    <w:rsid w:val="007B7CD3"/>
    <w:rsid w:val="007C057F"/>
    <w:rsid w:val="007C0725"/>
    <w:rsid w:val="007C133C"/>
    <w:rsid w:val="007C1907"/>
    <w:rsid w:val="007C1C91"/>
    <w:rsid w:val="007C2617"/>
    <w:rsid w:val="007C2F2B"/>
    <w:rsid w:val="007C3FC5"/>
    <w:rsid w:val="007C4FB7"/>
    <w:rsid w:val="007C575C"/>
    <w:rsid w:val="007C6EA5"/>
    <w:rsid w:val="007D235D"/>
    <w:rsid w:val="007D2900"/>
    <w:rsid w:val="007D4992"/>
    <w:rsid w:val="007D49CB"/>
    <w:rsid w:val="007D5AD3"/>
    <w:rsid w:val="007D678A"/>
    <w:rsid w:val="007D798B"/>
    <w:rsid w:val="007D7E1F"/>
    <w:rsid w:val="007E0848"/>
    <w:rsid w:val="007E1364"/>
    <w:rsid w:val="007E230D"/>
    <w:rsid w:val="007E317F"/>
    <w:rsid w:val="007E3703"/>
    <w:rsid w:val="007E3A7A"/>
    <w:rsid w:val="007E45BB"/>
    <w:rsid w:val="007E59F1"/>
    <w:rsid w:val="007E62B6"/>
    <w:rsid w:val="007F226E"/>
    <w:rsid w:val="007F241B"/>
    <w:rsid w:val="007F2492"/>
    <w:rsid w:val="007F3759"/>
    <w:rsid w:val="007F737A"/>
    <w:rsid w:val="00801910"/>
    <w:rsid w:val="00802028"/>
    <w:rsid w:val="00802713"/>
    <w:rsid w:val="008034D1"/>
    <w:rsid w:val="008048B7"/>
    <w:rsid w:val="008059E0"/>
    <w:rsid w:val="008059F6"/>
    <w:rsid w:val="0080681E"/>
    <w:rsid w:val="008073FE"/>
    <w:rsid w:val="00807ED8"/>
    <w:rsid w:val="00810697"/>
    <w:rsid w:val="008135D4"/>
    <w:rsid w:val="008144F7"/>
    <w:rsid w:val="00817632"/>
    <w:rsid w:val="00820733"/>
    <w:rsid w:val="00822460"/>
    <w:rsid w:val="00823474"/>
    <w:rsid w:val="008239EB"/>
    <w:rsid w:val="00823E54"/>
    <w:rsid w:val="00824BF2"/>
    <w:rsid w:val="00825316"/>
    <w:rsid w:val="008308FA"/>
    <w:rsid w:val="00831063"/>
    <w:rsid w:val="00832F5E"/>
    <w:rsid w:val="008334DE"/>
    <w:rsid w:val="008354AE"/>
    <w:rsid w:val="0083651D"/>
    <w:rsid w:val="00836B2C"/>
    <w:rsid w:val="00836D6A"/>
    <w:rsid w:val="00837243"/>
    <w:rsid w:val="00840020"/>
    <w:rsid w:val="00842ED3"/>
    <w:rsid w:val="008449C5"/>
    <w:rsid w:val="00845C21"/>
    <w:rsid w:val="008461A3"/>
    <w:rsid w:val="00847396"/>
    <w:rsid w:val="00850997"/>
    <w:rsid w:val="00850A8C"/>
    <w:rsid w:val="00851010"/>
    <w:rsid w:val="00851E32"/>
    <w:rsid w:val="00855431"/>
    <w:rsid w:val="008561B0"/>
    <w:rsid w:val="00856AE3"/>
    <w:rsid w:val="00856D44"/>
    <w:rsid w:val="00860A2F"/>
    <w:rsid w:val="008624B0"/>
    <w:rsid w:val="00864CF0"/>
    <w:rsid w:val="0086584B"/>
    <w:rsid w:val="00866341"/>
    <w:rsid w:val="0086695C"/>
    <w:rsid w:val="008704FD"/>
    <w:rsid w:val="00870B79"/>
    <w:rsid w:val="008735AF"/>
    <w:rsid w:val="008740ED"/>
    <w:rsid w:val="00875643"/>
    <w:rsid w:val="00875DAD"/>
    <w:rsid w:val="00880909"/>
    <w:rsid w:val="008820F9"/>
    <w:rsid w:val="008826DA"/>
    <w:rsid w:val="00882A4E"/>
    <w:rsid w:val="0088450C"/>
    <w:rsid w:val="00887A58"/>
    <w:rsid w:val="008906FF"/>
    <w:rsid w:val="00890E84"/>
    <w:rsid w:val="00891329"/>
    <w:rsid w:val="008933EC"/>
    <w:rsid w:val="0089469B"/>
    <w:rsid w:val="00895CA4"/>
    <w:rsid w:val="00897184"/>
    <w:rsid w:val="0089719C"/>
    <w:rsid w:val="00897FA1"/>
    <w:rsid w:val="008A0009"/>
    <w:rsid w:val="008A161A"/>
    <w:rsid w:val="008A1EEF"/>
    <w:rsid w:val="008A2220"/>
    <w:rsid w:val="008A2CA4"/>
    <w:rsid w:val="008A2DE6"/>
    <w:rsid w:val="008A2DF0"/>
    <w:rsid w:val="008A55E0"/>
    <w:rsid w:val="008A60B6"/>
    <w:rsid w:val="008A6BCA"/>
    <w:rsid w:val="008A6DE6"/>
    <w:rsid w:val="008A6E1E"/>
    <w:rsid w:val="008A78E8"/>
    <w:rsid w:val="008B0C68"/>
    <w:rsid w:val="008B206E"/>
    <w:rsid w:val="008B25ED"/>
    <w:rsid w:val="008B317E"/>
    <w:rsid w:val="008B319E"/>
    <w:rsid w:val="008B4335"/>
    <w:rsid w:val="008B436B"/>
    <w:rsid w:val="008B4550"/>
    <w:rsid w:val="008B4B2B"/>
    <w:rsid w:val="008B4E43"/>
    <w:rsid w:val="008B73A0"/>
    <w:rsid w:val="008B7552"/>
    <w:rsid w:val="008C2EBC"/>
    <w:rsid w:val="008C2F67"/>
    <w:rsid w:val="008C6094"/>
    <w:rsid w:val="008C6598"/>
    <w:rsid w:val="008C66A7"/>
    <w:rsid w:val="008C72C7"/>
    <w:rsid w:val="008C77CD"/>
    <w:rsid w:val="008D0783"/>
    <w:rsid w:val="008D13A0"/>
    <w:rsid w:val="008D2DE1"/>
    <w:rsid w:val="008D317D"/>
    <w:rsid w:val="008D60A7"/>
    <w:rsid w:val="008D61BA"/>
    <w:rsid w:val="008E1414"/>
    <w:rsid w:val="008E41BC"/>
    <w:rsid w:val="008E51CE"/>
    <w:rsid w:val="008E560D"/>
    <w:rsid w:val="008E5DFC"/>
    <w:rsid w:val="008E67AA"/>
    <w:rsid w:val="008E700C"/>
    <w:rsid w:val="008F1F51"/>
    <w:rsid w:val="008F4AC1"/>
    <w:rsid w:val="008F5833"/>
    <w:rsid w:val="008F5B19"/>
    <w:rsid w:val="008F6123"/>
    <w:rsid w:val="008F781C"/>
    <w:rsid w:val="009011CF"/>
    <w:rsid w:val="00903A16"/>
    <w:rsid w:val="00904162"/>
    <w:rsid w:val="0090697F"/>
    <w:rsid w:val="00911FB1"/>
    <w:rsid w:val="009125E8"/>
    <w:rsid w:val="00912F3E"/>
    <w:rsid w:val="009131A1"/>
    <w:rsid w:val="00913DD2"/>
    <w:rsid w:val="009140D5"/>
    <w:rsid w:val="00914F4D"/>
    <w:rsid w:val="00914FDB"/>
    <w:rsid w:val="0091593A"/>
    <w:rsid w:val="00916038"/>
    <w:rsid w:val="00916A5C"/>
    <w:rsid w:val="00917798"/>
    <w:rsid w:val="009178E3"/>
    <w:rsid w:val="009219F2"/>
    <w:rsid w:val="00922CD0"/>
    <w:rsid w:val="00923F1C"/>
    <w:rsid w:val="009245E6"/>
    <w:rsid w:val="009257EC"/>
    <w:rsid w:val="009260CD"/>
    <w:rsid w:val="00927A68"/>
    <w:rsid w:val="00927DC6"/>
    <w:rsid w:val="00927FAB"/>
    <w:rsid w:val="00931452"/>
    <w:rsid w:val="0093184B"/>
    <w:rsid w:val="009327DE"/>
    <w:rsid w:val="00932CC5"/>
    <w:rsid w:val="00933483"/>
    <w:rsid w:val="0093366F"/>
    <w:rsid w:val="009346D5"/>
    <w:rsid w:val="00934724"/>
    <w:rsid w:val="00934ECC"/>
    <w:rsid w:val="00936BA4"/>
    <w:rsid w:val="00940181"/>
    <w:rsid w:val="00940265"/>
    <w:rsid w:val="009428C3"/>
    <w:rsid w:val="0094331A"/>
    <w:rsid w:val="0094368D"/>
    <w:rsid w:val="00943916"/>
    <w:rsid w:val="00944AA2"/>
    <w:rsid w:val="00944D26"/>
    <w:rsid w:val="00946AA1"/>
    <w:rsid w:val="009503B1"/>
    <w:rsid w:val="00950C09"/>
    <w:rsid w:val="00952C37"/>
    <w:rsid w:val="00953D55"/>
    <w:rsid w:val="00956081"/>
    <w:rsid w:val="00956862"/>
    <w:rsid w:val="00961622"/>
    <w:rsid w:val="009624A6"/>
    <w:rsid w:val="009628AB"/>
    <w:rsid w:val="009636CD"/>
    <w:rsid w:val="0096391A"/>
    <w:rsid w:val="00963C78"/>
    <w:rsid w:val="00964947"/>
    <w:rsid w:val="00964E8B"/>
    <w:rsid w:val="0096528A"/>
    <w:rsid w:val="009660C4"/>
    <w:rsid w:val="00966357"/>
    <w:rsid w:val="0096665C"/>
    <w:rsid w:val="00966B57"/>
    <w:rsid w:val="0096756C"/>
    <w:rsid w:val="00967C4C"/>
    <w:rsid w:val="0097005D"/>
    <w:rsid w:val="00971B58"/>
    <w:rsid w:val="009728CB"/>
    <w:rsid w:val="009728EE"/>
    <w:rsid w:val="00973F89"/>
    <w:rsid w:val="00974593"/>
    <w:rsid w:val="00974E8F"/>
    <w:rsid w:val="00976102"/>
    <w:rsid w:val="0097668A"/>
    <w:rsid w:val="00976A12"/>
    <w:rsid w:val="00976F24"/>
    <w:rsid w:val="00980806"/>
    <w:rsid w:val="00980C11"/>
    <w:rsid w:val="00981E08"/>
    <w:rsid w:val="009821FE"/>
    <w:rsid w:val="00983C76"/>
    <w:rsid w:val="009843FB"/>
    <w:rsid w:val="0098442F"/>
    <w:rsid w:val="00984593"/>
    <w:rsid w:val="00984984"/>
    <w:rsid w:val="009851DB"/>
    <w:rsid w:val="00985467"/>
    <w:rsid w:val="00985DC7"/>
    <w:rsid w:val="00990700"/>
    <w:rsid w:val="009926F5"/>
    <w:rsid w:val="00994458"/>
    <w:rsid w:val="00995806"/>
    <w:rsid w:val="00996E3C"/>
    <w:rsid w:val="009A0A00"/>
    <w:rsid w:val="009A1515"/>
    <w:rsid w:val="009A261E"/>
    <w:rsid w:val="009A2893"/>
    <w:rsid w:val="009A45E3"/>
    <w:rsid w:val="009A5714"/>
    <w:rsid w:val="009A5D82"/>
    <w:rsid w:val="009A5DF3"/>
    <w:rsid w:val="009A6A36"/>
    <w:rsid w:val="009A6C97"/>
    <w:rsid w:val="009B10BC"/>
    <w:rsid w:val="009B10FE"/>
    <w:rsid w:val="009B1755"/>
    <w:rsid w:val="009B1C8C"/>
    <w:rsid w:val="009B2245"/>
    <w:rsid w:val="009B426F"/>
    <w:rsid w:val="009B6239"/>
    <w:rsid w:val="009B6242"/>
    <w:rsid w:val="009B7E11"/>
    <w:rsid w:val="009C0105"/>
    <w:rsid w:val="009C1F60"/>
    <w:rsid w:val="009C3584"/>
    <w:rsid w:val="009C47E6"/>
    <w:rsid w:val="009C59F4"/>
    <w:rsid w:val="009C5C8F"/>
    <w:rsid w:val="009C7B9D"/>
    <w:rsid w:val="009C7BC4"/>
    <w:rsid w:val="009D105E"/>
    <w:rsid w:val="009D294B"/>
    <w:rsid w:val="009D2F22"/>
    <w:rsid w:val="009D5019"/>
    <w:rsid w:val="009D60F3"/>
    <w:rsid w:val="009D6125"/>
    <w:rsid w:val="009D6FE1"/>
    <w:rsid w:val="009D751C"/>
    <w:rsid w:val="009E3736"/>
    <w:rsid w:val="009E59DD"/>
    <w:rsid w:val="009E5E25"/>
    <w:rsid w:val="009E610E"/>
    <w:rsid w:val="009E65FD"/>
    <w:rsid w:val="009E6AB8"/>
    <w:rsid w:val="009F3953"/>
    <w:rsid w:val="009F4AB5"/>
    <w:rsid w:val="009F4D44"/>
    <w:rsid w:val="00A00D8B"/>
    <w:rsid w:val="00A02E48"/>
    <w:rsid w:val="00A04051"/>
    <w:rsid w:val="00A045EF"/>
    <w:rsid w:val="00A056CA"/>
    <w:rsid w:val="00A072A5"/>
    <w:rsid w:val="00A0734C"/>
    <w:rsid w:val="00A10F21"/>
    <w:rsid w:val="00A1154C"/>
    <w:rsid w:val="00A13F8B"/>
    <w:rsid w:val="00A15391"/>
    <w:rsid w:val="00A1581D"/>
    <w:rsid w:val="00A16A2C"/>
    <w:rsid w:val="00A16AE7"/>
    <w:rsid w:val="00A16D75"/>
    <w:rsid w:val="00A177F8"/>
    <w:rsid w:val="00A21345"/>
    <w:rsid w:val="00A22266"/>
    <w:rsid w:val="00A2317B"/>
    <w:rsid w:val="00A232E1"/>
    <w:rsid w:val="00A302E2"/>
    <w:rsid w:val="00A317A1"/>
    <w:rsid w:val="00A320D5"/>
    <w:rsid w:val="00A32C03"/>
    <w:rsid w:val="00A342C6"/>
    <w:rsid w:val="00A35722"/>
    <w:rsid w:val="00A36221"/>
    <w:rsid w:val="00A36B9D"/>
    <w:rsid w:val="00A375BF"/>
    <w:rsid w:val="00A402DD"/>
    <w:rsid w:val="00A408E8"/>
    <w:rsid w:val="00A42073"/>
    <w:rsid w:val="00A45CE6"/>
    <w:rsid w:val="00A45E23"/>
    <w:rsid w:val="00A46EAF"/>
    <w:rsid w:val="00A525D9"/>
    <w:rsid w:val="00A53885"/>
    <w:rsid w:val="00A53B81"/>
    <w:rsid w:val="00A53F50"/>
    <w:rsid w:val="00A55E16"/>
    <w:rsid w:val="00A56855"/>
    <w:rsid w:val="00A61A90"/>
    <w:rsid w:val="00A625BA"/>
    <w:rsid w:val="00A62DEC"/>
    <w:rsid w:val="00A635CB"/>
    <w:rsid w:val="00A646DD"/>
    <w:rsid w:val="00A6654A"/>
    <w:rsid w:val="00A66E57"/>
    <w:rsid w:val="00A67351"/>
    <w:rsid w:val="00A719CE"/>
    <w:rsid w:val="00A71AAD"/>
    <w:rsid w:val="00A7306D"/>
    <w:rsid w:val="00A738FD"/>
    <w:rsid w:val="00A75104"/>
    <w:rsid w:val="00A76BC6"/>
    <w:rsid w:val="00A8138B"/>
    <w:rsid w:val="00A83D6D"/>
    <w:rsid w:val="00A8405E"/>
    <w:rsid w:val="00A84388"/>
    <w:rsid w:val="00A85E01"/>
    <w:rsid w:val="00A87CE1"/>
    <w:rsid w:val="00A91569"/>
    <w:rsid w:val="00A919A4"/>
    <w:rsid w:val="00A91FC4"/>
    <w:rsid w:val="00A93691"/>
    <w:rsid w:val="00A9504B"/>
    <w:rsid w:val="00A9774D"/>
    <w:rsid w:val="00A97CC4"/>
    <w:rsid w:val="00AA21A9"/>
    <w:rsid w:val="00AA298D"/>
    <w:rsid w:val="00AA2EAB"/>
    <w:rsid w:val="00AA3AAA"/>
    <w:rsid w:val="00AA411B"/>
    <w:rsid w:val="00AA41BB"/>
    <w:rsid w:val="00AA460B"/>
    <w:rsid w:val="00AA54ED"/>
    <w:rsid w:val="00AA7EDD"/>
    <w:rsid w:val="00AB122A"/>
    <w:rsid w:val="00AB13A2"/>
    <w:rsid w:val="00AB2251"/>
    <w:rsid w:val="00AB2A73"/>
    <w:rsid w:val="00AB2CF2"/>
    <w:rsid w:val="00AB3105"/>
    <w:rsid w:val="00AB4A09"/>
    <w:rsid w:val="00AB4D36"/>
    <w:rsid w:val="00AB6B66"/>
    <w:rsid w:val="00AB73B3"/>
    <w:rsid w:val="00AC0C17"/>
    <w:rsid w:val="00AC161F"/>
    <w:rsid w:val="00AC2131"/>
    <w:rsid w:val="00AC4747"/>
    <w:rsid w:val="00AC60A1"/>
    <w:rsid w:val="00AD0312"/>
    <w:rsid w:val="00AD17E1"/>
    <w:rsid w:val="00AD2CA5"/>
    <w:rsid w:val="00AD300B"/>
    <w:rsid w:val="00AD3515"/>
    <w:rsid w:val="00AD36C7"/>
    <w:rsid w:val="00AD5E49"/>
    <w:rsid w:val="00AD7970"/>
    <w:rsid w:val="00AE0B09"/>
    <w:rsid w:val="00AE2D60"/>
    <w:rsid w:val="00AE3C5F"/>
    <w:rsid w:val="00AE54DC"/>
    <w:rsid w:val="00AE60E7"/>
    <w:rsid w:val="00AE6A97"/>
    <w:rsid w:val="00AE77C1"/>
    <w:rsid w:val="00AF2102"/>
    <w:rsid w:val="00AF21BC"/>
    <w:rsid w:val="00AF485E"/>
    <w:rsid w:val="00AF4DC9"/>
    <w:rsid w:val="00AF57D8"/>
    <w:rsid w:val="00AF5B70"/>
    <w:rsid w:val="00AF6029"/>
    <w:rsid w:val="00AF6527"/>
    <w:rsid w:val="00AF720E"/>
    <w:rsid w:val="00B00B15"/>
    <w:rsid w:val="00B015FE"/>
    <w:rsid w:val="00B0352C"/>
    <w:rsid w:val="00B06208"/>
    <w:rsid w:val="00B0733D"/>
    <w:rsid w:val="00B11ED1"/>
    <w:rsid w:val="00B1283E"/>
    <w:rsid w:val="00B12FC8"/>
    <w:rsid w:val="00B12FF2"/>
    <w:rsid w:val="00B15430"/>
    <w:rsid w:val="00B15739"/>
    <w:rsid w:val="00B15940"/>
    <w:rsid w:val="00B15C3F"/>
    <w:rsid w:val="00B179AB"/>
    <w:rsid w:val="00B232BB"/>
    <w:rsid w:val="00B23CF8"/>
    <w:rsid w:val="00B242B1"/>
    <w:rsid w:val="00B3052A"/>
    <w:rsid w:val="00B3610E"/>
    <w:rsid w:val="00B36E97"/>
    <w:rsid w:val="00B37537"/>
    <w:rsid w:val="00B37812"/>
    <w:rsid w:val="00B40C42"/>
    <w:rsid w:val="00B41AA9"/>
    <w:rsid w:val="00B41DF3"/>
    <w:rsid w:val="00B42CA3"/>
    <w:rsid w:val="00B42DE3"/>
    <w:rsid w:val="00B474EA"/>
    <w:rsid w:val="00B47855"/>
    <w:rsid w:val="00B50EEB"/>
    <w:rsid w:val="00B51A09"/>
    <w:rsid w:val="00B523DC"/>
    <w:rsid w:val="00B52BA3"/>
    <w:rsid w:val="00B53E9B"/>
    <w:rsid w:val="00B54075"/>
    <w:rsid w:val="00B56757"/>
    <w:rsid w:val="00B612A7"/>
    <w:rsid w:val="00B6385F"/>
    <w:rsid w:val="00B63EA4"/>
    <w:rsid w:val="00B63FEB"/>
    <w:rsid w:val="00B64B83"/>
    <w:rsid w:val="00B671D1"/>
    <w:rsid w:val="00B70C1B"/>
    <w:rsid w:val="00B70EE9"/>
    <w:rsid w:val="00B71543"/>
    <w:rsid w:val="00B72AE3"/>
    <w:rsid w:val="00B731CE"/>
    <w:rsid w:val="00B759D9"/>
    <w:rsid w:val="00B81038"/>
    <w:rsid w:val="00B832CD"/>
    <w:rsid w:val="00B854BD"/>
    <w:rsid w:val="00B86529"/>
    <w:rsid w:val="00B86815"/>
    <w:rsid w:val="00B87F83"/>
    <w:rsid w:val="00B906A1"/>
    <w:rsid w:val="00B935F5"/>
    <w:rsid w:val="00B93A7F"/>
    <w:rsid w:val="00B93C34"/>
    <w:rsid w:val="00B94043"/>
    <w:rsid w:val="00BA0020"/>
    <w:rsid w:val="00BA19DA"/>
    <w:rsid w:val="00BA20D0"/>
    <w:rsid w:val="00BA2EDF"/>
    <w:rsid w:val="00BA4F80"/>
    <w:rsid w:val="00BA50AE"/>
    <w:rsid w:val="00BA5347"/>
    <w:rsid w:val="00BA5BBC"/>
    <w:rsid w:val="00BB1179"/>
    <w:rsid w:val="00BB2A01"/>
    <w:rsid w:val="00BB32B9"/>
    <w:rsid w:val="00BB5357"/>
    <w:rsid w:val="00BB6E78"/>
    <w:rsid w:val="00BB73A0"/>
    <w:rsid w:val="00BC1CC7"/>
    <w:rsid w:val="00BC43B4"/>
    <w:rsid w:val="00BC4CBB"/>
    <w:rsid w:val="00BC4D16"/>
    <w:rsid w:val="00BC6001"/>
    <w:rsid w:val="00BD12E6"/>
    <w:rsid w:val="00BD1D80"/>
    <w:rsid w:val="00BD1F78"/>
    <w:rsid w:val="00BD410E"/>
    <w:rsid w:val="00BD4455"/>
    <w:rsid w:val="00BD4883"/>
    <w:rsid w:val="00BD5A07"/>
    <w:rsid w:val="00BD5DE8"/>
    <w:rsid w:val="00BD62DD"/>
    <w:rsid w:val="00BD6FA9"/>
    <w:rsid w:val="00BE21AE"/>
    <w:rsid w:val="00BE2A88"/>
    <w:rsid w:val="00BE2AD7"/>
    <w:rsid w:val="00BE6653"/>
    <w:rsid w:val="00BF0A29"/>
    <w:rsid w:val="00BF282A"/>
    <w:rsid w:val="00BF28B9"/>
    <w:rsid w:val="00C00740"/>
    <w:rsid w:val="00C01046"/>
    <w:rsid w:val="00C01275"/>
    <w:rsid w:val="00C0432E"/>
    <w:rsid w:val="00C05918"/>
    <w:rsid w:val="00C0647B"/>
    <w:rsid w:val="00C076DF"/>
    <w:rsid w:val="00C078B0"/>
    <w:rsid w:val="00C07E4C"/>
    <w:rsid w:val="00C121D9"/>
    <w:rsid w:val="00C12AD0"/>
    <w:rsid w:val="00C1390A"/>
    <w:rsid w:val="00C14951"/>
    <w:rsid w:val="00C1548C"/>
    <w:rsid w:val="00C16516"/>
    <w:rsid w:val="00C17732"/>
    <w:rsid w:val="00C1798B"/>
    <w:rsid w:val="00C17B49"/>
    <w:rsid w:val="00C204BE"/>
    <w:rsid w:val="00C21D43"/>
    <w:rsid w:val="00C24001"/>
    <w:rsid w:val="00C25558"/>
    <w:rsid w:val="00C27421"/>
    <w:rsid w:val="00C27828"/>
    <w:rsid w:val="00C315C6"/>
    <w:rsid w:val="00C328D8"/>
    <w:rsid w:val="00C328E3"/>
    <w:rsid w:val="00C330DD"/>
    <w:rsid w:val="00C3395B"/>
    <w:rsid w:val="00C35120"/>
    <w:rsid w:val="00C4056B"/>
    <w:rsid w:val="00C43B18"/>
    <w:rsid w:val="00C43BD3"/>
    <w:rsid w:val="00C440E5"/>
    <w:rsid w:val="00C44DAD"/>
    <w:rsid w:val="00C45118"/>
    <w:rsid w:val="00C46D94"/>
    <w:rsid w:val="00C476E1"/>
    <w:rsid w:val="00C50231"/>
    <w:rsid w:val="00C50785"/>
    <w:rsid w:val="00C51B8B"/>
    <w:rsid w:val="00C520A8"/>
    <w:rsid w:val="00C524B8"/>
    <w:rsid w:val="00C53114"/>
    <w:rsid w:val="00C5506C"/>
    <w:rsid w:val="00C55D27"/>
    <w:rsid w:val="00C568B7"/>
    <w:rsid w:val="00C57855"/>
    <w:rsid w:val="00C57ACF"/>
    <w:rsid w:val="00C625B6"/>
    <w:rsid w:val="00C6403E"/>
    <w:rsid w:val="00C643EC"/>
    <w:rsid w:val="00C65BF1"/>
    <w:rsid w:val="00C67B66"/>
    <w:rsid w:val="00C701E4"/>
    <w:rsid w:val="00C70D2D"/>
    <w:rsid w:val="00C7100C"/>
    <w:rsid w:val="00C71BE7"/>
    <w:rsid w:val="00C74314"/>
    <w:rsid w:val="00C75987"/>
    <w:rsid w:val="00C764AE"/>
    <w:rsid w:val="00C769B7"/>
    <w:rsid w:val="00C7744B"/>
    <w:rsid w:val="00C80494"/>
    <w:rsid w:val="00C81197"/>
    <w:rsid w:val="00C813D5"/>
    <w:rsid w:val="00C83E8A"/>
    <w:rsid w:val="00C85368"/>
    <w:rsid w:val="00C904FB"/>
    <w:rsid w:val="00C9261A"/>
    <w:rsid w:val="00C929EF"/>
    <w:rsid w:val="00C93112"/>
    <w:rsid w:val="00C95793"/>
    <w:rsid w:val="00CA2261"/>
    <w:rsid w:val="00CA2B65"/>
    <w:rsid w:val="00CA3894"/>
    <w:rsid w:val="00CA4D8B"/>
    <w:rsid w:val="00CA56B4"/>
    <w:rsid w:val="00CA71BB"/>
    <w:rsid w:val="00CB06D7"/>
    <w:rsid w:val="00CB2FA0"/>
    <w:rsid w:val="00CB3FB6"/>
    <w:rsid w:val="00CC1701"/>
    <w:rsid w:val="00CC1D8F"/>
    <w:rsid w:val="00CC1DD3"/>
    <w:rsid w:val="00CC1E56"/>
    <w:rsid w:val="00CC22ED"/>
    <w:rsid w:val="00CC2C6B"/>
    <w:rsid w:val="00CC4F50"/>
    <w:rsid w:val="00CC7142"/>
    <w:rsid w:val="00CD0198"/>
    <w:rsid w:val="00CD19C7"/>
    <w:rsid w:val="00CD1BAA"/>
    <w:rsid w:val="00CD1FB2"/>
    <w:rsid w:val="00CD29EC"/>
    <w:rsid w:val="00CD2F8A"/>
    <w:rsid w:val="00CD3F79"/>
    <w:rsid w:val="00CD53DD"/>
    <w:rsid w:val="00CD58E9"/>
    <w:rsid w:val="00CD5EBA"/>
    <w:rsid w:val="00CD77EF"/>
    <w:rsid w:val="00CE10A5"/>
    <w:rsid w:val="00CE28D8"/>
    <w:rsid w:val="00CE2EC2"/>
    <w:rsid w:val="00CE4E56"/>
    <w:rsid w:val="00CE5D31"/>
    <w:rsid w:val="00CE6950"/>
    <w:rsid w:val="00CE7404"/>
    <w:rsid w:val="00CE782F"/>
    <w:rsid w:val="00CF05F3"/>
    <w:rsid w:val="00CF0876"/>
    <w:rsid w:val="00CF0C10"/>
    <w:rsid w:val="00CF0D4F"/>
    <w:rsid w:val="00CF11A7"/>
    <w:rsid w:val="00CF398C"/>
    <w:rsid w:val="00CF54DB"/>
    <w:rsid w:val="00CF7BDD"/>
    <w:rsid w:val="00D007A1"/>
    <w:rsid w:val="00D00A78"/>
    <w:rsid w:val="00D016C2"/>
    <w:rsid w:val="00D01FFF"/>
    <w:rsid w:val="00D0205A"/>
    <w:rsid w:val="00D029C0"/>
    <w:rsid w:val="00D03C2F"/>
    <w:rsid w:val="00D04C85"/>
    <w:rsid w:val="00D05638"/>
    <w:rsid w:val="00D05A40"/>
    <w:rsid w:val="00D06715"/>
    <w:rsid w:val="00D0758B"/>
    <w:rsid w:val="00D10FF7"/>
    <w:rsid w:val="00D13022"/>
    <w:rsid w:val="00D13A00"/>
    <w:rsid w:val="00D16827"/>
    <w:rsid w:val="00D16AD5"/>
    <w:rsid w:val="00D170AE"/>
    <w:rsid w:val="00D171CE"/>
    <w:rsid w:val="00D20DB1"/>
    <w:rsid w:val="00D21733"/>
    <w:rsid w:val="00D225F7"/>
    <w:rsid w:val="00D22653"/>
    <w:rsid w:val="00D22C0C"/>
    <w:rsid w:val="00D23433"/>
    <w:rsid w:val="00D24155"/>
    <w:rsid w:val="00D24521"/>
    <w:rsid w:val="00D25398"/>
    <w:rsid w:val="00D25775"/>
    <w:rsid w:val="00D274E8"/>
    <w:rsid w:val="00D305F4"/>
    <w:rsid w:val="00D3250D"/>
    <w:rsid w:val="00D33563"/>
    <w:rsid w:val="00D33CA4"/>
    <w:rsid w:val="00D351EB"/>
    <w:rsid w:val="00D35EE1"/>
    <w:rsid w:val="00D3684C"/>
    <w:rsid w:val="00D36D28"/>
    <w:rsid w:val="00D36DA1"/>
    <w:rsid w:val="00D3743A"/>
    <w:rsid w:val="00D3791D"/>
    <w:rsid w:val="00D40EEF"/>
    <w:rsid w:val="00D41CC9"/>
    <w:rsid w:val="00D42627"/>
    <w:rsid w:val="00D428E7"/>
    <w:rsid w:val="00D429CE"/>
    <w:rsid w:val="00D42BE1"/>
    <w:rsid w:val="00D4385E"/>
    <w:rsid w:val="00D44E94"/>
    <w:rsid w:val="00D455C8"/>
    <w:rsid w:val="00D47CF4"/>
    <w:rsid w:val="00D504E4"/>
    <w:rsid w:val="00D528C9"/>
    <w:rsid w:val="00D52A97"/>
    <w:rsid w:val="00D52DEE"/>
    <w:rsid w:val="00D53B26"/>
    <w:rsid w:val="00D54D4E"/>
    <w:rsid w:val="00D55251"/>
    <w:rsid w:val="00D60108"/>
    <w:rsid w:val="00D60F93"/>
    <w:rsid w:val="00D61BC5"/>
    <w:rsid w:val="00D62C4D"/>
    <w:rsid w:val="00D66A5D"/>
    <w:rsid w:val="00D67B53"/>
    <w:rsid w:val="00D67FA8"/>
    <w:rsid w:val="00D70C75"/>
    <w:rsid w:val="00D71237"/>
    <w:rsid w:val="00D73072"/>
    <w:rsid w:val="00D73105"/>
    <w:rsid w:val="00D73BC3"/>
    <w:rsid w:val="00D7490E"/>
    <w:rsid w:val="00D75021"/>
    <w:rsid w:val="00D75421"/>
    <w:rsid w:val="00D75CBC"/>
    <w:rsid w:val="00D75DD4"/>
    <w:rsid w:val="00D807EE"/>
    <w:rsid w:val="00D8151F"/>
    <w:rsid w:val="00D82F23"/>
    <w:rsid w:val="00D84C27"/>
    <w:rsid w:val="00D85DEF"/>
    <w:rsid w:val="00D86924"/>
    <w:rsid w:val="00D87E09"/>
    <w:rsid w:val="00D91D22"/>
    <w:rsid w:val="00D97BE3"/>
    <w:rsid w:val="00DA0A5F"/>
    <w:rsid w:val="00DA0C49"/>
    <w:rsid w:val="00DA385E"/>
    <w:rsid w:val="00DA6655"/>
    <w:rsid w:val="00DA6B46"/>
    <w:rsid w:val="00DA6E50"/>
    <w:rsid w:val="00DA7AC7"/>
    <w:rsid w:val="00DB08FB"/>
    <w:rsid w:val="00DB159D"/>
    <w:rsid w:val="00DB1837"/>
    <w:rsid w:val="00DB2CA7"/>
    <w:rsid w:val="00DB6858"/>
    <w:rsid w:val="00DB6CAA"/>
    <w:rsid w:val="00DB71C4"/>
    <w:rsid w:val="00DC1DF6"/>
    <w:rsid w:val="00DC23A1"/>
    <w:rsid w:val="00DC280B"/>
    <w:rsid w:val="00DC3CD8"/>
    <w:rsid w:val="00DC674F"/>
    <w:rsid w:val="00DC718B"/>
    <w:rsid w:val="00DC7309"/>
    <w:rsid w:val="00DC7E6B"/>
    <w:rsid w:val="00DD1920"/>
    <w:rsid w:val="00DD284A"/>
    <w:rsid w:val="00DD2A73"/>
    <w:rsid w:val="00DD53B3"/>
    <w:rsid w:val="00DD6AD3"/>
    <w:rsid w:val="00DD777C"/>
    <w:rsid w:val="00DE1931"/>
    <w:rsid w:val="00DE1DA4"/>
    <w:rsid w:val="00DE20CB"/>
    <w:rsid w:val="00DE2244"/>
    <w:rsid w:val="00DE2ECF"/>
    <w:rsid w:val="00DE2EF4"/>
    <w:rsid w:val="00DE463A"/>
    <w:rsid w:val="00DE5CCA"/>
    <w:rsid w:val="00DE6400"/>
    <w:rsid w:val="00DF052E"/>
    <w:rsid w:val="00DF06D0"/>
    <w:rsid w:val="00DF0707"/>
    <w:rsid w:val="00DF0F0D"/>
    <w:rsid w:val="00DF1C08"/>
    <w:rsid w:val="00DF2178"/>
    <w:rsid w:val="00DF2615"/>
    <w:rsid w:val="00DF2BF7"/>
    <w:rsid w:val="00DF341F"/>
    <w:rsid w:val="00DF41CE"/>
    <w:rsid w:val="00DF523A"/>
    <w:rsid w:val="00DF6A66"/>
    <w:rsid w:val="00DF6BFA"/>
    <w:rsid w:val="00DF7DD6"/>
    <w:rsid w:val="00DF7F55"/>
    <w:rsid w:val="00E01453"/>
    <w:rsid w:val="00E02C00"/>
    <w:rsid w:val="00E069B5"/>
    <w:rsid w:val="00E07F11"/>
    <w:rsid w:val="00E104A1"/>
    <w:rsid w:val="00E10A56"/>
    <w:rsid w:val="00E10CD8"/>
    <w:rsid w:val="00E1159D"/>
    <w:rsid w:val="00E11A56"/>
    <w:rsid w:val="00E1307A"/>
    <w:rsid w:val="00E131B8"/>
    <w:rsid w:val="00E13273"/>
    <w:rsid w:val="00E1504E"/>
    <w:rsid w:val="00E16EE9"/>
    <w:rsid w:val="00E172EA"/>
    <w:rsid w:val="00E17BAA"/>
    <w:rsid w:val="00E207E2"/>
    <w:rsid w:val="00E21E7F"/>
    <w:rsid w:val="00E230CC"/>
    <w:rsid w:val="00E23396"/>
    <w:rsid w:val="00E23AC6"/>
    <w:rsid w:val="00E24EB4"/>
    <w:rsid w:val="00E25B2B"/>
    <w:rsid w:val="00E266E6"/>
    <w:rsid w:val="00E2671F"/>
    <w:rsid w:val="00E26A7E"/>
    <w:rsid w:val="00E31B08"/>
    <w:rsid w:val="00E3283F"/>
    <w:rsid w:val="00E3321C"/>
    <w:rsid w:val="00E33B50"/>
    <w:rsid w:val="00E341DC"/>
    <w:rsid w:val="00E34B4F"/>
    <w:rsid w:val="00E35CE3"/>
    <w:rsid w:val="00E363F9"/>
    <w:rsid w:val="00E378C3"/>
    <w:rsid w:val="00E37E72"/>
    <w:rsid w:val="00E4063E"/>
    <w:rsid w:val="00E411ED"/>
    <w:rsid w:val="00E41316"/>
    <w:rsid w:val="00E42963"/>
    <w:rsid w:val="00E42BBF"/>
    <w:rsid w:val="00E430B9"/>
    <w:rsid w:val="00E44E13"/>
    <w:rsid w:val="00E44FD0"/>
    <w:rsid w:val="00E463EF"/>
    <w:rsid w:val="00E50799"/>
    <w:rsid w:val="00E51886"/>
    <w:rsid w:val="00E558C0"/>
    <w:rsid w:val="00E60D6F"/>
    <w:rsid w:val="00E61821"/>
    <w:rsid w:val="00E61E0C"/>
    <w:rsid w:val="00E62ADD"/>
    <w:rsid w:val="00E63025"/>
    <w:rsid w:val="00E638B5"/>
    <w:rsid w:val="00E63DE6"/>
    <w:rsid w:val="00E64CB2"/>
    <w:rsid w:val="00E64CE5"/>
    <w:rsid w:val="00E672E0"/>
    <w:rsid w:val="00E674BF"/>
    <w:rsid w:val="00E67C93"/>
    <w:rsid w:val="00E7094D"/>
    <w:rsid w:val="00E70A7E"/>
    <w:rsid w:val="00E731C0"/>
    <w:rsid w:val="00E733EE"/>
    <w:rsid w:val="00E73604"/>
    <w:rsid w:val="00E74A6B"/>
    <w:rsid w:val="00E762ED"/>
    <w:rsid w:val="00E7649C"/>
    <w:rsid w:val="00E77C6C"/>
    <w:rsid w:val="00E81B1E"/>
    <w:rsid w:val="00E83449"/>
    <w:rsid w:val="00E83AA2"/>
    <w:rsid w:val="00E848CF"/>
    <w:rsid w:val="00E856F9"/>
    <w:rsid w:val="00E87361"/>
    <w:rsid w:val="00E87986"/>
    <w:rsid w:val="00E90447"/>
    <w:rsid w:val="00E9057A"/>
    <w:rsid w:val="00E9338D"/>
    <w:rsid w:val="00E93B81"/>
    <w:rsid w:val="00E949BD"/>
    <w:rsid w:val="00E94C8F"/>
    <w:rsid w:val="00E96692"/>
    <w:rsid w:val="00E974E6"/>
    <w:rsid w:val="00E97E70"/>
    <w:rsid w:val="00EA1BF6"/>
    <w:rsid w:val="00EA48A2"/>
    <w:rsid w:val="00EA50CF"/>
    <w:rsid w:val="00EA6697"/>
    <w:rsid w:val="00EA783E"/>
    <w:rsid w:val="00EA79D5"/>
    <w:rsid w:val="00EB0D29"/>
    <w:rsid w:val="00EB395A"/>
    <w:rsid w:val="00EB41CE"/>
    <w:rsid w:val="00EB4E47"/>
    <w:rsid w:val="00EB5ACB"/>
    <w:rsid w:val="00EB71F8"/>
    <w:rsid w:val="00EB7414"/>
    <w:rsid w:val="00EC1871"/>
    <w:rsid w:val="00EC1A1D"/>
    <w:rsid w:val="00EC1C2F"/>
    <w:rsid w:val="00EC59CE"/>
    <w:rsid w:val="00EC5C42"/>
    <w:rsid w:val="00EC5E17"/>
    <w:rsid w:val="00EC609A"/>
    <w:rsid w:val="00EC75FC"/>
    <w:rsid w:val="00ED0844"/>
    <w:rsid w:val="00ED4C73"/>
    <w:rsid w:val="00ED58F2"/>
    <w:rsid w:val="00ED66EA"/>
    <w:rsid w:val="00ED6BEB"/>
    <w:rsid w:val="00ED75B4"/>
    <w:rsid w:val="00EE3FB2"/>
    <w:rsid w:val="00EE744C"/>
    <w:rsid w:val="00EF0426"/>
    <w:rsid w:val="00EF07F8"/>
    <w:rsid w:val="00EF0D4A"/>
    <w:rsid w:val="00EF24D9"/>
    <w:rsid w:val="00EF5AA8"/>
    <w:rsid w:val="00EF6E13"/>
    <w:rsid w:val="00EF71E1"/>
    <w:rsid w:val="00F00195"/>
    <w:rsid w:val="00F00472"/>
    <w:rsid w:val="00F02E8E"/>
    <w:rsid w:val="00F048C5"/>
    <w:rsid w:val="00F05E7C"/>
    <w:rsid w:val="00F071D6"/>
    <w:rsid w:val="00F07838"/>
    <w:rsid w:val="00F07926"/>
    <w:rsid w:val="00F106D7"/>
    <w:rsid w:val="00F1215C"/>
    <w:rsid w:val="00F12865"/>
    <w:rsid w:val="00F12FDD"/>
    <w:rsid w:val="00F146DF"/>
    <w:rsid w:val="00F14AF1"/>
    <w:rsid w:val="00F14B77"/>
    <w:rsid w:val="00F15976"/>
    <w:rsid w:val="00F1649D"/>
    <w:rsid w:val="00F16938"/>
    <w:rsid w:val="00F16C83"/>
    <w:rsid w:val="00F1780C"/>
    <w:rsid w:val="00F20108"/>
    <w:rsid w:val="00F212D1"/>
    <w:rsid w:val="00F233B6"/>
    <w:rsid w:val="00F23C67"/>
    <w:rsid w:val="00F2452E"/>
    <w:rsid w:val="00F24761"/>
    <w:rsid w:val="00F24DAC"/>
    <w:rsid w:val="00F25948"/>
    <w:rsid w:val="00F26774"/>
    <w:rsid w:val="00F26A25"/>
    <w:rsid w:val="00F27AC9"/>
    <w:rsid w:val="00F30BF1"/>
    <w:rsid w:val="00F31539"/>
    <w:rsid w:val="00F3192F"/>
    <w:rsid w:val="00F31DDF"/>
    <w:rsid w:val="00F323AA"/>
    <w:rsid w:val="00F3241E"/>
    <w:rsid w:val="00F34110"/>
    <w:rsid w:val="00F34375"/>
    <w:rsid w:val="00F34B6F"/>
    <w:rsid w:val="00F353B8"/>
    <w:rsid w:val="00F35966"/>
    <w:rsid w:val="00F37B65"/>
    <w:rsid w:val="00F400DE"/>
    <w:rsid w:val="00F40D19"/>
    <w:rsid w:val="00F4160B"/>
    <w:rsid w:val="00F47E41"/>
    <w:rsid w:val="00F50C2C"/>
    <w:rsid w:val="00F513A6"/>
    <w:rsid w:val="00F51656"/>
    <w:rsid w:val="00F53AC0"/>
    <w:rsid w:val="00F53EA7"/>
    <w:rsid w:val="00F54008"/>
    <w:rsid w:val="00F558E6"/>
    <w:rsid w:val="00F63145"/>
    <w:rsid w:val="00F64195"/>
    <w:rsid w:val="00F658F9"/>
    <w:rsid w:val="00F66417"/>
    <w:rsid w:val="00F66C1F"/>
    <w:rsid w:val="00F67667"/>
    <w:rsid w:val="00F70C8E"/>
    <w:rsid w:val="00F75008"/>
    <w:rsid w:val="00F751DC"/>
    <w:rsid w:val="00F76015"/>
    <w:rsid w:val="00F8022F"/>
    <w:rsid w:val="00F824A8"/>
    <w:rsid w:val="00F83E94"/>
    <w:rsid w:val="00F83F44"/>
    <w:rsid w:val="00F84C22"/>
    <w:rsid w:val="00F87C01"/>
    <w:rsid w:val="00F91D8F"/>
    <w:rsid w:val="00F922D4"/>
    <w:rsid w:val="00F9274D"/>
    <w:rsid w:val="00F95ADC"/>
    <w:rsid w:val="00F95C08"/>
    <w:rsid w:val="00F97B6C"/>
    <w:rsid w:val="00FA1C81"/>
    <w:rsid w:val="00FA2E4C"/>
    <w:rsid w:val="00FA4223"/>
    <w:rsid w:val="00FA56E2"/>
    <w:rsid w:val="00FA5FB8"/>
    <w:rsid w:val="00FA64A4"/>
    <w:rsid w:val="00FA7619"/>
    <w:rsid w:val="00FA784D"/>
    <w:rsid w:val="00FB01E6"/>
    <w:rsid w:val="00FB07A2"/>
    <w:rsid w:val="00FB0CF3"/>
    <w:rsid w:val="00FB299C"/>
    <w:rsid w:val="00FB2D5E"/>
    <w:rsid w:val="00FB38F7"/>
    <w:rsid w:val="00FB6FB9"/>
    <w:rsid w:val="00FB7DF5"/>
    <w:rsid w:val="00FC0B75"/>
    <w:rsid w:val="00FC32C4"/>
    <w:rsid w:val="00FC4BD9"/>
    <w:rsid w:val="00FC5A36"/>
    <w:rsid w:val="00FC6BD2"/>
    <w:rsid w:val="00FD24CB"/>
    <w:rsid w:val="00FD3B55"/>
    <w:rsid w:val="00FD527D"/>
    <w:rsid w:val="00FD56DB"/>
    <w:rsid w:val="00FD59FF"/>
    <w:rsid w:val="00FD68AD"/>
    <w:rsid w:val="00FD6CF5"/>
    <w:rsid w:val="00FD74A1"/>
    <w:rsid w:val="00FE029D"/>
    <w:rsid w:val="00FE1CD8"/>
    <w:rsid w:val="00FE2A77"/>
    <w:rsid w:val="00FE37C4"/>
    <w:rsid w:val="00FE3C19"/>
    <w:rsid w:val="00FE4FC8"/>
    <w:rsid w:val="00FE58AB"/>
    <w:rsid w:val="00FE5C13"/>
    <w:rsid w:val="00FE74C3"/>
    <w:rsid w:val="00FE75AD"/>
    <w:rsid w:val="00FE7730"/>
    <w:rsid w:val="00FF08C8"/>
    <w:rsid w:val="00FF0BBA"/>
    <w:rsid w:val="00FF0DF4"/>
    <w:rsid w:val="00FF0F20"/>
    <w:rsid w:val="00FF1E57"/>
    <w:rsid w:val="00FF2531"/>
    <w:rsid w:val="00FF2D89"/>
    <w:rsid w:val="00FF4AA5"/>
    <w:rsid w:val="00FF5AE3"/>
    <w:rsid w:val="00FF6F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3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5422F"/>
    <w:pPr>
      <w:ind w:left="720"/>
      <w:contextualSpacing/>
    </w:pPr>
  </w:style>
  <w:style w:type="paragraph" w:styleId="Header">
    <w:name w:val="header"/>
    <w:basedOn w:val="Normal"/>
    <w:link w:val="HeaderChar"/>
    <w:unhideWhenUsed/>
    <w:rsid w:val="00353A2C"/>
    <w:pPr>
      <w:tabs>
        <w:tab w:val="center" w:pos="4513"/>
        <w:tab w:val="right" w:pos="9026"/>
      </w:tabs>
      <w:spacing w:after="0" w:line="240" w:lineRule="auto"/>
    </w:pPr>
  </w:style>
  <w:style w:type="character" w:customStyle="1" w:styleId="HeaderChar">
    <w:name w:val="Header Char"/>
    <w:basedOn w:val="DefaultParagraphFont"/>
    <w:link w:val="Header"/>
    <w:rsid w:val="00353A2C"/>
  </w:style>
  <w:style w:type="paragraph" w:styleId="Footer">
    <w:name w:val="footer"/>
    <w:basedOn w:val="Normal"/>
    <w:link w:val="FooterChar"/>
    <w:uiPriority w:val="99"/>
    <w:unhideWhenUsed/>
    <w:rsid w:val="00353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A2C"/>
  </w:style>
  <w:style w:type="paragraph" w:customStyle="1" w:styleId="Default">
    <w:name w:val="Default"/>
    <w:rsid w:val="00346A55"/>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semiHidden/>
    <w:rsid w:val="00A072A5"/>
    <w:rPr>
      <w:vertAlign w:val="superscript"/>
    </w:rPr>
  </w:style>
  <w:style w:type="table" w:styleId="TableGrid">
    <w:name w:val="Table Grid"/>
    <w:basedOn w:val="TableNormal"/>
    <w:rsid w:val="00A16A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DF7F55"/>
    <w:rPr>
      <w:sz w:val="16"/>
      <w:szCs w:val="16"/>
    </w:rPr>
  </w:style>
  <w:style w:type="paragraph" w:styleId="CommentText">
    <w:name w:val="annotation text"/>
    <w:basedOn w:val="Normal"/>
    <w:link w:val="CommentTextChar"/>
    <w:uiPriority w:val="99"/>
    <w:semiHidden/>
    <w:unhideWhenUsed/>
    <w:rsid w:val="00DF7F55"/>
    <w:pPr>
      <w:spacing w:line="240" w:lineRule="auto"/>
    </w:pPr>
    <w:rPr>
      <w:sz w:val="20"/>
      <w:szCs w:val="20"/>
    </w:rPr>
  </w:style>
  <w:style w:type="character" w:customStyle="1" w:styleId="CommentTextChar">
    <w:name w:val="Comment Text Char"/>
    <w:basedOn w:val="DefaultParagraphFont"/>
    <w:link w:val="CommentText"/>
    <w:uiPriority w:val="99"/>
    <w:semiHidden/>
    <w:rsid w:val="00DF7F55"/>
    <w:rPr>
      <w:sz w:val="20"/>
      <w:szCs w:val="20"/>
    </w:rPr>
  </w:style>
  <w:style w:type="paragraph" w:styleId="CommentSubject">
    <w:name w:val="annotation subject"/>
    <w:basedOn w:val="CommentText"/>
    <w:next w:val="CommentText"/>
    <w:link w:val="CommentSubjectChar"/>
    <w:uiPriority w:val="99"/>
    <w:semiHidden/>
    <w:unhideWhenUsed/>
    <w:rsid w:val="00DF7F55"/>
    <w:rPr>
      <w:b/>
      <w:bCs/>
    </w:rPr>
  </w:style>
  <w:style w:type="character" w:customStyle="1" w:styleId="CommentSubjectChar">
    <w:name w:val="Comment Subject Char"/>
    <w:basedOn w:val="CommentTextChar"/>
    <w:link w:val="CommentSubject"/>
    <w:uiPriority w:val="99"/>
    <w:semiHidden/>
    <w:rsid w:val="00DF7F55"/>
    <w:rPr>
      <w:b/>
      <w:bCs/>
      <w:sz w:val="20"/>
      <w:szCs w:val="20"/>
    </w:rPr>
  </w:style>
  <w:style w:type="paragraph" w:styleId="BalloonText">
    <w:name w:val="Balloon Text"/>
    <w:basedOn w:val="Normal"/>
    <w:link w:val="BalloonTextChar"/>
    <w:uiPriority w:val="99"/>
    <w:semiHidden/>
    <w:unhideWhenUsed/>
    <w:rsid w:val="00DF7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F55"/>
    <w:rPr>
      <w:rFonts w:ascii="Tahoma" w:hAnsi="Tahoma" w:cs="Tahoma"/>
      <w:sz w:val="16"/>
      <w:szCs w:val="16"/>
    </w:rPr>
  </w:style>
  <w:style w:type="paragraph" w:customStyle="1" w:styleId="AGbodytextblack">
    <w:name w:val="AG body text black"/>
    <w:basedOn w:val="Normal"/>
    <w:rsid w:val="008135D4"/>
    <w:pPr>
      <w:spacing w:after="120" w:line="240" w:lineRule="auto"/>
    </w:pPr>
    <w:rPr>
      <w:rFonts w:ascii="Arial" w:eastAsia="Times New Roman" w:hAnsi="Arial" w:cs="Times New Roman"/>
      <w:lang w:eastAsia="en-GB"/>
    </w:rPr>
  </w:style>
  <w:style w:type="paragraph" w:customStyle="1" w:styleId="BodyText1">
    <w:name w:val="Body Text1"/>
    <w:basedOn w:val="NoSpacing"/>
    <w:link w:val="BodytextChar"/>
    <w:qFormat/>
    <w:rsid w:val="008135D4"/>
    <w:pPr>
      <w:spacing w:before="120" w:after="120"/>
    </w:pPr>
    <w:rPr>
      <w:rFonts w:ascii="Arial" w:eastAsia="Calibri" w:hAnsi="Arial" w:cs="Times New Roman"/>
      <w:color w:val="97857B"/>
      <w:sz w:val="20"/>
      <w:lang w:val="en-US"/>
    </w:rPr>
  </w:style>
  <w:style w:type="character" w:customStyle="1" w:styleId="BodytextChar">
    <w:name w:val="Body text Char"/>
    <w:basedOn w:val="DefaultParagraphFont"/>
    <w:link w:val="BodyText1"/>
    <w:rsid w:val="008135D4"/>
    <w:rPr>
      <w:rFonts w:ascii="Arial" w:eastAsia="Calibri" w:hAnsi="Arial" w:cs="Times New Roman"/>
      <w:color w:val="97857B"/>
      <w:sz w:val="20"/>
      <w:lang w:val="en-US"/>
    </w:rPr>
  </w:style>
  <w:style w:type="paragraph" w:styleId="NoSpacing">
    <w:name w:val="No Spacing"/>
    <w:uiPriority w:val="1"/>
    <w:qFormat/>
    <w:rsid w:val="008135D4"/>
    <w:pPr>
      <w:spacing w:after="0" w:line="240" w:lineRule="auto"/>
    </w:pPr>
  </w:style>
  <w:style w:type="paragraph" w:styleId="NormalWeb">
    <w:name w:val="Normal (Web)"/>
    <w:basedOn w:val="Normal"/>
    <w:uiPriority w:val="99"/>
    <w:semiHidden/>
    <w:unhideWhenUsed/>
    <w:rsid w:val="00A10F21"/>
    <w:pPr>
      <w:spacing w:before="100" w:beforeAutospacing="1" w:after="100" w:afterAutospacing="1" w:line="240" w:lineRule="auto"/>
    </w:pPr>
    <w:rPr>
      <w:rFonts w:ascii="Times New Roman" w:eastAsia="Times New Roman" w:hAnsi="Times New Roman" w:cs="Times New Roman"/>
      <w:sz w:val="24"/>
      <w:szCs w:val="24"/>
      <w:lang w:eastAsia="en-ZA"/>
    </w:rPr>
  </w:style>
  <w:style w:type="table" w:customStyle="1" w:styleId="GridTable4-Accent11">
    <w:name w:val="Grid Table 4 - Accent 11"/>
    <w:basedOn w:val="TableNormal"/>
    <w:uiPriority w:val="49"/>
    <w:rsid w:val="00DB685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Indent">
    <w:name w:val="Body Text Indent"/>
    <w:basedOn w:val="Normal"/>
    <w:link w:val="BodyTextIndentChar"/>
    <w:unhideWhenUsed/>
    <w:rsid w:val="00C53114"/>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C53114"/>
    <w:rPr>
      <w:rFonts w:ascii="Times New Roman" w:eastAsia="Times New Roman" w:hAnsi="Times New Roman" w:cs="Times New Roman"/>
      <w:sz w:val="24"/>
      <w:szCs w:val="24"/>
      <w:lang w:val="en-US"/>
    </w:rPr>
  </w:style>
  <w:style w:type="table" w:customStyle="1" w:styleId="TableGrid1">
    <w:name w:val="Table Grid1"/>
    <w:basedOn w:val="TableNormal"/>
    <w:next w:val="TableGrid"/>
    <w:rsid w:val="009131A1"/>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D455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55C8"/>
    <w:rPr>
      <w:sz w:val="20"/>
      <w:szCs w:val="20"/>
    </w:rPr>
  </w:style>
  <w:style w:type="table" w:customStyle="1" w:styleId="TableGrid2">
    <w:name w:val="Table Grid2"/>
    <w:basedOn w:val="TableNormal"/>
    <w:next w:val="TableGrid"/>
    <w:rsid w:val="00D455C8"/>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1">
    <w:name w:val="Pa11"/>
    <w:basedOn w:val="Default"/>
    <w:next w:val="Default"/>
    <w:uiPriority w:val="99"/>
    <w:rsid w:val="00B759D9"/>
    <w:pPr>
      <w:spacing w:line="161" w:lineRule="atLeast"/>
    </w:pPr>
    <w:rPr>
      <w:rFonts w:ascii="HelveticaNeue LightCond" w:eastAsia="Times New Roman" w:hAnsi="HelveticaNeue LightCond" w:cs="Times New Roman"/>
      <w:color w:val="auto"/>
      <w:lang w:eastAsia="en-ZA"/>
    </w:rPr>
  </w:style>
  <w:style w:type="paragraph" w:customStyle="1" w:styleId="Pa12">
    <w:name w:val="Pa12"/>
    <w:basedOn w:val="Default"/>
    <w:next w:val="Default"/>
    <w:uiPriority w:val="99"/>
    <w:rsid w:val="00B759D9"/>
    <w:pPr>
      <w:spacing w:line="161" w:lineRule="atLeast"/>
    </w:pPr>
    <w:rPr>
      <w:rFonts w:ascii="HelveticaNeue LightCond" w:eastAsia="Times New Roman" w:hAnsi="HelveticaNeue LightCond" w:cs="Times New Roman"/>
      <w:color w:val="auto"/>
      <w:lang w:eastAsia="en-ZA"/>
    </w:rPr>
  </w:style>
  <w:style w:type="paragraph" w:styleId="Revision">
    <w:name w:val="Revision"/>
    <w:hidden/>
    <w:uiPriority w:val="99"/>
    <w:semiHidden/>
    <w:rsid w:val="000C7872"/>
    <w:pPr>
      <w:spacing w:after="0" w:line="240" w:lineRule="auto"/>
    </w:pPr>
  </w:style>
  <w:style w:type="character" w:customStyle="1" w:styleId="ListParagraphChar">
    <w:name w:val="List Paragraph Char"/>
    <w:link w:val="ListParagraph"/>
    <w:uiPriority w:val="34"/>
    <w:rsid w:val="000060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5422F"/>
    <w:pPr>
      <w:ind w:left="720"/>
      <w:contextualSpacing/>
    </w:pPr>
  </w:style>
  <w:style w:type="paragraph" w:styleId="Header">
    <w:name w:val="header"/>
    <w:basedOn w:val="Normal"/>
    <w:link w:val="HeaderChar"/>
    <w:unhideWhenUsed/>
    <w:rsid w:val="00353A2C"/>
    <w:pPr>
      <w:tabs>
        <w:tab w:val="center" w:pos="4513"/>
        <w:tab w:val="right" w:pos="9026"/>
      </w:tabs>
      <w:spacing w:after="0" w:line="240" w:lineRule="auto"/>
    </w:pPr>
  </w:style>
  <w:style w:type="character" w:customStyle="1" w:styleId="HeaderChar">
    <w:name w:val="Header Char"/>
    <w:basedOn w:val="DefaultParagraphFont"/>
    <w:link w:val="Header"/>
    <w:rsid w:val="00353A2C"/>
  </w:style>
  <w:style w:type="paragraph" w:styleId="Footer">
    <w:name w:val="footer"/>
    <w:basedOn w:val="Normal"/>
    <w:link w:val="FooterChar"/>
    <w:uiPriority w:val="99"/>
    <w:unhideWhenUsed/>
    <w:rsid w:val="00353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A2C"/>
  </w:style>
  <w:style w:type="paragraph" w:customStyle="1" w:styleId="Default">
    <w:name w:val="Default"/>
    <w:rsid w:val="00346A55"/>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semiHidden/>
    <w:rsid w:val="00A072A5"/>
    <w:rPr>
      <w:vertAlign w:val="superscript"/>
    </w:rPr>
  </w:style>
  <w:style w:type="table" w:styleId="TableGrid">
    <w:name w:val="Table Grid"/>
    <w:basedOn w:val="TableNormal"/>
    <w:rsid w:val="00A16A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DF7F55"/>
    <w:rPr>
      <w:sz w:val="16"/>
      <w:szCs w:val="16"/>
    </w:rPr>
  </w:style>
  <w:style w:type="paragraph" w:styleId="CommentText">
    <w:name w:val="annotation text"/>
    <w:basedOn w:val="Normal"/>
    <w:link w:val="CommentTextChar"/>
    <w:uiPriority w:val="99"/>
    <w:semiHidden/>
    <w:unhideWhenUsed/>
    <w:rsid w:val="00DF7F55"/>
    <w:pPr>
      <w:spacing w:line="240" w:lineRule="auto"/>
    </w:pPr>
    <w:rPr>
      <w:sz w:val="20"/>
      <w:szCs w:val="20"/>
    </w:rPr>
  </w:style>
  <w:style w:type="character" w:customStyle="1" w:styleId="CommentTextChar">
    <w:name w:val="Comment Text Char"/>
    <w:basedOn w:val="DefaultParagraphFont"/>
    <w:link w:val="CommentText"/>
    <w:uiPriority w:val="99"/>
    <w:semiHidden/>
    <w:rsid w:val="00DF7F55"/>
    <w:rPr>
      <w:sz w:val="20"/>
      <w:szCs w:val="20"/>
    </w:rPr>
  </w:style>
  <w:style w:type="paragraph" w:styleId="CommentSubject">
    <w:name w:val="annotation subject"/>
    <w:basedOn w:val="CommentText"/>
    <w:next w:val="CommentText"/>
    <w:link w:val="CommentSubjectChar"/>
    <w:uiPriority w:val="99"/>
    <w:semiHidden/>
    <w:unhideWhenUsed/>
    <w:rsid w:val="00DF7F55"/>
    <w:rPr>
      <w:b/>
      <w:bCs/>
    </w:rPr>
  </w:style>
  <w:style w:type="character" w:customStyle="1" w:styleId="CommentSubjectChar">
    <w:name w:val="Comment Subject Char"/>
    <w:basedOn w:val="CommentTextChar"/>
    <w:link w:val="CommentSubject"/>
    <w:uiPriority w:val="99"/>
    <w:semiHidden/>
    <w:rsid w:val="00DF7F55"/>
    <w:rPr>
      <w:b/>
      <w:bCs/>
      <w:sz w:val="20"/>
      <w:szCs w:val="20"/>
    </w:rPr>
  </w:style>
  <w:style w:type="paragraph" w:styleId="BalloonText">
    <w:name w:val="Balloon Text"/>
    <w:basedOn w:val="Normal"/>
    <w:link w:val="BalloonTextChar"/>
    <w:uiPriority w:val="99"/>
    <w:semiHidden/>
    <w:unhideWhenUsed/>
    <w:rsid w:val="00DF7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F55"/>
    <w:rPr>
      <w:rFonts w:ascii="Tahoma" w:hAnsi="Tahoma" w:cs="Tahoma"/>
      <w:sz w:val="16"/>
      <w:szCs w:val="16"/>
    </w:rPr>
  </w:style>
  <w:style w:type="paragraph" w:customStyle="1" w:styleId="AGbodytextblack">
    <w:name w:val="AG body text black"/>
    <w:basedOn w:val="Normal"/>
    <w:rsid w:val="008135D4"/>
    <w:pPr>
      <w:spacing w:after="120" w:line="240" w:lineRule="auto"/>
    </w:pPr>
    <w:rPr>
      <w:rFonts w:ascii="Arial" w:eastAsia="Times New Roman" w:hAnsi="Arial" w:cs="Times New Roman"/>
      <w:lang w:eastAsia="en-GB"/>
    </w:rPr>
  </w:style>
  <w:style w:type="paragraph" w:customStyle="1" w:styleId="BodyText1">
    <w:name w:val="Body Text1"/>
    <w:basedOn w:val="NoSpacing"/>
    <w:link w:val="BodytextChar"/>
    <w:qFormat/>
    <w:rsid w:val="008135D4"/>
    <w:pPr>
      <w:spacing w:before="120" w:after="120"/>
    </w:pPr>
    <w:rPr>
      <w:rFonts w:ascii="Arial" w:eastAsia="Calibri" w:hAnsi="Arial" w:cs="Times New Roman"/>
      <w:color w:val="97857B"/>
      <w:sz w:val="20"/>
      <w:lang w:val="en-US"/>
    </w:rPr>
  </w:style>
  <w:style w:type="character" w:customStyle="1" w:styleId="BodytextChar">
    <w:name w:val="Body text Char"/>
    <w:basedOn w:val="DefaultParagraphFont"/>
    <w:link w:val="BodyText1"/>
    <w:rsid w:val="008135D4"/>
    <w:rPr>
      <w:rFonts w:ascii="Arial" w:eastAsia="Calibri" w:hAnsi="Arial" w:cs="Times New Roman"/>
      <w:color w:val="97857B"/>
      <w:sz w:val="20"/>
      <w:lang w:val="en-US"/>
    </w:rPr>
  </w:style>
  <w:style w:type="paragraph" w:styleId="NoSpacing">
    <w:name w:val="No Spacing"/>
    <w:uiPriority w:val="1"/>
    <w:qFormat/>
    <w:rsid w:val="008135D4"/>
    <w:pPr>
      <w:spacing w:after="0" w:line="240" w:lineRule="auto"/>
    </w:pPr>
  </w:style>
  <w:style w:type="paragraph" w:styleId="NormalWeb">
    <w:name w:val="Normal (Web)"/>
    <w:basedOn w:val="Normal"/>
    <w:uiPriority w:val="99"/>
    <w:semiHidden/>
    <w:unhideWhenUsed/>
    <w:rsid w:val="00A10F21"/>
    <w:pPr>
      <w:spacing w:before="100" w:beforeAutospacing="1" w:after="100" w:afterAutospacing="1" w:line="240" w:lineRule="auto"/>
    </w:pPr>
    <w:rPr>
      <w:rFonts w:ascii="Times New Roman" w:eastAsia="Times New Roman" w:hAnsi="Times New Roman" w:cs="Times New Roman"/>
      <w:sz w:val="24"/>
      <w:szCs w:val="24"/>
      <w:lang w:eastAsia="en-ZA"/>
    </w:rPr>
  </w:style>
  <w:style w:type="table" w:customStyle="1" w:styleId="GridTable4-Accent11">
    <w:name w:val="Grid Table 4 - Accent 11"/>
    <w:basedOn w:val="TableNormal"/>
    <w:uiPriority w:val="49"/>
    <w:rsid w:val="00DB685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Indent">
    <w:name w:val="Body Text Indent"/>
    <w:basedOn w:val="Normal"/>
    <w:link w:val="BodyTextIndentChar"/>
    <w:unhideWhenUsed/>
    <w:rsid w:val="00C53114"/>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C53114"/>
    <w:rPr>
      <w:rFonts w:ascii="Times New Roman" w:eastAsia="Times New Roman" w:hAnsi="Times New Roman" w:cs="Times New Roman"/>
      <w:sz w:val="24"/>
      <w:szCs w:val="24"/>
      <w:lang w:val="en-US"/>
    </w:rPr>
  </w:style>
  <w:style w:type="table" w:customStyle="1" w:styleId="TableGrid1">
    <w:name w:val="Table Grid1"/>
    <w:basedOn w:val="TableNormal"/>
    <w:next w:val="TableGrid"/>
    <w:rsid w:val="009131A1"/>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D455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55C8"/>
    <w:rPr>
      <w:sz w:val="20"/>
      <w:szCs w:val="20"/>
    </w:rPr>
  </w:style>
  <w:style w:type="table" w:customStyle="1" w:styleId="TableGrid2">
    <w:name w:val="Table Grid2"/>
    <w:basedOn w:val="TableNormal"/>
    <w:next w:val="TableGrid"/>
    <w:rsid w:val="00D455C8"/>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1">
    <w:name w:val="Pa11"/>
    <w:basedOn w:val="Default"/>
    <w:next w:val="Default"/>
    <w:uiPriority w:val="99"/>
    <w:rsid w:val="00B759D9"/>
    <w:pPr>
      <w:spacing w:line="161" w:lineRule="atLeast"/>
    </w:pPr>
    <w:rPr>
      <w:rFonts w:ascii="HelveticaNeue LightCond" w:eastAsia="Times New Roman" w:hAnsi="HelveticaNeue LightCond" w:cs="Times New Roman"/>
      <w:color w:val="auto"/>
      <w:lang w:eastAsia="en-ZA"/>
    </w:rPr>
  </w:style>
  <w:style w:type="paragraph" w:customStyle="1" w:styleId="Pa12">
    <w:name w:val="Pa12"/>
    <w:basedOn w:val="Default"/>
    <w:next w:val="Default"/>
    <w:uiPriority w:val="99"/>
    <w:rsid w:val="00B759D9"/>
    <w:pPr>
      <w:spacing w:line="161" w:lineRule="atLeast"/>
    </w:pPr>
    <w:rPr>
      <w:rFonts w:ascii="HelveticaNeue LightCond" w:eastAsia="Times New Roman" w:hAnsi="HelveticaNeue LightCond" w:cs="Times New Roman"/>
      <w:color w:val="auto"/>
      <w:lang w:eastAsia="en-ZA"/>
    </w:rPr>
  </w:style>
  <w:style w:type="paragraph" w:styleId="Revision">
    <w:name w:val="Revision"/>
    <w:hidden/>
    <w:uiPriority w:val="99"/>
    <w:semiHidden/>
    <w:rsid w:val="000C7872"/>
    <w:pPr>
      <w:spacing w:after="0" w:line="240" w:lineRule="auto"/>
    </w:pPr>
  </w:style>
  <w:style w:type="character" w:customStyle="1" w:styleId="ListParagraphChar">
    <w:name w:val="List Paragraph Char"/>
    <w:link w:val="ListParagraph"/>
    <w:uiPriority w:val="34"/>
    <w:rsid w:val="00006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2195">
      <w:bodyDiv w:val="1"/>
      <w:marLeft w:val="0"/>
      <w:marRight w:val="0"/>
      <w:marTop w:val="0"/>
      <w:marBottom w:val="0"/>
      <w:divBdr>
        <w:top w:val="none" w:sz="0" w:space="0" w:color="auto"/>
        <w:left w:val="none" w:sz="0" w:space="0" w:color="auto"/>
        <w:bottom w:val="none" w:sz="0" w:space="0" w:color="auto"/>
        <w:right w:val="none" w:sz="0" w:space="0" w:color="auto"/>
      </w:divBdr>
    </w:div>
    <w:div w:id="169875817">
      <w:bodyDiv w:val="1"/>
      <w:marLeft w:val="0"/>
      <w:marRight w:val="0"/>
      <w:marTop w:val="0"/>
      <w:marBottom w:val="0"/>
      <w:divBdr>
        <w:top w:val="none" w:sz="0" w:space="0" w:color="auto"/>
        <w:left w:val="none" w:sz="0" w:space="0" w:color="auto"/>
        <w:bottom w:val="none" w:sz="0" w:space="0" w:color="auto"/>
        <w:right w:val="none" w:sz="0" w:space="0" w:color="auto"/>
      </w:divBdr>
    </w:div>
    <w:div w:id="238754734">
      <w:bodyDiv w:val="1"/>
      <w:marLeft w:val="0"/>
      <w:marRight w:val="0"/>
      <w:marTop w:val="0"/>
      <w:marBottom w:val="0"/>
      <w:divBdr>
        <w:top w:val="none" w:sz="0" w:space="0" w:color="auto"/>
        <w:left w:val="none" w:sz="0" w:space="0" w:color="auto"/>
        <w:bottom w:val="none" w:sz="0" w:space="0" w:color="auto"/>
        <w:right w:val="none" w:sz="0" w:space="0" w:color="auto"/>
      </w:divBdr>
    </w:div>
    <w:div w:id="381252400">
      <w:bodyDiv w:val="1"/>
      <w:marLeft w:val="0"/>
      <w:marRight w:val="0"/>
      <w:marTop w:val="0"/>
      <w:marBottom w:val="0"/>
      <w:divBdr>
        <w:top w:val="none" w:sz="0" w:space="0" w:color="auto"/>
        <w:left w:val="none" w:sz="0" w:space="0" w:color="auto"/>
        <w:bottom w:val="none" w:sz="0" w:space="0" w:color="auto"/>
        <w:right w:val="none" w:sz="0" w:space="0" w:color="auto"/>
      </w:divBdr>
    </w:div>
    <w:div w:id="648287505">
      <w:bodyDiv w:val="1"/>
      <w:marLeft w:val="0"/>
      <w:marRight w:val="0"/>
      <w:marTop w:val="0"/>
      <w:marBottom w:val="0"/>
      <w:divBdr>
        <w:top w:val="none" w:sz="0" w:space="0" w:color="auto"/>
        <w:left w:val="none" w:sz="0" w:space="0" w:color="auto"/>
        <w:bottom w:val="none" w:sz="0" w:space="0" w:color="auto"/>
        <w:right w:val="none" w:sz="0" w:space="0" w:color="auto"/>
      </w:divBdr>
    </w:div>
    <w:div w:id="791284925">
      <w:bodyDiv w:val="1"/>
      <w:marLeft w:val="0"/>
      <w:marRight w:val="0"/>
      <w:marTop w:val="0"/>
      <w:marBottom w:val="0"/>
      <w:divBdr>
        <w:top w:val="none" w:sz="0" w:space="0" w:color="auto"/>
        <w:left w:val="none" w:sz="0" w:space="0" w:color="auto"/>
        <w:bottom w:val="none" w:sz="0" w:space="0" w:color="auto"/>
        <w:right w:val="none" w:sz="0" w:space="0" w:color="auto"/>
      </w:divBdr>
    </w:div>
    <w:div w:id="1176848848">
      <w:bodyDiv w:val="1"/>
      <w:marLeft w:val="0"/>
      <w:marRight w:val="0"/>
      <w:marTop w:val="0"/>
      <w:marBottom w:val="0"/>
      <w:divBdr>
        <w:top w:val="none" w:sz="0" w:space="0" w:color="auto"/>
        <w:left w:val="none" w:sz="0" w:space="0" w:color="auto"/>
        <w:bottom w:val="none" w:sz="0" w:space="0" w:color="auto"/>
        <w:right w:val="none" w:sz="0" w:space="0" w:color="auto"/>
      </w:divBdr>
    </w:div>
    <w:div w:id="1187251598">
      <w:bodyDiv w:val="1"/>
      <w:marLeft w:val="0"/>
      <w:marRight w:val="0"/>
      <w:marTop w:val="0"/>
      <w:marBottom w:val="0"/>
      <w:divBdr>
        <w:top w:val="none" w:sz="0" w:space="0" w:color="auto"/>
        <w:left w:val="none" w:sz="0" w:space="0" w:color="auto"/>
        <w:bottom w:val="none" w:sz="0" w:space="0" w:color="auto"/>
        <w:right w:val="none" w:sz="0" w:space="0" w:color="auto"/>
      </w:divBdr>
    </w:div>
    <w:div w:id="1491945686">
      <w:bodyDiv w:val="1"/>
      <w:marLeft w:val="0"/>
      <w:marRight w:val="0"/>
      <w:marTop w:val="0"/>
      <w:marBottom w:val="0"/>
      <w:divBdr>
        <w:top w:val="none" w:sz="0" w:space="0" w:color="auto"/>
        <w:left w:val="none" w:sz="0" w:space="0" w:color="auto"/>
        <w:bottom w:val="none" w:sz="0" w:space="0" w:color="auto"/>
        <w:right w:val="none" w:sz="0" w:space="0" w:color="auto"/>
      </w:divBdr>
    </w:div>
    <w:div w:id="1547795835">
      <w:bodyDiv w:val="1"/>
      <w:marLeft w:val="0"/>
      <w:marRight w:val="0"/>
      <w:marTop w:val="0"/>
      <w:marBottom w:val="0"/>
      <w:divBdr>
        <w:top w:val="none" w:sz="0" w:space="0" w:color="auto"/>
        <w:left w:val="none" w:sz="0" w:space="0" w:color="auto"/>
        <w:bottom w:val="none" w:sz="0" w:space="0" w:color="auto"/>
        <w:right w:val="none" w:sz="0" w:space="0" w:color="auto"/>
      </w:divBdr>
    </w:div>
    <w:div w:id="205090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44F57-0E1B-4E38-90DA-8C87FAEC6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8658</Words>
  <Characters>49355</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Budgetary Review and Recommendation Report</vt:lpstr>
    </vt:vector>
  </TitlesOfParts>
  <Company/>
  <LinksUpToDate>false</LinksUpToDate>
  <CharactersWithSpaces>57898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Budgetary Review and Recommendation Report</dc:title>
  <dc:subject>Performance and financial oversight</dc:subject>
  <dc:creator>Renee Osborne-Mullins</dc:creator>
  <cp:keywords>None</cp:keywords>
  <cp:lastModifiedBy>Asanda</cp:lastModifiedBy>
  <cp:revision>2</cp:revision>
  <cp:lastPrinted>2019-10-18T07:23:00Z</cp:lastPrinted>
  <dcterms:created xsi:type="dcterms:W3CDTF">2019-10-30T08:11:00Z</dcterms:created>
  <dcterms:modified xsi:type="dcterms:W3CDTF">2019-10-30T08:11:00Z</dcterms:modified>
</cp:coreProperties>
</file>