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AF" w:rsidRPr="00335764" w:rsidRDefault="002A3AAF" w:rsidP="00335764">
      <w:pPr>
        <w:autoSpaceDE w:val="0"/>
        <w:autoSpaceDN w:val="0"/>
        <w:adjustRightInd w:val="0"/>
        <w:spacing w:line="240" w:lineRule="auto"/>
        <w:jc w:val="left"/>
        <w:rPr>
          <w:rFonts w:cs="Arial"/>
          <w:b/>
          <w:sz w:val="20"/>
          <w:szCs w:val="20"/>
        </w:rPr>
      </w:pPr>
      <w:r w:rsidRPr="00335764">
        <w:rPr>
          <w:rFonts w:cs="Arial"/>
          <w:b/>
          <w:sz w:val="20"/>
          <w:szCs w:val="20"/>
        </w:rPr>
        <w:t xml:space="preserve">Report of the </w:t>
      </w:r>
      <w:r w:rsidR="00407586" w:rsidRPr="00335764">
        <w:rPr>
          <w:rFonts w:cs="Arial"/>
          <w:b/>
          <w:sz w:val="20"/>
          <w:szCs w:val="20"/>
        </w:rPr>
        <w:t xml:space="preserve">Portfolio </w:t>
      </w:r>
      <w:r w:rsidR="008A261A" w:rsidRPr="00335764">
        <w:rPr>
          <w:rFonts w:cs="Arial"/>
          <w:b/>
          <w:sz w:val="20"/>
          <w:szCs w:val="20"/>
        </w:rPr>
        <w:t>Committee</w:t>
      </w:r>
      <w:r w:rsidRPr="00335764">
        <w:rPr>
          <w:rFonts w:cs="Arial"/>
          <w:b/>
          <w:sz w:val="20"/>
          <w:szCs w:val="20"/>
        </w:rPr>
        <w:t xml:space="preserve"> on </w:t>
      </w:r>
      <w:r w:rsidR="00407586" w:rsidRPr="00335764">
        <w:rPr>
          <w:rFonts w:cs="Arial"/>
          <w:b/>
          <w:sz w:val="20"/>
          <w:szCs w:val="20"/>
        </w:rPr>
        <w:t xml:space="preserve">Justice and </w:t>
      </w:r>
      <w:r w:rsidR="00226DAF" w:rsidRPr="00335764">
        <w:rPr>
          <w:rFonts w:cs="Arial"/>
          <w:b/>
          <w:sz w:val="20"/>
          <w:szCs w:val="20"/>
        </w:rPr>
        <w:t>Correctional Services</w:t>
      </w:r>
      <w:r w:rsidR="00014359" w:rsidRPr="00335764">
        <w:rPr>
          <w:rFonts w:cs="Arial"/>
          <w:b/>
          <w:sz w:val="20"/>
          <w:szCs w:val="20"/>
        </w:rPr>
        <w:t xml:space="preserve"> on </w:t>
      </w:r>
      <w:r w:rsidR="00F82A9D" w:rsidRPr="00335764">
        <w:rPr>
          <w:rFonts w:cs="Arial"/>
          <w:b/>
          <w:sz w:val="20"/>
          <w:szCs w:val="20"/>
        </w:rPr>
        <w:t>the</w:t>
      </w:r>
      <w:r w:rsidR="002B788E" w:rsidRPr="00335764">
        <w:rPr>
          <w:rFonts w:cs="Arial"/>
          <w:b/>
          <w:sz w:val="20"/>
          <w:szCs w:val="20"/>
        </w:rPr>
        <w:t xml:space="preserve"> Annual Performance Plans 2023/24</w:t>
      </w:r>
      <w:r w:rsidR="00C95C94" w:rsidRPr="00335764">
        <w:rPr>
          <w:rFonts w:cs="Arial"/>
          <w:b/>
          <w:sz w:val="20"/>
          <w:szCs w:val="20"/>
        </w:rPr>
        <w:t xml:space="preserve"> of the Department of Justice and Constitutional Development, National Prosecuting Authority, Legal Aid South Africa, Special Investigating Unit, Public Protector South Africa, South African Human Rights Commission and Information Regulator</w:t>
      </w:r>
      <w:r w:rsidR="00774CFB" w:rsidRPr="00335764">
        <w:rPr>
          <w:rFonts w:cs="Arial"/>
          <w:b/>
          <w:sz w:val="20"/>
          <w:szCs w:val="20"/>
        </w:rPr>
        <w:t>,</w:t>
      </w:r>
      <w:r w:rsidR="00C95C94" w:rsidRPr="00335764">
        <w:rPr>
          <w:rFonts w:cs="Arial"/>
          <w:b/>
          <w:sz w:val="20"/>
          <w:szCs w:val="20"/>
        </w:rPr>
        <w:t xml:space="preserve"> and </w:t>
      </w:r>
      <w:r w:rsidR="00014359" w:rsidRPr="00335764">
        <w:rPr>
          <w:rFonts w:cs="Arial"/>
          <w:b/>
          <w:sz w:val="20"/>
          <w:szCs w:val="20"/>
        </w:rPr>
        <w:t>Budget Vote 2</w:t>
      </w:r>
      <w:r w:rsidR="00670D6F" w:rsidRPr="00335764">
        <w:rPr>
          <w:rFonts w:cs="Arial"/>
          <w:b/>
          <w:sz w:val="20"/>
          <w:szCs w:val="20"/>
        </w:rPr>
        <w:t>5</w:t>
      </w:r>
      <w:r w:rsidR="00407586" w:rsidRPr="00335764">
        <w:rPr>
          <w:rFonts w:cs="Arial"/>
          <w:b/>
          <w:sz w:val="20"/>
          <w:szCs w:val="20"/>
        </w:rPr>
        <w:t>: Justice and Constitutional Development</w:t>
      </w:r>
      <w:r w:rsidR="008061EB" w:rsidRPr="00335764">
        <w:rPr>
          <w:rFonts w:cs="Arial"/>
          <w:b/>
          <w:sz w:val="20"/>
          <w:szCs w:val="20"/>
        </w:rPr>
        <w:t xml:space="preserve"> for the 202</w:t>
      </w:r>
      <w:r w:rsidR="002B788E" w:rsidRPr="00335764">
        <w:rPr>
          <w:rFonts w:cs="Arial"/>
          <w:b/>
          <w:sz w:val="20"/>
          <w:szCs w:val="20"/>
        </w:rPr>
        <w:t>3</w:t>
      </w:r>
      <w:r w:rsidR="004E1CAD" w:rsidRPr="00335764">
        <w:rPr>
          <w:rFonts w:cs="Arial"/>
          <w:b/>
          <w:sz w:val="20"/>
          <w:szCs w:val="20"/>
        </w:rPr>
        <w:t xml:space="preserve"> MTEF</w:t>
      </w:r>
      <w:r w:rsidR="00407586" w:rsidRPr="00335764">
        <w:rPr>
          <w:rFonts w:cs="Arial"/>
          <w:b/>
          <w:sz w:val="20"/>
          <w:szCs w:val="20"/>
        </w:rPr>
        <w:t xml:space="preserve">, dated </w:t>
      </w:r>
      <w:r w:rsidR="00703E27" w:rsidRPr="00335764">
        <w:rPr>
          <w:rFonts w:cs="Arial"/>
          <w:b/>
          <w:sz w:val="20"/>
          <w:szCs w:val="20"/>
        </w:rPr>
        <w:t>2 June 2023</w:t>
      </w:r>
    </w:p>
    <w:p w:rsidR="00A841A9" w:rsidRPr="00335764" w:rsidRDefault="00A841A9" w:rsidP="00335764">
      <w:pPr>
        <w:autoSpaceDE w:val="0"/>
        <w:autoSpaceDN w:val="0"/>
        <w:adjustRightInd w:val="0"/>
        <w:spacing w:line="240" w:lineRule="auto"/>
        <w:jc w:val="left"/>
        <w:rPr>
          <w:rFonts w:cs="Arial"/>
          <w:b/>
          <w:sz w:val="20"/>
          <w:szCs w:val="20"/>
        </w:rPr>
      </w:pPr>
    </w:p>
    <w:p w:rsidR="00407586" w:rsidRPr="00335764" w:rsidRDefault="00407586" w:rsidP="00335764">
      <w:pPr>
        <w:autoSpaceDE w:val="0"/>
        <w:autoSpaceDN w:val="0"/>
        <w:adjustRightInd w:val="0"/>
        <w:spacing w:line="240" w:lineRule="auto"/>
        <w:jc w:val="left"/>
        <w:rPr>
          <w:rFonts w:cs="Arial"/>
          <w:sz w:val="20"/>
          <w:szCs w:val="20"/>
        </w:rPr>
      </w:pPr>
      <w:r w:rsidRPr="00335764">
        <w:rPr>
          <w:rFonts w:cs="Arial"/>
          <w:sz w:val="20"/>
          <w:szCs w:val="20"/>
        </w:rPr>
        <w:t xml:space="preserve">The Portfolio </w:t>
      </w:r>
      <w:r w:rsidR="008A261A" w:rsidRPr="00335764">
        <w:rPr>
          <w:rFonts w:cs="Arial"/>
          <w:sz w:val="20"/>
          <w:szCs w:val="20"/>
        </w:rPr>
        <w:t>Committee</w:t>
      </w:r>
      <w:r w:rsidRPr="00335764">
        <w:rPr>
          <w:rFonts w:cs="Arial"/>
          <w:sz w:val="20"/>
          <w:szCs w:val="20"/>
        </w:rPr>
        <w:t xml:space="preserve"> on Justice </w:t>
      </w:r>
      <w:r w:rsidR="00226DAF" w:rsidRPr="00335764">
        <w:rPr>
          <w:rFonts w:cs="Arial"/>
          <w:sz w:val="20"/>
          <w:szCs w:val="20"/>
        </w:rPr>
        <w:t>and Correctional Services</w:t>
      </w:r>
      <w:r w:rsidRPr="00335764">
        <w:rPr>
          <w:rFonts w:cs="Arial"/>
          <w:sz w:val="20"/>
          <w:szCs w:val="20"/>
        </w:rPr>
        <w:t xml:space="preserve">, having considered </w:t>
      </w:r>
      <w:r w:rsidR="004E1CAD" w:rsidRPr="00335764">
        <w:rPr>
          <w:rFonts w:cs="Arial"/>
          <w:sz w:val="20"/>
          <w:szCs w:val="20"/>
        </w:rPr>
        <w:t xml:space="preserve">the </w:t>
      </w:r>
      <w:r w:rsidR="002B788E" w:rsidRPr="00335764">
        <w:rPr>
          <w:rFonts w:cs="Arial"/>
          <w:sz w:val="20"/>
          <w:szCs w:val="20"/>
        </w:rPr>
        <w:t>A</w:t>
      </w:r>
      <w:r w:rsidR="00774CFB" w:rsidRPr="00335764">
        <w:rPr>
          <w:rFonts w:cs="Arial"/>
          <w:sz w:val="20"/>
          <w:szCs w:val="20"/>
        </w:rPr>
        <w:t xml:space="preserve">nnual </w:t>
      </w:r>
      <w:r w:rsidR="002B788E" w:rsidRPr="00335764">
        <w:rPr>
          <w:rFonts w:cs="Arial"/>
          <w:sz w:val="20"/>
          <w:szCs w:val="20"/>
        </w:rPr>
        <w:t>Performance P</w:t>
      </w:r>
      <w:r w:rsidR="00774CFB" w:rsidRPr="00335764">
        <w:rPr>
          <w:rFonts w:cs="Arial"/>
          <w:sz w:val="20"/>
          <w:szCs w:val="20"/>
        </w:rPr>
        <w:t>lans 202</w:t>
      </w:r>
      <w:r w:rsidR="002B788E" w:rsidRPr="00335764">
        <w:rPr>
          <w:rFonts w:cs="Arial"/>
          <w:sz w:val="20"/>
          <w:szCs w:val="20"/>
        </w:rPr>
        <w:t>3/24</w:t>
      </w:r>
      <w:r w:rsidR="004E1CAD" w:rsidRPr="00335764">
        <w:rPr>
          <w:rFonts w:cs="Arial"/>
          <w:sz w:val="20"/>
          <w:szCs w:val="20"/>
        </w:rPr>
        <w:t xml:space="preserve"> of the Department of Justice and Constitutional Development, National Prosecuting Authority, Legal Aid South Africa, Special Investigating Unit, Public Protector South Africa, South African Human Rights Commission and Information Regulator</w:t>
      </w:r>
      <w:r w:rsidR="00774CFB" w:rsidRPr="00335764">
        <w:rPr>
          <w:rFonts w:cs="Arial"/>
          <w:sz w:val="20"/>
          <w:szCs w:val="20"/>
        </w:rPr>
        <w:t>,</w:t>
      </w:r>
      <w:r w:rsidR="004E1CAD" w:rsidRPr="00335764">
        <w:rPr>
          <w:rFonts w:cs="Arial"/>
          <w:sz w:val="20"/>
          <w:szCs w:val="20"/>
        </w:rPr>
        <w:t xml:space="preserve"> and </w:t>
      </w:r>
      <w:r w:rsidRPr="00335764">
        <w:rPr>
          <w:rFonts w:cs="Arial"/>
          <w:sz w:val="20"/>
          <w:szCs w:val="20"/>
        </w:rPr>
        <w:t xml:space="preserve">Budget Vote </w:t>
      </w:r>
      <w:r w:rsidR="00670D6F" w:rsidRPr="00335764">
        <w:rPr>
          <w:rFonts w:cs="Arial"/>
          <w:sz w:val="20"/>
          <w:szCs w:val="20"/>
        </w:rPr>
        <w:t>25</w:t>
      </w:r>
      <w:r w:rsidRPr="00335764">
        <w:rPr>
          <w:rFonts w:cs="Arial"/>
          <w:sz w:val="20"/>
          <w:szCs w:val="20"/>
        </w:rPr>
        <w:t>: Justice and Constitutional Development</w:t>
      </w:r>
      <w:r w:rsidR="00774CFB" w:rsidRPr="00335764">
        <w:rPr>
          <w:rFonts w:cs="Arial"/>
          <w:sz w:val="20"/>
          <w:szCs w:val="20"/>
        </w:rPr>
        <w:t xml:space="preserve"> for the 202</w:t>
      </w:r>
      <w:r w:rsidR="002B788E" w:rsidRPr="00335764">
        <w:rPr>
          <w:rFonts w:cs="Arial"/>
          <w:sz w:val="20"/>
          <w:szCs w:val="20"/>
        </w:rPr>
        <w:t>3</w:t>
      </w:r>
      <w:r w:rsidR="00774CFB" w:rsidRPr="00335764">
        <w:rPr>
          <w:rFonts w:cs="Arial"/>
          <w:sz w:val="20"/>
          <w:szCs w:val="20"/>
        </w:rPr>
        <w:t xml:space="preserve"> MTEF</w:t>
      </w:r>
      <w:r w:rsidRPr="00335764">
        <w:rPr>
          <w:rFonts w:cs="Arial"/>
          <w:sz w:val="20"/>
          <w:szCs w:val="20"/>
        </w:rPr>
        <w:t xml:space="preserve">, </w:t>
      </w:r>
      <w:r w:rsidR="004E1CAD" w:rsidRPr="00335764">
        <w:rPr>
          <w:rFonts w:cs="Arial"/>
          <w:sz w:val="20"/>
          <w:szCs w:val="20"/>
        </w:rPr>
        <w:t xml:space="preserve">referred to it, </w:t>
      </w:r>
      <w:r w:rsidRPr="00335764">
        <w:rPr>
          <w:rFonts w:cs="Arial"/>
          <w:sz w:val="20"/>
          <w:szCs w:val="20"/>
        </w:rPr>
        <w:t>reports as follows:</w:t>
      </w:r>
    </w:p>
    <w:p w:rsidR="00425584" w:rsidRPr="00335764" w:rsidRDefault="00425584" w:rsidP="00335764">
      <w:pPr>
        <w:autoSpaceDE w:val="0"/>
        <w:autoSpaceDN w:val="0"/>
        <w:adjustRightInd w:val="0"/>
        <w:spacing w:line="240" w:lineRule="auto"/>
        <w:jc w:val="left"/>
        <w:rPr>
          <w:rFonts w:cs="Arial"/>
          <w:sz w:val="20"/>
          <w:szCs w:val="20"/>
        </w:rPr>
      </w:pPr>
    </w:p>
    <w:p w:rsidR="00407586" w:rsidRPr="00335764" w:rsidRDefault="00407586" w:rsidP="00335764">
      <w:pPr>
        <w:numPr>
          <w:ilvl w:val="0"/>
          <w:numId w:val="1"/>
        </w:numPr>
        <w:tabs>
          <w:tab w:val="clear" w:pos="375"/>
          <w:tab w:val="num" w:pos="851"/>
        </w:tabs>
        <w:autoSpaceDE w:val="0"/>
        <w:autoSpaceDN w:val="0"/>
        <w:adjustRightInd w:val="0"/>
        <w:spacing w:line="240" w:lineRule="auto"/>
        <w:ind w:left="851" w:hanging="851"/>
        <w:jc w:val="left"/>
        <w:rPr>
          <w:rFonts w:cs="Arial"/>
          <w:b/>
          <w:sz w:val="20"/>
          <w:szCs w:val="20"/>
        </w:rPr>
      </w:pPr>
      <w:r w:rsidRPr="00335764">
        <w:rPr>
          <w:rFonts w:cs="Arial"/>
          <w:b/>
          <w:sz w:val="20"/>
          <w:szCs w:val="20"/>
        </w:rPr>
        <w:t>Introduction</w:t>
      </w:r>
    </w:p>
    <w:p w:rsidR="00226DAF" w:rsidRPr="00335764" w:rsidRDefault="00226DAF" w:rsidP="00335764">
      <w:pPr>
        <w:autoSpaceDE w:val="0"/>
        <w:autoSpaceDN w:val="0"/>
        <w:adjustRightInd w:val="0"/>
        <w:spacing w:line="240" w:lineRule="auto"/>
        <w:ind w:left="720"/>
        <w:jc w:val="left"/>
        <w:rPr>
          <w:rFonts w:cs="Arial"/>
          <w:b/>
          <w:sz w:val="20"/>
          <w:szCs w:val="20"/>
        </w:rPr>
      </w:pPr>
    </w:p>
    <w:p w:rsidR="00554EDF" w:rsidRPr="00335764" w:rsidRDefault="00014359" w:rsidP="00335764">
      <w:pPr>
        <w:numPr>
          <w:ilvl w:val="1"/>
          <w:numId w:val="1"/>
        </w:numPr>
        <w:tabs>
          <w:tab w:val="clear" w:pos="862"/>
          <w:tab w:val="num" w:pos="851"/>
        </w:tabs>
        <w:autoSpaceDE w:val="0"/>
        <w:autoSpaceDN w:val="0"/>
        <w:adjustRightInd w:val="0"/>
        <w:spacing w:line="240" w:lineRule="auto"/>
        <w:ind w:left="851" w:hanging="851"/>
        <w:jc w:val="left"/>
        <w:rPr>
          <w:rFonts w:cs="Arial"/>
          <w:b/>
          <w:sz w:val="20"/>
          <w:szCs w:val="20"/>
        </w:rPr>
      </w:pPr>
      <w:r w:rsidRPr="00335764">
        <w:rPr>
          <w:rFonts w:cs="Arial"/>
          <w:sz w:val="20"/>
          <w:szCs w:val="20"/>
        </w:rPr>
        <w:t>The Budget Vote 2</w:t>
      </w:r>
      <w:r w:rsidR="00670D6F" w:rsidRPr="00335764">
        <w:rPr>
          <w:rFonts w:cs="Arial"/>
          <w:sz w:val="20"/>
          <w:szCs w:val="20"/>
        </w:rPr>
        <w:t>5</w:t>
      </w:r>
      <w:r w:rsidR="00226DAF" w:rsidRPr="00335764">
        <w:rPr>
          <w:rFonts w:cs="Arial"/>
          <w:sz w:val="20"/>
          <w:szCs w:val="20"/>
        </w:rPr>
        <w:t xml:space="preserve">: Justice and Constitutional Development </w:t>
      </w:r>
      <w:r w:rsidR="00AB1A97" w:rsidRPr="00335764">
        <w:rPr>
          <w:rFonts w:cs="Arial"/>
          <w:sz w:val="20"/>
          <w:szCs w:val="20"/>
        </w:rPr>
        <w:t>consist</w:t>
      </w:r>
      <w:r w:rsidR="00774CFB" w:rsidRPr="00335764">
        <w:rPr>
          <w:rFonts w:cs="Arial"/>
          <w:sz w:val="20"/>
          <w:szCs w:val="20"/>
        </w:rPr>
        <w:t>s</w:t>
      </w:r>
      <w:r w:rsidR="00AB1A97" w:rsidRPr="00335764">
        <w:rPr>
          <w:rFonts w:cs="Arial"/>
          <w:sz w:val="20"/>
          <w:szCs w:val="20"/>
        </w:rPr>
        <w:t xml:space="preserve"> of</w:t>
      </w:r>
      <w:r w:rsidR="005C199D" w:rsidRPr="00335764">
        <w:rPr>
          <w:rFonts w:cs="Arial"/>
          <w:sz w:val="20"/>
          <w:szCs w:val="20"/>
        </w:rPr>
        <w:t xml:space="preserve"> </w:t>
      </w:r>
      <w:r w:rsidR="00226DAF" w:rsidRPr="00335764">
        <w:rPr>
          <w:rFonts w:cs="Arial"/>
          <w:sz w:val="20"/>
          <w:szCs w:val="20"/>
        </w:rPr>
        <w:t>five programmes, as well as a direct c</w:t>
      </w:r>
      <w:r w:rsidR="00554EDF" w:rsidRPr="00335764">
        <w:rPr>
          <w:rFonts w:cs="Arial"/>
          <w:sz w:val="20"/>
          <w:szCs w:val="20"/>
        </w:rPr>
        <w:t xml:space="preserve">harge for </w:t>
      </w:r>
      <w:r w:rsidR="00C138D3" w:rsidRPr="00335764">
        <w:rPr>
          <w:rFonts w:cs="Arial"/>
          <w:sz w:val="20"/>
          <w:szCs w:val="20"/>
        </w:rPr>
        <w:t>M</w:t>
      </w:r>
      <w:r w:rsidR="00192752" w:rsidRPr="00335764">
        <w:rPr>
          <w:rFonts w:cs="Arial"/>
          <w:sz w:val="20"/>
          <w:szCs w:val="20"/>
        </w:rPr>
        <w:t>agistrates’</w:t>
      </w:r>
      <w:r w:rsidR="00554EDF" w:rsidRPr="00335764">
        <w:rPr>
          <w:rFonts w:cs="Arial"/>
          <w:sz w:val="20"/>
          <w:szCs w:val="20"/>
        </w:rPr>
        <w:t xml:space="preserve"> salaries</w:t>
      </w:r>
      <w:r w:rsidR="003761DA" w:rsidRPr="00335764">
        <w:rPr>
          <w:rFonts w:cs="Arial"/>
          <w:sz w:val="20"/>
          <w:szCs w:val="20"/>
        </w:rPr>
        <w:t>:</w:t>
      </w:r>
    </w:p>
    <w:p w:rsidR="002B788E" w:rsidRPr="00335764" w:rsidRDefault="002B788E" w:rsidP="00335764">
      <w:pPr>
        <w:autoSpaceDE w:val="0"/>
        <w:autoSpaceDN w:val="0"/>
        <w:adjustRightInd w:val="0"/>
        <w:spacing w:line="240" w:lineRule="auto"/>
        <w:jc w:val="left"/>
        <w:rPr>
          <w:rFonts w:cs="Arial"/>
          <w:sz w:val="20"/>
          <w:szCs w:val="20"/>
          <w:lang w:val="en-ZA"/>
        </w:rPr>
      </w:pPr>
    </w:p>
    <w:p w:rsidR="00554EDF" w:rsidRPr="00335764" w:rsidRDefault="00226DAF" w:rsidP="00335764">
      <w:pPr>
        <w:pStyle w:val="ListParagraph"/>
        <w:numPr>
          <w:ilvl w:val="2"/>
          <w:numId w:val="1"/>
        </w:numPr>
        <w:autoSpaceDE w:val="0"/>
        <w:autoSpaceDN w:val="0"/>
        <w:adjustRightInd w:val="0"/>
        <w:spacing w:line="240" w:lineRule="auto"/>
        <w:ind w:left="851" w:hanging="851"/>
        <w:jc w:val="left"/>
        <w:rPr>
          <w:rFonts w:cs="Arial"/>
          <w:sz w:val="20"/>
          <w:szCs w:val="20"/>
          <w:lang/>
        </w:rPr>
      </w:pPr>
      <w:r w:rsidRPr="00335764">
        <w:rPr>
          <w:rFonts w:cs="Arial"/>
          <w:sz w:val="20"/>
          <w:szCs w:val="20"/>
        </w:rPr>
        <w:t>The</w:t>
      </w:r>
      <w:r w:rsidRPr="00335764">
        <w:rPr>
          <w:rFonts w:cs="Arial"/>
          <w:sz w:val="20"/>
          <w:szCs w:val="20"/>
          <w:lang/>
        </w:rPr>
        <w:t xml:space="preserve"> Department of Justice and Constitutional Development </w:t>
      </w:r>
      <w:r w:rsidR="00071E9D" w:rsidRPr="00335764">
        <w:rPr>
          <w:rFonts w:cs="Arial"/>
          <w:sz w:val="20"/>
          <w:szCs w:val="20"/>
          <w:lang w:val="en-ZA"/>
        </w:rPr>
        <w:t xml:space="preserve">(the Department) </w:t>
      </w:r>
      <w:r w:rsidRPr="00335764">
        <w:rPr>
          <w:rFonts w:cs="Arial"/>
          <w:sz w:val="20"/>
          <w:szCs w:val="20"/>
          <w:lang/>
        </w:rPr>
        <w:t>is responsible for the Administration, Court Services</w:t>
      </w:r>
      <w:r w:rsidR="005C199D" w:rsidRPr="00335764">
        <w:rPr>
          <w:rFonts w:cs="Arial"/>
          <w:sz w:val="20"/>
          <w:szCs w:val="20"/>
          <w:lang w:val="en-ZA"/>
        </w:rPr>
        <w:t xml:space="preserve">, </w:t>
      </w:r>
      <w:r w:rsidRPr="00335764">
        <w:rPr>
          <w:rFonts w:cs="Arial"/>
          <w:sz w:val="20"/>
          <w:szCs w:val="20"/>
          <w:lang/>
        </w:rPr>
        <w:t xml:space="preserve">State Legal Services </w:t>
      </w:r>
      <w:r w:rsidR="005C53AE" w:rsidRPr="00335764">
        <w:rPr>
          <w:rFonts w:cs="Arial"/>
          <w:sz w:val="20"/>
          <w:szCs w:val="20"/>
          <w:lang w:val="en-ZA"/>
        </w:rPr>
        <w:t xml:space="preserve">and National Prosecuting Authority (NPA) </w:t>
      </w:r>
      <w:r w:rsidRPr="00335764">
        <w:rPr>
          <w:rFonts w:cs="Arial"/>
          <w:sz w:val="20"/>
          <w:szCs w:val="20"/>
          <w:lang/>
        </w:rPr>
        <w:t>programmes</w:t>
      </w:r>
      <w:r w:rsidR="00554EDF" w:rsidRPr="00335764">
        <w:rPr>
          <w:rFonts w:cs="Arial"/>
          <w:sz w:val="20"/>
          <w:szCs w:val="20"/>
          <w:lang/>
        </w:rPr>
        <w:t xml:space="preserve">, as well as </w:t>
      </w:r>
      <w:r w:rsidR="00A54DEA" w:rsidRPr="00335764">
        <w:rPr>
          <w:rFonts w:cs="Arial"/>
          <w:sz w:val="20"/>
          <w:szCs w:val="20"/>
          <w:lang w:val="en-ZA"/>
        </w:rPr>
        <w:t xml:space="preserve">for </w:t>
      </w:r>
      <w:r w:rsidR="00554EDF" w:rsidRPr="00335764">
        <w:rPr>
          <w:rFonts w:cs="Arial"/>
          <w:sz w:val="20"/>
          <w:szCs w:val="20"/>
          <w:lang/>
        </w:rPr>
        <w:t xml:space="preserve">the Justice Modernisation </w:t>
      </w:r>
      <w:r w:rsidR="00554EDF" w:rsidRPr="00335764">
        <w:rPr>
          <w:rFonts w:cs="Arial"/>
          <w:bCs/>
          <w:sz w:val="20"/>
          <w:szCs w:val="20"/>
        </w:rPr>
        <w:t>subprogramme under Programme 5: Auxiliary and Associated</w:t>
      </w:r>
      <w:r w:rsidR="00554EDF" w:rsidRPr="00335764">
        <w:rPr>
          <w:rFonts w:cs="Arial"/>
          <w:sz w:val="20"/>
          <w:szCs w:val="20"/>
          <w:lang/>
        </w:rPr>
        <w:t xml:space="preserve"> Services</w:t>
      </w:r>
      <w:r w:rsidR="00A54DEA" w:rsidRPr="00335764">
        <w:rPr>
          <w:rFonts w:cs="Arial"/>
          <w:sz w:val="20"/>
          <w:szCs w:val="20"/>
          <w:lang w:val="en-ZA"/>
        </w:rPr>
        <w:t>, which funds the implementation of I</w:t>
      </w:r>
      <w:r w:rsidR="00071E9D" w:rsidRPr="00335764">
        <w:rPr>
          <w:rFonts w:cs="Arial"/>
          <w:sz w:val="20"/>
          <w:szCs w:val="20"/>
          <w:lang w:val="en-ZA"/>
        </w:rPr>
        <w:t>nformation Technology (IT)</w:t>
      </w:r>
      <w:r w:rsidR="00A54DEA" w:rsidRPr="00335764">
        <w:rPr>
          <w:rFonts w:cs="Arial"/>
          <w:sz w:val="20"/>
          <w:szCs w:val="20"/>
          <w:lang w:val="en-ZA"/>
        </w:rPr>
        <w:t xml:space="preserve"> infrastructure for the Department and distributes earmarked </w:t>
      </w:r>
      <w:r w:rsidR="000E20EB" w:rsidRPr="00335764">
        <w:rPr>
          <w:rFonts w:cs="Arial"/>
          <w:sz w:val="20"/>
          <w:szCs w:val="20"/>
          <w:lang w:val="en-ZA"/>
        </w:rPr>
        <w:t>funds for J</w:t>
      </w:r>
      <w:r w:rsidR="00774CFB" w:rsidRPr="00335764">
        <w:rPr>
          <w:rFonts w:cs="Arial"/>
          <w:sz w:val="20"/>
          <w:szCs w:val="20"/>
          <w:lang w:val="en-ZA"/>
        </w:rPr>
        <w:t xml:space="preserve">ustice, </w:t>
      </w:r>
      <w:r w:rsidR="000E20EB" w:rsidRPr="00335764">
        <w:rPr>
          <w:rFonts w:cs="Arial"/>
          <w:sz w:val="20"/>
          <w:szCs w:val="20"/>
          <w:lang w:val="en-ZA"/>
        </w:rPr>
        <w:t>C</w:t>
      </w:r>
      <w:r w:rsidR="00774CFB" w:rsidRPr="00335764">
        <w:rPr>
          <w:rFonts w:cs="Arial"/>
          <w:sz w:val="20"/>
          <w:szCs w:val="20"/>
          <w:lang w:val="en-ZA"/>
        </w:rPr>
        <w:t xml:space="preserve">rime </w:t>
      </w:r>
      <w:r w:rsidR="000E20EB" w:rsidRPr="00335764">
        <w:rPr>
          <w:rFonts w:cs="Arial"/>
          <w:sz w:val="20"/>
          <w:szCs w:val="20"/>
          <w:lang w:val="en-ZA"/>
        </w:rPr>
        <w:t>P</w:t>
      </w:r>
      <w:r w:rsidR="00774CFB" w:rsidRPr="00335764">
        <w:rPr>
          <w:rFonts w:cs="Arial"/>
          <w:sz w:val="20"/>
          <w:szCs w:val="20"/>
          <w:lang w:val="en-ZA"/>
        </w:rPr>
        <w:t xml:space="preserve">revention and </w:t>
      </w:r>
      <w:r w:rsidR="000E20EB" w:rsidRPr="00335764">
        <w:rPr>
          <w:rFonts w:cs="Arial"/>
          <w:sz w:val="20"/>
          <w:szCs w:val="20"/>
          <w:lang w:val="en-ZA"/>
        </w:rPr>
        <w:t>S</w:t>
      </w:r>
      <w:r w:rsidR="00774CFB" w:rsidRPr="00335764">
        <w:rPr>
          <w:rFonts w:cs="Arial"/>
          <w:sz w:val="20"/>
          <w:szCs w:val="20"/>
          <w:lang w:val="en-ZA"/>
        </w:rPr>
        <w:t>ecurity</w:t>
      </w:r>
      <w:r w:rsidR="000E20EB" w:rsidRPr="00335764">
        <w:rPr>
          <w:rFonts w:cs="Arial"/>
          <w:sz w:val="20"/>
          <w:szCs w:val="20"/>
          <w:lang w:val="en-ZA"/>
        </w:rPr>
        <w:t xml:space="preserve"> </w:t>
      </w:r>
      <w:r w:rsidR="00774CFB" w:rsidRPr="00335764">
        <w:rPr>
          <w:rFonts w:cs="Arial"/>
          <w:sz w:val="20"/>
          <w:szCs w:val="20"/>
          <w:lang w:val="en-ZA"/>
        </w:rPr>
        <w:t xml:space="preserve">(JCPS) </w:t>
      </w:r>
      <w:r w:rsidR="000E20EB" w:rsidRPr="00335764">
        <w:rPr>
          <w:rFonts w:cs="Arial"/>
          <w:sz w:val="20"/>
          <w:szCs w:val="20"/>
          <w:lang w:val="en-ZA"/>
        </w:rPr>
        <w:t>Cluster projects</w:t>
      </w:r>
      <w:r w:rsidR="00A54DEA" w:rsidRPr="00335764">
        <w:rPr>
          <w:rFonts w:cs="Arial"/>
          <w:sz w:val="20"/>
          <w:szCs w:val="20"/>
          <w:lang w:val="en-ZA"/>
        </w:rPr>
        <w:t xml:space="preserve"> as part of the Integrated Justice System (IJS)</w:t>
      </w:r>
      <w:r w:rsidRPr="00335764">
        <w:rPr>
          <w:rFonts w:cs="Arial"/>
          <w:sz w:val="20"/>
          <w:szCs w:val="20"/>
          <w:lang/>
        </w:rPr>
        <w:t xml:space="preserve">. </w:t>
      </w:r>
    </w:p>
    <w:p w:rsidR="004D15C9" w:rsidRPr="00335764" w:rsidRDefault="004D15C9" w:rsidP="00335764">
      <w:pPr>
        <w:spacing w:line="240" w:lineRule="auto"/>
        <w:jc w:val="left"/>
        <w:rPr>
          <w:rFonts w:cs="Arial"/>
          <w:sz w:val="20"/>
          <w:szCs w:val="20"/>
          <w:lang/>
        </w:rPr>
      </w:pPr>
    </w:p>
    <w:p w:rsidR="00226DAF" w:rsidRPr="00335764" w:rsidRDefault="00774CFB" w:rsidP="00335764">
      <w:pPr>
        <w:pStyle w:val="ListParagraph"/>
        <w:numPr>
          <w:ilvl w:val="2"/>
          <w:numId w:val="1"/>
        </w:numPr>
        <w:autoSpaceDE w:val="0"/>
        <w:autoSpaceDN w:val="0"/>
        <w:adjustRightInd w:val="0"/>
        <w:spacing w:line="240" w:lineRule="auto"/>
        <w:ind w:left="851" w:hanging="851"/>
        <w:jc w:val="left"/>
        <w:rPr>
          <w:rFonts w:cs="Arial"/>
          <w:b/>
          <w:sz w:val="20"/>
          <w:szCs w:val="20"/>
        </w:rPr>
      </w:pPr>
      <w:r w:rsidRPr="00335764">
        <w:rPr>
          <w:rFonts w:cs="Arial"/>
          <w:sz w:val="20"/>
          <w:szCs w:val="20"/>
        </w:rPr>
        <w:t>In</w:t>
      </w:r>
      <w:r w:rsidRPr="00335764">
        <w:rPr>
          <w:rFonts w:cs="Arial"/>
          <w:sz w:val="20"/>
          <w:szCs w:val="20"/>
          <w:lang w:val="en-ZA"/>
        </w:rPr>
        <w:t xml:space="preserve"> addition to the allocation to the Justice Modernisation sub</w:t>
      </w:r>
      <w:r w:rsidR="00110A44" w:rsidRPr="00335764">
        <w:rPr>
          <w:rFonts w:cs="Arial"/>
          <w:sz w:val="20"/>
          <w:szCs w:val="20"/>
          <w:lang w:val="en-ZA"/>
        </w:rPr>
        <w:t>-</w:t>
      </w:r>
      <w:r w:rsidRPr="00335764">
        <w:rPr>
          <w:rFonts w:cs="Arial"/>
          <w:sz w:val="20"/>
          <w:szCs w:val="20"/>
          <w:lang w:val="en-ZA"/>
        </w:rPr>
        <w:t xml:space="preserve">programme, </w:t>
      </w:r>
      <w:r w:rsidR="00226DAF" w:rsidRPr="00335764">
        <w:rPr>
          <w:rFonts w:cs="Arial"/>
          <w:sz w:val="20"/>
          <w:szCs w:val="20"/>
          <w:lang/>
        </w:rPr>
        <w:t xml:space="preserve">Programme 5 </w:t>
      </w:r>
      <w:r w:rsidR="00AB1A97" w:rsidRPr="00335764">
        <w:rPr>
          <w:rFonts w:cs="Arial"/>
          <w:bCs/>
          <w:sz w:val="20"/>
          <w:szCs w:val="20"/>
        </w:rPr>
        <w:t>Auxiliary and Associated</w:t>
      </w:r>
      <w:r w:rsidR="00AB1A97" w:rsidRPr="00335764">
        <w:rPr>
          <w:rFonts w:cs="Arial"/>
          <w:sz w:val="20"/>
          <w:szCs w:val="20"/>
          <w:lang/>
        </w:rPr>
        <w:t xml:space="preserve"> Services</w:t>
      </w:r>
      <w:r w:rsidR="00AB1A97" w:rsidRPr="00335764">
        <w:rPr>
          <w:rFonts w:cs="Arial"/>
          <w:sz w:val="20"/>
          <w:szCs w:val="20"/>
          <w:lang w:val="en-ZA"/>
        </w:rPr>
        <w:t xml:space="preserve"> </w:t>
      </w:r>
      <w:r w:rsidR="00226DAF" w:rsidRPr="00335764">
        <w:rPr>
          <w:rFonts w:cs="Arial"/>
          <w:sz w:val="20"/>
          <w:szCs w:val="20"/>
          <w:lang/>
        </w:rPr>
        <w:t>contains</w:t>
      </w:r>
      <w:r w:rsidRPr="00335764">
        <w:rPr>
          <w:rFonts w:cs="Arial"/>
          <w:sz w:val="20"/>
          <w:szCs w:val="20"/>
          <w:lang w:val="en-ZA"/>
        </w:rPr>
        <w:t xml:space="preserve"> transfer payments </w:t>
      </w:r>
      <w:r w:rsidR="00670D6F" w:rsidRPr="00335764">
        <w:rPr>
          <w:rFonts w:cs="Arial"/>
          <w:sz w:val="20"/>
          <w:szCs w:val="20"/>
          <w:lang/>
        </w:rPr>
        <w:t>to</w:t>
      </w:r>
      <w:r w:rsidR="00226DAF" w:rsidRPr="00335764">
        <w:rPr>
          <w:rFonts w:cs="Arial"/>
          <w:sz w:val="20"/>
          <w:szCs w:val="20"/>
          <w:lang/>
        </w:rPr>
        <w:t xml:space="preserve"> Legal Aid South Africa</w:t>
      </w:r>
      <w:r w:rsidR="00CA2A16" w:rsidRPr="00335764">
        <w:rPr>
          <w:rFonts w:cs="Arial"/>
          <w:sz w:val="20"/>
          <w:szCs w:val="20"/>
          <w:lang w:val="en-ZA"/>
        </w:rPr>
        <w:t xml:space="preserve">, </w:t>
      </w:r>
      <w:r w:rsidR="00226DAF" w:rsidRPr="00335764">
        <w:rPr>
          <w:rFonts w:cs="Arial"/>
          <w:sz w:val="20"/>
          <w:szCs w:val="20"/>
          <w:lang/>
        </w:rPr>
        <w:t>the Special Investigating Unit (SIU)</w:t>
      </w:r>
      <w:r w:rsidR="006D4CDA" w:rsidRPr="00335764">
        <w:rPr>
          <w:rFonts w:cs="Arial"/>
          <w:sz w:val="20"/>
          <w:szCs w:val="20"/>
          <w:lang w:val="en-ZA"/>
        </w:rPr>
        <w:t xml:space="preserve">, </w:t>
      </w:r>
      <w:r w:rsidR="00CA2A16" w:rsidRPr="00335764">
        <w:rPr>
          <w:rFonts w:cs="Arial"/>
          <w:sz w:val="20"/>
          <w:szCs w:val="20"/>
          <w:lang w:val="en-ZA"/>
        </w:rPr>
        <w:t>the Information Regulator</w:t>
      </w:r>
      <w:r w:rsidRPr="00335764">
        <w:rPr>
          <w:rFonts w:cs="Arial"/>
          <w:sz w:val="20"/>
          <w:szCs w:val="20"/>
          <w:lang w:val="en-ZA"/>
        </w:rPr>
        <w:t xml:space="preserve">, </w:t>
      </w:r>
      <w:r w:rsidR="00226DAF" w:rsidRPr="00335764">
        <w:rPr>
          <w:rFonts w:cs="Arial"/>
          <w:sz w:val="20"/>
          <w:szCs w:val="20"/>
          <w:lang/>
        </w:rPr>
        <w:t>the South African Human Rights</w:t>
      </w:r>
      <w:r w:rsidR="00226DAF" w:rsidRPr="00335764">
        <w:rPr>
          <w:rFonts w:cs="Arial"/>
          <w:sz w:val="20"/>
          <w:szCs w:val="20"/>
        </w:rPr>
        <w:t xml:space="preserve"> Commission (SAHRC) and the Public Protector </w:t>
      </w:r>
      <w:r w:rsidR="005A455A" w:rsidRPr="00335764">
        <w:rPr>
          <w:rFonts w:cs="Arial"/>
          <w:sz w:val="20"/>
          <w:szCs w:val="20"/>
        </w:rPr>
        <w:t xml:space="preserve">South Africa </w:t>
      </w:r>
      <w:r w:rsidR="00226DAF" w:rsidRPr="00335764">
        <w:rPr>
          <w:rFonts w:cs="Arial"/>
          <w:sz w:val="20"/>
          <w:szCs w:val="20"/>
        </w:rPr>
        <w:t>(PP</w:t>
      </w:r>
      <w:r w:rsidR="005A455A" w:rsidRPr="00335764">
        <w:rPr>
          <w:rFonts w:cs="Arial"/>
          <w:sz w:val="20"/>
          <w:szCs w:val="20"/>
        </w:rPr>
        <w:t>SA</w:t>
      </w:r>
      <w:r w:rsidR="00226DAF" w:rsidRPr="00335764">
        <w:rPr>
          <w:rFonts w:cs="Arial"/>
          <w:sz w:val="20"/>
          <w:szCs w:val="20"/>
        </w:rPr>
        <w:t xml:space="preserve">). </w:t>
      </w:r>
    </w:p>
    <w:p w:rsidR="00C21A46" w:rsidRPr="00335764" w:rsidRDefault="00C21A46" w:rsidP="00335764">
      <w:pPr>
        <w:pStyle w:val="ListParagraph"/>
        <w:spacing w:line="240" w:lineRule="auto"/>
        <w:jc w:val="left"/>
        <w:rPr>
          <w:rFonts w:cs="Arial"/>
          <w:sz w:val="20"/>
          <w:szCs w:val="20"/>
        </w:rPr>
      </w:pPr>
    </w:p>
    <w:p w:rsidR="00AB45F2" w:rsidRPr="00335764" w:rsidRDefault="00AB45F2" w:rsidP="00335764">
      <w:pPr>
        <w:pStyle w:val="ListParagraph"/>
        <w:spacing w:line="240" w:lineRule="auto"/>
        <w:jc w:val="left"/>
        <w:rPr>
          <w:rFonts w:cs="Arial"/>
          <w:sz w:val="20"/>
          <w:szCs w:val="20"/>
        </w:rPr>
      </w:pPr>
    </w:p>
    <w:p w:rsidR="00670D6F" w:rsidRPr="00335764" w:rsidRDefault="00CC0FDB" w:rsidP="00335764">
      <w:pPr>
        <w:numPr>
          <w:ilvl w:val="0"/>
          <w:numId w:val="1"/>
        </w:numPr>
        <w:tabs>
          <w:tab w:val="clear" w:pos="375"/>
          <w:tab w:val="num" w:pos="851"/>
        </w:tabs>
        <w:autoSpaceDE w:val="0"/>
        <w:autoSpaceDN w:val="0"/>
        <w:adjustRightInd w:val="0"/>
        <w:spacing w:line="240" w:lineRule="auto"/>
        <w:ind w:left="851" w:hanging="851"/>
        <w:jc w:val="left"/>
        <w:rPr>
          <w:rFonts w:cs="Arial"/>
          <w:b/>
          <w:sz w:val="20"/>
          <w:szCs w:val="20"/>
        </w:rPr>
      </w:pPr>
      <w:r w:rsidRPr="00335764">
        <w:rPr>
          <w:rFonts w:cs="Arial"/>
          <w:b/>
          <w:sz w:val="20"/>
          <w:szCs w:val="20"/>
        </w:rPr>
        <w:t>Method</w:t>
      </w:r>
    </w:p>
    <w:p w:rsidR="00CC0FDB" w:rsidRPr="00335764" w:rsidRDefault="00CC0FDB" w:rsidP="00335764">
      <w:pPr>
        <w:autoSpaceDE w:val="0"/>
        <w:autoSpaceDN w:val="0"/>
        <w:adjustRightInd w:val="0"/>
        <w:spacing w:line="240" w:lineRule="auto"/>
        <w:ind w:left="851"/>
        <w:jc w:val="left"/>
        <w:rPr>
          <w:rFonts w:cs="Arial"/>
          <w:b/>
          <w:sz w:val="20"/>
          <w:szCs w:val="20"/>
        </w:rPr>
      </w:pPr>
    </w:p>
    <w:p w:rsidR="00CC0FDB" w:rsidRPr="00335764" w:rsidRDefault="00CC0FDB" w:rsidP="00335764">
      <w:pPr>
        <w:numPr>
          <w:ilvl w:val="1"/>
          <w:numId w:val="1"/>
        </w:numPr>
        <w:tabs>
          <w:tab w:val="clear" w:pos="862"/>
          <w:tab w:val="num" w:pos="851"/>
        </w:tabs>
        <w:autoSpaceDE w:val="0"/>
        <w:autoSpaceDN w:val="0"/>
        <w:adjustRightInd w:val="0"/>
        <w:spacing w:line="240" w:lineRule="auto"/>
        <w:ind w:left="851" w:hanging="851"/>
        <w:jc w:val="left"/>
        <w:rPr>
          <w:rFonts w:cs="Arial"/>
          <w:sz w:val="20"/>
          <w:szCs w:val="20"/>
        </w:rPr>
      </w:pPr>
      <w:r w:rsidRPr="00335764">
        <w:rPr>
          <w:rFonts w:cs="Arial"/>
          <w:sz w:val="20"/>
          <w:szCs w:val="20"/>
        </w:rPr>
        <w:t>On</w:t>
      </w:r>
      <w:r w:rsidR="00C419F7" w:rsidRPr="00335764">
        <w:rPr>
          <w:rFonts w:cs="Arial"/>
          <w:sz w:val="20"/>
          <w:szCs w:val="20"/>
        </w:rPr>
        <w:t xml:space="preserve"> </w:t>
      </w:r>
      <w:r w:rsidR="002B788E" w:rsidRPr="00335764">
        <w:rPr>
          <w:rFonts w:cs="Arial"/>
          <w:sz w:val="20"/>
          <w:szCs w:val="20"/>
        </w:rPr>
        <w:t>2 May 2023</w:t>
      </w:r>
      <w:r w:rsidRPr="00335764">
        <w:rPr>
          <w:rFonts w:cs="Arial"/>
          <w:sz w:val="20"/>
          <w:szCs w:val="20"/>
        </w:rPr>
        <w:t>, the Minister of Justice and Correctional Services p</w:t>
      </w:r>
      <w:r w:rsidR="004005A3" w:rsidRPr="00335764">
        <w:rPr>
          <w:rFonts w:cs="Arial"/>
          <w:sz w:val="20"/>
          <w:szCs w:val="20"/>
        </w:rPr>
        <w:t xml:space="preserve">resented an </w:t>
      </w:r>
      <w:r w:rsidRPr="00335764">
        <w:rPr>
          <w:rFonts w:cs="Arial"/>
          <w:sz w:val="20"/>
          <w:szCs w:val="20"/>
        </w:rPr>
        <w:t xml:space="preserve">overview of the political priorities for the Department of Justice and Constitutional Development. </w:t>
      </w:r>
    </w:p>
    <w:p w:rsidR="00CC0FDB" w:rsidRPr="00335764" w:rsidRDefault="00CC0FDB" w:rsidP="00335764">
      <w:pPr>
        <w:pStyle w:val="ListParagraph"/>
        <w:spacing w:line="240" w:lineRule="auto"/>
        <w:jc w:val="left"/>
        <w:rPr>
          <w:rFonts w:cs="Arial"/>
          <w:sz w:val="20"/>
          <w:szCs w:val="20"/>
        </w:rPr>
      </w:pPr>
    </w:p>
    <w:p w:rsidR="002B788E" w:rsidRPr="00335764" w:rsidRDefault="00226DAF" w:rsidP="00335764">
      <w:pPr>
        <w:numPr>
          <w:ilvl w:val="1"/>
          <w:numId w:val="1"/>
        </w:numPr>
        <w:autoSpaceDE w:val="0"/>
        <w:autoSpaceDN w:val="0"/>
        <w:adjustRightInd w:val="0"/>
        <w:spacing w:line="240" w:lineRule="auto"/>
        <w:ind w:left="851" w:hanging="851"/>
        <w:jc w:val="left"/>
        <w:rPr>
          <w:rFonts w:cs="Arial"/>
          <w:sz w:val="20"/>
          <w:szCs w:val="20"/>
          <w:lang/>
        </w:rPr>
      </w:pPr>
      <w:r w:rsidRPr="00335764">
        <w:rPr>
          <w:rFonts w:cs="Arial"/>
          <w:sz w:val="20"/>
          <w:szCs w:val="20"/>
        </w:rPr>
        <w:t xml:space="preserve">The Department, </w:t>
      </w:r>
      <w:r w:rsidR="00344811" w:rsidRPr="00335764">
        <w:rPr>
          <w:rFonts w:cs="Arial"/>
          <w:sz w:val="20"/>
          <w:szCs w:val="20"/>
        </w:rPr>
        <w:t xml:space="preserve">NPA, </w:t>
      </w:r>
      <w:r w:rsidR="004D15C9" w:rsidRPr="00335764">
        <w:rPr>
          <w:rFonts w:cs="Arial"/>
          <w:sz w:val="20"/>
          <w:szCs w:val="20"/>
        </w:rPr>
        <w:t xml:space="preserve">Information Regulator, </w:t>
      </w:r>
      <w:r w:rsidRPr="00335764">
        <w:rPr>
          <w:rFonts w:cs="Arial"/>
          <w:sz w:val="20"/>
          <w:szCs w:val="20"/>
        </w:rPr>
        <w:t>Legal Aid South Africa, the S</w:t>
      </w:r>
      <w:r w:rsidR="00344811" w:rsidRPr="00335764">
        <w:rPr>
          <w:rFonts w:cs="Arial"/>
          <w:sz w:val="20"/>
          <w:szCs w:val="20"/>
        </w:rPr>
        <w:t>IU</w:t>
      </w:r>
      <w:r w:rsidRPr="00335764">
        <w:rPr>
          <w:rFonts w:cs="Arial"/>
          <w:sz w:val="20"/>
          <w:szCs w:val="20"/>
        </w:rPr>
        <w:t>, the S</w:t>
      </w:r>
      <w:r w:rsidR="00344811" w:rsidRPr="00335764">
        <w:rPr>
          <w:rFonts w:cs="Arial"/>
          <w:sz w:val="20"/>
          <w:szCs w:val="20"/>
        </w:rPr>
        <w:t>AHRC</w:t>
      </w:r>
      <w:r w:rsidR="00B5372E" w:rsidRPr="00335764">
        <w:rPr>
          <w:rFonts w:cs="Arial"/>
          <w:sz w:val="20"/>
          <w:szCs w:val="20"/>
        </w:rPr>
        <w:t xml:space="preserve">, </w:t>
      </w:r>
      <w:r w:rsidRPr="00335764">
        <w:rPr>
          <w:rFonts w:cs="Arial"/>
          <w:sz w:val="20"/>
          <w:szCs w:val="20"/>
        </w:rPr>
        <w:t>the P</w:t>
      </w:r>
      <w:r w:rsidR="00344811" w:rsidRPr="00335764">
        <w:rPr>
          <w:rFonts w:cs="Arial"/>
          <w:sz w:val="20"/>
          <w:szCs w:val="20"/>
        </w:rPr>
        <w:t xml:space="preserve">ublic Protector </w:t>
      </w:r>
      <w:r w:rsidR="00A668B0" w:rsidRPr="00335764">
        <w:rPr>
          <w:rFonts w:cs="Arial"/>
          <w:sz w:val="20"/>
          <w:szCs w:val="20"/>
        </w:rPr>
        <w:t>SA,</w:t>
      </w:r>
      <w:r w:rsidR="00B5372E" w:rsidRPr="00335764">
        <w:rPr>
          <w:rFonts w:cs="Arial"/>
          <w:sz w:val="20"/>
          <w:szCs w:val="20"/>
        </w:rPr>
        <w:t xml:space="preserve"> and the Information Regulator, </w:t>
      </w:r>
      <w:r w:rsidR="00D2737A" w:rsidRPr="00335764">
        <w:rPr>
          <w:rFonts w:cs="Arial"/>
          <w:sz w:val="20"/>
          <w:szCs w:val="20"/>
        </w:rPr>
        <w:t xml:space="preserve">each presented their </w:t>
      </w:r>
      <w:r w:rsidRPr="00335764">
        <w:rPr>
          <w:rFonts w:cs="Arial"/>
          <w:sz w:val="20"/>
          <w:szCs w:val="20"/>
        </w:rPr>
        <w:t>annual performance plans for 20</w:t>
      </w:r>
      <w:r w:rsidR="00670D6F" w:rsidRPr="00335764">
        <w:rPr>
          <w:rFonts w:cs="Arial"/>
          <w:sz w:val="20"/>
          <w:szCs w:val="20"/>
        </w:rPr>
        <w:t>2</w:t>
      </w:r>
      <w:r w:rsidR="002B788E" w:rsidRPr="00335764">
        <w:rPr>
          <w:rFonts w:cs="Arial"/>
          <w:sz w:val="20"/>
          <w:szCs w:val="20"/>
        </w:rPr>
        <w:t>3</w:t>
      </w:r>
      <w:r w:rsidR="008061EB" w:rsidRPr="00335764">
        <w:rPr>
          <w:rFonts w:cs="Arial"/>
          <w:sz w:val="20"/>
          <w:szCs w:val="20"/>
        </w:rPr>
        <w:t>/2</w:t>
      </w:r>
      <w:r w:rsidR="002B788E" w:rsidRPr="00335764">
        <w:rPr>
          <w:rFonts w:cs="Arial"/>
          <w:sz w:val="20"/>
          <w:szCs w:val="20"/>
        </w:rPr>
        <w:t>4 and budgets for the 2023 MTEF, as follows:</w:t>
      </w:r>
    </w:p>
    <w:p w:rsidR="00CA2A16" w:rsidRPr="00335764" w:rsidRDefault="00CA2A16" w:rsidP="00335764">
      <w:pPr>
        <w:numPr>
          <w:ilvl w:val="0"/>
          <w:numId w:val="2"/>
        </w:numPr>
        <w:autoSpaceDE w:val="0"/>
        <w:autoSpaceDN w:val="0"/>
        <w:adjustRightInd w:val="0"/>
        <w:spacing w:line="240" w:lineRule="auto"/>
        <w:jc w:val="left"/>
        <w:rPr>
          <w:rFonts w:cs="Arial"/>
          <w:sz w:val="20"/>
          <w:szCs w:val="20"/>
          <w:lang/>
        </w:rPr>
      </w:pPr>
      <w:r w:rsidRPr="00335764">
        <w:rPr>
          <w:rFonts w:cs="Arial"/>
          <w:sz w:val="20"/>
          <w:szCs w:val="20"/>
          <w:lang/>
        </w:rPr>
        <w:t>The</w:t>
      </w:r>
      <w:r w:rsidRPr="00335764">
        <w:rPr>
          <w:rFonts w:cs="Arial"/>
          <w:sz w:val="20"/>
          <w:szCs w:val="20"/>
          <w:lang w:val="en-ZA"/>
        </w:rPr>
        <w:t xml:space="preserve"> </w:t>
      </w:r>
      <w:r w:rsidRPr="00335764">
        <w:rPr>
          <w:rFonts w:cs="Arial"/>
          <w:sz w:val="20"/>
          <w:szCs w:val="20"/>
          <w:lang/>
        </w:rPr>
        <w:t>Department of Justice and Constitutional Development –</w:t>
      </w:r>
      <w:r w:rsidRPr="00335764">
        <w:rPr>
          <w:rFonts w:cs="Arial"/>
          <w:sz w:val="20"/>
          <w:szCs w:val="20"/>
          <w:lang w:val="en-ZA"/>
        </w:rPr>
        <w:t xml:space="preserve"> </w:t>
      </w:r>
      <w:r w:rsidR="002B788E" w:rsidRPr="00335764">
        <w:rPr>
          <w:rFonts w:cs="Arial"/>
          <w:sz w:val="20"/>
          <w:szCs w:val="20"/>
          <w:lang w:val="en-ZA"/>
        </w:rPr>
        <w:t>3</w:t>
      </w:r>
      <w:r w:rsidRPr="00335764">
        <w:rPr>
          <w:rFonts w:cs="Arial"/>
          <w:sz w:val="20"/>
          <w:szCs w:val="20"/>
          <w:lang w:val="en-ZA"/>
        </w:rPr>
        <w:t xml:space="preserve"> May 202</w:t>
      </w:r>
      <w:r w:rsidR="00A657EE" w:rsidRPr="00335764">
        <w:rPr>
          <w:rFonts w:cs="Arial"/>
          <w:sz w:val="20"/>
          <w:szCs w:val="20"/>
          <w:lang w:val="en-ZA"/>
        </w:rPr>
        <w:t>3 and 10 M</w:t>
      </w:r>
      <w:r w:rsidR="002B788E" w:rsidRPr="00335764">
        <w:rPr>
          <w:rFonts w:cs="Arial"/>
          <w:sz w:val="20"/>
          <w:szCs w:val="20"/>
          <w:lang w:val="en-ZA"/>
        </w:rPr>
        <w:t>ay 2023</w:t>
      </w:r>
      <w:r w:rsidRPr="00335764">
        <w:rPr>
          <w:rFonts w:cs="Arial"/>
          <w:sz w:val="20"/>
          <w:szCs w:val="20"/>
          <w:lang/>
        </w:rPr>
        <w:t>.</w:t>
      </w:r>
    </w:p>
    <w:p w:rsidR="002B788E" w:rsidRPr="00335764" w:rsidRDefault="002B788E" w:rsidP="00335764">
      <w:pPr>
        <w:numPr>
          <w:ilvl w:val="0"/>
          <w:numId w:val="2"/>
        </w:numPr>
        <w:autoSpaceDE w:val="0"/>
        <w:autoSpaceDN w:val="0"/>
        <w:adjustRightInd w:val="0"/>
        <w:spacing w:line="240" w:lineRule="auto"/>
        <w:jc w:val="left"/>
        <w:rPr>
          <w:rFonts w:cs="Arial"/>
          <w:sz w:val="20"/>
          <w:szCs w:val="20"/>
          <w:lang/>
        </w:rPr>
      </w:pPr>
      <w:r w:rsidRPr="00335764">
        <w:rPr>
          <w:rFonts w:cs="Arial"/>
          <w:sz w:val="20"/>
          <w:szCs w:val="20"/>
          <w:lang/>
        </w:rPr>
        <w:t>Public</w:t>
      </w:r>
      <w:r w:rsidRPr="00335764">
        <w:rPr>
          <w:rFonts w:cs="Arial"/>
          <w:sz w:val="20"/>
          <w:szCs w:val="20"/>
        </w:rPr>
        <w:t xml:space="preserve"> Protector South Africa – 3 May 2022</w:t>
      </w:r>
      <w:r w:rsidRPr="00335764">
        <w:rPr>
          <w:rFonts w:cs="Arial"/>
          <w:sz w:val="20"/>
          <w:szCs w:val="20"/>
          <w:lang/>
        </w:rPr>
        <w:t>.</w:t>
      </w:r>
    </w:p>
    <w:p w:rsidR="00BA177B" w:rsidRPr="00335764" w:rsidRDefault="00BA177B" w:rsidP="00335764">
      <w:pPr>
        <w:numPr>
          <w:ilvl w:val="0"/>
          <w:numId w:val="2"/>
        </w:numPr>
        <w:autoSpaceDE w:val="0"/>
        <w:autoSpaceDN w:val="0"/>
        <w:adjustRightInd w:val="0"/>
        <w:spacing w:line="240" w:lineRule="auto"/>
        <w:jc w:val="left"/>
        <w:rPr>
          <w:rFonts w:cs="Arial"/>
          <w:sz w:val="20"/>
          <w:szCs w:val="20"/>
          <w:lang/>
        </w:rPr>
      </w:pPr>
      <w:r w:rsidRPr="00335764">
        <w:rPr>
          <w:rFonts w:cs="Arial"/>
          <w:sz w:val="20"/>
          <w:szCs w:val="20"/>
          <w:lang/>
        </w:rPr>
        <w:t>Special Investigating Unit –</w:t>
      </w:r>
      <w:r w:rsidRPr="00335764">
        <w:rPr>
          <w:rFonts w:cs="Arial"/>
          <w:sz w:val="20"/>
          <w:szCs w:val="20"/>
          <w:lang w:val="en-ZA"/>
        </w:rPr>
        <w:t xml:space="preserve"> </w:t>
      </w:r>
      <w:r w:rsidR="006D4CDA" w:rsidRPr="00335764">
        <w:rPr>
          <w:rFonts w:cs="Arial"/>
          <w:sz w:val="20"/>
          <w:szCs w:val="20"/>
          <w:lang w:val="en-ZA"/>
        </w:rPr>
        <w:t>1</w:t>
      </w:r>
      <w:r w:rsidR="002B788E" w:rsidRPr="00335764">
        <w:rPr>
          <w:rFonts w:cs="Arial"/>
          <w:sz w:val="20"/>
          <w:szCs w:val="20"/>
          <w:lang w:val="en-ZA"/>
        </w:rPr>
        <w:t>0</w:t>
      </w:r>
      <w:r w:rsidR="006D4CDA" w:rsidRPr="00335764">
        <w:rPr>
          <w:rFonts w:cs="Arial"/>
          <w:sz w:val="20"/>
          <w:szCs w:val="20"/>
          <w:lang w:val="en-ZA"/>
        </w:rPr>
        <w:t xml:space="preserve"> </w:t>
      </w:r>
      <w:r w:rsidR="002B788E" w:rsidRPr="00335764">
        <w:rPr>
          <w:rFonts w:cs="Arial"/>
          <w:sz w:val="20"/>
          <w:szCs w:val="20"/>
          <w:lang w:val="en-ZA"/>
        </w:rPr>
        <w:t>May 2023</w:t>
      </w:r>
      <w:r w:rsidRPr="00335764">
        <w:rPr>
          <w:rFonts w:cs="Arial"/>
          <w:sz w:val="20"/>
          <w:szCs w:val="20"/>
          <w:lang w:val="en-ZA"/>
        </w:rPr>
        <w:t>.</w:t>
      </w:r>
    </w:p>
    <w:p w:rsidR="006D4CDA" w:rsidRPr="00335764" w:rsidRDefault="006D4CDA" w:rsidP="00335764">
      <w:pPr>
        <w:numPr>
          <w:ilvl w:val="0"/>
          <w:numId w:val="2"/>
        </w:numPr>
        <w:autoSpaceDE w:val="0"/>
        <w:autoSpaceDN w:val="0"/>
        <w:adjustRightInd w:val="0"/>
        <w:spacing w:line="240" w:lineRule="auto"/>
        <w:jc w:val="left"/>
        <w:rPr>
          <w:rFonts w:cs="Arial"/>
          <w:sz w:val="20"/>
          <w:szCs w:val="20"/>
          <w:lang/>
        </w:rPr>
      </w:pPr>
      <w:r w:rsidRPr="00335764">
        <w:rPr>
          <w:rFonts w:cs="Arial"/>
          <w:sz w:val="20"/>
          <w:szCs w:val="20"/>
          <w:lang w:val="en-ZA"/>
        </w:rPr>
        <w:t xml:space="preserve">Information Regulator – </w:t>
      </w:r>
      <w:r w:rsidR="002B788E" w:rsidRPr="00335764">
        <w:rPr>
          <w:rFonts w:cs="Arial"/>
          <w:sz w:val="20"/>
          <w:szCs w:val="20"/>
          <w:lang w:val="en-ZA"/>
        </w:rPr>
        <w:t>10 May 2023</w:t>
      </w:r>
      <w:r w:rsidRPr="00335764">
        <w:rPr>
          <w:rFonts w:cs="Arial"/>
          <w:sz w:val="20"/>
          <w:szCs w:val="20"/>
          <w:lang w:val="en-ZA"/>
        </w:rPr>
        <w:t>.</w:t>
      </w:r>
    </w:p>
    <w:p w:rsidR="006D4CDA" w:rsidRPr="00335764" w:rsidRDefault="006D4CDA" w:rsidP="00335764">
      <w:pPr>
        <w:numPr>
          <w:ilvl w:val="0"/>
          <w:numId w:val="2"/>
        </w:numPr>
        <w:autoSpaceDE w:val="0"/>
        <w:autoSpaceDN w:val="0"/>
        <w:adjustRightInd w:val="0"/>
        <w:spacing w:line="240" w:lineRule="auto"/>
        <w:jc w:val="left"/>
        <w:rPr>
          <w:rFonts w:cs="Arial"/>
          <w:sz w:val="20"/>
          <w:szCs w:val="20"/>
          <w:lang/>
        </w:rPr>
      </w:pPr>
      <w:r w:rsidRPr="00335764">
        <w:rPr>
          <w:rFonts w:cs="Arial"/>
          <w:sz w:val="20"/>
          <w:szCs w:val="20"/>
          <w:lang/>
        </w:rPr>
        <w:t>South African Human Rights Commission –</w:t>
      </w:r>
      <w:r w:rsidRPr="00335764">
        <w:rPr>
          <w:rFonts w:cs="Arial"/>
          <w:sz w:val="20"/>
          <w:szCs w:val="20"/>
          <w:lang w:val="en-ZA"/>
        </w:rPr>
        <w:t xml:space="preserve"> 1</w:t>
      </w:r>
      <w:r w:rsidR="002B788E" w:rsidRPr="00335764">
        <w:rPr>
          <w:rFonts w:cs="Arial"/>
          <w:sz w:val="20"/>
          <w:szCs w:val="20"/>
          <w:lang w:val="en-ZA"/>
        </w:rPr>
        <w:t>0 May 2023</w:t>
      </w:r>
      <w:r w:rsidRPr="00335764">
        <w:rPr>
          <w:rFonts w:cs="Arial"/>
          <w:sz w:val="20"/>
          <w:szCs w:val="20"/>
          <w:lang/>
        </w:rPr>
        <w:t>.</w:t>
      </w:r>
    </w:p>
    <w:p w:rsidR="002B788E" w:rsidRPr="00335764" w:rsidRDefault="002B788E" w:rsidP="00335764">
      <w:pPr>
        <w:numPr>
          <w:ilvl w:val="0"/>
          <w:numId w:val="2"/>
        </w:numPr>
        <w:autoSpaceDE w:val="0"/>
        <w:autoSpaceDN w:val="0"/>
        <w:adjustRightInd w:val="0"/>
        <w:spacing w:line="240" w:lineRule="auto"/>
        <w:jc w:val="left"/>
        <w:rPr>
          <w:rFonts w:cs="Arial"/>
          <w:sz w:val="20"/>
          <w:szCs w:val="20"/>
          <w:lang/>
        </w:rPr>
      </w:pPr>
      <w:r w:rsidRPr="00335764">
        <w:rPr>
          <w:rFonts w:cs="Arial"/>
          <w:sz w:val="20"/>
          <w:szCs w:val="20"/>
          <w:lang w:val="en-ZA"/>
        </w:rPr>
        <w:t>National Prosecuting Authority – 12 May 2023.</w:t>
      </w:r>
    </w:p>
    <w:p w:rsidR="002B788E" w:rsidRPr="00335764" w:rsidRDefault="002B788E" w:rsidP="00335764">
      <w:pPr>
        <w:numPr>
          <w:ilvl w:val="0"/>
          <w:numId w:val="2"/>
        </w:numPr>
        <w:autoSpaceDE w:val="0"/>
        <w:autoSpaceDN w:val="0"/>
        <w:adjustRightInd w:val="0"/>
        <w:spacing w:line="240" w:lineRule="auto"/>
        <w:jc w:val="left"/>
        <w:rPr>
          <w:rFonts w:cs="Arial"/>
          <w:sz w:val="20"/>
          <w:szCs w:val="20"/>
          <w:lang/>
        </w:rPr>
      </w:pPr>
      <w:r w:rsidRPr="00335764">
        <w:rPr>
          <w:rFonts w:cs="Arial"/>
          <w:sz w:val="20"/>
          <w:szCs w:val="20"/>
          <w:lang/>
        </w:rPr>
        <w:t>Legal Aid South Africa –</w:t>
      </w:r>
      <w:r w:rsidRPr="00335764">
        <w:rPr>
          <w:rFonts w:cs="Arial"/>
          <w:sz w:val="20"/>
          <w:szCs w:val="20"/>
          <w:lang w:val="en-ZA"/>
        </w:rPr>
        <w:t xml:space="preserve"> 12 May 2023</w:t>
      </w:r>
      <w:r w:rsidRPr="00335764">
        <w:rPr>
          <w:rFonts w:cs="Arial"/>
          <w:sz w:val="20"/>
          <w:szCs w:val="20"/>
          <w:lang/>
        </w:rPr>
        <w:t>.</w:t>
      </w:r>
    </w:p>
    <w:p w:rsidR="000D11EC" w:rsidRPr="00335764" w:rsidRDefault="000D11EC" w:rsidP="00335764">
      <w:pPr>
        <w:autoSpaceDE w:val="0"/>
        <w:autoSpaceDN w:val="0"/>
        <w:adjustRightInd w:val="0"/>
        <w:spacing w:line="240" w:lineRule="auto"/>
        <w:ind w:left="1353"/>
        <w:jc w:val="left"/>
        <w:rPr>
          <w:rFonts w:cs="Arial"/>
          <w:sz w:val="20"/>
          <w:szCs w:val="20"/>
          <w:lang/>
        </w:rPr>
      </w:pPr>
    </w:p>
    <w:p w:rsidR="00F0212C" w:rsidRPr="00335764" w:rsidRDefault="00762813" w:rsidP="00335764">
      <w:pPr>
        <w:numPr>
          <w:ilvl w:val="1"/>
          <w:numId w:val="1"/>
        </w:numPr>
        <w:tabs>
          <w:tab w:val="clear" w:pos="862"/>
          <w:tab w:val="num" w:pos="851"/>
        </w:tabs>
        <w:autoSpaceDE w:val="0"/>
        <w:autoSpaceDN w:val="0"/>
        <w:adjustRightInd w:val="0"/>
        <w:spacing w:line="240" w:lineRule="auto"/>
        <w:ind w:left="851" w:hanging="851"/>
        <w:jc w:val="left"/>
        <w:rPr>
          <w:rFonts w:cs="Arial"/>
          <w:sz w:val="20"/>
          <w:szCs w:val="20"/>
        </w:rPr>
      </w:pPr>
      <w:r w:rsidRPr="00335764">
        <w:rPr>
          <w:rFonts w:cs="Arial"/>
          <w:sz w:val="20"/>
          <w:szCs w:val="20"/>
        </w:rPr>
        <w:t>All pres</w:t>
      </w:r>
      <w:r w:rsidR="001F7242" w:rsidRPr="00335764">
        <w:rPr>
          <w:rFonts w:cs="Arial"/>
          <w:sz w:val="20"/>
          <w:szCs w:val="20"/>
        </w:rPr>
        <w:t xml:space="preserve">entations </w:t>
      </w:r>
      <w:r w:rsidR="00080057" w:rsidRPr="00335764">
        <w:rPr>
          <w:rFonts w:cs="Arial"/>
          <w:sz w:val="20"/>
          <w:szCs w:val="20"/>
        </w:rPr>
        <w:t>are available</w:t>
      </w:r>
      <w:r w:rsidRPr="00335764">
        <w:rPr>
          <w:rFonts w:cs="Arial"/>
          <w:sz w:val="20"/>
          <w:szCs w:val="20"/>
        </w:rPr>
        <w:t xml:space="preserve"> from the Committee Secretar</w:t>
      </w:r>
      <w:r w:rsidR="005F5858" w:rsidRPr="00335764">
        <w:rPr>
          <w:rFonts w:cs="Arial"/>
          <w:sz w:val="20"/>
          <w:szCs w:val="20"/>
        </w:rPr>
        <w:t>iat.</w:t>
      </w:r>
    </w:p>
    <w:p w:rsidR="00290D08" w:rsidRPr="00335764" w:rsidRDefault="00290D08" w:rsidP="00335764">
      <w:pPr>
        <w:autoSpaceDE w:val="0"/>
        <w:autoSpaceDN w:val="0"/>
        <w:adjustRightInd w:val="0"/>
        <w:spacing w:line="240" w:lineRule="auto"/>
        <w:jc w:val="left"/>
        <w:rPr>
          <w:rFonts w:cs="Arial"/>
          <w:sz w:val="20"/>
          <w:szCs w:val="20"/>
        </w:rPr>
      </w:pPr>
    </w:p>
    <w:p w:rsidR="005F5858" w:rsidRPr="00335764" w:rsidRDefault="005F5858" w:rsidP="00335764">
      <w:pPr>
        <w:autoSpaceDE w:val="0"/>
        <w:autoSpaceDN w:val="0"/>
        <w:adjustRightInd w:val="0"/>
        <w:spacing w:line="240" w:lineRule="auto"/>
        <w:jc w:val="left"/>
        <w:rPr>
          <w:rFonts w:cs="Arial"/>
          <w:sz w:val="20"/>
          <w:szCs w:val="20"/>
        </w:rPr>
      </w:pPr>
    </w:p>
    <w:p w:rsidR="00A37668" w:rsidRPr="00335764" w:rsidRDefault="00A37668" w:rsidP="00335764">
      <w:pPr>
        <w:numPr>
          <w:ilvl w:val="0"/>
          <w:numId w:val="1"/>
        </w:numPr>
        <w:tabs>
          <w:tab w:val="clear" w:pos="375"/>
          <w:tab w:val="num" w:pos="851"/>
        </w:tabs>
        <w:autoSpaceDE w:val="0"/>
        <w:autoSpaceDN w:val="0"/>
        <w:adjustRightInd w:val="0"/>
        <w:spacing w:line="240" w:lineRule="auto"/>
        <w:ind w:left="851" w:hanging="851"/>
        <w:jc w:val="left"/>
        <w:rPr>
          <w:rFonts w:cs="Arial"/>
          <w:b/>
          <w:sz w:val="20"/>
          <w:szCs w:val="20"/>
        </w:rPr>
      </w:pPr>
      <w:r w:rsidRPr="00335764">
        <w:rPr>
          <w:rFonts w:cs="Arial"/>
          <w:b/>
          <w:sz w:val="20"/>
          <w:szCs w:val="20"/>
        </w:rPr>
        <w:t>B</w:t>
      </w:r>
      <w:r w:rsidR="00093565" w:rsidRPr="00335764">
        <w:rPr>
          <w:rFonts w:cs="Arial"/>
          <w:b/>
          <w:sz w:val="20"/>
          <w:szCs w:val="20"/>
        </w:rPr>
        <w:t xml:space="preserve">udgetary </w:t>
      </w:r>
      <w:r w:rsidRPr="00335764">
        <w:rPr>
          <w:rFonts w:cs="Arial"/>
          <w:b/>
          <w:sz w:val="20"/>
          <w:szCs w:val="20"/>
        </w:rPr>
        <w:t>R</w:t>
      </w:r>
      <w:r w:rsidR="00093565" w:rsidRPr="00335764">
        <w:rPr>
          <w:rFonts w:cs="Arial"/>
          <w:b/>
          <w:sz w:val="20"/>
          <w:szCs w:val="20"/>
        </w:rPr>
        <w:t xml:space="preserve">eview and </w:t>
      </w:r>
      <w:r w:rsidRPr="00335764">
        <w:rPr>
          <w:rFonts w:cs="Arial"/>
          <w:b/>
          <w:sz w:val="20"/>
          <w:szCs w:val="20"/>
        </w:rPr>
        <w:t>R</w:t>
      </w:r>
      <w:r w:rsidR="00093565" w:rsidRPr="00335764">
        <w:rPr>
          <w:rFonts w:cs="Arial"/>
          <w:b/>
          <w:sz w:val="20"/>
          <w:szCs w:val="20"/>
        </w:rPr>
        <w:t xml:space="preserve">ecommendation </w:t>
      </w:r>
      <w:r w:rsidRPr="00335764">
        <w:rPr>
          <w:rFonts w:cs="Arial"/>
          <w:b/>
          <w:sz w:val="20"/>
          <w:szCs w:val="20"/>
        </w:rPr>
        <w:t xml:space="preserve">Report </w:t>
      </w:r>
      <w:r w:rsidR="00110029" w:rsidRPr="00335764">
        <w:rPr>
          <w:rFonts w:cs="Arial"/>
          <w:b/>
          <w:sz w:val="20"/>
          <w:szCs w:val="20"/>
        </w:rPr>
        <w:t xml:space="preserve">(BRRR) </w:t>
      </w:r>
      <w:r w:rsidR="00093565" w:rsidRPr="00335764">
        <w:rPr>
          <w:rFonts w:cs="Arial"/>
          <w:b/>
          <w:sz w:val="20"/>
          <w:szCs w:val="20"/>
        </w:rPr>
        <w:t xml:space="preserve">October </w:t>
      </w:r>
      <w:r w:rsidR="002D2C67" w:rsidRPr="00335764">
        <w:rPr>
          <w:rFonts w:cs="Arial"/>
          <w:b/>
          <w:sz w:val="20"/>
          <w:szCs w:val="20"/>
        </w:rPr>
        <w:t>20</w:t>
      </w:r>
      <w:r w:rsidR="006713B7" w:rsidRPr="00335764">
        <w:rPr>
          <w:rFonts w:cs="Arial"/>
          <w:b/>
          <w:sz w:val="20"/>
          <w:szCs w:val="20"/>
        </w:rPr>
        <w:t>2</w:t>
      </w:r>
      <w:r w:rsidR="008E25F8" w:rsidRPr="00335764">
        <w:rPr>
          <w:rFonts w:cs="Arial"/>
          <w:b/>
          <w:sz w:val="20"/>
          <w:szCs w:val="20"/>
        </w:rPr>
        <w:t>2</w:t>
      </w:r>
      <w:r w:rsidR="00E004CC" w:rsidRPr="00335764">
        <w:rPr>
          <w:rFonts w:cs="Arial"/>
          <w:b/>
          <w:sz w:val="20"/>
          <w:szCs w:val="20"/>
        </w:rPr>
        <w:t xml:space="preserve"> </w:t>
      </w:r>
      <w:r w:rsidRPr="00335764">
        <w:rPr>
          <w:rFonts w:cs="Arial"/>
          <w:b/>
          <w:sz w:val="20"/>
          <w:szCs w:val="20"/>
        </w:rPr>
        <w:t>and Minister of Finance’s response</w:t>
      </w:r>
      <w:r w:rsidR="002D2C67" w:rsidRPr="00335764">
        <w:rPr>
          <w:rFonts w:cs="Arial"/>
          <w:b/>
          <w:sz w:val="20"/>
          <w:szCs w:val="20"/>
        </w:rPr>
        <w:t xml:space="preserve"> to Parliament</w:t>
      </w:r>
    </w:p>
    <w:p w:rsidR="00093565" w:rsidRPr="00335764" w:rsidRDefault="00093565" w:rsidP="00335764">
      <w:pPr>
        <w:autoSpaceDE w:val="0"/>
        <w:autoSpaceDN w:val="0"/>
        <w:adjustRightInd w:val="0"/>
        <w:spacing w:line="240" w:lineRule="auto"/>
        <w:ind w:left="720"/>
        <w:jc w:val="left"/>
        <w:rPr>
          <w:rFonts w:cs="Arial"/>
          <w:b/>
          <w:sz w:val="20"/>
          <w:szCs w:val="20"/>
        </w:rPr>
      </w:pPr>
    </w:p>
    <w:p w:rsidR="004005A3" w:rsidRPr="00335764" w:rsidRDefault="00E711E4" w:rsidP="00335764">
      <w:pPr>
        <w:numPr>
          <w:ilvl w:val="1"/>
          <w:numId w:val="1"/>
        </w:numPr>
        <w:autoSpaceDE w:val="0"/>
        <w:autoSpaceDN w:val="0"/>
        <w:adjustRightInd w:val="0"/>
        <w:spacing w:line="240" w:lineRule="auto"/>
        <w:ind w:left="851" w:hanging="851"/>
        <w:jc w:val="left"/>
        <w:rPr>
          <w:rFonts w:cs="Arial"/>
          <w:sz w:val="20"/>
          <w:szCs w:val="20"/>
          <w:lang/>
        </w:rPr>
      </w:pPr>
      <w:r w:rsidRPr="00335764">
        <w:rPr>
          <w:rFonts w:cs="Arial"/>
          <w:sz w:val="20"/>
          <w:szCs w:val="20"/>
        </w:rPr>
        <w:t>The Minister of F</w:t>
      </w:r>
      <w:r w:rsidR="001B6147" w:rsidRPr="00335764">
        <w:rPr>
          <w:rFonts w:cs="Arial"/>
          <w:sz w:val="20"/>
          <w:szCs w:val="20"/>
        </w:rPr>
        <w:t xml:space="preserve">inance replied </w:t>
      </w:r>
      <w:r w:rsidRPr="00335764">
        <w:rPr>
          <w:rFonts w:cs="Arial"/>
          <w:sz w:val="20"/>
          <w:szCs w:val="20"/>
        </w:rPr>
        <w:t xml:space="preserve">to the </w:t>
      </w:r>
      <w:r w:rsidR="001B6147" w:rsidRPr="00335764">
        <w:rPr>
          <w:rFonts w:cs="Arial"/>
          <w:sz w:val="20"/>
          <w:szCs w:val="20"/>
        </w:rPr>
        <w:t>Committee’s observations concerning budget cuts made in its 2022 Budgetary Review and Recommendation Report</w:t>
      </w:r>
      <w:r w:rsidR="001B6147" w:rsidRPr="00335764">
        <w:rPr>
          <w:rFonts w:cs="Arial"/>
          <w:sz w:val="20"/>
          <w:szCs w:val="20"/>
          <w:lang w:val="en-ZA"/>
        </w:rPr>
        <w:t xml:space="preserve">, </w:t>
      </w:r>
      <w:r w:rsidR="001B6147" w:rsidRPr="00335764">
        <w:rPr>
          <w:rFonts w:cs="Arial"/>
          <w:sz w:val="20"/>
          <w:szCs w:val="20"/>
        </w:rPr>
        <w:t>as follows</w:t>
      </w:r>
      <w:r w:rsidR="001B6147" w:rsidRPr="00335764">
        <w:rPr>
          <w:rFonts w:cs="Arial"/>
          <w:sz w:val="20"/>
          <w:szCs w:val="20"/>
          <w:lang w:val="en-ZA"/>
        </w:rPr>
        <w:t>:</w:t>
      </w:r>
    </w:p>
    <w:p w:rsidR="007115C4" w:rsidRPr="00335764" w:rsidRDefault="00EF676B" w:rsidP="00335764">
      <w:pPr>
        <w:autoSpaceDE w:val="0"/>
        <w:autoSpaceDN w:val="0"/>
        <w:adjustRightInd w:val="0"/>
        <w:spacing w:line="240" w:lineRule="auto"/>
        <w:ind w:left="851"/>
        <w:jc w:val="left"/>
        <w:rPr>
          <w:rFonts w:cs="Arial"/>
          <w:sz w:val="20"/>
          <w:szCs w:val="20"/>
          <w:lang/>
        </w:rPr>
      </w:pPr>
      <w:r w:rsidRPr="00335764">
        <w:rPr>
          <w:rFonts w:cs="Arial"/>
          <w:sz w:val="20"/>
          <w:szCs w:val="20"/>
          <w:lang w:val="en-ZA"/>
        </w:rPr>
        <w:t>“</w:t>
      </w:r>
      <w:r w:rsidRPr="00335764">
        <w:rPr>
          <w:rFonts w:cs="Arial"/>
          <w:i/>
          <w:sz w:val="20"/>
          <w:szCs w:val="20"/>
          <w:lang w:val="en-ZA"/>
        </w:rPr>
        <w:t xml:space="preserve">The </w:t>
      </w:r>
      <w:r w:rsidR="00A21F10" w:rsidRPr="00335764">
        <w:rPr>
          <w:rFonts w:cs="Arial"/>
          <w:i/>
          <w:sz w:val="20"/>
          <w:szCs w:val="20"/>
          <w:lang w:val="en-ZA"/>
        </w:rPr>
        <w:t>National Treasury notes the Committee’s concern. Since the 2022</w:t>
      </w:r>
      <w:r w:rsidR="001B6147" w:rsidRPr="00335764">
        <w:rPr>
          <w:rFonts w:cs="Arial"/>
          <w:i/>
          <w:sz w:val="20"/>
          <w:szCs w:val="20"/>
          <w:lang w:val="en-ZA"/>
        </w:rPr>
        <w:t xml:space="preserve"> </w:t>
      </w:r>
      <w:r w:rsidR="00A21F10" w:rsidRPr="00335764">
        <w:rPr>
          <w:rFonts w:cs="Arial"/>
          <w:i/>
          <w:sz w:val="20"/>
          <w:szCs w:val="20"/>
          <w:lang w:val="en-ZA"/>
        </w:rPr>
        <w:t xml:space="preserve">Budget, no reductions have been made to the </w:t>
      </w:r>
      <w:r w:rsidRPr="00335764">
        <w:rPr>
          <w:rFonts w:cs="Arial"/>
          <w:i/>
          <w:sz w:val="20"/>
          <w:szCs w:val="20"/>
          <w:lang w:val="en-ZA"/>
        </w:rPr>
        <w:t>baseline</w:t>
      </w:r>
      <w:r w:rsidR="00A21F10" w:rsidRPr="00335764">
        <w:rPr>
          <w:rFonts w:cs="Arial"/>
          <w:i/>
          <w:sz w:val="20"/>
          <w:szCs w:val="20"/>
          <w:lang w:val="en-ZA"/>
        </w:rPr>
        <w:t>s</w:t>
      </w:r>
      <w:r w:rsidRPr="00335764">
        <w:rPr>
          <w:rFonts w:cs="Arial"/>
          <w:i/>
          <w:sz w:val="20"/>
          <w:szCs w:val="20"/>
          <w:lang w:val="en-ZA"/>
        </w:rPr>
        <w:t xml:space="preserve"> </w:t>
      </w:r>
      <w:r w:rsidR="00A21F10" w:rsidRPr="00335764">
        <w:rPr>
          <w:rFonts w:cs="Arial"/>
          <w:i/>
          <w:sz w:val="20"/>
          <w:szCs w:val="20"/>
          <w:lang w:val="en-ZA"/>
        </w:rPr>
        <w:t xml:space="preserve">of the department, its entities and related </w:t>
      </w:r>
      <w:r w:rsidR="00A21F10" w:rsidRPr="00335764">
        <w:rPr>
          <w:rFonts w:cs="Arial"/>
          <w:i/>
          <w:sz w:val="20"/>
          <w:szCs w:val="20"/>
          <w:lang w:val="en-ZA"/>
        </w:rPr>
        <w:lastRenderedPageBreak/>
        <w:t>Chapter 9 institutions. Instead</w:t>
      </w:r>
      <w:r w:rsidR="001B6147" w:rsidRPr="00335764">
        <w:rPr>
          <w:rFonts w:cs="Arial"/>
          <w:i/>
          <w:sz w:val="20"/>
          <w:szCs w:val="20"/>
          <w:lang w:val="en-ZA"/>
        </w:rPr>
        <w:t>,</w:t>
      </w:r>
      <w:r w:rsidR="00A21F10" w:rsidRPr="00335764">
        <w:rPr>
          <w:rFonts w:cs="Arial"/>
          <w:i/>
          <w:sz w:val="20"/>
          <w:szCs w:val="20"/>
          <w:lang w:val="en-ZA"/>
        </w:rPr>
        <w:t xml:space="preserve"> the department has received additional allocations totalling R3.7 billion, the majority of which is allocated to the National Prosecuting Authority to strengthen capacity and advance the recommendations of the State Capture Commission. In addition, funds are provided to Legal Aid South Africa to appoint legal practitioners to serve in the specialised commercial crime courts, the Information Regulator to grow its establishment and effectively discharge its legal mandate, the Public Protector and South African Human Rights Commission to increase capacity and to finance once off information and communication technology, the Special Investigating Unit to initiate civil litigation in the special tribunal flowing from proclamations that tie into the recommendations of the State Capture Commission for investigation</w:t>
      </w:r>
      <w:r w:rsidRPr="00335764">
        <w:rPr>
          <w:rFonts w:cs="Arial"/>
          <w:sz w:val="20"/>
          <w:szCs w:val="20"/>
          <w:lang w:val="en-ZA"/>
        </w:rPr>
        <w:t>”</w:t>
      </w:r>
      <w:r w:rsidR="009B3D95" w:rsidRPr="00335764">
        <w:rPr>
          <w:rFonts w:cs="Arial"/>
          <w:sz w:val="20"/>
          <w:szCs w:val="20"/>
          <w:lang w:val="en-ZA"/>
        </w:rPr>
        <w:t>.</w:t>
      </w:r>
      <w:r w:rsidR="007115C4" w:rsidRPr="00335764">
        <w:rPr>
          <w:rFonts w:cs="Arial"/>
          <w:sz w:val="20"/>
          <w:szCs w:val="20"/>
          <w:lang w:val="en-ZA"/>
        </w:rPr>
        <w:t xml:space="preserve"> </w:t>
      </w:r>
    </w:p>
    <w:p w:rsidR="00CC0FDB" w:rsidRPr="00335764" w:rsidRDefault="00CC0FDB" w:rsidP="00335764">
      <w:pPr>
        <w:spacing w:line="240" w:lineRule="auto"/>
        <w:jc w:val="left"/>
        <w:rPr>
          <w:rFonts w:cs="Arial"/>
          <w:b/>
          <w:sz w:val="20"/>
          <w:szCs w:val="20"/>
        </w:rPr>
      </w:pPr>
    </w:p>
    <w:p w:rsidR="00BD6D86" w:rsidRPr="00335764" w:rsidRDefault="00BD6D86" w:rsidP="00335764">
      <w:pPr>
        <w:autoSpaceDE w:val="0"/>
        <w:autoSpaceDN w:val="0"/>
        <w:adjustRightInd w:val="0"/>
        <w:spacing w:line="240" w:lineRule="auto"/>
        <w:jc w:val="left"/>
        <w:rPr>
          <w:rFonts w:cs="Arial"/>
          <w:b/>
          <w:sz w:val="20"/>
          <w:szCs w:val="20"/>
        </w:rPr>
      </w:pPr>
    </w:p>
    <w:p w:rsidR="00CC0FDB" w:rsidRPr="00335764" w:rsidRDefault="00CC0FDB" w:rsidP="00335764">
      <w:pPr>
        <w:numPr>
          <w:ilvl w:val="0"/>
          <w:numId w:val="1"/>
        </w:numPr>
        <w:tabs>
          <w:tab w:val="clear" w:pos="375"/>
          <w:tab w:val="num" w:pos="851"/>
        </w:tabs>
        <w:autoSpaceDE w:val="0"/>
        <w:autoSpaceDN w:val="0"/>
        <w:adjustRightInd w:val="0"/>
        <w:spacing w:line="240" w:lineRule="auto"/>
        <w:ind w:left="851" w:hanging="851"/>
        <w:jc w:val="left"/>
        <w:rPr>
          <w:rFonts w:cs="Arial"/>
          <w:b/>
          <w:sz w:val="20"/>
          <w:szCs w:val="20"/>
        </w:rPr>
      </w:pPr>
      <w:r w:rsidRPr="00335764">
        <w:rPr>
          <w:rFonts w:cs="Arial"/>
          <w:b/>
          <w:sz w:val="20"/>
          <w:szCs w:val="20"/>
        </w:rPr>
        <w:t>Medium Term Strategic Framework 20</w:t>
      </w:r>
      <w:r w:rsidR="00FE1A0A" w:rsidRPr="00335764">
        <w:rPr>
          <w:rFonts w:cs="Arial"/>
          <w:b/>
          <w:sz w:val="20"/>
          <w:szCs w:val="20"/>
        </w:rPr>
        <w:t>19 -2024</w:t>
      </w:r>
    </w:p>
    <w:p w:rsidR="00CC0FDB" w:rsidRPr="00335764" w:rsidRDefault="00CC0FDB" w:rsidP="00335764">
      <w:pPr>
        <w:spacing w:line="240" w:lineRule="auto"/>
        <w:ind w:left="851"/>
        <w:jc w:val="left"/>
        <w:rPr>
          <w:rFonts w:cs="Arial"/>
          <w:b/>
          <w:sz w:val="20"/>
          <w:szCs w:val="20"/>
        </w:rPr>
      </w:pPr>
    </w:p>
    <w:p w:rsidR="00CC0FDB" w:rsidRPr="00335764" w:rsidRDefault="00CC0FDB"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lang w:val="en-ZA"/>
        </w:rPr>
        <w:t>The</w:t>
      </w:r>
      <w:r w:rsidRPr="00335764">
        <w:rPr>
          <w:rFonts w:cs="Arial"/>
          <w:sz w:val="20"/>
          <w:szCs w:val="20"/>
        </w:rPr>
        <w:t xml:space="preserve"> National Development Plan (NDP) requires, among others, that we build safer communities; promote accountability and fight corruption; and strengthen judicial governance and the rule of law. </w:t>
      </w:r>
    </w:p>
    <w:p w:rsidR="00CC0FDB" w:rsidRPr="00335764" w:rsidRDefault="00CC0FDB" w:rsidP="00335764">
      <w:pPr>
        <w:spacing w:line="240" w:lineRule="auto"/>
        <w:jc w:val="left"/>
        <w:rPr>
          <w:rFonts w:cs="Arial"/>
          <w:sz w:val="20"/>
          <w:szCs w:val="20"/>
        </w:rPr>
      </w:pPr>
    </w:p>
    <w:p w:rsidR="00AB45F2" w:rsidRPr="00335764" w:rsidRDefault="00313D47" w:rsidP="00335764">
      <w:pPr>
        <w:numPr>
          <w:ilvl w:val="1"/>
          <w:numId w:val="1"/>
        </w:numPr>
        <w:autoSpaceDE w:val="0"/>
        <w:autoSpaceDN w:val="0"/>
        <w:adjustRightInd w:val="0"/>
        <w:spacing w:line="240" w:lineRule="auto"/>
        <w:ind w:left="851" w:hanging="851"/>
        <w:jc w:val="left"/>
        <w:rPr>
          <w:rFonts w:cs="Arial"/>
          <w:bCs/>
          <w:sz w:val="20"/>
          <w:szCs w:val="20"/>
          <w:lang w:val="en-ZA"/>
        </w:rPr>
      </w:pPr>
      <w:r w:rsidRPr="00335764">
        <w:rPr>
          <w:rFonts w:cs="Arial"/>
          <w:sz w:val="20"/>
          <w:szCs w:val="20"/>
          <w:lang w:val="en-ZA"/>
        </w:rPr>
        <w:t>T</w:t>
      </w:r>
      <w:r w:rsidR="00CC0FDB" w:rsidRPr="00335764">
        <w:rPr>
          <w:rFonts w:cs="Arial"/>
          <w:sz w:val="20"/>
          <w:szCs w:val="20"/>
          <w:lang w:val="en-US"/>
        </w:rPr>
        <w:t xml:space="preserve">he </w:t>
      </w:r>
      <w:r w:rsidR="00CC0FDB" w:rsidRPr="00335764">
        <w:rPr>
          <w:rFonts w:cs="Arial"/>
          <w:sz w:val="20"/>
          <w:szCs w:val="20"/>
        </w:rPr>
        <w:t>Medium Term Strategic Framework (MTSF) 20</w:t>
      </w:r>
      <w:r w:rsidR="00344811" w:rsidRPr="00335764">
        <w:rPr>
          <w:rFonts w:cs="Arial"/>
          <w:sz w:val="20"/>
          <w:szCs w:val="20"/>
        </w:rPr>
        <w:t>19-2024</w:t>
      </w:r>
      <w:r w:rsidR="00AB45F2" w:rsidRPr="00335764">
        <w:rPr>
          <w:rFonts w:cs="Arial"/>
          <w:bCs/>
          <w:sz w:val="20"/>
          <w:szCs w:val="20"/>
          <w:lang w:val="en-ZA"/>
        </w:rPr>
        <w:t xml:space="preserve"> identifies seven priorities and related interventions of the Sixth Administration. Justice has responsibilities in respect of two priorities: namely Priority 1 ‘A capable, ethical and dev</w:t>
      </w:r>
      <w:r w:rsidR="00FE1A0A" w:rsidRPr="00335764">
        <w:rPr>
          <w:rFonts w:cs="Arial"/>
          <w:bCs/>
          <w:sz w:val="20"/>
          <w:szCs w:val="20"/>
          <w:lang w:val="en-ZA"/>
        </w:rPr>
        <w:t>elopmental state’ and Priority 6</w:t>
      </w:r>
      <w:r w:rsidR="00AB45F2" w:rsidRPr="00335764">
        <w:rPr>
          <w:rFonts w:cs="Arial"/>
          <w:bCs/>
          <w:sz w:val="20"/>
          <w:szCs w:val="20"/>
          <w:lang w:val="en-ZA"/>
        </w:rPr>
        <w:t xml:space="preserve"> ‘Social cohesion and safe communities’. </w:t>
      </w:r>
    </w:p>
    <w:p w:rsidR="00AB45F2" w:rsidRPr="00335764" w:rsidRDefault="00AB45F2" w:rsidP="00335764">
      <w:pPr>
        <w:pStyle w:val="ListParagraph"/>
        <w:spacing w:line="240" w:lineRule="auto"/>
        <w:jc w:val="left"/>
        <w:rPr>
          <w:rFonts w:cs="Arial"/>
          <w:bCs/>
          <w:sz w:val="20"/>
          <w:szCs w:val="20"/>
          <w:lang w:val="en-ZA"/>
        </w:rPr>
      </w:pPr>
    </w:p>
    <w:p w:rsidR="00734E97" w:rsidRPr="00335764" w:rsidRDefault="00384E56" w:rsidP="00335764">
      <w:pPr>
        <w:numPr>
          <w:ilvl w:val="1"/>
          <w:numId w:val="1"/>
        </w:numPr>
        <w:autoSpaceDE w:val="0"/>
        <w:autoSpaceDN w:val="0"/>
        <w:adjustRightInd w:val="0"/>
        <w:spacing w:line="240" w:lineRule="auto"/>
        <w:ind w:left="851" w:hanging="851"/>
        <w:jc w:val="left"/>
        <w:rPr>
          <w:rFonts w:cs="Arial"/>
          <w:bCs/>
          <w:sz w:val="20"/>
          <w:szCs w:val="20"/>
          <w:lang w:val="en-ZA"/>
        </w:rPr>
      </w:pPr>
      <w:r w:rsidRPr="00335764">
        <w:rPr>
          <w:rFonts w:cs="Arial"/>
          <w:sz w:val="20"/>
          <w:szCs w:val="20"/>
          <w:lang w:val="en-ZA"/>
        </w:rPr>
        <w:t>In</w:t>
      </w:r>
      <w:r w:rsidRPr="00335764">
        <w:rPr>
          <w:rFonts w:cs="Arial"/>
          <w:bCs/>
          <w:sz w:val="20"/>
          <w:szCs w:val="20"/>
          <w:lang w:val="en-ZA"/>
        </w:rPr>
        <w:t xml:space="preserve"> addition, the lack of access to resources and lack of opportunity for Women, Youth and People with Disabilities are identified as cross-cutting, requiring a variety of interventions, including legislative amendments. </w:t>
      </w:r>
    </w:p>
    <w:p w:rsidR="00EE16C4" w:rsidRPr="00335764" w:rsidRDefault="00EE16C4" w:rsidP="00335764">
      <w:pPr>
        <w:spacing w:line="240" w:lineRule="auto"/>
        <w:contextualSpacing/>
        <w:jc w:val="left"/>
        <w:rPr>
          <w:rFonts w:cs="Arial"/>
          <w:sz w:val="20"/>
          <w:szCs w:val="20"/>
        </w:rPr>
      </w:pPr>
    </w:p>
    <w:p w:rsidR="00EE16C4" w:rsidRPr="00335764" w:rsidRDefault="00EE16C4" w:rsidP="00335764">
      <w:pPr>
        <w:numPr>
          <w:ilvl w:val="1"/>
          <w:numId w:val="1"/>
        </w:numPr>
        <w:autoSpaceDE w:val="0"/>
        <w:autoSpaceDN w:val="0"/>
        <w:adjustRightInd w:val="0"/>
        <w:spacing w:line="240" w:lineRule="auto"/>
        <w:ind w:left="851" w:hanging="851"/>
        <w:jc w:val="left"/>
        <w:rPr>
          <w:rFonts w:cs="Arial"/>
          <w:bCs/>
          <w:sz w:val="20"/>
          <w:szCs w:val="20"/>
          <w:lang w:val="en-ZA"/>
        </w:rPr>
      </w:pPr>
      <w:r w:rsidRPr="00335764">
        <w:rPr>
          <w:rFonts w:cs="Arial"/>
          <w:bCs/>
          <w:sz w:val="20"/>
          <w:szCs w:val="20"/>
          <w:lang w:val="en-ZA"/>
        </w:rPr>
        <w:t xml:space="preserve">In respect of the </w:t>
      </w:r>
      <w:r w:rsidR="00C55EEF" w:rsidRPr="00335764">
        <w:rPr>
          <w:rFonts w:cs="Arial"/>
          <w:bCs/>
          <w:sz w:val="20"/>
          <w:szCs w:val="20"/>
          <w:lang w:val="en-ZA"/>
        </w:rPr>
        <w:t xml:space="preserve">revised </w:t>
      </w:r>
      <w:r w:rsidRPr="00335764">
        <w:rPr>
          <w:rFonts w:cs="Arial"/>
          <w:bCs/>
          <w:sz w:val="20"/>
          <w:szCs w:val="20"/>
          <w:lang w:val="en-ZA"/>
        </w:rPr>
        <w:t>MTSF, the Department has made the following commitments:</w:t>
      </w:r>
    </w:p>
    <w:p w:rsidR="002C7728" w:rsidRPr="00335764" w:rsidRDefault="002C7728" w:rsidP="00335764">
      <w:pPr>
        <w:spacing w:line="240" w:lineRule="auto"/>
        <w:contextualSpacing/>
        <w:jc w:val="left"/>
        <w:rPr>
          <w:rFonts w:cs="Arial"/>
          <w:bCs/>
          <w:sz w:val="20"/>
          <w:szCs w:val="20"/>
          <w:lang w:val="en-ZA"/>
        </w:rPr>
      </w:pPr>
    </w:p>
    <w:tbl>
      <w:tblPr>
        <w:tblStyle w:val="TableGrid"/>
        <w:tblW w:w="0" w:type="auto"/>
        <w:tblLook w:val="04A0"/>
      </w:tblPr>
      <w:tblGrid>
        <w:gridCol w:w="4552"/>
        <w:gridCol w:w="5076"/>
      </w:tblGrid>
      <w:tr w:rsidR="00EE16C4" w:rsidRPr="00335764" w:rsidTr="00C55EEF">
        <w:trPr>
          <w:tblHeader/>
        </w:trPr>
        <w:tc>
          <w:tcPr>
            <w:tcW w:w="0" w:type="auto"/>
            <w:shd w:val="clear" w:color="auto" w:fill="D9D9D9" w:themeFill="background1" w:themeFillShade="D9"/>
          </w:tcPr>
          <w:p w:rsidR="00EE16C4" w:rsidRPr="00335764" w:rsidRDefault="00EE16C4" w:rsidP="00335764">
            <w:pPr>
              <w:spacing w:line="240" w:lineRule="auto"/>
              <w:contextualSpacing/>
              <w:jc w:val="left"/>
              <w:rPr>
                <w:rFonts w:cs="Arial"/>
                <w:b/>
                <w:bCs/>
                <w:sz w:val="20"/>
                <w:szCs w:val="20"/>
                <w:lang w:val="en-ZA"/>
              </w:rPr>
            </w:pPr>
            <w:r w:rsidRPr="00335764">
              <w:rPr>
                <w:rFonts w:cs="Arial"/>
                <w:b/>
                <w:bCs/>
                <w:sz w:val="20"/>
                <w:szCs w:val="20"/>
                <w:lang w:val="en-ZA"/>
              </w:rPr>
              <w:t>MTSF INDICATORS</w:t>
            </w:r>
          </w:p>
        </w:tc>
        <w:tc>
          <w:tcPr>
            <w:tcW w:w="0" w:type="auto"/>
            <w:shd w:val="clear" w:color="auto" w:fill="D9D9D9" w:themeFill="background1" w:themeFillShade="D9"/>
          </w:tcPr>
          <w:p w:rsidR="00EE16C4" w:rsidRPr="00335764" w:rsidRDefault="00EE16C4" w:rsidP="00335764">
            <w:pPr>
              <w:spacing w:line="240" w:lineRule="auto"/>
              <w:contextualSpacing/>
              <w:jc w:val="left"/>
              <w:rPr>
                <w:rFonts w:cs="Arial"/>
                <w:b/>
                <w:bCs/>
                <w:sz w:val="20"/>
                <w:szCs w:val="20"/>
                <w:lang w:val="en-ZA"/>
              </w:rPr>
            </w:pPr>
            <w:r w:rsidRPr="00335764">
              <w:rPr>
                <w:rFonts w:cs="Arial"/>
                <w:b/>
                <w:bCs/>
                <w:sz w:val="20"/>
                <w:szCs w:val="20"/>
                <w:lang w:val="en-ZA"/>
              </w:rPr>
              <w:t xml:space="preserve">JUSTICE DEPARTMENT </w:t>
            </w:r>
          </w:p>
          <w:p w:rsidR="00EE16C4" w:rsidRPr="00335764" w:rsidRDefault="00EE16C4" w:rsidP="00335764">
            <w:pPr>
              <w:spacing w:line="240" w:lineRule="auto"/>
              <w:contextualSpacing/>
              <w:jc w:val="left"/>
              <w:rPr>
                <w:rFonts w:cs="Arial"/>
                <w:b/>
                <w:bCs/>
                <w:sz w:val="20"/>
                <w:szCs w:val="20"/>
                <w:lang w:val="en-ZA"/>
              </w:rPr>
            </w:pPr>
            <w:r w:rsidRPr="00335764">
              <w:rPr>
                <w:rFonts w:cs="Arial"/>
                <w:b/>
                <w:bCs/>
                <w:sz w:val="20"/>
                <w:szCs w:val="20"/>
                <w:lang w:val="en-ZA"/>
              </w:rPr>
              <w:t xml:space="preserve">MTSF TARGETS </w:t>
            </w:r>
          </w:p>
          <w:p w:rsidR="00EE16C4" w:rsidRPr="00335764" w:rsidRDefault="00EE16C4" w:rsidP="00335764">
            <w:pPr>
              <w:spacing w:line="240" w:lineRule="auto"/>
              <w:contextualSpacing/>
              <w:jc w:val="left"/>
              <w:rPr>
                <w:rFonts w:cs="Arial"/>
                <w:b/>
                <w:bCs/>
                <w:sz w:val="20"/>
                <w:szCs w:val="20"/>
                <w:lang w:val="en-ZA"/>
              </w:rPr>
            </w:pPr>
            <w:r w:rsidRPr="00335764">
              <w:rPr>
                <w:rFonts w:cs="Arial"/>
                <w:b/>
                <w:bCs/>
                <w:sz w:val="20"/>
                <w:szCs w:val="20"/>
                <w:lang w:val="en-ZA"/>
              </w:rPr>
              <w:t>202</w:t>
            </w:r>
            <w:r w:rsidR="001B2882" w:rsidRPr="00335764">
              <w:rPr>
                <w:rFonts w:cs="Arial"/>
                <w:b/>
                <w:bCs/>
                <w:sz w:val="20"/>
                <w:szCs w:val="20"/>
                <w:lang w:val="en-ZA"/>
              </w:rPr>
              <w:t>3/24</w:t>
            </w:r>
          </w:p>
        </w:tc>
      </w:tr>
      <w:tr w:rsidR="00EE16C4" w:rsidRPr="00335764" w:rsidTr="00BA0308">
        <w:tc>
          <w:tcPr>
            <w:tcW w:w="0" w:type="auto"/>
          </w:tcPr>
          <w:p w:rsidR="00EE16C4" w:rsidRPr="00335764" w:rsidRDefault="00EE16C4" w:rsidP="00335764">
            <w:pPr>
              <w:spacing w:line="240" w:lineRule="auto"/>
              <w:contextualSpacing/>
              <w:jc w:val="left"/>
              <w:rPr>
                <w:rFonts w:cs="Arial"/>
                <w:bCs/>
                <w:sz w:val="20"/>
                <w:szCs w:val="20"/>
                <w:lang w:val="en-ZA"/>
              </w:rPr>
            </w:pPr>
            <w:r w:rsidRPr="00335764">
              <w:rPr>
                <w:rFonts w:cs="Arial"/>
                <w:bCs/>
                <w:sz w:val="20"/>
                <w:szCs w:val="20"/>
                <w:lang w:val="en-ZA"/>
              </w:rPr>
              <w:t xml:space="preserve">Coordinating engagements between the leadership of the executive, </w:t>
            </w:r>
            <w:r w:rsidR="00A668B0" w:rsidRPr="00335764">
              <w:rPr>
                <w:rFonts w:cs="Arial"/>
                <w:bCs/>
                <w:sz w:val="20"/>
                <w:szCs w:val="20"/>
                <w:lang w:val="en-ZA"/>
              </w:rPr>
              <w:t>legislature,</w:t>
            </w:r>
            <w:r w:rsidRPr="00335764">
              <w:rPr>
                <w:rFonts w:cs="Arial"/>
                <w:bCs/>
                <w:sz w:val="20"/>
                <w:szCs w:val="20"/>
                <w:lang w:val="en-ZA"/>
              </w:rPr>
              <w:t xml:space="preserve"> and judiciary </w:t>
            </w:r>
            <w:r w:rsidR="00A668B0" w:rsidRPr="00335764">
              <w:rPr>
                <w:rFonts w:cs="Arial"/>
                <w:bCs/>
                <w:sz w:val="20"/>
                <w:szCs w:val="20"/>
                <w:lang w:val="en-ZA"/>
              </w:rPr>
              <w:t>to</w:t>
            </w:r>
            <w:r w:rsidRPr="00335764">
              <w:rPr>
                <w:rFonts w:cs="Arial"/>
                <w:bCs/>
                <w:sz w:val="20"/>
                <w:szCs w:val="20"/>
                <w:lang w:val="en-ZA"/>
              </w:rPr>
              <w:t xml:space="preserve"> develop a social compact by 2021 and implement the compact by 2024.</w:t>
            </w:r>
          </w:p>
        </w:tc>
        <w:tc>
          <w:tcPr>
            <w:tcW w:w="0" w:type="auto"/>
          </w:tcPr>
          <w:p w:rsidR="00EE16C4" w:rsidRPr="00335764" w:rsidRDefault="00C55EEF" w:rsidP="00335764">
            <w:pPr>
              <w:spacing w:line="240" w:lineRule="auto"/>
              <w:contextualSpacing/>
              <w:jc w:val="left"/>
              <w:rPr>
                <w:rFonts w:cs="Arial"/>
                <w:bCs/>
                <w:sz w:val="20"/>
                <w:szCs w:val="20"/>
                <w:lang w:val="en-ZA"/>
              </w:rPr>
            </w:pPr>
            <w:r w:rsidRPr="00335764">
              <w:rPr>
                <w:rFonts w:cs="Arial"/>
                <w:bCs/>
                <w:sz w:val="20"/>
                <w:szCs w:val="20"/>
                <w:lang w:val="en-ZA"/>
              </w:rPr>
              <w:t>A social c</w:t>
            </w:r>
            <w:r w:rsidR="00EE16C4" w:rsidRPr="00335764">
              <w:rPr>
                <w:rFonts w:cs="Arial"/>
                <w:bCs/>
                <w:sz w:val="20"/>
                <w:szCs w:val="20"/>
                <w:lang w:val="en-ZA"/>
              </w:rPr>
              <w:t xml:space="preserve">ompact document will be submitted to </w:t>
            </w:r>
            <w:r w:rsidR="00341509" w:rsidRPr="00335764">
              <w:rPr>
                <w:rFonts w:cs="Arial"/>
                <w:bCs/>
                <w:sz w:val="20"/>
                <w:szCs w:val="20"/>
                <w:lang w:val="en-ZA"/>
              </w:rPr>
              <w:t>the President for adoption by the three branches of Government.</w:t>
            </w:r>
          </w:p>
        </w:tc>
      </w:tr>
      <w:tr w:rsidR="00EE16C4" w:rsidRPr="00335764" w:rsidTr="00BA0308">
        <w:tc>
          <w:tcPr>
            <w:tcW w:w="0" w:type="auto"/>
          </w:tcPr>
          <w:p w:rsidR="00EE16C4" w:rsidRPr="00335764" w:rsidRDefault="00EE16C4" w:rsidP="00335764">
            <w:pPr>
              <w:spacing w:line="240" w:lineRule="auto"/>
              <w:contextualSpacing/>
              <w:jc w:val="left"/>
              <w:rPr>
                <w:rFonts w:cs="Arial"/>
                <w:bCs/>
                <w:sz w:val="20"/>
                <w:szCs w:val="20"/>
                <w:lang w:val="en-ZA"/>
              </w:rPr>
            </w:pPr>
            <w:r w:rsidRPr="00335764">
              <w:rPr>
                <w:rFonts w:cs="Arial"/>
                <w:bCs/>
                <w:sz w:val="20"/>
                <w:szCs w:val="20"/>
                <w:lang w:val="en-ZA"/>
              </w:rPr>
              <w:t>Developing a system to ensure consistent barrier-free access to justice for persons with disabilities across the justice value chain.</w:t>
            </w:r>
          </w:p>
        </w:tc>
        <w:tc>
          <w:tcPr>
            <w:tcW w:w="0" w:type="auto"/>
          </w:tcPr>
          <w:p w:rsidR="00EE16C4" w:rsidRPr="00335764" w:rsidRDefault="00341509" w:rsidP="00335764">
            <w:pPr>
              <w:spacing w:line="240" w:lineRule="auto"/>
              <w:contextualSpacing/>
              <w:jc w:val="left"/>
              <w:rPr>
                <w:rFonts w:cs="Arial"/>
                <w:bCs/>
                <w:sz w:val="20"/>
                <w:szCs w:val="20"/>
                <w:lang w:val="en-ZA"/>
              </w:rPr>
            </w:pPr>
            <w:r w:rsidRPr="00335764">
              <w:rPr>
                <w:rFonts w:cs="Arial"/>
                <w:bCs/>
                <w:sz w:val="20"/>
                <w:szCs w:val="20"/>
                <w:lang w:val="en-ZA"/>
              </w:rPr>
              <w:t>65</w:t>
            </w:r>
            <w:r w:rsidR="00EE16C4" w:rsidRPr="00335764">
              <w:rPr>
                <w:rFonts w:cs="Arial"/>
                <w:bCs/>
                <w:sz w:val="20"/>
                <w:szCs w:val="20"/>
                <w:lang w:val="en-ZA"/>
              </w:rPr>
              <w:t xml:space="preserve"> courts </w:t>
            </w:r>
            <w:r w:rsidR="00C55EEF" w:rsidRPr="00335764">
              <w:rPr>
                <w:rFonts w:cs="Arial"/>
                <w:bCs/>
                <w:sz w:val="20"/>
                <w:szCs w:val="20"/>
                <w:lang w:val="en-ZA"/>
              </w:rPr>
              <w:t xml:space="preserve">will be made </w:t>
            </w:r>
            <w:r w:rsidR="00EE16C4" w:rsidRPr="00335764">
              <w:rPr>
                <w:rFonts w:cs="Arial"/>
                <w:bCs/>
                <w:sz w:val="20"/>
                <w:szCs w:val="20"/>
                <w:lang w:val="en-ZA"/>
              </w:rPr>
              <w:t xml:space="preserve">compliant with the strategy on universal access for persons with disabilities in </w:t>
            </w:r>
            <w:r w:rsidR="00C55EEF" w:rsidRPr="00335764">
              <w:rPr>
                <w:rFonts w:cs="Arial"/>
                <w:bCs/>
                <w:sz w:val="20"/>
                <w:szCs w:val="20"/>
                <w:lang w:val="en-ZA"/>
              </w:rPr>
              <w:t>202</w:t>
            </w:r>
            <w:r w:rsidRPr="00335764">
              <w:rPr>
                <w:rFonts w:cs="Arial"/>
                <w:bCs/>
                <w:sz w:val="20"/>
                <w:szCs w:val="20"/>
                <w:lang w:val="en-ZA"/>
              </w:rPr>
              <w:t>3/24</w:t>
            </w:r>
            <w:r w:rsidR="00EE16C4" w:rsidRPr="00335764">
              <w:rPr>
                <w:rFonts w:cs="Arial"/>
                <w:bCs/>
                <w:sz w:val="20"/>
                <w:szCs w:val="20"/>
                <w:lang w:val="en-ZA"/>
              </w:rPr>
              <w:t>.</w:t>
            </w:r>
          </w:p>
        </w:tc>
      </w:tr>
      <w:tr w:rsidR="00EE16C4" w:rsidRPr="00335764" w:rsidTr="00BA0308">
        <w:tc>
          <w:tcPr>
            <w:tcW w:w="0" w:type="auto"/>
          </w:tcPr>
          <w:p w:rsidR="00EE16C4" w:rsidRPr="00335764" w:rsidRDefault="00EE16C4" w:rsidP="00335764">
            <w:pPr>
              <w:spacing w:line="240" w:lineRule="auto"/>
              <w:contextualSpacing/>
              <w:jc w:val="left"/>
              <w:rPr>
                <w:rFonts w:cs="Arial"/>
                <w:bCs/>
                <w:sz w:val="20"/>
                <w:szCs w:val="20"/>
                <w:lang w:val="en-ZA"/>
              </w:rPr>
            </w:pPr>
            <w:r w:rsidRPr="00335764">
              <w:rPr>
                <w:rFonts w:cs="Arial"/>
                <w:bCs/>
                <w:sz w:val="20"/>
                <w:szCs w:val="20"/>
                <w:lang w:val="en-ZA"/>
              </w:rPr>
              <w:t>Coordinating the Implementation of the National Action Plan (NAP) to Combat Racism, Racial Discrimination, Xenophobia and Related Intolerance.</w:t>
            </w:r>
          </w:p>
        </w:tc>
        <w:tc>
          <w:tcPr>
            <w:tcW w:w="0" w:type="auto"/>
          </w:tcPr>
          <w:p w:rsidR="00EE16C4" w:rsidRPr="00335764" w:rsidRDefault="00EE16C4" w:rsidP="00335764">
            <w:pPr>
              <w:spacing w:line="240" w:lineRule="auto"/>
              <w:contextualSpacing/>
              <w:jc w:val="left"/>
              <w:rPr>
                <w:rFonts w:cs="Arial"/>
                <w:bCs/>
                <w:sz w:val="20"/>
                <w:szCs w:val="20"/>
                <w:lang w:val="en-ZA"/>
              </w:rPr>
            </w:pPr>
            <w:r w:rsidRPr="00335764">
              <w:rPr>
                <w:rFonts w:cs="Arial"/>
                <w:bCs/>
                <w:sz w:val="20"/>
                <w:szCs w:val="20"/>
                <w:lang w:val="en-ZA"/>
              </w:rPr>
              <w:t xml:space="preserve">A </w:t>
            </w:r>
            <w:r w:rsidR="00C55EEF" w:rsidRPr="00335764">
              <w:rPr>
                <w:rFonts w:cs="Arial"/>
                <w:bCs/>
                <w:sz w:val="20"/>
                <w:szCs w:val="20"/>
                <w:lang w:val="en-ZA"/>
              </w:rPr>
              <w:t>f</w:t>
            </w:r>
            <w:r w:rsidRPr="00335764">
              <w:rPr>
                <w:rFonts w:cs="Arial"/>
                <w:bCs/>
                <w:sz w:val="20"/>
                <w:szCs w:val="20"/>
                <w:lang w:val="en-ZA"/>
              </w:rPr>
              <w:t>ramework for the virtual repository o</w:t>
            </w:r>
            <w:r w:rsidR="00C55EEF" w:rsidRPr="00335764">
              <w:rPr>
                <w:rFonts w:cs="Arial"/>
                <w:bCs/>
                <w:sz w:val="20"/>
                <w:szCs w:val="20"/>
                <w:lang w:val="en-ZA"/>
              </w:rPr>
              <w:t>f</w:t>
            </w:r>
            <w:r w:rsidRPr="00335764">
              <w:rPr>
                <w:rFonts w:cs="Arial"/>
                <w:bCs/>
                <w:sz w:val="20"/>
                <w:szCs w:val="20"/>
                <w:lang w:val="en-ZA"/>
              </w:rPr>
              <w:t xml:space="preserve"> disaggregated statistical data for the measurements of racism, racial discrimination, xenophobia and related intolerance </w:t>
            </w:r>
            <w:r w:rsidR="00341509" w:rsidRPr="00335764">
              <w:rPr>
                <w:rFonts w:cs="Arial"/>
                <w:bCs/>
                <w:sz w:val="20"/>
                <w:szCs w:val="20"/>
                <w:lang w:val="en-ZA"/>
              </w:rPr>
              <w:t>to be developed by 31 March 2024</w:t>
            </w:r>
            <w:r w:rsidRPr="00335764">
              <w:rPr>
                <w:rFonts w:cs="Arial"/>
                <w:bCs/>
                <w:sz w:val="20"/>
                <w:szCs w:val="20"/>
                <w:lang w:val="en-ZA"/>
              </w:rPr>
              <w:t>.</w:t>
            </w:r>
          </w:p>
        </w:tc>
      </w:tr>
      <w:tr w:rsidR="00EE16C4" w:rsidRPr="00335764" w:rsidTr="00BA0308">
        <w:tc>
          <w:tcPr>
            <w:tcW w:w="0" w:type="auto"/>
          </w:tcPr>
          <w:p w:rsidR="00EE16C4" w:rsidRPr="00335764" w:rsidRDefault="00EE16C4" w:rsidP="00335764">
            <w:pPr>
              <w:spacing w:line="240" w:lineRule="auto"/>
              <w:contextualSpacing/>
              <w:jc w:val="left"/>
              <w:rPr>
                <w:rFonts w:cs="Arial"/>
                <w:bCs/>
                <w:sz w:val="20"/>
                <w:szCs w:val="20"/>
                <w:lang w:val="en-ZA"/>
              </w:rPr>
            </w:pPr>
            <w:r w:rsidRPr="00335764">
              <w:rPr>
                <w:rFonts w:cs="Arial"/>
                <w:bCs/>
                <w:sz w:val="20"/>
                <w:szCs w:val="20"/>
                <w:lang w:val="en-ZA"/>
              </w:rPr>
              <w:t xml:space="preserve">Establishing and capacitating Specialised Commercial Crime Courts (SCCC’s) by 2024. </w:t>
            </w:r>
          </w:p>
        </w:tc>
        <w:tc>
          <w:tcPr>
            <w:tcW w:w="0" w:type="auto"/>
          </w:tcPr>
          <w:p w:rsidR="00EE16C4" w:rsidRPr="00335764" w:rsidRDefault="006D4CDA" w:rsidP="00335764">
            <w:pPr>
              <w:spacing w:line="240" w:lineRule="auto"/>
              <w:contextualSpacing/>
              <w:jc w:val="left"/>
              <w:rPr>
                <w:rFonts w:cs="Arial"/>
                <w:bCs/>
                <w:sz w:val="20"/>
                <w:szCs w:val="20"/>
                <w:lang w:val="en-ZA"/>
              </w:rPr>
            </w:pPr>
            <w:r w:rsidRPr="00335764">
              <w:rPr>
                <w:rFonts w:cs="Arial"/>
                <w:bCs/>
                <w:sz w:val="20"/>
                <w:szCs w:val="20"/>
                <w:lang w:val="en-ZA"/>
              </w:rPr>
              <w:t>T</w:t>
            </w:r>
            <w:r w:rsidR="00EE16C4" w:rsidRPr="00335764">
              <w:rPr>
                <w:rFonts w:cs="Arial"/>
                <w:bCs/>
                <w:sz w:val="20"/>
                <w:szCs w:val="20"/>
                <w:lang w:val="en-ZA"/>
              </w:rPr>
              <w:t xml:space="preserve">he Department </w:t>
            </w:r>
            <w:r w:rsidR="00C55EEF" w:rsidRPr="00335764">
              <w:rPr>
                <w:rFonts w:cs="Arial"/>
                <w:bCs/>
                <w:sz w:val="20"/>
                <w:szCs w:val="20"/>
                <w:lang w:val="en-ZA"/>
              </w:rPr>
              <w:t xml:space="preserve">will </w:t>
            </w:r>
            <w:r w:rsidR="00EE16C4" w:rsidRPr="00335764">
              <w:rPr>
                <w:rFonts w:cs="Arial"/>
                <w:bCs/>
                <w:sz w:val="20"/>
                <w:szCs w:val="20"/>
                <w:lang w:val="en-ZA"/>
              </w:rPr>
              <w:t>ensure that the capacity and efficacy of the SCCCs is enhanced and optimised. Two specialised Commercial Crimes Courts will be capacitated</w:t>
            </w:r>
            <w:r w:rsidR="00341509" w:rsidRPr="00335764">
              <w:rPr>
                <w:rFonts w:cs="Arial"/>
                <w:bCs/>
                <w:sz w:val="20"/>
                <w:szCs w:val="20"/>
                <w:lang w:val="en-ZA"/>
              </w:rPr>
              <w:t xml:space="preserve"> in 2023/24</w:t>
            </w:r>
            <w:r w:rsidR="00EE16C4" w:rsidRPr="00335764">
              <w:rPr>
                <w:rFonts w:cs="Arial"/>
                <w:bCs/>
                <w:sz w:val="20"/>
                <w:szCs w:val="20"/>
                <w:lang w:val="en-ZA"/>
              </w:rPr>
              <w:t>.</w:t>
            </w:r>
          </w:p>
        </w:tc>
      </w:tr>
    </w:tbl>
    <w:p w:rsidR="00EE16C4" w:rsidRPr="00335764" w:rsidRDefault="00EE16C4" w:rsidP="00335764">
      <w:pPr>
        <w:spacing w:line="240" w:lineRule="auto"/>
        <w:contextualSpacing/>
        <w:jc w:val="left"/>
        <w:rPr>
          <w:rFonts w:cs="Arial"/>
          <w:sz w:val="20"/>
          <w:szCs w:val="20"/>
        </w:rPr>
      </w:pPr>
    </w:p>
    <w:p w:rsidR="00EE16C4" w:rsidRPr="00335764" w:rsidRDefault="00EE16C4" w:rsidP="00335764">
      <w:pPr>
        <w:numPr>
          <w:ilvl w:val="1"/>
          <w:numId w:val="1"/>
        </w:numPr>
        <w:autoSpaceDE w:val="0"/>
        <w:autoSpaceDN w:val="0"/>
        <w:adjustRightInd w:val="0"/>
        <w:spacing w:line="240" w:lineRule="auto"/>
        <w:ind w:left="851" w:hanging="851"/>
        <w:jc w:val="left"/>
        <w:rPr>
          <w:rFonts w:cs="Arial"/>
          <w:bCs/>
          <w:sz w:val="20"/>
          <w:szCs w:val="20"/>
          <w:lang w:val="en-ZA"/>
        </w:rPr>
      </w:pPr>
      <w:r w:rsidRPr="00335764">
        <w:rPr>
          <w:rFonts w:cs="Arial"/>
          <w:bCs/>
          <w:i/>
          <w:sz w:val="20"/>
          <w:szCs w:val="20"/>
          <w:lang w:val="en-ZA"/>
        </w:rPr>
        <w:t>National Strategic Plan on Gender-Based Violence and Femicide (NSP on GBVF)</w:t>
      </w:r>
      <w:r w:rsidRPr="00335764">
        <w:rPr>
          <w:rFonts w:cs="Arial"/>
          <w:bCs/>
          <w:sz w:val="20"/>
          <w:szCs w:val="20"/>
          <w:lang w:val="en-ZA"/>
        </w:rPr>
        <w:t xml:space="preserve">. Pillar 3 of the NSP-GBVF provides for </w:t>
      </w:r>
      <w:r w:rsidR="00C55EEF" w:rsidRPr="00335764">
        <w:rPr>
          <w:rFonts w:cs="Arial"/>
          <w:bCs/>
          <w:sz w:val="20"/>
          <w:szCs w:val="20"/>
          <w:lang w:val="en-ZA"/>
        </w:rPr>
        <w:t>Justice, S</w:t>
      </w:r>
      <w:r w:rsidRPr="00335764">
        <w:rPr>
          <w:rFonts w:cs="Arial"/>
          <w:bCs/>
          <w:sz w:val="20"/>
          <w:szCs w:val="20"/>
          <w:lang w:val="en-ZA"/>
        </w:rPr>
        <w:t xml:space="preserve">afety and </w:t>
      </w:r>
      <w:r w:rsidR="00C55EEF" w:rsidRPr="00335764">
        <w:rPr>
          <w:rFonts w:cs="Arial"/>
          <w:bCs/>
          <w:sz w:val="20"/>
          <w:szCs w:val="20"/>
          <w:lang w:val="en-ZA"/>
        </w:rPr>
        <w:t>P</w:t>
      </w:r>
      <w:r w:rsidRPr="00335764">
        <w:rPr>
          <w:rFonts w:cs="Arial"/>
          <w:bCs/>
          <w:sz w:val="20"/>
          <w:szCs w:val="20"/>
          <w:lang w:val="en-ZA"/>
        </w:rPr>
        <w:t>rotection</w:t>
      </w:r>
      <w:r w:rsidR="00C55EEF" w:rsidRPr="00335764">
        <w:rPr>
          <w:rFonts w:cs="Arial"/>
          <w:bCs/>
          <w:sz w:val="20"/>
          <w:szCs w:val="20"/>
          <w:lang w:val="en-ZA"/>
        </w:rPr>
        <w:t xml:space="preserve"> and seeks to ad</w:t>
      </w:r>
      <w:r w:rsidRPr="00335764">
        <w:rPr>
          <w:rFonts w:cs="Arial"/>
          <w:bCs/>
          <w:sz w:val="20"/>
          <w:szCs w:val="20"/>
          <w:lang w:val="en-ZA"/>
        </w:rPr>
        <w:t xml:space="preserve">dress the systemic challenges that have resulted in an inadequate response to the management of GBVF cases, particularly domestic violence, sexual offences, child homicide, human trafficking, and other related matters. </w:t>
      </w:r>
      <w:r w:rsidR="00C55EEF" w:rsidRPr="00335764">
        <w:rPr>
          <w:rFonts w:cs="Arial"/>
          <w:bCs/>
          <w:sz w:val="20"/>
          <w:szCs w:val="20"/>
          <w:lang w:val="en-ZA"/>
        </w:rPr>
        <w:t>Departments are required to integrate related NSP-GBVF o</w:t>
      </w:r>
      <w:r w:rsidRPr="00335764">
        <w:rPr>
          <w:rFonts w:cs="Arial"/>
          <w:bCs/>
          <w:sz w:val="20"/>
          <w:szCs w:val="20"/>
          <w:lang w:val="en-ZA"/>
        </w:rPr>
        <w:t xml:space="preserve">utcomes </w:t>
      </w:r>
      <w:r w:rsidR="00C55EEF" w:rsidRPr="00335764">
        <w:rPr>
          <w:rFonts w:cs="Arial"/>
          <w:bCs/>
          <w:sz w:val="20"/>
          <w:szCs w:val="20"/>
          <w:lang w:val="en-ZA"/>
        </w:rPr>
        <w:t xml:space="preserve">in their </w:t>
      </w:r>
      <w:r w:rsidRPr="00335764">
        <w:rPr>
          <w:rFonts w:cs="Arial"/>
          <w:bCs/>
          <w:sz w:val="20"/>
          <w:szCs w:val="20"/>
          <w:lang w:val="en-ZA"/>
        </w:rPr>
        <w:t xml:space="preserve">five-year strategic plans and </w:t>
      </w:r>
      <w:r w:rsidR="00C55EEF" w:rsidRPr="00335764">
        <w:rPr>
          <w:rFonts w:cs="Arial"/>
          <w:bCs/>
          <w:sz w:val="20"/>
          <w:szCs w:val="20"/>
          <w:lang w:val="en-ZA"/>
        </w:rPr>
        <w:t>annual performance p</w:t>
      </w:r>
      <w:r w:rsidRPr="00335764">
        <w:rPr>
          <w:rFonts w:cs="Arial"/>
          <w:bCs/>
          <w:sz w:val="20"/>
          <w:szCs w:val="20"/>
          <w:lang w:val="en-ZA"/>
        </w:rPr>
        <w:t>lans</w:t>
      </w:r>
      <w:r w:rsidR="00C55EEF" w:rsidRPr="00335764">
        <w:rPr>
          <w:rFonts w:cs="Arial"/>
          <w:bCs/>
          <w:sz w:val="20"/>
          <w:szCs w:val="20"/>
          <w:lang w:val="en-ZA"/>
        </w:rPr>
        <w:t>, that is</w:t>
      </w:r>
      <w:r w:rsidRPr="00335764">
        <w:rPr>
          <w:rFonts w:cs="Arial"/>
          <w:bCs/>
          <w:sz w:val="20"/>
          <w:szCs w:val="20"/>
          <w:lang w:val="en-ZA"/>
        </w:rPr>
        <w:t>:</w:t>
      </w:r>
    </w:p>
    <w:p w:rsidR="00EE16C4" w:rsidRPr="00335764" w:rsidRDefault="00EE16C4" w:rsidP="00335764">
      <w:pPr>
        <w:pStyle w:val="ListParagraph"/>
        <w:numPr>
          <w:ilvl w:val="0"/>
          <w:numId w:val="4"/>
        </w:numPr>
        <w:spacing w:line="240" w:lineRule="auto"/>
        <w:ind w:hanging="589"/>
        <w:jc w:val="left"/>
        <w:rPr>
          <w:rFonts w:cs="Arial"/>
          <w:bCs/>
          <w:sz w:val="20"/>
          <w:szCs w:val="20"/>
          <w:lang w:val="en-ZA"/>
        </w:rPr>
      </w:pPr>
      <w:r w:rsidRPr="00335764">
        <w:rPr>
          <w:rFonts w:cs="Arial"/>
          <w:bCs/>
          <w:sz w:val="20"/>
          <w:szCs w:val="20"/>
          <w:lang w:val="en-ZA"/>
        </w:rPr>
        <w:t xml:space="preserve">Infrastructural alterations to court buildings to ensure that they are victim-friendly, disability friendly and child friendly. </w:t>
      </w:r>
    </w:p>
    <w:p w:rsidR="00EE16C4" w:rsidRPr="00335764" w:rsidRDefault="00C55EEF" w:rsidP="00335764">
      <w:pPr>
        <w:pStyle w:val="ListParagraph"/>
        <w:numPr>
          <w:ilvl w:val="0"/>
          <w:numId w:val="4"/>
        </w:numPr>
        <w:spacing w:line="240" w:lineRule="auto"/>
        <w:ind w:hanging="589"/>
        <w:jc w:val="left"/>
        <w:rPr>
          <w:rFonts w:cs="Arial"/>
          <w:bCs/>
          <w:sz w:val="20"/>
          <w:szCs w:val="20"/>
          <w:lang w:val="en-ZA"/>
        </w:rPr>
      </w:pPr>
      <w:r w:rsidRPr="00335764">
        <w:rPr>
          <w:rFonts w:cs="Arial"/>
          <w:bCs/>
          <w:sz w:val="20"/>
          <w:szCs w:val="20"/>
          <w:lang w:val="en-ZA"/>
        </w:rPr>
        <w:t>Court-</w:t>
      </w:r>
      <w:r w:rsidR="00EE16C4" w:rsidRPr="00335764">
        <w:rPr>
          <w:rFonts w:cs="Arial"/>
          <w:bCs/>
          <w:sz w:val="20"/>
          <w:szCs w:val="20"/>
          <w:lang w:val="en-ZA"/>
        </w:rPr>
        <w:t xml:space="preserve">based victim support services and witness protection are </w:t>
      </w:r>
      <w:r w:rsidRPr="00335764">
        <w:rPr>
          <w:rFonts w:cs="Arial"/>
          <w:bCs/>
          <w:sz w:val="20"/>
          <w:szCs w:val="20"/>
          <w:lang w:val="en-ZA"/>
        </w:rPr>
        <w:t xml:space="preserve">made </w:t>
      </w:r>
      <w:r w:rsidR="00EE16C4" w:rsidRPr="00335764">
        <w:rPr>
          <w:rFonts w:cs="Arial"/>
          <w:bCs/>
          <w:sz w:val="20"/>
          <w:szCs w:val="20"/>
          <w:lang w:val="en-ZA"/>
        </w:rPr>
        <w:t>available, particularly in rural areas.</w:t>
      </w:r>
    </w:p>
    <w:p w:rsidR="00EE16C4" w:rsidRPr="00335764" w:rsidRDefault="00EE16C4" w:rsidP="00335764">
      <w:pPr>
        <w:pStyle w:val="ListParagraph"/>
        <w:numPr>
          <w:ilvl w:val="0"/>
          <w:numId w:val="4"/>
        </w:numPr>
        <w:spacing w:line="240" w:lineRule="auto"/>
        <w:ind w:hanging="589"/>
        <w:jc w:val="left"/>
        <w:rPr>
          <w:rFonts w:cs="Arial"/>
          <w:bCs/>
          <w:sz w:val="20"/>
          <w:szCs w:val="20"/>
          <w:lang w:val="en-ZA"/>
        </w:rPr>
      </w:pPr>
      <w:r w:rsidRPr="00335764">
        <w:rPr>
          <w:rFonts w:cs="Arial"/>
          <w:bCs/>
          <w:sz w:val="20"/>
          <w:szCs w:val="20"/>
          <w:lang w:val="en-ZA"/>
        </w:rPr>
        <w:lastRenderedPageBreak/>
        <w:t>Quality legal aid support is readily accessible for women and LGBTQIA+ persons who cannot afford litigation.</w:t>
      </w:r>
    </w:p>
    <w:p w:rsidR="00EE16C4" w:rsidRPr="00335764" w:rsidRDefault="00EE16C4" w:rsidP="00335764">
      <w:pPr>
        <w:pStyle w:val="ListParagraph"/>
        <w:numPr>
          <w:ilvl w:val="0"/>
          <w:numId w:val="4"/>
        </w:numPr>
        <w:spacing w:line="240" w:lineRule="auto"/>
        <w:ind w:hanging="589"/>
        <w:jc w:val="left"/>
        <w:rPr>
          <w:rFonts w:cs="Arial"/>
          <w:bCs/>
          <w:sz w:val="20"/>
          <w:szCs w:val="20"/>
          <w:lang w:val="en-ZA"/>
        </w:rPr>
      </w:pPr>
      <w:r w:rsidRPr="00335764">
        <w:rPr>
          <w:rFonts w:cs="Arial"/>
          <w:bCs/>
          <w:sz w:val="20"/>
          <w:szCs w:val="20"/>
          <w:lang w:val="en-ZA"/>
        </w:rPr>
        <w:t xml:space="preserve">Information on GBV laws and policies and how these can assist is made </w:t>
      </w:r>
      <w:r w:rsidR="00C55EEF" w:rsidRPr="00335764">
        <w:rPr>
          <w:rFonts w:cs="Arial"/>
          <w:bCs/>
          <w:sz w:val="20"/>
          <w:szCs w:val="20"/>
          <w:lang w:val="en-ZA"/>
        </w:rPr>
        <w:t xml:space="preserve">widely </w:t>
      </w:r>
      <w:r w:rsidRPr="00335764">
        <w:rPr>
          <w:rFonts w:cs="Arial"/>
          <w:bCs/>
          <w:sz w:val="20"/>
          <w:szCs w:val="20"/>
          <w:lang w:val="en-ZA"/>
        </w:rPr>
        <w:t>available.</w:t>
      </w:r>
    </w:p>
    <w:p w:rsidR="00EE16C4" w:rsidRPr="00335764" w:rsidRDefault="00EE16C4" w:rsidP="00335764">
      <w:pPr>
        <w:pStyle w:val="ListParagraph"/>
        <w:numPr>
          <w:ilvl w:val="0"/>
          <w:numId w:val="4"/>
        </w:numPr>
        <w:spacing w:line="240" w:lineRule="auto"/>
        <w:ind w:hanging="589"/>
        <w:jc w:val="left"/>
        <w:rPr>
          <w:rFonts w:cs="Arial"/>
          <w:bCs/>
          <w:sz w:val="20"/>
          <w:szCs w:val="20"/>
          <w:lang w:val="en-ZA"/>
        </w:rPr>
      </w:pPr>
      <w:r w:rsidRPr="00335764">
        <w:rPr>
          <w:rFonts w:cs="Arial"/>
          <w:bCs/>
          <w:sz w:val="20"/>
          <w:szCs w:val="20"/>
          <w:lang w:val="en-ZA"/>
        </w:rPr>
        <w:t>E-services are available to survivors to ensure quick access to justice.</w:t>
      </w:r>
    </w:p>
    <w:p w:rsidR="00EE16C4" w:rsidRPr="00335764" w:rsidRDefault="00EE16C4" w:rsidP="00335764">
      <w:pPr>
        <w:pStyle w:val="ListParagraph"/>
        <w:numPr>
          <w:ilvl w:val="0"/>
          <w:numId w:val="4"/>
        </w:numPr>
        <w:spacing w:line="240" w:lineRule="auto"/>
        <w:ind w:hanging="589"/>
        <w:jc w:val="left"/>
        <w:rPr>
          <w:rFonts w:cs="Arial"/>
          <w:bCs/>
          <w:sz w:val="20"/>
          <w:szCs w:val="20"/>
          <w:lang w:val="en-ZA"/>
        </w:rPr>
      </w:pPr>
      <w:r w:rsidRPr="00335764">
        <w:rPr>
          <w:rFonts w:cs="Arial"/>
          <w:bCs/>
          <w:sz w:val="20"/>
          <w:szCs w:val="20"/>
          <w:lang w:val="en-ZA"/>
        </w:rPr>
        <w:t xml:space="preserve">Information on cases is readily available for victims to access and track. </w:t>
      </w:r>
    </w:p>
    <w:p w:rsidR="00EE16C4" w:rsidRPr="00335764" w:rsidRDefault="00C55EEF" w:rsidP="00335764">
      <w:pPr>
        <w:pStyle w:val="ListParagraph"/>
        <w:numPr>
          <w:ilvl w:val="0"/>
          <w:numId w:val="4"/>
        </w:numPr>
        <w:spacing w:line="240" w:lineRule="auto"/>
        <w:ind w:hanging="589"/>
        <w:jc w:val="left"/>
        <w:rPr>
          <w:rFonts w:cs="Arial"/>
          <w:bCs/>
          <w:sz w:val="20"/>
          <w:szCs w:val="20"/>
          <w:lang w:val="en-ZA"/>
        </w:rPr>
      </w:pPr>
      <w:r w:rsidRPr="00335764">
        <w:rPr>
          <w:rFonts w:cs="Arial"/>
          <w:bCs/>
          <w:sz w:val="20"/>
          <w:szCs w:val="20"/>
          <w:lang w:val="en-ZA"/>
        </w:rPr>
        <w:t>The b</w:t>
      </w:r>
      <w:r w:rsidR="00EE16C4" w:rsidRPr="00335764">
        <w:rPr>
          <w:rFonts w:cs="Arial"/>
          <w:bCs/>
          <w:sz w:val="20"/>
          <w:szCs w:val="20"/>
          <w:lang w:val="en-ZA"/>
        </w:rPr>
        <w:t>acklog of GBVF cases is cleared.</w:t>
      </w:r>
    </w:p>
    <w:p w:rsidR="00EE16C4" w:rsidRPr="00335764" w:rsidRDefault="00C55EEF" w:rsidP="00335764">
      <w:pPr>
        <w:pStyle w:val="ListParagraph"/>
        <w:numPr>
          <w:ilvl w:val="0"/>
          <w:numId w:val="4"/>
        </w:numPr>
        <w:spacing w:line="240" w:lineRule="auto"/>
        <w:ind w:hanging="589"/>
        <w:jc w:val="left"/>
        <w:rPr>
          <w:rFonts w:cs="Arial"/>
          <w:bCs/>
          <w:sz w:val="20"/>
          <w:szCs w:val="20"/>
          <w:lang w:val="en-ZA"/>
        </w:rPr>
      </w:pPr>
      <w:r w:rsidRPr="00335764">
        <w:rPr>
          <w:rFonts w:cs="Arial"/>
          <w:bCs/>
          <w:sz w:val="20"/>
          <w:szCs w:val="20"/>
          <w:lang w:val="en-ZA"/>
        </w:rPr>
        <w:t>The e</w:t>
      </w:r>
      <w:r w:rsidR="00EE16C4" w:rsidRPr="00335764">
        <w:rPr>
          <w:rFonts w:cs="Arial"/>
          <w:bCs/>
          <w:sz w:val="20"/>
          <w:szCs w:val="20"/>
          <w:lang w:val="en-ZA"/>
        </w:rPr>
        <w:t>ffective implementation of GBV legislation with adequate resourcing and budget.</w:t>
      </w:r>
    </w:p>
    <w:p w:rsidR="00EE16C4" w:rsidRPr="00335764" w:rsidRDefault="00C55EEF" w:rsidP="00335764">
      <w:pPr>
        <w:pStyle w:val="ListParagraph"/>
        <w:numPr>
          <w:ilvl w:val="0"/>
          <w:numId w:val="4"/>
        </w:numPr>
        <w:spacing w:line="240" w:lineRule="auto"/>
        <w:ind w:hanging="589"/>
        <w:jc w:val="left"/>
        <w:rPr>
          <w:rFonts w:cs="Arial"/>
          <w:bCs/>
          <w:sz w:val="20"/>
          <w:szCs w:val="20"/>
          <w:lang w:val="en-ZA"/>
        </w:rPr>
      </w:pPr>
      <w:r w:rsidRPr="00335764">
        <w:rPr>
          <w:rFonts w:cs="Arial"/>
          <w:bCs/>
          <w:sz w:val="20"/>
          <w:szCs w:val="20"/>
          <w:lang w:val="en-ZA"/>
        </w:rPr>
        <w:t>The o</w:t>
      </w:r>
      <w:r w:rsidR="00EE16C4" w:rsidRPr="00335764">
        <w:rPr>
          <w:rFonts w:cs="Arial"/>
          <w:bCs/>
          <w:sz w:val="20"/>
          <w:szCs w:val="20"/>
          <w:lang w:val="en-ZA"/>
        </w:rPr>
        <w:t>ngoing vetting of officials providing services to children and mentally disabled persons.</w:t>
      </w:r>
    </w:p>
    <w:p w:rsidR="00EE16C4" w:rsidRPr="00335764" w:rsidRDefault="00EE16C4" w:rsidP="00335764">
      <w:pPr>
        <w:autoSpaceDE w:val="0"/>
        <w:autoSpaceDN w:val="0"/>
        <w:adjustRightInd w:val="0"/>
        <w:spacing w:line="240" w:lineRule="auto"/>
        <w:ind w:left="851"/>
        <w:jc w:val="left"/>
        <w:rPr>
          <w:rFonts w:cs="Arial"/>
          <w:sz w:val="20"/>
          <w:szCs w:val="20"/>
        </w:rPr>
      </w:pPr>
    </w:p>
    <w:p w:rsidR="00413A02" w:rsidRPr="00335764" w:rsidRDefault="00413A02"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Stat</w:t>
      </w:r>
      <w:r w:rsidR="004D79D0" w:rsidRPr="00335764">
        <w:rPr>
          <w:rFonts w:cs="Arial"/>
          <w:sz w:val="20"/>
          <w:szCs w:val="20"/>
        </w:rPr>
        <w:t>e of the Nation Address (2023</w:t>
      </w:r>
      <w:r w:rsidRPr="00335764">
        <w:rPr>
          <w:rFonts w:cs="Arial"/>
          <w:sz w:val="20"/>
          <w:szCs w:val="20"/>
        </w:rPr>
        <w:t>) priorities:</w:t>
      </w:r>
    </w:p>
    <w:p w:rsidR="004D79D0" w:rsidRPr="00335764" w:rsidRDefault="004D79D0" w:rsidP="00335764">
      <w:pPr>
        <w:pStyle w:val="ListParagraph"/>
        <w:numPr>
          <w:ilvl w:val="0"/>
          <w:numId w:val="4"/>
        </w:numPr>
        <w:spacing w:line="240" w:lineRule="auto"/>
        <w:jc w:val="left"/>
        <w:rPr>
          <w:rFonts w:cs="Arial"/>
          <w:bCs/>
          <w:sz w:val="20"/>
          <w:szCs w:val="20"/>
          <w:lang w:val="en-ZA"/>
        </w:rPr>
      </w:pPr>
      <w:r w:rsidRPr="00335764">
        <w:rPr>
          <w:rFonts w:cs="Arial"/>
          <w:bCs/>
          <w:sz w:val="20"/>
          <w:szCs w:val="20"/>
          <w:lang w:val="en-ZA"/>
        </w:rPr>
        <w:t xml:space="preserve">Improving the capacity </w:t>
      </w:r>
      <w:r w:rsidR="00E8566A" w:rsidRPr="00335764">
        <w:rPr>
          <w:rFonts w:cs="Arial"/>
          <w:bCs/>
          <w:sz w:val="20"/>
          <w:szCs w:val="20"/>
          <w:lang w:val="en-ZA"/>
        </w:rPr>
        <w:t xml:space="preserve">of the NPA </w:t>
      </w:r>
      <w:r w:rsidRPr="00335764">
        <w:rPr>
          <w:rFonts w:cs="Arial"/>
          <w:bCs/>
          <w:sz w:val="20"/>
          <w:szCs w:val="20"/>
          <w:lang w:val="en-ZA"/>
        </w:rPr>
        <w:t xml:space="preserve">and courts to ensure perpetrators of crime and corruption are brought to justice. </w:t>
      </w:r>
    </w:p>
    <w:p w:rsidR="004D79D0" w:rsidRPr="00335764" w:rsidRDefault="004D79D0" w:rsidP="00335764">
      <w:pPr>
        <w:pStyle w:val="ListParagraph"/>
        <w:numPr>
          <w:ilvl w:val="0"/>
          <w:numId w:val="4"/>
        </w:numPr>
        <w:spacing w:line="240" w:lineRule="auto"/>
        <w:jc w:val="left"/>
        <w:rPr>
          <w:rFonts w:cs="Arial"/>
          <w:bCs/>
          <w:sz w:val="20"/>
          <w:szCs w:val="20"/>
          <w:lang w:val="en-ZA"/>
        </w:rPr>
      </w:pPr>
      <w:r w:rsidRPr="00335764">
        <w:rPr>
          <w:rFonts w:cs="Arial"/>
          <w:bCs/>
          <w:sz w:val="20"/>
          <w:szCs w:val="20"/>
          <w:lang w:val="en-ZA"/>
        </w:rPr>
        <w:t>Increasing funding for the NPA and the Special Investigating Unit.</w:t>
      </w:r>
    </w:p>
    <w:p w:rsidR="004D79D0" w:rsidRPr="00335764" w:rsidRDefault="004D79D0" w:rsidP="00335764">
      <w:pPr>
        <w:pStyle w:val="ListParagraph"/>
        <w:numPr>
          <w:ilvl w:val="0"/>
          <w:numId w:val="4"/>
        </w:numPr>
        <w:spacing w:line="240" w:lineRule="auto"/>
        <w:jc w:val="left"/>
        <w:rPr>
          <w:rFonts w:cs="Arial"/>
          <w:bCs/>
          <w:sz w:val="20"/>
          <w:szCs w:val="20"/>
          <w:lang w:val="en-ZA"/>
        </w:rPr>
      </w:pPr>
      <w:r w:rsidRPr="00335764">
        <w:rPr>
          <w:rFonts w:cs="Arial"/>
          <w:bCs/>
          <w:sz w:val="20"/>
          <w:szCs w:val="20"/>
          <w:lang w:val="en-ZA"/>
        </w:rPr>
        <w:t>Establishing the Independent Directorate as an independent agency in the NPA in 2023.</w:t>
      </w:r>
    </w:p>
    <w:p w:rsidR="004D79D0" w:rsidRPr="00335764" w:rsidRDefault="004D79D0" w:rsidP="00335764">
      <w:pPr>
        <w:pStyle w:val="ListParagraph"/>
        <w:numPr>
          <w:ilvl w:val="0"/>
          <w:numId w:val="4"/>
        </w:numPr>
        <w:spacing w:line="240" w:lineRule="auto"/>
        <w:jc w:val="left"/>
        <w:rPr>
          <w:rFonts w:cs="Arial"/>
          <w:bCs/>
          <w:sz w:val="20"/>
          <w:szCs w:val="20"/>
          <w:lang w:val="en-ZA"/>
        </w:rPr>
      </w:pPr>
      <w:r w:rsidRPr="00335764">
        <w:rPr>
          <w:rFonts w:cs="Arial"/>
          <w:bCs/>
          <w:sz w:val="20"/>
          <w:szCs w:val="20"/>
          <w:lang w:val="en-ZA"/>
        </w:rPr>
        <w:t>Overhauling the institutional architecture for combatting corruption through the National Anti-Corruption Advisory Council</w:t>
      </w:r>
      <w:r w:rsidR="00E8566A" w:rsidRPr="00335764">
        <w:rPr>
          <w:rFonts w:cs="Arial"/>
          <w:bCs/>
          <w:sz w:val="20"/>
          <w:szCs w:val="20"/>
          <w:lang w:val="en-ZA"/>
        </w:rPr>
        <w:t>,</w:t>
      </w:r>
      <w:r w:rsidRPr="00335764">
        <w:rPr>
          <w:rFonts w:cs="Arial"/>
          <w:bCs/>
          <w:sz w:val="20"/>
          <w:szCs w:val="20"/>
          <w:lang w:val="en-ZA"/>
        </w:rPr>
        <w:t xml:space="preserve"> which will also advise on suitable mechanisms to stem corruption.</w:t>
      </w:r>
    </w:p>
    <w:p w:rsidR="004D79D0" w:rsidRPr="00335764" w:rsidRDefault="004D79D0" w:rsidP="00335764">
      <w:pPr>
        <w:pStyle w:val="ListParagraph"/>
        <w:numPr>
          <w:ilvl w:val="0"/>
          <w:numId w:val="4"/>
        </w:numPr>
        <w:spacing w:line="240" w:lineRule="auto"/>
        <w:jc w:val="left"/>
        <w:rPr>
          <w:rFonts w:cs="Arial"/>
          <w:bCs/>
          <w:sz w:val="20"/>
          <w:szCs w:val="20"/>
          <w:lang w:val="en-ZA"/>
        </w:rPr>
      </w:pPr>
      <w:r w:rsidRPr="00335764">
        <w:rPr>
          <w:rFonts w:cs="Arial"/>
          <w:bCs/>
          <w:sz w:val="20"/>
          <w:szCs w:val="20"/>
          <w:lang w:val="en-ZA"/>
        </w:rPr>
        <w:t>Implementing the recommendations of the Judicial Commission of Inquiry into State Capture.</w:t>
      </w:r>
    </w:p>
    <w:p w:rsidR="004D79D0" w:rsidRPr="00335764" w:rsidRDefault="004D79D0" w:rsidP="00335764">
      <w:pPr>
        <w:pStyle w:val="ListParagraph"/>
        <w:numPr>
          <w:ilvl w:val="0"/>
          <w:numId w:val="4"/>
        </w:numPr>
        <w:spacing w:line="240" w:lineRule="auto"/>
        <w:jc w:val="left"/>
        <w:rPr>
          <w:rFonts w:cs="Arial"/>
          <w:bCs/>
          <w:sz w:val="20"/>
          <w:szCs w:val="20"/>
          <w:lang w:val="en-ZA"/>
        </w:rPr>
      </w:pPr>
      <w:r w:rsidRPr="00335764">
        <w:rPr>
          <w:rFonts w:cs="Arial"/>
          <w:bCs/>
          <w:sz w:val="20"/>
          <w:szCs w:val="20"/>
          <w:lang w:val="en-ZA"/>
        </w:rPr>
        <w:t>Acting against companies and individuals alleged to have been involved in state capture.</w:t>
      </w:r>
    </w:p>
    <w:p w:rsidR="004D79D0" w:rsidRPr="00335764" w:rsidRDefault="004D79D0" w:rsidP="00335764">
      <w:pPr>
        <w:pStyle w:val="ListParagraph"/>
        <w:numPr>
          <w:ilvl w:val="0"/>
          <w:numId w:val="4"/>
        </w:numPr>
        <w:spacing w:line="240" w:lineRule="auto"/>
        <w:jc w:val="left"/>
        <w:rPr>
          <w:rFonts w:cs="Arial"/>
          <w:bCs/>
          <w:sz w:val="20"/>
          <w:szCs w:val="20"/>
          <w:lang w:val="en-ZA"/>
        </w:rPr>
      </w:pPr>
      <w:r w:rsidRPr="00335764">
        <w:rPr>
          <w:rFonts w:cs="Arial"/>
          <w:bCs/>
          <w:sz w:val="20"/>
          <w:szCs w:val="20"/>
          <w:lang w:val="en-ZA"/>
        </w:rPr>
        <w:t>Assisting in the fight against economic sabotage and organised crime through effective prosecutions.</w:t>
      </w:r>
    </w:p>
    <w:p w:rsidR="004D79D0" w:rsidRPr="00335764" w:rsidRDefault="004D79D0" w:rsidP="00335764">
      <w:pPr>
        <w:pStyle w:val="ListParagraph"/>
        <w:numPr>
          <w:ilvl w:val="0"/>
          <w:numId w:val="4"/>
        </w:numPr>
        <w:spacing w:line="240" w:lineRule="auto"/>
        <w:jc w:val="left"/>
        <w:rPr>
          <w:rFonts w:cs="Arial"/>
          <w:bCs/>
          <w:sz w:val="20"/>
          <w:szCs w:val="20"/>
          <w:lang w:val="en-ZA"/>
        </w:rPr>
      </w:pPr>
      <w:r w:rsidRPr="00335764">
        <w:rPr>
          <w:rFonts w:cs="Arial"/>
          <w:bCs/>
          <w:sz w:val="20"/>
          <w:szCs w:val="20"/>
          <w:lang w:val="en-ZA"/>
        </w:rPr>
        <w:t>Introducing amendments to the Protected Disclosures Act and Witness Protection Act to strengthen protections for whistle-blowers.</w:t>
      </w:r>
    </w:p>
    <w:p w:rsidR="004D79D0" w:rsidRPr="00335764" w:rsidRDefault="004D79D0" w:rsidP="00335764">
      <w:pPr>
        <w:pStyle w:val="ListParagraph"/>
        <w:numPr>
          <w:ilvl w:val="0"/>
          <w:numId w:val="4"/>
        </w:numPr>
        <w:spacing w:line="240" w:lineRule="auto"/>
        <w:jc w:val="left"/>
        <w:rPr>
          <w:rFonts w:cs="Arial"/>
          <w:bCs/>
          <w:sz w:val="20"/>
          <w:szCs w:val="20"/>
          <w:lang w:val="en-ZA"/>
        </w:rPr>
      </w:pPr>
      <w:r w:rsidRPr="00335764">
        <w:rPr>
          <w:rFonts w:cs="Arial"/>
          <w:bCs/>
          <w:sz w:val="20"/>
          <w:szCs w:val="20"/>
          <w:lang w:val="en-ZA"/>
        </w:rPr>
        <w:t>Capacitating the Witness Protection Unit.</w:t>
      </w:r>
    </w:p>
    <w:p w:rsidR="004D79D0" w:rsidRPr="00335764" w:rsidRDefault="004D79D0" w:rsidP="00335764">
      <w:pPr>
        <w:pStyle w:val="ListParagraph"/>
        <w:numPr>
          <w:ilvl w:val="0"/>
          <w:numId w:val="4"/>
        </w:numPr>
        <w:spacing w:line="240" w:lineRule="auto"/>
        <w:jc w:val="left"/>
        <w:rPr>
          <w:rFonts w:cs="Arial"/>
          <w:bCs/>
          <w:sz w:val="20"/>
          <w:szCs w:val="20"/>
          <w:lang w:val="en-ZA"/>
        </w:rPr>
      </w:pPr>
      <w:r w:rsidRPr="00335764">
        <w:rPr>
          <w:rFonts w:cs="Arial"/>
          <w:bCs/>
          <w:sz w:val="20"/>
          <w:szCs w:val="20"/>
          <w:lang w:val="en-ZA"/>
        </w:rPr>
        <w:t>Improving access to the witness protection programme for public servants that expose corruption and unethical conduct.</w:t>
      </w:r>
    </w:p>
    <w:p w:rsidR="004D79D0" w:rsidRPr="00335764" w:rsidRDefault="004D79D0" w:rsidP="00335764">
      <w:pPr>
        <w:pStyle w:val="ListParagraph"/>
        <w:numPr>
          <w:ilvl w:val="0"/>
          <w:numId w:val="4"/>
        </w:numPr>
        <w:spacing w:line="240" w:lineRule="auto"/>
        <w:jc w:val="left"/>
        <w:rPr>
          <w:rFonts w:cs="Arial"/>
          <w:sz w:val="20"/>
          <w:szCs w:val="20"/>
        </w:rPr>
      </w:pPr>
      <w:r w:rsidRPr="00335764">
        <w:rPr>
          <w:rFonts w:cs="Arial"/>
          <w:bCs/>
          <w:sz w:val="20"/>
          <w:szCs w:val="20"/>
          <w:lang w:val="en-ZA"/>
        </w:rPr>
        <w:t>Continuing to improve the accessibility and functioning of Sexual Offences Courts and expand the network of Thuthuzela Care Centres.</w:t>
      </w:r>
    </w:p>
    <w:p w:rsidR="00413A02" w:rsidRPr="00335764" w:rsidRDefault="00413A02" w:rsidP="00335764">
      <w:pPr>
        <w:autoSpaceDE w:val="0"/>
        <w:autoSpaceDN w:val="0"/>
        <w:adjustRightInd w:val="0"/>
        <w:spacing w:line="240" w:lineRule="auto"/>
        <w:ind w:left="851"/>
        <w:jc w:val="left"/>
        <w:rPr>
          <w:rFonts w:cs="Arial"/>
          <w:sz w:val="20"/>
          <w:szCs w:val="20"/>
        </w:rPr>
      </w:pPr>
    </w:p>
    <w:p w:rsidR="00CC0FDB" w:rsidRPr="00335764" w:rsidRDefault="00CC0FDB"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On</w:t>
      </w:r>
      <w:r w:rsidR="009A12B4" w:rsidRPr="00335764">
        <w:rPr>
          <w:rFonts w:cs="Arial"/>
          <w:sz w:val="20"/>
          <w:szCs w:val="20"/>
        </w:rPr>
        <w:t xml:space="preserve"> </w:t>
      </w:r>
      <w:r w:rsidR="00E8566A" w:rsidRPr="00335764">
        <w:rPr>
          <w:rFonts w:cs="Arial"/>
          <w:sz w:val="20"/>
          <w:szCs w:val="20"/>
        </w:rPr>
        <w:t>3 May 2023</w:t>
      </w:r>
      <w:r w:rsidRPr="00335764">
        <w:rPr>
          <w:rFonts w:cs="Arial"/>
          <w:sz w:val="20"/>
          <w:szCs w:val="20"/>
        </w:rPr>
        <w:t>, the Minister of Justice and Correct</w:t>
      </w:r>
      <w:r w:rsidR="00E8566A" w:rsidRPr="00335764">
        <w:rPr>
          <w:rFonts w:cs="Arial"/>
          <w:sz w:val="20"/>
          <w:szCs w:val="20"/>
        </w:rPr>
        <w:t xml:space="preserve">ional Services presented an </w:t>
      </w:r>
      <w:r w:rsidRPr="00335764">
        <w:rPr>
          <w:rFonts w:cs="Arial"/>
          <w:sz w:val="20"/>
          <w:szCs w:val="20"/>
        </w:rPr>
        <w:t xml:space="preserve">overview </w:t>
      </w:r>
      <w:r w:rsidR="00E8566A" w:rsidRPr="00335764">
        <w:rPr>
          <w:rFonts w:cs="Arial"/>
          <w:sz w:val="20"/>
          <w:szCs w:val="20"/>
        </w:rPr>
        <w:t>of political priorities for 2023/24</w:t>
      </w:r>
      <w:r w:rsidRPr="00335764">
        <w:rPr>
          <w:rFonts w:cs="Arial"/>
          <w:sz w:val="20"/>
          <w:szCs w:val="20"/>
        </w:rPr>
        <w:t xml:space="preserve">. </w:t>
      </w:r>
      <w:r w:rsidR="005C04FF" w:rsidRPr="00335764">
        <w:rPr>
          <w:rFonts w:cs="Arial"/>
          <w:sz w:val="20"/>
          <w:szCs w:val="20"/>
        </w:rPr>
        <w:t>Regarding Justice, t</w:t>
      </w:r>
      <w:r w:rsidRPr="00335764">
        <w:rPr>
          <w:rFonts w:cs="Arial"/>
          <w:sz w:val="20"/>
          <w:szCs w:val="20"/>
        </w:rPr>
        <w:t>he Minister referred, among others, to</w:t>
      </w:r>
      <w:r w:rsidR="001C750A" w:rsidRPr="00335764">
        <w:rPr>
          <w:rFonts w:cs="Arial"/>
          <w:sz w:val="20"/>
          <w:szCs w:val="20"/>
        </w:rPr>
        <w:t xml:space="preserve"> the following </w:t>
      </w:r>
      <w:r w:rsidR="00884901" w:rsidRPr="00335764">
        <w:rPr>
          <w:rFonts w:cs="Arial"/>
          <w:sz w:val="20"/>
          <w:szCs w:val="20"/>
        </w:rPr>
        <w:t>focus areas</w:t>
      </w:r>
      <w:r w:rsidRPr="00335764">
        <w:rPr>
          <w:rFonts w:cs="Arial"/>
          <w:sz w:val="20"/>
          <w:szCs w:val="20"/>
        </w:rPr>
        <w:t>:</w:t>
      </w:r>
    </w:p>
    <w:p w:rsidR="00884901" w:rsidRPr="00335764" w:rsidRDefault="00884901" w:rsidP="00335764">
      <w:pPr>
        <w:pStyle w:val="ListParagraph"/>
        <w:numPr>
          <w:ilvl w:val="0"/>
          <w:numId w:val="4"/>
        </w:numPr>
        <w:spacing w:line="240" w:lineRule="auto"/>
        <w:ind w:hanging="589"/>
        <w:jc w:val="left"/>
        <w:rPr>
          <w:rFonts w:cs="Arial"/>
          <w:sz w:val="20"/>
          <w:szCs w:val="20"/>
          <w:lang w:val="en-ZA"/>
        </w:rPr>
      </w:pPr>
      <w:r w:rsidRPr="00335764">
        <w:rPr>
          <w:rFonts w:cs="Arial"/>
          <w:sz w:val="20"/>
          <w:szCs w:val="20"/>
          <w:lang w:val="en-ZA"/>
        </w:rPr>
        <w:t>Modernized and digitised Justice Services</w:t>
      </w:r>
      <w:r w:rsidR="001B6147" w:rsidRPr="00335764">
        <w:rPr>
          <w:rFonts w:cs="Arial"/>
          <w:sz w:val="20"/>
          <w:szCs w:val="20"/>
          <w:lang w:val="en-ZA"/>
        </w:rPr>
        <w:t>’</w:t>
      </w:r>
      <w:r w:rsidRPr="00335764">
        <w:rPr>
          <w:rFonts w:cs="Arial"/>
          <w:sz w:val="20"/>
          <w:szCs w:val="20"/>
          <w:lang w:val="en-ZA"/>
        </w:rPr>
        <w:t xml:space="preserve"> platforms.</w:t>
      </w:r>
    </w:p>
    <w:p w:rsidR="00884901" w:rsidRPr="00335764" w:rsidRDefault="00884901" w:rsidP="00335764">
      <w:pPr>
        <w:pStyle w:val="ListParagraph"/>
        <w:numPr>
          <w:ilvl w:val="0"/>
          <w:numId w:val="4"/>
        </w:numPr>
        <w:spacing w:line="240" w:lineRule="auto"/>
        <w:ind w:hanging="589"/>
        <w:jc w:val="left"/>
        <w:rPr>
          <w:rFonts w:cs="Arial"/>
          <w:sz w:val="20"/>
          <w:szCs w:val="20"/>
          <w:lang w:val="en-ZA"/>
        </w:rPr>
      </w:pPr>
      <w:r w:rsidRPr="00335764">
        <w:rPr>
          <w:rFonts w:cs="Arial"/>
          <w:sz w:val="20"/>
          <w:szCs w:val="20"/>
          <w:lang w:val="en-ZA"/>
        </w:rPr>
        <w:t>Increased access to justice services.</w:t>
      </w:r>
    </w:p>
    <w:p w:rsidR="00884901" w:rsidRPr="00335764" w:rsidRDefault="00884901" w:rsidP="00335764">
      <w:pPr>
        <w:pStyle w:val="ListParagraph"/>
        <w:numPr>
          <w:ilvl w:val="0"/>
          <w:numId w:val="4"/>
        </w:numPr>
        <w:spacing w:line="240" w:lineRule="auto"/>
        <w:ind w:hanging="589"/>
        <w:jc w:val="left"/>
        <w:rPr>
          <w:rFonts w:cs="Arial"/>
          <w:sz w:val="20"/>
          <w:szCs w:val="20"/>
          <w:lang w:val="en-ZA"/>
        </w:rPr>
      </w:pPr>
      <w:r w:rsidRPr="00335764">
        <w:rPr>
          <w:rFonts w:cs="Arial"/>
          <w:sz w:val="20"/>
          <w:szCs w:val="20"/>
          <w:lang w:val="en-ZA"/>
        </w:rPr>
        <w:t>Transformed State Legal Services.</w:t>
      </w:r>
    </w:p>
    <w:p w:rsidR="00884901" w:rsidRPr="00335764" w:rsidRDefault="00884901" w:rsidP="00335764">
      <w:pPr>
        <w:pStyle w:val="ListParagraph"/>
        <w:numPr>
          <w:ilvl w:val="0"/>
          <w:numId w:val="4"/>
        </w:numPr>
        <w:spacing w:line="240" w:lineRule="auto"/>
        <w:ind w:hanging="589"/>
        <w:jc w:val="left"/>
        <w:rPr>
          <w:rFonts w:cs="Arial"/>
          <w:sz w:val="20"/>
          <w:szCs w:val="20"/>
          <w:lang w:val="en-ZA"/>
        </w:rPr>
      </w:pPr>
      <w:r w:rsidRPr="00335764">
        <w:rPr>
          <w:rFonts w:cs="Arial"/>
          <w:sz w:val="20"/>
          <w:szCs w:val="20"/>
          <w:lang w:val="en-ZA"/>
        </w:rPr>
        <w:t>Transformed legal profession.</w:t>
      </w:r>
    </w:p>
    <w:p w:rsidR="00884901" w:rsidRPr="00335764" w:rsidRDefault="00884901" w:rsidP="00335764">
      <w:pPr>
        <w:pStyle w:val="ListParagraph"/>
        <w:numPr>
          <w:ilvl w:val="0"/>
          <w:numId w:val="4"/>
        </w:numPr>
        <w:spacing w:line="240" w:lineRule="auto"/>
        <w:ind w:hanging="589"/>
        <w:jc w:val="left"/>
        <w:rPr>
          <w:rFonts w:cs="Arial"/>
          <w:sz w:val="20"/>
          <w:szCs w:val="20"/>
        </w:rPr>
      </w:pPr>
      <w:r w:rsidRPr="00335764">
        <w:rPr>
          <w:rFonts w:cs="Arial"/>
          <w:sz w:val="20"/>
          <w:szCs w:val="20"/>
        </w:rPr>
        <w:t>Improved and transformed Masters’ Services.</w:t>
      </w:r>
    </w:p>
    <w:p w:rsidR="00884901" w:rsidRPr="00335764" w:rsidRDefault="00884901" w:rsidP="00335764">
      <w:pPr>
        <w:pStyle w:val="ListParagraph"/>
        <w:numPr>
          <w:ilvl w:val="0"/>
          <w:numId w:val="4"/>
        </w:numPr>
        <w:spacing w:line="240" w:lineRule="auto"/>
        <w:ind w:hanging="589"/>
        <w:jc w:val="left"/>
        <w:rPr>
          <w:rFonts w:cs="Arial"/>
          <w:sz w:val="20"/>
          <w:szCs w:val="20"/>
        </w:rPr>
      </w:pPr>
      <w:r w:rsidRPr="00335764">
        <w:rPr>
          <w:rFonts w:cs="Arial"/>
          <w:sz w:val="20"/>
          <w:szCs w:val="20"/>
        </w:rPr>
        <w:t>Advanced constitutionalism, human rights and the rule of law.</w:t>
      </w:r>
    </w:p>
    <w:p w:rsidR="00884901" w:rsidRPr="00335764" w:rsidRDefault="00D53B9D" w:rsidP="00335764">
      <w:pPr>
        <w:pStyle w:val="ListParagraph"/>
        <w:numPr>
          <w:ilvl w:val="0"/>
          <w:numId w:val="4"/>
        </w:numPr>
        <w:spacing w:line="240" w:lineRule="auto"/>
        <w:ind w:hanging="589"/>
        <w:jc w:val="left"/>
        <w:rPr>
          <w:rFonts w:cs="Arial"/>
          <w:sz w:val="20"/>
          <w:szCs w:val="20"/>
        </w:rPr>
      </w:pPr>
      <w:r w:rsidRPr="00335764">
        <w:rPr>
          <w:rFonts w:cs="Arial"/>
          <w:sz w:val="20"/>
          <w:szCs w:val="20"/>
        </w:rPr>
        <w:t xml:space="preserve">Fight against </w:t>
      </w:r>
      <w:r w:rsidR="00884901" w:rsidRPr="00335764">
        <w:rPr>
          <w:rFonts w:cs="Arial"/>
          <w:sz w:val="20"/>
          <w:szCs w:val="20"/>
        </w:rPr>
        <w:t>gender-based violence and femicide.</w:t>
      </w:r>
    </w:p>
    <w:p w:rsidR="00884901" w:rsidRPr="00335764" w:rsidRDefault="00884901" w:rsidP="00335764">
      <w:pPr>
        <w:spacing w:line="240" w:lineRule="auto"/>
        <w:jc w:val="left"/>
        <w:rPr>
          <w:rFonts w:cs="Arial"/>
          <w:sz w:val="20"/>
          <w:szCs w:val="20"/>
          <w:lang w:val="en-ZA"/>
        </w:rPr>
      </w:pPr>
    </w:p>
    <w:p w:rsidR="00884901" w:rsidRPr="00335764" w:rsidRDefault="00884901" w:rsidP="00335764">
      <w:pPr>
        <w:numPr>
          <w:ilvl w:val="1"/>
          <w:numId w:val="1"/>
        </w:numPr>
        <w:autoSpaceDE w:val="0"/>
        <w:autoSpaceDN w:val="0"/>
        <w:adjustRightInd w:val="0"/>
        <w:spacing w:line="240" w:lineRule="auto"/>
        <w:ind w:left="851" w:hanging="851"/>
        <w:jc w:val="left"/>
        <w:rPr>
          <w:rFonts w:cs="Arial"/>
          <w:sz w:val="20"/>
          <w:szCs w:val="20"/>
          <w:lang w:val="en-ZA"/>
        </w:rPr>
      </w:pPr>
      <w:r w:rsidRPr="00335764">
        <w:rPr>
          <w:rFonts w:cs="Arial"/>
          <w:sz w:val="20"/>
          <w:szCs w:val="20"/>
          <w:lang w:val="en-ZA"/>
        </w:rPr>
        <w:t>The Minister also addressed the progress of the Policy on Court Administration and Judicial Governance, which is now ready for stakeholder engagement.</w:t>
      </w:r>
    </w:p>
    <w:p w:rsidR="00884901" w:rsidRPr="00335764" w:rsidRDefault="00884901" w:rsidP="00335764">
      <w:pPr>
        <w:autoSpaceDE w:val="0"/>
        <w:autoSpaceDN w:val="0"/>
        <w:adjustRightInd w:val="0"/>
        <w:spacing w:line="240" w:lineRule="auto"/>
        <w:ind w:left="851"/>
        <w:jc w:val="left"/>
        <w:rPr>
          <w:rFonts w:cs="Arial"/>
          <w:sz w:val="20"/>
          <w:szCs w:val="20"/>
          <w:highlight w:val="yellow"/>
          <w:lang w:val="en-ZA"/>
        </w:rPr>
      </w:pPr>
    </w:p>
    <w:p w:rsidR="00D53B9D" w:rsidRPr="00335764" w:rsidRDefault="00D53B9D" w:rsidP="00335764">
      <w:pPr>
        <w:autoSpaceDE w:val="0"/>
        <w:autoSpaceDN w:val="0"/>
        <w:adjustRightInd w:val="0"/>
        <w:spacing w:line="240" w:lineRule="auto"/>
        <w:ind w:left="851"/>
        <w:jc w:val="left"/>
        <w:rPr>
          <w:rFonts w:cs="Arial"/>
          <w:sz w:val="20"/>
          <w:szCs w:val="20"/>
          <w:highlight w:val="yellow"/>
          <w:lang w:val="en-ZA"/>
        </w:rPr>
      </w:pPr>
    </w:p>
    <w:p w:rsidR="00CC0FDB" w:rsidRPr="00335764" w:rsidRDefault="00CC0FDB" w:rsidP="00335764">
      <w:pPr>
        <w:numPr>
          <w:ilvl w:val="0"/>
          <w:numId w:val="1"/>
        </w:numPr>
        <w:tabs>
          <w:tab w:val="clear" w:pos="375"/>
          <w:tab w:val="num" w:pos="851"/>
        </w:tabs>
        <w:autoSpaceDE w:val="0"/>
        <w:autoSpaceDN w:val="0"/>
        <w:adjustRightInd w:val="0"/>
        <w:spacing w:line="240" w:lineRule="auto"/>
        <w:ind w:left="851" w:hanging="851"/>
        <w:jc w:val="left"/>
        <w:rPr>
          <w:rFonts w:cs="Arial"/>
          <w:b/>
          <w:i/>
          <w:sz w:val="20"/>
          <w:szCs w:val="20"/>
        </w:rPr>
      </w:pPr>
      <w:r w:rsidRPr="00335764">
        <w:rPr>
          <w:rFonts w:cs="Arial"/>
          <w:b/>
          <w:sz w:val="20"/>
          <w:szCs w:val="20"/>
          <w:lang w:val="en-US"/>
        </w:rPr>
        <w:t>Fiscal</w:t>
      </w:r>
      <w:r w:rsidRPr="00335764">
        <w:rPr>
          <w:rFonts w:cs="Arial"/>
          <w:b/>
          <w:sz w:val="20"/>
          <w:szCs w:val="20"/>
        </w:rPr>
        <w:t xml:space="preserve"> </w:t>
      </w:r>
      <w:r w:rsidR="008061EB" w:rsidRPr="00335764">
        <w:rPr>
          <w:rFonts w:cs="Arial"/>
          <w:b/>
          <w:sz w:val="20"/>
          <w:szCs w:val="20"/>
        </w:rPr>
        <w:t>policy</w:t>
      </w:r>
      <w:r w:rsidRPr="00335764">
        <w:rPr>
          <w:rFonts w:cs="Arial"/>
          <w:b/>
          <w:sz w:val="20"/>
          <w:szCs w:val="20"/>
        </w:rPr>
        <w:t xml:space="preserve"> </w:t>
      </w:r>
    </w:p>
    <w:p w:rsidR="00CC0FDB" w:rsidRPr="00335764" w:rsidRDefault="00CC0FDB" w:rsidP="00335764">
      <w:pPr>
        <w:autoSpaceDE w:val="0"/>
        <w:autoSpaceDN w:val="0"/>
        <w:adjustRightInd w:val="0"/>
        <w:spacing w:line="240" w:lineRule="auto"/>
        <w:ind w:left="720"/>
        <w:jc w:val="left"/>
        <w:rPr>
          <w:rFonts w:cs="Arial"/>
          <w:b/>
          <w:i/>
          <w:sz w:val="20"/>
          <w:szCs w:val="20"/>
        </w:rPr>
      </w:pPr>
    </w:p>
    <w:p w:rsidR="00CC0FDB" w:rsidRPr="00335764" w:rsidRDefault="00CC0FDB"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Overview</w:t>
      </w:r>
    </w:p>
    <w:p w:rsidR="00CC0FDB" w:rsidRPr="00335764" w:rsidRDefault="00CC0FDB" w:rsidP="00335764">
      <w:pPr>
        <w:autoSpaceDE w:val="0"/>
        <w:autoSpaceDN w:val="0"/>
        <w:adjustRightInd w:val="0"/>
        <w:spacing w:line="240" w:lineRule="auto"/>
        <w:ind w:left="862"/>
        <w:jc w:val="left"/>
        <w:rPr>
          <w:rFonts w:cs="Arial"/>
          <w:sz w:val="20"/>
          <w:szCs w:val="20"/>
        </w:rPr>
      </w:pPr>
    </w:p>
    <w:p w:rsidR="00E8566A" w:rsidRPr="00335764" w:rsidRDefault="00E8566A" w:rsidP="00335764">
      <w:pPr>
        <w:pStyle w:val="ListParagraph"/>
        <w:numPr>
          <w:ilvl w:val="2"/>
          <w:numId w:val="1"/>
        </w:numPr>
        <w:tabs>
          <w:tab w:val="clear" w:pos="862"/>
          <w:tab w:val="num" w:pos="720"/>
        </w:tabs>
        <w:autoSpaceDE w:val="0"/>
        <w:autoSpaceDN w:val="0"/>
        <w:adjustRightInd w:val="0"/>
        <w:spacing w:line="240" w:lineRule="auto"/>
        <w:ind w:left="720"/>
        <w:jc w:val="left"/>
        <w:rPr>
          <w:rFonts w:cs="Arial"/>
          <w:sz w:val="20"/>
          <w:szCs w:val="20"/>
        </w:rPr>
      </w:pPr>
      <w:r w:rsidRPr="00335764">
        <w:rPr>
          <w:rFonts w:cs="Arial"/>
          <w:sz w:val="20"/>
          <w:szCs w:val="20"/>
        </w:rPr>
        <w:t xml:space="preserve">The 2023 Budget adopts the theme ‘Navigating economic recovery’, acknowledging that budgeting takes place in a challenging global and domestic environment. </w:t>
      </w:r>
    </w:p>
    <w:p w:rsidR="00E8566A" w:rsidRPr="00335764" w:rsidRDefault="00E8566A" w:rsidP="00335764">
      <w:pPr>
        <w:pStyle w:val="ListParagraph"/>
        <w:autoSpaceDE w:val="0"/>
        <w:autoSpaceDN w:val="0"/>
        <w:adjustRightInd w:val="0"/>
        <w:spacing w:line="240" w:lineRule="auto"/>
        <w:jc w:val="left"/>
        <w:rPr>
          <w:rFonts w:cs="Arial"/>
          <w:sz w:val="20"/>
          <w:szCs w:val="20"/>
        </w:rPr>
      </w:pPr>
    </w:p>
    <w:p w:rsidR="00E8566A" w:rsidRPr="00335764" w:rsidRDefault="00E8566A" w:rsidP="00335764">
      <w:pPr>
        <w:pStyle w:val="ListParagraph"/>
        <w:numPr>
          <w:ilvl w:val="2"/>
          <w:numId w:val="1"/>
        </w:numPr>
        <w:tabs>
          <w:tab w:val="clear" w:pos="862"/>
          <w:tab w:val="num" w:pos="720"/>
        </w:tabs>
        <w:autoSpaceDE w:val="0"/>
        <w:autoSpaceDN w:val="0"/>
        <w:adjustRightInd w:val="0"/>
        <w:spacing w:line="240" w:lineRule="auto"/>
        <w:ind w:left="720"/>
        <w:jc w:val="left"/>
        <w:rPr>
          <w:rFonts w:cs="Arial"/>
          <w:sz w:val="20"/>
          <w:szCs w:val="20"/>
        </w:rPr>
      </w:pPr>
      <w:r w:rsidRPr="00335764">
        <w:rPr>
          <w:rFonts w:cs="Arial"/>
          <w:sz w:val="20"/>
          <w:szCs w:val="20"/>
        </w:rPr>
        <w:lastRenderedPageBreak/>
        <w:t>Medium</w:t>
      </w:r>
      <w:r w:rsidRPr="00335764">
        <w:rPr>
          <w:rFonts w:ascii="Times New Roman" w:hAnsi="Times New Roman" w:cs="Arial"/>
          <w:sz w:val="20"/>
          <w:szCs w:val="20"/>
        </w:rPr>
        <w:t>‐</w:t>
      </w:r>
      <w:r w:rsidRPr="00335764">
        <w:rPr>
          <w:rFonts w:cs="Arial"/>
          <w:sz w:val="20"/>
          <w:szCs w:val="20"/>
        </w:rPr>
        <w:t xml:space="preserve">term fiscal policy aims to achieve a balance between stimulating the economy, maintaining fiscal </w:t>
      </w:r>
      <w:r w:rsidR="00261D2C" w:rsidRPr="00335764">
        <w:rPr>
          <w:rFonts w:cs="Arial"/>
          <w:sz w:val="20"/>
          <w:szCs w:val="20"/>
        </w:rPr>
        <w:t>sustainability,</w:t>
      </w:r>
      <w:r w:rsidRPr="00335764">
        <w:rPr>
          <w:rFonts w:cs="Arial"/>
          <w:sz w:val="20"/>
          <w:szCs w:val="20"/>
        </w:rPr>
        <w:t xml:space="preserve"> and strengthening welfare for vulnerable citizens through the protection of the social wage. </w:t>
      </w:r>
    </w:p>
    <w:p w:rsidR="00E8566A" w:rsidRPr="00335764" w:rsidRDefault="00E8566A" w:rsidP="00335764">
      <w:pPr>
        <w:pStyle w:val="ListParagraph"/>
        <w:autoSpaceDE w:val="0"/>
        <w:autoSpaceDN w:val="0"/>
        <w:adjustRightInd w:val="0"/>
        <w:spacing w:line="240" w:lineRule="auto"/>
        <w:jc w:val="left"/>
        <w:rPr>
          <w:rFonts w:cs="Arial"/>
          <w:sz w:val="20"/>
          <w:szCs w:val="20"/>
        </w:rPr>
      </w:pPr>
    </w:p>
    <w:p w:rsidR="00E8566A" w:rsidRPr="00335764" w:rsidRDefault="00E8566A" w:rsidP="00335764">
      <w:pPr>
        <w:pStyle w:val="ListParagraph"/>
        <w:numPr>
          <w:ilvl w:val="2"/>
          <w:numId w:val="1"/>
        </w:numPr>
        <w:tabs>
          <w:tab w:val="clear" w:pos="862"/>
          <w:tab w:val="num" w:pos="720"/>
        </w:tabs>
        <w:autoSpaceDE w:val="0"/>
        <w:autoSpaceDN w:val="0"/>
        <w:adjustRightInd w:val="0"/>
        <w:spacing w:line="240" w:lineRule="auto"/>
        <w:ind w:left="720"/>
        <w:jc w:val="left"/>
        <w:rPr>
          <w:rFonts w:cs="Arial"/>
          <w:sz w:val="20"/>
          <w:szCs w:val="20"/>
        </w:rPr>
      </w:pPr>
      <w:r w:rsidRPr="00335764">
        <w:rPr>
          <w:rFonts w:cs="Arial"/>
          <w:sz w:val="20"/>
          <w:szCs w:val="20"/>
        </w:rPr>
        <w:t xml:space="preserve">However, the economy has weakened since the 2022 MTBPS. Although revenue performance was better than estimated in the 2022 Budget, at a domestic level, finances are severely constrained. Additional allocations are funded from ‘drawdowns’ from provisional allocations in the 2022 MTBPS, resources provided by the fiscal framework and technical corrections and budget reprioritisations. </w:t>
      </w:r>
    </w:p>
    <w:p w:rsidR="00E8566A" w:rsidRPr="00335764" w:rsidRDefault="00E8566A" w:rsidP="00335764">
      <w:pPr>
        <w:pStyle w:val="ListParagraph"/>
        <w:autoSpaceDE w:val="0"/>
        <w:autoSpaceDN w:val="0"/>
        <w:adjustRightInd w:val="0"/>
        <w:spacing w:line="240" w:lineRule="auto"/>
        <w:jc w:val="left"/>
        <w:rPr>
          <w:rFonts w:cs="Arial"/>
          <w:sz w:val="20"/>
          <w:szCs w:val="20"/>
        </w:rPr>
      </w:pPr>
    </w:p>
    <w:p w:rsidR="00E8566A" w:rsidRPr="00335764" w:rsidRDefault="00E8566A" w:rsidP="00335764">
      <w:pPr>
        <w:pStyle w:val="ListParagraph"/>
        <w:numPr>
          <w:ilvl w:val="2"/>
          <w:numId w:val="1"/>
        </w:numPr>
        <w:tabs>
          <w:tab w:val="clear" w:pos="862"/>
          <w:tab w:val="num" w:pos="720"/>
        </w:tabs>
        <w:autoSpaceDE w:val="0"/>
        <w:autoSpaceDN w:val="0"/>
        <w:adjustRightInd w:val="0"/>
        <w:spacing w:line="240" w:lineRule="auto"/>
        <w:ind w:left="720"/>
        <w:jc w:val="left"/>
        <w:rPr>
          <w:rFonts w:cs="Arial"/>
          <w:sz w:val="20"/>
          <w:szCs w:val="20"/>
        </w:rPr>
      </w:pPr>
      <w:r w:rsidRPr="00335764">
        <w:rPr>
          <w:rFonts w:cs="Arial"/>
          <w:sz w:val="20"/>
          <w:szCs w:val="20"/>
        </w:rPr>
        <w:t>Spending is targeted towards specific priorities, namely infrastructure and to support the social wage (health, education, housing, social protection, transport, employment and local amenities), rather than baseline allocations. Baseline allocations across departments largely target spending on the social wage and infrastructure projects and to fund initiatives towards strengthening the criminal justice system.</w:t>
      </w:r>
    </w:p>
    <w:p w:rsidR="00E8566A" w:rsidRPr="00335764" w:rsidRDefault="00E8566A" w:rsidP="00335764">
      <w:pPr>
        <w:pStyle w:val="ListParagraph"/>
        <w:autoSpaceDE w:val="0"/>
        <w:autoSpaceDN w:val="0"/>
        <w:adjustRightInd w:val="0"/>
        <w:spacing w:line="240" w:lineRule="auto"/>
        <w:jc w:val="left"/>
        <w:rPr>
          <w:rFonts w:cs="Arial"/>
          <w:sz w:val="20"/>
          <w:szCs w:val="20"/>
        </w:rPr>
      </w:pPr>
    </w:p>
    <w:p w:rsidR="00E8566A" w:rsidRPr="00335764" w:rsidRDefault="00E8566A" w:rsidP="00335764">
      <w:pPr>
        <w:pStyle w:val="ListParagraph"/>
        <w:numPr>
          <w:ilvl w:val="2"/>
          <w:numId w:val="1"/>
        </w:numPr>
        <w:tabs>
          <w:tab w:val="clear" w:pos="862"/>
          <w:tab w:val="num" w:pos="720"/>
        </w:tabs>
        <w:autoSpaceDE w:val="0"/>
        <w:autoSpaceDN w:val="0"/>
        <w:adjustRightInd w:val="0"/>
        <w:spacing w:line="240" w:lineRule="auto"/>
        <w:ind w:left="720"/>
        <w:jc w:val="left"/>
        <w:rPr>
          <w:rFonts w:cs="Arial"/>
          <w:sz w:val="20"/>
          <w:szCs w:val="20"/>
        </w:rPr>
      </w:pPr>
      <w:r w:rsidRPr="00335764">
        <w:rPr>
          <w:rFonts w:cs="Arial"/>
          <w:sz w:val="20"/>
          <w:szCs w:val="20"/>
        </w:rPr>
        <w:t xml:space="preserve">A further priority is to reduce fiscal and economic risks through conditional in-year support to key public entities and to debt relief to Eskom to promote the security of energy </w:t>
      </w:r>
      <w:r w:rsidR="00261D2C" w:rsidRPr="00335764">
        <w:rPr>
          <w:rFonts w:cs="Arial"/>
          <w:sz w:val="20"/>
          <w:szCs w:val="20"/>
        </w:rPr>
        <w:t>supply.</w:t>
      </w:r>
      <w:r w:rsidRPr="00335764">
        <w:rPr>
          <w:rFonts w:cs="Arial"/>
          <w:sz w:val="20"/>
          <w:szCs w:val="20"/>
        </w:rPr>
        <w:t xml:space="preserve"> </w:t>
      </w:r>
    </w:p>
    <w:p w:rsidR="00E8566A" w:rsidRPr="00335764" w:rsidRDefault="00E8566A" w:rsidP="00335764">
      <w:pPr>
        <w:autoSpaceDE w:val="0"/>
        <w:autoSpaceDN w:val="0"/>
        <w:adjustRightInd w:val="0"/>
        <w:spacing w:line="240" w:lineRule="auto"/>
        <w:ind w:left="720"/>
        <w:jc w:val="left"/>
        <w:rPr>
          <w:rFonts w:cs="Arial"/>
          <w:sz w:val="20"/>
          <w:szCs w:val="20"/>
        </w:rPr>
      </w:pPr>
    </w:p>
    <w:p w:rsidR="00E8566A" w:rsidRPr="00335764" w:rsidRDefault="00E8566A" w:rsidP="00335764">
      <w:pPr>
        <w:pStyle w:val="ListParagraph"/>
        <w:numPr>
          <w:ilvl w:val="2"/>
          <w:numId w:val="1"/>
        </w:numPr>
        <w:tabs>
          <w:tab w:val="clear" w:pos="862"/>
          <w:tab w:val="num" w:pos="720"/>
        </w:tabs>
        <w:autoSpaceDE w:val="0"/>
        <w:autoSpaceDN w:val="0"/>
        <w:adjustRightInd w:val="0"/>
        <w:spacing w:line="240" w:lineRule="auto"/>
        <w:ind w:left="720"/>
        <w:jc w:val="left"/>
        <w:rPr>
          <w:rFonts w:cs="Arial"/>
          <w:sz w:val="20"/>
          <w:szCs w:val="20"/>
        </w:rPr>
      </w:pPr>
      <w:r w:rsidRPr="00335764">
        <w:rPr>
          <w:rFonts w:cs="Arial"/>
          <w:sz w:val="20"/>
          <w:szCs w:val="20"/>
        </w:rPr>
        <w:t>The Peace and Secur</w:t>
      </w:r>
      <w:r w:rsidR="00072F93" w:rsidRPr="00335764">
        <w:rPr>
          <w:rFonts w:cs="Arial"/>
          <w:sz w:val="20"/>
          <w:szCs w:val="20"/>
        </w:rPr>
        <w:t xml:space="preserve">ity function, of which Law Courts and Prisons are a </w:t>
      </w:r>
      <w:r w:rsidRPr="00335764">
        <w:rPr>
          <w:rFonts w:cs="Arial"/>
          <w:sz w:val="20"/>
          <w:szCs w:val="20"/>
        </w:rPr>
        <w:t>part, accounts for approximately 12.1% of government’s consolidated expenditure. The function is allocated R22</w:t>
      </w:r>
      <w:r w:rsidR="00875E18" w:rsidRPr="00335764">
        <w:rPr>
          <w:rFonts w:cs="Arial"/>
          <w:sz w:val="20"/>
          <w:szCs w:val="20"/>
        </w:rPr>
        <w:t>7.3 billion in 2023/23 (compared with an adjusted budget of R227.8 billion in 2022/23); R236.3</w:t>
      </w:r>
      <w:r w:rsidRPr="00335764">
        <w:rPr>
          <w:rFonts w:cs="Arial"/>
          <w:sz w:val="20"/>
          <w:szCs w:val="20"/>
        </w:rPr>
        <w:t xml:space="preserve"> billion in 2024/25; and R2</w:t>
      </w:r>
      <w:r w:rsidR="00875E18" w:rsidRPr="00335764">
        <w:rPr>
          <w:rFonts w:cs="Arial"/>
          <w:sz w:val="20"/>
          <w:szCs w:val="20"/>
        </w:rPr>
        <w:t>47.4</w:t>
      </w:r>
      <w:r w:rsidRPr="00335764">
        <w:rPr>
          <w:rFonts w:cs="Arial"/>
          <w:sz w:val="20"/>
          <w:szCs w:val="20"/>
        </w:rPr>
        <w:t xml:space="preserve"> billion in 2025/26. </w:t>
      </w:r>
    </w:p>
    <w:p w:rsidR="002A26C5" w:rsidRPr="00335764" w:rsidRDefault="002A26C5" w:rsidP="00335764">
      <w:pPr>
        <w:autoSpaceDE w:val="0"/>
        <w:autoSpaceDN w:val="0"/>
        <w:adjustRightInd w:val="0"/>
        <w:spacing w:line="240" w:lineRule="auto"/>
        <w:jc w:val="left"/>
        <w:rPr>
          <w:rFonts w:cs="Arial"/>
          <w:sz w:val="20"/>
          <w:szCs w:val="20"/>
        </w:rPr>
      </w:pPr>
    </w:p>
    <w:p w:rsidR="00CC0FDB" w:rsidRPr="00335764" w:rsidRDefault="005C0853" w:rsidP="00335764">
      <w:pPr>
        <w:tabs>
          <w:tab w:val="left" w:pos="851"/>
        </w:tabs>
        <w:autoSpaceDE w:val="0"/>
        <w:autoSpaceDN w:val="0"/>
        <w:adjustRightInd w:val="0"/>
        <w:spacing w:line="240" w:lineRule="auto"/>
        <w:jc w:val="left"/>
        <w:rPr>
          <w:rFonts w:cs="Arial"/>
          <w:b/>
          <w:sz w:val="20"/>
          <w:szCs w:val="20"/>
        </w:rPr>
      </w:pPr>
      <w:r w:rsidRPr="00335764">
        <w:rPr>
          <w:rFonts w:cs="Arial"/>
          <w:b/>
          <w:sz w:val="20"/>
          <w:szCs w:val="20"/>
        </w:rPr>
        <w:t>Peace and Security function budget allocation 202</w:t>
      </w:r>
      <w:r w:rsidR="008524F4" w:rsidRPr="00335764">
        <w:rPr>
          <w:rFonts w:cs="Arial"/>
          <w:b/>
          <w:sz w:val="20"/>
          <w:szCs w:val="20"/>
        </w:rPr>
        <w:t>3</w:t>
      </w:r>
      <w:r w:rsidRPr="00335764">
        <w:rPr>
          <w:rFonts w:cs="Arial"/>
          <w:b/>
          <w:sz w:val="20"/>
          <w:szCs w:val="20"/>
        </w:rPr>
        <w:t xml:space="preserve"> MTEF</w:t>
      </w:r>
    </w:p>
    <w:tbl>
      <w:tblPr>
        <w:tblStyle w:val="TableGrid"/>
        <w:tblW w:w="0" w:type="auto"/>
        <w:tblLook w:val="04A0"/>
      </w:tblPr>
      <w:tblGrid>
        <w:gridCol w:w="3394"/>
        <w:gridCol w:w="981"/>
        <w:gridCol w:w="981"/>
        <w:gridCol w:w="981"/>
        <w:gridCol w:w="981"/>
        <w:gridCol w:w="2310"/>
      </w:tblGrid>
      <w:tr w:rsidR="003B6909" w:rsidRPr="00335764" w:rsidTr="00C55EEF">
        <w:trPr>
          <w:tblHeader/>
        </w:trPr>
        <w:tc>
          <w:tcPr>
            <w:tcW w:w="0" w:type="auto"/>
            <w:shd w:val="clear" w:color="auto" w:fill="D9D9D9" w:themeFill="background1" w:themeFillShade="D9"/>
          </w:tcPr>
          <w:p w:rsidR="003B6909" w:rsidRPr="00335764" w:rsidRDefault="003B6909" w:rsidP="00335764">
            <w:pPr>
              <w:spacing w:line="240" w:lineRule="auto"/>
              <w:jc w:val="left"/>
              <w:rPr>
                <w:rFonts w:cs="Arial"/>
                <w:b/>
                <w:sz w:val="20"/>
                <w:szCs w:val="20"/>
              </w:rPr>
            </w:pPr>
            <w:r w:rsidRPr="00335764">
              <w:rPr>
                <w:rFonts w:cs="Arial"/>
                <w:b/>
                <w:sz w:val="20"/>
                <w:szCs w:val="20"/>
              </w:rPr>
              <w:t>Function</w:t>
            </w:r>
          </w:p>
          <w:p w:rsidR="003B6909" w:rsidRPr="00335764" w:rsidRDefault="003B6909" w:rsidP="00335764">
            <w:pPr>
              <w:spacing w:line="240" w:lineRule="auto"/>
              <w:jc w:val="left"/>
              <w:rPr>
                <w:rFonts w:cs="Arial"/>
                <w:b/>
                <w:sz w:val="20"/>
                <w:szCs w:val="20"/>
              </w:rPr>
            </w:pPr>
            <w:r w:rsidRPr="00335764">
              <w:rPr>
                <w:rFonts w:cs="Arial"/>
                <w:b/>
                <w:sz w:val="20"/>
                <w:szCs w:val="20"/>
              </w:rPr>
              <w:t>(R’</w:t>
            </w:r>
            <w:r w:rsidR="00087F96" w:rsidRPr="00335764">
              <w:rPr>
                <w:rFonts w:cs="Arial"/>
                <w:b/>
                <w:sz w:val="20"/>
                <w:szCs w:val="20"/>
              </w:rPr>
              <w:t xml:space="preserve"> m</w:t>
            </w:r>
            <w:r w:rsidRPr="00335764">
              <w:rPr>
                <w:rFonts w:cs="Arial"/>
                <w:b/>
                <w:sz w:val="20"/>
                <w:szCs w:val="20"/>
              </w:rPr>
              <w:t>illion)</w:t>
            </w:r>
          </w:p>
        </w:tc>
        <w:tc>
          <w:tcPr>
            <w:tcW w:w="0" w:type="auto"/>
            <w:shd w:val="clear" w:color="auto" w:fill="D9D9D9" w:themeFill="background1" w:themeFillShade="D9"/>
          </w:tcPr>
          <w:p w:rsidR="003B6909" w:rsidRPr="00335764" w:rsidRDefault="00E41B2B" w:rsidP="00335764">
            <w:pPr>
              <w:spacing w:line="240" w:lineRule="auto"/>
              <w:jc w:val="left"/>
              <w:rPr>
                <w:rFonts w:cs="Arial"/>
                <w:b/>
                <w:sz w:val="20"/>
                <w:szCs w:val="20"/>
              </w:rPr>
            </w:pPr>
            <w:r w:rsidRPr="00335764">
              <w:rPr>
                <w:rFonts w:cs="Arial"/>
                <w:b/>
                <w:sz w:val="20"/>
                <w:szCs w:val="20"/>
              </w:rPr>
              <w:t>2022/23</w:t>
            </w:r>
          </w:p>
        </w:tc>
        <w:tc>
          <w:tcPr>
            <w:tcW w:w="0" w:type="auto"/>
            <w:shd w:val="clear" w:color="auto" w:fill="D9D9D9" w:themeFill="background1" w:themeFillShade="D9"/>
          </w:tcPr>
          <w:p w:rsidR="003B6909" w:rsidRPr="00335764" w:rsidRDefault="003B6909" w:rsidP="00335764">
            <w:pPr>
              <w:spacing w:line="240" w:lineRule="auto"/>
              <w:jc w:val="left"/>
              <w:rPr>
                <w:rFonts w:cs="Arial"/>
                <w:b/>
                <w:sz w:val="20"/>
                <w:szCs w:val="20"/>
              </w:rPr>
            </w:pPr>
            <w:r w:rsidRPr="00335764">
              <w:rPr>
                <w:rFonts w:cs="Arial"/>
                <w:b/>
                <w:sz w:val="20"/>
                <w:szCs w:val="20"/>
              </w:rPr>
              <w:t>202</w:t>
            </w:r>
            <w:r w:rsidR="00E41B2B" w:rsidRPr="00335764">
              <w:rPr>
                <w:rFonts w:cs="Arial"/>
                <w:b/>
                <w:sz w:val="20"/>
                <w:szCs w:val="20"/>
              </w:rPr>
              <w:t>3/24</w:t>
            </w:r>
          </w:p>
        </w:tc>
        <w:tc>
          <w:tcPr>
            <w:tcW w:w="0" w:type="auto"/>
            <w:shd w:val="clear" w:color="auto" w:fill="D9D9D9" w:themeFill="background1" w:themeFillShade="D9"/>
          </w:tcPr>
          <w:p w:rsidR="003B6909" w:rsidRPr="00335764" w:rsidRDefault="003B6909" w:rsidP="00335764">
            <w:pPr>
              <w:spacing w:line="240" w:lineRule="auto"/>
              <w:jc w:val="left"/>
              <w:rPr>
                <w:rFonts w:cs="Arial"/>
                <w:b/>
                <w:sz w:val="20"/>
                <w:szCs w:val="20"/>
              </w:rPr>
            </w:pPr>
            <w:r w:rsidRPr="00335764">
              <w:rPr>
                <w:rFonts w:cs="Arial"/>
                <w:b/>
                <w:sz w:val="20"/>
                <w:szCs w:val="20"/>
              </w:rPr>
              <w:t>2</w:t>
            </w:r>
            <w:r w:rsidR="00E41B2B" w:rsidRPr="00335764">
              <w:rPr>
                <w:rFonts w:cs="Arial"/>
                <w:b/>
                <w:sz w:val="20"/>
                <w:szCs w:val="20"/>
              </w:rPr>
              <w:t>024</w:t>
            </w:r>
            <w:r w:rsidRPr="00335764">
              <w:rPr>
                <w:rFonts w:cs="Arial"/>
                <w:b/>
                <w:sz w:val="20"/>
                <w:szCs w:val="20"/>
              </w:rPr>
              <w:t>/2</w:t>
            </w:r>
            <w:r w:rsidR="00E41B2B" w:rsidRPr="00335764">
              <w:rPr>
                <w:rFonts w:cs="Arial"/>
                <w:b/>
                <w:sz w:val="20"/>
                <w:szCs w:val="20"/>
              </w:rPr>
              <w:t>5</w:t>
            </w:r>
          </w:p>
        </w:tc>
        <w:tc>
          <w:tcPr>
            <w:tcW w:w="0" w:type="auto"/>
            <w:shd w:val="clear" w:color="auto" w:fill="D9D9D9" w:themeFill="background1" w:themeFillShade="D9"/>
          </w:tcPr>
          <w:p w:rsidR="003B6909" w:rsidRPr="00335764" w:rsidRDefault="003B6909" w:rsidP="00335764">
            <w:pPr>
              <w:spacing w:line="240" w:lineRule="auto"/>
              <w:jc w:val="left"/>
              <w:rPr>
                <w:rFonts w:cs="Arial"/>
                <w:b/>
                <w:sz w:val="20"/>
                <w:szCs w:val="20"/>
              </w:rPr>
            </w:pPr>
            <w:r w:rsidRPr="00335764">
              <w:rPr>
                <w:rFonts w:cs="Arial"/>
                <w:b/>
                <w:sz w:val="20"/>
                <w:szCs w:val="20"/>
              </w:rPr>
              <w:t>202</w:t>
            </w:r>
            <w:r w:rsidR="00E41B2B" w:rsidRPr="00335764">
              <w:rPr>
                <w:rFonts w:cs="Arial"/>
                <w:b/>
                <w:sz w:val="20"/>
                <w:szCs w:val="20"/>
              </w:rPr>
              <w:t>5</w:t>
            </w:r>
            <w:r w:rsidRPr="00335764">
              <w:rPr>
                <w:rFonts w:cs="Arial"/>
                <w:b/>
                <w:sz w:val="20"/>
                <w:szCs w:val="20"/>
              </w:rPr>
              <w:t>/2</w:t>
            </w:r>
            <w:r w:rsidR="00E41B2B" w:rsidRPr="00335764">
              <w:rPr>
                <w:rFonts w:cs="Arial"/>
                <w:b/>
                <w:sz w:val="20"/>
                <w:szCs w:val="20"/>
              </w:rPr>
              <w:t>6</w:t>
            </w:r>
          </w:p>
        </w:tc>
        <w:tc>
          <w:tcPr>
            <w:tcW w:w="0" w:type="auto"/>
            <w:shd w:val="clear" w:color="auto" w:fill="D9D9D9" w:themeFill="background1" w:themeFillShade="D9"/>
          </w:tcPr>
          <w:p w:rsidR="003B6909" w:rsidRPr="00335764" w:rsidRDefault="003B6909" w:rsidP="00335764">
            <w:pPr>
              <w:spacing w:line="240" w:lineRule="auto"/>
              <w:jc w:val="left"/>
              <w:rPr>
                <w:rFonts w:cs="Arial"/>
                <w:b/>
                <w:sz w:val="20"/>
                <w:szCs w:val="20"/>
              </w:rPr>
            </w:pPr>
            <w:r w:rsidRPr="00335764">
              <w:rPr>
                <w:rFonts w:cs="Arial"/>
                <w:b/>
                <w:sz w:val="20"/>
                <w:szCs w:val="20"/>
              </w:rPr>
              <w:t>%</w:t>
            </w:r>
          </w:p>
          <w:p w:rsidR="003B6909" w:rsidRPr="00335764" w:rsidRDefault="00C55EEF" w:rsidP="00335764">
            <w:pPr>
              <w:spacing w:line="240" w:lineRule="auto"/>
              <w:jc w:val="left"/>
              <w:rPr>
                <w:rFonts w:cs="Arial"/>
                <w:b/>
                <w:sz w:val="20"/>
                <w:szCs w:val="20"/>
              </w:rPr>
            </w:pPr>
            <w:r w:rsidRPr="00335764">
              <w:rPr>
                <w:rFonts w:cs="Arial"/>
                <w:b/>
                <w:sz w:val="20"/>
                <w:szCs w:val="20"/>
              </w:rPr>
              <w:t>T</w:t>
            </w:r>
            <w:r w:rsidR="003B6909" w:rsidRPr="00335764">
              <w:rPr>
                <w:rFonts w:cs="Arial"/>
                <w:b/>
                <w:sz w:val="20"/>
                <w:szCs w:val="20"/>
              </w:rPr>
              <w:t>otal MTEF allocation</w:t>
            </w:r>
          </w:p>
        </w:tc>
      </w:tr>
      <w:tr w:rsidR="003B6909" w:rsidRPr="00335764" w:rsidTr="00C55EEF">
        <w:tc>
          <w:tcPr>
            <w:tcW w:w="0" w:type="auto"/>
          </w:tcPr>
          <w:p w:rsidR="003B6909" w:rsidRPr="00335764" w:rsidRDefault="003B6909" w:rsidP="00335764">
            <w:pPr>
              <w:spacing w:line="240" w:lineRule="auto"/>
              <w:jc w:val="left"/>
              <w:rPr>
                <w:rFonts w:cs="Arial"/>
                <w:sz w:val="20"/>
                <w:szCs w:val="20"/>
              </w:rPr>
            </w:pPr>
            <w:r w:rsidRPr="00335764">
              <w:rPr>
                <w:rFonts w:cs="Arial"/>
                <w:sz w:val="20"/>
                <w:szCs w:val="20"/>
              </w:rPr>
              <w:t>Defence and State Security</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52 418</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52 726</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52 812</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52 838</w:t>
            </w:r>
          </w:p>
        </w:tc>
        <w:tc>
          <w:tcPr>
            <w:tcW w:w="0" w:type="auto"/>
          </w:tcPr>
          <w:p w:rsidR="003B6909" w:rsidRPr="00335764" w:rsidRDefault="00087F96" w:rsidP="00335764">
            <w:pPr>
              <w:spacing w:line="240" w:lineRule="auto"/>
              <w:jc w:val="left"/>
              <w:rPr>
                <w:rFonts w:cs="Arial"/>
                <w:sz w:val="20"/>
                <w:szCs w:val="20"/>
              </w:rPr>
            </w:pPr>
            <w:r w:rsidRPr="00335764">
              <w:rPr>
                <w:rFonts w:cs="Arial"/>
                <w:sz w:val="20"/>
                <w:szCs w:val="20"/>
              </w:rPr>
              <w:t>22.7</w:t>
            </w:r>
            <w:r w:rsidR="003B6909" w:rsidRPr="00335764">
              <w:rPr>
                <w:rFonts w:cs="Arial"/>
                <w:sz w:val="20"/>
                <w:szCs w:val="20"/>
              </w:rPr>
              <w:t>%</w:t>
            </w:r>
          </w:p>
        </w:tc>
      </w:tr>
      <w:tr w:rsidR="003B6909" w:rsidRPr="00335764" w:rsidTr="00C55EEF">
        <w:tc>
          <w:tcPr>
            <w:tcW w:w="0" w:type="auto"/>
          </w:tcPr>
          <w:p w:rsidR="003B6909" w:rsidRPr="00335764" w:rsidRDefault="003B6909" w:rsidP="00335764">
            <w:pPr>
              <w:spacing w:line="240" w:lineRule="auto"/>
              <w:jc w:val="left"/>
              <w:rPr>
                <w:rFonts w:cs="Arial"/>
                <w:sz w:val="20"/>
                <w:szCs w:val="20"/>
              </w:rPr>
            </w:pPr>
            <w:r w:rsidRPr="00335764">
              <w:rPr>
                <w:rFonts w:cs="Arial"/>
                <w:sz w:val="20"/>
                <w:szCs w:val="20"/>
              </w:rPr>
              <w:t>Police Services</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112 512</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112 066</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119 244</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125 358</w:t>
            </w:r>
          </w:p>
        </w:tc>
        <w:tc>
          <w:tcPr>
            <w:tcW w:w="0" w:type="auto"/>
          </w:tcPr>
          <w:p w:rsidR="003B6909" w:rsidRPr="00335764" w:rsidRDefault="003B6909" w:rsidP="00335764">
            <w:pPr>
              <w:spacing w:line="240" w:lineRule="auto"/>
              <w:jc w:val="left"/>
              <w:rPr>
                <w:rFonts w:cs="Arial"/>
                <w:sz w:val="20"/>
                <w:szCs w:val="20"/>
              </w:rPr>
            </w:pPr>
            <w:r w:rsidRPr="00335764">
              <w:rPr>
                <w:rFonts w:cs="Arial"/>
                <w:sz w:val="20"/>
                <w:szCs w:val="20"/>
              </w:rPr>
              <w:t>50.</w:t>
            </w:r>
            <w:r w:rsidR="00087F96" w:rsidRPr="00335764">
              <w:rPr>
                <w:rFonts w:cs="Arial"/>
                <w:sz w:val="20"/>
                <w:szCs w:val="20"/>
              </w:rPr>
              <w:t>2</w:t>
            </w:r>
            <w:r w:rsidRPr="00335764">
              <w:rPr>
                <w:rFonts w:cs="Arial"/>
                <w:sz w:val="20"/>
                <w:szCs w:val="20"/>
              </w:rPr>
              <w:t>%</w:t>
            </w:r>
          </w:p>
        </w:tc>
      </w:tr>
      <w:tr w:rsidR="003B6909" w:rsidRPr="00335764" w:rsidTr="00C55EEF">
        <w:tc>
          <w:tcPr>
            <w:tcW w:w="0" w:type="auto"/>
          </w:tcPr>
          <w:p w:rsidR="003B6909" w:rsidRPr="00335764" w:rsidRDefault="003B6909" w:rsidP="00335764">
            <w:pPr>
              <w:spacing w:line="240" w:lineRule="auto"/>
              <w:jc w:val="left"/>
              <w:rPr>
                <w:rFonts w:cs="Arial"/>
                <w:sz w:val="20"/>
                <w:szCs w:val="20"/>
              </w:rPr>
            </w:pPr>
            <w:r w:rsidRPr="00335764">
              <w:rPr>
                <w:rFonts w:cs="Arial"/>
                <w:sz w:val="20"/>
                <w:szCs w:val="20"/>
              </w:rPr>
              <w:t>Law Courts and Prisons</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51 472</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51 437</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53 726</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56 081</w:t>
            </w:r>
          </w:p>
        </w:tc>
        <w:tc>
          <w:tcPr>
            <w:tcW w:w="0" w:type="auto"/>
          </w:tcPr>
          <w:p w:rsidR="003B6909" w:rsidRPr="00335764" w:rsidRDefault="003B6909" w:rsidP="00335764">
            <w:pPr>
              <w:spacing w:line="240" w:lineRule="auto"/>
              <w:jc w:val="left"/>
              <w:rPr>
                <w:rFonts w:cs="Arial"/>
                <w:sz w:val="20"/>
                <w:szCs w:val="20"/>
              </w:rPr>
            </w:pPr>
            <w:r w:rsidRPr="00335764">
              <w:rPr>
                <w:rFonts w:cs="Arial"/>
                <w:sz w:val="20"/>
                <w:szCs w:val="20"/>
              </w:rPr>
              <w:t>2</w:t>
            </w:r>
            <w:r w:rsidR="00087F96" w:rsidRPr="00335764">
              <w:rPr>
                <w:rFonts w:cs="Arial"/>
                <w:sz w:val="20"/>
                <w:szCs w:val="20"/>
              </w:rPr>
              <w:t>2.7</w:t>
            </w:r>
            <w:r w:rsidRPr="00335764">
              <w:rPr>
                <w:rFonts w:cs="Arial"/>
                <w:sz w:val="20"/>
                <w:szCs w:val="20"/>
              </w:rPr>
              <w:t>%</w:t>
            </w:r>
          </w:p>
        </w:tc>
      </w:tr>
      <w:tr w:rsidR="003B6909" w:rsidRPr="00335764" w:rsidTr="00C55EEF">
        <w:tc>
          <w:tcPr>
            <w:tcW w:w="0" w:type="auto"/>
          </w:tcPr>
          <w:p w:rsidR="003B6909" w:rsidRPr="00335764" w:rsidRDefault="003B6909" w:rsidP="00335764">
            <w:pPr>
              <w:spacing w:line="240" w:lineRule="auto"/>
              <w:jc w:val="left"/>
              <w:rPr>
                <w:rFonts w:cs="Arial"/>
                <w:sz w:val="20"/>
                <w:szCs w:val="20"/>
              </w:rPr>
            </w:pPr>
            <w:r w:rsidRPr="00335764">
              <w:rPr>
                <w:rFonts w:cs="Arial"/>
                <w:sz w:val="20"/>
                <w:szCs w:val="20"/>
              </w:rPr>
              <w:t>Home Affairs</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11 398</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11 110</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10 485</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11 129</w:t>
            </w:r>
          </w:p>
        </w:tc>
        <w:tc>
          <w:tcPr>
            <w:tcW w:w="0" w:type="auto"/>
          </w:tcPr>
          <w:p w:rsidR="003B6909" w:rsidRPr="00335764" w:rsidRDefault="00087F96" w:rsidP="00335764">
            <w:pPr>
              <w:spacing w:line="240" w:lineRule="auto"/>
              <w:jc w:val="left"/>
              <w:rPr>
                <w:rFonts w:cs="Arial"/>
                <w:sz w:val="20"/>
                <w:szCs w:val="20"/>
              </w:rPr>
            </w:pPr>
            <w:r w:rsidRPr="00335764">
              <w:rPr>
                <w:rFonts w:cs="Arial"/>
                <w:sz w:val="20"/>
                <w:szCs w:val="20"/>
              </w:rPr>
              <w:t>15.9</w:t>
            </w:r>
            <w:r w:rsidR="003B6909" w:rsidRPr="00335764">
              <w:rPr>
                <w:rFonts w:cs="Arial"/>
                <w:sz w:val="20"/>
                <w:szCs w:val="20"/>
              </w:rPr>
              <w:t>%</w:t>
            </w:r>
          </w:p>
        </w:tc>
      </w:tr>
      <w:tr w:rsidR="003B6909" w:rsidRPr="00335764" w:rsidTr="00C55EEF">
        <w:tc>
          <w:tcPr>
            <w:tcW w:w="0" w:type="auto"/>
          </w:tcPr>
          <w:p w:rsidR="003B6909" w:rsidRPr="00335764" w:rsidRDefault="003B6909" w:rsidP="00335764">
            <w:pPr>
              <w:spacing w:line="240" w:lineRule="auto"/>
              <w:jc w:val="left"/>
              <w:rPr>
                <w:rFonts w:cs="Arial"/>
                <w:b/>
                <w:sz w:val="20"/>
                <w:szCs w:val="20"/>
              </w:rPr>
            </w:pPr>
            <w:r w:rsidRPr="00335764">
              <w:rPr>
                <w:rFonts w:cs="Arial"/>
                <w:b/>
                <w:sz w:val="20"/>
                <w:szCs w:val="20"/>
              </w:rPr>
              <w:t>Total</w:t>
            </w:r>
          </w:p>
        </w:tc>
        <w:tc>
          <w:tcPr>
            <w:tcW w:w="0" w:type="auto"/>
          </w:tcPr>
          <w:p w:rsidR="003B6909" w:rsidRPr="00335764" w:rsidRDefault="00E41B2B" w:rsidP="00335764">
            <w:pPr>
              <w:spacing w:line="240" w:lineRule="auto"/>
              <w:jc w:val="left"/>
              <w:rPr>
                <w:rFonts w:cs="Arial"/>
                <w:b/>
                <w:sz w:val="20"/>
                <w:szCs w:val="20"/>
              </w:rPr>
            </w:pPr>
            <w:r w:rsidRPr="00335764">
              <w:rPr>
                <w:rFonts w:cs="Arial"/>
                <w:b/>
                <w:sz w:val="20"/>
                <w:szCs w:val="20"/>
              </w:rPr>
              <w:t>227 800</w:t>
            </w:r>
          </w:p>
        </w:tc>
        <w:tc>
          <w:tcPr>
            <w:tcW w:w="0" w:type="auto"/>
          </w:tcPr>
          <w:p w:rsidR="003B6909" w:rsidRPr="00335764" w:rsidRDefault="00E41B2B" w:rsidP="00335764">
            <w:pPr>
              <w:spacing w:line="240" w:lineRule="auto"/>
              <w:jc w:val="left"/>
              <w:rPr>
                <w:rFonts w:cs="Arial"/>
                <w:b/>
                <w:sz w:val="20"/>
                <w:szCs w:val="20"/>
              </w:rPr>
            </w:pPr>
            <w:r w:rsidRPr="00335764">
              <w:rPr>
                <w:rFonts w:cs="Arial"/>
                <w:b/>
                <w:sz w:val="20"/>
                <w:szCs w:val="20"/>
              </w:rPr>
              <w:t>227 340</w:t>
            </w:r>
          </w:p>
        </w:tc>
        <w:tc>
          <w:tcPr>
            <w:tcW w:w="0" w:type="auto"/>
          </w:tcPr>
          <w:p w:rsidR="003B6909" w:rsidRPr="00335764" w:rsidRDefault="00E41B2B" w:rsidP="00335764">
            <w:pPr>
              <w:spacing w:line="240" w:lineRule="auto"/>
              <w:jc w:val="left"/>
              <w:rPr>
                <w:rFonts w:cs="Arial"/>
                <w:b/>
                <w:sz w:val="20"/>
                <w:szCs w:val="20"/>
              </w:rPr>
            </w:pPr>
            <w:r w:rsidRPr="00335764">
              <w:rPr>
                <w:rFonts w:cs="Arial"/>
                <w:b/>
                <w:sz w:val="20"/>
                <w:szCs w:val="20"/>
              </w:rPr>
              <w:t>236 267</w:t>
            </w:r>
          </w:p>
        </w:tc>
        <w:tc>
          <w:tcPr>
            <w:tcW w:w="0" w:type="auto"/>
          </w:tcPr>
          <w:p w:rsidR="003B6909" w:rsidRPr="00335764" w:rsidRDefault="00E41B2B" w:rsidP="00335764">
            <w:pPr>
              <w:spacing w:line="240" w:lineRule="auto"/>
              <w:jc w:val="left"/>
              <w:rPr>
                <w:rFonts w:cs="Arial"/>
                <w:b/>
                <w:sz w:val="20"/>
                <w:szCs w:val="20"/>
              </w:rPr>
            </w:pPr>
            <w:r w:rsidRPr="00335764">
              <w:rPr>
                <w:rFonts w:cs="Arial"/>
                <w:b/>
                <w:sz w:val="20"/>
                <w:szCs w:val="20"/>
              </w:rPr>
              <w:t>247 406</w:t>
            </w:r>
          </w:p>
        </w:tc>
        <w:tc>
          <w:tcPr>
            <w:tcW w:w="0" w:type="auto"/>
          </w:tcPr>
          <w:p w:rsidR="003B6909" w:rsidRPr="00335764" w:rsidRDefault="003B6909" w:rsidP="00335764">
            <w:pPr>
              <w:spacing w:line="240" w:lineRule="auto"/>
              <w:jc w:val="left"/>
              <w:rPr>
                <w:rFonts w:cs="Arial"/>
                <w:b/>
                <w:sz w:val="20"/>
                <w:szCs w:val="20"/>
              </w:rPr>
            </w:pPr>
            <w:r w:rsidRPr="00335764">
              <w:rPr>
                <w:rFonts w:cs="Arial"/>
                <w:b/>
                <w:sz w:val="20"/>
                <w:szCs w:val="20"/>
              </w:rPr>
              <w:t>100%</w:t>
            </w:r>
          </w:p>
        </w:tc>
      </w:tr>
      <w:tr w:rsidR="003B6909" w:rsidRPr="00335764" w:rsidTr="00C55EEF">
        <w:tc>
          <w:tcPr>
            <w:tcW w:w="0" w:type="auto"/>
          </w:tcPr>
          <w:p w:rsidR="003B6909" w:rsidRPr="00335764" w:rsidRDefault="003B6909" w:rsidP="00335764">
            <w:pPr>
              <w:spacing w:line="240" w:lineRule="auto"/>
              <w:jc w:val="left"/>
              <w:rPr>
                <w:rFonts w:cs="Arial"/>
                <w:sz w:val="20"/>
                <w:szCs w:val="20"/>
              </w:rPr>
            </w:pPr>
            <w:r w:rsidRPr="00335764">
              <w:rPr>
                <w:rFonts w:cs="Arial"/>
                <w:sz w:val="20"/>
                <w:szCs w:val="20"/>
              </w:rPr>
              <w:t>Compensation of employees</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157 049</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157 379</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163 820</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172 169</w:t>
            </w:r>
          </w:p>
        </w:tc>
        <w:tc>
          <w:tcPr>
            <w:tcW w:w="0" w:type="auto"/>
          </w:tcPr>
          <w:p w:rsidR="003B6909" w:rsidRPr="00335764" w:rsidRDefault="003B6909" w:rsidP="00335764">
            <w:pPr>
              <w:spacing w:line="240" w:lineRule="auto"/>
              <w:jc w:val="left"/>
              <w:rPr>
                <w:rFonts w:cs="Arial"/>
                <w:sz w:val="20"/>
                <w:szCs w:val="20"/>
              </w:rPr>
            </w:pPr>
            <w:r w:rsidRPr="00335764">
              <w:rPr>
                <w:rFonts w:cs="Arial"/>
                <w:sz w:val="20"/>
                <w:szCs w:val="20"/>
              </w:rPr>
              <w:t>69.1%</w:t>
            </w:r>
          </w:p>
        </w:tc>
      </w:tr>
      <w:tr w:rsidR="003B6909" w:rsidRPr="00335764" w:rsidTr="00C55EEF">
        <w:tc>
          <w:tcPr>
            <w:tcW w:w="0" w:type="auto"/>
          </w:tcPr>
          <w:p w:rsidR="003B6909" w:rsidRPr="00335764" w:rsidRDefault="003B6909" w:rsidP="00335764">
            <w:pPr>
              <w:spacing w:line="240" w:lineRule="auto"/>
              <w:jc w:val="left"/>
              <w:rPr>
                <w:rFonts w:cs="Arial"/>
                <w:sz w:val="20"/>
                <w:szCs w:val="20"/>
              </w:rPr>
            </w:pPr>
            <w:r w:rsidRPr="00335764">
              <w:rPr>
                <w:rFonts w:cs="Arial"/>
                <w:sz w:val="20"/>
                <w:szCs w:val="20"/>
              </w:rPr>
              <w:t>Goods and Services</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49 938</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50 992</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52 918</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54 634</w:t>
            </w:r>
          </w:p>
        </w:tc>
        <w:tc>
          <w:tcPr>
            <w:tcW w:w="0" w:type="auto"/>
          </w:tcPr>
          <w:p w:rsidR="003B6909" w:rsidRPr="00335764" w:rsidRDefault="00087F96" w:rsidP="00335764">
            <w:pPr>
              <w:spacing w:line="240" w:lineRule="auto"/>
              <w:jc w:val="left"/>
              <w:rPr>
                <w:rFonts w:cs="Arial"/>
                <w:sz w:val="20"/>
                <w:szCs w:val="20"/>
              </w:rPr>
            </w:pPr>
            <w:r w:rsidRPr="00335764">
              <w:rPr>
                <w:rFonts w:cs="Arial"/>
                <w:sz w:val="20"/>
                <w:szCs w:val="20"/>
              </w:rPr>
              <w:t>22.3</w:t>
            </w:r>
            <w:r w:rsidR="003B6909" w:rsidRPr="00335764">
              <w:rPr>
                <w:rFonts w:cs="Arial"/>
                <w:sz w:val="20"/>
                <w:szCs w:val="20"/>
              </w:rPr>
              <w:t>%</w:t>
            </w:r>
          </w:p>
        </w:tc>
      </w:tr>
      <w:tr w:rsidR="003B6909" w:rsidRPr="00335764" w:rsidTr="00C55EEF">
        <w:tc>
          <w:tcPr>
            <w:tcW w:w="0" w:type="auto"/>
          </w:tcPr>
          <w:p w:rsidR="003B6909" w:rsidRPr="00335764" w:rsidRDefault="003B6909" w:rsidP="00335764">
            <w:pPr>
              <w:spacing w:line="240" w:lineRule="auto"/>
              <w:jc w:val="left"/>
              <w:rPr>
                <w:rFonts w:cs="Arial"/>
                <w:sz w:val="20"/>
                <w:szCs w:val="20"/>
              </w:rPr>
            </w:pPr>
            <w:r w:rsidRPr="00335764">
              <w:rPr>
                <w:rFonts w:cs="Arial"/>
                <w:sz w:val="20"/>
                <w:szCs w:val="20"/>
              </w:rPr>
              <w:t>Transfer and Subsidies</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12 806</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12 877</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11 986</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12 120</w:t>
            </w:r>
          </w:p>
        </w:tc>
        <w:tc>
          <w:tcPr>
            <w:tcW w:w="0" w:type="auto"/>
          </w:tcPr>
          <w:p w:rsidR="003B6909" w:rsidRPr="00335764" w:rsidRDefault="00087F96" w:rsidP="00335764">
            <w:pPr>
              <w:spacing w:line="240" w:lineRule="auto"/>
              <w:jc w:val="left"/>
              <w:rPr>
                <w:rFonts w:cs="Arial"/>
                <w:sz w:val="20"/>
                <w:szCs w:val="20"/>
              </w:rPr>
            </w:pPr>
            <w:r w:rsidRPr="00335764">
              <w:rPr>
                <w:rFonts w:cs="Arial"/>
                <w:sz w:val="20"/>
                <w:szCs w:val="20"/>
              </w:rPr>
              <w:t>5.2</w:t>
            </w:r>
            <w:r w:rsidR="003B6909" w:rsidRPr="00335764">
              <w:rPr>
                <w:rFonts w:cs="Arial"/>
                <w:sz w:val="20"/>
                <w:szCs w:val="20"/>
              </w:rPr>
              <w:t>%</w:t>
            </w:r>
          </w:p>
        </w:tc>
      </w:tr>
      <w:tr w:rsidR="003B6909" w:rsidRPr="00335764" w:rsidTr="00C55EEF">
        <w:tc>
          <w:tcPr>
            <w:tcW w:w="0" w:type="auto"/>
          </w:tcPr>
          <w:p w:rsidR="003B6909" w:rsidRPr="00335764" w:rsidRDefault="003B6909" w:rsidP="00335764">
            <w:pPr>
              <w:spacing w:line="240" w:lineRule="auto"/>
              <w:jc w:val="left"/>
              <w:rPr>
                <w:rFonts w:cs="Arial"/>
                <w:sz w:val="20"/>
                <w:szCs w:val="20"/>
              </w:rPr>
            </w:pPr>
            <w:r w:rsidRPr="00335764">
              <w:rPr>
                <w:rFonts w:cs="Arial"/>
                <w:sz w:val="20"/>
                <w:szCs w:val="20"/>
              </w:rPr>
              <w:t>Buildings and other fixed structures</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2 774</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2 903</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2 795</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4 529</w:t>
            </w:r>
          </w:p>
        </w:tc>
        <w:tc>
          <w:tcPr>
            <w:tcW w:w="0" w:type="auto"/>
          </w:tcPr>
          <w:p w:rsidR="003B6909" w:rsidRPr="00335764" w:rsidRDefault="00087F96" w:rsidP="00335764">
            <w:pPr>
              <w:spacing w:line="240" w:lineRule="auto"/>
              <w:jc w:val="left"/>
              <w:rPr>
                <w:rFonts w:cs="Arial"/>
                <w:sz w:val="20"/>
                <w:szCs w:val="20"/>
              </w:rPr>
            </w:pPr>
            <w:r w:rsidRPr="00335764">
              <w:rPr>
                <w:rFonts w:cs="Arial"/>
                <w:sz w:val="20"/>
                <w:szCs w:val="20"/>
              </w:rPr>
              <w:t>1.2</w:t>
            </w:r>
            <w:r w:rsidR="003B6909" w:rsidRPr="00335764">
              <w:rPr>
                <w:rFonts w:cs="Arial"/>
                <w:sz w:val="20"/>
                <w:szCs w:val="20"/>
              </w:rPr>
              <w:t>%</w:t>
            </w:r>
          </w:p>
        </w:tc>
      </w:tr>
      <w:tr w:rsidR="003B6909" w:rsidRPr="00335764" w:rsidTr="00C55EEF">
        <w:tc>
          <w:tcPr>
            <w:tcW w:w="0" w:type="auto"/>
          </w:tcPr>
          <w:p w:rsidR="003B6909" w:rsidRPr="00335764" w:rsidRDefault="003B6909" w:rsidP="00335764">
            <w:pPr>
              <w:spacing w:line="240" w:lineRule="auto"/>
              <w:jc w:val="left"/>
              <w:rPr>
                <w:rFonts w:cs="Arial"/>
                <w:sz w:val="20"/>
                <w:szCs w:val="20"/>
              </w:rPr>
            </w:pPr>
            <w:r w:rsidRPr="00335764">
              <w:rPr>
                <w:rFonts w:cs="Arial"/>
                <w:sz w:val="20"/>
                <w:szCs w:val="20"/>
              </w:rPr>
              <w:t>Machinery and equipment</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4 979</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4 925</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4 529</w:t>
            </w:r>
          </w:p>
        </w:tc>
        <w:tc>
          <w:tcPr>
            <w:tcW w:w="0" w:type="auto"/>
          </w:tcPr>
          <w:p w:rsidR="003B6909" w:rsidRPr="00335764" w:rsidRDefault="00E41B2B" w:rsidP="00335764">
            <w:pPr>
              <w:spacing w:line="240" w:lineRule="auto"/>
              <w:jc w:val="left"/>
              <w:rPr>
                <w:rFonts w:cs="Arial"/>
                <w:sz w:val="20"/>
                <w:szCs w:val="20"/>
              </w:rPr>
            </w:pPr>
            <w:r w:rsidRPr="00335764">
              <w:rPr>
                <w:rFonts w:cs="Arial"/>
                <w:sz w:val="20"/>
                <w:szCs w:val="20"/>
              </w:rPr>
              <w:t>5 411</w:t>
            </w:r>
          </w:p>
        </w:tc>
        <w:tc>
          <w:tcPr>
            <w:tcW w:w="0" w:type="auto"/>
          </w:tcPr>
          <w:p w:rsidR="003B6909" w:rsidRPr="00335764" w:rsidRDefault="00087F96" w:rsidP="00335764">
            <w:pPr>
              <w:spacing w:line="240" w:lineRule="auto"/>
              <w:jc w:val="left"/>
              <w:rPr>
                <w:rFonts w:cs="Arial"/>
                <w:sz w:val="20"/>
                <w:szCs w:val="20"/>
              </w:rPr>
            </w:pPr>
            <w:r w:rsidRPr="00335764">
              <w:rPr>
                <w:rFonts w:cs="Arial"/>
                <w:sz w:val="20"/>
                <w:szCs w:val="20"/>
              </w:rPr>
              <w:t>2.1</w:t>
            </w:r>
            <w:r w:rsidR="003B6909" w:rsidRPr="00335764">
              <w:rPr>
                <w:rFonts w:cs="Arial"/>
                <w:sz w:val="20"/>
                <w:szCs w:val="20"/>
              </w:rPr>
              <w:t>%</w:t>
            </w:r>
          </w:p>
        </w:tc>
      </w:tr>
    </w:tbl>
    <w:p w:rsidR="00506489" w:rsidRPr="00335764" w:rsidRDefault="00506489" w:rsidP="00335764">
      <w:pPr>
        <w:autoSpaceDE w:val="0"/>
        <w:autoSpaceDN w:val="0"/>
        <w:adjustRightInd w:val="0"/>
        <w:spacing w:line="240" w:lineRule="auto"/>
        <w:jc w:val="left"/>
        <w:rPr>
          <w:rFonts w:cs="Arial"/>
          <w:sz w:val="20"/>
          <w:szCs w:val="20"/>
        </w:rPr>
      </w:pPr>
    </w:p>
    <w:p w:rsidR="00875E18" w:rsidRPr="00335764" w:rsidRDefault="00875E18" w:rsidP="00335764">
      <w:pPr>
        <w:pStyle w:val="ListParagraph"/>
        <w:numPr>
          <w:ilvl w:val="2"/>
          <w:numId w:val="1"/>
        </w:numPr>
        <w:tabs>
          <w:tab w:val="clear" w:pos="862"/>
          <w:tab w:val="num" w:pos="720"/>
        </w:tabs>
        <w:autoSpaceDE w:val="0"/>
        <w:autoSpaceDN w:val="0"/>
        <w:adjustRightInd w:val="0"/>
        <w:spacing w:line="240" w:lineRule="auto"/>
        <w:ind w:left="720"/>
        <w:jc w:val="left"/>
        <w:rPr>
          <w:rFonts w:cs="Arial"/>
          <w:color w:val="auto"/>
          <w:spacing w:val="0"/>
          <w:sz w:val="20"/>
          <w:szCs w:val="20"/>
          <w:lang w:val="en-US" w:eastAsia="en-US"/>
        </w:rPr>
      </w:pPr>
      <w:r w:rsidRPr="00335764">
        <w:rPr>
          <w:rFonts w:cs="Arial"/>
          <w:sz w:val="20"/>
          <w:szCs w:val="20"/>
        </w:rPr>
        <w:t xml:space="preserve">The function’s baseline is increased by R29.1 billion over the MTEF period, from R678 billion to R707 billion. The net increase includes R12.4 billion for improvement of conditions of service; R4.2 billion for the establishment of a Border Management Authority; and R3.1 billion to enhance border security. </w:t>
      </w:r>
    </w:p>
    <w:p w:rsidR="00875E18" w:rsidRPr="00335764" w:rsidRDefault="00875E18" w:rsidP="00335764">
      <w:pPr>
        <w:pStyle w:val="ListParagraph"/>
        <w:autoSpaceDE w:val="0"/>
        <w:autoSpaceDN w:val="0"/>
        <w:adjustRightInd w:val="0"/>
        <w:spacing w:line="240" w:lineRule="auto"/>
        <w:jc w:val="left"/>
        <w:rPr>
          <w:rFonts w:cs="Arial"/>
          <w:color w:val="auto"/>
          <w:spacing w:val="0"/>
          <w:sz w:val="20"/>
          <w:szCs w:val="20"/>
          <w:lang w:val="en-US" w:eastAsia="en-US"/>
        </w:rPr>
      </w:pPr>
    </w:p>
    <w:p w:rsidR="00CC0FDB" w:rsidRPr="00335764" w:rsidRDefault="005C0853" w:rsidP="00335764">
      <w:pPr>
        <w:pStyle w:val="ListParagraph"/>
        <w:numPr>
          <w:ilvl w:val="2"/>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A</w:t>
      </w:r>
      <w:r w:rsidR="00CC0FDB" w:rsidRPr="00335764">
        <w:rPr>
          <w:rFonts w:cs="Arial"/>
          <w:sz w:val="20"/>
          <w:szCs w:val="20"/>
        </w:rPr>
        <w:t xml:space="preserve">pproximately </w:t>
      </w:r>
      <w:r w:rsidRPr="00335764">
        <w:rPr>
          <w:rFonts w:cs="Arial"/>
          <w:sz w:val="20"/>
          <w:szCs w:val="20"/>
        </w:rPr>
        <w:t>23</w:t>
      </w:r>
      <w:r w:rsidR="00CC0FDB" w:rsidRPr="00335764">
        <w:rPr>
          <w:rFonts w:cs="Arial"/>
          <w:sz w:val="20"/>
          <w:szCs w:val="20"/>
        </w:rPr>
        <w:t xml:space="preserve">% of the overall allocation for Peace and Security goes to ‘Law courts and prisons. </w:t>
      </w:r>
      <w:r w:rsidR="00087F96" w:rsidRPr="00335764">
        <w:rPr>
          <w:rFonts w:cs="Arial"/>
          <w:sz w:val="20"/>
          <w:szCs w:val="20"/>
        </w:rPr>
        <w:t>Specifically, t</w:t>
      </w:r>
      <w:r w:rsidR="00CC0FDB" w:rsidRPr="00335764">
        <w:rPr>
          <w:rFonts w:cs="Arial"/>
          <w:sz w:val="20"/>
          <w:szCs w:val="20"/>
        </w:rPr>
        <w:t xml:space="preserve">he Justice and Constitutional Development Vote </w:t>
      </w:r>
      <w:r w:rsidR="00871A99" w:rsidRPr="00335764">
        <w:rPr>
          <w:rFonts w:cs="Arial"/>
          <w:sz w:val="20"/>
          <w:szCs w:val="20"/>
        </w:rPr>
        <w:t>receives 10.</w:t>
      </w:r>
      <w:r w:rsidR="00087F96" w:rsidRPr="00335764">
        <w:rPr>
          <w:rFonts w:cs="Arial"/>
          <w:sz w:val="20"/>
          <w:szCs w:val="20"/>
        </w:rPr>
        <w:t>20</w:t>
      </w:r>
      <w:r w:rsidR="00CC0FDB" w:rsidRPr="00335764">
        <w:rPr>
          <w:rFonts w:cs="Arial"/>
          <w:sz w:val="20"/>
          <w:szCs w:val="20"/>
        </w:rPr>
        <w:t xml:space="preserve">% </w:t>
      </w:r>
      <w:r w:rsidR="00871A99" w:rsidRPr="00335764">
        <w:rPr>
          <w:rFonts w:cs="Arial"/>
          <w:sz w:val="20"/>
          <w:szCs w:val="20"/>
        </w:rPr>
        <w:t xml:space="preserve">of the overall allocation to the function </w:t>
      </w:r>
      <w:r w:rsidR="00CC0FDB" w:rsidRPr="00335764">
        <w:rPr>
          <w:rFonts w:cs="Arial"/>
          <w:sz w:val="20"/>
          <w:szCs w:val="20"/>
        </w:rPr>
        <w:t>(including magistrates’ salaries)</w:t>
      </w:r>
      <w:r w:rsidRPr="00335764">
        <w:rPr>
          <w:rFonts w:cs="Arial"/>
          <w:sz w:val="20"/>
          <w:szCs w:val="20"/>
        </w:rPr>
        <w:t>.</w:t>
      </w:r>
      <w:r w:rsidR="00CC0FDB" w:rsidRPr="00335764">
        <w:rPr>
          <w:rFonts w:cs="Arial"/>
          <w:sz w:val="20"/>
          <w:szCs w:val="20"/>
        </w:rPr>
        <w:t xml:space="preserve"> </w:t>
      </w:r>
    </w:p>
    <w:p w:rsidR="00F70CCA" w:rsidRPr="00335764" w:rsidRDefault="00F70CCA" w:rsidP="00335764">
      <w:pPr>
        <w:pStyle w:val="ListParagraph"/>
        <w:autoSpaceDE w:val="0"/>
        <w:autoSpaceDN w:val="0"/>
        <w:adjustRightInd w:val="0"/>
        <w:spacing w:line="240" w:lineRule="auto"/>
        <w:ind w:left="851"/>
        <w:jc w:val="left"/>
        <w:rPr>
          <w:rFonts w:cs="Arial"/>
          <w:sz w:val="20"/>
          <w:szCs w:val="20"/>
          <w:highlight w:val="yellow"/>
        </w:rPr>
      </w:pPr>
    </w:p>
    <w:p w:rsidR="00087F96" w:rsidRPr="00335764" w:rsidRDefault="00087F96" w:rsidP="00335764">
      <w:pPr>
        <w:pStyle w:val="ListParagraph"/>
        <w:numPr>
          <w:ilvl w:val="2"/>
          <w:numId w:val="1"/>
        </w:numPr>
        <w:tabs>
          <w:tab w:val="clear" w:pos="862"/>
          <w:tab w:val="num" w:pos="720"/>
        </w:tabs>
        <w:autoSpaceDE w:val="0"/>
        <w:autoSpaceDN w:val="0"/>
        <w:adjustRightInd w:val="0"/>
        <w:spacing w:line="240" w:lineRule="auto"/>
        <w:ind w:left="720"/>
        <w:jc w:val="left"/>
        <w:rPr>
          <w:rFonts w:cs="Arial"/>
          <w:bCs/>
          <w:sz w:val="20"/>
          <w:szCs w:val="20"/>
          <w:lang w:val="en-ZA"/>
        </w:rPr>
      </w:pPr>
      <w:r w:rsidRPr="00335764">
        <w:rPr>
          <w:rFonts w:cs="Arial"/>
          <w:sz w:val="20"/>
          <w:szCs w:val="20"/>
        </w:rPr>
        <w:t xml:space="preserve">The NPA is allocated R1.3 billion over the medium term to support implementation of the recommendations of the </w:t>
      </w:r>
      <w:r w:rsidRPr="00335764">
        <w:rPr>
          <w:rFonts w:cs="Arial"/>
          <w:bCs/>
          <w:sz w:val="20"/>
          <w:szCs w:val="20"/>
          <w:lang w:val="en-ZA"/>
        </w:rPr>
        <w:t xml:space="preserve">Judicial Commission of Inquiry into State Capture </w:t>
      </w:r>
      <w:r w:rsidRPr="00335764">
        <w:rPr>
          <w:rFonts w:cs="Arial"/>
          <w:sz w:val="20"/>
          <w:szCs w:val="20"/>
        </w:rPr>
        <w:t xml:space="preserve">and the outcomes of the Financial Action Task Force’s evaluation of South Africa’s framework for combatting money laundering and terror financing. Among others, the funding will be used to appoint 120 new employees to the National Prosecutions Service and the Independent Directorate, procure specialist prosecution services for complex matters, commission contracted forensic auditors and accountants to deal with high priority asset forfeiture matters, establish a digital forensic data centre, provide close protection services and integrated security systems, and finance increased witness protection costs. </w:t>
      </w:r>
    </w:p>
    <w:p w:rsidR="00F70CCA" w:rsidRPr="00335764" w:rsidRDefault="00F70CCA" w:rsidP="00335764">
      <w:pPr>
        <w:spacing w:line="240" w:lineRule="auto"/>
        <w:jc w:val="left"/>
        <w:rPr>
          <w:rFonts w:cs="Arial"/>
          <w:sz w:val="20"/>
          <w:szCs w:val="20"/>
          <w:lang/>
        </w:rPr>
      </w:pPr>
    </w:p>
    <w:p w:rsidR="00413A02" w:rsidRPr="00335764" w:rsidRDefault="00413A02" w:rsidP="00335764">
      <w:pPr>
        <w:spacing w:line="240" w:lineRule="auto"/>
        <w:jc w:val="left"/>
        <w:rPr>
          <w:rFonts w:cs="Arial"/>
          <w:sz w:val="20"/>
          <w:szCs w:val="20"/>
          <w:lang/>
        </w:rPr>
      </w:pPr>
    </w:p>
    <w:p w:rsidR="00C138D3" w:rsidRPr="00335764" w:rsidRDefault="009B3D95" w:rsidP="00335764">
      <w:pPr>
        <w:numPr>
          <w:ilvl w:val="0"/>
          <w:numId w:val="1"/>
        </w:numPr>
        <w:tabs>
          <w:tab w:val="clear" w:pos="375"/>
          <w:tab w:val="num" w:pos="851"/>
        </w:tabs>
        <w:spacing w:line="240" w:lineRule="auto"/>
        <w:ind w:left="851" w:hanging="851"/>
        <w:jc w:val="left"/>
        <w:rPr>
          <w:rFonts w:cs="Arial"/>
          <w:b/>
          <w:sz w:val="20"/>
          <w:szCs w:val="20"/>
        </w:rPr>
      </w:pPr>
      <w:r w:rsidRPr="00335764">
        <w:rPr>
          <w:rFonts w:cs="Arial"/>
          <w:b/>
          <w:sz w:val="20"/>
          <w:szCs w:val="20"/>
        </w:rPr>
        <w:t>Overview of Vote 25</w:t>
      </w:r>
      <w:r w:rsidR="00C138D3" w:rsidRPr="00335764">
        <w:rPr>
          <w:rFonts w:cs="Arial"/>
          <w:b/>
          <w:sz w:val="20"/>
          <w:szCs w:val="20"/>
        </w:rPr>
        <w:t>: Justice and Constitutional Development</w:t>
      </w:r>
    </w:p>
    <w:p w:rsidR="003431A2" w:rsidRPr="00335764" w:rsidRDefault="003431A2" w:rsidP="00335764">
      <w:pPr>
        <w:autoSpaceDE w:val="0"/>
        <w:autoSpaceDN w:val="0"/>
        <w:adjustRightInd w:val="0"/>
        <w:spacing w:line="240" w:lineRule="auto"/>
        <w:jc w:val="left"/>
        <w:rPr>
          <w:rFonts w:cs="Arial"/>
          <w:spacing w:val="0"/>
          <w:sz w:val="20"/>
          <w:szCs w:val="20"/>
          <w:lang w:val="en-ZA" w:eastAsia="en-ZA"/>
        </w:rPr>
      </w:pPr>
    </w:p>
    <w:p w:rsidR="000170DB" w:rsidRPr="00335764" w:rsidRDefault="002C79D3" w:rsidP="00335764">
      <w:pPr>
        <w:numPr>
          <w:ilvl w:val="1"/>
          <w:numId w:val="1"/>
        </w:numPr>
        <w:autoSpaceDE w:val="0"/>
        <w:autoSpaceDN w:val="0"/>
        <w:adjustRightInd w:val="0"/>
        <w:spacing w:line="240" w:lineRule="auto"/>
        <w:ind w:left="851" w:hanging="851"/>
        <w:jc w:val="left"/>
        <w:rPr>
          <w:rFonts w:cs="Arial"/>
          <w:sz w:val="20"/>
          <w:szCs w:val="20"/>
          <w:lang w:val="en-ZA"/>
        </w:rPr>
      </w:pPr>
      <w:r w:rsidRPr="00335764">
        <w:rPr>
          <w:rFonts w:cs="Arial"/>
          <w:sz w:val="20"/>
          <w:szCs w:val="20"/>
        </w:rPr>
        <w:t xml:space="preserve">The overall allocation to the Justice and Constitutional Development Vote (Vote 25) for </w:t>
      </w:r>
      <w:r w:rsidR="006D3E0A" w:rsidRPr="00335764">
        <w:rPr>
          <w:rFonts w:cs="Arial"/>
          <w:sz w:val="20"/>
          <w:szCs w:val="20"/>
        </w:rPr>
        <w:t>202</w:t>
      </w:r>
      <w:r w:rsidR="00875E18" w:rsidRPr="00335764">
        <w:rPr>
          <w:rFonts w:cs="Arial"/>
          <w:sz w:val="20"/>
          <w:szCs w:val="20"/>
        </w:rPr>
        <w:t>3/24</w:t>
      </w:r>
      <w:r w:rsidR="00CA2A16" w:rsidRPr="00335764">
        <w:rPr>
          <w:rFonts w:cs="Arial"/>
          <w:sz w:val="20"/>
          <w:szCs w:val="20"/>
        </w:rPr>
        <w:t>, including the Direct Transfer for Magistrate’</w:t>
      </w:r>
      <w:r w:rsidR="008707DE" w:rsidRPr="00335764">
        <w:rPr>
          <w:rFonts w:cs="Arial"/>
          <w:sz w:val="20"/>
          <w:szCs w:val="20"/>
        </w:rPr>
        <w:t>s</w:t>
      </w:r>
      <w:r w:rsidR="00CA2A16" w:rsidRPr="00335764">
        <w:rPr>
          <w:rFonts w:cs="Arial"/>
          <w:sz w:val="20"/>
          <w:szCs w:val="20"/>
        </w:rPr>
        <w:t xml:space="preserve"> salaries</w:t>
      </w:r>
      <w:r w:rsidR="00D53B9D" w:rsidRPr="00335764">
        <w:rPr>
          <w:rFonts w:cs="Arial"/>
          <w:sz w:val="20"/>
          <w:szCs w:val="20"/>
        </w:rPr>
        <w:t>,</w:t>
      </w:r>
      <w:r w:rsidR="00CA2A16" w:rsidRPr="00335764">
        <w:rPr>
          <w:rFonts w:cs="Arial"/>
          <w:sz w:val="20"/>
          <w:szCs w:val="20"/>
        </w:rPr>
        <w:t xml:space="preserve"> </w:t>
      </w:r>
      <w:r w:rsidR="00875E18" w:rsidRPr="00335764">
        <w:rPr>
          <w:rFonts w:cs="Arial"/>
          <w:sz w:val="20"/>
          <w:szCs w:val="20"/>
        </w:rPr>
        <w:t xml:space="preserve">is </w:t>
      </w:r>
      <w:r w:rsidR="000170DB" w:rsidRPr="00335764">
        <w:rPr>
          <w:rFonts w:cs="Arial"/>
          <w:sz w:val="20"/>
          <w:szCs w:val="20"/>
        </w:rPr>
        <w:t xml:space="preserve">R23.2 </w:t>
      </w:r>
      <w:r w:rsidR="006D3E0A" w:rsidRPr="00335764">
        <w:rPr>
          <w:rFonts w:cs="Arial"/>
          <w:sz w:val="20"/>
          <w:szCs w:val="20"/>
        </w:rPr>
        <w:t>billion</w:t>
      </w:r>
      <w:r w:rsidRPr="00335764">
        <w:rPr>
          <w:rFonts w:cs="Arial"/>
          <w:sz w:val="20"/>
          <w:szCs w:val="20"/>
        </w:rPr>
        <w:t xml:space="preserve"> (compared with</w:t>
      </w:r>
      <w:r w:rsidR="006D3E0A" w:rsidRPr="00335764">
        <w:rPr>
          <w:rFonts w:cs="Arial"/>
          <w:sz w:val="20"/>
          <w:szCs w:val="20"/>
        </w:rPr>
        <w:t xml:space="preserve"> the adjusted budget of</w:t>
      </w:r>
      <w:r w:rsidRPr="00335764">
        <w:rPr>
          <w:rFonts w:cs="Arial"/>
          <w:sz w:val="20"/>
          <w:szCs w:val="20"/>
        </w:rPr>
        <w:t xml:space="preserve"> R</w:t>
      </w:r>
      <w:r w:rsidR="000170DB" w:rsidRPr="00335764">
        <w:rPr>
          <w:rFonts w:cs="Arial"/>
          <w:sz w:val="20"/>
          <w:szCs w:val="20"/>
        </w:rPr>
        <w:t xml:space="preserve">22.9 </w:t>
      </w:r>
      <w:r w:rsidRPr="00335764">
        <w:rPr>
          <w:rFonts w:cs="Arial"/>
          <w:sz w:val="20"/>
          <w:szCs w:val="20"/>
        </w:rPr>
        <w:t>billion in 20</w:t>
      </w:r>
      <w:r w:rsidR="006D3E0A" w:rsidRPr="00335764">
        <w:rPr>
          <w:rFonts w:cs="Arial"/>
          <w:sz w:val="20"/>
          <w:szCs w:val="20"/>
        </w:rPr>
        <w:t>2</w:t>
      </w:r>
      <w:r w:rsidR="00D53B9D" w:rsidRPr="00335764">
        <w:rPr>
          <w:rFonts w:cs="Arial"/>
          <w:sz w:val="20"/>
          <w:szCs w:val="20"/>
        </w:rPr>
        <w:t>2/23</w:t>
      </w:r>
      <w:r w:rsidRPr="00335764">
        <w:rPr>
          <w:rFonts w:cs="Arial"/>
          <w:sz w:val="20"/>
          <w:szCs w:val="20"/>
        </w:rPr>
        <w:t xml:space="preserve">). </w:t>
      </w:r>
      <w:r w:rsidR="000170DB" w:rsidRPr="00335764">
        <w:rPr>
          <w:rFonts w:cs="Arial"/>
          <w:sz w:val="20"/>
          <w:szCs w:val="20"/>
        </w:rPr>
        <w:t xml:space="preserve">In real terms, the Vote </w:t>
      </w:r>
      <w:r w:rsidR="000170DB" w:rsidRPr="00335764">
        <w:rPr>
          <w:rFonts w:cs="Arial"/>
          <w:sz w:val="20"/>
          <w:szCs w:val="20"/>
          <w:lang w:val="en-ZA"/>
        </w:rPr>
        <w:t>allocation decreases by -3.37% compared with 2022/23.</w:t>
      </w:r>
    </w:p>
    <w:p w:rsidR="00D53B9D" w:rsidRPr="00335764" w:rsidRDefault="00D53B9D" w:rsidP="00335764">
      <w:pPr>
        <w:autoSpaceDE w:val="0"/>
        <w:autoSpaceDN w:val="0"/>
        <w:adjustRightInd w:val="0"/>
        <w:spacing w:line="240" w:lineRule="auto"/>
        <w:ind w:left="851"/>
        <w:jc w:val="left"/>
        <w:rPr>
          <w:rFonts w:cs="Arial"/>
          <w:sz w:val="20"/>
          <w:szCs w:val="20"/>
          <w:lang w:val="en-ZA"/>
        </w:rPr>
      </w:pPr>
    </w:p>
    <w:p w:rsidR="00DC3799" w:rsidRPr="00335764" w:rsidRDefault="000170DB" w:rsidP="00335764">
      <w:pPr>
        <w:numPr>
          <w:ilvl w:val="1"/>
          <w:numId w:val="1"/>
        </w:numPr>
        <w:autoSpaceDE w:val="0"/>
        <w:autoSpaceDN w:val="0"/>
        <w:adjustRightInd w:val="0"/>
        <w:spacing w:line="240" w:lineRule="auto"/>
        <w:ind w:left="851" w:hanging="851"/>
        <w:jc w:val="left"/>
        <w:rPr>
          <w:rFonts w:cs="Arial"/>
          <w:sz w:val="20"/>
          <w:szCs w:val="20"/>
          <w:lang w:val="en-ZA"/>
        </w:rPr>
      </w:pPr>
      <w:r w:rsidRPr="00335764">
        <w:rPr>
          <w:rFonts w:cs="Arial"/>
          <w:sz w:val="20"/>
          <w:szCs w:val="20"/>
        </w:rPr>
        <w:t>In 2023/24, t</w:t>
      </w:r>
      <w:r w:rsidR="0037225B" w:rsidRPr="00335764">
        <w:rPr>
          <w:rFonts w:cs="Arial"/>
          <w:sz w:val="20"/>
          <w:szCs w:val="20"/>
        </w:rPr>
        <w:t xml:space="preserve">he total </w:t>
      </w:r>
      <w:r w:rsidR="00D53B9D" w:rsidRPr="00335764">
        <w:rPr>
          <w:rFonts w:cs="Arial"/>
          <w:sz w:val="20"/>
          <w:szCs w:val="20"/>
        </w:rPr>
        <w:t xml:space="preserve">allocated </w:t>
      </w:r>
      <w:r w:rsidRPr="00335764">
        <w:rPr>
          <w:rFonts w:cs="Arial"/>
          <w:sz w:val="20"/>
          <w:szCs w:val="20"/>
        </w:rPr>
        <w:t xml:space="preserve">in 2023/23 </w:t>
      </w:r>
      <w:r w:rsidR="0037225B" w:rsidRPr="00335764">
        <w:rPr>
          <w:rFonts w:cs="Arial"/>
          <w:sz w:val="20"/>
          <w:szCs w:val="20"/>
        </w:rPr>
        <w:t xml:space="preserve">for programmes </w:t>
      </w:r>
      <w:r w:rsidRPr="00335764">
        <w:rPr>
          <w:rFonts w:cs="Arial"/>
          <w:sz w:val="20"/>
          <w:szCs w:val="20"/>
        </w:rPr>
        <w:t>is R20.8</w:t>
      </w:r>
      <w:r w:rsidR="0037225B" w:rsidRPr="00335764">
        <w:rPr>
          <w:rFonts w:cs="Arial"/>
          <w:sz w:val="20"/>
          <w:szCs w:val="20"/>
        </w:rPr>
        <w:t xml:space="preserve"> billion</w:t>
      </w:r>
      <w:r w:rsidRPr="00335764">
        <w:rPr>
          <w:rFonts w:cs="Arial"/>
          <w:sz w:val="20"/>
          <w:szCs w:val="20"/>
        </w:rPr>
        <w:t xml:space="preserve"> (compared with R20.5 billion in 2022/23), while </w:t>
      </w:r>
      <w:r w:rsidR="0037225B" w:rsidRPr="00335764">
        <w:rPr>
          <w:rFonts w:cs="Arial"/>
          <w:sz w:val="20"/>
          <w:szCs w:val="20"/>
        </w:rPr>
        <w:t>R2.4 billion is allocated to Magistrate’s salaries.</w:t>
      </w:r>
      <w:r w:rsidR="00E13F33" w:rsidRPr="00335764">
        <w:rPr>
          <w:rFonts w:cs="Arial"/>
          <w:sz w:val="20"/>
          <w:szCs w:val="20"/>
        </w:rPr>
        <w:t xml:space="preserve"> </w:t>
      </w:r>
    </w:p>
    <w:p w:rsidR="00E13F33" w:rsidRPr="00335764" w:rsidRDefault="00E13F33" w:rsidP="00335764">
      <w:pPr>
        <w:pStyle w:val="ListParagraph"/>
        <w:spacing w:line="240" w:lineRule="auto"/>
        <w:ind w:left="851"/>
        <w:jc w:val="left"/>
        <w:rPr>
          <w:rFonts w:cs="Arial"/>
          <w:spacing w:val="0"/>
          <w:sz w:val="20"/>
          <w:szCs w:val="20"/>
          <w:lang w:val="en-ZA" w:eastAsia="en-ZA"/>
        </w:rPr>
      </w:pPr>
    </w:p>
    <w:p w:rsidR="00E13F33" w:rsidRPr="00335764" w:rsidRDefault="00E13F33" w:rsidP="00335764">
      <w:pPr>
        <w:pStyle w:val="ListParagraph"/>
        <w:numPr>
          <w:ilvl w:val="1"/>
          <w:numId w:val="1"/>
        </w:numPr>
        <w:spacing w:line="240" w:lineRule="auto"/>
        <w:ind w:left="851" w:hanging="851"/>
        <w:jc w:val="left"/>
        <w:rPr>
          <w:rFonts w:cs="Arial"/>
          <w:sz w:val="20"/>
          <w:szCs w:val="20"/>
          <w:lang/>
        </w:rPr>
      </w:pPr>
      <w:r w:rsidRPr="00335764">
        <w:rPr>
          <w:rFonts w:cs="Arial"/>
          <w:sz w:val="20"/>
          <w:szCs w:val="20"/>
          <w:lang w:val="en-ZA"/>
        </w:rPr>
        <w:t>The three Justice administered programmes (Administration, Court Services and State Legal Services)</w:t>
      </w:r>
      <w:r w:rsidR="008707DE" w:rsidRPr="00335764">
        <w:rPr>
          <w:rFonts w:cs="Arial"/>
          <w:sz w:val="20"/>
          <w:szCs w:val="20"/>
          <w:lang w:val="en-ZA"/>
        </w:rPr>
        <w:t>,</w:t>
      </w:r>
      <w:r w:rsidRPr="00335764">
        <w:rPr>
          <w:rFonts w:cs="Arial"/>
          <w:sz w:val="20"/>
          <w:szCs w:val="20"/>
          <w:lang w:val="en-ZA"/>
        </w:rPr>
        <w:t xml:space="preserve"> as well as the Justice Modernisation subprogramme</w:t>
      </w:r>
      <w:r w:rsidR="008707DE" w:rsidRPr="00335764">
        <w:rPr>
          <w:rFonts w:cs="Arial"/>
          <w:sz w:val="20"/>
          <w:szCs w:val="20"/>
          <w:lang w:val="en-ZA"/>
        </w:rPr>
        <w:t xml:space="preserve"> under Programme 5,</w:t>
      </w:r>
      <w:r w:rsidRPr="00335764">
        <w:rPr>
          <w:rFonts w:cs="Arial"/>
          <w:sz w:val="20"/>
          <w:szCs w:val="20"/>
          <w:lang w:val="en-ZA"/>
        </w:rPr>
        <w:t xml:space="preserve"> are </w:t>
      </w:r>
      <w:r w:rsidR="000170DB" w:rsidRPr="00335764">
        <w:rPr>
          <w:rFonts w:cs="Arial"/>
          <w:sz w:val="20"/>
          <w:szCs w:val="20"/>
          <w:lang w:val="en-ZA"/>
        </w:rPr>
        <w:t xml:space="preserve">together </w:t>
      </w:r>
      <w:r w:rsidRPr="00335764">
        <w:rPr>
          <w:rFonts w:cs="Arial"/>
          <w:sz w:val="20"/>
          <w:szCs w:val="20"/>
          <w:lang w:val="en-ZA"/>
        </w:rPr>
        <w:t>allocated R1</w:t>
      </w:r>
      <w:r w:rsidR="00C91B6E" w:rsidRPr="00335764">
        <w:rPr>
          <w:rFonts w:cs="Arial"/>
          <w:sz w:val="20"/>
          <w:szCs w:val="20"/>
          <w:lang w:val="en-ZA"/>
        </w:rPr>
        <w:t>2 billion for 2023/24</w:t>
      </w:r>
      <w:r w:rsidRPr="00335764">
        <w:rPr>
          <w:rFonts w:cs="Arial"/>
          <w:sz w:val="20"/>
          <w:szCs w:val="20"/>
          <w:lang w:val="en-ZA"/>
        </w:rPr>
        <w:t>, compared with an adjusted approp</w:t>
      </w:r>
      <w:r w:rsidR="00C91B6E" w:rsidRPr="00335764">
        <w:rPr>
          <w:rFonts w:cs="Arial"/>
          <w:sz w:val="20"/>
          <w:szCs w:val="20"/>
          <w:lang w:val="en-ZA"/>
        </w:rPr>
        <w:t>riation of R11.8 billion in 2022/23</w:t>
      </w:r>
      <w:r w:rsidRPr="00335764">
        <w:rPr>
          <w:rFonts w:cs="Arial"/>
          <w:sz w:val="20"/>
          <w:szCs w:val="20"/>
          <w:lang w:val="en-ZA"/>
        </w:rPr>
        <w:t>.</w:t>
      </w:r>
    </w:p>
    <w:p w:rsidR="00A8398F" w:rsidRPr="00335764" w:rsidRDefault="00A8398F" w:rsidP="00335764">
      <w:pPr>
        <w:spacing w:line="240" w:lineRule="auto"/>
        <w:ind w:left="375"/>
        <w:jc w:val="left"/>
        <w:rPr>
          <w:rFonts w:cs="Arial"/>
          <w:b/>
          <w:sz w:val="20"/>
          <w:szCs w:val="20"/>
        </w:rPr>
      </w:pPr>
    </w:p>
    <w:p w:rsidR="00A8398F" w:rsidRPr="00335764" w:rsidRDefault="00382D12" w:rsidP="00335764">
      <w:pPr>
        <w:spacing w:line="240" w:lineRule="auto"/>
        <w:jc w:val="left"/>
        <w:rPr>
          <w:rFonts w:cs="Arial"/>
          <w:b/>
          <w:sz w:val="20"/>
          <w:szCs w:val="20"/>
        </w:rPr>
      </w:pPr>
      <w:r w:rsidRPr="00335764">
        <w:rPr>
          <w:rFonts w:cs="Arial"/>
          <w:b/>
          <w:sz w:val="20"/>
          <w:szCs w:val="20"/>
        </w:rPr>
        <w:t>Vote 25</w:t>
      </w:r>
      <w:r w:rsidR="00A8398F" w:rsidRPr="00335764">
        <w:rPr>
          <w:rFonts w:cs="Arial"/>
          <w:b/>
          <w:sz w:val="20"/>
          <w:szCs w:val="20"/>
        </w:rPr>
        <w:t xml:space="preserve"> - Justice and Constitutional Development </w:t>
      </w:r>
      <w:r w:rsidR="001A7F0F" w:rsidRPr="00335764">
        <w:rPr>
          <w:rFonts w:cs="Arial"/>
          <w:b/>
          <w:sz w:val="20"/>
          <w:szCs w:val="20"/>
        </w:rPr>
        <w:t>–</w:t>
      </w:r>
      <w:r w:rsidR="00F06A68" w:rsidRPr="00335764">
        <w:rPr>
          <w:rFonts w:cs="Arial"/>
          <w:b/>
          <w:sz w:val="20"/>
          <w:szCs w:val="20"/>
        </w:rPr>
        <w:t xml:space="preserve"> </w:t>
      </w:r>
      <w:r w:rsidR="001A7F0F" w:rsidRPr="00335764">
        <w:rPr>
          <w:rFonts w:cs="Arial"/>
          <w:b/>
          <w:sz w:val="20"/>
          <w:szCs w:val="20"/>
        </w:rPr>
        <w:t xml:space="preserve">Allocation </w:t>
      </w:r>
      <w:r w:rsidR="00A8398F" w:rsidRPr="00335764">
        <w:rPr>
          <w:rFonts w:cs="Arial"/>
          <w:b/>
          <w:sz w:val="20"/>
          <w:szCs w:val="20"/>
        </w:rPr>
        <w:t>for the 20</w:t>
      </w:r>
      <w:r w:rsidR="00875E18" w:rsidRPr="00335764">
        <w:rPr>
          <w:rFonts w:cs="Arial"/>
          <w:b/>
          <w:sz w:val="20"/>
          <w:szCs w:val="20"/>
        </w:rPr>
        <w:t>23</w:t>
      </w:r>
      <w:r w:rsidR="00A8398F" w:rsidRPr="00335764">
        <w:rPr>
          <w:rFonts w:cs="Arial"/>
          <w:b/>
          <w:sz w:val="20"/>
          <w:szCs w:val="20"/>
        </w:rPr>
        <w:t xml:space="preserve"> MTEF per programme</w:t>
      </w:r>
    </w:p>
    <w:tbl>
      <w:tblPr>
        <w:tblW w:w="0" w:type="auto"/>
        <w:tblLook w:val="0000"/>
      </w:tblPr>
      <w:tblGrid>
        <w:gridCol w:w="2265"/>
        <w:gridCol w:w="1057"/>
        <w:gridCol w:w="1071"/>
        <w:gridCol w:w="1133"/>
        <w:gridCol w:w="1274"/>
        <w:gridCol w:w="1390"/>
        <w:gridCol w:w="1438"/>
      </w:tblGrid>
      <w:tr w:rsidR="0075558D" w:rsidRPr="00335764" w:rsidTr="006A0D79">
        <w:trPr>
          <w:trHeight w:val="861"/>
          <w:tblHeader/>
        </w:trPr>
        <w:tc>
          <w:tcPr>
            <w:tcW w:w="2265" w:type="dxa"/>
            <w:vMerge w:val="restart"/>
            <w:tcBorders>
              <w:top w:val="single" w:sz="2" w:space="0" w:color="000000"/>
              <w:left w:val="single" w:sz="2" w:space="0" w:color="000000"/>
              <w:right w:val="single" w:sz="6" w:space="0" w:color="auto"/>
            </w:tcBorders>
            <w:shd w:val="clear" w:color="auto" w:fill="D9D9D9"/>
          </w:tcPr>
          <w:p w:rsidR="00703A48" w:rsidRPr="00335764" w:rsidRDefault="00703A48"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Programme</w:t>
            </w:r>
          </w:p>
          <w:p w:rsidR="00703A48" w:rsidRPr="00335764" w:rsidRDefault="00703A48"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(R ‘million)</w:t>
            </w:r>
          </w:p>
        </w:tc>
        <w:tc>
          <w:tcPr>
            <w:tcW w:w="4535" w:type="dxa"/>
            <w:gridSpan w:val="4"/>
            <w:tcBorders>
              <w:top w:val="single" w:sz="6" w:space="0" w:color="auto"/>
              <w:left w:val="single" w:sz="6" w:space="0" w:color="auto"/>
              <w:bottom w:val="single" w:sz="2" w:space="0" w:color="000000"/>
              <w:right w:val="single" w:sz="6" w:space="0" w:color="auto"/>
            </w:tcBorders>
            <w:shd w:val="clear" w:color="auto" w:fill="D9D9D9"/>
          </w:tcPr>
          <w:p w:rsidR="00703A48" w:rsidRPr="00335764" w:rsidRDefault="00703A48"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Budget</w:t>
            </w:r>
          </w:p>
          <w:p w:rsidR="00703A48" w:rsidRPr="00335764" w:rsidRDefault="00C91B6E"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2023</w:t>
            </w:r>
            <w:r w:rsidR="00703A48" w:rsidRPr="00335764">
              <w:rPr>
                <w:rFonts w:eastAsia="Calibri" w:cs="Arial"/>
                <w:b/>
                <w:bCs/>
                <w:spacing w:val="0"/>
                <w:sz w:val="20"/>
                <w:szCs w:val="20"/>
                <w:lang w:val="en-ZA" w:eastAsia="en-US"/>
              </w:rPr>
              <w:t xml:space="preserve"> MTEF</w:t>
            </w:r>
          </w:p>
        </w:tc>
        <w:tc>
          <w:tcPr>
            <w:tcW w:w="1390" w:type="dxa"/>
            <w:vMerge w:val="restart"/>
            <w:tcBorders>
              <w:top w:val="single" w:sz="6" w:space="0" w:color="auto"/>
              <w:left w:val="single" w:sz="6" w:space="0" w:color="auto"/>
              <w:right w:val="single" w:sz="6" w:space="0" w:color="auto"/>
            </w:tcBorders>
            <w:shd w:val="clear" w:color="auto" w:fill="D9D9D9"/>
          </w:tcPr>
          <w:p w:rsidR="0075558D" w:rsidRPr="00335764" w:rsidRDefault="006A0D79"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Average % Total E</w:t>
            </w:r>
            <w:r w:rsidR="0075558D" w:rsidRPr="00335764">
              <w:rPr>
                <w:rFonts w:eastAsia="Calibri" w:cs="Arial"/>
                <w:b/>
                <w:bCs/>
                <w:spacing w:val="0"/>
                <w:sz w:val="20"/>
                <w:szCs w:val="20"/>
                <w:lang w:val="en-ZA" w:eastAsia="en-US"/>
              </w:rPr>
              <w:t>xpenditure</w:t>
            </w:r>
          </w:p>
          <w:p w:rsidR="00703A48" w:rsidRPr="00335764" w:rsidRDefault="006A0D79"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2022/23-2025/26</w:t>
            </w:r>
          </w:p>
        </w:tc>
        <w:tc>
          <w:tcPr>
            <w:tcW w:w="0" w:type="auto"/>
            <w:vMerge w:val="restart"/>
            <w:tcBorders>
              <w:top w:val="single" w:sz="6" w:space="0" w:color="auto"/>
              <w:left w:val="single" w:sz="6" w:space="0" w:color="auto"/>
              <w:right w:val="single" w:sz="6" w:space="0" w:color="auto"/>
            </w:tcBorders>
            <w:shd w:val="clear" w:color="auto" w:fill="D9D9D9"/>
          </w:tcPr>
          <w:p w:rsidR="00703A48" w:rsidRPr="00335764" w:rsidRDefault="00703A48"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 xml:space="preserve">Real % change </w:t>
            </w:r>
          </w:p>
          <w:p w:rsidR="00703A48" w:rsidRPr="00335764" w:rsidRDefault="00703A48" w:rsidP="00335764">
            <w:pPr>
              <w:autoSpaceDE w:val="0"/>
              <w:autoSpaceDN w:val="0"/>
              <w:adjustRightInd w:val="0"/>
              <w:spacing w:line="240" w:lineRule="auto"/>
              <w:jc w:val="left"/>
              <w:rPr>
                <w:rFonts w:eastAsia="Calibri" w:cs="Arial"/>
                <w:b/>
                <w:bCs/>
                <w:spacing w:val="0"/>
                <w:sz w:val="20"/>
                <w:szCs w:val="20"/>
                <w:lang w:val="en-ZA" w:eastAsia="en-US"/>
              </w:rPr>
            </w:pPr>
          </w:p>
        </w:tc>
      </w:tr>
      <w:tr w:rsidR="0075558D" w:rsidRPr="00335764" w:rsidTr="006A0D79">
        <w:trPr>
          <w:trHeight w:val="247"/>
          <w:tblHeader/>
        </w:trPr>
        <w:tc>
          <w:tcPr>
            <w:tcW w:w="2265" w:type="dxa"/>
            <w:vMerge/>
            <w:tcBorders>
              <w:left w:val="single" w:sz="2" w:space="0" w:color="000000"/>
              <w:bottom w:val="single" w:sz="2" w:space="0" w:color="000000"/>
              <w:right w:val="single" w:sz="6" w:space="0" w:color="auto"/>
            </w:tcBorders>
          </w:tcPr>
          <w:p w:rsidR="00703A48" w:rsidRPr="00335764" w:rsidRDefault="00703A48" w:rsidP="00335764">
            <w:pPr>
              <w:autoSpaceDE w:val="0"/>
              <w:autoSpaceDN w:val="0"/>
              <w:adjustRightInd w:val="0"/>
              <w:spacing w:line="240" w:lineRule="auto"/>
              <w:jc w:val="left"/>
              <w:rPr>
                <w:rFonts w:eastAsia="Calibri" w:cs="Arial"/>
                <w:b/>
                <w:bCs/>
                <w:spacing w:val="0"/>
                <w:sz w:val="20"/>
                <w:szCs w:val="20"/>
                <w:lang w:val="en-ZA" w:eastAsia="en-US"/>
              </w:rPr>
            </w:pPr>
          </w:p>
        </w:tc>
        <w:tc>
          <w:tcPr>
            <w:tcW w:w="1057" w:type="dxa"/>
            <w:tcBorders>
              <w:top w:val="single" w:sz="2" w:space="0" w:color="000000"/>
              <w:left w:val="single" w:sz="6" w:space="0" w:color="auto"/>
              <w:bottom w:val="single" w:sz="6" w:space="0" w:color="auto"/>
              <w:right w:val="single" w:sz="4" w:space="0" w:color="auto"/>
            </w:tcBorders>
            <w:shd w:val="clear" w:color="auto" w:fill="D9D9D9"/>
          </w:tcPr>
          <w:p w:rsidR="00703A48" w:rsidRPr="00335764" w:rsidRDefault="00C91B6E"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2022/23</w:t>
            </w:r>
          </w:p>
        </w:tc>
        <w:tc>
          <w:tcPr>
            <w:tcW w:w="1071" w:type="dxa"/>
            <w:tcBorders>
              <w:top w:val="single" w:sz="4" w:space="0" w:color="auto"/>
              <w:left w:val="single" w:sz="4" w:space="0" w:color="auto"/>
              <w:bottom w:val="single" w:sz="4" w:space="0" w:color="auto"/>
              <w:right w:val="single" w:sz="4" w:space="0" w:color="auto"/>
            </w:tcBorders>
            <w:shd w:val="clear" w:color="auto" w:fill="D9D9D9"/>
          </w:tcPr>
          <w:p w:rsidR="00703A48" w:rsidRPr="00335764" w:rsidRDefault="00C91B6E"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2023/24</w:t>
            </w:r>
          </w:p>
        </w:tc>
        <w:tc>
          <w:tcPr>
            <w:tcW w:w="1133" w:type="dxa"/>
            <w:tcBorders>
              <w:top w:val="single" w:sz="4" w:space="0" w:color="auto"/>
              <w:left w:val="single" w:sz="4" w:space="0" w:color="auto"/>
              <w:bottom w:val="single" w:sz="4" w:space="0" w:color="auto"/>
              <w:right w:val="single" w:sz="4" w:space="0" w:color="auto"/>
            </w:tcBorders>
            <w:shd w:val="clear" w:color="auto" w:fill="D9D9D9"/>
          </w:tcPr>
          <w:p w:rsidR="00703A48" w:rsidRPr="00335764" w:rsidRDefault="00C91B6E"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2024/25</w:t>
            </w:r>
          </w:p>
        </w:tc>
        <w:tc>
          <w:tcPr>
            <w:tcW w:w="1274" w:type="dxa"/>
            <w:tcBorders>
              <w:top w:val="single" w:sz="4" w:space="0" w:color="auto"/>
              <w:left w:val="single" w:sz="4" w:space="0" w:color="auto"/>
              <w:bottom w:val="single" w:sz="4" w:space="0" w:color="auto"/>
              <w:right w:val="single" w:sz="6" w:space="0" w:color="auto"/>
            </w:tcBorders>
            <w:shd w:val="clear" w:color="auto" w:fill="D9D9D9"/>
          </w:tcPr>
          <w:p w:rsidR="00703A48" w:rsidRPr="00335764" w:rsidRDefault="00C91B6E"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2025/26</w:t>
            </w:r>
          </w:p>
        </w:tc>
        <w:tc>
          <w:tcPr>
            <w:tcW w:w="1390" w:type="dxa"/>
            <w:vMerge/>
            <w:tcBorders>
              <w:left w:val="single" w:sz="6" w:space="0" w:color="auto"/>
              <w:bottom w:val="single" w:sz="4" w:space="0" w:color="auto"/>
              <w:right w:val="single" w:sz="6" w:space="0" w:color="auto"/>
            </w:tcBorders>
            <w:shd w:val="clear" w:color="auto" w:fill="D9D9D9"/>
          </w:tcPr>
          <w:p w:rsidR="00703A48" w:rsidRPr="00335764" w:rsidRDefault="00703A48" w:rsidP="00335764">
            <w:pPr>
              <w:autoSpaceDE w:val="0"/>
              <w:autoSpaceDN w:val="0"/>
              <w:adjustRightInd w:val="0"/>
              <w:spacing w:line="240" w:lineRule="auto"/>
              <w:jc w:val="left"/>
              <w:rPr>
                <w:rFonts w:eastAsia="Calibri" w:cs="Arial"/>
                <w:b/>
                <w:bCs/>
                <w:spacing w:val="0"/>
                <w:sz w:val="20"/>
                <w:szCs w:val="20"/>
                <w:lang w:val="en-ZA" w:eastAsia="en-US"/>
              </w:rPr>
            </w:pPr>
          </w:p>
        </w:tc>
        <w:tc>
          <w:tcPr>
            <w:tcW w:w="0" w:type="auto"/>
            <w:vMerge/>
            <w:tcBorders>
              <w:left w:val="single" w:sz="6" w:space="0" w:color="auto"/>
              <w:bottom w:val="single" w:sz="4" w:space="0" w:color="auto"/>
              <w:right w:val="single" w:sz="6" w:space="0" w:color="auto"/>
            </w:tcBorders>
            <w:shd w:val="clear" w:color="auto" w:fill="D9D9D9"/>
          </w:tcPr>
          <w:p w:rsidR="00703A48" w:rsidRPr="00335764" w:rsidRDefault="00703A48" w:rsidP="00335764">
            <w:pPr>
              <w:autoSpaceDE w:val="0"/>
              <w:autoSpaceDN w:val="0"/>
              <w:adjustRightInd w:val="0"/>
              <w:spacing w:line="240" w:lineRule="auto"/>
              <w:jc w:val="left"/>
              <w:rPr>
                <w:rFonts w:eastAsia="Calibri" w:cs="Arial"/>
                <w:b/>
                <w:bCs/>
                <w:spacing w:val="0"/>
                <w:sz w:val="20"/>
                <w:szCs w:val="20"/>
                <w:lang w:val="en-ZA" w:eastAsia="en-US"/>
              </w:rPr>
            </w:pPr>
          </w:p>
        </w:tc>
      </w:tr>
      <w:tr w:rsidR="006A0D79" w:rsidRPr="00335764" w:rsidTr="006A0D79">
        <w:trPr>
          <w:trHeight w:val="563"/>
        </w:trPr>
        <w:tc>
          <w:tcPr>
            <w:tcW w:w="2265" w:type="dxa"/>
            <w:tcBorders>
              <w:top w:val="single" w:sz="4" w:space="0" w:color="auto"/>
              <w:left w:val="single" w:sz="2" w:space="0" w:color="000000"/>
              <w:bottom w:val="single" w:sz="2" w:space="0" w:color="000000"/>
              <w:right w:val="single" w:sz="2" w:space="0" w:color="000000"/>
            </w:tcBorders>
          </w:tcPr>
          <w:p w:rsidR="006A0D79" w:rsidRPr="00335764" w:rsidRDefault="006A0D79" w:rsidP="00335764">
            <w:pPr>
              <w:autoSpaceDE w:val="0"/>
              <w:autoSpaceDN w:val="0"/>
              <w:adjustRightInd w:val="0"/>
              <w:spacing w:line="240" w:lineRule="auto"/>
              <w:jc w:val="left"/>
              <w:rPr>
                <w:rFonts w:eastAsia="Calibri" w:cs="Arial"/>
                <w:spacing w:val="0"/>
                <w:sz w:val="20"/>
                <w:szCs w:val="20"/>
                <w:lang w:val="en-ZA" w:eastAsia="en-US"/>
              </w:rPr>
            </w:pPr>
            <w:r w:rsidRPr="00335764">
              <w:rPr>
                <w:rFonts w:eastAsia="Calibri" w:cs="Arial"/>
                <w:spacing w:val="0"/>
                <w:sz w:val="20"/>
                <w:szCs w:val="20"/>
                <w:lang w:val="en-ZA" w:eastAsia="en-US"/>
              </w:rPr>
              <w:t xml:space="preserve">Administration </w:t>
            </w:r>
          </w:p>
        </w:tc>
        <w:tc>
          <w:tcPr>
            <w:tcW w:w="1057" w:type="dxa"/>
            <w:tcBorders>
              <w:top w:val="single" w:sz="4" w:space="0" w:color="auto"/>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3 049.8</w:t>
            </w:r>
          </w:p>
        </w:tc>
        <w:tc>
          <w:tcPr>
            <w:tcW w:w="1071" w:type="dxa"/>
            <w:tcBorders>
              <w:top w:val="single" w:sz="4" w:space="0" w:color="auto"/>
              <w:left w:val="single" w:sz="2" w:space="0" w:color="000000"/>
              <w:bottom w:val="single" w:sz="2" w:space="0" w:color="000000"/>
              <w:right w:val="single" w:sz="2" w:space="0" w:color="000000"/>
            </w:tcBorders>
            <w:shd w:val="clear" w:color="auto" w:fill="D9D9D9"/>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3 088.0</w:t>
            </w:r>
          </w:p>
        </w:tc>
        <w:tc>
          <w:tcPr>
            <w:tcW w:w="1133" w:type="dxa"/>
            <w:tcBorders>
              <w:top w:val="single" w:sz="4" w:space="0" w:color="auto"/>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3 229.8</w:t>
            </w:r>
          </w:p>
        </w:tc>
        <w:tc>
          <w:tcPr>
            <w:tcW w:w="1274" w:type="dxa"/>
            <w:tcBorders>
              <w:top w:val="single" w:sz="4" w:space="0" w:color="auto"/>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3 374.0</w:t>
            </w:r>
          </w:p>
        </w:tc>
        <w:tc>
          <w:tcPr>
            <w:tcW w:w="1390" w:type="dxa"/>
            <w:tcBorders>
              <w:top w:val="single" w:sz="4" w:space="0" w:color="auto"/>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13.4%</w:t>
            </w:r>
          </w:p>
        </w:tc>
        <w:tc>
          <w:tcPr>
            <w:tcW w:w="0" w:type="auto"/>
            <w:tcBorders>
              <w:top w:val="single" w:sz="4" w:space="0" w:color="auto"/>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rPr>
            </w:pPr>
            <w:r w:rsidRPr="00335764">
              <w:rPr>
                <w:rFonts w:cs="Arial"/>
                <w:sz w:val="20"/>
                <w:szCs w:val="20"/>
              </w:rPr>
              <w:t>-3.48%</w:t>
            </w:r>
          </w:p>
        </w:tc>
      </w:tr>
      <w:tr w:rsidR="006A0D79" w:rsidRPr="00335764" w:rsidTr="006A0D79">
        <w:trPr>
          <w:trHeight w:val="247"/>
        </w:trPr>
        <w:tc>
          <w:tcPr>
            <w:tcW w:w="2265"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autoSpaceDE w:val="0"/>
              <w:autoSpaceDN w:val="0"/>
              <w:adjustRightInd w:val="0"/>
              <w:spacing w:line="240" w:lineRule="auto"/>
              <w:jc w:val="left"/>
              <w:rPr>
                <w:rFonts w:eastAsia="Calibri" w:cs="Arial"/>
                <w:spacing w:val="0"/>
                <w:sz w:val="20"/>
                <w:szCs w:val="20"/>
                <w:lang w:val="en-ZA" w:eastAsia="en-US"/>
              </w:rPr>
            </w:pPr>
            <w:r w:rsidRPr="00335764">
              <w:rPr>
                <w:rFonts w:eastAsia="Calibri" w:cs="Arial"/>
                <w:spacing w:val="0"/>
                <w:sz w:val="20"/>
                <w:szCs w:val="20"/>
                <w:lang w:val="en-ZA" w:eastAsia="en-US"/>
              </w:rPr>
              <w:t>Court Services</w:t>
            </w:r>
          </w:p>
        </w:tc>
        <w:tc>
          <w:tcPr>
            <w:tcW w:w="1057"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6 680.2</w:t>
            </w:r>
          </w:p>
        </w:tc>
        <w:tc>
          <w:tcPr>
            <w:tcW w:w="1071" w:type="dxa"/>
            <w:tcBorders>
              <w:top w:val="single" w:sz="2" w:space="0" w:color="000000"/>
              <w:left w:val="single" w:sz="2" w:space="0" w:color="000000"/>
              <w:bottom w:val="single" w:sz="2" w:space="0" w:color="000000"/>
              <w:right w:val="single" w:sz="2" w:space="0" w:color="000000"/>
            </w:tcBorders>
            <w:shd w:val="clear" w:color="auto" w:fill="D9D9D9"/>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6 760.8</w:t>
            </w:r>
          </w:p>
        </w:tc>
        <w:tc>
          <w:tcPr>
            <w:tcW w:w="1133"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7 058.1</w:t>
            </w:r>
          </w:p>
        </w:tc>
        <w:tc>
          <w:tcPr>
            <w:tcW w:w="1274"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7 367.9</w:t>
            </w:r>
          </w:p>
        </w:tc>
        <w:tc>
          <w:tcPr>
            <w:tcW w:w="1390"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29.6%</w:t>
            </w:r>
          </w:p>
        </w:tc>
        <w:tc>
          <w:tcPr>
            <w:tcW w:w="0" w:type="auto"/>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rPr>
            </w:pPr>
            <w:r w:rsidRPr="00335764">
              <w:rPr>
                <w:rFonts w:cs="Arial"/>
                <w:sz w:val="20"/>
                <w:szCs w:val="20"/>
              </w:rPr>
              <w:t>-8.18%</w:t>
            </w:r>
          </w:p>
        </w:tc>
      </w:tr>
      <w:tr w:rsidR="006A0D79" w:rsidRPr="00335764" w:rsidTr="006A0D79">
        <w:trPr>
          <w:trHeight w:val="247"/>
        </w:trPr>
        <w:tc>
          <w:tcPr>
            <w:tcW w:w="2265"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autoSpaceDE w:val="0"/>
              <w:autoSpaceDN w:val="0"/>
              <w:adjustRightInd w:val="0"/>
              <w:spacing w:line="240" w:lineRule="auto"/>
              <w:jc w:val="left"/>
              <w:rPr>
                <w:rFonts w:eastAsia="Calibri" w:cs="Arial"/>
                <w:spacing w:val="0"/>
                <w:sz w:val="20"/>
                <w:szCs w:val="20"/>
                <w:lang w:val="en-ZA" w:eastAsia="en-US"/>
              </w:rPr>
            </w:pPr>
            <w:r w:rsidRPr="00335764">
              <w:rPr>
                <w:rFonts w:eastAsia="Calibri" w:cs="Arial"/>
                <w:spacing w:val="0"/>
                <w:sz w:val="20"/>
                <w:szCs w:val="20"/>
                <w:lang w:val="en-ZA" w:eastAsia="en-US"/>
              </w:rPr>
              <w:t>State Legal Services</w:t>
            </w:r>
          </w:p>
        </w:tc>
        <w:tc>
          <w:tcPr>
            <w:tcW w:w="1057"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1 303.8</w:t>
            </w:r>
          </w:p>
        </w:tc>
        <w:tc>
          <w:tcPr>
            <w:tcW w:w="1071" w:type="dxa"/>
            <w:tcBorders>
              <w:top w:val="single" w:sz="2" w:space="0" w:color="000000"/>
              <w:left w:val="single" w:sz="2" w:space="0" w:color="000000"/>
              <w:bottom w:val="single" w:sz="2" w:space="0" w:color="000000"/>
              <w:right w:val="single" w:sz="2" w:space="0" w:color="000000"/>
            </w:tcBorders>
            <w:shd w:val="clear" w:color="auto" w:fill="D9D9D9"/>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1 347.1</w:t>
            </w:r>
          </w:p>
        </w:tc>
        <w:tc>
          <w:tcPr>
            <w:tcW w:w="1133"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1 404.3</w:t>
            </w:r>
          </w:p>
        </w:tc>
        <w:tc>
          <w:tcPr>
            <w:tcW w:w="1274"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1 464.4</w:t>
            </w:r>
          </w:p>
        </w:tc>
        <w:tc>
          <w:tcPr>
            <w:tcW w:w="1390"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5.9%</w:t>
            </w:r>
          </w:p>
        </w:tc>
        <w:tc>
          <w:tcPr>
            <w:tcW w:w="0" w:type="auto"/>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rPr>
            </w:pPr>
            <w:r w:rsidRPr="00335764">
              <w:rPr>
                <w:rFonts w:cs="Arial"/>
                <w:sz w:val="20"/>
                <w:szCs w:val="20"/>
              </w:rPr>
              <w:t>-8.80%</w:t>
            </w:r>
          </w:p>
        </w:tc>
      </w:tr>
      <w:tr w:rsidR="006A0D79" w:rsidRPr="00335764" w:rsidTr="006A0D79">
        <w:trPr>
          <w:trHeight w:val="247"/>
        </w:trPr>
        <w:tc>
          <w:tcPr>
            <w:tcW w:w="2265"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autoSpaceDE w:val="0"/>
              <w:autoSpaceDN w:val="0"/>
              <w:adjustRightInd w:val="0"/>
              <w:spacing w:line="240" w:lineRule="auto"/>
              <w:jc w:val="left"/>
              <w:rPr>
                <w:rFonts w:eastAsia="Calibri" w:cs="Arial"/>
                <w:spacing w:val="0"/>
                <w:sz w:val="20"/>
                <w:szCs w:val="20"/>
                <w:lang w:val="en-ZA" w:eastAsia="en-US"/>
              </w:rPr>
            </w:pPr>
            <w:r w:rsidRPr="00335764">
              <w:rPr>
                <w:rFonts w:eastAsia="Calibri" w:cs="Arial"/>
                <w:spacing w:val="0"/>
                <w:sz w:val="20"/>
                <w:szCs w:val="20"/>
                <w:lang w:val="en-ZA" w:eastAsia="en-US"/>
              </w:rPr>
              <w:t>National Prosecuting Authority</w:t>
            </w:r>
          </w:p>
        </w:tc>
        <w:tc>
          <w:tcPr>
            <w:tcW w:w="1057"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4 690.9</w:t>
            </w:r>
          </w:p>
        </w:tc>
        <w:tc>
          <w:tcPr>
            <w:tcW w:w="1071" w:type="dxa"/>
            <w:tcBorders>
              <w:top w:val="single" w:sz="2" w:space="0" w:color="000000"/>
              <w:left w:val="single" w:sz="2" w:space="0" w:color="000000"/>
              <w:bottom w:val="single" w:sz="2" w:space="0" w:color="000000"/>
              <w:right w:val="single" w:sz="2" w:space="0" w:color="000000"/>
            </w:tcBorders>
            <w:shd w:val="clear" w:color="auto" w:fill="D9D9D9"/>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5 407.1</w:t>
            </w:r>
          </w:p>
        </w:tc>
        <w:tc>
          <w:tcPr>
            <w:tcW w:w="1133"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5 552.9</w:t>
            </w:r>
          </w:p>
        </w:tc>
        <w:tc>
          <w:tcPr>
            <w:tcW w:w="1274"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5 796.9</w:t>
            </w:r>
          </w:p>
        </w:tc>
        <w:tc>
          <w:tcPr>
            <w:tcW w:w="1390"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22.8%</w:t>
            </w:r>
          </w:p>
        </w:tc>
        <w:tc>
          <w:tcPr>
            <w:tcW w:w="0" w:type="auto"/>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rPr>
            </w:pPr>
            <w:r w:rsidRPr="00335764">
              <w:rPr>
                <w:rFonts w:cs="Arial"/>
                <w:sz w:val="20"/>
                <w:szCs w:val="20"/>
              </w:rPr>
              <w:t>3.98%</w:t>
            </w:r>
          </w:p>
        </w:tc>
      </w:tr>
      <w:tr w:rsidR="006A0D79" w:rsidRPr="00335764" w:rsidTr="006A0D79">
        <w:trPr>
          <w:trHeight w:val="247"/>
        </w:trPr>
        <w:tc>
          <w:tcPr>
            <w:tcW w:w="2265"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autoSpaceDE w:val="0"/>
              <w:autoSpaceDN w:val="0"/>
              <w:adjustRightInd w:val="0"/>
              <w:spacing w:line="240" w:lineRule="auto"/>
              <w:jc w:val="left"/>
              <w:rPr>
                <w:rFonts w:eastAsia="Calibri" w:cs="Arial"/>
                <w:spacing w:val="0"/>
                <w:sz w:val="20"/>
                <w:szCs w:val="20"/>
                <w:lang w:val="en-ZA" w:eastAsia="en-US"/>
              </w:rPr>
            </w:pPr>
            <w:r w:rsidRPr="00335764">
              <w:rPr>
                <w:rFonts w:eastAsia="Calibri" w:cs="Arial"/>
                <w:spacing w:val="0"/>
                <w:sz w:val="20"/>
                <w:szCs w:val="20"/>
                <w:lang w:val="en-ZA" w:eastAsia="en-US"/>
              </w:rPr>
              <w:t>Auxiliary and Associated Services</w:t>
            </w:r>
          </w:p>
        </w:tc>
        <w:tc>
          <w:tcPr>
            <w:tcW w:w="1057"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3 670.6</w:t>
            </w:r>
          </w:p>
        </w:tc>
        <w:tc>
          <w:tcPr>
            <w:tcW w:w="1071" w:type="dxa"/>
            <w:tcBorders>
              <w:top w:val="single" w:sz="2" w:space="0" w:color="000000"/>
              <w:left w:val="single" w:sz="2" w:space="0" w:color="000000"/>
              <w:bottom w:val="single" w:sz="2" w:space="0" w:color="000000"/>
              <w:right w:val="single" w:sz="2" w:space="0" w:color="000000"/>
            </w:tcBorders>
            <w:shd w:val="clear" w:color="auto" w:fill="D9D9D9"/>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4 191.1</w:t>
            </w:r>
          </w:p>
        </w:tc>
        <w:tc>
          <w:tcPr>
            <w:tcW w:w="1133"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4 354.4</w:t>
            </w:r>
          </w:p>
        </w:tc>
        <w:tc>
          <w:tcPr>
            <w:tcW w:w="1274"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4 537.9</w:t>
            </w:r>
          </w:p>
        </w:tc>
        <w:tc>
          <w:tcPr>
            <w:tcW w:w="1390"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18%</w:t>
            </w:r>
          </w:p>
        </w:tc>
        <w:tc>
          <w:tcPr>
            <w:tcW w:w="0" w:type="auto"/>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rPr>
            </w:pPr>
            <w:r w:rsidRPr="00335764">
              <w:rPr>
                <w:rFonts w:cs="Arial"/>
                <w:sz w:val="20"/>
                <w:szCs w:val="20"/>
              </w:rPr>
              <w:t>-1.29%</w:t>
            </w:r>
          </w:p>
        </w:tc>
      </w:tr>
      <w:tr w:rsidR="006A0D79" w:rsidRPr="00335764" w:rsidTr="006A0D79">
        <w:trPr>
          <w:trHeight w:val="247"/>
        </w:trPr>
        <w:tc>
          <w:tcPr>
            <w:tcW w:w="2265"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autoSpaceDE w:val="0"/>
              <w:autoSpaceDN w:val="0"/>
              <w:adjustRightInd w:val="0"/>
              <w:spacing w:line="240" w:lineRule="auto"/>
              <w:jc w:val="left"/>
              <w:rPr>
                <w:rFonts w:eastAsia="Calibri" w:cs="Arial"/>
                <w:b/>
                <w:spacing w:val="0"/>
                <w:sz w:val="20"/>
                <w:szCs w:val="20"/>
                <w:lang w:val="en-ZA" w:eastAsia="en-US"/>
              </w:rPr>
            </w:pPr>
            <w:r w:rsidRPr="00335764">
              <w:rPr>
                <w:rFonts w:eastAsia="Calibri" w:cs="Arial"/>
                <w:b/>
                <w:spacing w:val="0"/>
                <w:sz w:val="20"/>
                <w:szCs w:val="20"/>
                <w:lang w:val="en-ZA" w:eastAsia="en-US"/>
              </w:rPr>
              <w:t>TOTAL</w:t>
            </w:r>
          </w:p>
        </w:tc>
        <w:tc>
          <w:tcPr>
            <w:tcW w:w="1057"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20 482</w:t>
            </w:r>
          </w:p>
        </w:tc>
        <w:tc>
          <w:tcPr>
            <w:tcW w:w="1071" w:type="dxa"/>
            <w:tcBorders>
              <w:top w:val="single" w:sz="2" w:space="0" w:color="000000"/>
              <w:left w:val="single" w:sz="2" w:space="0" w:color="000000"/>
              <w:bottom w:val="single" w:sz="2" w:space="0" w:color="000000"/>
              <w:right w:val="single" w:sz="2" w:space="0" w:color="000000"/>
            </w:tcBorders>
            <w:shd w:val="clear" w:color="auto" w:fill="D9D9D9"/>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20 793.9</w:t>
            </w:r>
          </w:p>
        </w:tc>
        <w:tc>
          <w:tcPr>
            <w:tcW w:w="1133"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21 599.6</w:t>
            </w:r>
          </w:p>
        </w:tc>
        <w:tc>
          <w:tcPr>
            <w:tcW w:w="1274"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22 541.1</w:t>
            </w:r>
          </w:p>
        </w:tc>
        <w:tc>
          <w:tcPr>
            <w:tcW w:w="1390"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89.6%</w:t>
            </w:r>
          </w:p>
        </w:tc>
        <w:tc>
          <w:tcPr>
            <w:tcW w:w="0" w:type="auto"/>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rPr>
            </w:pPr>
            <w:r w:rsidRPr="00335764">
              <w:rPr>
                <w:rFonts w:cs="Arial"/>
                <w:sz w:val="20"/>
                <w:szCs w:val="20"/>
              </w:rPr>
              <w:t>-3.22%</w:t>
            </w:r>
          </w:p>
        </w:tc>
      </w:tr>
      <w:tr w:rsidR="006A0D79" w:rsidRPr="00335764" w:rsidTr="006A0D79">
        <w:trPr>
          <w:trHeight w:val="247"/>
        </w:trPr>
        <w:tc>
          <w:tcPr>
            <w:tcW w:w="2265"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autoSpaceDE w:val="0"/>
              <w:autoSpaceDN w:val="0"/>
              <w:adjustRightInd w:val="0"/>
              <w:spacing w:line="240" w:lineRule="auto"/>
              <w:jc w:val="left"/>
              <w:rPr>
                <w:rFonts w:eastAsia="Calibri" w:cs="Arial"/>
                <w:spacing w:val="0"/>
                <w:sz w:val="20"/>
                <w:szCs w:val="20"/>
                <w:lang w:val="en-ZA" w:eastAsia="en-US"/>
              </w:rPr>
            </w:pPr>
            <w:r w:rsidRPr="00335764">
              <w:rPr>
                <w:rFonts w:eastAsia="Calibri" w:cs="Arial"/>
                <w:spacing w:val="0"/>
                <w:sz w:val="20"/>
                <w:szCs w:val="20"/>
                <w:lang w:val="en-ZA" w:eastAsia="en-US"/>
              </w:rPr>
              <w:t>Magistrates’ Salaries</w:t>
            </w:r>
          </w:p>
        </w:tc>
        <w:tc>
          <w:tcPr>
            <w:tcW w:w="1057"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2 398.5</w:t>
            </w:r>
          </w:p>
        </w:tc>
        <w:tc>
          <w:tcPr>
            <w:tcW w:w="1071" w:type="dxa"/>
            <w:tcBorders>
              <w:top w:val="single" w:sz="2" w:space="0" w:color="000000"/>
              <w:left w:val="single" w:sz="2" w:space="0" w:color="000000"/>
              <w:bottom w:val="single" w:sz="2" w:space="0" w:color="000000"/>
              <w:right w:val="single" w:sz="2" w:space="0" w:color="000000"/>
            </w:tcBorders>
            <w:shd w:val="clear" w:color="auto" w:fill="D9D9D9"/>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2 398.7</w:t>
            </w:r>
          </w:p>
        </w:tc>
        <w:tc>
          <w:tcPr>
            <w:tcW w:w="1133"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2 505.9</w:t>
            </w:r>
          </w:p>
        </w:tc>
        <w:tc>
          <w:tcPr>
            <w:tcW w:w="1274"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2 617.7</w:t>
            </w:r>
          </w:p>
        </w:tc>
        <w:tc>
          <w:tcPr>
            <w:tcW w:w="1390"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10.4%</w:t>
            </w:r>
          </w:p>
        </w:tc>
        <w:tc>
          <w:tcPr>
            <w:tcW w:w="0" w:type="auto"/>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eastAsia="en-ZA"/>
              </w:rPr>
            </w:pPr>
            <w:r w:rsidRPr="00335764">
              <w:rPr>
                <w:rFonts w:cs="Arial"/>
                <w:sz w:val="20"/>
                <w:szCs w:val="20"/>
                <w:lang w:eastAsia="en-ZA"/>
              </w:rPr>
              <w:t>-4.66%</w:t>
            </w:r>
          </w:p>
        </w:tc>
      </w:tr>
      <w:tr w:rsidR="006A0D79" w:rsidRPr="00335764" w:rsidTr="006A0D79">
        <w:trPr>
          <w:trHeight w:val="247"/>
        </w:trPr>
        <w:tc>
          <w:tcPr>
            <w:tcW w:w="2265"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autoSpaceDE w:val="0"/>
              <w:autoSpaceDN w:val="0"/>
              <w:adjustRightInd w:val="0"/>
              <w:spacing w:line="240" w:lineRule="auto"/>
              <w:jc w:val="left"/>
              <w:rPr>
                <w:rFonts w:eastAsia="Calibri" w:cs="Arial"/>
                <w:b/>
                <w:caps/>
                <w:spacing w:val="0"/>
                <w:sz w:val="20"/>
                <w:szCs w:val="20"/>
                <w:lang w:val="en-ZA" w:eastAsia="en-US"/>
              </w:rPr>
            </w:pPr>
            <w:r w:rsidRPr="00335764">
              <w:rPr>
                <w:rFonts w:eastAsia="Calibri" w:cs="Arial"/>
                <w:b/>
                <w:caps/>
                <w:spacing w:val="0"/>
                <w:sz w:val="20"/>
                <w:szCs w:val="20"/>
                <w:lang w:val="en-ZA" w:eastAsia="en-US"/>
              </w:rPr>
              <w:t>Total</w:t>
            </w:r>
          </w:p>
        </w:tc>
        <w:tc>
          <w:tcPr>
            <w:tcW w:w="1057"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22 880.5</w:t>
            </w:r>
          </w:p>
        </w:tc>
        <w:tc>
          <w:tcPr>
            <w:tcW w:w="1071" w:type="dxa"/>
            <w:tcBorders>
              <w:top w:val="single" w:sz="2" w:space="0" w:color="000000"/>
              <w:left w:val="single" w:sz="2" w:space="0" w:color="000000"/>
              <w:bottom w:val="single" w:sz="2" w:space="0" w:color="000000"/>
              <w:right w:val="single" w:sz="2" w:space="0" w:color="000000"/>
            </w:tcBorders>
            <w:shd w:val="clear" w:color="auto" w:fill="D9D9D9"/>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23 192.7</w:t>
            </w:r>
          </w:p>
        </w:tc>
        <w:tc>
          <w:tcPr>
            <w:tcW w:w="1133"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24 105.5</w:t>
            </w:r>
          </w:p>
        </w:tc>
        <w:tc>
          <w:tcPr>
            <w:tcW w:w="1274"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25 158.8</w:t>
            </w:r>
          </w:p>
        </w:tc>
        <w:tc>
          <w:tcPr>
            <w:tcW w:w="1390" w:type="dxa"/>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val="en-ZA"/>
              </w:rPr>
            </w:pPr>
            <w:r w:rsidRPr="00335764">
              <w:rPr>
                <w:rFonts w:cs="Arial"/>
                <w:sz w:val="20"/>
                <w:szCs w:val="20"/>
                <w:lang w:val="en-ZA"/>
              </w:rPr>
              <w:t>100%</w:t>
            </w:r>
          </w:p>
        </w:tc>
        <w:tc>
          <w:tcPr>
            <w:tcW w:w="0" w:type="auto"/>
            <w:tcBorders>
              <w:top w:val="single" w:sz="2" w:space="0" w:color="000000"/>
              <w:left w:val="single" w:sz="2" w:space="0" w:color="000000"/>
              <w:bottom w:val="single" w:sz="2" w:space="0" w:color="000000"/>
              <w:right w:val="single" w:sz="2" w:space="0" w:color="000000"/>
            </w:tcBorders>
          </w:tcPr>
          <w:p w:rsidR="006A0D79" w:rsidRPr="00335764" w:rsidRDefault="006A0D79" w:rsidP="00335764">
            <w:pPr>
              <w:spacing w:line="240" w:lineRule="auto"/>
              <w:jc w:val="left"/>
              <w:rPr>
                <w:rFonts w:cs="Arial"/>
                <w:sz w:val="20"/>
                <w:szCs w:val="20"/>
                <w:lang w:eastAsia="en-ZA"/>
              </w:rPr>
            </w:pPr>
            <w:r w:rsidRPr="00335764">
              <w:rPr>
                <w:rFonts w:cs="Arial"/>
                <w:sz w:val="20"/>
                <w:szCs w:val="20"/>
                <w:lang w:eastAsia="en-ZA"/>
              </w:rPr>
              <w:t>-3.37%</w:t>
            </w:r>
          </w:p>
        </w:tc>
      </w:tr>
      <w:tr w:rsidR="0075558D" w:rsidRPr="00335764" w:rsidTr="006A0D79">
        <w:trPr>
          <w:trHeight w:val="247"/>
        </w:trPr>
        <w:tc>
          <w:tcPr>
            <w:tcW w:w="2265" w:type="dxa"/>
            <w:tcBorders>
              <w:top w:val="single" w:sz="2" w:space="0" w:color="000000"/>
              <w:left w:val="single" w:sz="2" w:space="0" w:color="000000"/>
              <w:bottom w:val="single" w:sz="2" w:space="0" w:color="000000"/>
              <w:right w:val="single" w:sz="2" w:space="0" w:color="000000"/>
            </w:tcBorders>
          </w:tcPr>
          <w:p w:rsidR="00703A48" w:rsidRPr="00335764" w:rsidRDefault="00875E18" w:rsidP="00335764">
            <w:pPr>
              <w:autoSpaceDE w:val="0"/>
              <w:autoSpaceDN w:val="0"/>
              <w:adjustRightInd w:val="0"/>
              <w:spacing w:line="240" w:lineRule="auto"/>
              <w:jc w:val="left"/>
              <w:rPr>
                <w:rFonts w:eastAsia="Calibri" w:cs="Arial"/>
                <w:spacing w:val="0"/>
                <w:sz w:val="20"/>
                <w:szCs w:val="20"/>
                <w:lang w:val="en-ZA" w:eastAsia="en-US"/>
              </w:rPr>
            </w:pPr>
            <w:r w:rsidRPr="00335764">
              <w:rPr>
                <w:rFonts w:eastAsia="Calibri" w:cs="Arial"/>
                <w:spacing w:val="0"/>
                <w:sz w:val="20"/>
                <w:szCs w:val="20"/>
                <w:lang w:val="en-ZA" w:eastAsia="en-US"/>
              </w:rPr>
              <w:t>Change to 2022</w:t>
            </w:r>
            <w:r w:rsidR="00703A48" w:rsidRPr="00335764">
              <w:rPr>
                <w:rFonts w:eastAsia="Calibri" w:cs="Arial"/>
                <w:spacing w:val="0"/>
                <w:sz w:val="20"/>
                <w:szCs w:val="20"/>
                <w:lang w:val="en-ZA" w:eastAsia="en-US"/>
              </w:rPr>
              <w:t xml:space="preserve"> Budget estimate</w:t>
            </w:r>
          </w:p>
        </w:tc>
        <w:tc>
          <w:tcPr>
            <w:tcW w:w="1057" w:type="dxa"/>
            <w:tcBorders>
              <w:top w:val="single" w:sz="2" w:space="0" w:color="000000"/>
              <w:left w:val="single" w:sz="2" w:space="0" w:color="000000"/>
              <w:bottom w:val="single" w:sz="2" w:space="0" w:color="000000"/>
              <w:right w:val="single" w:sz="2" w:space="0" w:color="000000"/>
            </w:tcBorders>
          </w:tcPr>
          <w:p w:rsidR="00703A48" w:rsidRPr="00335764" w:rsidRDefault="00C91B6E" w:rsidP="00335764">
            <w:pPr>
              <w:spacing w:line="240" w:lineRule="auto"/>
              <w:jc w:val="left"/>
              <w:rPr>
                <w:rFonts w:cs="Arial"/>
                <w:sz w:val="20"/>
                <w:szCs w:val="20"/>
                <w:lang w:val="en-ZA"/>
              </w:rPr>
            </w:pPr>
            <w:r w:rsidRPr="00335764">
              <w:rPr>
                <w:rFonts w:cs="Arial"/>
                <w:sz w:val="20"/>
                <w:szCs w:val="20"/>
                <w:lang w:val="en-ZA"/>
              </w:rPr>
              <w:t>460.1</w:t>
            </w:r>
          </w:p>
        </w:tc>
        <w:tc>
          <w:tcPr>
            <w:tcW w:w="1071" w:type="dxa"/>
            <w:tcBorders>
              <w:top w:val="single" w:sz="2" w:space="0" w:color="000000"/>
              <w:left w:val="single" w:sz="2" w:space="0" w:color="000000"/>
              <w:bottom w:val="single" w:sz="2" w:space="0" w:color="000000"/>
              <w:right w:val="single" w:sz="2" w:space="0" w:color="000000"/>
            </w:tcBorders>
            <w:shd w:val="clear" w:color="auto" w:fill="D9D9D9"/>
          </w:tcPr>
          <w:p w:rsidR="00703A48" w:rsidRPr="00335764" w:rsidRDefault="00C91B6E" w:rsidP="00335764">
            <w:pPr>
              <w:spacing w:line="240" w:lineRule="auto"/>
              <w:jc w:val="left"/>
              <w:rPr>
                <w:rFonts w:cs="Arial"/>
                <w:sz w:val="20"/>
                <w:szCs w:val="20"/>
                <w:lang w:val="en-ZA"/>
              </w:rPr>
            </w:pPr>
            <w:r w:rsidRPr="00335764">
              <w:rPr>
                <w:rFonts w:cs="Arial"/>
                <w:sz w:val="20"/>
                <w:szCs w:val="20"/>
                <w:lang w:val="en-ZA"/>
              </w:rPr>
              <w:t>981.7</w:t>
            </w:r>
          </w:p>
        </w:tc>
        <w:tc>
          <w:tcPr>
            <w:tcW w:w="1133" w:type="dxa"/>
            <w:tcBorders>
              <w:top w:val="single" w:sz="2" w:space="0" w:color="000000"/>
              <w:left w:val="single" w:sz="2" w:space="0" w:color="000000"/>
              <w:bottom w:val="single" w:sz="2" w:space="0" w:color="000000"/>
              <w:right w:val="single" w:sz="2" w:space="0" w:color="000000"/>
            </w:tcBorders>
          </w:tcPr>
          <w:p w:rsidR="00703A48" w:rsidRPr="00335764" w:rsidRDefault="00C91B6E" w:rsidP="00335764">
            <w:pPr>
              <w:spacing w:line="240" w:lineRule="auto"/>
              <w:jc w:val="left"/>
              <w:rPr>
                <w:rFonts w:cs="Arial"/>
                <w:sz w:val="20"/>
                <w:szCs w:val="20"/>
                <w:lang w:val="en-ZA"/>
              </w:rPr>
            </w:pPr>
            <w:r w:rsidRPr="00335764">
              <w:rPr>
                <w:rFonts w:cs="Arial"/>
                <w:sz w:val="20"/>
                <w:szCs w:val="20"/>
                <w:lang w:val="en-ZA"/>
              </w:rPr>
              <w:t>896.2</w:t>
            </w:r>
          </w:p>
        </w:tc>
        <w:tc>
          <w:tcPr>
            <w:tcW w:w="1274" w:type="dxa"/>
            <w:tcBorders>
              <w:top w:val="single" w:sz="2" w:space="0" w:color="000000"/>
              <w:left w:val="single" w:sz="2" w:space="0" w:color="000000"/>
              <w:bottom w:val="single" w:sz="2" w:space="0" w:color="000000"/>
              <w:right w:val="single" w:sz="2" w:space="0" w:color="000000"/>
            </w:tcBorders>
          </w:tcPr>
          <w:p w:rsidR="00703A48" w:rsidRPr="00335764" w:rsidRDefault="00C91B6E" w:rsidP="00335764">
            <w:pPr>
              <w:spacing w:line="240" w:lineRule="auto"/>
              <w:jc w:val="left"/>
              <w:rPr>
                <w:rFonts w:cs="Arial"/>
                <w:sz w:val="20"/>
                <w:szCs w:val="20"/>
                <w:lang w:val="en-ZA"/>
              </w:rPr>
            </w:pPr>
            <w:r w:rsidRPr="00335764">
              <w:rPr>
                <w:rFonts w:cs="Arial"/>
                <w:sz w:val="20"/>
                <w:szCs w:val="20"/>
                <w:lang w:val="en-ZA"/>
              </w:rPr>
              <w:t>-</w:t>
            </w:r>
          </w:p>
        </w:tc>
        <w:tc>
          <w:tcPr>
            <w:tcW w:w="1390" w:type="dxa"/>
            <w:tcBorders>
              <w:top w:val="single" w:sz="2" w:space="0" w:color="000000"/>
              <w:left w:val="single" w:sz="2" w:space="0" w:color="000000"/>
              <w:bottom w:val="single" w:sz="2" w:space="0" w:color="000000"/>
              <w:right w:val="single" w:sz="2" w:space="0" w:color="000000"/>
            </w:tcBorders>
          </w:tcPr>
          <w:p w:rsidR="00703A48" w:rsidRPr="00335764" w:rsidRDefault="00703A48" w:rsidP="00335764">
            <w:pPr>
              <w:spacing w:line="240" w:lineRule="auto"/>
              <w:jc w:val="left"/>
              <w:rPr>
                <w:rFonts w:cs="Arial"/>
                <w:sz w:val="20"/>
                <w:szCs w:val="20"/>
                <w:lang w:val="en-ZA"/>
              </w:rPr>
            </w:pPr>
          </w:p>
        </w:tc>
        <w:tc>
          <w:tcPr>
            <w:tcW w:w="0" w:type="auto"/>
            <w:tcBorders>
              <w:top w:val="single" w:sz="2" w:space="0" w:color="000000"/>
              <w:left w:val="single" w:sz="2" w:space="0" w:color="000000"/>
              <w:bottom w:val="single" w:sz="2" w:space="0" w:color="000000"/>
              <w:right w:val="single" w:sz="2" w:space="0" w:color="000000"/>
            </w:tcBorders>
          </w:tcPr>
          <w:p w:rsidR="00703A48" w:rsidRPr="00335764" w:rsidRDefault="00703A48" w:rsidP="00335764">
            <w:pPr>
              <w:spacing w:line="240" w:lineRule="auto"/>
              <w:jc w:val="left"/>
              <w:rPr>
                <w:rFonts w:cs="Arial"/>
                <w:sz w:val="20"/>
                <w:szCs w:val="20"/>
                <w:lang w:val="en-ZA"/>
              </w:rPr>
            </w:pPr>
          </w:p>
        </w:tc>
      </w:tr>
    </w:tbl>
    <w:p w:rsidR="00A8398F" w:rsidRPr="00335764" w:rsidRDefault="00A8398F" w:rsidP="00335764">
      <w:pPr>
        <w:spacing w:line="240" w:lineRule="auto"/>
        <w:jc w:val="left"/>
        <w:rPr>
          <w:rFonts w:cs="Arial"/>
          <w:sz w:val="20"/>
          <w:szCs w:val="20"/>
        </w:rPr>
      </w:pPr>
    </w:p>
    <w:p w:rsidR="00104699" w:rsidRPr="00335764" w:rsidRDefault="00104699" w:rsidP="00335764">
      <w:pPr>
        <w:spacing w:line="240" w:lineRule="auto"/>
        <w:jc w:val="left"/>
        <w:rPr>
          <w:rFonts w:cs="Arial"/>
          <w:b/>
          <w:sz w:val="20"/>
          <w:szCs w:val="20"/>
        </w:rPr>
      </w:pPr>
      <w:r w:rsidRPr="00335764">
        <w:rPr>
          <w:rFonts w:cs="Arial"/>
          <w:b/>
          <w:sz w:val="20"/>
          <w:szCs w:val="20"/>
        </w:rPr>
        <w:t>Vote 25 - Justice and Constitutional Development – Allocation for the 20</w:t>
      </w:r>
      <w:r w:rsidR="00875E18" w:rsidRPr="00335764">
        <w:rPr>
          <w:rFonts w:cs="Arial"/>
          <w:b/>
          <w:sz w:val="20"/>
          <w:szCs w:val="20"/>
        </w:rPr>
        <w:t>23</w:t>
      </w:r>
      <w:r w:rsidRPr="00335764">
        <w:rPr>
          <w:rFonts w:cs="Arial"/>
          <w:b/>
          <w:sz w:val="20"/>
          <w:szCs w:val="20"/>
        </w:rPr>
        <w:t xml:space="preserve"> MTEF per economic classification</w:t>
      </w:r>
    </w:p>
    <w:tbl>
      <w:tblPr>
        <w:tblW w:w="5000" w:type="pct"/>
        <w:tblLook w:val="0000"/>
      </w:tblPr>
      <w:tblGrid>
        <w:gridCol w:w="3221"/>
        <w:gridCol w:w="1130"/>
        <w:gridCol w:w="1130"/>
        <w:gridCol w:w="1130"/>
        <w:gridCol w:w="1130"/>
        <w:gridCol w:w="1887"/>
      </w:tblGrid>
      <w:tr w:rsidR="00875E18" w:rsidRPr="00335764" w:rsidTr="00233174">
        <w:trPr>
          <w:trHeight w:val="861"/>
          <w:tblHeader/>
        </w:trPr>
        <w:tc>
          <w:tcPr>
            <w:tcW w:w="1672" w:type="pct"/>
            <w:vMerge w:val="restart"/>
            <w:tcBorders>
              <w:top w:val="single" w:sz="2" w:space="0" w:color="000000"/>
              <w:left w:val="single" w:sz="2" w:space="0" w:color="000000"/>
              <w:right w:val="single" w:sz="6" w:space="0" w:color="auto"/>
            </w:tcBorders>
            <w:shd w:val="clear" w:color="auto" w:fill="D9D9D9"/>
          </w:tcPr>
          <w:p w:rsidR="00875E18" w:rsidRPr="00335764" w:rsidRDefault="00875E18"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Programme</w:t>
            </w:r>
          </w:p>
          <w:p w:rsidR="00875E18" w:rsidRPr="00335764" w:rsidRDefault="00875E18"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(R ‘million)</w:t>
            </w:r>
          </w:p>
        </w:tc>
        <w:tc>
          <w:tcPr>
            <w:tcW w:w="2346" w:type="pct"/>
            <w:gridSpan w:val="4"/>
            <w:tcBorders>
              <w:top w:val="single" w:sz="6" w:space="0" w:color="auto"/>
              <w:left w:val="single" w:sz="6" w:space="0" w:color="auto"/>
              <w:right w:val="single" w:sz="6" w:space="0" w:color="auto"/>
            </w:tcBorders>
            <w:shd w:val="clear" w:color="auto" w:fill="D9D9D9"/>
          </w:tcPr>
          <w:p w:rsidR="00875E18" w:rsidRPr="00335764" w:rsidRDefault="00875E18"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Budget</w:t>
            </w:r>
          </w:p>
          <w:p w:rsidR="00875E18" w:rsidRPr="00335764" w:rsidRDefault="00875E18"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2022 MTEF</w:t>
            </w:r>
          </w:p>
        </w:tc>
        <w:tc>
          <w:tcPr>
            <w:tcW w:w="982" w:type="pct"/>
            <w:tcBorders>
              <w:top w:val="single" w:sz="6" w:space="0" w:color="auto"/>
              <w:left w:val="single" w:sz="6" w:space="0" w:color="auto"/>
              <w:bottom w:val="single" w:sz="2" w:space="0" w:color="000000"/>
              <w:right w:val="single" w:sz="6" w:space="0" w:color="auto"/>
            </w:tcBorders>
            <w:shd w:val="clear" w:color="auto" w:fill="D9D9D9"/>
          </w:tcPr>
          <w:p w:rsidR="00875E18" w:rsidRPr="00335764" w:rsidRDefault="00875E18"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Average:</w:t>
            </w:r>
          </w:p>
          <w:p w:rsidR="00875E18" w:rsidRPr="00335764" w:rsidRDefault="00717536"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Expen</w:t>
            </w:r>
            <w:r w:rsidR="00875E18" w:rsidRPr="00335764">
              <w:rPr>
                <w:rFonts w:eastAsia="Calibri" w:cs="Arial"/>
                <w:b/>
                <w:bCs/>
                <w:spacing w:val="0"/>
                <w:sz w:val="20"/>
                <w:szCs w:val="20"/>
                <w:lang w:val="en-ZA" w:eastAsia="en-US"/>
              </w:rPr>
              <w:t>diture/</w:t>
            </w:r>
          </w:p>
          <w:p w:rsidR="00875E18" w:rsidRPr="00335764" w:rsidRDefault="00875E18"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Total</w:t>
            </w:r>
          </w:p>
          <w:p w:rsidR="00875E18" w:rsidRPr="00335764" w:rsidRDefault="00875E18"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w:t>
            </w:r>
          </w:p>
        </w:tc>
      </w:tr>
      <w:tr w:rsidR="00875E18" w:rsidRPr="00335764" w:rsidTr="00233174">
        <w:trPr>
          <w:trHeight w:val="247"/>
          <w:tblHeader/>
        </w:trPr>
        <w:tc>
          <w:tcPr>
            <w:tcW w:w="1672" w:type="pct"/>
            <w:vMerge/>
            <w:tcBorders>
              <w:left w:val="single" w:sz="2" w:space="0" w:color="000000"/>
              <w:bottom w:val="single" w:sz="2" w:space="0" w:color="000000"/>
              <w:right w:val="single" w:sz="6" w:space="0" w:color="auto"/>
            </w:tcBorders>
          </w:tcPr>
          <w:p w:rsidR="00875E18" w:rsidRPr="00335764" w:rsidRDefault="00875E18" w:rsidP="00335764">
            <w:pPr>
              <w:autoSpaceDE w:val="0"/>
              <w:autoSpaceDN w:val="0"/>
              <w:adjustRightInd w:val="0"/>
              <w:spacing w:line="240" w:lineRule="auto"/>
              <w:jc w:val="left"/>
              <w:rPr>
                <w:rFonts w:eastAsia="Calibri" w:cs="Arial"/>
                <w:b/>
                <w:bCs/>
                <w:spacing w:val="0"/>
                <w:sz w:val="20"/>
                <w:szCs w:val="20"/>
                <w:lang w:val="en-ZA" w:eastAsia="en-US"/>
              </w:rPr>
            </w:pPr>
          </w:p>
        </w:tc>
        <w:tc>
          <w:tcPr>
            <w:tcW w:w="587" w:type="pct"/>
            <w:tcBorders>
              <w:top w:val="single" w:sz="4" w:space="0" w:color="auto"/>
              <w:left w:val="single" w:sz="6" w:space="0" w:color="auto"/>
              <w:bottom w:val="single" w:sz="6" w:space="0" w:color="auto"/>
              <w:right w:val="single" w:sz="4" w:space="0" w:color="auto"/>
            </w:tcBorders>
            <w:shd w:val="clear" w:color="auto" w:fill="D9D9D9"/>
          </w:tcPr>
          <w:p w:rsidR="00875E18" w:rsidRPr="00335764" w:rsidRDefault="00875E18"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2022/23</w:t>
            </w:r>
          </w:p>
        </w:tc>
        <w:tc>
          <w:tcPr>
            <w:tcW w:w="587" w:type="pct"/>
            <w:tcBorders>
              <w:top w:val="single" w:sz="4" w:space="0" w:color="auto"/>
              <w:left w:val="single" w:sz="4" w:space="0" w:color="auto"/>
              <w:bottom w:val="single" w:sz="4" w:space="0" w:color="auto"/>
              <w:right w:val="single" w:sz="4" w:space="0" w:color="auto"/>
            </w:tcBorders>
            <w:shd w:val="clear" w:color="auto" w:fill="D9D9D9"/>
          </w:tcPr>
          <w:p w:rsidR="00875E18" w:rsidRPr="00335764" w:rsidRDefault="00875E18"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2023/24</w:t>
            </w:r>
          </w:p>
        </w:tc>
        <w:tc>
          <w:tcPr>
            <w:tcW w:w="587" w:type="pct"/>
            <w:tcBorders>
              <w:top w:val="single" w:sz="4" w:space="0" w:color="auto"/>
              <w:left w:val="single" w:sz="4" w:space="0" w:color="auto"/>
              <w:bottom w:val="single" w:sz="4" w:space="0" w:color="auto"/>
              <w:right w:val="single" w:sz="4" w:space="0" w:color="auto"/>
            </w:tcBorders>
            <w:shd w:val="clear" w:color="auto" w:fill="D9D9D9"/>
          </w:tcPr>
          <w:p w:rsidR="00875E18" w:rsidRPr="00335764" w:rsidRDefault="00875E18"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2024/25</w:t>
            </w:r>
          </w:p>
        </w:tc>
        <w:tc>
          <w:tcPr>
            <w:tcW w:w="587" w:type="pct"/>
            <w:tcBorders>
              <w:top w:val="single" w:sz="4" w:space="0" w:color="auto"/>
              <w:left w:val="single" w:sz="4" w:space="0" w:color="auto"/>
              <w:bottom w:val="single" w:sz="4" w:space="0" w:color="auto"/>
              <w:right w:val="single" w:sz="4" w:space="0" w:color="auto"/>
            </w:tcBorders>
            <w:shd w:val="clear" w:color="auto" w:fill="D9D9D9"/>
          </w:tcPr>
          <w:p w:rsidR="00875E18" w:rsidRPr="00335764" w:rsidRDefault="00875E18"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2025/26</w:t>
            </w:r>
          </w:p>
        </w:tc>
        <w:tc>
          <w:tcPr>
            <w:tcW w:w="982" w:type="pct"/>
            <w:tcBorders>
              <w:top w:val="single" w:sz="4" w:space="0" w:color="auto"/>
              <w:left w:val="single" w:sz="4" w:space="0" w:color="auto"/>
              <w:bottom w:val="single" w:sz="4" w:space="0" w:color="auto"/>
              <w:right w:val="single" w:sz="4" w:space="0" w:color="auto"/>
            </w:tcBorders>
            <w:shd w:val="clear" w:color="auto" w:fill="D9D9D9"/>
          </w:tcPr>
          <w:p w:rsidR="00875E18" w:rsidRPr="00335764" w:rsidRDefault="00875E18" w:rsidP="00335764">
            <w:pPr>
              <w:autoSpaceDE w:val="0"/>
              <w:autoSpaceDN w:val="0"/>
              <w:adjustRightInd w:val="0"/>
              <w:spacing w:line="240" w:lineRule="auto"/>
              <w:jc w:val="left"/>
              <w:rPr>
                <w:rFonts w:eastAsia="Calibri" w:cs="Arial"/>
                <w:b/>
                <w:bCs/>
                <w:spacing w:val="0"/>
                <w:sz w:val="20"/>
                <w:szCs w:val="20"/>
                <w:lang w:val="en-ZA" w:eastAsia="en-US"/>
              </w:rPr>
            </w:pPr>
            <w:r w:rsidRPr="00335764">
              <w:rPr>
                <w:rFonts w:eastAsia="Calibri" w:cs="Arial"/>
                <w:b/>
                <w:bCs/>
                <w:spacing w:val="0"/>
                <w:sz w:val="20"/>
                <w:szCs w:val="20"/>
                <w:lang w:val="en-ZA" w:eastAsia="en-US"/>
              </w:rPr>
              <w:t>202</w:t>
            </w:r>
            <w:r w:rsidR="00717536" w:rsidRPr="00335764">
              <w:rPr>
                <w:rFonts w:eastAsia="Calibri" w:cs="Arial"/>
                <w:b/>
                <w:bCs/>
                <w:spacing w:val="0"/>
                <w:sz w:val="20"/>
                <w:szCs w:val="20"/>
                <w:lang w:val="en-ZA" w:eastAsia="en-US"/>
              </w:rPr>
              <w:t>2/23-2025</w:t>
            </w:r>
            <w:r w:rsidRPr="00335764">
              <w:rPr>
                <w:rFonts w:eastAsia="Calibri" w:cs="Arial"/>
                <w:b/>
                <w:bCs/>
                <w:spacing w:val="0"/>
                <w:sz w:val="20"/>
                <w:szCs w:val="20"/>
                <w:lang w:val="en-ZA" w:eastAsia="en-US"/>
              </w:rPr>
              <w:t>/2</w:t>
            </w:r>
            <w:r w:rsidR="00717536" w:rsidRPr="00335764">
              <w:rPr>
                <w:rFonts w:eastAsia="Calibri" w:cs="Arial"/>
                <w:b/>
                <w:bCs/>
                <w:spacing w:val="0"/>
                <w:sz w:val="20"/>
                <w:szCs w:val="20"/>
                <w:lang w:val="en-ZA" w:eastAsia="en-US"/>
              </w:rPr>
              <w:t>6</w:t>
            </w:r>
          </w:p>
        </w:tc>
      </w:tr>
      <w:tr w:rsidR="00875E18" w:rsidRPr="00335764" w:rsidTr="00233174">
        <w:trPr>
          <w:trHeight w:val="247"/>
        </w:trPr>
        <w:tc>
          <w:tcPr>
            <w:tcW w:w="1672" w:type="pct"/>
            <w:tcBorders>
              <w:top w:val="single" w:sz="2" w:space="0" w:color="000000"/>
              <w:left w:val="single" w:sz="2" w:space="0" w:color="000000"/>
              <w:bottom w:val="single" w:sz="2" w:space="0" w:color="000000"/>
              <w:right w:val="single" w:sz="2" w:space="0" w:color="000000"/>
            </w:tcBorders>
          </w:tcPr>
          <w:p w:rsidR="00875E18" w:rsidRPr="00335764" w:rsidRDefault="00875E18" w:rsidP="00335764">
            <w:pPr>
              <w:spacing w:line="240" w:lineRule="auto"/>
              <w:jc w:val="left"/>
              <w:rPr>
                <w:rFonts w:cs="Arial"/>
                <w:sz w:val="20"/>
                <w:szCs w:val="20"/>
                <w:lang w:val="en-ZA"/>
              </w:rPr>
            </w:pPr>
            <w:r w:rsidRPr="00335764">
              <w:rPr>
                <w:rFonts w:cs="Arial"/>
                <w:sz w:val="20"/>
                <w:szCs w:val="20"/>
                <w:lang w:val="en-ZA"/>
              </w:rPr>
              <w:t>Compensation of employees</w:t>
            </w:r>
          </w:p>
        </w:tc>
        <w:tc>
          <w:tcPr>
            <w:tcW w:w="587" w:type="pct"/>
            <w:tcBorders>
              <w:top w:val="single" w:sz="2" w:space="0" w:color="000000"/>
              <w:left w:val="single" w:sz="2" w:space="0" w:color="000000"/>
              <w:bottom w:val="single" w:sz="2" w:space="0" w:color="000000"/>
              <w:right w:val="single" w:sz="2" w:space="0" w:color="000000"/>
            </w:tcBorders>
          </w:tcPr>
          <w:p w:rsidR="00875E18" w:rsidRPr="00335764" w:rsidRDefault="006A0D79" w:rsidP="00335764">
            <w:pPr>
              <w:spacing w:line="240" w:lineRule="auto"/>
              <w:jc w:val="left"/>
              <w:rPr>
                <w:rFonts w:cs="Arial"/>
                <w:sz w:val="20"/>
                <w:szCs w:val="20"/>
                <w:lang w:val="en-ZA"/>
              </w:rPr>
            </w:pPr>
            <w:r w:rsidRPr="00335764">
              <w:rPr>
                <w:rFonts w:cs="Arial"/>
                <w:sz w:val="20"/>
                <w:szCs w:val="20"/>
                <w:lang w:val="en-ZA"/>
              </w:rPr>
              <w:t>13 161.7</w:t>
            </w:r>
          </w:p>
        </w:tc>
        <w:tc>
          <w:tcPr>
            <w:tcW w:w="587" w:type="pct"/>
            <w:tcBorders>
              <w:top w:val="single" w:sz="2" w:space="0" w:color="000000"/>
              <w:left w:val="single" w:sz="2" w:space="0" w:color="000000"/>
              <w:bottom w:val="single" w:sz="2" w:space="0" w:color="000000"/>
              <w:right w:val="single" w:sz="2" w:space="0" w:color="000000"/>
            </w:tcBorders>
            <w:shd w:val="clear" w:color="auto" w:fill="D9D9D9"/>
          </w:tcPr>
          <w:p w:rsidR="00875E18" w:rsidRPr="00335764" w:rsidRDefault="006A0D79" w:rsidP="00335764">
            <w:pPr>
              <w:spacing w:line="240" w:lineRule="auto"/>
              <w:jc w:val="left"/>
              <w:rPr>
                <w:rFonts w:cs="Arial"/>
                <w:sz w:val="20"/>
                <w:szCs w:val="20"/>
                <w:lang w:val="en-ZA"/>
              </w:rPr>
            </w:pPr>
            <w:r w:rsidRPr="00335764">
              <w:rPr>
                <w:rFonts w:cs="Arial"/>
                <w:sz w:val="20"/>
                <w:szCs w:val="20"/>
                <w:lang w:val="en-ZA"/>
              </w:rPr>
              <w:t>12 939.3</w:t>
            </w:r>
          </w:p>
        </w:tc>
        <w:tc>
          <w:tcPr>
            <w:tcW w:w="587" w:type="pct"/>
            <w:tcBorders>
              <w:top w:val="single" w:sz="2" w:space="0" w:color="000000"/>
              <w:left w:val="single" w:sz="2" w:space="0" w:color="000000"/>
              <w:bottom w:val="single" w:sz="2" w:space="0" w:color="000000"/>
              <w:right w:val="single" w:sz="2" w:space="0" w:color="000000"/>
            </w:tcBorders>
          </w:tcPr>
          <w:p w:rsidR="00875E18" w:rsidRPr="00335764" w:rsidRDefault="006A0D79" w:rsidP="00335764">
            <w:pPr>
              <w:spacing w:line="240" w:lineRule="auto"/>
              <w:jc w:val="left"/>
              <w:rPr>
                <w:rFonts w:cs="Arial"/>
                <w:sz w:val="20"/>
                <w:szCs w:val="20"/>
                <w:lang w:val="en-ZA"/>
              </w:rPr>
            </w:pPr>
            <w:r w:rsidRPr="00335764">
              <w:rPr>
                <w:rFonts w:cs="Arial"/>
                <w:sz w:val="20"/>
                <w:szCs w:val="20"/>
                <w:lang w:val="en-ZA"/>
              </w:rPr>
              <w:t>13 516.3</w:t>
            </w:r>
          </w:p>
        </w:tc>
        <w:tc>
          <w:tcPr>
            <w:tcW w:w="587" w:type="pct"/>
            <w:tcBorders>
              <w:top w:val="single" w:sz="2" w:space="0" w:color="000000"/>
              <w:left w:val="single" w:sz="2" w:space="0" w:color="000000"/>
              <w:bottom w:val="single" w:sz="2" w:space="0" w:color="000000"/>
              <w:right w:val="single" w:sz="2" w:space="0" w:color="000000"/>
            </w:tcBorders>
          </w:tcPr>
          <w:p w:rsidR="00875E18" w:rsidRPr="00335764" w:rsidRDefault="006A0D79" w:rsidP="00335764">
            <w:pPr>
              <w:spacing w:line="240" w:lineRule="auto"/>
              <w:jc w:val="left"/>
              <w:rPr>
                <w:rFonts w:cs="Arial"/>
                <w:sz w:val="20"/>
                <w:szCs w:val="20"/>
                <w:lang w:val="en-ZA"/>
              </w:rPr>
            </w:pPr>
            <w:r w:rsidRPr="00335764">
              <w:rPr>
                <w:rFonts w:cs="Arial"/>
                <w:sz w:val="20"/>
                <w:szCs w:val="20"/>
                <w:lang w:val="en-ZA"/>
              </w:rPr>
              <w:t>14 115.5</w:t>
            </w:r>
          </w:p>
        </w:tc>
        <w:tc>
          <w:tcPr>
            <w:tcW w:w="982" w:type="pct"/>
            <w:tcBorders>
              <w:top w:val="single" w:sz="2" w:space="0" w:color="000000"/>
              <w:left w:val="single" w:sz="2" w:space="0" w:color="000000"/>
              <w:bottom w:val="single" w:sz="2" w:space="0" w:color="000000"/>
              <w:right w:val="single" w:sz="2" w:space="0" w:color="000000"/>
            </w:tcBorders>
          </w:tcPr>
          <w:p w:rsidR="00875E18" w:rsidRPr="00335764" w:rsidRDefault="00875E18" w:rsidP="00335764">
            <w:pPr>
              <w:spacing w:line="240" w:lineRule="auto"/>
              <w:jc w:val="left"/>
              <w:rPr>
                <w:rFonts w:cs="Arial"/>
                <w:sz w:val="20"/>
                <w:szCs w:val="20"/>
                <w:lang w:val="en-ZA"/>
              </w:rPr>
            </w:pPr>
            <w:r w:rsidRPr="00335764">
              <w:rPr>
                <w:rFonts w:cs="Arial"/>
                <w:sz w:val="20"/>
                <w:szCs w:val="20"/>
                <w:lang w:val="en-ZA"/>
              </w:rPr>
              <w:t>56.</w:t>
            </w:r>
            <w:r w:rsidR="006A0D79" w:rsidRPr="00335764">
              <w:rPr>
                <w:rFonts w:cs="Arial"/>
                <w:sz w:val="20"/>
                <w:szCs w:val="20"/>
                <w:lang w:val="en-ZA"/>
              </w:rPr>
              <w:t>4</w:t>
            </w:r>
            <w:r w:rsidRPr="00335764">
              <w:rPr>
                <w:rFonts w:cs="Arial"/>
                <w:sz w:val="20"/>
                <w:szCs w:val="20"/>
                <w:lang w:val="en-ZA"/>
              </w:rPr>
              <w:t>%</w:t>
            </w:r>
          </w:p>
        </w:tc>
      </w:tr>
      <w:tr w:rsidR="00875E18" w:rsidRPr="00335764" w:rsidTr="00233174">
        <w:trPr>
          <w:trHeight w:val="247"/>
        </w:trPr>
        <w:tc>
          <w:tcPr>
            <w:tcW w:w="1672" w:type="pct"/>
            <w:tcBorders>
              <w:top w:val="single" w:sz="2" w:space="0" w:color="000000"/>
              <w:left w:val="single" w:sz="2" w:space="0" w:color="000000"/>
              <w:bottom w:val="single" w:sz="2" w:space="0" w:color="000000"/>
              <w:right w:val="single" w:sz="2" w:space="0" w:color="000000"/>
            </w:tcBorders>
          </w:tcPr>
          <w:p w:rsidR="00875E18" w:rsidRPr="00335764" w:rsidRDefault="00875E18" w:rsidP="00335764">
            <w:pPr>
              <w:spacing w:line="240" w:lineRule="auto"/>
              <w:jc w:val="left"/>
              <w:rPr>
                <w:rFonts w:cs="Arial"/>
                <w:sz w:val="20"/>
                <w:szCs w:val="20"/>
                <w:lang w:val="en-ZA"/>
              </w:rPr>
            </w:pPr>
            <w:r w:rsidRPr="00335764">
              <w:rPr>
                <w:rFonts w:cs="Arial"/>
                <w:sz w:val="20"/>
                <w:szCs w:val="20"/>
                <w:lang w:val="en-ZA"/>
              </w:rPr>
              <w:t>Goods and services</w:t>
            </w:r>
          </w:p>
        </w:tc>
        <w:tc>
          <w:tcPr>
            <w:tcW w:w="587" w:type="pct"/>
            <w:tcBorders>
              <w:top w:val="single" w:sz="2" w:space="0" w:color="000000"/>
              <w:left w:val="single" w:sz="2" w:space="0" w:color="000000"/>
              <w:bottom w:val="single" w:sz="2" w:space="0" w:color="000000"/>
              <w:right w:val="single" w:sz="2" w:space="0" w:color="000000"/>
            </w:tcBorders>
          </w:tcPr>
          <w:p w:rsidR="00875E18" w:rsidRPr="00335764" w:rsidRDefault="006A0D79" w:rsidP="00335764">
            <w:pPr>
              <w:spacing w:line="240" w:lineRule="auto"/>
              <w:jc w:val="left"/>
              <w:rPr>
                <w:rFonts w:cs="Arial"/>
                <w:sz w:val="20"/>
                <w:szCs w:val="20"/>
                <w:lang w:val="en-ZA"/>
              </w:rPr>
            </w:pPr>
            <w:r w:rsidRPr="00335764">
              <w:rPr>
                <w:rFonts w:cs="Arial"/>
                <w:sz w:val="20"/>
                <w:szCs w:val="20"/>
                <w:lang w:val="en-ZA"/>
              </w:rPr>
              <w:t>5 529.2</w:t>
            </w:r>
          </w:p>
        </w:tc>
        <w:tc>
          <w:tcPr>
            <w:tcW w:w="587" w:type="pct"/>
            <w:tcBorders>
              <w:top w:val="single" w:sz="2" w:space="0" w:color="000000"/>
              <w:left w:val="single" w:sz="2" w:space="0" w:color="000000"/>
              <w:bottom w:val="single" w:sz="2" w:space="0" w:color="000000"/>
              <w:right w:val="single" w:sz="2" w:space="0" w:color="000000"/>
            </w:tcBorders>
            <w:shd w:val="clear" w:color="auto" w:fill="D9D9D9"/>
          </w:tcPr>
          <w:p w:rsidR="00875E18" w:rsidRPr="00335764" w:rsidRDefault="006A0D79" w:rsidP="00335764">
            <w:pPr>
              <w:spacing w:line="240" w:lineRule="auto"/>
              <w:jc w:val="left"/>
              <w:rPr>
                <w:rFonts w:cs="Arial"/>
                <w:sz w:val="20"/>
                <w:szCs w:val="20"/>
                <w:lang w:val="en-ZA"/>
              </w:rPr>
            </w:pPr>
            <w:r w:rsidRPr="00335764">
              <w:rPr>
                <w:rFonts w:cs="Arial"/>
                <w:sz w:val="20"/>
                <w:szCs w:val="20"/>
                <w:lang w:val="en-ZA"/>
              </w:rPr>
              <w:t>6 051.3</w:t>
            </w:r>
          </w:p>
        </w:tc>
        <w:tc>
          <w:tcPr>
            <w:tcW w:w="587" w:type="pct"/>
            <w:tcBorders>
              <w:top w:val="single" w:sz="2" w:space="0" w:color="000000"/>
              <w:left w:val="single" w:sz="2" w:space="0" w:color="000000"/>
              <w:bottom w:val="single" w:sz="2" w:space="0" w:color="000000"/>
              <w:right w:val="single" w:sz="2" w:space="0" w:color="000000"/>
            </w:tcBorders>
          </w:tcPr>
          <w:p w:rsidR="00875E18" w:rsidRPr="00335764" w:rsidRDefault="006A0D79" w:rsidP="00335764">
            <w:pPr>
              <w:spacing w:line="240" w:lineRule="auto"/>
              <w:jc w:val="left"/>
              <w:rPr>
                <w:rFonts w:cs="Arial"/>
                <w:sz w:val="20"/>
                <w:szCs w:val="20"/>
                <w:lang w:val="en-ZA"/>
              </w:rPr>
            </w:pPr>
            <w:r w:rsidRPr="00335764">
              <w:rPr>
                <w:rFonts w:cs="Arial"/>
                <w:sz w:val="20"/>
                <w:szCs w:val="20"/>
                <w:lang w:val="en-ZA"/>
              </w:rPr>
              <w:t>6 235.5</w:t>
            </w:r>
          </w:p>
        </w:tc>
        <w:tc>
          <w:tcPr>
            <w:tcW w:w="587" w:type="pct"/>
            <w:tcBorders>
              <w:top w:val="single" w:sz="2" w:space="0" w:color="000000"/>
              <w:left w:val="single" w:sz="2" w:space="0" w:color="000000"/>
              <w:bottom w:val="single" w:sz="2" w:space="0" w:color="000000"/>
              <w:right w:val="single" w:sz="2" w:space="0" w:color="000000"/>
            </w:tcBorders>
          </w:tcPr>
          <w:p w:rsidR="00875E18" w:rsidRPr="00335764" w:rsidRDefault="006A0D79" w:rsidP="00335764">
            <w:pPr>
              <w:spacing w:line="240" w:lineRule="auto"/>
              <w:jc w:val="left"/>
              <w:rPr>
                <w:rFonts w:cs="Arial"/>
                <w:sz w:val="20"/>
                <w:szCs w:val="20"/>
                <w:lang w:val="en-ZA"/>
              </w:rPr>
            </w:pPr>
            <w:r w:rsidRPr="00335764">
              <w:rPr>
                <w:rFonts w:cs="Arial"/>
                <w:sz w:val="20"/>
                <w:szCs w:val="20"/>
                <w:lang w:val="en-ZA"/>
              </w:rPr>
              <w:t>6 492.6</w:t>
            </w:r>
          </w:p>
        </w:tc>
        <w:tc>
          <w:tcPr>
            <w:tcW w:w="982" w:type="pct"/>
            <w:tcBorders>
              <w:top w:val="single" w:sz="2" w:space="0" w:color="000000"/>
              <w:left w:val="single" w:sz="2" w:space="0" w:color="000000"/>
              <w:bottom w:val="single" w:sz="2" w:space="0" w:color="000000"/>
              <w:right w:val="single" w:sz="2" w:space="0" w:color="000000"/>
            </w:tcBorders>
          </w:tcPr>
          <w:p w:rsidR="00875E18" w:rsidRPr="00335764" w:rsidRDefault="006A0D79" w:rsidP="00335764">
            <w:pPr>
              <w:spacing w:line="240" w:lineRule="auto"/>
              <w:jc w:val="left"/>
              <w:rPr>
                <w:rFonts w:cs="Arial"/>
                <w:sz w:val="20"/>
                <w:szCs w:val="20"/>
                <w:lang w:val="en-ZA"/>
              </w:rPr>
            </w:pPr>
            <w:r w:rsidRPr="00335764">
              <w:rPr>
                <w:rFonts w:cs="Arial"/>
                <w:sz w:val="20"/>
                <w:szCs w:val="20"/>
                <w:lang w:val="en-ZA"/>
              </w:rPr>
              <w:t>25.5</w:t>
            </w:r>
            <w:r w:rsidR="00875E18" w:rsidRPr="00335764">
              <w:rPr>
                <w:rFonts w:cs="Arial"/>
                <w:sz w:val="20"/>
                <w:szCs w:val="20"/>
                <w:lang w:val="en-ZA"/>
              </w:rPr>
              <w:t>%</w:t>
            </w:r>
          </w:p>
        </w:tc>
      </w:tr>
      <w:tr w:rsidR="00717536" w:rsidRPr="00335764" w:rsidTr="00233174">
        <w:trPr>
          <w:trHeight w:val="247"/>
        </w:trPr>
        <w:tc>
          <w:tcPr>
            <w:tcW w:w="1672" w:type="pct"/>
            <w:tcBorders>
              <w:top w:val="single" w:sz="2" w:space="0" w:color="000000"/>
              <w:left w:val="single" w:sz="2" w:space="0" w:color="000000"/>
              <w:bottom w:val="single" w:sz="2" w:space="0" w:color="000000"/>
              <w:right w:val="single" w:sz="2" w:space="0" w:color="000000"/>
            </w:tcBorders>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 xml:space="preserve">Transfers and subsidies </w:t>
            </w:r>
          </w:p>
        </w:tc>
        <w:tc>
          <w:tcPr>
            <w:tcW w:w="587" w:type="pct"/>
            <w:tcBorders>
              <w:top w:val="single" w:sz="2" w:space="0" w:color="000000"/>
              <w:left w:val="single" w:sz="2" w:space="0" w:color="000000"/>
              <w:bottom w:val="single" w:sz="2" w:space="0" w:color="000000"/>
              <w:right w:val="single" w:sz="2" w:space="0" w:color="000000"/>
            </w:tcBorders>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3 365.4</w:t>
            </w:r>
          </w:p>
        </w:tc>
        <w:tc>
          <w:tcPr>
            <w:tcW w:w="587" w:type="pct"/>
            <w:tcBorders>
              <w:top w:val="single" w:sz="2" w:space="0" w:color="000000"/>
              <w:left w:val="single" w:sz="2" w:space="0" w:color="000000"/>
              <w:bottom w:val="single" w:sz="2" w:space="0" w:color="000000"/>
              <w:right w:val="single" w:sz="2" w:space="0" w:color="000000"/>
            </w:tcBorders>
            <w:shd w:val="clear" w:color="auto" w:fill="D9D9D9"/>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3 413.3</w:t>
            </w:r>
          </w:p>
        </w:tc>
        <w:tc>
          <w:tcPr>
            <w:tcW w:w="587" w:type="pct"/>
            <w:tcBorders>
              <w:top w:val="single" w:sz="2" w:space="0" w:color="000000"/>
              <w:left w:val="single" w:sz="2" w:space="0" w:color="000000"/>
              <w:bottom w:val="single" w:sz="2" w:space="0" w:color="000000"/>
              <w:right w:val="single" w:sz="2" w:space="0" w:color="000000"/>
            </w:tcBorders>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3 545.5</w:t>
            </w:r>
          </w:p>
        </w:tc>
        <w:tc>
          <w:tcPr>
            <w:tcW w:w="587" w:type="pct"/>
            <w:tcBorders>
              <w:top w:val="single" w:sz="2" w:space="0" w:color="000000"/>
              <w:left w:val="single" w:sz="2" w:space="0" w:color="000000"/>
              <w:bottom w:val="single" w:sz="2" w:space="0" w:color="000000"/>
              <w:right w:val="single" w:sz="2" w:space="0" w:color="000000"/>
            </w:tcBorders>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3 692.6</w:t>
            </w:r>
          </w:p>
        </w:tc>
        <w:tc>
          <w:tcPr>
            <w:tcW w:w="982" w:type="pct"/>
            <w:tcBorders>
              <w:top w:val="single" w:sz="2" w:space="0" w:color="000000"/>
              <w:left w:val="single" w:sz="2" w:space="0" w:color="000000"/>
              <w:bottom w:val="single" w:sz="2" w:space="0" w:color="000000"/>
              <w:right w:val="single" w:sz="2" w:space="0" w:color="000000"/>
            </w:tcBorders>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14.7%</w:t>
            </w:r>
          </w:p>
        </w:tc>
      </w:tr>
      <w:tr w:rsidR="00717536" w:rsidRPr="00335764" w:rsidTr="00233174">
        <w:trPr>
          <w:trHeight w:val="247"/>
        </w:trPr>
        <w:tc>
          <w:tcPr>
            <w:tcW w:w="1672" w:type="pct"/>
            <w:tcBorders>
              <w:top w:val="single" w:sz="2" w:space="0" w:color="000000"/>
              <w:left w:val="single" w:sz="2" w:space="0" w:color="000000"/>
              <w:bottom w:val="single" w:sz="2" w:space="0" w:color="000000"/>
              <w:right w:val="single" w:sz="2" w:space="0" w:color="000000"/>
            </w:tcBorders>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 xml:space="preserve">Payments for capital assets </w:t>
            </w:r>
          </w:p>
        </w:tc>
        <w:tc>
          <w:tcPr>
            <w:tcW w:w="587" w:type="pct"/>
            <w:tcBorders>
              <w:top w:val="single" w:sz="2" w:space="0" w:color="000000"/>
              <w:left w:val="single" w:sz="2" w:space="0" w:color="000000"/>
              <w:bottom w:val="single" w:sz="2" w:space="0" w:color="000000"/>
              <w:right w:val="single" w:sz="2" w:space="0" w:color="000000"/>
            </w:tcBorders>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823.9</w:t>
            </w:r>
          </w:p>
        </w:tc>
        <w:tc>
          <w:tcPr>
            <w:tcW w:w="587" w:type="pct"/>
            <w:tcBorders>
              <w:top w:val="single" w:sz="2" w:space="0" w:color="000000"/>
              <w:left w:val="single" w:sz="2" w:space="0" w:color="000000"/>
              <w:bottom w:val="single" w:sz="2" w:space="0" w:color="000000"/>
              <w:right w:val="single" w:sz="2" w:space="0" w:color="000000"/>
            </w:tcBorders>
            <w:shd w:val="clear" w:color="auto" w:fill="D9D9D9"/>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788.8</w:t>
            </w:r>
          </w:p>
        </w:tc>
        <w:tc>
          <w:tcPr>
            <w:tcW w:w="587" w:type="pct"/>
            <w:tcBorders>
              <w:top w:val="single" w:sz="2" w:space="0" w:color="000000"/>
              <w:left w:val="single" w:sz="2" w:space="0" w:color="000000"/>
              <w:bottom w:val="single" w:sz="2" w:space="0" w:color="000000"/>
              <w:right w:val="single" w:sz="2" w:space="0" w:color="000000"/>
            </w:tcBorders>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808.4</w:t>
            </w:r>
          </w:p>
        </w:tc>
        <w:tc>
          <w:tcPr>
            <w:tcW w:w="587" w:type="pct"/>
            <w:tcBorders>
              <w:top w:val="single" w:sz="2" w:space="0" w:color="000000"/>
              <w:left w:val="single" w:sz="2" w:space="0" w:color="000000"/>
              <w:bottom w:val="single" w:sz="2" w:space="0" w:color="000000"/>
              <w:right w:val="single" w:sz="2" w:space="0" w:color="000000"/>
            </w:tcBorders>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855.6</w:t>
            </w:r>
          </w:p>
        </w:tc>
        <w:tc>
          <w:tcPr>
            <w:tcW w:w="982" w:type="pct"/>
            <w:tcBorders>
              <w:top w:val="single" w:sz="2" w:space="0" w:color="000000"/>
              <w:left w:val="single" w:sz="2" w:space="0" w:color="000000"/>
              <w:bottom w:val="single" w:sz="2" w:space="0" w:color="000000"/>
              <w:right w:val="single" w:sz="2" w:space="0" w:color="000000"/>
            </w:tcBorders>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3.49%</w:t>
            </w:r>
          </w:p>
        </w:tc>
      </w:tr>
      <w:tr w:rsidR="00717536" w:rsidRPr="00335764" w:rsidTr="00233174">
        <w:trPr>
          <w:trHeight w:val="247"/>
        </w:trPr>
        <w:tc>
          <w:tcPr>
            <w:tcW w:w="1672" w:type="pct"/>
            <w:tcBorders>
              <w:top w:val="single" w:sz="2" w:space="0" w:color="000000"/>
              <w:left w:val="single" w:sz="2" w:space="0" w:color="000000"/>
              <w:bottom w:val="single" w:sz="2" w:space="0" w:color="000000"/>
              <w:right w:val="single" w:sz="2" w:space="0" w:color="000000"/>
            </w:tcBorders>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Payments for financial assets</w:t>
            </w:r>
          </w:p>
        </w:tc>
        <w:tc>
          <w:tcPr>
            <w:tcW w:w="587" w:type="pct"/>
            <w:tcBorders>
              <w:top w:val="single" w:sz="2" w:space="0" w:color="000000"/>
              <w:left w:val="single" w:sz="2" w:space="0" w:color="000000"/>
              <w:bottom w:val="single" w:sz="2" w:space="0" w:color="000000"/>
              <w:right w:val="single" w:sz="2" w:space="0" w:color="000000"/>
            </w:tcBorders>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0.2</w:t>
            </w:r>
          </w:p>
        </w:tc>
        <w:tc>
          <w:tcPr>
            <w:tcW w:w="587" w:type="pct"/>
            <w:tcBorders>
              <w:top w:val="single" w:sz="2" w:space="0" w:color="000000"/>
              <w:left w:val="single" w:sz="2" w:space="0" w:color="000000"/>
              <w:bottom w:val="single" w:sz="2" w:space="0" w:color="000000"/>
              <w:right w:val="single" w:sz="2" w:space="0" w:color="000000"/>
            </w:tcBorders>
            <w:shd w:val="clear" w:color="auto" w:fill="D9D9D9"/>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w:t>
            </w:r>
          </w:p>
        </w:tc>
        <w:tc>
          <w:tcPr>
            <w:tcW w:w="587" w:type="pct"/>
            <w:tcBorders>
              <w:top w:val="single" w:sz="2" w:space="0" w:color="000000"/>
              <w:left w:val="single" w:sz="2" w:space="0" w:color="000000"/>
              <w:bottom w:val="single" w:sz="2" w:space="0" w:color="000000"/>
              <w:right w:val="single" w:sz="2" w:space="0" w:color="000000"/>
            </w:tcBorders>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w:t>
            </w:r>
          </w:p>
        </w:tc>
        <w:tc>
          <w:tcPr>
            <w:tcW w:w="587" w:type="pct"/>
            <w:tcBorders>
              <w:top w:val="single" w:sz="2" w:space="0" w:color="000000"/>
              <w:left w:val="single" w:sz="2" w:space="0" w:color="000000"/>
              <w:bottom w:val="single" w:sz="2" w:space="0" w:color="000000"/>
              <w:right w:val="single" w:sz="2" w:space="0" w:color="000000"/>
            </w:tcBorders>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w:t>
            </w:r>
          </w:p>
        </w:tc>
        <w:tc>
          <w:tcPr>
            <w:tcW w:w="982" w:type="pct"/>
            <w:tcBorders>
              <w:top w:val="single" w:sz="2" w:space="0" w:color="000000"/>
              <w:left w:val="single" w:sz="2" w:space="0" w:color="000000"/>
              <w:bottom w:val="single" w:sz="2" w:space="0" w:color="000000"/>
              <w:right w:val="single" w:sz="2" w:space="0" w:color="000000"/>
            </w:tcBorders>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0%</w:t>
            </w:r>
          </w:p>
        </w:tc>
      </w:tr>
      <w:tr w:rsidR="00717536" w:rsidRPr="00335764" w:rsidTr="00233174">
        <w:trPr>
          <w:trHeight w:val="247"/>
        </w:trPr>
        <w:tc>
          <w:tcPr>
            <w:tcW w:w="1672" w:type="pct"/>
            <w:tcBorders>
              <w:top w:val="single" w:sz="2" w:space="0" w:color="000000"/>
              <w:left w:val="single" w:sz="2" w:space="0" w:color="000000"/>
              <w:bottom w:val="single" w:sz="2" w:space="0" w:color="000000"/>
              <w:right w:val="single" w:sz="2" w:space="0" w:color="000000"/>
            </w:tcBorders>
          </w:tcPr>
          <w:p w:rsidR="00717536" w:rsidRPr="00335764" w:rsidRDefault="00717536" w:rsidP="00335764">
            <w:pPr>
              <w:autoSpaceDE w:val="0"/>
              <w:autoSpaceDN w:val="0"/>
              <w:adjustRightInd w:val="0"/>
              <w:spacing w:line="240" w:lineRule="auto"/>
              <w:jc w:val="left"/>
              <w:rPr>
                <w:rFonts w:eastAsia="Calibri" w:cs="Arial"/>
                <w:b/>
                <w:spacing w:val="0"/>
                <w:sz w:val="20"/>
                <w:szCs w:val="20"/>
                <w:lang w:val="en-ZA" w:eastAsia="en-US"/>
              </w:rPr>
            </w:pPr>
            <w:r w:rsidRPr="00335764">
              <w:rPr>
                <w:rFonts w:eastAsia="Calibri" w:cs="Arial"/>
                <w:b/>
                <w:spacing w:val="0"/>
                <w:sz w:val="20"/>
                <w:szCs w:val="20"/>
                <w:lang w:val="en-ZA" w:eastAsia="en-US"/>
              </w:rPr>
              <w:t>Total</w:t>
            </w:r>
          </w:p>
        </w:tc>
        <w:tc>
          <w:tcPr>
            <w:tcW w:w="587" w:type="pct"/>
            <w:tcBorders>
              <w:top w:val="single" w:sz="2" w:space="0" w:color="000000"/>
              <w:left w:val="single" w:sz="2" w:space="0" w:color="000000"/>
              <w:bottom w:val="single" w:sz="2" w:space="0" w:color="000000"/>
              <w:right w:val="single" w:sz="2" w:space="0" w:color="000000"/>
            </w:tcBorders>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22 880.5</w:t>
            </w:r>
          </w:p>
        </w:tc>
        <w:tc>
          <w:tcPr>
            <w:tcW w:w="587" w:type="pct"/>
            <w:tcBorders>
              <w:top w:val="single" w:sz="2" w:space="0" w:color="000000"/>
              <w:left w:val="single" w:sz="2" w:space="0" w:color="000000"/>
              <w:bottom w:val="single" w:sz="2" w:space="0" w:color="000000"/>
              <w:right w:val="single" w:sz="2" w:space="0" w:color="000000"/>
            </w:tcBorders>
            <w:shd w:val="clear" w:color="auto" w:fill="D9D9D9"/>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23 192.7</w:t>
            </w:r>
          </w:p>
        </w:tc>
        <w:tc>
          <w:tcPr>
            <w:tcW w:w="587" w:type="pct"/>
            <w:tcBorders>
              <w:top w:val="single" w:sz="2" w:space="0" w:color="000000"/>
              <w:left w:val="single" w:sz="2" w:space="0" w:color="000000"/>
              <w:bottom w:val="single" w:sz="2" w:space="0" w:color="000000"/>
              <w:right w:val="single" w:sz="2" w:space="0" w:color="000000"/>
            </w:tcBorders>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24 105.5</w:t>
            </w:r>
          </w:p>
        </w:tc>
        <w:tc>
          <w:tcPr>
            <w:tcW w:w="587" w:type="pct"/>
            <w:tcBorders>
              <w:top w:val="single" w:sz="2" w:space="0" w:color="000000"/>
              <w:left w:val="single" w:sz="2" w:space="0" w:color="000000"/>
              <w:bottom w:val="single" w:sz="2" w:space="0" w:color="000000"/>
              <w:right w:val="single" w:sz="2" w:space="0" w:color="000000"/>
            </w:tcBorders>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25 158.8</w:t>
            </w:r>
          </w:p>
        </w:tc>
        <w:tc>
          <w:tcPr>
            <w:tcW w:w="982" w:type="pct"/>
            <w:tcBorders>
              <w:top w:val="single" w:sz="2" w:space="0" w:color="000000"/>
              <w:left w:val="single" w:sz="2" w:space="0" w:color="000000"/>
              <w:bottom w:val="single" w:sz="2" w:space="0" w:color="000000"/>
              <w:right w:val="single" w:sz="2" w:space="0" w:color="000000"/>
            </w:tcBorders>
          </w:tcPr>
          <w:p w:rsidR="00717536" w:rsidRPr="00335764" w:rsidRDefault="00717536" w:rsidP="00335764">
            <w:pPr>
              <w:spacing w:line="240" w:lineRule="auto"/>
              <w:jc w:val="left"/>
              <w:rPr>
                <w:rFonts w:cs="Arial"/>
                <w:sz w:val="20"/>
                <w:szCs w:val="20"/>
                <w:lang w:val="en-ZA"/>
              </w:rPr>
            </w:pPr>
            <w:r w:rsidRPr="00335764">
              <w:rPr>
                <w:rFonts w:cs="Arial"/>
                <w:sz w:val="20"/>
                <w:szCs w:val="20"/>
                <w:lang w:val="en-ZA"/>
              </w:rPr>
              <w:t>100%</w:t>
            </w:r>
          </w:p>
        </w:tc>
      </w:tr>
    </w:tbl>
    <w:p w:rsidR="00104699" w:rsidRPr="00335764" w:rsidRDefault="00104699" w:rsidP="00335764">
      <w:pPr>
        <w:spacing w:line="240" w:lineRule="auto"/>
        <w:ind w:left="375"/>
        <w:jc w:val="left"/>
        <w:rPr>
          <w:rFonts w:cs="Arial"/>
          <w:b/>
          <w:sz w:val="20"/>
          <w:szCs w:val="20"/>
        </w:rPr>
      </w:pPr>
    </w:p>
    <w:p w:rsidR="008540D0" w:rsidRPr="00335764" w:rsidRDefault="008540D0" w:rsidP="00335764">
      <w:pPr>
        <w:pStyle w:val="ListParagraph"/>
        <w:numPr>
          <w:ilvl w:val="1"/>
          <w:numId w:val="1"/>
        </w:numPr>
        <w:spacing w:line="240" w:lineRule="auto"/>
        <w:ind w:left="851" w:hanging="851"/>
        <w:jc w:val="left"/>
        <w:rPr>
          <w:rFonts w:cs="Arial"/>
          <w:sz w:val="20"/>
          <w:szCs w:val="20"/>
          <w:lang w:val="en-US"/>
        </w:rPr>
      </w:pPr>
      <w:r w:rsidRPr="00335764">
        <w:rPr>
          <w:rFonts w:cs="Arial"/>
          <w:sz w:val="20"/>
          <w:szCs w:val="20"/>
          <w:lang w:val="en-ZA"/>
        </w:rPr>
        <w:t>The</w:t>
      </w:r>
      <w:r w:rsidRPr="00335764">
        <w:rPr>
          <w:rFonts w:cs="Arial"/>
          <w:sz w:val="20"/>
          <w:szCs w:val="20"/>
          <w:lang w:val="en-US"/>
        </w:rPr>
        <w:t xml:space="preserve"> key cost drivers for the Vote </w:t>
      </w:r>
      <w:r w:rsidR="008707DE" w:rsidRPr="00335764">
        <w:rPr>
          <w:rFonts w:cs="Arial"/>
          <w:sz w:val="20"/>
          <w:szCs w:val="20"/>
          <w:lang w:val="en-US"/>
        </w:rPr>
        <w:t xml:space="preserve">remain </w:t>
      </w:r>
      <w:r w:rsidRPr="00335764">
        <w:rPr>
          <w:rFonts w:cs="Arial"/>
          <w:sz w:val="20"/>
          <w:szCs w:val="20"/>
          <w:lang w:val="en-US"/>
        </w:rPr>
        <w:t xml:space="preserve">unchanged from </w:t>
      </w:r>
      <w:r w:rsidR="00717536" w:rsidRPr="00335764">
        <w:rPr>
          <w:rFonts w:cs="Arial"/>
          <w:sz w:val="20"/>
          <w:szCs w:val="20"/>
          <w:lang w:val="en-US"/>
        </w:rPr>
        <w:t>2022/23</w:t>
      </w:r>
      <w:r w:rsidRPr="00335764">
        <w:rPr>
          <w:rFonts w:cs="Arial"/>
          <w:sz w:val="20"/>
          <w:szCs w:val="20"/>
          <w:lang w:val="en-US"/>
        </w:rPr>
        <w:t xml:space="preserve">, namely: </w:t>
      </w:r>
    </w:p>
    <w:p w:rsidR="00717536" w:rsidRPr="00335764" w:rsidRDefault="008540D0" w:rsidP="00335764">
      <w:pPr>
        <w:pStyle w:val="ListParagraph"/>
        <w:numPr>
          <w:ilvl w:val="0"/>
          <w:numId w:val="4"/>
        </w:numPr>
        <w:spacing w:line="240" w:lineRule="auto"/>
        <w:ind w:hanging="589"/>
        <w:jc w:val="left"/>
        <w:rPr>
          <w:rFonts w:cs="Arial"/>
          <w:sz w:val="20"/>
          <w:szCs w:val="20"/>
          <w:lang w:val="en-ZA"/>
        </w:rPr>
      </w:pPr>
      <w:r w:rsidRPr="00335764">
        <w:rPr>
          <w:rFonts w:cs="Arial"/>
          <w:i/>
          <w:sz w:val="20"/>
          <w:szCs w:val="20"/>
          <w:lang w:val="en-ZA"/>
        </w:rPr>
        <w:t>Compensation of employees</w:t>
      </w:r>
      <w:r w:rsidR="00A608A2" w:rsidRPr="00335764">
        <w:rPr>
          <w:rFonts w:cs="Arial"/>
          <w:sz w:val="20"/>
          <w:szCs w:val="20"/>
          <w:lang w:val="en-ZA"/>
        </w:rPr>
        <w:t xml:space="preserve">. </w:t>
      </w:r>
      <w:r w:rsidR="00717536" w:rsidRPr="00335764">
        <w:rPr>
          <w:rFonts w:cs="Arial"/>
          <w:sz w:val="20"/>
          <w:szCs w:val="20"/>
          <w:lang w:val="en-ZA"/>
        </w:rPr>
        <w:t xml:space="preserve">A total of R12.93 billion is allocated to compensation of employees, at 56.4% of the total allocation to the Vote. Notably, </w:t>
      </w:r>
      <w:r w:rsidR="003D668E" w:rsidRPr="00335764">
        <w:rPr>
          <w:rFonts w:cs="Arial"/>
          <w:sz w:val="20"/>
          <w:szCs w:val="20"/>
          <w:lang w:val="en-ZA"/>
        </w:rPr>
        <w:t>the amount allocated decreases in real terms by -6.3%</w:t>
      </w:r>
      <w:r w:rsidR="00717536" w:rsidRPr="00335764">
        <w:rPr>
          <w:rFonts w:cs="Arial"/>
          <w:sz w:val="20"/>
          <w:szCs w:val="20"/>
          <w:lang w:val="en-ZA"/>
        </w:rPr>
        <w:t xml:space="preserve"> when compared to 2022/23 (R13.16 billion</w:t>
      </w:r>
      <w:r w:rsidR="003D668E" w:rsidRPr="00335764">
        <w:rPr>
          <w:rFonts w:cs="Arial"/>
          <w:sz w:val="20"/>
          <w:szCs w:val="20"/>
          <w:lang w:val="en-ZA"/>
        </w:rPr>
        <w:t>).</w:t>
      </w:r>
      <w:r w:rsidR="00717536" w:rsidRPr="00335764">
        <w:rPr>
          <w:rFonts w:cs="Arial"/>
          <w:sz w:val="20"/>
          <w:szCs w:val="20"/>
          <w:lang w:val="en-ZA"/>
        </w:rPr>
        <w:t xml:space="preserve"> It is projected that the number of personnel in the Department will decrease from 24 172 in 2022/23 to 23 860 in 2023/24.</w:t>
      </w:r>
    </w:p>
    <w:p w:rsidR="008006B1" w:rsidRPr="00335764" w:rsidRDefault="00A608A2" w:rsidP="00335764">
      <w:pPr>
        <w:pStyle w:val="ListParagraph"/>
        <w:numPr>
          <w:ilvl w:val="0"/>
          <w:numId w:val="4"/>
        </w:numPr>
        <w:spacing w:line="240" w:lineRule="auto"/>
        <w:ind w:hanging="589"/>
        <w:jc w:val="left"/>
        <w:rPr>
          <w:rFonts w:cs="Arial"/>
          <w:sz w:val="20"/>
          <w:szCs w:val="20"/>
          <w:lang w:val="en-ZA"/>
        </w:rPr>
      </w:pPr>
      <w:r w:rsidRPr="00335764">
        <w:rPr>
          <w:rFonts w:cs="Arial"/>
          <w:i/>
          <w:sz w:val="20"/>
          <w:szCs w:val="20"/>
          <w:lang w:val="en-ZA"/>
        </w:rPr>
        <w:lastRenderedPageBreak/>
        <w:t>Goods and services</w:t>
      </w:r>
      <w:r w:rsidR="0037225B" w:rsidRPr="00335764">
        <w:rPr>
          <w:rFonts w:cs="Arial"/>
          <w:sz w:val="20"/>
          <w:szCs w:val="20"/>
          <w:lang w:val="en-ZA"/>
        </w:rPr>
        <w:t xml:space="preserve">. Budgeted expenditure for </w:t>
      </w:r>
      <w:r w:rsidRPr="00335764">
        <w:rPr>
          <w:rFonts w:cs="Arial"/>
          <w:i/>
          <w:sz w:val="20"/>
          <w:szCs w:val="20"/>
          <w:lang w:val="en-ZA"/>
        </w:rPr>
        <w:t>Goods and Services</w:t>
      </w:r>
      <w:r w:rsidRPr="00335764">
        <w:rPr>
          <w:rFonts w:cs="Arial"/>
          <w:sz w:val="20"/>
          <w:szCs w:val="20"/>
          <w:lang w:val="en-ZA"/>
        </w:rPr>
        <w:t xml:space="preserve"> accounts for 2</w:t>
      </w:r>
      <w:r w:rsidR="003D668E" w:rsidRPr="00335764">
        <w:rPr>
          <w:rFonts w:cs="Arial"/>
          <w:sz w:val="20"/>
          <w:szCs w:val="20"/>
          <w:lang w:val="en-ZA"/>
        </w:rPr>
        <w:t>5.5</w:t>
      </w:r>
      <w:r w:rsidRPr="00335764">
        <w:rPr>
          <w:rFonts w:cs="Arial"/>
          <w:sz w:val="20"/>
          <w:szCs w:val="20"/>
          <w:lang w:val="en-ZA"/>
        </w:rPr>
        <w:t xml:space="preserve">% of the </w:t>
      </w:r>
      <w:r w:rsidR="0037225B" w:rsidRPr="00335764">
        <w:rPr>
          <w:rFonts w:cs="Arial"/>
          <w:sz w:val="20"/>
          <w:szCs w:val="20"/>
          <w:lang w:val="en-ZA"/>
        </w:rPr>
        <w:t xml:space="preserve">allocation to the Vote at </w:t>
      </w:r>
      <w:r w:rsidR="008540D0" w:rsidRPr="00335764">
        <w:rPr>
          <w:rFonts w:cs="Arial"/>
          <w:sz w:val="20"/>
          <w:szCs w:val="20"/>
          <w:lang w:val="en-ZA"/>
        </w:rPr>
        <w:t>R</w:t>
      </w:r>
      <w:r w:rsidR="003D668E" w:rsidRPr="00335764">
        <w:rPr>
          <w:rFonts w:cs="Arial"/>
          <w:sz w:val="20"/>
          <w:szCs w:val="20"/>
          <w:lang w:val="en-ZA"/>
        </w:rPr>
        <w:t xml:space="preserve">6.05 billion, </w:t>
      </w:r>
      <w:r w:rsidR="0037225B" w:rsidRPr="00335764">
        <w:rPr>
          <w:rFonts w:cs="Arial"/>
          <w:sz w:val="20"/>
          <w:szCs w:val="20"/>
          <w:lang w:val="en-ZA"/>
        </w:rPr>
        <w:t>of which:</w:t>
      </w:r>
    </w:p>
    <w:p w:rsidR="00717536" w:rsidRPr="00335764" w:rsidRDefault="00717536" w:rsidP="00335764">
      <w:pPr>
        <w:numPr>
          <w:ilvl w:val="0"/>
          <w:numId w:val="9"/>
        </w:numPr>
        <w:spacing w:line="240" w:lineRule="auto"/>
        <w:jc w:val="left"/>
        <w:rPr>
          <w:rFonts w:cs="Arial"/>
          <w:sz w:val="20"/>
          <w:szCs w:val="20"/>
          <w:lang w:val="en-US"/>
        </w:rPr>
      </w:pPr>
      <w:r w:rsidRPr="00335764">
        <w:rPr>
          <w:rFonts w:cs="Arial"/>
          <w:sz w:val="20"/>
          <w:szCs w:val="20"/>
          <w:lang w:val="en-US"/>
        </w:rPr>
        <w:t xml:space="preserve">R1.405 billion </w:t>
      </w:r>
      <w:r w:rsidR="003D668E" w:rsidRPr="00335764">
        <w:rPr>
          <w:rFonts w:cs="Arial"/>
          <w:sz w:val="20"/>
          <w:szCs w:val="20"/>
          <w:lang w:val="en-US"/>
        </w:rPr>
        <w:t xml:space="preserve">is </w:t>
      </w:r>
      <w:r w:rsidRPr="00335764">
        <w:rPr>
          <w:rFonts w:cs="Arial"/>
          <w:sz w:val="20"/>
          <w:szCs w:val="20"/>
          <w:lang w:val="en-US"/>
        </w:rPr>
        <w:t>for property payments. (</w:t>
      </w:r>
      <w:r w:rsidR="003D668E" w:rsidRPr="00335764">
        <w:rPr>
          <w:rFonts w:cs="Arial"/>
          <w:sz w:val="20"/>
          <w:szCs w:val="20"/>
          <w:lang w:val="en-US"/>
        </w:rPr>
        <w:t>This is a</w:t>
      </w:r>
      <w:r w:rsidRPr="00335764">
        <w:rPr>
          <w:rFonts w:cs="Arial"/>
          <w:sz w:val="20"/>
          <w:szCs w:val="20"/>
          <w:lang w:val="en-US"/>
        </w:rPr>
        <w:t xml:space="preserve"> real decrease of </w:t>
      </w:r>
      <w:r w:rsidR="003D668E" w:rsidRPr="00335764">
        <w:rPr>
          <w:rFonts w:cs="Arial"/>
          <w:sz w:val="20"/>
          <w:szCs w:val="20"/>
          <w:lang w:val="en-US"/>
        </w:rPr>
        <w:t>-</w:t>
      </w:r>
      <w:r w:rsidRPr="00335764">
        <w:rPr>
          <w:rFonts w:cs="Arial"/>
          <w:sz w:val="20"/>
          <w:szCs w:val="20"/>
          <w:lang w:val="en-US"/>
        </w:rPr>
        <w:t>0.08% when compared to 2022/23).</w:t>
      </w:r>
    </w:p>
    <w:p w:rsidR="00717536" w:rsidRPr="00335764" w:rsidRDefault="00717536" w:rsidP="00335764">
      <w:pPr>
        <w:numPr>
          <w:ilvl w:val="0"/>
          <w:numId w:val="9"/>
        </w:numPr>
        <w:spacing w:line="240" w:lineRule="auto"/>
        <w:jc w:val="left"/>
        <w:rPr>
          <w:rFonts w:cs="Arial"/>
          <w:sz w:val="20"/>
          <w:szCs w:val="20"/>
          <w:lang w:val="en-US"/>
        </w:rPr>
      </w:pPr>
      <w:r w:rsidRPr="00335764">
        <w:rPr>
          <w:rFonts w:cs="Arial"/>
          <w:sz w:val="20"/>
          <w:szCs w:val="20"/>
          <w:lang w:val="en-US"/>
        </w:rPr>
        <w:t xml:space="preserve">R1.25 billion </w:t>
      </w:r>
      <w:r w:rsidR="003D668E" w:rsidRPr="00335764">
        <w:rPr>
          <w:rFonts w:cs="Arial"/>
          <w:sz w:val="20"/>
          <w:szCs w:val="20"/>
          <w:lang w:val="en-US"/>
        </w:rPr>
        <w:t xml:space="preserve">is </w:t>
      </w:r>
      <w:r w:rsidRPr="00335764">
        <w:rPr>
          <w:rFonts w:cs="Arial"/>
          <w:sz w:val="20"/>
          <w:szCs w:val="20"/>
          <w:lang w:val="en-US"/>
        </w:rPr>
        <w:t>for operating leases. (</w:t>
      </w:r>
      <w:r w:rsidR="003D668E" w:rsidRPr="00335764">
        <w:rPr>
          <w:rFonts w:cs="Arial"/>
          <w:sz w:val="20"/>
          <w:szCs w:val="20"/>
          <w:lang w:val="en-US"/>
        </w:rPr>
        <w:t>This is a</w:t>
      </w:r>
      <w:r w:rsidRPr="00335764">
        <w:rPr>
          <w:rFonts w:cs="Arial"/>
          <w:sz w:val="20"/>
          <w:szCs w:val="20"/>
          <w:lang w:val="en-US"/>
        </w:rPr>
        <w:t xml:space="preserve"> real increase of 22.5% when compared to 2022/23).</w:t>
      </w:r>
    </w:p>
    <w:p w:rsidR="00717536" w:rsidRPr="00335764" w:rsidRDefault="00717536" w:rsidP="00335764">
      <w:pPr>
        <w:numPr>
          <w:ilvl w:val="0"/>
          <w:numId w:val="9"/>
        </w:numPr>
        <w:spacing w:line="240" w:lineRule="auto"/>
        <w:jc w:val="left"/>
        <w:rPr>
          <w:rFonts w:cs="Arial"/>
          <w:sz w:val="20"/>
          <w:szCs w:val="20"/>
          <w:lang w:val="en-US"/>
        </w:rPr>
      </w:pPr>
      <w:r w:rsidRPr="00335764">
        <w:rPr>
          <w:rFonts w:cs="Arial"/>
          <w:sz w:val="20"/>
          <w:szCs w:val="20"/>
          <w:lang w:val="en-US"/>
        </w:rPr>
        <w:t xml:space="preserve">R1.31 billion </w:t>
      </w:r>
      <w:r w:rsidR="003D668E" w:rsidRPr="00335764">
        <w:rPr>
          <w:rFonts w:cs="Arial"/>
          <w:sz w:val="20"/>
          <w:szCs w:val="20"/>
          <w:lang w:val="en-US"/>
        </w:rPr>
        <w:t xml:space="preserve">is </w:t>
      </w:r>
      <w:r w:rsidRPr="00335764">
        <w:rPr>
          <w:rFonts w:cs="Arial"/>
          <w:sz w:val="20"/>
          <w:szCs w:val="20"/>
          <w:lang w:val="en-US"/>
        </w:rPr>
        <w:t>for computer services. (</w:t>
      </w:r>
      <w:r w:rsidR="003D668E" w:rsidRPr="00335764">
        <w:rPr>
          <w:rFonts w:cs="Arial"/>
          <w:sz w:val="20"/>
          <w:szCs w:val="20"/>
          <w:lang w:val="en-US"/>
        </w:rPr>
        <w:t>This is a</w:t>
      </w:r>
      <w:r w:rsidRPr="00335764">
        <w:rPr>
          <w:rFonts w:cs="Arial"/>
          <w:sz w:val="20"/>
          <w:szCs w:val="20"/>
          <w:lang w:val="en-US"/>
        </w:rPr>
        <w:t xml:space="preserve"> real increase of 6.67% when compared to 2022/23).</w:t>
      </w:r>
    </w:p>
    <w:p w:rsidR="00717536" w:rsidRPr="00335764" w:rsidRDefault="00717536" w:rsidP="00335764">
      <w:pPr>
        <w:numPr>
          <w:ilvl w:val="0"/>
          <w:numId w:val="9"/>
        </w:numPr>
        <w:spacing w:line="240" w:lineRule="auto"/>
        <w:jc w:val="left"/>
        <w:rPr>
          <w:rFonts w:cs="Arial"/>
          <w:sz w:val="20"/>
          <w:szCs w:val="20"/>
          <w:lang w:val="en-US"/>
        </w:rPr>
      </w:pPr>
      <w:r w:rsidRPr="00335764">
        <w:rPr>
          <w:rFonts w:cs="Arial"/>
          <w:sz w:val="20"/>
          <w:szCs w:val="20"/>
          <w:lang w:val="en-US"/>
        </w:rPr>
        <w:t>R313.4 million for travel and subsistence. (</w:t>
      </w:r>
      <w:r w:rsidR="003D668E" w:rsidRPr="00335764">
        <w:rPr>
          <w:rFonts w:cs="Arial"/>
          <w:sz w:val="20"/>
          <w:szCs w:val="20"/>
          <w:lang w:val="en-US"/>
        </w:rPr>
        <w:t>This is a</w:t>
      </w:r>
      <w:r w:rsidRPr="00335764">
        <w:rPr>
          <w:rFonts w:cs="Arial"/>
          <w:sz w:val="20"/>
          <w:szCs w:val="20"/>
          <w:lang w:val="en-US"/>
        </w:rPr>
        <w:t xml:space="preserve"> real increase of 10.39% when compared to 2022/23).</w:t>
      </w:r>
    </w:p>
    <w:p w:rsidR="00717536" w:rsidRPr="00335764" w:rsidRDefault="00717536" w:rsidP="00335764">
      <w:pPr>
        <w:numPr>
          <w:ilvl w:val="0"/>
          <w:numId w:val="9"/>
        </w:numPr>
        <w:spacing w:line="240" w:lineRule="auto"/>
        <w:jc w:val="left"/>
        <w:rPr>
          <w:rFonts w:cs="Arial"/>
          <w:sz w:val="20"/>
          <w:szCs w:val="20"/>
          <w:lang w:val="en-US"/>
        </w:rPr>
      </w:pPr>
      <w:r w:rsidRPr="00335764">
        <w:rPr>
          <w:rFonts w:cs="Arial"/>
          <w:sz w:val="20"/>
          <w:szCs w:val="20"/>
          <w:lang w:val="en-US"/>
        </w:rPr>
        <w:t>R246.4 million for Agency and support/outsourced services. (A real increase of 15.36%</w:t>
      </w:r>
      <w:r w:rsidRPr="00335764">
        <w:rPr>
          <w:rFonts w:cs="Arial"/>
          <w:sz w:val="20"/>
          <w:szCs w:val="20"/>
          <w:lang w:val="en-ZA"/>
        </w:rPr>
        <w:t xml:space="preserve"> </w:t>
      </w:r>
      <w:r w:rsidRPr="00335764">
        <w:rPr>
          <w:rFonts w:cs="Arial"/>
          <w:sz w:val="20"/>
          <w:szCs w:val="20"/>
          <w:lang w:val="en-US"/>
        </w:rPr>
        <w:t>when compared to 2022/23).</w:t>
      </w:r>
    </w:p>
    <w:p w:rsidR="008540D0" w:rsidRPr="00335764" w:rsidRDefault="008540D0" w:rsidP="00335764">
      <w:pPr>
        <w:spacing w:line="240" w:lineRule="auto"/>
        <w:ind w:left="375"/>
        <w:jc w:val="left"/>
        <w:rPr>
          <w:rFonts w:cs="Arial"/>
          <w:b/>
          <w:sz w:val="20"/>
          <w:szCs w:val="20"/>
          <w:lang w:val="en-ZA"/>
        </w:rPr>
      </w:pPr>
    </w:p>
    <w:p w:rsidR="008540D0" w:rsidRPr="00335764" w:rsidRDefault="001B2882" w:rsidP="00335764">
      <w:pPr>
        <w:pStyle w:val="ListParagraph"/>
        <w:numPr>
          <w:ilvl w:val="1"/>
          <w:numId w:val="1"/>
        </w:numPr>
        <w:spacing w:line="240" w:lineRule="auto"/>
        <w:ind w:left="851" w:hanging="851"/>
        <w:jc w:val="left"/>
        <w:rPr>
          <w:rFonts w:cs="Arial"/>
          <w:b/>
          <w:sz w:val="20"/>
          <w:szCs w:val="20"/>
          <w:lang w:val="en-ZA"/>
        </w:rPr>
      </w:pPr>
      <w:r w:rsidRPr="00335764">
        <w:rPr>
          <w:rFonts w:cs="Arial"/>
          <w:b/>
          <w:sz w:val="20"/>
          <w:szCs w:val="20"/>
          <w:lang w:val="en-ZA"/>
        </w:rPr>
        <w:t>Additional f</w:t>
      </w:r>
      <w:r w:rsidR="008540D0" w:rsidRPr="00335764">
        <w:rPr>
          <w:rFonts w:cs="Arial"/>
          <w:b/>
          <w:sz w:val="20"/>
          <w:szCs w:val="20"/>
          <w:lang w:val="en-ZA"/>
        </w:rPr>
        <w:t>unding</w:t>
      </w:r>
    </w:p>
    <w:p w:rsidR="008540D0" w:rsidRPr="00335764" w:rsidRDefault="008540D0" w:rsidP="00335764">
      <w:pPr>
        <w:spacing w:line="240" w:lineRule="auto"/>
        <w:ind w:left="375"/>
        <w:jc w:val="left"/>
        <w:rPr>
          <w:rFonts w:cs="Arial"/>
          <w:b/>
          <w:sz w:val="20"/>
          <w:szCs w:val="20"/>
          <w:lang w:val="en-ZA"/>
        </w:rPr>
      </w:pPr>
    </w:p>
    <w:p w:rsidR="00823740" w:rsidRPr="00335764" w:rsidRDefault="001B6147" w:rsidP="00335764">
      <w:pPr>
        <w:pStyle w:val="ListParagraph"/>
        <w:numPr>
          <w:ilvl w:val="2"/>
          <w:numId w:val="1"/>
        </w:numPr>
        <w:spacing w:line="240" w:lineRule="auto"/>
        <w:ind w:hanging="862"/>
        <w:jc w:val="left"/>
        <w:rPr>
          <w:rFonts w:cs="Arial"/>
          <w:sz w:val="20"/>
          <w:szCs w:val="20"/>
          <w:lang w:val="en-US"/>
        </w:rPr>
      </w:pPr>
      <w:r w:rsidRPr="00335764">
        <w:rPr>
          <w:rFonts w:cs="Arial"/>
          <w:sz w:val="20"/>
          <w:szCs w:val="20"/>
          <w:lang w:val="en-US"/>
        </w:rPr>
        <w:t>A</w:t>
      </w:r>
      <w:r w:rsidR="0075558D" w:rsidRPr="00335764">
        <w:rPr>
          <w:rFonts w:cs="Arial"/>
          <w:sz w:val="20"/>
          <w:szCs w:val="20"/>
          <w:lang w:val="en-US"/>
        </w:rPr>
        <w:t xml:space="preserve">n additional </w:t>
      </w:r>
      <w:r w:rsidR="00823740" w:rsidRPr="00335764">
        <w:rPr>
          <w:rFonts w:cs="Arial"/>
          <w:sz w:val="20"/>
          <w:szCs w:val="20"/>
          <w:lang w:val="en-US"/>
        </w:rPr>
        <w:t xml:space="preserve">R2.78 billion </w:t>
      </w:r>
      <w:r w:rsidR="00DE75ED" w:rsidRPr="00335764">
        <w:rPr>
          <w:rFonts w:cs="Arial"/>
          <w:sz w:val="20"/>
          <w:szCs w:val="20"/>
          <w:lang w:val="en-US"/>
        </w:rPr>
        <w:t xml:space="preserve">is </w:t>
      </w:r>
      <w:r w:rsidR="00823740" w:rsidRPr="00335764">
        <w:rPr>
          <w:rFonts w:cs="Arial"/>
          <w:sz w:val="20"/>
          <w:szCs w:val="20"/>
          <w:lang w:val="en-US"/>
        </w:rPr>
        <w:t>allocated to the Vote baseline</w:t>
      </w:r>
      <w:r w:rsidRPr="00335764">
        <w:rPr>
          <w:rFonts w:cs="Arial"/>
          <w:sz w:val="20"/>
          <w:szCs w:val="20"/>
          <w:lang w:val="en-US"/>
        </w:rPr>
        <w:t xml:space="preserve"> over the MTEF period</w:t>
      </w:r>
      <w:r w:rsidR="00823740" w:rsidRPr="00335764">
        <w:rPr>
          <w:rFonts w:cs="Arial"/>
          <w:sz w:val="20"/>
          <w:szCs w:val="20"/>
          <w:lang w:val="en-US"/>
        </w:rPr>
        <w:t xml:space="preserve">, </w:t>
      </w:r>
      <w:r w:rsidR="00905AF0" w:rsidRPr="00335764">
        <w:rPr>
          <w:rFonts w:cs="Arial"/>
          <w:sz w:val="20"/>
          <w:szCs w:val="20"/>
          <w:lang w:val="en-US"/>
        </w:rPr>
        <w:t>to</w:t>
      </w:r>
      <w:r w:rsidR="00823740" w:rsidRPr="00335764">
        <w:rPr>
          <w:rFonts w:cs="Arial"/>
          <w:sz w:val="20"/>
          <w:szCs w:val="20"/>
          <w:lang w:val="en-US"/>
        </w:rPr>
        <w:t xml:space="preserve"> cover improved conditions of service in the c</w:t>
      </w:r>
      <w:r w:rsidRPr="00335764">
        <w:rPr>
          <w:rFonts w:cs="Arial"/>
          <w:sz w:val="20"/>
          <w:szCs w:val="20"/>
          <w:lang w:val="en-US"/>
        </w:rPr>
        <w:t>ompensation of employees’ budget, as fo</w:t>
      </w:r>
      <w:r w:rsidR="00823740" w:rsidRPr="00335764">
        <w:rPr>
          <w:rFonts w:cs="Arial"/>
          <w:sz w:val="20"/>
          <w:szCs w:val="20"/>
          <w:lang w:val="en-US"/>
        </w:rPr>
        <w:t>llows:</w:t>
      </w:r>
    </w:p>
    <w:p w:rsidR="001B6147" w:rsidRPr="00335764" w:rsidRDefault="001B6147" w:rsidP="00335764">
      <w:pPr>
        <w:pStyle w:val="ListParagraph"/>
        <w:spacing w:line="240" w:lineRule="auto"/>
        <w:ind w:left="862"/>
        <w:jc w:val="left"/>
        <w:rPr>
          <w:rFonts w:cs="Arial"/>
          <w:sz w:val="20"/>
          <w:szCs w:val="20"/>
          <w:lang w:val="en-US"/>
        </w:rPr>
      </w:pPr>
    </w:p>
    <w:p w:rsidR="00E13F33" w:rsidRPr="00335764" w:rsidRDefault="008707DE" w:rsidP="00335764">
      <w:pPr>
        <w:spacing w:line="240" w:lineRule="auto"/>
        <w:jc w:val="left"/>
        <w:rPr>
          <w:rFonts w:cs="Arial"/>
          <w:b/>
          <w:sz w:val="20"/>
          <w:szCs w:val="20"/>
          <w:lang w:val="en-ZA"/>
        </w:rPr>
      </w:pPr>
      <w:r w:rsidRPr="00335764">
        <w:rPr>
          <w:rFonts w:cs="Arial"/>
          <w:b/>
          <w:sz w:val="20"/>
          <w:szCs w:val="20"/>
          <w:lang w:val="en-ZA"/>
        </w:rPr>
        <w:t>A</w:t>
      </w:r>
      <w:r w:rsidR="005A1B78" w:rsidRPr="00335764">
        <w:rPr>
          <w:rFonts w:cs="Arial"/>
          <w:b/>
          <w:sz w:val="20"/>
          <w:szCs w:val="20"/>
          <w:lang w:val="en-ZA"/>
        </w:rPr>
        <w:t>dditions</w:t>
      </w:r>
      <w:r w:rsidR="00823740" w:rsidRPr="00335764">
        <w:rPr>
          <w:rFonts w:cs="Arial"/>
          <w:b/>
          <w:sz w:val="20"/>
          <w:szCs w:val="20"/>
          <w:lang w:val="en-ZA"/>
        </w:rPr>
        <w:t xml:space="preserve"> to the Vote baseline 2023</w:t>
      </w:r>
      <w:r w:rsidRPr="00335764">
        <w:rPr>
          <w:rFonts w:cs="Arial"/>
          <w:b/>
          <w:sz w:val="20"/>
          <w:szCs w:val="20"/>
          <w:lang w:val="en-ZA"/>
        </w:rPr>
        <w:t xml:space="preserve"> MTEF</w:t>
      </w:r>
    </w:p>
    <w:tbl>
      <w:tblPr>
        <w:tblStyle w:val="TableGrid"/>
        <w:tblW w:w="5000" w:type="pct"/>
        <w:tblLook w:val="04A0"/>
      </w:tblPr>
      <w:tblGrid>
        <w:gridCol w:w="4496"/>
        <w:gridCol w:w="1138"/>
        <w:gridCol w:w="1138"/>
        <w:gridCol w:w="1138"/>
        <w:gridCol w:w="1718"/>
      </w:tblGrid>
      <w:tr w:rsidR="0075558D" w:rsidRPr="00335764" w:rsidTr="001B6147">
        <w:tc>
          <w:tcPr>
            <w:tcW w:w="2335" w:type="pct"/>
            <w:shd w:val="clear" w:color="auto" w:fill="D9D9D9" w:themeFill="background1" w:themeFillShade="D9"/>
          </w:tcPr>
          <w:p w:rsidR="003E3A03" w:rsidRPr="00335764" w:rsidRDefault="0075558D" w:rsidP="00335764">
            <w:pPr>
              <w:spacing w:line="240" w:lineRule="auto"/>
              <w:jc w:val="left"/>
              <w:rPr>
                <w:rFonts w:cs="Arial"/>
                <w:b/>
                <w:sz w:val="20"/>
                <w:szCs w:val="20"/>
                <w:lang w:val="en-ZA"/>
              </w:rPr>
            </w:pPr>
            <w:r w:rsidRPr="00335764">
              <w:rPr>
                <w:rFonts w:cs="Arial"/>
                <w:b/>
                <w:sz w:val="20"/>
                <w:szCs w:val="20"/>
                <w:lang w:val="en-ZA"/>
              </w:rPr>
              <w:t>R’million</w:t>
            </w:r>
          </w:p>
        </w:tc>
        <w:tc>
          <w:tcPr>
            <w:tcW w:w="591" w:type="pct"/>
            <w:shd w:val="clear" w:color="auto" w:fill="D9D9D9" w:themeFill="background1" w:themeFillShade="D9"/>
          </w:tcPr>
          <w:p w:rsidR="003E3A03" w:rsidRPr="00335764" w:rsidRDefault="00823740" w:rsidP="00335764">
            <w:pPr>
              <w:spacing w:line="240" w:lineRule="auto"/>
              <w:jc w:val="left"/>
              <w:rPr>
                <w:rFonts w:cs="Arial"/>
                <w:b/>
                <w:sz w:val="20"/>
                <w:szCs w:val="20"/>
                <w:lang w:val="en-ZA"/>
              </w:rPr>
            </w:pPr>
            <w:r w:rsidRPr="00335764">
              <w:rPr>
                <w:rFonts w:cs="Arial"/>
                <w:b/>
                <w:sz w:val="20"/>
                <w:szCs w:val="20"/>
                <w:lang w:val="en-ZA"/>
              </w:rPr>
              <w:t>2023/24</w:t>
            </w:r>
          </w:p>
        </w:tc>
        <w:tc>
          <w:tcPr>
            <w:tcW w:w="591" w:type="pct"/>
            <w:shd w:val="clear" w:color="auto" w:fill="D9D9D9" w:themeFill="background1" w:themeFillShade="D9"/>
          </w:tcPr>
          <w:p w:rsidR="003E3A03" w:rsidRPr="00335764" w:rsidRDefault="00823740" w:rsidP="00335764">
            <w:pPr>
              <w:spacing w:line="240" w:lineRule="auto"/>
              <w:jc w:val="left"/>
              <w:rPr>
                <w:rFonts w:cs="Arial"/>
                <w:b/>
                <w:sz w:val="20"/>
                <w:szCs w:val="20"/>
                <w:lang w:val="en-ZA"/>
              </w:rPr>
            </w:pPr>
            <w:r w:rsidRPr="00335764">
              <w:rPr>
                <w:rFonts w:cs="Arial"/>
                <w:b/>
                <w:sz w:val="20"/>
                <w:szCs w:val="20"/>
                <w:lang w:val="en-ZA"/>
              </w:rPr>
              <w:t>2024/25</w:t>
            </w:r>
          </w:p>
        </w:tc>
        <w:tc>
          <w:tcPr>
            <w:tcW w:w="591" w:type="pct"/>
            <w:shd w:val="clear" w:color="auto" w:fill="D9D9D9" w:themeFill="background1" w:themeFillShade="D9"/>
          </w:tcPr>
          <w:p w:rsidR="003E3A03" w:rsidRPr="00335764" w:rsidRDefault="00823740" w:rsidP="00335764">
            <w:pPr>
              <w:spacing w:line="240" w:lineRule="auto"/>
              <w:jc w:val="left"/>
              <w:rPr>
                <w:rFonts w:cs="Arial"/>
                <w:b/>
                <w:sz w:val="20"/>
                <w:szCs w:val="20"/>
                <w:lang w:val="en-ZA"/>
              </w:rPr>
            </w:pPr>
            <w:r w:rsidRPr="00335764">
              <w:rPr>
                <w:rFonts w:cs="Arial"/>
                <w:b/>
                <w:sz w:val="20"/>
                <w:szCs w:val="20"/>
                <w:lang w:val="en-ZA"/>
              </w:rPr>
              <w:t>2025/26</w:t>
            </w:r>
          </w:p>
        </w:tc>
        <w:tc>
          <w:tcPr>
            <w:tcW w:w="892" w:type="pct"/>
            <w:shd w:val="clear" w:color="auto" w:fill="D9D9D9" w:themeFill="background1" w:themeFillShade="D9"/>
          </w:tcPr>
          <w:p w:rsidR="003E3A03" w:rsidRPr="00335764" w:rsidRDefault="003E3A03" w:rsidP="00335764">
            <w:pPr>
              <w:spacing w:line="240" w:lineRule="auto"/>
              <w:jc w:val="left"/>
              <w:rPr>
                <w:rFonts w:cs="Arial"/>
                <w:b/>
                <w:sz w:val="20"/>
                <w:szCs w:val="20"/>
                <w:lang w:val="en-ZA"/>
              </w:rPr>
            </w:pPr>
            <w:r w:rsidRPr="00335764">
              <w:rPr>
                <w:rFonts w:cs="Arial"/>
                <w:b/>
                <w:sz w:val="20"/>
                <w:szCs w:val="20"/>
                <w:lang w:val="en-ZA"/>
              </w:rPr>
              <w:t>MTEF Total</w:t>
            </w:r>
          </w:p>
        </w:tc>
      </w:tr>
      <w:tr w:rsidR="003E3A03" w:rsidRPr="00335764" w:rsidTr="001B6147">
        <w:tc>
          <w:tcPr>
            <w:tcW w:w="2335" w:type="pct"/>
          </w:tcPr>
          <w:p w:rsidR="00E13F33" w:rsidRPr="00335764" w:rsidRDefault="00E13F33" w:rsidP="00335764">
            <w:pPr>
              <w:spacing w:line="240" w:lineRule="auto"/>
              <w:jc w:val="left"/>
              <w:rPr>
                <w:rFonts w:cs="Arial"/>
                <w:b/>
                <w:sz w:val="20"/>
                <w:szCs w:val="20"/>
                <w:lang w:val="en-ZA"/>
              </w:rPr>
            </w:pPr>
            <w:r w:rsidRPr="00335764">
              <w:rPr>
                <w:rFonts w:cs="Arial"/>
                <w:b/>
                <w:sz w:val="20"/>
                <w:szCs w:val="20"/>
                <w:lang w:val="en-ZA"/>
              </w:rPr>
              <w:t>Compensation of employees</w:t>
            </w:r>
          </w:p>
        </w:tc>
        <w:tc>
          <w:tcPr>
            <w:tcW w:w="591" w:type="pct"/>
          </w:tcPr>
          <w:p w:rsidR="00E13F33" w:rsidRPr="00335764" w:rsidRDefault="00823740" w:rsidP="00335764">
            <w:pPr>
              <w:spacing w:line="240" w:lineRule="auto"/>
              <w:jc w:val="left"/>
              <w:rPr>
                <w:rFonts w:cs="Arial"/>
                <w:sz w:val="20"/>
                <w:szCs w:val="20"/>
                <w:lang w:val="en-ZA"/>
              </w:rPr>
            </w:pPr>
            <w:r w:rsidRPr="00335764">
              <w:rPr>
                <w:rFonts w:cs="Arial"/>
                <w:sz w:val="20"/>
                <w:szCs w:val="20"/>
                <w:lang w:val="en-ZA"/>
              </w:rPr>
              <w:t>417.0</w:t>
            </w:r>
          </w:p>
        </w:tc>
        <w:tc>
          <w:tcPr>
            <w:tcW w:w="591" w:type="pct"/>
          </w:tcPr>
          <w:p w:rsidR="00E13F33" w:rsidRPr="00335764" w:rsidRDefault="00823740" w:rsidP="00335764">
            <w:pPr>
              <w:spacing w:line="240" w:lineRule="auto"/>
              <w:jc w:val="left"/>
              <w:rPr>
                <w:rFonts w:cs="Arial"/>
                <w:sz w:val="20"/>
                <w:szCs w:val="20"/>
                <w:lang w:val="en-ZA"/>
              </w:rPr>
            </w:pPr>
            <w:r w:rsidRPr="00335764">
              <w:rPr>
                <w:rFonts w:cs="Arial"/>
                <w:sz w:val="20"/>
                <w:szCs w:val="20"/>
                <w:lang w:val="en-ZA"/>
              </w:rPr>
              <w:t>430.2</w:t>
            </w:r>
          </w:p>
        </w:tc>
        <w:tc>
          <w:tcPr>
            <w:tcW w:w="591" w:type="pct"/>
          </w:tcPr>
          <w:p w:rsidR="00E13F33" w:rsidRPr="00335764" w:rsidRDefault="00823740" w:rsidP="00335764">
            <w:pPr>
              <w:spacing w:line="240" w:lineRule="auto"/>
              <w:jc w:val="left"/>
              <w:rPr>
                <w:rFonts w:cs="Arial"/>
                <w:sz w:val="20"/>
                <w:szCs w:val="20"/>
                <w:lang w:val="en-ZA"/>
              </w:rPr>
            </w:pPr>
            <w:r w:rsidRPr="00335764">
              <w:rPr>
                <w:rFonts w:cs="Arial"/>
                <w:sz w:val="20"/>
                <w:szCs w:val="20"/>
                <w:lang w:val="en-ZA"/>
              </w:rPr>
              <w:t>443.1</w:t>
            </w:r>
          </w:p>
        </w:tc>
        <w:tc>
          <w:tcPr>
            <w:tcW w:w="892" w:type="pct"/>
          </w:tcPr>
          <w:p w:rsidR="00E13F33" w:rsidRPr="00335764" w:rsidRDefault="00823740" w:rsidP="00335764">
            <w:pPr>
              <w:spacing w:line="240" w:lineRule="auto"/>
              <w:jc w:val="left"/>
              <w:rPr>
                <w:rFonts w:cs="Arial"/>
                <w:sz w:val="20"/>
                <w:szCs w:val="20"/>
                <w:lang w:val="en-ZA"/>
              </w:rPr>
            </w:pPr>
            <w:r w:rsidRPr="00335764">
              <w:rPr>
                <w:rFonts w:cs="Arial"/>
                <w:sz w:val="20"/>
                <w:szCs w:val="20"/>
                <w:lang w:val="en-ZA"/>
              </w:rPr>
              <w:t>1290.3</w:t>
            </w:r>
          </w:p>
        </w:tc>
      </w:tr>
      <w:tr w:rsidR="003E3A03" w:rsidRPr="00335764" w:rsidTr="001B6147">
        <w:tc>
          <w:tcPr>
            <w:tcW w:w="2335" w:type="pct"/>
          </w:tcPr>
          <w:p w:rsidR="00E13F33" w:rsidRPr="00335764" w:rsidRDefault="00E13F33" w:rsidP="00335764">
            <w:pPr>
              <w:spacing w:line="240" w:lineRule="auto"/>
              <w:jc w:val="left"/>
              <w:rPr>
                <w:rFonts w:cs="Arial"/>
                <w:b/>
                <w:sz w:val="20"/>
                <w:szCs w:val="20"/>
                <w:lang w:val="en-ZA"/>
              </w:rPr>
            </w:pPr>
            <w:r w:rsidRPr="00335764">
              <w:rPr>
                <w:rFonts w:cs="Arial"/>
                <w:b/>
                <w:sz w:val="20"/>
                <w:szCs w:val="20"/>
                <w:lang w:val="en-ZA"/>
              </w:rPr>
              <w:t>Goods and Services</w:t>
            </w:r>
          </w:p>
        </w:tc>
        <w:tc>
          <w:tcPr>
            <w:tcW w:w="591" w:type="pct"/>
          </w:tcPr>
          <w:p w:rsidR="00E13F33" w:rsidRPr="00335764" w:rsidRDefault="00823740" w:rsidP="00335764">
            <w:pPr>
              <w:spacing w:line="240" w:lineRule="auto"/>
              <w:jc w:val="left"/>
              <w:rPr>
                <w:rFonts w:cs="Arial"/>
                <w:sz w:val="20"/>
                <w:szCs w:val="20"/>
                <w:lang w:val="en-ZA"/>
              </w:rPr>
            </w:pPr>
            <w:r w:rsidRPr="00335764">
              <w:rPr>
                <w:rFonts w:cs="Arial"/>
                <w:sz w:val="20"/>
                <w:szCs w:val="20"/>
                <w:lang w:val="en-ZA"/>
              </w:rPr>
              <w:t>406.7</w:t>
            </w:r>
          </w:p>
        </w:tc>
        <w:tc>
          <w:tcPr>
            <w:tcW w:w="591" w:type="pct"/>
          </w:tcPr>
          <w:p w:rsidR="00E13F33" w:rsidRPr="00335764" w:rsidRDefault="00823740" w:rsidP="00335764">
            <w:pPr>
              <w:spacing w:line="240" w:lineRule="auto"/>
              <w:jc w:val="left"/>
              <w:rPr>
                <w:rFonts w:cs="Arial"/>
                <w:sz w:val="20"/>
                <w:szCs w:val="20"/>
                <w:lang w:val="en-ZA"/>
              </w:rPr>
            </w:pPr>
            <w:r w:rsidRPr="00335764">
              <w:rPr>
                <w:rFonts w:cs="Arial"/>
                <w:sz w:val="20"/>
                <w:szCs w:val="20"/>
                <w:lang w:val="en-ZA"/>
              </w:rPr>
              <w:t>343.4</w:t>
            </w:r>
          </w:p>
        </w:tc>
        <w:tc>
          <w:tcPr>
            <w:tcW w:w="591" w:type="pct"/>
          </w:tcPr>
          <w:p w:rsidR="00E13F33" w:rsidRPr="00335764" w:rsidRDefault="00823740" w:rsidP="00335764">
            <w:pPr>
              <w:spacing w:line="240" w:lineRule="auto"/>
              <w:jc w:val="left"/>
              <w:rPr>
                <w:rFonts w:cs="Arial"/>
                <w:sz w:val="20"/>
                <w:szCs w:val="20"/>
                <w:lang w:val="en-ZA"/>
              </w:rPr>
            </w:pPr>
            <w:r w:rsidRPr="00335764">
              <w:rPr>
                <w:rFonts w:cs="Arial"/>
                <w:sz w:val="20"/>
                <w:szCs w:val="20"/>
                <w:lang w:val="en-ZA"/>
              </w:rPr>
              <w:t>350.4</w:t>
            </w:r>
          </w:p>
        </w:tc>
        <w:tc>
          <w:tcPr>
            <w:tcW w:w="892" w:type="pct"/>
          </w:tcPr>
          <w:p w:rsidR="00E13F33" w:rsidRPr="00335764" w:rsidRDefault="00823740" w:rsidP="00335764">
            <w:pPr>
              <w:spacing w:line="240" w:lineRule="auto"/>
              <w:jc w:val="left"/>
              <w:rPr>
                <w:rFonts w:cs="Arial"/>
                <w:sz w:val="20"/>
                <w:szCs w:val="20"/>
                <w:lang w:val="en-ZA"/>
              </w:rPr>
            </w:pPr>
            <w:r w:rsidRPr="00335764">
              <w:rPr>
                <w:rFonts w:cs="Arial"/>
                <w:sz w:val="20"/>
                <w:szCs w:val="20"/>
                <w:lang w:val="en-ZA"/>
              </w:rPr>
              <w:t>1 100.5</w:t>
            </w:r>
          </w:p>
        </w:tc>
      </w:tr>
      <w:tr w:rsidR="00823740" w:rsidRPr="00335764" w:rsidTr="001B6147">
        <w:tc>
          <w:tcPr>
            <w:tcW w:w="2335" w:type="pct"/>
          </w:tcPr>
          <w:p w:rsidR="00823740" w:rsidRPr="00335764" w:rsidRDefault="00823740" w:rsidP="00335764">
            <w:pPr>
              <w:spacing w:line="240" w:lineRule="auto"/>
              <w:jc w:val="left"/>
              <w:rPr>
                <w:rFonts w:cs="Arial"/>
                <w:b/>
                <w:sz w:val="20"/>
                <w:szCs w:val="20"/>
                <w:lang w:val="en-ZA"/>
              </w:rPr>
            </w:pPr>
            <w:r w:rsidRPr="00335764">
              <w:rPr>
                <w:rFonts w:cs="Arial"/>
                <w:b/>
                <w:sz w:val="20"/>
                <w:szCs w:val="20"/>
                <w:lang w:val="en-ZA"/>
              </w:rPr>
              <w:t>Legal Aid SA (Land Justice)</w:t>
            </w:r>
          </w:p>
        </w:tc>
        <w:tc>
          <w:tcPr>
            <w:tcW w:w="591" w:type="pct"/>
          </w:tcPr>
          <w:p w:rsidR="00823740" w:rsidRPr="00335764" w:rsidRDefault="00823740" w:rsidP="00335764">
            <w:pPr>
              <w:spacing w:line="240" w:lineRule="auto"/>
              <w:jc w:val="left"/>
              <w:rPr>
                <w:rFonts w:cs="Arial"/>
                <w:sz w:val="20"/>
                <w:szCs w:val="20"/>
                <w:lang w:val="en-ZA"/>
              </w:rPr>
            </w:pPr>
            <w:r w:rsidRPr="00335764">
              <w:rPr>
                <w:rFonts w:cs="Arial"/>
                <w:sz w:val="20"/>
                <w:szCs w:val="20"/>
                <w:lang w:val="en-ZA"/>
              </w:rPr>
              <w:t>76.6</w:t>
            </w:r>
          </w:p>
        </w:tc>
        <w:tc>
          <w:tcPr>
            <w:tcW w:w="591" w:type="pct"/>
          </w:tcPr>
          <w:p w:rsidR="00823740" w:rsidRPr="00335764" w:rsidRDefault="00823740" w:rsidP="00335764">
            <w:pPr>
              <w:spacing w:line="240" w:lineRule="auto"/>
              <w:jc w:val="left"/>
              <w:rPr>
                <w:rFonts w:cs="Arial"/>
                <w:sz w:val="20"/>
                <w:szCs w:val="20"/>
                <w:lang w:val="en-ZA"/>
              </w:rPr>
            </w:pPr>
            <w:r w:rsidRPr="00335764">
              <w:rPr>
                <w:rFonts w:cs="Arial"/>
                <w:sz w:val="20"/>
                <w:szCs w:val="20"/>
                <w:lang w:val="en-ZA"/>
              </w:rPr>
              <w:t>80.1</w:t>
            </w:r>
          </w:p>
        </w:tc>
        <w:tc>
          <w:tcPr>
            <w:tcW w:w="591" w:type="pct"/>
          </w:tcPr>
          <w:p w:rsidR="00823740" w:rsidRPr="00335764" w:rsidRDefault="00823740" w:rsidP="00335764">
            <w:pPr>
              <w:spacing w:line="240" w:lineRule="auto"/>
              <w:jc w:val="left"/>
              <w:rPr>
                <w:rFonts w:cs="Arial"/>
                <w:sz w:val="20"/>
                <w:szCs w:val="20"/>
                <w:lang w:val="en-ZA"/>
              </w:rPr>
            </w:pPr>
            <w:r w:rsidRPr="00335764">
              <w:rPr>
                <w:rFonts w:cs="Arial"/>
                <w:sz w:val="20"/>
                <w:szCs w:val="20"/>
                <w:lang w:val="en-ZA"/>
              </w:rPr>
              <w:t>83.7</w:t>
            </w:r>
          </w:p>
        </w:tc>
        <w:tc>
          <w:tcPr>
            <w:tcW w:w="892" w:type="pct"/>
          </w:tcPr>
          <w:p w:rsidR="00823740" w:rsidRPr="00335764" w:rsidRDefault="00823740" w:rsidP="00335764">
            <w:pPr>
              <w:spacing w:line="240" w:lineRule="auto"/>
              <w:jc w:val="left"/>
              <w:rPr>
                <w:rFonts w:cs="Arial"/>
                <w:sz w:val="20"/>
                <w:szCs w:val="20"/>
                <w:lang w:val="en-ZA"/>
              </w:rPr>
            </w:pPr>
            <w:r w:rsidRPr="00335764">
              <w:rPr>
                <w:rFonts w:cs="Arial"/>
                <w:sz w:val="20"/>
                <w:szCs w:val="20"/>
                <w:lang w:val="en-ZA"/>
              </w:rPr>
              <w:t>240.4</w:t>
            </w:r>
          </w:p>
        </w:tc>
      </w:tr>
      <w:tr w:rsidR="00823740" w:rsidRPr="00335764" w:rsidTr="001B6147">
        <w:tc>
          <w:tcPr>
            <w:tcW w:w="2335" w:type="pct"/>
          </w:tcPr>
          <w:p w:rsidR="00823740" w:rsidRPr="00335764" w:rsidRDefault="00823740" w:rsidP="00335764">
            <w:pPr>
              <w:spacing w:line="240" w:lineRule="auto"/>
              <w:jc w:val="left"/>
              <w:rPr>
                <w:rFonts w:cs="Arial"/>
                <w:b/>
                <w:sz w:val="20"/>
                <w:szCs w:val="20"/>
                <w:lang w:val="en-ZA"/>
              </w:rPr>
            </w:pPr>
            <w:r w:rsidRPr="00335764">
              <w:rPr>
                <w:rFonts w:cs="Arial"/>
                <w:b/>
                <w:sz w:val="20"/>
                <w:szCs w:val="20"/>
                <w:lang w:val="en-ZA"/>
              </w:rPr>
              <w:t>Agencies and accounts</w:t>
            </w:r>
          </w:p>
        </w:tc>
        <w:tc>
          <w:tcPr>
            <w:tcW w:w="591" w:type="pct"/>
          </w:tcPr>
          <w:p w:rsidR="00823740" w:rsidRPr="00335764" w:rsidRDefault="00823740" w:rsidP="00335764">
            <w:pPr>
              <w:spacing w:line="240" w:lineRule="auto"/>
              <w:jc w:val="left"/>
              <w:rPr>
                <w:rFonts w:cs="Arial"/>
                <w:sz w:val="20"/>
                <w:szCs w:val="20"/>
                <w:lang w:val="en-ZA"/>
              </w:rPr>
            </w:pPr>
            <w:r w:rsidRPr="00335764">
              <w:rPr>
                <w:rFonts w:cs="Arial"/>
                <w:sz w:val="20"/>
                <w:szCs w:val="20"/>
                <w:lang w:val="en-ZA"/>
              </w:rPr>
              <w:t>48.7</w:t>
            </w:r>
          </w:p>
        </w:tc>
        <w:tc>
          <w:tcPr>
            <w:tcW w:w="591" w:type="pct"/>
          </w:tcPr>
          <w:p w:rsidR="00823740" w:rsidRPr="00335764" w:rsidRDefault="00DE75ED" w:rsidP="00335764">
            <w:pPr>
              <w:spacing w:line="240" w:lineRule="auto"/>
              <w:jc w:val="left"/>
              <w:rPr>
                <w:rFonts w:cs="Arial"/>
                <w:sz w:val="20"/>
                <w:szCs w:val="20"/>
                <w:lang w:val="en-ZA"/>
              </w:rPr>
            </w:pPr>
            <w:r w:rsidRPr="00335764">
              <w:rPr>
                <w:rFonts w:cs="Arial"/>
                <w:sz w:val="20"/>
                <w:szCs w:val="20"/>
                <w:lang w:val="en-ZA"/>
              </w:rPr>
              <w:t>28.8</w:t>
            </w:r>
          </w:p>
        </w:tc>
        <w:tc>
          <w:tcPr>
            <w:tcW w:w="591" w:type="pct"/>
          </w:tcPr>
          <w:p w:rsidR="00823740" w:rsidRPr="00335764" w:rsidRDefault="00DE75ED" w:rsidP="00335764">
            <w:pPr>
              <w:spacing w:line="240" w:lineRule="auto"/>
              <w:jc w:val="left"/>
              <w:rPr>
                <w:rFonts w:cs="Arial"/>
                <w:sz w:val="20"/>
                <w:szCs w:val="20"/>
                <w:lang w:val="en-ZA"/>
              </w:rPr>
            </w:pPr>
            <w:r w:rsidRPr="00335764">
              <w:rPr>
                <w:rFonts w:cs="Arial"/>
                <w:sz w:val="20"/>
                <w:szCs w:val="20"/>
                <w:lang w:val="en-ZA"/>
              </w:rPr>
              <w:t>18.8</w:t>
            </w:r>
          </w:p>
        </w:tc>
        <w:tc>
          <w:tcPr>
            <w:tcW w:w="892" w:type="pct"/>
          </w:tcPr>
          <w:p w:rsidR="00823740" w:rsidRPr="00335764" w:rsidRDefault="00DE75ED" w:rsidP="00335764">
            <w:pPr>
              <w:spacing w:line="240" w:lineRule="auto"/>
              <w:jc w:val="left"/>
              <w:rPr>
                <w:rFonts w:cs="Arial"/>
                <w:sz w:val="20"/>
                <w:szCs w:val="20"/>
                <w:lang w:val="en-ZA"/>
              </w:rPr>
            </w:pPr>
            <w:r w:rsidRPr="00335764">
              <w:rPr>
                <w:rFonts w:cs="Arial"/>
                <w:sz w:val="20"/>
                <w:szCs w:val="20"/>
                <w:lang w:val="en-ZA"/>
              </w:rPr>
              <w:t>96.3</w:t>
            </w:r>
          </w:p>
        </w:tc>
      </w:tr>
      <w:tr w:rsidR="003E3A03" w:rsidRPr="00335764" w:rsidTr="001B6147">
        <w:tc>
          <w:tcPr>
            <w:tcW w:w="2335" w:type="pct"/>
          </w:tcPr>
          <w:p w:rsidR="00E13F33" w:rsidRPr="00335764" w:rsidRDefault="00E13F33" w:rsidP="00335764">
            <w:pPr>
              <w:spacing w:line="240" w:lineRule="auto"/>
              <w:jc w:val="left"/>
              <w:rPr>
                <w:rFonts w:cs="Arial"/>
                <w:b/>
                <w:sz w:val="20"/>
                <w:szCs w:val="20"/>
                <w:lang w:val="en-ZA"/>
              </w:rPr>
            </w:pPr>
            <w:r w:rsidRPr="00335764">
              <w:rPr>
                <w:rFonts w:cs="Arial"/>
                <w:b/>
                <w:sz w:val="20"/>
                <w:szCs w:val="20"/>
                <w:lang w:val="en-ZA"/>
              </w:rPr>
              <w:t>Machinery and equipment</w:t>
            </w:r>
          </w:p>
        </w:tc>
        <w:tc>
          <w:tcPr>
            <w:tcW w:w="591" w:type="pct"/>
          </w:tcPr>
          <w:p w:rsidR="00E13F33" w:rsidRPr="00335764" w:rsidRDefault="00823740" w:rsidP="00335764">
            <w:pPr>
              <w:spacing w:line="240" w:lineRule="auto"/>
              <w:jc w:val="left"/>
              <w:rPr>
                <w:rFonts w:cs="Arial"/>
                <w:sz w:val="20"/>
                <w:szCs w:val="20"/>
                <w:lang w:val="en-ZA"/>
              </w:rPr>
            </w:pPr>
            <w:r w:rsidRPr="00335764">
              <w:rPr>
                <w:rFonts w:cs="Arial"/>
                <w:sz w:val="20"/>
                <w:szCs w:val="20"/>
                <w:lang w:val="en-ZA"/>
              </w:rPr>
              <w:t>40.9</w:t>
            </w:r>
          </w:p>
        </w:tc>
        <w:tc>
          <w:tcPr>
            <w:tcW w:w="591" w:type="pct"/>
          </w:tcPr>
          <w:p w:rsidR="00E13F33" w:rsidRPr="00335764" w:rsidRDefault="00DE75ED" w:rsidP="00335764">
            <w:pPr>
              <w:spacing w:line="240" w:lineRule="auto"/>
              <w:jc w:val="left"/>
              <w:rPr>
                <w:rFonts w:cs="Arial"/>
                <w:sz w:val="20"/>
                <w:szCs w:val="20"/>
                <w:lang w:val="en-ZA"/>
              </w:rPr>
            </w:pPr>
            <w:r w:rsidRPr="00335764">
              <w:rPr>
                <w:rFonts w:cs="Arial"/>
                <w:sz w:val="20"/>
                <w:szCs w:val="20"/>
                <w:lang w:val="en-ZA"/>
              </w:rPr>
              <w:t>22.5</w:t>
            </w:r>
          </w:p>
        </w:tc>
        <w:tc>
          <w:tcPr>
            <w:tcW w:w="591" w:type="pct"/>
          </w:tcPr>
          <w:p w:rsidR="00E13F33" w:rsidRPr="00335764" w:rsidRDefault="00DE75ED" w:rsidP="00335764">
            <w:pPr>
              <w:spacing w:line="240" w:lineRule="auto"/>
              <w:jc w:val="left"/>
              <w:rPr>
                <w:rFonts w:cs="Arial"/>
                <w:sz w:val="20"/>
                <w:szCs w:val="20"/>
                <w:lang w:val="en-ZA"/>
              </w:rPr>
            </w:pPr>
            <w:r w:rsidRPr="00335764">
              <w:rPr>
                <w:rFonts w:cs="Arial"/>
                <w:sz w:val="20"/>
                <w:szCs w:val="20"/>
                <w:lang w:val="en-ZA"/>
              </w:rPr>
              <w:t>23.5</w:t>
            </w:r>
          </w:p>
        </w:tc>
        <w:tc>
          <w:tcPr>
            <w:tcW w:w="892" w:type="pct"/>
          </w:tcPr>
          <w:p w:rsidR="00E13F33" w:rsidRPr="00335764" w:rsidRDefault="00DE75ED" w:rsidP="00335764">
            <w:pPr>
              <w:spacing w:line="240" w:lineRule="auto"/>
              <w:jc w:val="left"/>
              <w:rPr>
                <w:rFonts w:cs="Arial"/>
                <w:sz w:val="20"/>
                <w:szCs w:val="20"/>
                <w:lang w:val="en-ZA"/>
              </w:rPr>
            </w:pPr>
            <w:r w:rsidRPr="00335764">
              <w:rPr>
                <w:rFonts w:cs="Arial"/>
                <w:sz w:val="20"/>
                <w:szCs w:val="20"/>
                <w:lang w:val="en-ZA"/>
              </w:rPr>
              <w:t>87.0</w:t>
            </w:r>
          </w:p>
        </w:tc>
      </w:tr>
      <w:tr w:rsidR="00823740" w:rsidRPr="00335764" w:rsidTr="001B6147">
        <w:tc>
          <w:tcPr>
            <w:tcW w:w="2335" w:type="pct"/>
          </w:tcPr>
          <w:p w:rsidR="00823740" w:rsidRPr="00335764" w:rsidRDefault="00823740" w:rsidP="00335764">
            <w:pPr>
              <w:spacing w:line="240" w:lineRule="auto"/>
              <w:jc w:val="left"/>
              <w:rPr>
                <w:rFonts w:cs="Arial"/>
                <w:b/>
                <w:sz w:val="20"/>
                <w:szCs w:val="20"/>
                <w:lang w:val="en-ZA"/>
              </w:rPr>
            </w:pPr>
            <w:r w:rsidRPr="00335764">
              <w:rPr>
                <w:rFonts w:cs="Arial"/>
                <w:b/>
                <w:sz w:val="20"/>
                <w:szCs w:val="20"/>
                <w:lang w:val="en-ZA"/>
              </w:rPr>
              <w:t>Buildings and other fixed structures</w:t>
            </w:r>
          </w:p>
        </w:tc>
        <w:tc>
          <w:tcPr>
            <w:tcW w:w="591" w:type="pct"/>
          </w:tcPr>
          <w:p w:rsidR="00823740" w:rsidRPr="00335764" w:rsidRDefault="00823740" w:rsidP="00335764">
            <w:pPr>
              <w:spacing w:line="240" w:lineRule="auto"/>
              <w:jc w:val="left"/>
              <w:rPr>
                <w:rFonts w:cs="Arial"/>
                <w:sz w:val="20"/>
                <w:szCs w:val="20"/>
                <w:lang w:val="en-ZA"/>
              </w:rPr>
            </w:pPr>
            <w:r w:rsidRPr="00335764">
              <w:rPr>
                <w:rFonts w:cs="Arial"/>
                <w:sz w:val="20"/>
                <w:szCs w:val="20"/>
                <w:lang w:val="en-ZA"/>
              </w:rPr>
              <w:t>1.7</w:t>
            </w:r>
          </w:p>
        </w:tc>
        <w:tc>
          <w:tcPr>
            <w:tcW w:w="591" w:type="pct"/>
          </w:tcPr>
          <w:p w:rsidR="00823740" w:rsidRPr="00335764" w:rsidRDefault="00DE75ED" w:rsidP="00335764">
            <w:pPr>
              <w:spacing w:line="240" w:lineRule="auto"/>
              <w:jc w:val="left"/>
              <w:rPr>
                <w:rFonts w:cs="Arial"/>
                <w:sz w:val="20"/>
                <w:szCs w:val="20"/>
                <w:lang w:val="en-ZA"/>
              </w:rPr>
            </w:pPr>
            <w:r w:rsidRPr="00335764">
              <w:rPr>
                <w:rFonts w:cs="Arial"/>
                <w:sz w:val="20"/>
                <w:szCs w:val="20"/>
                <w:lang w:val="en-ZA"/>
              </w:rPr>
              <w:t>2.3</w:t>
            </w:r>
          </w:p>
        </w:tc>
        <w:tc>
          <w:tcPr>
            <w:tcW w:w="591" w:type="pct"/>
          </w:tcPr>
          <w:p w:rsidR="00823740" w:rsidRPr="00335764" w:rsidRDefault="00DE75ED" w:rsidP="00335764">
            <w:pPr>
              <w:spacing w:line="240" w:lineRule="auto"/>
              <w:jc w:val="left"/>
              <w:rPr>
                <w:rFonts w:cs="Arial"/>
                <w:sz w:val="20"/>
                <w:szCs w:val="20"/>
                <w:lang w:val="en-ZA"/>
              </w:rPr>
            </w:pPr>
            <w:r w:rsidRPr="00335764">
              <w:rPr>
                <w:rFonts w:cs="Arial"/>
                <w:sz w:val="20"/>
                <w:szCs w:val="20"/>
                <w:lang w:val="en-ZA"/>
              </w:rPr>
              <w:t>2.3</w:t>
            </w:r>
          </w:p>
        </w:tc>
        <w:tc>
          <w:tcPr>
            <w:tcW w:w="892" w:type="pct"/>
          </w:tcPr>
          <w:p w:rsidR="00823740" w:rsidRPr="00335764" w:rsidRDefault="00DE75ED" w:rsidP="00335764">
            <w:pPr>
              <w:spacing w:line="240" w:lineRule="auto"/>
              <w:jc w:val="left"/>
              <w:rPr>
                <w:rFonts w:cs="Arial"/>
                <w:sz w:val="20"/>
                <w:szCs w:val="20"/>
                <w:lang w:val="en-ZA"/>
              </w:rPr>
            </w:pPr>
            <w:r w:rsidRPr="00335764">
              <w:rPr>
                <w:rFonts w:cs="Arial"/>
                <w:sz w:val="20"/>
                <w:szCs w:val="20"/>
                <w:lang w:val="en-ZA"/>
              </w:rPr>
              <w:t>6.3</w:t>
            </w:r>
          </w:p>
        </w:tc>
      </w:tr>
      <w:tr w:rsidR="003E3A03" w:rsidRPr="00335764" w:rsidTr="001B6147">
        <w:tc>
          <w:tcPr>
            <w:tcW w:w="2335" w:type="pct"/>
          </w:tcPr>
          <w:p w:rsidR="00E13F33" w:rsidRPr="00335764" w:rsidRDefault="003E3A03" w:rsidP="00335764">
            <w:pPr>
              <w:spacing w:line="240" w:lineRule="auto"/>
              <w:jc w:val="left"/>
              <w:rPr>
                <w:rFonts w:cs="Arial"/>
                <w:b/>
                <w:sz w:val="20"/>
                <w:szCs w:val="20"/>
                <w:lang w:val="en-ZA"/>
              </w:rPr>
            </w:pPr>
            <w:r w:rsidRPr="00335764">
              <w:rPr>
                <w:rFonts w:cs="Arial"/>
                <w:b/>
                <w:sz w:val="20"/>
                <w:szCs w:val="20"/>
                <w:lang w:val="en-ZA"/>
              </w:rPr>
              <w:t>Households</w:t>
            </w:r>
          </w:p>
        </w:tc>
        <w:tc>
          <w:tcPr>
            <w:tcW w:w="591" w:type="pct"/>
          </w:tcPr>
          <w:p w:rsidR="00E13F33" w:rsidRPr="00335764" w:rsidRDefault="00823740" w:rsidP="00335764">
            <w:pPr>
              <w:spacing w:line="240" w:lineRule="auto"/>
              <w:jc w:val="left"/>
              <w:rPr>
                <w:rFonts w:cs="Arial"/>
                <w:sz w:val="20"/>
                <w:szCs w:val="20"/>
                <w:lang w:val="en-ZA"/>
              </w:rPr>
            </w:pPr>
            <w:r w:rsidRPr="00335764">
              <w:rPr>
                <w:rFonts w:cs="Arial"/>
                <w:sz w:val="20"/>
                <w:szCs w:val="20"/>
                <w:lang w:val="en-ZA"/>
              </w:rPr>
              <w:t>-10.0</w:t>
            </w:r>
          </w:p>
        </w:tc>
        <w:tc>
          <w:tcPr>
            <w:tcW w:w="591" w:type="pct"/>
          </w:tcPr>
          <w:p w:rsidR="00E13F33" w:rsidRPr="00335764" w:rsidRDefault="00823740" w:rsidP="00335764">
            <w:pPr>
              <w:spacing w:line="240" w:lineRule="auto"/>
              <w:jc w:val="left"/>
              <w:rPr>
                <w:rFonts w:cs="Arial"/>
                <w:sz w:val="20"/>
                <w:szCs w:val="20"/>
                <w:lang w:val="en-ZA"/>
              </w:rPr>
            </w:pPr>
            <w:r w:rsidRPr="00335764">
              <w:rPr>
                <w:rFonts w:cs="Arial"/>
                <w:sz w:val="20"/>
                <w:szCs w:val="20"/>
                <w:lang w:val="en-ZA"/>
              </w:rPr>
              <w:t>-11.0</w:t>
            </w:r>
          </w:p>
        </w:tc>
        <w:tc>
          <w:tcPr>
            <w:tcW w:w="591" w:type="pct"/>
          </w:tcPr>
          <w:p w:rsidR="00E13F33" w:rsidRPr="00335764" w:rsidRDefault="00823740" w:rsidP="00335764">
            <w:pPr>
              <w:spacing w:line="240" w:lineRule="auto"/>
              <w:jc w:val="left"/>
              <w:rPr>
                <w:rFonts w:cs="Arial"/>
                <w:sz w:val="20"/>
                <w:szCs w:val="20"/>
                <w:lang w:val="en-ZA"/>
              </w:rPr>
            </w:pPr>
            <w:r w:rsidRPr="00335764">
              <w:rPr>
                <w:rFonts w:cs="Arial"/>
                <w:sz w:val="20"/>
                <w:szCs w:val="20"/>
                <w:lang w:val="en-ZA"/>
              </w:rPr>
              <w:t>-12.0</w:t>
            </w:r>
          </w:p>
        </w:tc>
        <w:tc>
          <w:tcPr>
            <w:tcW w:w="892" w:type="pct"/>
          </w:tcPr>
          <w:p w:rsidR="00E13F33" w:rsidRPr="00335764" w:rsidRDefault="00823740" w:rsidP="00335764">
            <w:pPr>
              <w:spacing w:line="240" w:lineRule="auto"/>
              <w:jc w:val="left"/>
              <w:rPr>
                <w:rFonts w:cs="Arial"/>
                <w:sz w:val="20"/>
                <w:szCs w:val="20"/>
                <w:lang w:val="en-ZA"/>
              </w:rPr>
            </w:pPr>
            <w:r w:rsidRPr="00335764">
              <w:rPr>
                <w:rFonts w:cs="Arial"/>
                <w:sz w:val="20"/>
                <w:szCs w:val="20"/>
                <w:lang w:val="en-ZA"/>
              </w:rPr>
              <w:t>-33.1</w:t>
            </w:r>
          </w:p>
        </w:tc>
      </w:tr>
      <w:tr w:rsidR="003E3A03" w:rsidRPr="00335764" w:rsidTr="001B6147">
        <w:tc>
          <w:tcPr>
            <w:tcW w:w="2335" w:type="pct"/>
          </w:tcPr>
          <w:p w:rsidR="003E3A03" w:rsidRPr="00335764" w:rsidRDefault="0075558D" w:rsidP="00335764">
            <w:pPr>
              <w:spacing w:line="240" w:lineRule="auto"/>
              <w:jc w:val="left"/>
              <w:rPr>
                <w:rFonts w:cs="Arial"/>
                <w:b/>
                <w:sz w:val="20"/>
                <w:szCs w:val="20"/>
                <w:lang w:val="en-ZA"/>
              </w:rPr>
            </w:pPr>
            <w:r w:rsidRPr="00335764">
              <w:rPr>
                <w:rFonts w:cs="Arial"/>
                <w:b/>
                <w:sz w:val="20"/>
                <w:szCs w:val="20"/>
                <w:lang w:val="en-ZA"/>
              </w:rPr>
              <w:t>Total</w:t>
            </w:r>
          </w:p>
        </w:tc>
        <w:tc>
          <w:tcPr>
            <w:tcW w:w="591" w:type="pct"/>
          </w:tcPr>
          <w:p w:rsidR="003E3A03" w:rsidRPr="00335764" w:rsidRDefault="00DE75ED" w:rsidP="00335764">
            <w:pPr>
              <w:spacing w:line="240" w:lineRule="auto"/>
              <w:jc w:val="left"/>
              <w:rPr>
                <w:rFonts w:cs="Arial"/>
                <w:b/>
                <w:sz w:val="20"/>
                <w:szCs w:val="20"/>
                <w:lang w:val="en-ZA"/>
              </w:rPr>
            </w:pPr>
            <w:r w:rsidRPr="00335764">
              <w:rPr>
                <w:rFonts w:cs="Arial"/>
                <w:b/>
                <w:sz w:val="20"/>
                <w:szCs w:val="20"/>
                <w:lang w:val="en-ZA"/>
              </w:rPr>
              <w:t>981.7</w:t>
            </w:r>
          </w:p>
        </w:tc>
        <w:tc>
          <w:tcPr>
            <w:tcW w:w="591" w:type="pct"/>
          </w:tcPr>
          <w:p w:rsidR="003E3A03" w:rsidRPr="00335764" w:rsidRDefault="00DE75ED" w:rsidP="00335764">
            <w:pPr>
              <w:spacing w:line="240" w:lineRule="auto"/>
              <w:jc w:val="left"/>
              <w:rPr>
                <w:rFonts w:cs="Arial"/>
                <w:b/>
                <w:sz w:val="20"/>
                <w:szCs w:val="20"/>
                <w:lang w:val="en-ZA"/>
              </w:rPr>
            </w:pPr>
            <w:r w:rsidRPr="00335764">
              <w:rPr>
                <w:rFonts w:cs="Arial"/>
                <w:b/>
                <w:sz w:val="20"/>
                <w:szCs w:val="20"/>
                <w:lang w:val="en-ZA"/>
              </w:rPr>
              <w:t>896.2</w:t>
            </w:r>
          </w:p>
        </w:tc>
        <w:tc>
          <w:tcPr>
            <w:tcW w:w="591" w:type="pct"/>
          </w:tcPr>
          <w:p w:rsidR="003E3A03" w:rsidRPr="00335764" w:rsidRDefault="00DE75ED" w:rsidP="00335764">
            <w:pPr>
              <w:spacing w:line="240" w:lineRule="auto"/>
              <w:jc w:val="left"/>
              <w:rPr>
                <w:rFonts w:cs="Arial"/>
                <w:b/>
                <w:sz w:val="20"/>
                <w:szCs w:val="20"/>
                <w:lang w:val="en-ZA"/>
              </w:rPr>
            </w:pPr>
            <w:r w:rsidRPr="00335764">
              <w:rPr>
                <w:rFonts w:cs="Arial"/>
                <w:b/>
                <w:sz w:val="20"/>
                <w:szCs w:val="20"/>
                <w:lang w:val="en-ZA"/>
              </w:rPr>
              <w:t>909.8</w:t>
            </w:r>
          </w:p>
        </w:tc>
        <w:tc>
          <w:tcPr>
            <w:tcW w:w="892" w:type="pct"/>
          </w:tcPr>
          <w:p w:rsidR="003E3A03" w:rsidRPr="00335764" w:rsidRDefault="00DE75ED" w:rsidP="00335764">
            <w:pPr>
              <w:spacing w:line="240" w:lineRule="auto"/>
              <w:jc w:val="left"/>
              <w:rPr>
                <w:rFonts w:cs="Arial"/>
                <w:b/>
                <w:sz w:val="20"/>
                <w:szCs w:val="20"/>
                <w:lang w:val="en-ZA"/>
              </w:rPr>
            </w:pPr>
            <w:r w:rsidRPr="00335764">
              <w:rPr>
                <w:rFonts w:cs="Arial"/>
                <w:b/>
                <w:sz w:val="20"/>
                <w:szCs w:val="20"/>
                <w:lang w:val="en-ZA"/>
              </w:rPr>
              <w:t>2 787.7</w:t>
            </w:r>
          </w:p>
        </w:tc>
      </w:tr>
    </w:tbl>
    <w:p w:rsidR="00057332" w:rsidRPr="00335764" w:rsidRDefault="00057332" w:rsidP="00335764">
      <w:pPr>
        <w:autoSpaceDE w:val="0"/>
        <w:autoSpaceDN w:val="0"/>
        <w:adjustRightInd w:val="0"/>
        <w:spacing w:line="240" w:lineRule="auto"/>
        <w:jc w:val="left"/>
        <w:rPr>
          <w:rFonts w:cs="Arial"/>
          <w:sz w:val="20"/>
          <w:szCs w:val="20"/>
        </w:rPr>
      </w:pPr>
    </w:p>
    <w:p w:rsidR="005C0853" w:rsidRPr="00335764" w:rsidRDefault="005C0853" w:rsidP="00335764">
      <w:pPr>
        <w:autoSpaceDE w:val="0"/>
        <w:autoSpaceDN w:val="0"/>
        <w:adjustRightInd w:val="0"/>
        <w:spacing w:line="240" w:lineRule="auto"/>
        <w:jc w:val="left"/>
        <w:rPr>
          <w:rFonts w:cs="Arial"/>
          <w:sz w:val="20"/>
          <w:szCs w:val="20"/>
        </w:rPr>
      </w:pPr>
    </w:p>
    <w:p w:rsidR="00B646D7" w:rsidRPr="00335764" w:rsidRDefault="00B646D7" w:rsidP="00335764">
      <w:pPr>
        <w:numPr>
          <w:ilvl w:val="0"/>
          <w:numId w:val="1"/>
        </w:numPr>
        <w:tabs>
          <w:tab w:val="clear" w:pos="375"/>
        </w:tabs>
        <w:spacing w:line="240" w:lineRule="auto"/>
        <w:ind w:left="851" w:hanging="851"/>
        <w:jc w:val="left"/>
        <w:rPr>
          <w:rFonts w:cs="Arial"/>
          <w:b/>
          <w:bCs/>
          <w:sz w:val="20"/>
          <w:szCs w:val="20"/>
          <w:lang w:val="en-ZA"/>
        </w:rPr>
      </w:pPr>
      <w:r w:rsidRPr="00335764">
        <w:rPr>
          <w:rFonts w:cs="Arial"/>
          <w:b/>
          <w:sz w:val="20"/>
          <w:szCs w:val="20"/>
        </w:rPr>
        <w:t>Department of Justice and Constitutional Development</w:t>
      </w:r>
    </w:p>
    <w:p w:rsidR="003F5593" w:rsidRPr="00335764" w:rsidRDefault="003F5593" w:rsidP="00335764">
      <w:pPr>
        <w:spacing w:line="240" w:lineRule="auto"/>
        <w:jc w:val="left"/>
        <w:rPr>
          <w:rFonts w:cs="Arial"/>
          <w:sz w:val="20"/>
          <w:szCs w:val="20"/>
        </w:rPr>
      </w:pPr>
    </w:p>
    <w:p w:rsidR="00664B34" w:rsidRPr="00335764" w:rsidRDefault="00664B34" w:rsidP="00335764">
      <w:pPr>
        <w:pStyle w:val="ListParagraph"/>
        <w:numPr>
          <w:ilvl w:val="1"/>
          <w:numId w:val="1"/>
        </w:numPr>
        <w:spacing w:line="240" w:lineRule="auto"/>
        <w:ind w:left="851" w:hanging="851"/>
        <w:jc w:val="left"/>
        <w:rPr>
          <w:rFonts w:cs="Arial"/>
          <w:sz w:val="20"/>
          <w:szCs w:val="20"/>
        </w:rPr>
      </w:pPr>
      <w:r w:rsidRPr="00335764">
        <w:rPr>
          <w:rFonts w:cs="Arial"/>
          <w:sz w:val="20"/>
          <w:szCs w:val="20"/>
        </w:rPr>
        <w:t>The Department has identified the following strategic focus areas:</w:t>
      </w:r>
    </w:p>
    <w:p w:rsidR="00664B34" w:rsidRPr="00335764" w:rsidRDefault="00664B34" w:rsidP="00335764">
      <w:pPr>
        <w:pStyle w:val="ListParagraph"/>
        <w:numPr>
          <w:ilvl w:val="0"/>
          <w:numId w:val="4"/>
        </w:numPr>
        <w:spacing w:line="240" w:lineRule="auto"/>
        <w:ind w:hanging="589"/>
        <w:jc w:val="left"/>
        <w:rPr>
          <w:rFonts w:cs="Arial"/>
          <w:sz w:val="20"/>
          <w:szCs w:val="20"/>
          <w:lang w:val="en-ZA"/>
        </w:rPr>
      </w:pPr>
      <w:r w:rsidRPr="00335764">
        <w:rPr>
          <w:rFonts w:cs="Arial"/>
          <w:sz w:val="20"/>
          <w:szCs w:val="20"/>
          <w:lang w:val="en-ZA"/>
        </w:rPr>
        <w:t>Constitutionalism, respect for human rights and the rule of law.</w:t>
      </w:r>
    </w:p>
    <w:p w:rsidR="00664B34" w:rsidRPr="00335764" w:rsidRDefault="00664B34" w:rsidP="00335764">
      <w:pPr>
        <w:pStyle w:val="ListParagraph"/>
        <w:numPr>
          <w:ilvl w:val="0"/>
          <w:numId w:val="4"/>
        </w:numPr>
        <w:spacing w:line="240" w:lineRule="auto"/>
        <w:ind w:hanging="589"/>
        <w:jc w:val="left"/>
        <w:rPr>
          <w:rFonts w:cs="Arial"/>
          <w:sz w:val="20"/>
          <w:szCs w:val="20"/>
          <w:lang w:val="en-ZA"/>
        </w:rPr>
      </w:pPr>
      <w:r w:rsidRPr="00335764">
        <w:rPr>
          <w:rFonts w:cs="Arial"/>
          <w:sz w:val="20"/>
          <w:szCs w:val="20"/>
          <w:lang w:val="en-ZA"/>
        </w:rPr>
        <w:t>Compliance with international and regional treaty obligations.</w:t>
      </w:r>
    </w:p>
    <w:p w:rsidR="00664B34" w:rsidRPr="00335764" w:rsidRDefault="00664B34" w:rsidP="00335764">
      <w:pPr>
        <w:pStyle w:val="ListParagraph"/>
        <w:numPr>
          <w:ilvl w:val="0"/>
          <w:numId w:val="4"/>
        </w:numPr>
        <w:spacing w:line="240" w:lineRule="auto"/>
        <w:ind w:hanging="589"/>
        <w:jc w:val="left"/>
        <w:rPr>
          <w:rFonts w:cs="Arial"/>
          <w:sz w:val="20"/>
          <w:szCs w:val="20"/>
          <w:lang w:val="en-ZA"/>
        </w:rPr>
      </w:pPr>
      <w:r w:rsidRPr="00335764">
        <w:rPr>
          <w:rFonts w:cs="Arial"/>
          <w:sz w:val="20"/>
          <w:szCs w:val="20"/>
          <w:lang w:val="en-ZA"/>
        </w:rPr>
        <w:t>Extradition and Mutual Legal Assistance</w:t>
      </w:r>
    </w:p>
    <w:p w:rsidR="00664B34" w:rsidRPr="00335764" w:rsidRDefault="00664B34" w:rsidP="00335764">
      <w:pPr>
        <w:pStyle w:val="ListParagraph"/>
        <w:numPr>
          <w:ilvl w:val="0"/>
          <w:numId w:val="4"/>
        </w:numPr>
        <w:spacing w:line="240" w:lineRule="auto"/>
        <w:ind w:hanging="589"/>
        <w:jc w:val="left"/>
        <w:rPr>
          <w:rFonts w:cs="Arial"/>
          <w:sz w:val="20"/>
          <w:szCs w:val="20"/>
        </w:rPr>
      </w:pPr>
      <w:r w:rsidRPr="00335764">
        <w:rPr>
          <w:rFonts w:cs="Arial"/>
          <w:sz w:val="20"/>
          <w:szCs w:val="20"/>
          <w:lang w:val="en-ZA"/>
        </w:rPr>
        <w:t>Programme</w:t>
      </w:r>
      <w:r w:rsidRPr="00335764">
        <w:rPr>
          <w:rFonts w:cs="Arial"/>
          <w:sz w:val="20"/>
          <w:szCs w:val="20"/>
        </w:rPr>
        <w:t xml:space="preserve"> for </w:t>
      </w:r>
      <w:r w:rsidR="00345160" w:rsidRPr="00335764">
        <w:rPr>
          <w:rFonts w:cs="Arial"/>
          <w:sz w:val="20"/>
          <w:szCs w:val="20"/>
        </w:rPr>
        <w:t>Legal Empowerment and Access to Justice (PLEAJ).</w:t>
      </w:r>
    </w:p>
    <w:p w:rsidR="00664B34" w:rsidRPr="00335764" w:rsidRDefault="00664B34" w:rsidP="00335764">
      <w:pPr>
        <w:pStyle w:val="ListParagraph"/>
        <w:numPr>
          <w:ilvl w:val="0"/>
          <w:numId w:val="4"/>
        </w:numPr>
        <w:spacing w:line="240" w:lineRule="auto"/>
        <w:ind w:hanging="589"/>
        <w:jc w:val="left"/>
        <w:rPr>
          <w:rFonts w:cs="Arial"/>
          <w:sz w:val="20"/>
          <w:szCs w:val="20"/>
          <w:lang w:val="en-ZA"/>
        </w:rPr>
      </w:pPr>
      <w:r w:rsidRPr="00335764">
        <w:rPr>
          <w:rFonts w:cs="Arial"/>
          <w:sz w:val="20"/>
          <w:szCs w:val="20"/>
          <w:lang w:val="en-ZA"/>
        </w:rPr>
        <w:t>Implementation of the National Action Plan (NAP) to combat Racism, Racial Discrimination, Xenophobia and Related Intolerance.</w:t>
      </w:r>
    </w:p>
    <w:p w:rsidR="00664B34" w:rsidRPr="00335764" w:rsidRDefault="00664B34" w:rsidP="00335764">
      <w:pPr>
        <w:pStyle w:val="ListParagraph"/>
        <w:numPr>
          <w:ilvl w:val="0"/>
          <w:numId w:val="4"/>
        </w:numPr>
        <w:spacing w:line="240" w:lineRule="auto"/>
        <w:ind w:hanging="589"/>
        <w:jc w:val="left"/>
        <w:rPr>
          <w:rFonts w:cs="Arial"/>
          <w:sz w:val="20"/>
          <w:szCs w:val="20"/>
          <w:lang w:val="en-ZA"/>
        </w:rPr>
      </w:pPr>
      <w:r w:rsidRPr="00335764">
        <w:rPr>
          <w:rFonts w:cs="Arial"/>
          <w:sz w:val="20"/>
          <w:szCs w:val="20"/>
          <w:lang w:val="en-ZA"/>
        </w:rPr>
        <w:t>Review of justice-related colonial and apartheid legislation.</w:t>
      </w:r>
    </w:p>
    <w:p w:rsidR="00664B34" w:rsidRPr="00335764" w:rsidRDefault="00664B34" w:rsidP="00335764">
      <w:pPr>
        <w:pStyle w:val="ListParagraph"/>
        <w:numPr>
          <w:ilvl w:val="0"/>
          <w:numId w:val="4"/>
        </w:numPr>
        <w:spacing w:line="240" w:lineRule="auto"/>
        <w:ind w:hanging="589"/>
        <w:jc w:val="left"/>
        <w:rPr>
          <w:rFonts w:cs="Arial"/>
          <w:sz w:val="20"/>
          <w:szCs w:val="20"/>
        </w:rPr>
      </w:pPr>
      <w:r w:rsidRPr="00335764">
        <w:rPr>
          <w:rFonts w:cs="Arial"/>
          <w:sz w:val="20"/>
          <w:szCs w:val="20"/>
          <w:lang w:val="en-ZA"/>
        </w:rPr>
        <w:t xml:space="preserve">Budget </w:t>
      </w:r>
      <w:r w:rsidRPr="00335764">
        <w:rPr>
          <w:rFonts w:cs="Arial"/>
          <w:sz w:val="20"/>
          <w:szCs w:val="20"/>
        </w:rPr>
        <w:t>Prioritisation Framework:</w:t>
      </w:r>
    </w:p>
    <w:p w:rsidR="00664B34" w:rsidRPr="00335764" w:rsidRDefault="00664B34" w:rsidP="00335764">
      <w:pPr>
        <w:numPr>
          <w:ilvl w:val="0"/>
          <w:numId w:val="9"/>
        </w:numPr>
        <w:spacing w:line="240" w:lineRule="auto"/>
        <w:jc w:val="left"/>
        <w:rPr>
          <w:rFonts w:cs="Arial"/>
          <w:sz w:val="20"/>
          <w:szCs w:val="20"/>
          <w:lang w:val="en-US"/>
        </w:rPr>
      </w:pPr>
      <w:r w:rsidRPr="00335764">
        <w:rPr>
          <w:rFonts w:cs="Arial"/>
          <w:sz w:val="20"/>
          <w:szCs w:val="20"/>
          <w:lang w:val="en-US"/>
        </w:rPr>
        <w:t>Gender-Based Violence and Femicide (GBVF.</w:t>
      </w:r>
    </w:p>
    <w:p w:rsidR="00664B34" w:rsidRPr="00335764" w:rsidRDefault="00664B34" w:rsidP="00335764">
      <w:pPr>
        <w:numPr>
          <w:ilvl w:val="0"/>
          <w:numId w:val="9"/>
        </w:numPr>
        <w:spacing w:line="240" w:lineRule="auto"/>
        <w:jc w:val="left"/>
        <w:rPr>
          <w:rFonts w:cs="Arial"/>
          <w:sz w:val="20"/>
          <w:szCs w:val="20"/>
          <w:lang w:val="en-US"/>
        </w:rPr>
      </w:pPr>
      <w:r w:rsidRPr="00335764">
        <w:rPr>
          <w:rFonts w:cs="Arial"/>
          <w:sz w:val="20"/>
          <w:szCs w:val="20"/>
          <w:lang w:val="en-US"/>
        </w:rPr>
        <w:t>Modernisation and digitalisation to increase access to justice services.</w:t>
      </w:r>
    </w:p>
    <w:p w:rsidR="00664B34" w:rsidRPr="00335764" w:rsidRDefault="00664B34" w:rsidP="00335764">
      <w:pPr>
        <w:numPr>
          <w:ilvl w:val="0"/>
          <w:numId w:val="9"/>
        </w:numPr>
        <w:spacing w:line="240" w:lineRule="auto"/>
        <w:jc w:val="left"/>
        <w:rPr>
          <w:rFonts w:cs="Arial"/>
          <w:sz w:val="20"/>
          <w:szCs w:val="20"/>
          <w:lang w:val="en-US"/>
        </w:rPr>
      </w:pPr>
      <w:r w:rsidRPr="00335764">
        <w:rPr>
          <w:rFonts w:cs="Arial"/>
          <w:sz w:val="20"/>
          <w:szCs w:val="20"/>
          <w:lang w:val="en-US"/>
        </w:rPr>
        <w:t>Strengthening the fight against fraud and corruption.</w:t>
      </w:r>
    </w:p>
    <w:p w:rsidR="00664B34" w:rsidRPr="00335764" w:rsidRDefault="00664B34" w:rsidP="00335764">
      <w:pPr>
        <w:numPr>
          <w:ilvl w:val="0"/>
          <w:numId w:val="9"/>
        </w:numPr>
        <w:spacing w:line="240" w:lineRule="auto"/>
        <w:jc w:val="left"/>
        <w:rPr>
          <w:rFonts w:cs="Arial"/>
          <w:sz w:val="20"/>
          <w:szCs w:val="20"/>
        </w:rPr>
      </w:pPr>
      <w:r w:rsidRPr="00335764">
        <w:rPr>
          <w:rFonts w:cs="Arial"/>
          <w:sz w:val="20"/>
          <w:szCs w:val="20"/>
          <w:lang w:val="en-US"/>
        </w:rPr>
        <w:t>Conviction</w:t>
      </w:r>
      <w:r w:rsidRPr="00335764">
        <w:rPr>
          <w:rFonts w:cs="Arial"/>
          <w:i/>
          <w:sz w:val="20"/>
          <w:szCs w:val="20"/>
          <w:lang w:val="en-ZA"/>
        </w:rPr>
        <w:t xml:space="preserve"> </w:t>
      </w:r>
      <w:r w:rsidRPr="00335764">
        <w:rPr>
          <w:rFonts w:cs="Arial"/>
          <w:sz w:val="20"/>
          <w:szCs w:val="20"/>
          <w:lang w:val="en-ZA"/>
        </w:rPr>
        <w:t>rate in cable theft.</w:t>
      </w:r>
      <w:r w:rsidRPr="00335764">
        <w:rPr>
          <w:rFonts w:cs="Arial"/>
          <w:sz w:val="20"/>
          <w:szCs w:val="20"/>
        </w:rPr>
        <w:t xml:space="preserve"> </w:t>
      </w:r>
    </w:p>
    <w:p w:rsidR="00345160" w:rsidRPr="00335764" w:rsidRDefault="00345160" w:rsidP="00335764">
      <w:pPr>
        <w:pStyle w:val="ListParagraph"/>
        <w:numPr>
          <w:ilvl w:val="0"/>
          <w:numId w:val="4"/>
        </w:numPr>
        <w:spacing w:line="240" w:lineRule="auto"/>
        <w:ind w:hanging="589"/>
        <w:jc w:val="left"/>
        <w:rPr>
          <w:rFonts w:cs="Arial"/>
          <w:sz w:val="20"/>
          <w:szCs w:val="20"/>
          <w:lang w:val="en-ZA"/>
        </w:rPr>
      </w:pPr>
      <w:r w:rsidRPr="00335764">
        <w:rPr>
          <w:rFonts w:cs="Arial"/>
          <w:sz w:val="20"/>
          <w:szCs w:val="20"/>
          <w:lang w:val="en-ZA"/>
        </w:rPr>
        <w:t>Transformation of State Legal Services and the legal profession.</w:t>
      </w:r>
    </w:p>
    <w:p w:rsidR="00345160" w:rsidRPr="00335764" w:rsidRDefault="00345160" w:rsidP="00335764">
      <w:pPr>
        <w:pStyle w:val="ListParagraph"/>
        <w:numPr>
          <w:ilvl w:val="0"/>
          <w:numId w:val="4"/>
        </w:numPr>
        <w:spacing w:line="240" w:lineRule="auto"/>
        <w:ind w:hanging="589"/>
        <w:jc w:val="left"/>
        <w:rPr>
          <w:rFonts w:cs="Arial"/>
          <w:sz w:val="20"/>
          <w:szCs w:val="20"/>
          <w:lang w:val="en-ZA"/>
        </w:rPr>
      </w:pPr>
      <w:r w:rsidRPr="00335764">
        <w:rPr>
          <w:rFonts w:cs="Arial"/>
          <w:sz w:val="20"/>
          <w:szCs w:val="20"/>
          <w:lang w:val="en-ZA"/>
        </w:rPr>
        <w:t>Improved and transformed Masters’ Services</w:t>
      </w:r>
    </w:p>
    <w:p w:rsidR="00345160" w:rsidRPr="00335764" w:rsidRDefault="00345160" w:rsidP="00335764">
      <w:pPr>
        <w:pStyle w:val="ListParagraph"/>
        <w:numPr>
          <w:ilvl w:val="0"/>
          <w:numId w:val="4"/>
        </w:numPr>
        <w:spacing w:line="240" w:lineRule="auto"/>
        <w:ind w:hanging="589"/>
        <w:jc w:val="left"/>
        <w:rPr>
          <w:rFonts w:cs="Arial"/>
          <w:sz w:val="20"/>
          <w:szCs w:val="20"/>
          <w:lang w:val="en-ZA"/>
        </w:rPr>
      </w:pPr>
      <w:r w:rsidRPr="00335764">
        <w:rPr>
          <w:rFonts w:cs="Arial"/>
          <w:sz w:val="20"/>
          <w:szCs w:val="20"/>
          <w:lang w:val="en-ZA"/>
        </w:rPr>
        <w:t>Improved performance and audit outcomes.</w:t>
      </w:r>
    </w:p>
    <w:p w:rsidR="00345160" w:rsidRPr="00335764" w:rsidRDefault="00345160" w:rsidP="00335764">
      <w:pPr>
        <w:pStyle w:val="ListParagraph"/>
        <w:numPr>
          <w:ilvl w:val="0"/>
          <w:numId w:val="4"/>
        </w:numPr>
        <w:spacing w:line="240" w:lineRule="auto"/>
        <w:ind w:hanging="589"/>
        <w:jc w:val="left"/>
        <w:rPr>
          <w:rFonts w:cs="Arial"/>
          <w:sz w:val="20"/>
          <w:szCs w:val="20"/>
          <w:lang w:val="en-ZA"/>
        </w:rPr>
      </w:pPr>
      <w:r w:rsidRPr="00335764">
        <w:rPr>
          <w:rFonts w:cs="Arial"/>
          <w:sz w:val="20"/>
          <w:szCs w:val="20"/>
          <w:lang w:val="en-ZA"/>
        </w:rPr>
        <w:t>Procurement from designated groups.</w:t>
      </w:r>
    </w:p>
    <w:p w:rsidR="00345160" w:rsidRPr="00335764" w:rsidRDefault="00345160" w:rsidP="00335764">
      <w:pPr>
        <w:pStyle w:val="ListParagraph"/>
        <w:numPr>
          <w:ilvl w:val="0"/>
          <w:numId w:val="4"/>
        </w:numPr>
        <w:spacing w:line="240" w:lineRule="auto"/>
        <w:ind w:hanging="589"/>
        <w:jc w:val="left"/>
        <w:rPr>
          <w:rFonts w:cs="Arial"/>
          <w:sz w:val="20"/>
          <w:szCs w:val="20"/>
          <w:lang w:val="en-ZA"/>
        </w:rPr>
      </w:pPr>
      <w:r w:rsidRPr="00335764">
        <w:rPr>
          <w:rFonts w:cs="Arial"/>
          <w:sz w:val="20"/>
          <w:szCs w:val="20"/>
          <w:lang w:val="en-ZA"/>
        </w:rPr>
        <w:t>Trafficking in Persons</w:t>
      </w:r>
    </w:p>
    <w:p w:rsidR="00345160" w:rsidRPr="00335764" w:rsidRDefault="00345160" w:rsidP="00335764">
      <w:pPr>
        <w:pStyle w:val="ListParagraph"/>
        <w:numPr>
          <w:ilvl w:val="0"/>
          <w:numId w:val="4"/>
        </w:numPr>
        <w:spacing w:line="240" w:lineRule="auto"/>
        <w:ind w:hanging="589"/>
        <w:jc w:val="left"/>
        <w:rPr>
          <w:rFonts w:cs="Arial"/>
          <w:sz w:val="20"/>
          <w:szCs w:val="20"/>
          <w:lang w:val="en-ZA"/>
        </w:rPr>
      </w:pPr>
      <w:r w:rsidRPr="00335764">
        <w:rPr>
          <w:rFonts w:cs="Arial"/>
          <w:sz w:val="20"/>
          <w:szCs w:val="20"/>
          <w:lang w:val="en-ZA"/>
        </w:rPr>
        <w:t>Increase access to justice services.</w:t>
      </w:r>
    </w:p>
    <w:p w:rsidR="00345160" w:rsidRPr="00335764" w:rsidRDefault="00345160" w:rsidP="00335764">
      <w:pPr>
        <w:pStyle w:val="ListParagraph"/>
        <w:numPr>
          <w:ilvl w:val="0"/>
          <w:numId w:val="4"/>
        </w:numPr>
        <w:spacing w:line="240" w:lineRule="auto"/>
        <w:ind w:hanging="589"/>
        <w:jc w:val="left"/>
        <w:rPr>
          <w:rFonts w:cs="Arial"/>
          <w:sz w:val="20"/>
          <w:szCs w:val="20"/>
          <w:lang w:val="en-ZA"/>
        </w:rPr>
      </w:pPr>
      <w:r w:rsidRPr="00335764">
        <w:rPr>
          <w:rFonts w:cs="Arial"/>
          <w:sz w:val="20"/>
          <w:szCs w:val="20"/>
          <w:lang w:val="en-ZA"/>
        </w:rPr>
        <w:t>Strengthening the civil law.</w:t>
      </w:r>
    </w:p>
    <w:p w:rsidR="00345160" w:rsidRPr="00335764" w:rsidRDefault="00345160" w:rsidP="00335764">
      <w:pPr>
        <w:pStyle w:val="ListParagraph"/>
        <w:numPr>
          <w:ilvl w:val="0"/>
          <w:numId w:val="4"/>
        </w:numPr>
        <w:spacing w:line="240" w:lineRule="auto"/>
        <w:ind w:hanging="589"/>
        <w:jc w:val="left"/>
        <w:rPr>
          <w:rFonts w:cs="Arial"/>
          <w:sz w:val="20"/>
          <w:szCs w:val="20"/>
          <w:lang w:val="en-ZA"/>
        </w:rPr>
      </w:pPr>
      <w:r w:rsidRPr="00335764">
        <w:rPr>
          <w:rFonts w:cs="Arial"/>
          <w:sz w:val="20"/>
          <w:szCs w:val="20"/>
          <w:lang w:val="en-ZA"/>
        </w:rPr>
        <w:t>Addressing case backlogs.</w:t>
      </w:r>
    </w:p>
    <w:p w:rsidR="00345160" w:rsidRPr="00335764" w:rsidRDefault="00345160" w:rsidP="00335764">
      <w:pPr>
        <w:pStyle w:val="ListParagraph"/>
        <w:numPr>
          <w:ilvl w:val="0"/>
          <w:numId w:val="4"/>
        </w:numPr>
        <w:spacing w:line="240" w:lineRule="auto"/>
        <w:ind w:hanging="589"/>
        <w:jc w:val="left"/>
        <w:rPr>
          <w:rFonts w:cs="Arial"/>
          <w:sz w:val="20"/>
          <w:szCs w:val="20"/>
        </w:rPr>
      </w:pPr>
      <w:r w:rsidRPr="00335764">
        <w:rPr>
          <w:rFonts w:cs="Arial"/>
          <w:sz w:val="20"/>
          <w:szCs w:val="20"/>
          <w:lang w:val="en-ZA"/>
        </w:rPr>
        <w:t>Social compact</w:t>
      </w:r>
      <w:r w:rsidRPr="00335764">
        <w:rPr>
          <w:rFonts w:cs="Arial"/>
          <w:sz w:val="20"/>
          <w:szCs w:val="20"/>
        </w:rPr>
        <w:t>.</w:t>
      </w:r>
    </w:p>
    <w:p w:rsidR="00345160" w:rsidRPr="00335764" w:rsidRDefault="00345160" w:rsidP="00335764">
      <w:pPr>
        <w:spacing w:line="240" w:lineRule="auto"/>
        <w:jc w:val="left"/>
        <w:rPr>
          <w:rFonts w:cs="Arial"/>
          <w:sz w:val="20"/>
          <w:szCs w:val="20"/>
        </w:rPr>
      </w:pPr>
    </w:p>
    <w:p w:rsidR="00EF38A6" w:rsidRPr="00335764" w:rsidRDefault="00EF38A6" w:rsidP="00335764">
      <w:pPr>
        <w:pStyle w:val="ListParagraph"/>
        <w:numPr>
          <w:ilvl w:val="1"/>
          <w:numId w:val="1"/>
        </w:numPr>
        <w:spacing w:line="240" w:lineRule="auto"/>
        <w:ind w:left="851" w:hanging="851"/>
        <w:jc w:val="left"/>
        <w:rPr>
          <w:rFonts w:cs="Arial"/>
          <w:sz w:val="20"/>
          <w:szCs w:val="20"/>
        </w:rPr>
      </w:pPr>
      <w:r w:rsidRPr="00335764">
        <w:rPr>
          <w:rFonts w:cs="Arial"/>
          <w:sz w:val="20"/>
          <w:szCs w:val="20"/>
        </w:rPr>
        <w:t xml:space="preserve">The Department </w:t>
      </w:r>
      <w:r w:rsidR="00D94617" w:rsidRPr="00335764">
        <w:rPr>
          <w:rFonts w:cs="Arial"/>
          <w:sz w:val="20"/>
          <w:szCs w:val="20"/>
        </w:rPr>
        <w:t xml:space="preserve">has </w:t>
      </w:r>
      <w:r w:rsidRPr="00335764">
        <w:rPr>
          <w:rFonts w:cs="Arial"/>
          <w:sz w:val="20"/>
          <w:szCs w:val="20"/>
        </w:rPr>
        <w:t xml:space="preserve">developed </w:t>
      </w:r>
      <w:r w:rsidR="00EE2331" w:rsidRPr="00335764">
        <w:rPr>
          <w:rFonts w:cs="Arial"/>
          <w:sz w:val="20"/>
          <w:szCs w:val="20"/>
        </w:rPr>
        <w:t xml:space="preserve">the following </w:t>
      </w:r>
      <w:r w:rsidRPr="00335764">
        <w:rPr>
          <w:rFonts w:cs="Arial"/>
          <w:sz w:val="20"/>
          <w:szCs w:val="20"/>
        </w:rPr>
        <w:t>departmental outcomes:</w:t>
      </w:r>
    </w:p>
    <w:p w:rsidR="00131221" w:rsidRPr="00335764" w:rsidRDefault="000F5CB3" w:rsidP="00335764">
      <w:pPr>
        <w:numPr>
          <w:ilvl w:val="0"/>
          <w:numId w:val="2"/>
        </w:numPr>
        <w:autoSpaceDE w:val="0"/>
        <w:autoSpaceDN w:val="0"/>
        <w:adjustRightInd w:val="0"/>
        <w:spacing w:line="240" w:lineRule="auto"/>
        <w:jc w:val="left"/>
        <w:rPr>
          <w:rFonts w:cs="Arial"/>
          <w:bCs/>
          <w:sz w:val="20"/>
          <w:szCs w:val="20"/>
          <w:lang w:val="en-ZA"/>
        </w:rPr>
      </w:pPr>
      <w:r w:rsidRPr="00335764">
        <w:rPr>
          <w:rFonts w:cs="Arial"/>
          <w:bCs/>
          <w:sz w:val="20"/>
          <w:szCs w:val="20"/>
          <w:lang w:val="en-US"/>
        </w:rPr>
        <w:t>Improved organizational capabilities and good governance</w:t>
      </w:r>
      <w:r w:rsidR="00EE2331" w:rsidRPr="00335764">
        <w:rPr>
          <w:rFonts w:cs="Arial"/>
          <w:bCs/>
          <w:sz w:val="20"/>
          <w:szCs w:val="20"/>
          <w:lang w:val="en-US"/>
        </w:rPr>
        <w:t>.</w:t>
      </w:r>
    </w:p>
    <w:p w:rsidR="00131221" w:rsidRPr="00335764" w:rsidRDefault="000F5CB3" w:rsidP="00335764">
      <w:pPr>
        <w:numPr>
          <w:ilvl w:val="0"/>
          <w:numId w:val="2"/>
        </w:numPr>
        <w:autoSpaceDE w:val="0"/>
        <w:autoSpaceDN w:val="0"/>
        <w:adjustRightInd w:val="0"/>
        <w:spacing w:line="240" w:lineRule="auto"/>
        <w:jc w:val="left"/>
        <w:rPr>
          <w:rFonts w:cs="Arial"/>
          <w:bCs/>
          <w:sz w:val="20"/>
          <w:szCs w:val="20"/>
          <w:lang w:val="en-ZA"/>
        </w:rPr>
      </w:pPr>
      <w:r w:rsidRPr="00335764">
        <w:rPr>
          <w:rFonts w:cs="Arial"/>
          <w:bCs/>
          <w:sz w:val="20"/>
          <w:szCs w:val="20"/>
          <w:lang w:val="en-US"/>
        </w:rPr>
        <w:lastRenderedPageBreak/>
        <w:t>Improved awareness of justice services and constitutionalism</w:t>
      </w:r>
      <w:r w:rsidR="00EE2331" w:rsidRPr="00335764">
        <w:rPr>
          <w:rFonts w:cs="Arial"/>
          <w:bCs/>
          <w:sz w:val="20"/>
          <w:szCs w:val="20"/>
          <w:lang w:val="en-US"/>
        </w:rPr>
        <w:t>.</w:t>
      </w:r>
    </w:p>
    <w:p w:rsidR="00131221" w:rsidRPr="00335764" w:rsidRDefault="000F5CB3" w:rsidP="00335764">
      <w:pPr>
        <w:numPr>
          <w:ilvl w:val="0"/>
          <w:numId w:val="2"/>
        </w:numPr>
        <w:autoSpaceDE w:val="0"/>
        <w:autoSpaceDN w:val="0"/>
        <w:adjustRightInd w:val="0"/>
        <w:spacing w:line="240" w:lineRule="auto"/>
        <w:jc w:val="left"/>
        <w:rPr>
          <w:rFonts w:cs="Arial"/>
          <w:bCs/>
          <w:sz w:val="20"/>
          <w:szCs w:val="20"/>
          <w:lang w:val="en-ZA"/>
        </w:rPr>
      </w:pPr>
      <w:r w:rsidRPr="00335764">
        <w:rPr>
          <w:rFonts w:cs="Arial"/>
          <w:bCs/>
          <w:sz w:val="20"/>
          <w:szCs w:val="20"/>
          <w:lang w:val="en-US"/>
        </w:rPr>
        <w:t>Incre</w:t>
      </w:r>
      <w:r w:rsidR="00EE2331" w:rsidRPr="00335764">
        <w:rPr>
          <w:rFonts w:cs="Arial"/>
          <w:bCs/>
          <w:sz w:val="20"/>
          <w:szCs w:val="20"/>
          <w:lang w:val="en-US"/>
        </w:rPr>
        <w:t>ased access to justice services.</w:t>
      </w:r>
    </w:p>
    <w:p w:rsidR="00131221" w:rsidRPr="00335764" w:rsidRDefault="000F5CB3" w:rsidP="00335764">
      <w:pPr>
        <w:numPr>
          <w:ilvl w:val="0"/>
          <w:numId w:val="2"/>
        </w:numPr>
        <w:autoSpaceDE w:val="0"/>
        <w:autoSpaceDN w:val="0"/>
        <w:adjustRightInd w:val="0"/>
        <w:spacing w:line="240" w:lineRule="auto"/>
        <w:jc w:val="left"/>
        <w:rPr>
          <w:rFonts w:cs="Arial"/>
          <w:bCs/>
          <w:sz w:val="20"/>
          <w:szCs w:val="20"/>
          <w:lang w:val="en-ZA"/>
        </w:rPr>
      </w:pPr>
      <w:r w:rsidRPr="00335764">
        <w:rPr>
          <w:rFonts w:cs="Arial"/>
          <w:bCs/>
          <w:sz w:val="20"/>
          <w:szCs w:val="20"/>
          <w:lang w:val="en-US"/>
        </w:rPr>
        <w:t>Improved Masters</w:t>
      </w:r>
      <w:r w:rsidR="00261D2C" w:rsidRPr="00335764">
        <w:rPr>
          <w:rFonts w:cs="Arial"/>
          <w:bCs/>
          <w:sz w:val="20"/>
          <w:szCs w:val="20"/>
          <w:lang w:val="en-US"/>
        </w:rPr>
        <w:t>’</w:t>
      </w:r>
      <w:r w:rsidRPr="00335764">
        <w:rPr>
          <w:rFonts w:cs="Arial"/>
          <w:bCs/>
          <w:sz w:val="20"/>
          <w:szCs w:val="20"/>
          <w:lang w:val="en-US"/>
        </w:rPr>
        <w:t xml:space="preserve"> Services</w:t>
      </w:r>
      <w:r w:rsidR="00EE2331" w:rsidRPr="00335764">
        <w:rPr>
          <w:rFonts w:cs="Arial"/>
          <w:bCs/>
          <w:sz w:val="20"/>
          <w:szCs w:val="20"/>
          <w:lang w:val="en-US"/>
        </w:rPr>
        <w:t>.</w:t>
      </w:r>
    </w:p>
    <w:p w:rsidR="00131221" w:rsidRPr="00335764" w:rsidRDefault="000F5CB3" w:rsidP="00335764">
      <w:pPr>
        <w:numPr>
          <w:ilvl w:val="0"/>
          <w:numId w:val="2"/>
        </w:numPr>
        <w:autoSpaceDE w:val="0"/>
        <w:autoSpaceDN w:val="0"/>
        <w:adjustRightInd w:val="0"/>
        <w:spacing w:line="240" w:lineRule="auto"/>
        <w:jc w:val="left"/>
        <w:rPr>
          <w:rFonts w:cs="Arial"/>
          <w:bCs/>
          <w:sz w:val="20"/>
          <w:szCs w:val="20"/>
          <w:lang w:val="en-ZA"/>
        </w:rPr>
      </w:pPr>
      <w:r w:rsidRPr="00335764">
        <w:rPr>
          <w:rFonts w:cs="Arial"/>
          <w:bCs/>
          <w:sz w:val="20"/>
          <w:szCs w:val="20"/>
          <w:lang w:val="en-US"/>
        </w:rPr>
        <w:t>Transformed Colonial/Apartheid era justice-related legislation</w:t>
      </w:r>
      <w:r w:rsidR="00EE2331" w:rsidRPr="00335764">
        <w:rPr>
          <w:rFonts w:cs="Arial"/>
          <w:bCs/>
          <w:sz w:val="20"/>
          <w:szCs w:val="20"/>
          <w:lang w:val="en-US"/>
        </w:rPr>
        <w:t>.</w:t>
      </w:r>
    </w:p>
    <w:p w:rsidR="00131221" w:rsidRPr="00335764" w:rsidRDefault="000F5CB3" w:rsidP="00335764">
      <w:pPr>
        <w:numPr>
          <w:ilvl w:val="0"/>
          <w:numId w:val="2"/>
        </w:numPr>
        <w:autoSpaceDE w:val="0"/>
        <w:autoSpaceDN w:val="0"/>
        <w:adjustRightInd w:val="0"/>
        <w:spacing w:line="240" w:lineRule="auto"/>
        <w:jc w:val="left"/>
        <w:rPr>
          <w:rFonts w:cs="Arial"/>
          <w:bCs/>
          <w:sz w:val="20"/>
          <w:szCs w:val="20"/>
          <w:lang w:val="en-ZA"/>
        </w:rPr>
      </w:pPr>
      <w:r w:rsidRPr="00335764">
        <w:rPr>
          <w:rFonts w:cs="Arial"/>
          <w:bCs/>
          <w:sz w:val="20"/>
          <w:szCs w:val="20"/>
          <w:lang w:val="en-US"/>
        </w:rPr>
        <w:t>T</w:t>
      </w:r>
      <w:r w:rsidR="00110A44" w:rsidRPr="00335764">
        <w:rPr>
          <w:rFonts w:cs="Arial"/>
          <w:bCs/>
          <w:sz w:val="20"/>
          <w:szCs w:val="20"/>
          <w:lang w:val="en-US"/>
        </w:rPr>
        <w:t>ransformed S</w:t>
      </w:r>
      <w:r w:rsidR="00EE2331" w:rsidRPr="00335764">
        <w:rPr>
          <w:rFonts w:cs="Arial"/>
          <w:bCs/>
          <w:sz w:val="20"/>
          <w:szCs w:val="20"/>
          <w:lang w:val="en-US"/>
        </w:rPr>
        <w:t>tate legal services.</w:t>
      </w:r>
    </w:p>
    <w:p w:rsidR="00131221" w:rsidRPr="00335764" w:rsidRDefault="000F5CB3" w:rsidP="00335764">
      <w:pPr>
        <w:numPr>
          <w:ilvl w:val="0"/>
          <w:numId w:val="2"/>
        </w:numPr>
        <w:autoSpaceDE w:val="0"/>
        <w:autoSpaceDN w:val="0"/>
        <w:adjustRightInd w:val="0"/>
        <w:spacing w:line="240" w:lineRule="auto"/>
        <w:jc w:val="left"/>
        <w:rPr>
          <w:rFonts w:cs="Arial"/>
          <w:bCs/>
          <w:sz w:val="20"/>
          <w:szCs w:val="20"/>
          <w:lang w:val="en-ZA"/>
        </w:rPr>
      </w:pPr>
      <w:r w:rsidRPr="00335764">
        <w:rPr>
          <w:rFonts w:cs="Arial"/>
          <w:bCs/>
          <w:sz w:val="20"/>
          <w:szCs w:val="20"/>
          <w:lang w:val="en-US"/>
        </w:rPr>
        <w:t>Transformed legal profession</w:t>
      </w:r>
      <w:r w:rsidR="00EE2331" w:rsidRPr="00335764">
        <w:rPr>
          <w:rFonts w:cs="Arial"/>
          <w:bCs/>
          <w:sz w:val="20"/>
          <w:szCs w:val="20"/>
          <w:lang w:val="en-US"/>
        </w:rPr>
        <w:t>.</w:t>
      </w:r>
    </w:p>
    <w:p w:rsidR="00131221" w:rsidRPr="00335764" w:rsidRDefault="000F5CB3" w:rsidP="00335764">
      <w:pPr>
        <w:numPr>
          <w:ilvl w:val="0"/>
          <w:numId w:val="2"/>
        </w:numPr>
        <w:autoSpaceDE w:val="0"/>
        <w:autoSpaceDN w:val="0"/>
        <w:adjustRightInd w:val="0"/>
        <w:spacing w:line="240" w:lineRule="auto"/>
        <w:jc w:val="left"/>
        <w:rPr>
          <w:rFonts w:cs="Arial"/>
          <w:bCs/>
          <w:sz w:val="20"/>
          <w:szCs w:val="20"/>
          <w:lang w:val="en-ZA"/>
        </w:rPr>
      </w:pPr>
      <w:r w:rsidRPr="00335764">
        <w:rPr>
          <w:rFonts w:cs="Arial"/>
          <w:bCs/>
          <w:sz w:val="20"/>
          <w:szCs w:val="20"/>
        </w:rPr>
        <w:t>Advanced constitutionalism, human rights and the rule of law</w:t>
      </w:r>
      <w:r w:rsidR="00EE2331" w:rsidRPr="00335764">
        <w:rPr>
          <w:rFonts w:cs="Arial"/>
          <w:bCs/>
          <w:sz w:val="20"/>
          <w:szCs w:val="20"/>
        </w:rPr>
        <w:t>.</w:t>
      </w:r>
    </w:p>
    <w:p w:rsidR="00131221" w:rsidRPr="00335764" w:rsidRDefault="000F5CB3" w:rsidP="00335764">
      <w:pPr>
        <w:numPr>
          <w:ilvl w:val="0"/>
          <w:numId w:val="2"/>
        </w:numPr>
        <w:autoSpaceDE w:val="0"/>
        <w:autoSpaceDN w:val="0"/>
        <w:adjustRightInd w:val="0"/>
        <w:spacing w:line="240" w:lineRule="auto"/>
        <w:jc w:val="left"/>
        <w:rPr>
          <w:rFonts w:cs="Arial"/>
          <w:bCs/>
          <w:sz w:val="20"/>
          <w:szCs w:val="20"/>
          <w:lang w:val="en-ZA"/>
        </w:rPr>
      </w:pPr>
      <w:r w:rsidRPr="00335764">
        <w:rPr>
          <w:rFonts w:cs="Arial"/>
          <w:bCs/>
          <w:sz w:val="20"/>
          <w:szCs w:val="20"/>
          <w:lang w:val="en-US"/>
        </w:rPr>
        <w:t>Crime and corruption reduced through effective prosecution</w:t>
      </w:r>
      <w:r w:rsidR="00EE2331" w:rsidRPr="00335764">
        <w:rPr>
          <w:rFonts w:cs="Arial"/>
          <w:bCs/>
          <w:sz w:val="20"/>
          <w:szCs w:val="20"/>
          <w:lang w:val="en-US"/>
        </w:rPr>
        <w:t>.</w:t>
      </w:r>
    </w:p>
    <w:p w:rsidR="006D6B49" w:rsidRPr="00335764" w:rsidRDefault="006D6B49" w:rsidP="00335764">
      <w:pPr>
        <w:spacing w:line="240" w:lineRule="auto"/>
        <w:ind w:left="862"/>
        <w:jc w:val="left"/>
        <w:rPr>
          <w:rFonts w:cs="Arial"/>
          <w:sz w:val="20"/>
          <w:szCs w:val="20"/>
          <w:lang w:val="en-ZA"/>
        </w:rPr>
      </w:pPr>
    </w:p>
    <w:p w:rsidR="009A61B6" w:rsidRPr="00335764" w:rsidRDefault="009A61B6" w:rsidP="00335764">
      <w:pPr>
        <w:spacing w:line="240" w:lineRule="auto"/>
        <w:ind w:left="862"/>
        <w:jc w:val="left"/>
        <w:rPr>
          <w:rFonts w:cs="Arial"/>
          <w:sz w:val="20"/>
          <w:szCs w:val="20"/>
          <w:lang w:val="en-ZA"/>
        </w:rPr>
      </w:pPr>
    </w:p>
    <w:p w:rsidR="00B52EC5" w:rsidRPr="00335764" w:rsidRDefault="0091059B" w:rsidP="00335764">
      <w:pPr>
        <w:numPr>
          <w:ilvl w:val="0"/>
          <w:numId w:val="1"/>
        </w:numPr>
        <w:tabs>
          <w:tab w:val="clear" w:pos="375"/>
          <w:tab w:val="num" w:pos="851"/>
        </w:tabs>
        <w:spacing w:line="240" w:lineRule="auto"/>
        <w:ind w:left="851" w:hanging="851"/>
        <w:jc w:val="left"/>
        <w:rPr>
          <w:rFonts w:cs="Arial"/>
          <w:b/>
          <w:bCs/>
          <w:sz w:val="20"/>
          <w:szCs w:val="20"/>
          <w:lang w:val="en-ZA"/>
        </w:rPr>
      </w:pPr>
      <w:r w:rsidRPr="00335764">
        <w:rPr>
          <w:rFonts w:cs="Arial"/>
          <w:b/>
          <w:sz w:val="20"/>
          <w:szCs w:val="20"/>
        </w:rPr>
        <w:t xml:space="preserve">Department of Justice and Constitutional Development: </w:t>
      </w:r>
      <w:r w:rsidR="00B16A2F" w:rsidRPr="00335764">
        <w:rPr>
          <w:rFonts w:cs="Arial"/>
          <w:b/>
          <w:bCs/>
          <w:sz w:val="20"/>
          <w:szCs w:val="20"/>
          <w:lang w:val="en-ZA"/>
        </w:rPr>
        <w:t xml:space="preserve">Administration </w:t>
      </w:r>
    </w:p>
    <w:p w:rsidR="001B3D36" w:rsidRPr="00335764" w:rsidRDefault="001B3D36" w:rsidP="00335764">
      <w:pPr>
        <w:spacing w:line="240" w:lineRule="auto"/>
        <w:jc w:val="left"/>
        <w:rPr>
          <w:rFonts w:cs="Arial"/>
          <w:b/>
          <w:bCs/>
          <w:sz w:val="20"/>
          <w:szCs w:val="20"/>
          <w:lang w:val="en-ZA"/>
        </w:rPr>
      </w:pPr>
    </w:p>
    <w:p w:rsidR="00A019F9" w:rsidRPr="00335764" w:rsidRDefault="00A019F9" w:rsidP="00335764">
      <w:pPr>
        <w:pStyle w:val="ListParagraph"/>
        <w:numPr>
          <w:ilvl w:val="1"/>
          <w:numId w:val="1"/>
        </w:numPr>
        <w:spacing w:line="240" w:lineRule="auto"/>
        <w:ind w:left="851" w:hanging="851"/>
        <w:jc w:val="left"/>
        <w:rPr>
          <w:rFonts w:cs="Arial"/>
          <w:bCs/>
          <w:sz w:val="20"/>
          <w:szCs w:val="20"/>
          <w:lang w:val="en-ZA"/>
        </w:rPr>
      </w:pPr>
      <w:r w:rsidRPr="00335764">
        <w:rPr>
          <w:rFonts w:cs="Arial"/>
          <w:bCs/>
          <w:sz w:val="20"/>
          <w:szCs w:val="20"/>
          <w:lang w:val="en-ZA"/>
        </w:rPr>
        <w:t>T</w:t>
      </w:r>
      <w:r w:rsidR="00E834C9" w:rsidRPr="00335764">
        <w:rPr>
          <w:rFonts w:cs="Arial"/>
          <w:bCs/>
          <w:sz w:val="20"/>
          <w:szCs w:val="20"/>
          <w:lang w:val="en-ZA"/>
        </w:rPr>
        <w:t xml:space="preserve">he purpose of this programme is to </w:t>
      </w:r>
      <w:r w:rsidR="008273E5" w:rsidRPr="00335764">
        <w:rPr>
          <w:rFonts w:cs="Arial"/>
          <w:bCs/>
          <w:sz w:val="20"/>
          <w:szCs w:val="20"/>
          <w:lang w:val="en-ZA"/>
        </w:rPr>
        <w:t xml:space="preserve">provide strategic leadership, management and support services to the Department. </w:t>
      </w:r>
    </w:p>
    <w:p w:rsidR="00A019F9" w:rsidRPr="00335764" w:rsidRDefault="00A019F9" w:rsidP="00335764">
      <w:pPr>
        <w:pStyle w:val="ListParagraph"/>
        <w:autoSpaceDE w:val="0"/>
        <w:autoSpaceDN w:val="0"/>
        <w:adjustRightInd w:val="0"/>
        <w:spacing w:line="240" w:lineRule="auto"/>
        <w:ind w:left="851"/>
        <w:jc w:val="left"/>
        <w:rPr>
          <w:rFonts w:cs="Arial"/>
          <w:bCs/>
          <w:sz w:val="20"/>
          <w:szCs w:val="20"/>
          <w:lang w:val="en-ZA"/>
        </w:rPr>
      </w:pPr>
    </w:p>
    <w:p w:rsidR="00C63BF3" w:rsidRPr="00335764" w:rsidRDefault="00A0381C" w:rsidP="00335764">
      <w:pPr>
        <w:pStyle w:val="ListParagraph"/>
        <w:numPr>
          <w:ilvl w:val="1"/>
          <w:numId w:val="1"/>
        </w:numPr>
        <w:spacing w:line="240" w:lineRule="auto"/>
        <w:ind w:left="851" w:hanging="851"/>
        <w:jc w:val="left"/>
        <w:rPr>
          <w:rFonts w:cs="Arial"/>
          <w:bCs/>
          <w:sz w:val="20"/>
          <w:szCs w:val="20"/>
          <w:lang w:val="en-ZA"/>
        </w:rPr>
      </w:pPr>
      <w:r w:rsidRPr="00335764">
        <w:rPr>
          <w:rFonts w:cs="Arial"/>
          <w:bCs/>
          <w:sz w:val="20"/>
          <w:szCs w:val="20"/>
          <w:lang w:val="en-ZA"/>
        </w:rPr>
        <w:t>The programme contributes to</w:t>
      </w:r>
      <w:r w:rsidR="00C63BF3" w:rsidRPr="00335764">
        <w:rPr>
          <w:rFonts w:cs="Arial"/>
          <w:bCs/>
          <w:sz w:val="20"/>
          <w:szCs w:val="20"/>
          <w:lang w:val="en-ZA"/>
        </w:rPr>
        <w:t xml:space="preserve"> Outcome 1</w:t>
      </w:r>
      <w:r w:rsidRPr="00335764">
        <w:rPr>
          <w:rFonts w:cs="Arial"/>
          <w:bCs/>
          <w:sz w:val="20"/>
          <w:szCs w:val="20"/>
          <w:lang w:val="en-ZA"/>
        </w:rPr>
        <w:t>:</w:t>
      </w:r>
      <w:r w:rsidR="00C63BF3" w:rsidRPr="00335764">
        <w:rPr>
          <w:rFonts w:cs="Arial"/>
          <w:bCs/>
          <w:sz w:val="20"/>
          <w:szCs w:val="20"/>
          <w:lang w:val="en-ZA"/>
        </w:rPr>
        <w:t xml:space="preserve"> </w:t>
      </w:r>
      <w:r w:rsidR="00C63BF3" w:rsidRPr="00335764">
        <w:rPr>
          <w:rFonts w:cs="Arial"/>
          <w:bCs/>
          <w:sz w:val="20"/>
          <w:szCs w:val="20"/>
          <w:lang w:val="en-US"/>
        </w:rPr>
        <w:t xml:space="preserve">Modernising and increasing access to justice services; </w:t>
      </w:r>
      <w:r w:rsidR="00C63BF3" w:rsidRPr="00335764">
        <w:rPr>
          <w:rFonts w:cs="Arial"/>
          <w:bCs/>
          <w:sz w:val="20"/>
          <w:szCs w:val="20"/>
          <w:lang w:val="en-ZA"/>
        </w:rPr>
        <w:t>Outcome 2: Improved organisational capability and good governance; and Outcome 3: Improved awareness of justice services and constitutionalism.</w:t>
      </w:r>
    </w:p>
    <w:p w:rsidR="001B2882" w:rsidRPr="00335764" w:rsidRDefault="001B2882" w:rsidP="00335764">
      <w:pPr>
        <w:spacing w:line="240" w:lineRule="auto"/>
        <w:jc w:val="left"/>
        <w:rPr>
          <w:rFonts w:cs="Arial"/>
          <w:bCs/>
          <w:i/>
          <w:sz w:val="20"/>
          <w:szCs w:val="20"/>
          <w:lang w:val="en-ZA"/>
        </w:rPr>
      </w:pPr>
    </w:p>
    <w:p w:rsidR="00255B39" w:rsidRPr="00335764" w:rsidRDefault="00DD6BBE" w:rsidP="00335764">
      <w:pPr>
        <w:pStyle w:val="ListParagraph"/>
        <w:numPr>
          <w:ilvl w:val="1"/>
          <w:numId w:val="1"/>
        </w:numPr>
        <w:spacing w:line="240" w:lineRule="auto"/>
        <w:ind w:left="851" w:hanging="851"/>
        <w:jc w:val="left"/>
        <w:rPr>
          <w:rFonts w:cs="Arial"/>
          <w:bCs/>
          <w:sz w:val="20"/>
          <w:szCs w:val="20"/>
          <w:lang w:val="en-ZA"/>
        </w:rPr>
      </w:pPr>
      <w:r w:rsidRPr="00335764">
        <w:rPr>
          <w:rFonts w:cs="Arial"/>
          <w:bCs/>
          <w:sz w:val="20"/>
          <w:szCs w:val="20"/>
          <w:lang w:val="en-ZA"/>
        </w:rPr>
        <w:t xml:space="preserve">The Administration programme is allocated </w:t>
      </w:r>
      <w:r w:rsidR="000B4FCE" w:rsidRPr="00335764">
        <w:rPr>
          <w:rFonts w:cs="Arial"/>
          <w:bCs/>
          <w:sz w:val="20"/>
          <w:szCs w:val="20"/>
          <w:lang w:val="en-ZA"/>
        </w:rPr>
        <w:t>R</w:t>
      </w:r>
      <w:r w:rsidR="00255B39" w:rsidRPr="00335764">
        <w:rPr>
          <w:rFonts w:cs="Arial"/>
          <w:bCs/>
          <w:sz w:val="20"/>
          <w:szCs w:val="20"/>
          <w:lang w:val="en-ZA"/>
        </w:rPr>
        <w:t xml:space="preserve">3.08 </w:t>
      </w:r>
      <w:r w:rsidR="008175E8" w:rsidRPr="00335764">
        <w:rPr>
          <w:rFonts w:cs="Arial"/>
          <w:bCs/>
          <w:sz w:val="20"/>
          <w:szCs w:val="20"/>
          <w:lang w:val="en-ZA"/>
        </w:rPr>
        <w:t>bi</w:t>
      </w:r>
      <w:r w:rsidR="000B4FCE" w:rsidRPr="00335764">
        <w:rPr>
          <w:rFonts w:cs="Arial"/>
          <w:bCs/>
          <w:sz w:val="20"/>
          <w:szCs w:val="20"/>
          <w:lang w:val="en-ZA"/>
        </w:rPr>
        <w:t>llion in 2023/24</w:t>
      </w:r>
      <w:r w:rsidR="008175E8" w:rsidRPr="00335764">
        <w:rPr>
          <w:rFonts w:cs="Arial"/>
          <w:bCs/>
          <w:sz w:val="20"/>
          <w:szCs w:val="20"/>
          <w:lang w:val="en-ZA"/>
        </w:rPr>
        <w:t xml:space="preserve">, </w:t>
      </w:r>
      <w:r w:rsidR="00C34FCE" w:rsidRPr="00335764">
        <w:rPr>
          <w:rFonts w:cs="Arial"/>
          <w:bCs/>
          <w:sz w:val="20"/>
          <w:szCs w:val="20"/>
          <w:lang w:val="en-ZA"/>
        </w:rPr>
        <w:t xml:space="preserve">compared with </w:t>
      </w:r>
      <w:r w:rsidR="008175E8" w:rsidRPr="00335764">
        <w:rPr>
          <w:rFonts w:cs="Arial"/>
          <w:bCs/>
          <w:sz w:val="20"/>
          <w:szCs w:val="20"/>
          <w:lang w:val="en-ZA"/>
        </w:rPr>
        <w:t xml:space="preserve">an adjusted budget of </w:t>
      </w:r>
      <w:r w:rsidR="00255B39" w:rsidRPr="00335764">
        <w:rPr>
          <w:rFonts w:cs="Arial"/>
          <w:bCs/>
          <w:sz w:val="20"/>
          <w:szCs w:val="20"/>
          <w:lang w:val="en-ZA"/>
        </w:rPr>
        <w:t xml:space="preserve">R3.05 </w:t>
      </w:r>
      <w:r w:rsidR="008175E8" w:rsidRPr="00335764">
        <w:rPr>
          <w:rFonts w:cs="Arial"/>
          <w:bCs/>
          <w:sz w:val="20"/>
          <w:szCs w:val="20"/>
          <w:lang w:val="en-ZA"/>
        </w:rPr>
        <w:t>billion in 202</w:t>
      </w:r>
      <w:r w:rsidR="000B4FCE" w:rsidRPr="00335764">
        <w:rPr>
          <w:rFonts w:cs="Arial"/>
          <w:bCs/>
          <w:sz w:val="20"/>
          <w:szCs w:val="20"/>
          <w:lang w:val="en-ZA"/>
        </w:rPr>
        <w:t>2/23</w:t>
      </w:r>
      <w:r w:rsidR="008175E8" w:rsidRPr="00335764">
        <w:rPr>
          <w:rFonts w:cs="Arial"/>
          <w:bCs/>
          <w:sz w:val="20"/>
          <w:szCs w:val="20"/>
          <w:lang w:val="en-ZA"/>
        </w:rPr>
        <w:t xml:space="preserve">. </w:t>
      </w:r>
    </w:p>
    <w:p w:rsidR="00255B39" w:rsidRPr="00335764" w:rsidRDefault="00255B39" w:rsidP="00335764">
      <w:pPr>
        <w:spacing w:line="240" w:lineRule="auto"/>
        <w:ind w:left="862"/>
        <w:jc w:val="left"/>
        <w:rPr>
          <w:rFonts w:cs="Arial"/>
          <w:bCs/>
          <w:sz w:val="20"/>
          <w:szCs w:val="20"/>
          <w:lang w:val="en-ZA"/>
        </w:rPr>
      </w:pPr>
    </w:p>
    <w:p w:rsidR="007A23B7" w:rsidRPr="00335764" w:rsidRDefault="00DD6BBE" w:rsidP="00335764">
      <w:pPr>
        <w:pStyle w:val="ListParagraph"/>
        <w:numPr>
          <w:ilvl w:val="1"/>
          <w:numId w:val="1"/>
        </w:numPr>
        <w:spacing w:line="240" w:lineRule="auto"/>
        <w:ind w:left="851" w:hanging="851"/>
        <w:jc w:val="left"/>
        <w:rPr>
          <w:rFonts w:cs="Arial"/>
          <w:bCs/>
          <w:sz w:val="20"/>
          <w:szCs w:val="20"/>
          <w:lang w:val="en-ZA"/>
        </w:rPr>
      </w:pPr>
      <w:r w:rsidRPr="00335764">
        <w:rPr>
          <w:rFonts w:cs="Arial"/>
          <w:bCs/>
          <w:sz w:val="20"/>
          <w:szCs w:val="20"/>
          <w:lang w:val="en-ZA"/>
        </w:rPr>
        <w:t>Overall, the allocation to Admin</w:t>
      </w:r>
      <w:r w:rsidR="008175E8" w:rsidRPr="00335764">
        <w:rPr>
          <w:rFonts w:cs="Arial"/>
          <w:bCs/>
          <w:sz w:val="20"/>
          <w:szCs w:val="20"/>
          <w:lang w:val="en-ZA"/>
        </w:rPr>
        <w:t xml:space="preserve">istration decreases by </w:t>
      </w:r>
      <w:r w:rsidR="00255B39" w:rsidRPr="00335764">
        <w:rPr>
          <w:rFonts w:cs="Arial"/>
          <w:bCs/>
          <w:sz w:val="20"/>
          <w:szCs w:val="20"/>
          <w:lang w:val="en-ZA"/>
        </w:rPr>
        <w:t>-3.5</w:t>
      </w:r>
      <w:r w:rsidR="00C34FCE" w:rsidRPr="00335764">
        <w:rPr>
          <w:rFonts w:cs="Arial"/>
          <w:bCs/>
          <w:sz w:val="20"/>
          <w:szCs w:val="20"/>
          <w:lang w:val="en-ZA"/>
        </w:rPr>
        <w:t>% in real terms.</w:t>
      </w:r>
      <w:r w:rsidRPr="00335764">
        <w:rPr>
          <w:rFonts w:cs="Arial"/>
          <w:bCs/>
          <w:sz w:val="20"/>
          <w:szCs w:val="20"/>
          <w:lang w:val="en-ZA"/>
        </w:rPr>
        <w:t xml:space="preserve"> </w:t>
      </w:r>
      <w:r w:rsidR="007A23B7" w:rsidRPr="00335764">
        <w:rPr>
          <w:rFonts w:cs="Arial"/>
          <w:bCs/>
          <w:sz w:val="20"/>
          <w:szCs w:val="20"/>
          <w:lang w:val="en-ZA"/>
        </w:rPr>
        <w:t xml:space="preserve">The </w:t>
      </w:r>
      <w:r w:rsidR="005A1B78" w:rsidRPr="00335764">
        <w:rPr>
          <w:rFonts w:cs="Arial"/>
          <w:bCs/>
          <w:sz w:val="20"/>
          <w:szCs w:val="20"/>
          <w:lang w:val="en-ZA"/>
        </w:rPr>
        <w:t xml:space="preserve">largest </w:t>
      </w:r>
      <w:r w:rsidR="000B4FCE" w:rsidRPr="00335764">
        <w:rPr>
          <w:rFonts w:cs="Arial"/>
          <w:bCs/>
          <w:sz w:val="20"/>
          <w:szCs w:val="20"/>
          <w:lang w:val="en-ZA"/>
        </w:rPr>
        <w:t>real decrease</w:t>
      </w:r>
      <w:r w:rsidR="00255B39" w:rsidRPr="00335764">
        <w:rPr>
          <w:rFonts w:cs="Arial"/>
          <w:bCs/>
          <w:sz w:val="20"/>
          <w:szCs w:val="20"/>
          <w:lang w:val="en-ZA"/>
        </w:rPr>
        <w:t xml:space="preserve">s are </w:t>
      </w:r>
      <w:r w:rsidR="00BC2D5E" w:rsidRPr="00335764">
        <w:rPr>
          <w:rFonts w:cs="Arial"/>
          <w:bCs/>
          <w:sz w:val="20"/>
          <w:szCs w:val="20"/>
          <w:lang w:val="en-ZA"/>
        </w:rPr>
        <w:t xml:space="preserve">found in </w:t>
      </w:r>
      <w:r w:rsidR="005A1B78" w:rsidRPr="00335764">
        <w:rPr>
          <w:rFonts w:cs="Arial"/>
          <w:bCs/>
          <w:sz w:val="20"/>
          <w:szCs w:val="20"/>
          <w:lang w:val="en-ZA"/>
        </w:rPr>
        <w:t xml:space="preserve">the </w:t>
      </w:r>
      <w:r w:rsidR="00255B39" w:rsidRPr="00335764">
        <w:rPr>
          <w:rFonts w:cs="Arial"/>
          <w:bCs/>
          <w:sz w:val="20"/>
          <w:szCs w:val="20"/>
          <w:lang w:val="en-ZA"/>
        </w:rPr>
        <w:t>Financial Management and Corporate Services sub</w:t>
      </w:r>
      <w:r w:rsidR="00455DBB" w:rsidRPr="00335764">
        <w:rPr>
          <w:rFonts w:cs="Arial"/>
          <w:bCs/>
          <w:sz w:val="20"/>
          <w:szCs w:val="20"/>
          <w:lang w:val="en-ZA"/>
        </w:rPr>
        <w:t>-</w:t>
      </w:r>
      <w:r w:rsidR="00255B39" w:rsidRPr="00335764">
        <w:rPr>
          <w:rFonts w:cs="Arial"/>
          <w:bCs/>
          <w:sz w:val="20"/>
          <w:szCs w:val="20"/>
          <w:lang w:val="en-ZA"/>
        </w:rPr>
        <w:t>programmes</w:t>
      </w:r>
      <w:r w:rsidR="00BC2D5E" w:rsidRPr="00335764">
        <w:rPr>
          <w:rFonts w:cs="Arial"/>
          <w:bCs/>
          <w:sz w:val="20"/>
          <w:szCs w:val="20"/>
          <w:lang w:val="en-ZA"/>
        </w:rPr>
        <w:t>,</w:t>
      </w:r>
      <w:r w:rsidR="00255B39" w:rsidRPr="00335764">
        <w:rPr>
          <w:rFonts w:cs="Arial"/>
          <w:bCs/>
          <w:sz w:val="20"/>
          <w:szCs w:val="20"/>
          <w:lang w:val="en-ZA"/>
        </w:rPr>
        <w:t xml:space="preserve"> at -24.6% and 24.4% respectively.</w:t>
      </w:r>
      <w:r w:rsidR="007A23B7" w:rsidRPr="00335764">
        <w:rPr>
          <w:rFonts w:cs="Arial"/>
          <w:bCs/>
          <w:sz w:val="20"/>
          <w:szCs w:val="20"/>
          <w:lang w:val="en-ZA"/>
        </w:rPr>
        <w:t xml:space="preserve"> Th</w:t>
      </w:r>
      <w:r w:rsidR="00255B39" w:rsidRPr="00335764">
        <w:rPr>
          <w:rFonts w:cs="Arial"/>
          <w:bCs/>
          <w:sz w:val="20"/>
          <w:szCs w:val="20"/>
          <w:lang w:val="en-ZA"/>
        </w:rPr>
        <w:t xml:space="preserve">is is the </w:t>
      </w:r>
      <w:r w:rsidR="00BC2D5E" w:rsidRPr="00335764">
        <w:rPr>
          <w:rFonts w:cs="Arial"/>
          <w:bCs/>
          <w:sz w:val="20"/>
          <w:szCs w:val="20"/>
          <w:lang w:val="en-ZA"/>
        </w:rPr>
        <w:t xml:space="preserve">third </w:t>
      </w:r>
      <w:r w:rsidR="007A23B7" w:rsidRPr="00335764">
        <w:rPr>
          <w:rFonts w:cs="Arial"/>
          <w:bCs/>
          <w:sz w:val="20"/>
          <w:szCs w:val="20"/>
          <w:lang w:val="en-ZA"/>
        </w:rPr>
        <w:t xml:space="preserve">consecutive year </w:t>
      </w:r>
      <w:r w:rsidR="00BC2D5E" w:rsidRPr="00335764">
        <w:rPr>
          <w:rFonts w:cs="Arial"/>
          <w:bCs/>
          <w:sz w:val="20"/>
          <w:szCs w:val="20"/>
          <w:lang w:val="en-ZA"/>
        </w:rPr>
        <w:t xml:space="preserve">in which </w:t>
      </w:r>
      <w:r w:rsidR="007A23B7" w:rsidRPr="00335764">
        <w:rPr>
          <w:rFonts w:cs="Arial"/>
          <w:bCs/>
          <w:sz w:val="20"/>
          <w:szCs w:val="20"/>
          <w:lang w:val="en-ZA"/>
        </w:rPr>
        <w:t>the allocation to Corporate Services has decreased significantly in real terms</w:t>
      </w:r>
      <w:r w:rsidR="00BC2D5E" w:rsidRPr="00335764">
        <w:rPr>
          <w:rFonts w:cs="Arial"/>
          <w:bCs/>
          <w:sz w:val="20"/>
          <w:szCs w:val="20"/>
          <w:lang w:val="en-ZA"/>
        </w:rPr>
        <w:t xml:space="preserve"> (Corporate Services provides strategic support to the Department and integrated business solutions in Human Resource Management, information and communication technology (ICT), public education and communications, and capacity building of the Department’s personnel)</w:t>
      </w:r>
      <w:r w:rsidR="007A23B7" w:rsidRPr="00335764">
        <w:rPr>
          <w:rFonts w:cs="Arial"/>
          <w:bCs/>
          <w:sz w:val="20"/>
          <w:szCs w:val="20"/>
          <w:lang w:val="en-ZA"/>
        </w:rPr>
        <w:t>.</w:t>
      </w:r>
      <w:r w:rsidR="00255B39" w:rsidRPr="00335764">
        <w:rPr>
          <w:rFonts w:cs="Arial"/>
          <w:bCs/>
          <w:sz w:val="20"/>
          <w:szCs w:val="20"/>
          <w:lang w:val="en-ZA"/>
        </w:rPr>
        <w:t xml:space="preserve"> The allocation to the Management sub</w:t>
      </w:r>
      <w:r w:rsidR="00455DBB" w:rsidRPr="00335764">
        <w:rPr>
          <w:rFonts w:cs="Arial"/>
          <w:bCs/>
          <w:sz w:val="20"/>
          <w:szCs w:val="20"/>
          <w:lang w:val="en-ZA"/>
        </w:rPr>
        <w:t>-</w:t>
      </w:r>
      <w:r w:rsidR="00255B39" w:rsidRPr="00335764">
        <w:rPr>
          <w:rFonts w:cs="Arial"/>
          <w:bCs/>
          <w:sz w:val="20"/>
          <w:szCs w:val="20"/>
          <w:lang w:val="en-ZA"/>
        </w:rPr>
        <w:t>programme increases by 242.1% in real terms.</w:t>
      </w:r>
    </w:p>
    <w:p w:rsidR="008C71FF" w:rsidRPr="00335764" w:rsidRDefault="008C71FF" w:rsidP="00335764">
      <w:pPr>
        <w:pStyle w:val="ListParagraph"/>
        <w:spacing w:line="240" w:lineRule="auto"/>
        <w:jc w:val="left"/>
        <w:rPr>
          <w:rFonts w:cs="Arial"/>
          <w:bCs/>
          <w:sz w:val="20"/>
          <w:szCs w:val="20"/>
          <w:lang w:val="en-ZA"/>
        </w:rPr>
      </w:pPr>
    </w:p>
    <w:p w:rsidR="008175E8" w:rsidRPr="00335764" w:rsidRDefault="008C71FF" w:rsidP="00335764">
      <w:pPr>
        <w:spacing w:line="240" w:lineRule="auto"/>
        <w:jc w:val="left"/>
        <w:rPr>
          <w:rFonts w:cs="Arial"/>
          <w:b/>
          <w:bCs/>
          <w:sz w:val="20"/>
          <w:szCs w:val="20"/>
          <w:lang w:val="en-ZA"/>
        </w:rPr>
      </w:pPr>
      <w:r w:rsidRPr="00335764">
        <w:rPr>
          <w:rFonts w:cs="Arial"/>
          <w:b/>
          <w:bCs/>
          <w:sz w:val="20"/>
          <w:szCs w:val="20"/>
          <w:lang w:val="en-ZA"/>
        </w:rPr>
        <w:t xml:space="preserve">Administration: </w:t>
      </w:r>
      <w:r w:rsidR="000B4FCE" w:rsidRPr="00335764">
        <w:rPr>
          <w:rFonts w:cs="Arial"/>
          <w:b/>
          <w:bCs/>
          <w:sz w:val="20"/>
          <w:szCs w:val="20"/>
          <w:lang w:val="en-ZA"/>
        </w:rPr>
        <w:t xml:space="preserve">Budget 2023 MTEF, </w:t>
      </w:r>
      <w:r w:rsidRPr="00335764">
        <w:rPr>
          <w:rFonts w:cs="Arial"/>
          <w:b/>
          <w:bCs/>
          <w:sz w:val="20"/>
          <w:szCs w:val="20"/>
          <w:lang w:val="en-ZA"/>
        </w:rPr>
        <w:t>including real percent change</w:t>
      </w:r>
    </w:p>
    <w:tbl>
      <w:tblPr>
        <w:tblStyle w:val="GridTable4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1"/>
        <w:gridCol w:w="1132"/>
        <w:gridCol w:w="1132"/>
        <w:gridCol w:w="1132"/>
        <w:gridCol w:w="1132"/>
        <w:gridCol w:w="1279"/>
      </w:tblGrid>
      <w:tr w:rsidR="000B4FCE" w:rsidRPr="00335764" w:rsidTr="00703E27">
        <w:trPr>
          <w:cnfStyle w:val="100000000000"/>
          <w:trHeight w:val="765"/>
          <w:tblHeader/>
        </w:trPr>
        <w:tc>
          <w:tcPr>
            <w:cnfStyle w:val="001000000000"/>
            <w:tcW w:w="198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B4FCE" w:rsidRPr="00335764" w:rsidRDefault="000B4FCE" w:rsidP="00335764">
            <w:pPr>
              <w:spacing w:line="240" w:lineRule="auto"/>
              <w:jc w:val="left"/>
              <w:rPr>
                <w:rFonts w:cs="Arial"/>
                <w:bCs w:val="0"/>
                <w:color w:val="000000" w:themeColor="text1"/>
                <w:sz w:val="20"/>
                <w:szCs w:val="20"/>
              </w:rPr>
            </w:pPr>
            <w:r w:rsidRPr="00335764">
              <w:rPr>
                <w:rFonts w:cs="Arial"/>
                <w:bCs w:val="0"/>
                <w:color w:val="000000" w:themeColor="text1"/>
                <w:sz w:val="20"/>
                <w:szCs w:val="20"/>
              </w:rPr>
              <w:t>Sub-programme</w:t>
            </w:r>
          </w:p>
        </w:tc>
        <w:tc>
          <w:tcPr>
            <w:tcW w:w="235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4FCE" w:rsidRPr="00335764" w:rsidRDefault="000B4FCE" w:rsidP="00335764">
            <w:pPr>
              <w:spacing w:line="240" w:lineRule="auto"/>
              <w:jc w:val="left"/>
              <w:cnfStyle w:val="100000000000"/>
              <w:rPr>
                <w:rFonts w:cs="Arial"/>
                <w:bCs w:val="0"/>
                <w:color w:val="000000" w:themeColor="text1"/>
                <w:sz w:val="20"/>
                <w:szCs w:val="20"/>
              </w:rPr>
            </w:pPr>
            <w:r w:rsidRPr="00335764">
              <w:rPr>
                <w:rFonts w:cs="Arial"/>
                <w:bCs w:val="0"/>
                <w:color w:val="000000" w:themeColor="text1"/>
                <w:sz w:val="20"/>
                <w:szCs w:val="20"/>
              </w:rPr>
              <w:t>Budget</w:t>
            </w:r>
          </w:p>
          <w:p w:rsidR="000B4FCE" w:rsidRPr="00335764" w:rsidRDefault="000B4FCE" w:rsidP="00335764">
            <w:pPr>
              <w:spacing w:line="240" w:lineRule="auto"/>
              <w:jc w:val="left"/>
              <w:cnfStyle w:val="100000000000"/>
              <w:rPr>
                <w:rFonts w:cs="Arial"/>
                <w:bCs w:val="0"/>
                <w:color w:val="000000" w:themeColor="text1"/>
                <w:sz w:val="20"/>
                <w:szCs w:val="20"/>
              </w:rPr>
            </w:pPr>
            <w:r w:rsidRPr="00335764">
              <w:rPr>
                <w:rFonts w:cs="Arial"/>
                <w:bCs w:val="0"/>
                <w:color w:val="000000" w:themeColor="text1"/>
                <w:sz w:val="20"/>
                <w:szCs w:val="20"/>
              </w:rPr>
              <w:t>R’million</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4FCE" w:rsidRPr="00335764" w:rsidRDefault="000B4FCE" w:rsidP="00335764">
            <w:pPr>
              <w:spacing w:line="240" w:lineRule="auto"/>
              <w:jc w:val="left"/>
              <w:cnfStyle w:val="100000000000"/>
              <w:rPr>
                <w:rFonts w:cs="Arial"/>
                <w:bCs w:val="0"/>
                <w:color w:val="000000" w:themeColor="text1"/>
                <w:sz w:val="20"/>
                <w:szCs w:val="20"/>
              </w:rPr>
            </w:pPr>
            <w:r w:rsidRPr="00335764">
              <w:rPr>
                <w:rFonts w:cs="Arial"/>
                <w:bCs w:val="0"/>
                <w:color w:val="000000" w:themeColor="text1"/>
                <w:sz w:val="20"/>
                <w:szCs w:val="20"/>
              </w:rPr>
              <w:t xml:space="preserve">Real </w:t>
            </w:r>
            <w:r w:rsidR="002B3984" w:rsidRPr="00335764">
              <w:rPr>
                <w:rFonts w:cs="Arial"/>
                <w:bCs w:val="0"/>
                <w:color w:val="000000" w:themeColor="text1"/>
                <w:sz w:val="20"/>
                <w:szCs w:val="20"/>
              </w:rPr>
              <w:t>%</w:t>
            </w:r>
          </w:p>
          <w:p w:rsidR="000B4FCE" w:rsidRPr="00335764" w:rsidRDefault="000B4FCE" w:rsidP="00335764">
            <w:pPr>
              <w:spacing w:line="240" w:lineRule="auto"/>
              <w:jc w:val="left"/>
              <w:cnfStyle w:val="100000000000"/>
              <w:rPr>
                <w:rFonts w:cs="Arial"/>
                <w:bCs w:val="0"/>
                <w:color w:val="000000" w:themeColor="text1"/>
                <w:sz w:val="20"/>
                <w:szCs w:val="20"/>
              </w:rPr>
            </w:pPr>
            <w:r w:rsidRPr="00335764">
              <w:rPr>
                <w:rFonts w:cs="Arial"/>
                <w:bCs w:val="0"/>
                <w:color w:val="000000" w:themeColor="text1"/>
                <w:sz w:val="20"/>
                <w:szCs w:val="20"/>
              </w:rPr>
              <w:t>2023/24</w:t>
            </w:r>
          </w:p>
        </w:tc>
      </w:tr>
      <w:tr w:rsidR="000B4FCE" w:rsidRPr="00335764" w:rsidTr="00703E27">
        <w:trPr>
          <w:cnfStyle w:val="100000000000"/>
          <w:trHeight w:val="264"/>
          <w:tblHeader/>
        </w:trPr>
        <w:tc>
          <w:tcPr>
            <w:cnfStyle w:val="001000000000"/>
            <w:tcW w:w="1984" w:type="pct"/>
            <w:vMerge/>
            <w:tcBorders>
              <w:top w:val="single" w:sz="4" w:space="0" w:color="auto"/>
              <w:right w:val="single" w:sz="4" w:space="0" w:color="auto"/>
            </w:tcBorders>
            <w:shd w:val="clear" w:color="auto" w:fill="D9D9D9" w:themeFill="background1" w:themeFillShade="D9"/>
            <w:noWrap/>
            <w:hideMark/>
          </w:tcPr>
          <w:p w:rsidR="000B4FCE" w:rsidRPr="00335764" w:rsidRDefault="000B4FCE" w:rsidP="00335764">
            <w:pPr>
              <w:spacing w:line="240" w:lineRule="auto"/>
              <w:jc w:val="left"/>
              <w:rPr>
                <w:rFonts w:cs="Arial"/>
                <w:b w:val="0"/>
                <w:bCs w:val="0"/>
                <w:color w:val="000000" w:themeColor="text1"/>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B4FCE" w:rsidRPr="00335764" w:rsidRDefault="000B4FCE" w:rsidP="00335764">
            <w:pPr>
              <w:spacing w:line="240" w:lineRule="auto"/>
              <w:jc w:val="left"/>
              <w:cnfStyle w:val="100000000000"/>
              <w:rPr>
                <w:rFonts w:cs="Arial"/>
                <w:color w:val="000000" w:themeColor="text1"/>
                <w:sz w:val="20"/>
                <w:szCs w:val="20"/>
              </w:rPr>
            </w:pPr>
            <w:r w:rsidRPr="00335764">
              <w:rPr>
                <w:rFonts w:cs="Arial"/>
                <w:color w:val="000000" w:themeColor="text1"/>
                <w:sz w:val="20"/>
                <w:szCs w:val="20"/>
              </w:rPr>
              <w:t>2022/23</w:t>
            </w:r>
          </w:p>
        </w:tc>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B4FCE" w:rsidRPr="00335764" w:rsidRDefault="000B4FCE" w:rsidP="00335764">
            <w:pPr>
              <w:spacing w:line="240" w:lineRule="auto"/>
              <w:jc w:val="left"/>
              <w:cnfStyle w:val="100000000000"/>
              <w:rPr>
                <w:rFonts w:cs="Arial"/>
                <w:b w:val="0"/>
                <w:bCs w:val="0"/>
                <w:color w:val="000000" w:themeColor="text1"/>
                <w:sz w:val="20"/>
                <w:szCs w:val="20"/>
              </w:rPr>
            </w:pPr>
            <w:r w:rsidRPr="00335764">
              <w:rPr>
                <w:rFonts w:cs="Arial"/>
                <w:color w:val="000000" w:themeColor="text1"/>
                <w:sz w:val="20"/>
                <w:szCs w:val="20"/>
              </w:rPr>
              <w:t>2023/24</w:t>
            </w:r>
          </w:p>
        </w:tc>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4FCE" w:rsidRPr="00335764" w:rsidRDefault="000B4FCE" w:rsidP="00335764">
            <w:pPr>
              <w:spacing w:line="240" w:lineRule="auto"/>
              <w:jc w:val="left"/>
              <w:cnfStyle w:val="100000000000"/>
              <w:rPr>
                <w:rFonts w:cs="Arial"/>
                <w:bCs w:val="0"/>
                <w:color w:val="000000" w:themeColor="text1"/>
                <w:sz w:val="20"/>
                <w:szCs w:val="20"/>
              </w:rPr>
            </w:pPr>
            <w:r w:rsidRPr="00335764">
              <w:rPr>
                <w:rFonts w:cs="Arial"/>
                <w:bCs w:val="0"/>
                <w:color w:val="000000" w:themeColor="text1"/>
                <w:sz w:val="20"/>
                <w:szCs w:val="20"/>
              </w:rPr>
              <w:t>2024/25</w:t>
            </w:r>
          </w:p>
        </w:tc>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4FCE" w:rsidRPr="00335764" w:rsidRDefault="000B4FCE" w:rsidP="00335764">
            <w:pPr>
              <w:spacing w:line="240" w:lineRule="auto"/>
              <w:jc w:val="left"/>
              <w:cnfStyle w:val="100000000000"/>
              <w:rPr>
                <w:rFonts w:cs="Arial"/>
                <w:bCs w:val="0"/>
                <w:color w:val="000000" w:themeColor="text1"/>
                <w:sz w:val="20"/>
                <w:szCs w:val="20"/>
              </w:rPr>
            </w:pPr>
            <w:r w:rsidRPr="00335764">
              <w:rPr>
                <w:rFonts w:cs="Arial"/>
                <w:bCs w:val="0"/>
                <w:color w:val="000000" w:themeColor="text1"/>
                <w:sz w:val="20"/>
                <w:szCs w:val="20"/>
              </w:rPr>
              <w:t>2025/26</w:t>
            </w:r>
          </w:p>
        </w:tc>
        <w:tc>
          <w:tcPr>
            <w:tcW w:w="66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4FCE" w:rsidRPr="00335764" w:rsidRDefault="000B4FCE" w:rsidP="00335764">
            <w:pPr>
              <w:spacing w:line="240" w:lineRule="auto"/>
              <w:jc w:val="left"/>
              <w:cnfStyle w:val="100000000000"/>
              <w:rPr>
                <w:rFonts w:cs="Arial"/>
                <w:b w:val="0"/>
                <w:bCs w:val="0"/>
                <w:color w:val="000000" w:themeColor="text1"/>
                <w:sz w:val="20"/>
                <w:szCs w:val="20"/>
              </w:rPr>
            </w:pPr>
          </w:p>
        </w:tc>
      </w:tr>
      <w:tr w:rsidR="002B3984" w:rsidRPr="00335764" w:rsidTr="00703E27">
        <w:trPr>
          <w:cnfStyle w:val="000000100000"/>
          <w:trHeight w:val="264"/>
        </w:trPr>
        <w:tc>
          <w:tcPr>
            <w:cnfStyle w:val="001000000000"/>
            <w:tcW w:w="1984" w:type="pct"/>
            <w:shd w:val="clear" w:color="auto" w:fill="auto"/>
            <w:noWrap/>
            <w:hideMark/>
          </w:tcPr>
          <w:p w:rsidR="002B3984" w:rsidRPr="00335764" w:rsidRDefault="002B3984" w:rsidP="00335764">
            <w:pPr>
              <w:spacing w:line="240" w:lineRule="auto"/>
              <w:jc w:val="left"/>
              <w:rPr>
                <w:rFonts w:cs="Arial"/>
                <w:b w:val="0"/>
                <w:color w:val="000000" w:themeColor="text1"/>
                <w:sz w:val="20"/>
                <w:szCs w:val="20"/>
              </w:rPr>
            </w:pPr>
            <w:r w:rsidRPr="00335764">
              <w:rPr>
                <w:rFonts w:cs="Arial"/>
                <w:b w:val="0"/>
                <w:color w:val="000000" w:themeColor="text1"/>
                <w:sz w:val="20"/>
                <w:szCs w:val="20"/>
              </w:rPr>
              <w:t>Ministry</w:t>
            </w:r>
          </w:p>
        </w:tc>
        <w:tc>
          <w:tcPr>
            <w:tcW w:w="588" w:type="pct"/>
            <w:tcBorders>
              <w:top w:val="single" w:sz="4" w:space="0" w:color="auto"/>
            </w:tcBorders>
            <w:shd w:val="clear" w:color="auto" w:fill="auto"/>
            <w:noWrap/>
          </w:tcPr>
          <w:p w:rsidR="002B3984" w:rsidRPr="00335764" w:rsidRDefault="002B398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39.8</w:t>
            </w:r>
          </w:p>
        </w:tc>
        <w:tc>
          <w:tcPr>
            <w:tcW w:w="588" w:type="pct"/>
            <w:tcBorders>
              <w:top w:val="single" w:sz="4" w:space="0" w:color="auto"/>
            </w:tcBorders>
            <w:shd w:val="clear" w:color="auto" w:fill="D9D9D9" w:themeFill="background1" w:themeFillShade="D9"/>
            <w:noWrap/>
          </w:tcPr>
          <w:p w:rsidR="002B3984" w:rsidRPr="00335764" w:rsidRDefault="002B398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39.1</w:t>
            </w:r>
          </w:p>
        </w:tc>
        <w:tc>
          <w:tcPr>
            <w:tcW w:w="588" w:type="pct"/>
            <w:tcBorders>
              <w:top w:val="single" w:sz="4" w:space="0" w:color="auto"/>
            </w:tcBorders>
            <w:shd w:val="clear" w:color="auto" w:fill="auto"/>
          </w:tcPr>
          <w:p w:rsidR="002B3984" w:rsidRPr="00335764" w:rsidRDefault="002B398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40.8</w:t>
            </w:r>
          </w:p>
        </w:tc>
        <w:tc>
          <w:tcPr>
            <w:tcW w:w="588" w:type="pct"/>
            <w:tcBorders>
              <w:top w:val="single" w:sz="4" w:space="0" w:color="auto"/>
            </w:tcBorders>
            <w:shd w:val="clear" w:color="auto" w:fill="auto"/>
          </w:tcPr>
          <w:p w:rsidR="002B3984" w:rsidRPr="00335764" w:rsidRDefault="002B398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42.6</w:t>
            </w:r>
          </w:p>
        </w:tc>
        <w:tc>
          <w:tcPr>
            <w:tcW w:w="666" w:type="pct"/>
            <w:tcBorders>
              <w:top w:val="single" w:sz="4" w:space="0" w:color="auto"/>
            </w:tcBorders>
            <w:shd w:val="clear" w:color="auto" w:fill="D9D9D9" w:themeFill="background1" w:themeFillShade="D9"/>
            <w:noWrap/>
          </w:tcPr>
          <w:p w:rsidR="002B3984" w:rsidRPr="00335764" w:rsidRDefault="002B398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-6,35 %</w:t>
            </w:r>
          </w:p>
        </w:tc>
      </w:tr>
      <w:tr w:rsidR="000B4FCE" w:rsidRPr="00335764" w:rsidTr="00703E27">
        <w:trPr>
          <w:trHeight w:val="264"/>
        </w:trPr>
        <w:tc>
          <w:tcPr>
            <w:cnfStyle w:val="001000000000"/>
            <w:tcW w:w="1984" w:type="pct"/>
            <w:shd w:val="clear" w:color="auto" w:fill="auto"/>
            <w:noWrap/>
            <w:hideMark/>
          </w:tcPr>
          <w:p w:rsidR="000B4FCE" w:rsidRPr="00335764" w:rsidRDefault="000B4FCE" w:rsidP="00335764">
            <w:pPr>
              <w:spacing w:line="240" w:lineRule="auto"/>
              <w:jc w:val="left"/>
              <w:rPr>
                <w:rFonts w:cs="Arial"/>
                <w:b w:val="0"/>
                <w:color w:val="000000" w:themeColor="text1"/>
                <w:sz w:val="20"/>
                <w:szCs w:val="20"/>
              </w:rPr>
            </w:pPr>
            <w:r w:rsidRPr="00335764">
              <w:rPr>
                <w:rFonts w:cs="Arial"/>
                <w:b w:val="0"/>
                <w:color w:val="000000" w:themeColor="text1"/>
                <w:sz w:val="20"/>
                <w:szCs w:val="20"/>
              </w:rPr>
              <w:t>Management</w:t>
            </w:r>
          </w:p>
        </w:tc>
        <w:tc>
          <w:tcPr>
            <w:tcW w:w="588" w:type="pct"/>
            <w:shd w:val="clear" w:color="auto" w:fill="auto"/>
            <w:noWrap/>
          </w:tcPr>
          <w:p w:rsidR="000B4FCE" w:rsidRPr="00335764" w:rsidRDefault="002B3984"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63.7</w:t>
            </w:r>
          </w:p>
        </w:tc>
        <w:tc>
          <w:tcPr>
            <w:tcW w:w="588" w:type="pct"/>
            <w:shd w:val="clear" w:color="auto" w:fill="D9D9D9" w:themeFill="background1" w:themeFillShade="D9"/>
            <w:noWrap/>
          </w:tcPr>
          <w:p w:rsidR="000B4FCE" w:rsidRPr="00335764" w:rsidRDefault="002B3984"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228.6</w:t>
            </w:r>
          </w:p>
        </w:tc>
        <w:tc>
          <w:tcPr>
            <w:tcW w:w="588" w:type="pct"/>
            <w:shd w:val="clear" w:color="auto" w:fill="auto"/>
          </w:tcPr>
          <w:p w:rsidR="000B4FCE" w:rsidRPr="00335764" w:rsidRDefault="002B3984"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238.2</w:t>
            </w:r>
          </w:p>
        </w:tc>
        <w:tc>
          <w:tcPr>
            <w:tcW w:w="588" w:type="pct"/>
            <w:shd w:val="clear" w:color="auto" w:fill="auto"/>
          </w:tcPr>
          <w:p w:rsidR="000B4FCE" w:rsidRPr="00335764" w:rsidRDefault="002B3984"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247.0</w:t>
            </w:r>
          </w:p>
        </w:tc>
        <w:tc>
          <w:tcPr>
            <w:tcW w:w="666" w:type="pct"/>
            <w:shd w:val="clear" w:color="auto" w:fill="D9D9D9" w:themeFill="background1" w:themeFillShade="D9"/>
            <w:noWrap/>
          </w:tcPr>
          <w:p w:rsidR="000B4FCE" w:rsidRPr="00335764" w:rsidRDefault="000B4FCE"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242,11 %</w:t>
            </w:r>
          </w:p>
        </w:tc>
      </w:tr>
      <w:tr w:rsidR="000B4FCE" w:rsidRPr="00335764" w:rsidTr="00703E27">
        <w:trPr>
          <w:cnfStyle w:val="000000100000"/>
          <w:trHeight w:val="264"/>
        </w:trPr>
        <w:tc>
          <w:tcPr>
            <w:cnfStyle w:val="001000000000"/>
            <w:tcW w:w="1984" w:type="pct"/>
            <w:shd w:val="clear" w:color="auto" w:fill="auto"/>
            <w:noWrap/>
            <w:hideMark/>
          </w:tcPr>
          <w:p w:rsidR="000B4FCE" w:rsidRPr="00335764" w:rsidRDefault="000B4FCE" w:rsidP="00335764">
            <w:pPr>
              <w:spacing w:line="240" w:lineRule="auto"/>
              <w:jc w:val="left"/>
              <w:rPr>
                <w:rFonts w:cs="Arial"/>
                <w:b w:val="0"/>
                <w:color w:val="000000" w:themeColor="text1"/>
                <w:sz w:val="20"/>
                <w:szCs w:val="20"/>
              </w:rPr>
            </w:pPr>
            <w:r w:rsidRPr="00335764">
              <w:rPr>
                <w:rFonts w:cs="Arial"/>
                <w:b w:val="0"/>
                <w:color w:val="000000" w:themeColor="text1"/>
                <w:sz w:val="20"/>
                <w:szCs w:val="20"/>
              </w:rPr>
              <w:t xml:space="preserve">Corporate Services </w:t>
            </w:r>
          </w:p>
        </w:tc>
        <w:tc>
          <w:tcPr>
            <w:tcW w:w="588" w:type="pct"/>
            <w:shd w:val="clear" w:color="auto" w:fill="auto"/>
            <w:noWrap/>
          </w:tcPr>
          <w:p w:rsidR="000B4FCE" w:rsidRPr="00335764" w:rsidRDefault="002B398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1 077.9</w:t>
            </w:r>
          </w:p>
        </w:tc>
        <w:tc>
          <w:tcPr>
            <w:tcW w:w="588" w:type="pct"/>
            <w:shd w:val="clear" w:color="auto" w:fill="D9D9D9" w:themeFill="background1" w:themeFillShade="D9"/>
            <w:noWrap/>
          </w:tcPr>
          <w:p w:rsidR="000B4FCE" w:rsidRPr="00335764" w:rsidRDefault="002B398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854.8</w:t>
            </w:r>
          </w:p>
        </w:tc>
        <w:tc>
          <w:tcPr>
            <w:tcW w:w="588" w:type="pct"/>
            <w:shd w:val="clear" w:color="auto" w:fill="auto"/>
          </w:tcPr>
          <w:p w:rsidR="000B4FCE" w:rsidRPr="00335764" w:rsidRDefault="002B398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897.0</w:t>
            </w:r>
          </w:p>
        </w:tc>
        <w:tc>
          <w:tcPr>
            <w:tcW w:w="588" w:type="pct"/>
            <w:shd w:val="clear" w:color="auto" w:fill="auto"/>
          </w:tcPr>
          <w:p w:rsidR="000B4FCE" w:rsidRPr="00335764" w:rsidRDefault="002B398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938.1</w:t>
            </w:r>
          </w:p>
        </w:tc>
        <w:tc>
          <w:tcPr>
            <w:tcW w:w="666" w:type="pct"/>
            <w:shd w:val="clear" w:color="auto" w:fill="D9D9D9" w:themeFill="background1" w:themeFillShade="D9"/>
            <w:noWrap/>
          </w:tcPr>
          <w:p w:rsidR="000B4FCE" w:rsidRPr="00335764" w:rsidRDefault="000B4FCE"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-24,40 %</w:t>
            </w:r>
          </w:p>
        </w:tc>
      </w:tr>
      <w:tr w:rsidR="000B4FCE" w:rsidRPr="00335764" w:rsidTr="00703E27">
        <w:trPr>
          <w:trHeight w:val="264"/>
        </w:trPr>
        <w:tc>
          <w:tcPr>
            <w:cnfStyle w:val="001000000000"/>
            <w:tcW w:w="1984" w:type="pct"/>
            <w:shd w:val="clear" w:color="auto" w:fill="auto"/>
            <w:noWrap/>
            <w:hideMark/>
          </w:tcPr>
          <w:p w:rsidR="000B4FCE" w:rsidRPr="00335764" w:rsidRDefault="000B4FCE" w:rsidP="00335764">
            <w:pPr>
              <w:spacing w:line="240" w:lineRule="auto"/>
              <w:jc w:val="left"/>
              <w:rPr>
                <w:rFonts w:cs="Arial"/>
                <w:b w:val="0"/>
                <w:color w:val="000000" w:themeColor="text1"/>
                <w:sz w:val="20"/>
                <w:szCs w:val="20"/>
              </w:rPr>
            </w:pPr>
            <w:r w:rsidRPr="00335764">
              <w:rPr>
                <w:rFonts w:cs="Arial"/>
                <w:b w:val="0"/>
                <w:color w:val="000000" w:themeColor="text1"/>
                <w:sz w:val="20"/>
                <w:szCs w:val="20"/>
              </w:rPr>
              <w:t xml:space="preserve">Financial Administration </w:t>
            </w:r>
          </w:p>
        </w:tc>
        <w:tc>
          <w:tcPr>
            <w:tcW w:w="588" w:type="pct"/>
            <w:shd w:val="clear" w:color="auto" w:fill="auto"/>
            <w:noWrap/>
          </w:tcPr>
          <w:p w:rsidR="000B4FCE" w:rsidRPr="00335764" w:rsidRDefault="002B3984"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235.4</w:t>
            </w:r>
          </w:p>
        </w:tc>
        <w:tc>
          <w:tcPr>
            <w:tcW w:w="588" w:type="pct"/>
            <w:shd w:val="clear" w:color="auto" w:fill="D9D9D9" w:themeFill="background1" w:themeFillShade="D9"/>
            <w:noWrap/>
          </w:tcPr>
          <w:p w:rsidR="000B4FCE" w:rsidRPr="00335764" w:rsidRDefault="002B3984"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186.2</w:t>
            </w:r>
          </w:p>
        </w:tc>
        <w:tc>
          <w:tcPr>
            <w:tcW w:w="588" w:type="pct"/>
          </w:tcPr>
          <w:p w:rsidR="000B4FCE" w:rsidRPr="00335764" w:rsidRDefault="002B3984"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194.7</w:t>
            </w:r>
          </w:p>
        </w:tc>
        <w:tc>
          <w:tcPr>
            <w:tcW w:w="588" w:type="pct"/>
          </w:tcPr>
          <w:p w:rsidR="000B4FCE" w:rsidRPr="00335764" w:rsidRDefault="002B3984"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204.2</w:t>
            </w:r>
          </w:p>
        </w:tc>
        <w:tc>
          <w:tcPr>
            <w:tcW w:w="666" w:type="pct"/>
            <w:shd w:val="clear" w:color="auto" w:fill="D9D9D9" w:themeFill="background1" w:themeFillShade="D9"/>
            <w:noWrap/>
          </w:tcPr>
          <w:p w:rsidR="000B4FCE" w:rsidRPr="00335764" w:rsidRDefault="000B4FCE"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-24,60 %</w:t>
            </w:r>
          </w:p>
        </w:tc>
      </w:tr>
      <w:tr w:rsidR="000B4FCE" w:rsidRPr="00335764" w:rsidTr="00703E27">
        <w:trPr>
          <w:cnfStyle w:val="000000100000"/>
          <w:trHeight w:val="264"/>
        </w:trPr>
        <w:tc>
          <w:tcPr>
            <w:cnfStyle w:val="001000000000"/>
            <w:tcW w:w="1984" w:type="pct"/>
            <w:shd w:val="clear" w:color="auto" w:fill="auto"/>
            <w:noWrap/>
            <w:hideMark/>
          </w:tcPr>
          <w:p w:rsidR="000B4FCE" w:rsidRPr="00335764" w:rsidRDefault="000B4FCE" w:rsidP="00335764">
            <w:pPr>
              <w:spacing w:line="240" w:lineRule="auto"/>
              <w:jc w:val="left"/>
              <w:rPr>
                <w:rFonts w:cs="Arial"/>
                <w:b w:val="0"/>
                <w:color w:val="000000" w:themeColor="text1"/>
                <w:sz w:val="20"/>
                <w:szCs w:val="20"/>
              </w:rPr>
            </w:pPr>
            <w:r w:rsidRPr="00335764">
              <w:rPr>
                <w:rFonts w:cs="Arial"/>
                <w:b w:val="0"/>
                <w:color w:val="000000" w:themeColor="text1"/>
                <w:sz w:val="20"/>
                <w:szCs w:val="20"/>
              </w:rPr>
              <w:t>Internal Audit</w:t>
            </w:r>
          </w:p>
        </w:tc>
        <w:tc>
          <w:tcPr>
            <w:tcW w:w="588" w:type="pct"/>
            <w:shd w:val="clear" w:color="auto" w:fill="auto"/>
            <w:noWrap/>
          </w:tcPr>
          <w:p w:rsidR="000B4FCE" w:rsidRPr="00335764" w:rsidRDefault="002B398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104.9</w:t>
            </w:r>
          </w:p>
        </w:tc>
        <w:tc>
          <w:tcPr>
            <w:tcW w:w="588" w:type="pct"/>
            <w:shd w:val="clear" w:color="auto" w:fill="D9D9D9" w:themeFill="background1" w:themeFillShade="D9"/>
            <w:noWrap/>
          </w:tcPr>
          <w:p w:rsidR="000B4FCE" w:rsidRPr="00335764" w:rsidRDefault="002B398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107.5</w:t>
            </w:r>
          </w:p>
        </w:tc>
        <w:tc>
          <w:tcPr>
            <w:tcW w:w="588" w:type="pct"/>
            <w:shd w:val="clear" w:color="auto" w:fill="FFFFFF" w:themeFill="background1"/>
          </w:tcPr>
          <w:p w:rsidR="000B4FCE" w:rsidRPr="00335764" w:rsidRDefault="002B398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112.2</w:t>
            </w:r>
          </w:p>
        </w:tc>
        <w:tc>
          <w:tcPr>
            <w:tcW w:w="588" w:type="pct"/>
            <w:shd w:val="clear" w:color="auto" w:fill="FFFFFF" w:themeFill="background1"/>
          </w:tcPr>
          <w:p w:rsidR="000B4FCE" w:rsidRPr="00335764" w:rsidRDefault="002B398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117.1</w:t>
            </w:r>
          </w:p>
        </w:tc>
        <w:tc>
          <w:tcPr>
            <w:tcW w:w="666" w:type="pct"/>
            <w:shd w:val="clear" w:color="auto" w:fill="D9D9D9" w:themeFill="background1" w:themeFillShade="D9"/>
            <w:noWrap/>
          </w:tcPr>
          <w:p w:rsidR="000B4FCE" w:rsidRPr="00335764" w:rsidRDefault="000B4FCE"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-2,31 %</w:t>
            </w:r>
          </w:p>
        </w:tc>
      </w:tr>
      <w:tr w:rsidR="000B4FCE" w:rsidRPr="00335764" w:rsidTr="00703E27">
        <w:trPr>
          <w:trHeight w:val="264"/>
        </w:trPr>
        <w:tc>
          <w:tcPr>
            <w:cnfStyle w:val="001000000000"/>
            <w:tcW w:w="1984" w:type="pct"/>
            <w:shd w:val="clear" w:color="auto" w:fill="auto"/>
            <w:noWrap/>
            <w:hideMark/>
          </w:tcPr>
          <w:p w:rsidR="000B4FCE" w:rsidRPr="00335764" w:rsidRDefault="000B4FCE" w:rsidP="00335764">
            <w:pPr>
              <w:spacing w:line="240" w:lineRule="auto"/>
              <w:jc w:val="left"/>
              <w:rPr>
                <w:rFonts w:cs="Arial"/>
                <w:b w:val="0"/>
                <w:color w:val="000000" w:themeColor="text1"/>
                <w:sz w:val="20"/>
                <w:szCs w:val="20"/>
              </w:rPr>
            </w:pPr>
            <w:r w:rsidRPr="00335764">
              <w:rPr>
                <w:rFonts w:cs="Arial"/>
                <w:b w:val="0"/>
                <w:color w:val="000000" w:themeColor="text1"/>
                <w:sz w:val="20"/>
                <w:szCs w:val="20"/>
              </w:rPr>
              <w:t xml:space="preserve">Office Accommodation </w:t>
            </w:r>
          </w:p>
        </w:tc>
        <w:tc>
          <w:tcPr>
            <w:tcW w:w="588" w:type="pct"/>
            <w:shd w:val="clear" w:color="auto" w:fill="auto"/>
            <w:noWrap/>
          </w:tcPr>
          <w:p w:rsidR="000B4FCE" w:rsidRPr="00335764" w:rsidRDefault="002B3984"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1 528.2</w:t>
            </w:r>
          </w:p>
        </w:tc>
        <w:tc>
          <w:tcPr>
            <w:tcW w:w="588" w:type="pct"/>
            <w:shd w:val="clear" w:color="auto" w:fill="D9D9D9" w:themeFill="background1" w:themeFillShade="D9"/>
            <w:noWrap/>
          </w:tcPr>
          <w:p w:rsidR="000B4FCE" w:rsidRPr="00335764" w:rsidRDefault="002B3984"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1 671.7</w:t>
            </w:r>
          </w:p>
        </w:tc>
        <w:tc>
          <w:tcPr>
            <w:tcW w:w="588" w:type="pct"/>
            <w:shd w:val="clear" w:color="auto" w:fill="FFFFFF" w:themeFill="background1"/>
          </w:tcPr>
          <w:p w:rsidR="000B4FCE" w:rsidRPr="00335764" w:rsidRDefault="002B3984"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1 746.8</w:t>
            </w:r>
          </w:p>
        </w:tc>
        <w:tc>
          <w:tcPr>
            <w:tcW w:w="588" w:type="pct"/>
            <w:shd w:val="clear" w:color="auto" w:fill="FFFFFF" w:themeFill="background1"/>
          </w:tcPr>
          <w:p w:rsidR="000B4FCE" w:rsidRPr="00335764" w:rsidRDefault="002B3984"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1 825.1</w:t>
            </w:r>
          </w:p>
        </w:tc>
        <w:tc>
          <w:tcPr>
            <w:tcW w:w="666" w:type="pct"/>
            <w:shd w:val="clear" w:color="auto" w:fill="D9D9D9" w:themeFill="background1" w:themeFillShade="D9"/>
            <w:noWrap/>
          </w:tcPr>
          <w:p w:rsidR="000B4FCE" w:rsidRPr="00335764" w:rsidRDefault="000B4FCE"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4,28 %</w:t>
            </w:r>
          </w:p>
        </w:tc>
      </w:tr>
      <w:tr w:rsidR="000B4FCE" w:rsidRPr="00335764" w:rsidTr="00703E27">
        <w:trPr>
          <w:cnfStyle w:val="000000100000"/>
          <w:trHeight w:val="264"/>
        </w:trPr>
        <w:tc>
          <w:tcPr>
            <w:cnfStyle w:val="001000000000"/>
            <w:tcW w:w="1984" w:type="pct"/>
            <w:shd w:val="clear" w:color="auto" w:fill="auto"/>
            <w:noWrap/>
            <w:hideMark/>
          </w:tcPr>
          <w:p w:rsidR="000B4FCE" w:rsidRPr="00335764" w:rsidRDefault="000B4FCE" w:rsidP="00335764">
            <w:pPr>
              <w:spacing w:line="240" w:lineRule="auto"/>
              <w:jc w:val="left"/>
              <w:rPr>
                <w:rFonts w:cs="Arial"/>
                <w:color w:val="000000" w:themeColor="text1"/>
                <w:sz w:val="20"/>
                <w:szCs w:val="20"/>
              </w:rPr>
            </w:pPr>
            <w:r w:rsidRPr="00335764">
              <w:rPr>
                <w:rFonts w:cs="Arial"/>
                <w:color w:val="000000" w:themeColor="text1"/>
                <w:sz w:val="20"/>
                <w:szCs w:val="20"/>
              </w:rPr>
              <w:t>TOTAL</w:t>
            </w:r>
          </w:p>
        </w:tc>
        <w:tc>
          <w:tcPr>
            <w:tcW w:w="588" w:type="pct"/>
            <w:shd w:val="clear" w:color="auto" w:fill="auto"/>
            <w:noWrap/>
          </w:tcPr>
          <w:p w:rsidR="000B4FCE" w:rsidRPr="00335764" w:rsidRDefault="002B3984" w:rsidP="00335764">
            <w:pPr>
              <w:spacing w:line="240" w:lineRule="auto"/>
              <w:jc w:val="left"/>
              <w:cnfStyle w:val="000000100000"/>
              <w:rPr>
                <w:rFonts w:cs="Arial"/>
                <w:b/>
                <w:color w:val="000000" w:themeColor="text1"/>
                <w:sz w:val="20"/>
                <w:szCs w:val="20"/>
              </w:rPr>
            </w:pPr>
            <w:r w:rsidRPr="00335764">
              <w:rPr>
                <w:rFonts w:cs="Arial"/>
                <w:b/>
                <w:color w:val="000000" w:themeColor="text1"/>
                <w:sz w:val="20"/>
                <w:szCs w:val="20"/>
              </w:rPr>
              <w:t>3 049.8</w:t>
            </w:r>
          </w:p>
        </w:tc>
        <w:tc>
          <w:tcPr>
            <w:tcW w:w="588" w:type="pct"/>
            <w:shd w:val="clear" w:color="auto" w:fill="D9D9D9" w:themeFill="background1" w:themeFillShade="D9"/>
            <w:noWrap/>
          </w:tcPr>
          <w:p w:rsidR="000B4FCE" w:rsidRPr="00335764" w:rsidRDefault="002B3984" w:rsidP="00335764">
            <w:pPr>
              <w:spacing w:line="240" w:lineRule="auto"/>
              <w:jc w:val="left"/>
              <w:cnfStyle w:val="000000100000"/>
              <w:rPr>
                <w:rFonts w:cs="Arial"/>
                <w:b/>
                <w:color w:val="000000" w:themeColor="text1"/>
                <w:sz w:val="20"/>
                <w:szCs w:val="20"/>
              </w:rPr>
            </w:pPr>
            <w:r w:rsidRPr="00335764">
              <w:rPr>
                <w:rFonts w:cs="Arial"/>
                <w:b/>
                <w:color w:val="000000" w:themeColor="text1"/>
                <w:sz w:val="20"/>
                <w:szCs w:val="20"/>
              </w:rPr>
              <w:t>3088.0</w:t>
            </w:r>
          </w:p>
        </w:tc>
        <w:tc>
          <w:tcPr>
            <w:tcW w:w="588" w:type="pct"/>
            <w:shd w:val="clear" w:color="auto" w:fill="FFFFFF" w:themeFill="background1"/>
          </w:tcPr>
          <w:p w:rsidR="000B4FCE" w:rsidRPr="00335764" w:rsidRDefault="002B3984" w:rsidP="00335764">
            <w:pPr>
              <w:spacing w:line="240" w:lineRule="auto"/>
              <w:jc w:val="left"/>
              <w:cnfStyle w:val="000000100000"/>
              <w:rPr>
                <w:rFonts w:cs="Arial"/>
                <w:b/>
                <w:color w:val="000000" w:themeColor="text1"/>
                <w:sz w:val="20"/>
                <w:szCs w:val="20"/>
              </w:rPr>
            </w:pPr>
            <w:r w:rsidRPr="00335764">
              <w:rPr>
                <w:rFonts w:cs="Arial"/>
                <w:b/>
                <w:color w:val="000000" w:themeColor="text1"/>
                <w:sz w:val="20"/>
                <w:szCs w:val="20"/>
              </w:rPr>
              <w:t>3 229.8</w:t>
            </w:r>
          </w:p>
        </w:tc>
        <w:tc>
          <w:tcPr>
            <w:tcW w:w="588" w:type="pct"/>
            <w:shd w:val="clear" w:color="auto" w:fill="FFFFFF" w:themeFill="background1"/>
          </w:tcPr>
          <w:p w:rsidR="000B4FCE" w:rsidRPr="00335764" w:rsidRDefault="002B3984" w:rsidP="00335764">
            <w:pPr>
              <w:spacing w:line="240" w:lineRule="auto"/>
              <w:jc w:val="left"/>
              <w:cnfStyle w:val="000000100000"/>
              <w:rPr>
                <w:rFonts w:cs="Arial"/>
                <w:b/>
                <w:color w:val="000000" w:themeColor="text1"/>
                <w:sz w:val="20"/>
                <w:szCs w:val="20"/>
              </w:rPr>
            </w:pPr>
            <w:r w:rsidRPr="00335764">
              <w:rPr>
                <w:rFonts w:cs="Arial"/>
                <w:b/>
                <w:color w:val="000000" w:themeColor="text1"/>
                <w:sz w:val="20"/>
                <w:szCs w:val="20"/>
              </w:rPr>
              <w:t>3 374.0</w:t>
            </w:r>
          </w:p>
        </w:tc>
        <w:tc>
          <w:tcPr>
            <w:tcW w:w="666" w:type="pct"/>
            <w:shd w:val="clear" w:color="auto" w:fill="D9D9D9" w:themeFill="background1" w:themeFillShade="D9"/>
            <w:noWrap/>
          </w:tcPr>
          <w:p w:rsidR="000B4FCE" w:rsidRPr="00335764" w:rsidRDefault="000B4FCE" w:rsidP="00335764">
            <w:pPr>
              <w:spacing w:line="240" w:lineRule="auto"/>
              <w:jc w:val="left"/>
              <w:cnfStyle w:val="000000100000"/>
              <w:rPr>
                <w:rFonts w:cs="Arial"/>
                <w:b/>
                <w:color w:val="000000" w:themeColor="text1"/>
                <w:sz w:val="20"/>
                <w:szCs w:val="20"/>
              </w:rPr>
            </w:pPr>
            <w:r w:rsidRPr="00335764">
              <w:rPr>
                <w:rFonts w:cs="Arial"/>
                <w:b/>
                <w:color w:val="000000" w:themeColor="text1"/>
                <w:sz w:val="20"/>
                <w:szCs w:val="20"/>
              </w:rPr>
              <w:t>-3,48 %</w:t>
            </w:r>
          </w:p>
        </w:tc>
      </w:tr>
      <w:tr w:rsidR="002B3984" w:rsidRPr="00335764" w:rsidTr="00703E27">
        <w:trPr>
          <w:trHeight w:val="264"/>
        </w:trPr>
        <w:tc>
          <w:tcPr>
            <w:cnfStyle w:val="001000000000"/>
            <w:tcW w:w="1984" w:type="pct"/>
            <w:shd w:val="clear" w:color="auto" w:fill="auto"/>
            <w:noWrap/>
          </w:tcPr>
          <w:p w:rsidR="002B3984" w:rsidRPr="00335764" w:rsidRDefault="002B3984" w:rsidP="00335764">
            <w:pPr>
              <w:spacing w:line="240" w:lineRule="auto"/>
              <w:jc w:val="left"/>
              <w:rPr>
                <w:rFonts w:cs="Arial"/>
                <w:b w:val="0"/>
                <w:color w:val="000000" w:themeColor="text1"/>
                <w:sz w:val="20"/>
                <w:szCs w:val="20"/>
              </w:rPr>
            </w:pPr>
            <w:r w:rsidRPr="00335764">
              <w:rPr>
                <w:rFonts w:cs="Arial"/>
                <w:b w:val="0"/>
                <w:color w:val="000000" w:themeColor="text1"/>
                <w:sz w:val="20"/>
                <w:szCs w:val="20"/>
              </w:rPr>
              <w:t>Change to 2022 Budget estimate</w:t>
            </w:r>
          </w:p>
        </w:tc>
        <w:tc>
          <w:tcPr>
            <w:tcW w:w="588" w:type="pct"/>
            <w:shd w:val="clear" w:color="auto" w:fill="auto"/>
            <w:noWrap/>
          </w:tcPr>
          <w:p w:rsidR="002B3984" w:rsidRPr="00335764" w:rsidRDefault="002B3984"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61.0</w:t>
            </w:r>
          </w:p>
        </w:tc>
        <w:tc>
          <w:tcPr>
            <w:tcW w:w="588" w:type="pct"/>
            <w:shd w:val="clear" w:color="auto" w:fill="D9D9D9" w:themeFill="background1" w:themeFillShade="D9"/>
            <w:noWrap/>
          </w:tcPr>
          <w:p w:rsidR="002B3984" w:rsidRPr="00335764" w:rsidRDefault="002B3984"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28.6</w:t>
            </w:r>
          </w:p>
        </w:tc>
        <w:tc>
          <w:tcPr>
            <w:tcW w:w="588" w:type="pct"/>
            <w:shd w:val="clear" w:color="auto" w:fill="FFFFFF" w:themeFill="background1"/>
          </w:tcPr>
          <w:p w:rsidR="002B3984" w:rsidRPr="00335764" w:rsidRDefault="002B3984"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29.3</w:t>
            </w:r>
          </w:p>
        </w:tc>
        <w:tc>
          <w:tcPr>
            <w:tcW w:w="588" w:type="pct"/>
            <w:shd w:val="clear" w:color="auto" w:fill="FFFFFF" w:themeFill="background1"/>
          </w:tcPr>
          <w:p w:rsidR="002B3984" w:rsidRPr="00335764" w:rsidRDefault="002B3984" w:rsidP="00335764">
            <w:pPr>
              <w:spacing w:line="240" w:lineRule="auto"/>
              <w:jc w:val="left"/>
              <w:cnfStyle w:val="000000000000"/>
              <w:rPr>
                <w:rFonts w:cs="Arial"/>
                <w:b/>
                <w:color w:val="000000" w:themeColor="text1"/>
                <w:sz w:val="20"/>
                <w:szCs w:val="20"/>
              </w:rPr>
            </w:pPr>
            <w:r w:rsidRPr="00335764">
              <w:rPr>
                <w:rFonts w:cs="Arial"/>
                <w:b/>
                <w:color w:val="000000" w:themeColor="text1"/>
                <w:sz w:val="20"/>
                <w:szCs w:val="20"/>
              </w:rPr>
              <w:t>-</w:t>
            </w:r>
          </w:p>
        </w:tc>
        <w:tc>
          <w:tcPr>
            <w:tcW w:w="666" w:type="pct"/>
            <w:shd w:val="clear" w:color="auto" w:fill="D9D9D9" w:themeFill="background1" w:themeFillShade="D9"/>
            <w:noWrap/>
          </w:tcPr>
          <w:p w:rsidR="002B3984" w:rsidRPr="00335764" w:rsidRDefault="002B3984"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w:t>
            </w:r>
          </w:p>
        </w:tc>
      </w:tr>
    </w:tbl>
    <w:p w:rsidR="000C2D0A" w:rsidRPr="00335764" w:rsidRDefault="000C2D0A" w:rsidP="00335764">
      <w:pPr>
        <w:pStyle w:val="ListParagraph"/>
        <w:spacing w:line="240" w:lineRule="auto"/>
        <w:jc w:val="left"/>
        <w:rPr>
          <w:rFonts w:cs="Arial"/>
          <w:bCs/>
          <w:sz w:val="20"/>
          <w:szCs w:val="20"/>
          <w:lang w:val="en-ZA"/>
        </w:rPr>
      </w:pPr>
    </w:p>
    <w:p w:rsidR="000F459D" w:rsidRPr="00335764" w:rsidRDefault="000F459D" w:rsidP="00335764">
      <w:pPr>
        <w:pStyle w:val="ListParagraph"/>
        <w:numPr>
          <w:ilvl w:val="1"/>
          <w:numId w:val="1"/>
        </w:numPr>
        <w:spacing w:line="240" w:lineRule="auto"/>
        <w:ind w:left="851" w:hanging="851"/>
        <w:jc w:val="left"/>
        <w:rPr>
          <w:rFonts w:cs="Arial"/>
          <w:bCs/>
          <w:sz w:val="20"/>
          <w:szCs w:val="20"/>
          <w:lang w:val="en-ZA"/>
        </w:rPr>
      </w:pPr>
      <w:r w:rsidRPr="00335764">
        <w:rPr>
          <w:rFonts w:cs="Arial"/>
          <w:bCs/>
          <w:sz w:val="20"/>
          <w:szCs w:val="20"/>
          <w:lang w:val="en-ZA"/>
        </w:rPr>
        <w:t>The spending focus for the programme remains mainly on operating leases (</w:t>
      </w:r>
      <w:r w:rsidR="000B4FCE" w:rsidRPr="00335764">
        <w:rPr>
          <w:rFonts w:cs="Arial"/>
          <w:bCs/>
          <w:sz w:val="20"/>
          <w:szCs w:val="20"/>
          <w:lang w:val="en-ZA"/>
        </w:rPr>
        <w:t>R1.11 billion), personnel (R653.3</w:t>
      </w:r>
      <w:r w:rsidRPr="00335764">
        <w:rPr>
          <w:rFonts w:cs="Arial"/>
          <w:bCs/>
          <w:sz w:val="20"/>
          <w:szCs w:val="20"/>
          <w:lang w:val="en-ZA"/>
        </w:rPr>
        <w:t xml:space="preserve"> million), property payments (R540.1 million), and computer services (R</w:t>
      </w:r>
      <w:r w:rsidR="000B4FCE" w:rsidRPr="00335764">
        <w:rPr>
          <w:rFonts w:cs="Arial"/>
          <w:bCs/>
          <w:sz w:val="20"/>
          <w:szCs w:val="20"/>
          <w:lang w:val="en-ZA"/>
        </w:rPr>
        <w:t>563.9</w:t>
      </w:r>
      <w:r w:rsidRPr="00335764">
        <w:rPr>
          <w:rFonts w:cs="Arial"/>
          <w:bCs/>
          <w:sz w:val="20"/>
          <w:szCs w:val="20"/>
          <w:lang w:val="en-ZA"/>
        </w:rPr>
        <w:t xml:space="preserve"> million). </w:t>
      </w:r>
    </w:p>
    <w:p w:rsidR="007A23B7" w:rsidRPr="00335764" w:rsidRDefault="007A23B7" w:rsidP="00335764">
      <w:pPr>
        <w:spacing w:line="240" w:lineRule="auto"/>
        <w:ind w:left="862"/>
        <w:jc w:val="left"/>
        <w:rPr>
          <w:rFonts w:cs="Arial"/>
          <w:bCs/>
          <w:sz w:val="20"/>
          <w:szCs w:val="20"/>
          <w:lang w:val="en-ZA"/>
        </w:rPr>
      </w:pPr>
    </w:p>
    <w:p w:rsidR="00255B39" w:rsidRPr="00335764" w:rsidRDefault="008C71FF" w:rsidP="00335764">
      <w:pPr>
        <w:pStyle w:val="ListParagraph"/>
        <w:numPr>
          <w:ilvl w:val="1"/>
          <w:numId w:val="1"/>
        </w:numPr>
        <w:spacing w:line="240" w:lineRule="auto"/>
        <w:ind w:left="851" w:hanging="851"/>
        <w:jc w:val="left"/>
        <w:rPr>
          <w:rFonts w:cs="Arial"/>
          <w:bCs/>
          <w:sz w:val="20"/>
          <w:szCs w:val="20"/>
          <w:lang w:val="en-ZA"/>
        </w:rPr>
      </w:pPr>
      <w:r w:rsidRPr="00335764">
        <w:rPr>
          <w:rFonts w:cs="Arial"/>
          <w:bCs/>
          <w:i/>
          <w:sz w:val="20"/>
          <w:szCs w:val="20"/>
          <w:lang w:val="en-ZA"/>
        </w:rPr>
        <w:t>Personnel.</w:t>
      </w:r>
      <w:r w:rsidRPr="00335764">
        <w:rPr>
          <w:rFonts w:cs="Arial"/>
          <w:bCs/>
          <w:sz w:val="20"/>
          <w:szCs w:val="20"/>
          <w:lang w:val="en-ZA"/>
        </w:rPr>
        <w:t xml:space="preserve"> </w:t>
      </w:r>
      <w:r w:rsidR="00110A44" w:rsidRPr="00335764">
        <w:rPr>
          <w:rFonts w:cs="Arial"/>
          <w:bCs/>
          <w:sz w:val="20"/>
          <w:szCs w:val="20"/>
          <w:lang w:val="en-ZA"/>
        </w:rPr>
        <w:t xml:space="preserve">As </w:t>
      </w:r>
      <w:r w:rsidR="001E3C09" w:rsidRPr="00335764">
        <w:rPr>
          <w:rFonts w:cs="Arial"/>
          <w:bCs/>
          <w:sz w:val="20"/>
          <w:szCs w:val="20"/>
          <w:lang w:val="en-ZA"/>
        </w:rPr>
        <w:t>of</w:t>
      </w:r>
      <w:r w:rsidR="00110A44" w:rsidRPr="00335764">
        <w:rPr>
          <w:rFonts w:cs="Arial"/>
          <w:bCs/>
          <w:sz w:val="20"/>
          <w:szCs w:val="20"/>
          <w:lang w:val="en-ZA"/>
        </w:rPr>
        <w:t xml:space="preserve"> 1 January 2023, t</w:t>
      </w:r>
      <w:r w:rsidR="00B16A2F" w:rsidRPr="00335764">
        <w:rPr>
          <w:rFonts w:cs="Arial"/>
          <w:bCs/>
          <w:sz w:val="20"/>
          <w:szCs w:val="20"/>
          <w:lang w:val="en-ZA"/>
        </w:rPr>
        <w:t>he Administration programme had</w:t>
      </w:r>
      <w:r w:rsidR="000F459D" w:rsidRPr="00335764">
        <w:rPr>
          <w:rFonts w:cs="Arial"/>
          <w:bCs/>
          <w:sz w:val="20"/>
          <w:szCs w:val="20"/>
          <w:lang w:val="en-ZA"/>
        </w:rPr>
        <w:t xml:space="preserve"> 1</w:t>
      </w:r>
      <w:r w:rsidRPr="00335764">
        <w:rPr>
          <w:rFonts w:cs="Arial"/>
          <w:bCs/>
          <w:sz w:val="20"/>
          <w:szCs w:val="20"/>
          <w:lang w:val="en-ZA"/>
        </w:rPr>
        <w:t xml:space="preserve"> 1</w:t>
      </w:r>
      <w:r w:rsidR="000B4FCE" w:rsidRPr="00335764">
        <w:rPr>
          <w:rFonts w:cs="Arial"/>
          <w:bCs/>
          <w:sz w:val="20"/>
          <w:szCs w:val="20"/>
          <w:lang w:val="en-ZA"/>
        </w:rPr>
        <w:t>5</w:t>
      </w:r>
      <w:r w:rsidRPr="00335764">
        <w:rPr>
          <w:rFonts w:cs="Arial"/>
          <w:bCs/>
          <w:sz w:val="20"/>
          <w:szCs w:val="20"/>
          <w:lang w:val="en-ZA"/>
        </w:rPr>
        <w:t xml:space="preserve">6 posts, </w:t>
      </w:r>
      <w:r w:rsidR="000F459D" w:rsidRPr="00335764">
        <w:rPr>
          <w:rFonts w:cs="Arial"/>
          <w:bCs/>
          <w:sz w:val="20"/>
          <w:szCs w:val="20"/>
          <w:lang w:val="en-ZA"/>
        </w:rPr>
        <w:t>of which 1</w:t>
      </w:r>
      <w:r w:rsidR="000B4FCE" w:rsidRPr="00335764">
        <w:rPr>
          <w:rFonts w:cs="Arial"/>
          <w:bCs/>
          <w:sz w:val="20"/>
          <w:szCs w:val="20"/>
          <w:lang w:val="en-ZA"/>
        </w:rPr>
        <w:t>36</w:t>
      </w:r>
      <w:r w:rsidR="007A23B7" w:rsidRPr="00335764">
        <w:rPr>
          <w:rFonts w:cs="Arial"/>
          <w:bCs/>
          <w:sz w:val="20"/>
          <w:szCs w:val="20"/>
          <w:lang w:val="en-ZA"/>
        </w:rPr>
        <w:t xml:space="preserve"> are currently vacant</w:t>
      </w:r>
      <w:r w:rsidR="00110A44" w:rsidRPr="00335764">
        <w:rPr>
          <w:rFonts w:cs="Arial"/>
          <w:bCs/>
          <w:sz w:val="20"/>
          <w:szCs w:val="20"/>
          <w:lang w:val="en-ZA"/>
        </w:rPr>
        <w:t xml:space="preserve"> (with a vacancy rate of </w:t>
      </w:r>
      <w:r w:rsidR="00255B39" w:rsidRPr="00335764">
        <w:rPr>
          <w:rFonts w:cs="Arial"/>
          <w:bCs/>
          <w:sz w:val="20"/>
          <w:szCs w:val="20"/>
          <w:lang w:val="en-ZA"/>
        </w:rPr>
        <w:t>11.8%</w:t>
      </w:r>
      <w:r w:rsidR="00110A44" w:rsidRPr="00335764">
        <w:rPr>
          <w:rFonts w:cs="Arial"/>
          <w:bCs/>
          <w:sz w:val="20"/>
          <w:szCs w:val="20"/>
          <w:lang w:val="en-ZA"/>
        </w:rPr>
        <w:t>).</w:t>
      </w:r>
    </w:p>
    <w:p w:rsidR="00BC2D5E" w:rsidRPr="00335764" w:rsidRDefault="00BC2D5E" w:rsidP="00335764">
      <w:pPr>
        <w:pStyle w:val="ListParagraph"/>
        <w:spacing w:line="240" w:lineRule="auto"/>
        <w:ind w:left="851"/>
        <w:jc w:val="left"/>
        <w:rPr>
          <w:rFonts w:cs="Arial"/>
          <w:b/>
          <w:bCs/>
          <w:sz w:val="20"/>
          <w:szCs w:val="20"/>
          <w:lang w:val="en-ZA"/>
        </w:rPr>
      </w:pPr>
    </w:p>
    <w:p w:rsidR="0040044F" w:rsidRPr="00335764" w:rsidRDefault="0040044F" w:rsidP="00335764">
      <w:pPr>
        <w:numPr>
          <w:ilvl w:val="0"/>
          <w:numId w:val="1"/>
        </w:numPr>
        <w:tabs>
          <w:tab w:val="clear" w:pos="375"/>
          <w:tab w:val="num" w:pos="851"/>
        </w:tabs>
        <w:spacing w:line="240" w:lineRule="auto"/>
        <w:ind w:left="851" w:hanging="851"/>
        <w:jc w:val="left"/>
        <w:rPr>
          <w:rFonts w:cs="Arial"/>
          <w:b/>
          <w:bCs/>
          <w:sz w:val="20"/>
          <w:szCs w:val="20"/>
          <w:lang w:val="en-ZA"/>
        </w:rPr>
      </w:pPr>
      <w:r w:rsidRPr="00335764">
        <w:rPr>
          <w:rFonts w:cs="Arial"/>
          <w:b/>
          <w:bCs/>
          <w:sz w:val="20"/>
          <w:szCs w:val="20"/>
          <w:lang w:val="en-US"/>
        </w:rPr>
        <w:t>Programme 2: Court Services</w:t>
      </w:r>
    </w:p>
    <w:p w:rsidR="008245CD" w:rsidRPr="00335764" w:rsidRDefault="00110A44" w:rsidP="00335764">
      <w:pPr>
        <w:pStyle w:val="ListParagraph"/>
        <w:spacing w:line="240" w:lineRule="auto"/>
        <w:jc w:val="left"/>
        <w:rPr>
          <w:rFonts w:cs="Arial"/>
          <w:b/>
          <w:bCs/>
          <w:sz w:val="20"/>
          <w:szCs w:val="20"/>
          <w:lang w:val="en-ZA"/>
        </w:rPr>
      </w:pPr>
      <w:r w:rsidRPr="00335764">
        <w:rPr>
          <w:rFonts w:cs="Arial"/>
          <w:b/>
          <w:bCs/>
          <w:sz w:val="20"/>
          <w:szCs w:val="20"/>
          <w:lang w:val="en-ZA"/>
        </w:rPr>
        <w:t>-</w:t>
      </w:r>
    </w:p>
    <w:p w:rsidR="00CC34D3" w:rsidRPr="00335764" w:rsidRDefault="00CC34D3" w:rsidP="00335764">
      <w:pPr>
        <w:pStyle w:val="ListParagraph"/>
        <w:numPr>
          <w:ilvl w:val="1"/>
          <w:numId w:val="1"/>
        </w:numPr>
        <w:spacing w:line="240" w:lineRule="auto"/>
        <w:ind w:left="851" w:hanging="851"/>
        <w:jc w:val="left"/>
        <w:rPr>
          <w:rFonts w:cs="Arial"/>
          <w:bCs/>
          <w:sz w:val="20"/>
          <w:szCs w:val="20"/>
          <w:lang w:val="en-ZA"/>
        </w:rPr>
      </w:pPr>
      <w:r w:rsidRPr="00335764">
        <w:rPr>
          <w:rFonts w:cs="Arial"/>
          <w:bCs/>
          <w:sz w:val="20"/>
          <w:szCs w:val="20"/>
          <w:lang w:val="en-ZA"/>
        </w:rPr>
        <w:lastRenderedPageBreak/>
        <w:t>The Court Services programme facilit</w:t>
      </w:r>
      <w:r w:rsidR="004D5129" w:rsidRPr="00335764">
        <w:rPr>
          <w:rFonts w:cs="Arial"/>
          <w:bCs/>
          <w:sz w:val="20"/>
          <w:szCs w:val="20"/>
          <w:lang w:val="en-ZA"/>
        </w:rPr>
        <w:t>ates the resolution of criminal</w:t>
      </w:r>
      <w:r w:rsidRPr="00335764">
        <w:rPr>
          <w:rFonts w:cs="Arial"/>
          <w:bCs/>
          <w:sz w:val="20"/>
          <w:szCs w:val="20"/>
          <w:lang w:val="en-ZA"/>
        </w:rPr>
        <w:t xml:space="preserve"> and civil cases, and family law disputes, by providing accessible, efficient and quality administrative support to the courts and to manage court facilities. </w:t>
      </w:r>
    </w:p>
    <w:p w:rsidR="00570B74" w:rsidRPr="00335764" w:rsidRDefault="00570B74" w:rsidP="00335764">
      <w:pPr>
        <w:spacing w:line="240" w:lineRule="auto"/>
        <w:ind w:left="862"/>
        <w:jc w:val="left"/>
        <w:rPr>
          <w:rFonts w:cs="Arial"/>
          <w:bCs/>
          <w:sz w:val="20"/>
          <w:szCs w:val="20"/>
          <w:lang w:val="en-ZA"/>
        </w:rPr>
      </w:pPr>
    </w:p>
    <w:p w:rsidR="00570B74" w:rsidRPr="00335764" w:rsidRDefault="00570B74" w:rsidP="00335764">
      <w:pPr>
        <w:pStyle w:val="ListParagraph"/>
        <w:numPr>
          <w:ilvl w:val="1"/>
          <w:numId w:val="1"/>
        </w:numPr>
        <w:spacing w:line="240" w:lineRule="auto"/>
        <w:ind w:left="851" w:hanging="851"/>
        <w:jc w:val="left"/>
        <w:rPr>
          <w:rFonts w:cs="Arial"/>
          <w:bCs/>
          <w:sz w:val="20"/>
          <w:szCs w:val="20"/>
          <w:lang w:val="en-ZA"/>
        </w:rPr>
      </w:pPr>
      <w:r w:rsidRPr="00335764">
        <w:rPr>
          <w:rFonts w:cs="Arial"/>
          <w:bCs/>
          <w:sz w:val="20"/>
          <w:szCs w:val="20"/>
          <w:lang w:val="en-ZA"/>
        </w:rPr>
        <w:t>The Court Services programme is focused on two key outcomes:</w:t>
      </w:r>
      <w:r w:rsidR="00B16A2F" w:rsidRPr="00335764">
        <w:rPr>
          <w:rFonts w:cs="Arial"/>
          <w:bCs/>
          <w:sz w:val="20"/>
          <w:szCs w:val="20"/>
          <w:lang w:val="en-ZA"/>
        </w:rPr>
        <w:t xml:space="preserve"> ‘</w:t>
      </w:r>
      <w:r w:rsidRPr="00335764">
        <w:rPr>
          <w:rFonts w:cs="Arial"/>
          <w:bCs/>
          <w:sz w:val="20"/>
          <w:szCs w:val="20"/>
          <w:lang w:val="en-US"/>
        </w:rPr>
        <w:t>Increased access to justice servic</w:t>
      </w:r>
      <w:r w:rsidR="00B16A2F" w:rsidRPr="00335764">
        <w:rPr>
          <w:rFonts w:cs="Arial"/>
          <w:bCs/>
          <w:sz w:val="20"/>
          <w:szCs w:val="20"/>
          <w:lang w:val="en-US"/>
        </w:rPr>
        <w:t>es’; and ‘</w:t>
      </w:r>
      <w:r w:rsidRPr="00335764">
        <w:rPr>
          <w:rFonts w:cs="Arial"/>
          <w:bCs/>
          <w:sz w:val="20"/>
          <w:szCs w:val="20"/>
          <w:lang w:val="en-US"/>
        </w:rPr>
        <w:t>C</w:t>
      </w:r>
      <w:r w:rsidRPr="00335764">
        <w:rPr>
          <w:rFonts w:cs="Arial"/>
          <w:bCs/>
          <w:sz w:val="20"/>
          <w:szCs w:val="20"/>
          <w:lang w:val="en-ZA"/>
        </w:rPr>
        <w:t>rime and corruption reduced through effective prosecution</w:t>
      </w:r>
      <w:r w:rsidR="00B16A2F" w:rsidRPr="00335764">
        <w:rPr>
          <w:rFonts w:cs="Arial"/>
          <w:bCs/>
          <w:sz w:val="20"/>
          <w:szCs w:val="20"/>
          <w:lang w:val="en-ZA"/>
        </w:rPr>
        <w:t>’</w:t>
      </w:r>
      <w:r w:rsidRPr="00335764">
        <w:rPr>
          <w:rFonts w:cs="Arial"/>
          <w:bCs/>
          <w:sz w:val="20"/>
          <w:szCs w:val="20"/>
          <w:lang w:val="en-ZA"/>
        </w:rPr>
        <w:t>.</w:t>
      </w:r>
    </w:p>
    <w:p w:rsidR="00570B74" w:rsidRPr="00335764" w:rsidRDefault="00570B74" w:rsidP="00335764">
      <w:pPr>
        <w:spacing w:line="240" w:lineRule="auto"/>
        <w:jc w:val="left"/>
        <w:rPr>
          <w:rFonts w:cs="Arial"/>
          <w:bCs/>
          <w:sz w:val="20"/>
          <w:szCs w:val="20"/>
          <w:lang w:val="en-ZA"/>
        </w:rPr>
      </w:pPr>
    </w:p>
    <w:p w:rsidR="000B6FB4" w:rsidRPr="00335764" w:rsidRDefault="00DD6BBE" w:rsidP="00335764">
      <w:pPr>
        <w:pStyle w:val="ListParagraph"/>
        <w:numPr>
          <w:ilvl w:val="1"/>
          <w:numId w:val="1"/>
        </w:numPr>
        <w:spacing w:line="240" w:lineRule="auto"/>
        <w:ind w:left="851" w:hanging="851"/>
        <w:jc w:val="left"/>
        <w:rPr>
          <w:rFonts w:cs="Arial"/>
          <w:bCs/>
          <w:sz w:val="20"/>
          <w:szCs w:val="20"/>
          <w:lang w:val="en-ZA"/>
        </w:rPr>
      </w:pPr>
      <w:r w:rsidRPr="00335764">
        <w:rPr>
          <w:rFonts w:eastAsia="Calibri" w:cs="Arial"/>
          <w:sz w:val="20"/>
          <w:szCs w:val="20"/>
        </w:rPr>
        <w:t>Court</w:t>
      </w:r>
      <w:r w:rsidRPr="00335764">
        <w:rPr>
          <w:rFonts w:cs="Arial"/>
          <w:bCs/>
          <w:sz w:val="20"/>
          <w:szCs w:val="20"/>
          <w:lang w:val="en-ZA"/>
        </w:rPr>
        <w:t xml:space="preserve"> Services is allocated R</w:t>
      </w:r>
      <w:r w:rsidR="00626BDB" w:rsidRPr="00335764">
        <w:rPr>
          <w:rFonts w:cs="Arial"/>
          <w:bCs/>
          <w:sz w:val="20"/>
          <w:szCs w:val="20"/>
          <w:lang w:val="en-ZA"/>
        </w:rPr>
        <w:t>6.</w:t>
      </w:r>
      <w:r w:rsidR="00E43A06" w:rsidRPr="00335764">
        <w:rPr>
          <w:rFonts w:cs="Arial"/>
          <w:bCs/>
          <w:sz w:val="20"/>
          <w:szCs w:val="20"/>
          <w:lang w:val="en-ZA"/>
        </w:rPr>
        <w:t>8 billion in 2023</w:t>
      </w:r>
      <w:r w:rsidR="00626BDB" w:rsidRPr="00335764">
        <w:rPr>
          <w:rFonts w:cs="Arial"/>
          <w:bCs/>
          <w:sz w:val="20"/>
          <w:szCs w:val="20"/>
          <w:lang w:val="en-ZA"/>
        </w:rPr>
        <w:t>/2</w:t>
      </w:r>
      <w:r w:rsidR="00E43A06" w:rsidRPr="00335764">
        <w:rPr>
          <w:rFonts w:cs="Arial"/>
          <w:bCs/>
          <w:sz w:val="20"/>
          <w:szCs w:val="20"/>
          <w:lang w:val="en-ZA"/>
        </w:rPr>
        <w:t>4</w:t>
      </w:r>
      <w:r w:rsidR="00626BDB" w:rsidRPr="00335764">
        <w:rPr>
          <w:rFonts w:cs="Arial"/>
          <w:bCs/>
          <w:sz w:val="20"/>
          <w:szCs w:val="20"/>
          <w:lang w:val="en-ZA"/>
        </w:rPr>
        <w:t xml:space="preserve">, </w:t>
      </w:r>
      <w:r w:rsidR="009732C5" w:rsidRPr="00335764">
        <w:rPr>
          <w:rFonts w:cs="Arial"/>
          <w:bCs/>
          <w:sz w:val="20"/>
          <w:szCs w:val="20"/>
          <w:lang w:val="en-ZA"/>
        </w:rPr>
        <w:t xml:space="preserve">compared with </w:t>
      </w:r>
      <w:r w:rsidR="00626BDB" w:rsidRPr="00335764">
        <w:rPr>
          <w:rFonts w:cs="Arial"/>
          <w:bCs/>
          <w:sz w:val="20"/>
          <w:szCs w:val="20"/>
          <w:lang w:val="en-ZA"/>
        </w:rPr>
        <w:t>an adjusted budget of R</w:t>
      </w:r>
      <w:r w:rsidR="00E43A06" w:rsidRPr="00335764">
        <w:rPr>
          <w:rFonts w:cs="Arial"/>
          <w:bCs/>
          <w:sz w:val="20"/>
          <w:szCs w:val="20"/>
          <w:lang w:val="en-ZA"/>
        </w:rPr>
        <w:t>7.0</w:t>
      </w:r>
      <w:r w:rsidR="00626BDB" w:rsidRPr="00335764">
        <w:rPr>
          <w:rFonts w:cs="Arial"/>
          <w:bCs/>
          <w:sz w:val="20"/>
          <w:szCs w:val="20"/>
          <w:lang w:val="en-ZA"/>
        </w:rPr>
        <w:t xml:space="preserve"> billion in 202</w:t>
      </w:r>
      <w:r w:rsidR="00E43A06" w:rsidRPr="00335764">
        <w:rPr>
          <w:rFonts w:cs="Arial"/>
          <w:bCs/>
          <w:sz w:val="20"/>
          <w:szCs w:val="20"/>
          <w:lang w:val="en-ZA"/>
        </w:rPr>
        <w:t>2</w:t>
      </w:r>
      <w:r w:rsidR="00626BDB" w:rsidRPr="00335764">
        <w:rPr>
          <w:rFonts w:cs="Arial"/>
          <w:bCs/>
          <w:sz w:val="20"/>
          <w:szCs w:val="20"/>
          <w:lang w:val="en-ZA"/>
        </w:rPr>
        <w:t>/2</w:t>
      </w:r>
      <w:r w:rsidR="00E43A06" w:rsidRPr="00335764">
        <w:rPr>
          <w:rFonts w:cs="Arial"/>
          <w:bCs/>
          <w:sz w:val="20"/>
          <w:szCs w:val="20"/>
          <w:lang w:val="en-ZA"/>
        </w:rPr>
        <w:t>3</w:t>
      </w:r>
      <w:r w:rsidRPr="00335764">
        <w:rPr>
          <w:rFonts w:cs="Arial"/>
          <w:bCs/>
          <w:sz w:val="20"/>
          <w:szCs w:val="20"/>
          <w:lang w:val="en-ZA"/>
        </w:rPr>
        <w:t xml:space="preserve">. </w:t>
      </w:r>
    </w:p>
    <w:p w:rsidR="000B6FB4" w:rsidRPr="00335764" w:rsidRDefault="000B6FB4" w:rsidP="00335764">
      <w:pPr>
        <w:spacing w:line="240" w:lineRule="auto"/>
        <w:ind w:left="862"/>
        <w:jc w:val="left"/>
        <w:rPr>
          <w:rFonts w:cs="Arial"/>
          <w:bCs/>
          <w:sz w:val="20"/>
          <w:szCs w:val="20"/>
          <w:lang w:val="en-ZA"/>
        </w:rPr>
      </w:pPr>
    </w:p>
    <w:p w:rsidR="00D20054" w:rsidRPr="00335764" w:rsidRDefault="00DD6BBE" w:rsidP="00335764">
      <w:pPr>
        <w:pStyle w:val="ListParagraph"/>
        <w:numPr>
          <w:ilvl w:val="1"/>
          <w:numId w:val="1"/>
        </w:numPr>
        <w:spacing w:line="240" w:lineRule="auto"/>
        <w:ind w:left="851" w:hanging="851"/>
        <w:jc w:val="left"/>
        <w:rPr>
          <w:rFonts w:cs="Arial"/>
          <w:bCs/>
          <w:sz w:val="20"/>
          <w:szCs w:val="20"/>
          <w:lang w:val="en-ZA"/>
        </w:rPr>
      </w:pPr>
      <w:r w:rsidRPr="00335764">
        <w:rPr>
          <w:rFonts w:cs="Arial"/>
          <w:bCs/>
          <w:sz w:val="20"/>
          <w:szCs w:val="20"/>
          <w:lang w:val="en-ZA"/>
        </w:rPr>
        <w:t>Overall</w:t>
      </w:r>
      <w:r w:rsidR="00815C10" w:rsidRPr="00335764">
        <w:rPr>
          <w:rFonts w:cs="Arial"/>
          <w:bCs/>
          <w:sz w:val="20"/>
          <w:szCs w:val="20"/>
          <w:lang w:val="en-ZA"/>
        </w:rPr>
        <w:t>,</w:t>
      </w:r>
      <w:r w:rsidRPr="00335764">
        <w:rPr>
          <w:rFonts w:cs="Arial"/>
          <w:bCs/>
          <w:sz w:val="20"/>
          <w:szCs w:val="20"/>
          <w:lang w:val="en-ZA"/>
        </w:rPr>
        <w:t xml:space="preserve"> the allocation to this programme </w:t>
      </w:r>
      <w:r w:rsidR="00626BDB" w:rsidRPr="00335764">
        <w:rPr>
          <w:rFonts w:cs="Arial"/>
          <w:bCs/>
          <w:sz w:val="20"/>
          <w:szCs w:val="20"/>
          <w:lang w:val="en-ZA"/>
        </w:rPr>
        <w:t>decreases in real terms by -</w:t>
      </w:r>
      <w:r w:rsidR="00E43A06" w:rsidRPr="00335764">
        <w:rPr>
          <w:rFonts w:cs="Arial"/>
          <w:bCs/>
          <w:sz w:val="20"/>
          <w:szCs w:val="20"/>
          <w:lang w:val="en-ZA"/>
        </w:rPr>
        <w:t>8.2%</w:t>
      </w:r>
      <w:r w:rsidRPr="00335764">
        <w:rPr>
          <w:rFonts w:cs="Arial"/>
          <w:bCs/>
          <w:sz w:val="20"/>
          <w:szCs w:val="20"/>
          <w:lang w:val="en-ZA"/>
        </w:rPr>
        <w:t xml:space="preserve"> from 20</w:t>
      </w:r>
      <w:r w:rsidR="00626BDB" w:rsidRPr="00335764">
        <w:rPr>
          <w:rFonts w:cs="Arial"/>
          <w:bCs/>
          <w:sz w:val="20"/>
          <w:szCs w:val="20"/>
          <w:lang w:val="en-ZA"/>
        </w:rPr>
        <w:t>2</w:t>
      </w:r>
      <w:r w:rsidR="00E43A06" w:rsidRPr="00335764">
        <w:rPr>
          <w:rFonts w:cs="Arial"/>
          <w:bCs/>
          <w:sz w:val="20"/>
          <w:szCs w:val="20"/>
          <w:lang w:val="en-ZA"/>
        </w:rPr>
        <w:t>2/23.</w:t>
      </w:r>
      <w:r w:rsidRPr="00335764">
        <w:rPr>
          <w:rFonts w:cs="Arial"/>
          <w:bCs/>
          <w:sz w:val="20"/>
          <w:szCs w:val="20"/>
          <w:lang w:val="en-ZA"/>
        </w:rPr>
        <w:t xml:space="preserve"> </w:t>
      </w:r>
      <w:r w:rsidR="00D20054" w:rsidRPr="00335764">
        <w:rPr>
          <w:rFonts w:cs="Arial"/>
          <w:bCs/>
          <w:sz w:val="20"/>
          <w:szCs w:val="20"/>
          <w:lang w:val="en-ZA"/>
        </w:rPr>
        <w:t>The most</w:t>
      </w:r>
      <w:r w:rsidR="00E43A06" w:rsidRPr="00335764">
        <w:rPr>
          <w:rFonts w:cs="Arial"/>
          <w:bCs/>
          <w:sz w:val="20"/>
          <w:szCs w:val="20"/>
          <w:lang w:val="en-ZA"/>
        </w:rPr>
        <w:t xml:space="preserve"> significant real decrease of -9.6% </w:t>
      </w:r>
      <w:r w:rsidR="00D20054" w:rsidRPr="00335764">
        <w:rPr>
          <w:rFonts w:cs="Arial"/>
          <w:bCs/>
          <w:sz w:val="20"/>
          <w:szCs w:val="20"/>
          <w:lang w:val="en-ZA"/>
        </w:rPr>
        <w:t xml:space="preserve">is </w:t>
      </w:r>
      <w:r w:rsidR="00E43A06" w:rsidRPr="00335764">
        <w:rPr>
          <w:rFonts w:cs="Arial"/>
          <w:bCs/>
          <w:sz w:val="20"/>
          <w:szCs w:val="20"/>
          <w:lang w:val="en-ZA"/>
        </w:rPr>
        <w:t xml:space="preserve">found in </w:t>
      </w:r>
      <w:r w:rsidR="00D20054" w:rsidRPr="00335764">
        <w:rPr>
          <w:rFonts w:cs="Arial"/>
          <w:bCs/>
          <w:sz w:val="20"/>
          <w:szCs w:val="20"/>
          <w:lang w:val="en-ZA"/>
        </w:rPr>
        <w:t xml:space="preserve">the </w:t>
      </w:r>
      <w:r w:rsidR="00E43A06" w:rsidRPr="00335764">
        <w:rPr>
          <w:rFonts w:cs="Arial"/>
          <w:bCs/>
          <w:sz w:val="20"/>
          <w:szCs w:val="20"/>
          <w:lang w:val="en-ZA"/>
        </w:rPr>
        <w:t xml:space="preserve">Lower Courts </w:t>
      </w:r>
      <w:r w:rsidR="00D20054" w:rsidRPr="00335764">
        <w:rPr>
          <w:rFonts w:cs="Arial"/>
          <w:bCs/>
          <w:sz w:val="20"/>
          <w:szCs w:val="20"/>
          <w:lang w:val="en-ZA"/>
        </w:rPr>
        <w:t>sub</w:t>
      </w:r>
      <w:r w:rsidR="00110A44" w:rsidRPr="00335764">
        <w:rPr>
          <w:rFonts w:cs="Arial"/>
          <w:bCs/>
          <w:sz w:val="20"/>
          <w:szCs w:val="20"/>
          <w:lang w:val="en-ZA"/>
        </w:rPr>
        <w:t>-</w:t>
      </w:r>
      <w:r w:rsidR="00D20054" w:rsidRPr="00335764">
        <w:rPr>
          <w:rFonts w:cs="Arial"/>
          <w:bCs/>
          <w:sz w:val="20"/>
          <w:szCs w:val="20"/>
          <w:lang w:val="en-ZA"/>
        </w:rPr>
        <w:t xml:space="preserve">programme, which </w:t>
      </w:r>
      <w:r w:rsidR="000B6FB4" w:rsidRPr="00335764">
        <w:rPr>
          <w:rFonts w:cs="Arial"/>
          <w:bCs/>
          <w:sz w:val="20"/>
          <w:szCs w:val="20"/>
          <w:lang w:val="en-ZA"/>
        </w:rPr>
        <w:t>funds the activities and operations of the 2 147 regional and courts in South Africa</w:t>
      </w:r>
      <w:r w:rsidR="00D20054" w:rsidRPr="00335764">
        <w:rPr>
          <w:rFonts w:cs="Arial"/>
          <w:bCs/>
          <w:sz w:val="20"/>
          <w:szCs w:val="20"/>
          <w:lang w:val="en-ZA"/>
        </w:rPr>
        <w:t>.</w:t>
      </w:r>
    </w:p>
    <w:p w:rsidR="00815C10" w:rsidRPr="00335764" w:rsidRDefault="00815C10" w:rsidP="00335764">
      <w:pPr>
        <w:spacing w:line="240" w:lineRule="auto"/>
        <w:ind w:left="862"/>
        <w:jc w:val="left"/>
        <w:rPr>
          <w:rFonts w:cs="Arial"/>
          <w:bCs/>
          <w:sz w:val="20"/>
          <w:szCs w:val="20"/>
          <w:lang w:val="en-ZA"/>
        </w:rPr>
      </w:pPr>
    </w:p>
    <w:p w:rsidR="00815C10" w:rsidRPr="00335764" w:rsidRDefault="00815C10" w:rsidP="00335764">
      <w:pPr>
        <w:spacing w:line="240" w:lineRule="auto"/>
        <w:jc w:val="left"/>
        <w:rPr>
          <w:rFonts w:cs="Arial"/>
          <w:b/>
          <w:bCs/>
          <w:sz w:val="20"/>
          <w:szCs w:val="20"/>
          <w:lang w:val="en-ZA"/>
        </w:rPr>
      </w:pPr>
      <w:r w:rsidRPr="00335764">
        <w:rPr>
          <w:rFonts w:cs="Arial"/>
          <w:b/>
          <w:bCs/>
          <w:sz w:val="20"/>
          <w:szCs w:val="20"/>
          <w:lang w:val="en-ZA"/>
        </w:rPr>
        <w:t>Court Services:</w:t>
      </w:r>
      <w:r w:rsidR="00E43A06" w:rsidRPr="00335764">
        <w:rPr>
          <w:rFonts w:cs="Arial"/>
          <w:b/>
          <w:bCs/>
          <w:sz w:val="20"/>
          <w:szCs w:val="20"/>
          <w:lang w:val="en-ZA"/>
        </w:rPr>
        <w:t xml:space="preserve"> Budget 2023 MTEF</w:t>
      </w:r>
      <w:r w:rsidRPr="00335764">
        <w:rPr>
          <w:rFonts w:cs="Arial"/>
          <w:b/>
          <w:bCs/>
          <w:sz w:val="20"/>
          <w:szCs w:val="20"/>
          <w:lang w:val="en-ZA"/>
        </w:rPr>
        <w:t>, including real percent change</w:t>
      </w: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1197"/>
        <w:gridCol w:w="1232"/>
        <w:gridCol w:w="1045"/>
        <w:gridCol w:w="1045"/>
        <w:gridCol w:w="1543"/>
      </w:tblGrid>
      <w:tr w:rsidR="00BC2D5E" w:rsidRPr="00335764" w:rsidTr="00BC2D5E">
        <w:trPr>
          <w:cnfStyle w:val="100000000000"/>
          <w:trHeight w:val="765"/>
          <w:tblHeader/>
        </w:trPr>
        <w:tc>
          <w:tcPr>
            <w:cnfStyle w:val="001000000000"/>
            <w:tcW w:w="3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BC2D5E" w:rsidRPr="00335764" w:rsidRDefault="00BC2D5E" w:rsidP="00335764">
            <w:pPr>
              <w:spacing w:line="240" w:lineRule="auto"/>
              <w:jc w:val="left"/>
              <w:rPr>
                <w:rFonts w:eastAsia="Calibri" w:cs="Arial"/>
                <w:bCs w:val="0"/>
                <w:sz w:val="20"/>
                <w:szCs w:val="20"/>
              </w:rPr>
            </w:pPr>
            <w:r w:rsidRPr="00335764">
              <w:rPr>
                <w:rFonts w:eastAsia="Calibri" w:cs="Arial"/>
                <w:bCs w:val="0"/>
                <w:sz w:val="20"/>
                <w:szCs w:val="20"/>
              </w:rPr>
              <w:t>Sub-programme</w:t>
            </w:r>
          </w:p>
        </w:tc>
        <w:tc>
          <w:tcPr>
            <w:tcW w:w="4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2D5E" w:rsidRPr="00335764" w:rsidRDefault="00BC2D5E" w:rsidP="00335764">
            <w:pPr>
              <w:spacing w:line="240" w:lineRule="auto"/>
              <w:jc w:val="left"/>
              <w:cnfStyle w:val="100000000000"/>
              <w:rPr>
                <w:rFonts w:eastAsia="Calibri" w:cs="Arial"/>
                <w:bCs w:val="0"/>
                <w:sz w:val="20"/>
                <w:szCs w:val="20"/>
              </w:rPr>
            </w:pPr>
            <w:r w:rsidRPr="00335764">
              <w:rPr>
                <w:rFonts w:eastAsia="Calibri" w:cs="Arial"/>
                <w:bCs w:val="0"/>
                <w:sz w:val="20"/>
                <w:szCs w:val="20"/>
              </w:rPr>
              <w:t>Budget</w:t>
            </w:r>
          </w:p>
          <w:p w:rsidR="00BC2D5E" w:rsidRPr="00335764" w:rsidRDefault="00BC2D5E" w:rsidP="00335764">
            <w:pPr>
              <w:spacing w:line="240" w:lineRule="auto"/>
              <w:jc w:val="left"/>
              <w:cnfStyle w:val="100000000000"/>
              <w:rPr>
                <w:rFonts w:eastAsia="Calibri" w:cs="Arial"/>
                <w:bCs w:val="0"/>
                <w:sz w:val="20"/>
                <w:szCs w:val="20"/>
              </w:rPr>
            </w:pPr>
            <w:r w:rsidRPr="00335764">
              <w:rPr>
                <w:rFonts w:eastAsia="Calibri" w:cs="Arial"/>
                <w:bCs w:val="0"/>
                <w:sz w:val="20"/>
                <w:szCs w:val="20"/>
              </w:rPr>
              <w:t>R’million</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2D5E" w:rsidRPr="00335764" w:rsidRDefault="00BC2D5E" w:rsidP="00335764">
            <w:pPr>
              <w:spacing w:line="240" w:lineRule="auto"/>
              <w:jc w:val="left"/>
              <w:cnfStyle w:val="100000000000"/>
              <w:rPr>
                <w:rFonts w:eastAsia="Calibri" w:cs="Arial"/>
                <w:bCs w:val="0"/>
                <w:sz w:val="20"/>
                <w:szCs w:val="20"/>
              </w:rPr>
            </w:pPr>
            <w:r w:rsidRPr="00335764">
              <w:rPr>
                <w:rFonts w:eastAsia="Calibri" w:cs="Arial"/>
                <w:bCs w:val="0"/>
                <w:sz w:val="20"/>
                <w:szCs w:val="20"/>
              </w:rPr>
              <w:t xml:space="preserve">Real </w:t>
            </w:r>
            <w:r w:rsidR="00E43A06" w:rsidRPr="00335764">
              <w:rPr>
                <w:rFonts w:eastAsia="Calibri" w:cs="Arial"/>
                <w:bCs w:val="0"/>
                <w:sz w:val="20"/>
                <w:szCs w:val="20"/>
              </w:rPr>
              <w:t xml:space="preserve">% change </w:t>
            </w:r>
            <w:r w:rsidRPr="00335764">
              <w:rPr>
                <w:rFonts w:eastAsia="Calibri" w:cs="Arial"/>
                <w:bCs w:val="0"/>
                <w:sz w:val="20"/>
                <w:szCs w:val="20"/>
              </w:rPr>
              <w:t>2023/24</w:t>
            </w:r>
          </w:p>
        </w:tc>
      </w:tr>
      <w:tr w:rsidR="00BC2D5E" w:rsidRPr="00335764" w:rsidTr="00BC2D5E">
        <w:trPr>
          <w:cnfStyle w:val="100000000000"/>
          <w:trHeight w:val="264"/>
          <w:tblHeader/>
        </w:trPr>
        <w:tc>
          <w:tcPr>
            <w:cnfStyle w:val="001000000000"/>
            <w:tcW w:w="3340" w:type="dxa"/>
            <w:vMerge/>
            <w:tcBorders>
              <w:top w:val="single" w:sz="4" w:space="0" w:color="auto"/>
              <w:left w:val="single" w:sz="4" w:space="0" w:color="auto"/>
              <w:bottom w:val="single" w:sz="4" w:space="0" w:color="auto"/>
              <w:right w:val="single" w:sz="4" w:space="0" w:color="auto"/>
            </w:tcBorders>
            <w:shd w:val="clear" w:color="auto" w:fill="auto"/>
            <w:noWrap/>
            <w:hideMark/>
          </w:tcPr>
          <w:p w:rsidR="00BC2D5E" w:rsidRPr="00335764" w:rsidRDefault="00BC2D5E" w:rsidP="00335764">
            <w:pPr>
              <w:spacing w:line="240" w:lineRule="auto"/>
              <w:jc w:val="left"/>
              <w:rPr>
                <w:rFonts w:eastAsia="Calibri" w:cs="Arial"/>
                <w:bCs w:val="0"/>
                <w:sz w:val="20"/>
                <w:szCs w:val="20"/>
              </w:rPr>
            </w:pP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BC2D5E" w:rsidRPr="00335764" w:rsidRDefault="00BC2D5E" w:rsidP="00335764">
            <w:pPr>
              <w:spacing w:line="240" w:lineRule="auto"/>
              <w:jc w:val="left"/>
              <w:cnfStyle w:val="100000000000"/>
              <w:rPr>
                <w:rFonts w:eastAsia="Calibri" w:cs="Arial"/>
                <w:bCs w:val="0"/>
                <w:sz w:val="20"/>
                <w:szCs w:val="20"/>
              </w:rPr>
            </w:pPr>
            <w:r w:rsidRPr="00335764">
              <w:rPr>
                <w:rFonts w:eastAsia="Calibri" w:cs="Arial"/>
                <w:bCs w:val="0"/>
                <w:sz w:val="20"/>
                <w:szCs w:val="20"/>
              </w:rPr>
              <w:t>2022/23</w:t>
            </w: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C2D5E" w:rsidRPr="00335764" w:rsidRDefault="00BC2D5E" w:rsidP="00335764">
            <w:pPr>
              <w:spacing w:line="240" w:lineRule="auto"/>
              <w:jc w:val="left"/>
              <w:cnfStyle w:val="100000000000"/>
              <w:rPr>
                <w:rFonts w:eastAsia="Calibri" w:cs="Arial"/>
                <w:bCs w:val="0"/>
                <w:sz w:val="20"/>
                <w:szCs w:val="20"/>
              </w:rPr>
            </w:pPr>
            <w:r w:rsidRPr="00335764">
              <w:rPr>
                <w:rFonts w:eastAsia="Calibri" w:cs="Arial"/>
                <w:bCs w:val="0"/>
                <w:sz w:val="20"/>
                <w:szCs w:val="20"/>
              </w:rPr>
              <w:t>2023/24</w:t>
            </w:r>
          </w:p>
        </w:tc>
        <w:tc>
          <w:tcPr>
            <w:tcW w:w="1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D5E" w:rsidRPr="00335764" w:rsidRDefault="00BC2D5E" w:rsidP="00335764">
            <w:pPr>
              <w:spacing w:line="240" w:lineRule="auto"/>
              <w:jc w:val="left"/>
              <w:cnfStyle w:val="100000000000"/>
              <w:rPr>
                <w:rFonts w:eastAsia="Calibri" w:cs="Arial"/>
                <w:bCs w:val="0"/>
                <w:sz w:val="20"/>
                <w:szCs w:val="20"/>
              </w:rPr>
            </w:pPr>
            <w:r w:rsidRPr="00335764">
              <w:rPr>
                <w:rFonts w:eastAsia="Calibri" w:cs="Arial"/>
                <w:bCs w:val="0"/>
                <w:sz w:val="20"/>
                <w:szCs w:val="20"/>
              </w:rPr>
              <w:t>2024/25</w:t>
            </w:r>
          </w:p>
        </w:tc>
        <w:tc>
          <w:tcPr>
            <w:tcW w:w="1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D5E" w:rsidRPr="00335764" w:rsidRDefault="00BC2D5E" w:rsidP="00335764">
            <w:pPr>
              <w:spacing w:line="240" w:lineRule="auto"/>
              <w:jc w:val="left"/>
              <w:cnfStyle w:val="100000000000"/>
              <w:rPr>
                <w:rFonts w:eastAsia="Calibri" w:cs="Arial"/>
                <w:bCs w:val="0"/>
                <w:sz w:val="20"/>
                <w:szCs w:val="20"/>
              </w:rPr>
            </w:pPr>
            <w:r w:rsidRPr="00335764">
              <w:rPr>
                <w:rFonts w:eastAsia="Calibri" w:cs="Arial"/>
                <w:bCs w:val="0"/>
                <w:sz w:val="20"/>
                <w:szCs w:val="20"/>
              </w:rPr>
              <w:t>2024/25</w:t>
            </w:r>
          </w:p>
        </w:tc>
        <w:tc>
          <w:tcPr>
            <w:tcW w:w="1543" w:type="dxa"/>
            <w:vMerge/>
            <w:tcBorders>
              <w:top w:val="single" w:sz="4" w:space="0" w:color="auto"/>
              <w:left w:val="single" w:sz="4" w:space="0" w:color="auto"/>
              <w:bottom w:val="single" w:sz="4" w:space="0" w:color="auto"/>
              <w:right w:val="single" w:sz="4" w:space="0" w:color="auto"/>
            </w:tcBorders>
            <w:shd w:val="clear" w:color="auto" w:fill="auto"/>
            <w:hideMark/>
          </w:tcPr>
          <w:p w:rsidR="00BC2D5E" w:rsidRPr="00335764" w:rsidRDefault="00BC2D5E" w:rsidP="00335764">
            <w:pPr>
              <w:spacing w:line="240" w:lineRule="auto"/>
              <w:jc w:val="left"/>
              <w:cnfStyle w:val="100000000000"/>
              <w:rPr>
                <w:rFonts w:eastAsia="Calibri" w:cs="Arial"/>
                <w:bCs w:val="0"/>
                <w:sz w:val="20"/>
                <w:szCs w:val="20"/>
              </w:rPr>
            </w:pPr>
          </w:p>
        </w:tc>
      </w:tr>
      <w:tr w:rsidR="00BC2D5E" w:rsidRPr="00335764" w:rsidTr="00BC2D5E">
        <w:trPr>
          <w:cnfStyle w:val="000000100000"/>
          <w:trHeight w:val="264"/>
        </w:trPr>
        <w:tc>
          <w:tcPr>
            <w:cnfStyle w:val="001000000000"/>
            <w:tcW w:w="3340" w:type="dxa"/>
            <w:shd w:val="clear" w:color="auto" w:fill="auto"/>
            <w:noWrap/>
            <w:hideMark/>
          </w:tcPr>
          <w:p w:rsidR="00BC2D5E" w:rsidRPr="00335764" w:rsidRDefault="00BC2D5E" w:rsidP="00335764">
            <w:pPr>
              <w:spacing w:line="240" w:lineRule="auto"/>
              <w:jc w:val="left"/>
              <w:rPr>
                <w:rFonts w:eastAsia="Calibri" w:cs="Arial"/>
                <w:b w:val="0"/>
                <w:bCs w:val="0"/>
                <w:sz w:val="20"/>
                <w:szCs w:val="20"/>
              </w:rPr>
            </w:pPr>
            <w:r w:rsidRPr="00335764">
              <w:rPr>
                <w:rFonts w:eastAsia="Calibri" w:cs="Arial"/>
                <w:b w:val="0"/>
                <w:bCs w:val="0"/>
                <w:sz w:val="20"/>
                <w:szCs w:val="20"/>
              </w:rPr>
              <w:t xml:space="preserve">Lower Courts </w:t>
            </w:r>
          </w:p>
        </w:tc>
        <w:tc>
          <w:tcPr>
            <w:tcW w:w="1197" w:type="dxa"/>
            <w:shd w:val="clear" w:color="auto" w:fill="auto"/>
            <w:noWrap/>
          </w:tcPr>
          <w:p w:rsidR="00BC2D5E" w:rsidRPr="00335764" w:rsidRDefault="002B3984" w:rsidP="00335764">
            <w:pPr>
              <w:spacing w:line="240" w:lineRule="auto"/>
              <w:jc w:val="left"/>
              <w:cnfStyle w:val="000000100000"/>
              <w:rPr>
                <w:rFonts w:eastAsia="Calibri" w:cs="Arial"/>
                <w:sz w:val="20"/>
                <w:szCs w:val="20"/>
              </w:rPr>
            </w:pPr>
            <w:r w:rsidRPr="00335764">
              <w:rPr>
                <w:rFonts w:eastAsia="Calibri" w:cs="Arial"/>
                <w:sz w:val="20"/>
                <w:szCs w:val="20"/>
              </w:rPr>
              <w:t>5 446.5</w:t>
            </w:r>
          </w:p>
        </w:tc>
        <w:tc>
          <w:tcPr>
            <w:tcW w:w="1232" w:type="dxa"/>
            <w:shd w:val="clear" w:color="auto" w:fill="D9D9D9" w:themeFill="background1" w:themeFillShade="D9"/>
            <w:noWrap/>
          </w:tcPr>
          <w:p w:rsidR="00BC2D5E" w:rsidRPr="00335764" w:rsidRDefault="00E43A06" w:rsidP="00335764">
            <w:pPr>
              <w:spacing w:line="240" w:lineRule="auto"/>
              <w:jc w:val="left"/>
              <w:cnfStyle w:val="000000100000"/>
              <w:rPr>
                <w:rFonts w:eastAsia="Calibri" w:cs="Arial"/>
                <w:sz w:val="20"/>
                <w:szCs w:val="20"/>
              </w:rPr>
            </w:pPr>
            <w:r w:rsidRPr="00335764">
              <w:rPr>
                <w:rFonts w:eastAsia="Calibri" w:cs="Arial"/>
                <w:sz w:val="20"/>
                <w:szCs w:val="20"/>
              </w:rPr>
              <w:t>5 163.2</w:t>
            </w:r>
          </w:p>
        </w:tc>
        <w:tc>
          <w:tcPr>
            <w:tcW w:w="1045" w:type="dxa"/>
            <w:shd w:val="clear" w:color="auto" w:fill="auto"/>
          </w:tcPr>
          <w:p w:rsidR="00BC2D5E" w:rsidRPr="00335764" w:rsidRDefault="00E43A06" w:rsidP="00335764">
            <w:pPr>
              <w:spacing w:line="240" w:lineRule="auto"/>
              <w:jc w:val="left"/>
              <w:cnfStyle w:val="000000100000"/>
              <w:rPr>
                <w:rFonts w:eastAsia="Calibri" w:cs="Arial"/>
                <w:sz w:val="20"/>
                <w:szCs w:val="20"/>
              </w:rPr>
            </w:pPr>
            <w:r w:rsidRPr="00335764">
              <w:rPr>
                <w:rFonts w:eastAsia="Calibri" w:cs="Arial"/>
                <w:sz w:val="20"/>
                <w:szCs w:val="20"/>
              </w:rPr>
              <w:t>5 382.6</w:t>
            </w:r>
          </w:p>
        </w:tc>
        <w:tc>
          <w:tcPr>
            <w:tcW w:w="1045" w:type="dxa"/>
            <w:shd w:val="clear" w:color="auto" w:fill="auto"/>
          </w:tcPr>
          <w:p w:rsidR="00BC2D5E" w:rsidRPr="00335764" w:rsidRDefault="00E43A06" w:rsidP="00335764">
            <w:pPr>
              <w:spacing w:line="240" w:lineRule="auto"/>
              <w:jc w:val="left"/>
              <w:cnfStyle w:val="000000100000"/>
              <w:rPr>
                <w:rFonts w:eastAsia="Calibri" w:cs="Arial"/>
                <w:sz w:val="20"/>
                <w:szCs w:val="20"/>
              </w:rPr>
            </w:pPr>
            <w:r w:rsidRPr="00335764">
              <w:rPr>
                <w:rFonts w:eastAsia="Calibri" w:cs="Arial"/>
                <w:sz w:val="20"/>
                <w:szCs w:val="20"/>
              </w:rPr>
              <w:t>5 619.2</w:t>
            </w:r>
          </w:p>
        </w:tc>
        <w:tc>
          <w:tcPr>
            <w:tcW w:w="1543" w:type="dxa"/>
            <w:tcBorders>
              <w:top w:val="single" w:sz="4" w:space="0" w:color="auto"/>
            </w:tcBorders>
            <w:shd w:val="clear" w:color="auto" w:fill="D9D9D9" w:themeFill="background1" w:themeFillShade="D9"/>
            <w:noWrap/>
          </w:tcPr>
          <w:p w:rsidR="00BC2D5E" w:rsidRPr="00335764" w:rsidRDefault="00BC2D5E" w:rsidP="00335764">
            <w:pPr>
              <w:spacing w:line="240" w:lineRule="auto"/>
              <w:jc w:val="left"/>
              <w:cnfStyle w:val="000000100000"/>
              <w:rPr>
                <w:rFonts w:eastAsia="Calibri" w:cs="Arial"/>
                <w:sz w:val="20"/>
                <w:szCs w:val="20"/>
              </w:rPr>
            </w:pPr>
            <w:r w:rsidRPr="00335764">
              <w:rPr>
                <w:rFonts w:eastAsia="Calibri" w:cs="Arial"/>
                <w:sz w:val="20"/>
                <w:szCs w:val="20"/>
              </w:rPr>
              <w:t>-9</w:t>
            </w:r>
            <w:r w:rsidR="00E43A06" w:rsidRPr="00335764">
              <w:rPr>
                <w:rFonts w:eastAsia="Calibri" w:cs="Arial"/>
                <w:sz w:val="20"/>
                <w:szCs w:val="20"/>
              </w:rPr>
              <w:t>.</w:t>
            </w:r>
            <w:r w:rsidRPr="00335764">
              <w:rPr>
                <w:rFonts w:eastAsia="Calibri" w:cs="Arial"/>
                <w:sz w:val="20"/>
                <w:szCs w:val="20"/>
              </w:rPr>
              <w:t>63 %</w:t>
            </w:r>
          </w:p>
        </w:tc>
      </w:tr>
      <w:tr w:rsidR="00BC2D5E" w:rsidRPr="00335764" w:rsidTr="00BC2D5E">
        <w:trPr>
          <w:trHeight w:val="264"/>
        </w:trPr>
        <w:tc>
          <w:tcPr>
            <w:cnfStyle w:val="001000000000"/>
            <w:tcW w:w="3340" w:type="dxa"/>
            <w:shd w:val="clear" w:color="auto" w:fill="auto"/>
            <w:noWrap/>
            <w:hideMark/>
          </w:tcPr>
          <w:p w:rsidR="00BC2D5E" w:rsidRPr="00335764" w:rsidRDefault="00BC2D5E" w:rsidP="00335764">
            <w:pPr>
              <w:spacing w:line="240" w:lineRule="auto"/>
              <w:jc w:val="left"/>
              <w:rPr>
                <w:rFonts w:eastAsia="Calibri" w:cs="Arial"/>
                <w:b w:val="0"/>
                <w:bCs w:val="0"/>
                <w:sz w:val="20"/>
                <w:szCs w:val="20"/>
              </w:rPr>
            </w:pPr>
            <w:r w:rsidRPr="00335764">
              <w:rPr>
                <w:rFonts w:eastAsia="Calibri" w:cs="Arial"/>
                <w:b w:val="0"/>
                <w:bCs w:val="0"/>
                <w:sz w:val="20"/>
                <w:szCs w:val="20"/>
              </w:rPr>
              <w:t xml:space="preserve">Family Advocate </w:t>
            </w:r>
          </w:p>
        </w:tc>
        <w:tc>
          <w:tcPr>
            <w:tcW w:w="1197" w:type="dxa"/>
            <w:shd w:val="clear" w:color="auto" w:fill="auto"/>
            <w:noWrap/>
          </w:tcPr>
          <w:p w:rsidR="00BC2D5E" w:rsidRPr="00335764" w:rsidRDefault="002B3984" w:rsidP="00335764">
            <w:pPr>
              <w:spacing w:line="240" w:lineRule="auto"/>
              <w:jc w:val="left"/>
              <w:cnfStyle w:val="000000000000"/>
              <w:rPr>
                <w:rFonts w:eastAsia="Calibri" w:cs="Arial"/>
                <w:sz w:val="20"/>
                <w:szCs w:val="20"/>
              </w:rPr>
            </w:pPr>
            <w:r w:rsidRPr="00335764">
              <w:rPr>
                <w:rFonts w:eastAsia="Calibri" w:cs="Arial"/>
                <w:sz w:val="20"/>
                <w:szCs w:val="20"/>
              </w:rPr>
              <w:t>293.7</w:t>
            </w:r>
          </w:p>
        </w:tc>
        <w:tc>
          <w:tcPr>
            <w:tcW w:w="1232" w:type="dxa"/>
            <w:shd w:val="clear" w:color="auto" w:fill="D9D9D9" w:themeFill="background1" w:themeFillShade="D9"/>
            <w:noWrap/>
          </w:tcPr>
          <w:p w:rsidR="00BC2D5E" w:rsidRPr="00335764" w:rsidRDefault="00E43A06" w:rsidP="00335764">
            <w:pPr>
              <w:spacing w:line="240" w:lineRule="auto"/>
              <w:jc w:val="left"/>
              <w:cnfStyle w:val="000000000000"/>
              <w:rPr>
                <w:rFonts w:eastAsia="Calibri" w:cs="Arial"/>
                <w:sz w:val="20"/>
                <w:szCs w:val="20"/>
              </w:rPr>
            </w:pPr>
            <w:r w:rsidRPr="00335764">
              <w:rPr>
                <w:rFonts w:eastAsia="Calibri" w:cs="Arial"/>
                <w:sz w:val="20"/>
                <w:szCs w:val="20"/>
              </w:rPr>
              <w:t>282.0</w:t>
            </w:r>
          </w:p>
        </w:tc>
        <w:tc>
          <w:tcPr>
            <w:tcW w:w="1045" w:type="dxa"/>
            <w:shd w:val="clear" w:color="auto" w:fill="auto"/>
          </w:tcPr>
          <w:p w:rsidR="00BC2D5E" w:rsidRPr="00335764" w:rsidRDefault="00E43A06" w:rsidP="00335764">
            <w:pPr>
              <w:spacing w:line="240" w:lineRule="auto"/>
              <w:jc w:val="left"/>
              <w:cnfStyle w:val="000000000000"/>
              <w:rPr>
                <w:rFonts w:eastAsia="Calibri" w:cs="Arial"/>
                <w:sz w:val="20"/>
                <w:szCs w:val="20"/>
              </w:rPr>
            </w:pPr>
            <w:r w:rsidRPr="00335764">
              <w:rPr>
                <w:rFonts w:eastAsia="Calibri" w:cs="Arial"/>
                <w:sz w:val="20"/>
                <w:szCs w:val="20"/>
              </w:rPr>
              <w:t>294.3</w:t>
            </w:r>
          </w:p>
        </w:tc>
        <w:tc>
          <w:tcPr>
            <w:tcW w:w="1045" w:type="dxa"/>
            <w:shd w:val="clear" w:color="auto" w:fill="auto"/>
          </w:tcPr>
          <w:p w:rsidR="00BC2D5E" w:rsidRPr="00335764" w:rsidRDefault="00E43A06" w:rsidP="00335764">
            <w:pPr>
              <w:spacing w:line="240" w:lineRule="auto"/>
              <w:jc w:val="left"/>
              <w:cnfStyle w:val="000000000000"/>
              <w:rPr>
                <w:rFonts w:eastAsia="Calibri" w:cs="Arial"/>
                <w:sz w:val="20"/>
                <w:szCs w:val="20"/>
              </w:rPr>
            </w:pPr>
            <w:r w:rsidRPr="00335764">
              <w:rPr>
                <w:rFonts w:eastAsia="Calibri" w:cs="Arial"/>
                <w:sz w:val="20"/>
                <w:szCs w:val="20"/>
              </w:rPr>
              <w:t>307.1</w:t>
            </w:r>
          </w:p>
        </w:tc>
        <w:tc>
          <w:tcPr>
            <w:tcW w:w="1543" w:type="dxa"/>
            <w:shd w:val="clear" w:color="auto" w:fill="D9D9D9" w:themeFill="background1" w:themeFillShade="D9"/>
            <w:noWrap/>
          </w:tcPr>
          <w:p w:rsidR="00BC2D5E" w:rsidRPr="00335764" w:rsidRDefault="00BC2D5E" w:rsidP="00335764">
            <w:pPr>
              <w:spacing w:line="240" w:lineRule="auto"/>
              <w:jc w:val="left"/>
              <w:cnfStyle w:val="000000000000"/>
              <w:rPr>
                <w:rFonts w:eastAsia="Calibri" w:cs="Arial"/>
                <w:sz w:val="20"/>
                <w:szCs w:val="20"/>
              </w:rPr>
            </w:pPr>
            <w:r w:rsidRPr="00335764">
              <w:rPr>
                <w:rFonts w:eastAsia="Calibri" w:cs="Arial"/>
                <w:sz w:val="20"/>
                <w:szCs w:val="20"/>
              </w:rPr>
              <w:t>-8</w:t>
            </w:r>
            <w:r w:rsidR="00E43A06" w:rsidRPr="00335764">
              <w:rPr>
                <w:rFonts w:eastAsia="Calibri" w:cs="Arial"/>
                <w:sz w:val="20"/>
                <w:szCs w:val="20"/>
              </w:rPr>
              <w:t>.</w:t>
            </w:r>
            <w:r w:rsidRPr="00335764">
              <w:rPr>
                <w:rFonts w:eastAsia="Calibri" w:cs="Arial"/>
                <w:sz w:val="20"/>
                <w:szCs w:val="20"/>
              </w:rPr>
              <w:t>47 %</w:t>
            </w:r>
          </w:p>
        </w:tc>
      </w:tr>
      <w:tr w:rsidR="00BC2D5E" w:rsidRPr="00335764" w:rsidTr="00BC2D5E">
        <w:trPr>
          <w:cnfStyle w:val="000000100000"/>
          <w:trHeight w:val="264"/>
        </w:trPr>
        <w:tc>
          <w:tcPr>
            <w:cnfStyle w:val="001000000000"/>
            <w:tcW w:w="3340" w:type="dxa"/>
            <w:shd w:val="clear" w:color="auto" w:fill="auto"/>
            <w:noWrap/>
            <w:hideMark/>
          </w:tcPr>
          <w:p w:rsidR="00BC2D5E" w:rsidRPr="00335764" w:rsidRDefault="00BC2D5E" w:rsidP="00335764">
            <w:pPr>
              <w:spacing w:line="240" w:lineRule="auto"/>
              <w:jc w:val="left"/>
              <w:rPr>
                <w:rFonts w:eastAsia="Calibri" w:cs="Arial"/>
                <w:b w:val="0"/>
                <w:bCs w:val="0"/>
                <w:sz w:val="20"/>
                <w:szCs w:val="20"/>
              </w:rPr>
            </w:pPr>
            <w:r w:rsidRPr="00335764">
              <w:rPr>
                <w:rFonts w:eastAsia="Calibri" w:cs="Arial"/>
                <w:b w:val="0"/>
                <w:bCs w:val="0"/>
                <w:sz w:val="20"/>
                <w:szCs w:val="20"/>
              </w:rPr>
              <w:t xml:space="preserve">Magistrates Commission </w:t>
            </w:r>
          </w:p>
        </w:tc>
        <w:tc>
          <w:tcPr>
            <w:tcW w:w="1197" w:type="dxa"/>
            <w:shd w:val="clear" w:color="auto" w:fill="auto"/>
            <w:noWrap/>
          </w:tcPr>
          <w:p w:rsidR="00BC2D5E" w:rsidRPr="00335764" w:rsidRDefault="002B3984" w:rsidP="00335764">
            <w:pPr>
              <w:spacing w:line="240" w:lineRule="auto"/>
              <w:jc w:val="left"/>
              <w:cnfStyle w:val="000000100000"/>
              <w:rPr>
                <w:rFonts w:eastAsia="Calibri" w:cs="Arial"/>
                <w:sz w:val="20"/>
                <w:szCs w:val="20"/>
              </w:rPr>
            </w:pPr>
            <w:r w:rsidRPr="00335764">
              <w:rPr>
                <w:rFonts w:eastAsia="Calibri" w:cs="Arial"/>
                <w:sz w:val="20"/>
                <w:szCs w:val="20"/>
              </w:rPr>
              <w:t>15.7</w:t>
            </w:r>
          </w:p>
        </w:tc>
        <w:tc>
          <w:tcPr>
            <w:tcW w:w="1232" w:type="dxa"/>
            <w:shd w:val="clear" w:color="auto" w:fill="D9D9D9" w:themeFill="background1" w:themeFillShade="D9"/>
            <w:noWrap/>
          </w:tcPr>
          <w:p w:rsidR="00BC2D5E" w:rsidRPr="00335764" w:rsidRDefault="00E43A06" w:rsidP="00335764">
            <w:pPr>
              <w:spacing w:line="240" w:lineRule="auto"/>
              <w:jc w:val="left"/>
              <w:cnfStyle w:val="000000100000"/>
              <w:rPr>
                <w:rFonts w:eastAsia="Calibri" w:cs="Arial"/>
                <w:sz w:val="20"/>
                <w:szCs w:val="20"/>
              </w:rPr>
            </w:pPr>
            <w:r w:rsidRPr="00335764">
              <w:rPr>
                <w:rFonts w:eastAsia="Calibri" w:cs="Arial"/>
                <w:sz w:val="20"/>
                <w:szCs w:val="20"/>
              </w:rPr>
              <w:t>19.2</w:t>
            </w:r>
          </w:p>
        </w:tc>
        <w:tc>
          <w:tcPr>
            <w:tcW w:w="1045" w:type="dxa"/>
            <w:shd w:val="clear" w:color="auto" w:fill="auto"/>
          </w:tcPr>
          <w:p w:rsidR="00BC2D5E" w:rsidRPr="00335764" w:rsidRDefault="00E43A06" w:rsidP="00335764">
            <w:pPr>
              <w:spacing w:line="240" w:lineRule="auto"/>
              <w:jc w:val="left"/>
              <w:cnfStyle w:val="000000100000"/>
              <w:rPr>
                <w:rFonts w:eastAsia="Calibri" w:cs="Arial"/>
                <w:sz w:val="20"/>
                <w:szCs w:val="20"/>
              </w:rPr>
            </w:pPr>
            <w:r w:rsidRPr="00335764">
              <w:rPr>
                <w:rFonts w:eastAsia="Calibri" w:cs="Arial"/>
                <w:sz w:val="20"/>
                <w:szCs w:val="20"/>
              </w:rPr>
              <w:t>20.1</w:t>
            </w:r>
          </w:p>
        </w:tc>
        <w:tc>
          <w:tcPr>
            <w:tcW w:w="1045" w:type="dxa"/>
            <w:shd w:val="clear" w:color="auto" w:fill="auto"/>
          </w:tcPr>
          <w:p w:rsidR="00BC2D5E" w:rsidRPr="00335764" w:rsidRDefault="00E43A06" w:rsidP="00335764">
            <w:pPr>
              <w:spacing w:line="240" w:lineRule="auto"/>
              <w:jc w:val="left"/>
              <w:cnfStyle w:val="000000100000"/>
              <w:rPr>
                <w:rFonts w:eastAsia="Calibri" w:cs="Arial"/>
                <w:sz w:val="20"/>
                <w:szCs w:val="20"/>
              </w:rPr>
            </w:pPr>
            <w:r w:rsidRPr="00335764">
              <w:rPr>
                <w:rFonts w:eastAsia="Calibri" w:cs="Arial"/>
                <w:sz w:val="20"/>
                <w:szCs w:val="20"/>
              </w:rPr>
              <w:t>21.0</w:t>
            </w:r>
          </w:p>
        </w:tc>
        <w:tc>
          <w:tcPr>
            <w:tcW w:w="1543" w:type="dxa"/>
            <w:shd w:val="clear" w:color="auto" w:fill="D9D9D9" w:themeFill="background1" w:themeFillShade="D9"/>
            <w:noWrap/>
          </w:tcPr>
          <w:p w:rsidR="00BC2D5E" w:rsidRPr="00335764" w:rsidRDefault="00BC2D5E" w:rsidP="00335764">
            <w:pPr>
              <w:spacing w:line="240" w:lineRule="auto"/>
              <w:jc w:val="left"/>
              <w:cnfStyle w:val="000000100000"/>
              <w:rPr>
                <w:rFonts w:eastAsia="Calibri" w:cs="Arial"/>
                <w:sz w:val="20"/>
                <w:szCs w:val="20"/>
              </w:rPr>
            </w:pPr>
            <w:r w:rsidRPr="00335764">
              <w:rPr>
                <w:rFonts w:eastAsia="Calibri" w:cs="Arial"/>
                <w:sz w:val="20"/>
                <w:szCs w:val="20"/>
              </w:rPr>
              <w:t>16</w:t>
            </w:r>
            <w:r w:rsidR="00E43A06" w:rsidRPr="00335764">
              <w:rPr>
                <w:rFonts w:eastAsia="Calibri" w:cs="Arial"/>
                <w:sz w:val="20"/>
                <w:szCs w:val="20"/>
              </w:rPr>
              <w:t>.</w:t>
            </w:r>
            <w:r w:rsidRPr="00335764">
              <w:rPr>
                <w:rFonts w:eastAsia="Calibri" w:cs="Arial"/>
                <w:sz w:val="20"/>
                <w:szCs w:val="20"/>
              </w:rPr>
              <w:t>58 %</w:t>
            </w:r>
          </w:p>
        </w:tc>
      </w:tr>
      <w:tr w:rsidR="00BC2D5E" w:rsidRPr="00335764" w:rsidTr="00BC2D5E">
        <w:trPr>
          <w:trHeight w:val="264"/>
        </w:trPr>
        <w:tc>
          <w:tcPr>
            <w:cnfStyle w:val="001000000000"/>
            <w:tcW w:w="3340" w:type="dxa"/>
            <w:shd w:val="clear" w:color="auto" w:fill="auto"/>
            <w:noWrap/>
            <w:hideMark/>
          </w:tcPr>
          <w:p w:rsidR="00BC2D5E" w:rsidRPr="00335764" w:rsidRDefault="00BC2D5E" w:rsidP="00335764">
            <w:pPr>
              <w:spacing w:line="240" w:lineRule="auto"/>
              <w:jc w:val="left"/>
              <w:rPr>
                <w:rFonts w:eastAsia="Calibri" w:cs="Arial"/>
                <w:b w:val="0"/>
                <w:bCs w:val="0"/>
                <w:sz w:val="20"/>
                <w:szCs w:val="20"/>
              </w:rPr>
            </w:pPr>
            <w:r w:rsidRPr="00335764">
              <w:rPr>
                <w:rFonts w:eastAsia="Calibri" w:cs="Arial"/>
                <w:b w:val="0"/>
                <w:bCs w:val="0"/>
                <w:sz w:val="20"/>
                <w:szCs w:val="20"/>
              </w:rPr>
              <w:t xml:space="preserve">Facilities Management </w:t>
            </w:r>
          </w:p>
        </w:tc>
        <w:tc>
          <w:tcPr>
            <w:tcW w:w="1197" w:type="dxa"/>
            <w:shd w:val="clear" w:color="auto" w:fill="auto"/>
            <w:noWrap/>
          </w:tcPr>
          <w:p w:rsidR="00BC2D5E" w:rsidRPr="00335764" w:rsidRDefault="002B3984" w:rsidP="00335764">
            <w:pPr>
              <w:spacing w:line="240" w:lineRule="auto"/>
              <w:jc w:val="left"/>
              <w:cnfStyle w:val="000000000000"/>
              <w:rPr>
                <w:rFonts w:eastAsia="Calibri" w:cs="Arial"/>
                <w:sz w:val="20"/>
                <w:szCs w:val="20"/>
              </w:rPr>
            </w:pPr>
            <w:r w:rsidRPr="00335764">
              <w:rPr>
                <w:rFonts w:eastAsia="Calibri" w:cs="Arial"/>
                <w:sz w:val="20"/>
                <w:szCs w:val="20"/>
              </w:rPr>
              <w:t>635.6</w:t>
            </w:r>
          </w:p>
        </w:tc>
        <w:tc>
          <w:tcPr>
            <w:tcW w:w="1232" w:type="dxa"/>
            <w:shd w:val="clear" w:color="auto" w:fill="D9D9D9" w:themeFill="background1" w:themeFillShade="D9"/>
            <w:noWrap/>
          </w:tcPr>
          <w:p w:rsidR="00BC2D5E" w:rsidRPr="00335764" w:rsidRDefault="00E43A06" w:rsidP="00335764">
            <w:pPr>
              <w:spacing w:line="240" w:lineRule="auto"/>
              <w:jc w:val="left"/>
              <w:cnfStyle w:val="000000000000"/>
              <w:rPr>
                <w:rFonts w:eastAsia="Calibri" w:cs="Arial"/>
                <w:sz w:val="20"/>
                <w:szCs w:val="20"/>
              </w:rPr>
            </w:pPr>
            <w:r w:rsidRPr="00335764">
              <w:rPr>
                <w:rFonts w:eastAsia="Calibri" w:cs="Arial"/>
                <w:sz w:val="20"/>
                <w:szCs w:val="20"/>
              </w:rPr>
              <w:t>657.9</w:t>
            </w:r>
          </w:p>
        </w:tc>
        <w:tc>
          <w:tcPr>
            <w:tcW w:w="1045" w:type="dxa"/>
            <w:shd w:val="clear" w:color="auto" w:fill="auto"/>
          </w:tcPr>
          <w:p w:rsidR="00BC2D5E" w:rsidRPr="00335764" w:rsidRDefault="00E43A06" w:rsidP="00335764">
            <w:pPr>
              <w:spacing w:line="240" w:lineRule="auto"/>
              <w:jc w:val="left"/>
              <w:cnfStyle w:val="000000000000"/>
              <w:rPr>
                <w:rFonts w:eastAsia="Calibri" w:cs="Arial"/>
                <w:sz w:val="20"/>
                <w:szCs w:val="20"/>
              </w:rPr>
            </w:pPr>
            <w:r w:rsidRPr="00335764">
              <w:rPr>
                <w:rFonts w:eastAsia="Calibri" w:cs="Arial"/>
                <w:sz w:val="20"/>
                <w:szCs w:val="20"/>
              </w:rPr>
              <w:t>694.1</w:t>
            </w:r>
          </w:p>
        </w:tc>
        <w:tc>
          <w:tcPr>
            <w:tcW w:w="1045" w:type="dxa"/>
            <w:shd w:val="clear" w:color="auto" w:fill="auto"/>
          </w:tcPr>
          <w:p w:rsidR="00BC2D5E" w:rsidRPr="00335764" w:rsidRDefault="00E43A06" w:rsidP="00335764">
            <w:pPr>
              <w:spacing w:line="240" w:lineRule="auto"/>
              <w:jc w:val="left"/>
              <w:cnfStyle w:val="000000000000"/>
              <w:rPr>
                <w:rFonts w:eastAsia="Calibri" w:cs="Arial"/>
                <w:sz w:val="20"/>
                <w:szCs w:val="20"/>
              </w:rPr>
            </w:pPr>
            <w:r w:rsidRPr="00335764">
              <w:rPr>
                <w:rFonts w:eastAsia="Calibri" w:cs="Arial"/>
                <w:sz w:val="20"/>
                <w:szCs w:val="20"/>
              </w:rPr>
              <w:t>725.2</w:t>
            </w:r>
          </w:p>
        </w:tc>
        <w:tc>
          <w:tcPr>
            <w:tcW w:w="1543" w:type="dxa"/>
            <w:shd w:val="clear" w:color="auto" w:fill="D9D9D9" w:themeFill="background1" w:themeFillShade="D9"/>
            <w:noWrap/>
          </w:tcPr>
          <w:p w:rsidR="00BC2D5E" w:rsidRPr="00335764" w:rsidRDefault="00BC2D5E" w:rsidP="00335764">
            <w:pPr>
              <w:spacing w:line="240" w:lineRule="auto"/>
              <w:jc w:val="left"/>
              <w:cnfStyle w:val="000000000000"/>
              <w:rPr>
                <w:rFonts w:eastAsia="Calibri" w:cs="Arial"/>
                <w:sz w:val="20"/>
                <w:szCs w:val="20"/>
              </w:rPr>
            </w:pPr>
            <w:r w:rsidRPr="00335764">
              <w:rPr>
                <w:rFonts w:eastAsia="Calibri" w:cs="Arial"/>
                <w:sz w:val="20"/>
                <w:szCs w:val="20"/>
              </w:rPr>
              <w:t>-1</w:t>
            </w:r>
            <w:r w:rsidR="00E43A06" w:rsidRPr="00335764">
              <w:rPr>
                <w:rFonts w:eastAsia="Calibri" w:cs="Arial"/>
                <w:sz w:val="20"/>
                <w:szCs w:val="20"/>
              </w:rPr>
              <w:t>.</w:t>
            </w:r>
            <w:r w:rsidRPr="00335764">
              <w:rPr>
                <w:rFonts w:eastAsia="Calibri" w:cs="Arial"/>
                <w:sz w:val="20"/>
                <w:szCs w:val="20"/>
              </w:rPr>
              <w:t>33 %</w:t>
            </w:r>
          </w:p>
        </w:tc>
      </w:tr>
      <w:tr w:rsidR="00BC2D5E" w:rsidRPr="00335764" w:rsidTr="00BC2D5E">
        <w:trPr>
          <w:cnfStyle w:val="000000100000"/>
          <w:trHeight w:val="264"/>
        </w:trPr>
        <w:tc>
          <w:tcPr>
            <w:cnfStyle w:val="001000000000"/>
            <w:tcW w:w="3340" w:type="dxa"/>
            <w:shd w:val="clear" w:color="auto" w:fill="auto"/>
            <w:noWrap/>
            <w:hideMark/>
          </w:tcPr>
          <w:p w:rsidR="00BC2D5E" w:rsidRPr="00335764" w:rsidRDefault="00BC2D5E" w:rsidP="00335764">
            <w:pPr>
              <w:spacing w:line="240" w:lineRule="auto"/>
              <w:jc w:val="left"/>
              <w:rPr>
                <w:rFonts w:eastAsia="Calibri" w:cs="Arial"/>
                <w:b w:val="0"/>
                <w:bCs w:val="0"/>
                <w:sz w:val="20"/>
                <w:szCs w:val="20"/>
              </w:rPr>
            </w:pPr>
            <w:r w:rsidRPr="00335764">
              <w:rPr>
                <w:rFonts w:eastAsia="Calibri" w:cs="Arial"/>
                <w:b w:val="0"/>
                <w:bCs w:val="0"/>
                <w:sz w:val="20"/>
                <w:szCs w:val="20"/>
              </w:rPr>
              <w:t xml:space="preserve">Administration of Lower Courts </w:t>
            </w:r>
          </w:p>
        </w:tc>
        <w:tc>
          <w:tcPr>
            <w:tcW w:w="1197" w:type="dxa"/>
            <w:shd w:val="clear" w:color="auto" w:fill="auto"/>
            <w:noWrap/>
          </w:tcPr>
          <w:p w:rsidR="00BC2D5E" w:rsidRPr="00335764" w:rsidRDefault="002B3984" w:rsidP="00335764">
            <w:pPr>
              <w:spacing w:line="240" w:lineRule="auto"/>
              <w:jc w:val="left"/>
              <w:cnfStyle w:val="000000100000"/>
              <w:rPr>
                <w:rFonts w:eastAsia="Calibri" w:cs="Arial"/>
                <w:sz w:val="20"/>
                <w:szCs w:val="20"/>
              </w:rPr>
            </w:pPr>
            <w:r w:rsidRPr="00335764">
              <w:rPr>
                <w:rFonts w:eastAsia="Calibri" w:cs="Arial"/>
                <w:sz w:val="20"/>
                <w:szCs w:val="20"/>
              </w:rPr>
              <w:t>628</w:t>
            </w:r>
          </w:p>
        </w:tc>
        <w:tc>
          <w:tcPr>
            <w:tcW w:w="1232" w:type="dxa"/>
            <w:shd w:val="clear" w:color="auto" w:fill="D9D9D9" w:themeFill="background1" w:themeFillShade="D9"/>
            <w:noWrap/>
          </w:tcPr>
          <w:p w:rsidR="00BC2D5E" w:rsidRPr="00335764" w:rsidRDefault="00E43A06" w:rsidP="00335764">
            <w:pPr>
              <w:spacing w:line="240" w:lineRule="auto"/>
              <w:jc w:val="left"/>
              <w:cnfStyle w:val="000000100000"/>
              <w:rPr>
                <w:rFonts w:eastAsia="Calibri" w:cs="Arial"/>
                <w:sz w:val="20"/>
                <w:szCs w:val="20"/>
              </w:rPr>
            </w:pPr>
            <w:r w:rsidRPr="00335764">
              <w:rPr>
                <w:rFonts w:eastAsia="Calibri" w:cs="Arial"/>
                <w:sz w:val="20"/>
                <w:szCs w:val="20"/>
              </w:rPr>
              <w:t>638.6</w:t>
            </w:r>
          </w:p>
        </w:tc>
        <w:tc>
          <w:tcPr>
            <w:tcW w:w="1045" w:type="dxa"/>
            <w:shd w:val="clear" w:color="auto" w:fill="auto"/>
          </w:tcPr>
          <w:p w:rsidR="00BC2D5E" w:rsidRPr="00335764" w:rsidRDefault="00E43A06" w:rsidP="00335764">
            <w:pPr>
              <w:spacing w:line="240" w:lineRule="auto"/>
              <w:jc w:val="left"/>
              <w:cnfStyle w:val="000000100000"/>
              <w:rPr>
                <w:rFonts w:eastAsia="Calibri" w:cs="Arial"/>
                <w:sz w:val="20"/>
                <w:szCs w:val="20"/>
              </w:rPr>
            </w:pPr>
            <w:r w:rsidRPr="00335764">
              <w:rPr>
                <w:rFonts w:eastAsia="Calibri" w:cs="Arial"/>
                <w:sz w:val="20"/>
                <w:szCs w:val="20"/>
              </w:rPr>
              <w:t>667.0</w:t>
            </w:r>
          </w:p>
        </w:tc>
        <w:tc>
          <w:tcPr>
            <w:tcW w:w="1045" w:type="dxa"/>
            <w:shd w:val="clear" w:color="auto" w:fill="auto"/>
          </w:tcPr>
          <w:p w:rsidR="00BC2D5E" w:rsidRPr="00335764" w:rsidRDefault="00E43A06" w:rsidP="00335764">
            <w:pPr>
              <w:spacing w:line="240" w:lineRule="auto"/>
              <w:jc w:val="left"/>
              <w:cnfStyle w:val="000000100000"/>
              <w:rPr>
                <w:rFonts w:eastAsia="Calibri" w:cs="Arial"/>
                <w:sz w:val="20"/>
                <w:szCs w:val="20"/>
              </w:rPr>
            </w:pPr>
            <w:r w:rsidRPr="00335764">
              <w:rPr>
                <w:rFonts w:eastAsia="Calibri" w:cs="Arial"/>
                <w:sz w:val="20"/>
                <w:szCs w:val="20"/>
              </w:rPr>
              <w:t>695.4</w:t>
            </w:r>
          </w:p>
        </w:tc>
        <w:tc>
          <w:tcPr>
            <w:tcW w:w="1543" w:type="dxa"/>
            <w:shd w:val="clear" w:color="auto" w:fill="D9D9D9" w:themeFill="background1" w:themeFillShade="D9"/>
            <w:noWrap/>
          </w:tcPr>
          <w:p w:rsidR="00BC2D5E" w:rsidRPr="00335764" w:rsidRDefault="00BC2D5E" w:rsidP="00335764">
            <w:pPr>
              <w:spacing w:line="240" w:lineRule="auto"/>
              <w:jc w:val="left"/>
              <w:cnfStyle w:val="000000100000"/>
              <w:rPr>
                <w:rFonts w:eastAsia="Calibri" w:cs="Arial"/>
                <w:sz w:val="20"/>
                <w:szCs w:val="20"/>
              </w:rPr>
            </w:pPr>
            <w:r w:rsidRPr="00335764">
              <w:rPr>
                <w:rFonts w:eastAsia="Calibri" w:cs="Arial"/>
                <w:sz w:val="20"/>
                <w:szCs w:val="20"/>
              </w:rPr>
              <w:t>-3</w:t>
            </w:r>
            <w:r w:rsidR="00E43A06" w:rsidRPr="00335764">
              <w:rPr>
                <w:rFonts w:eastAsia="Calibri" w:cs="Arial"/>
                <w:sz w:val="20"/>
                <w:szCs w:val="20"/>
              </w:rPr>
              <w:t>.</w:t>
            </w:r>
            <w:r w:rsidRPr="00335764">
              <w:rPr>
                <w:rFonts w:eastAsia="Calibri" w:cs="Arial"/>
                <w:sz w:val="20"/>
                <w:szCs w:val="20"/>
              </w:rPr>
              <w:t>06 %</w:t>
            </w:r>
          </w:p>
        </w:tc>
      </w:tr>
      <w:tr w:rsidR="00BC2D5E" w:rsidRPr="00335764" w:rsidTr="00BC2D5E">
        <w:trPr>
          <w:trHeight w:val="264"/>
        </w:trPr>
        <w:tc>
          <w:tcPr>
            <w:cnfStyle w:val="001000000000"/>
            <w:tcW w:w="3340" w:type="dxa"/>
            <w:shd w:val="clear" w:color="auto" w:fill="auto"/>
            <w:noWrap/>
            <w:hideMark/>
          </w:tcPr>
          <w:p w:rsidR="00BC2D5E" w:rsidRPr="00335764" w:rsidRDefault="00BC2D5E" w:rsidP="00335764">
            <w:pPr>
              <w:spacing w:line="240" w:lineRule="auto"/>
              <w:jc w:val="left"/>
              <w:rPr>
                <w:rFonts w:eastAsia="Calibri" w:cs="Arial"/>
                <w:bCs w:val="0"/>
                <w:sz w:val="20"/>
                <w:szCs w:val="20"/>
              </w:rPr>
            </w:pPr>
            <w:r w:rsidRPr="00335764">
              <w:rPr>
                <w:rFonts w:eastAsia="Calibri" w:cs="Arial"/>
                <w:bCs w:val="0"/>
                <w:sz w:val="20"/>
                <w:szCs w:val="20"/>
              </w:rPr>
              <w:t>TOTAL</w:t>
            </w:r>
          </w:p>
        </w:tc>
        <w:tc>
          <w:tcPr>
            <w:tcW w:w="1197" w:type="dxa"/>
            <w:shd w:val="clear" w:color="auto" w:fill="auto"/>
            <w:noWrap/>
          </w:tcPr>
          <w:p w:rsidR="00BC2D5E" w:rsidRPr="00335764" w:rsidRDefault="002B3984" w:rsidP="00335764">
            <w:pPr>
              <w:spacing w:line="240" w:lineRule="auto"/>
              <w:jc w:val="left"/>
              <w:cnfStyle w:val="000000000000"/>
              <w:rPr>
                <w:rFonts w:eastAsia="Calibri" w:cs="Arial"/>
                <w:b/>
                <w:sz w:val="20"/>
                <w:szCs w:val="20"/>
              </w:rPr>
            </w:pPr>
            <w:r w:rsidRPr="00335764">
              <w:rPr>
                <w:rFonts w:eastAsia="Calibri" w:cs="Arial"/>
                <w:b/>
                <w:sz w:val="20"/>
                <w:szCs w:val="20"/>
              </w:rPr>
              <w:t>7 019.4</w:t>
            </w:r>
          </w:p>
        </w:tc>
        <w:tc>
          <w:tcPr>
            <w:tcW w:w="1232" w:type="dxa"/>
            <w:shd w:val="clear" w:color="auto" w:fill="D9D9D9" w:themeFill="background1" w:themeFillShade="D9"/>
            <w:noWrap/>
          </w:tcPr>
          <w:p w:rsidR="00BC2D5E" w:rsidRPr="00335764" w:rsidRDefault="00E43A06" w:rsidP="00335764">
            <w:pPr>
              <w:spacing w:line="240" w:lineRule="auto"/>
              <w:jc w:val="left"/>
              <w:cnfStyle w:val="000000000000"/>
              <w:rPr>
                <w:rFonts w:eastAsia="Calibri" w:cs="Arial"/>
                <w:b/>
                <w:sz w:val="20"/>
                <w:szCs w:val="20"/>
              </w:rPr>
            </w:pPr>
            <w:r w:rsidRPr="00335764">
              <w:rPr>
                <w:rFonts w:eastAsia="Calibri" w:cs="Arial"/>
                <w:b/>
                <w:sz w:val="20"/>
                <w:szCs w:val="20"/>
              </w:rPr>
              <w:t>6 760.8</w:t>
            </w:r>
          </w:p>
        </w:tc>
        <w:tc>
          <w:tcPr>
            <w:tcW w:w="1045" w:type="dxa"/>
            <w:shd w:val="clear" w:color="auto" w:fill="auto"/>
          </w:tcPr>
          <w:p w:rsidR="00BC2D5E" w:rsidRPr="00335764" w:rsidRDefault="00E43A06" w:rsidP="00335764">
            <w:pPr>
              <w:spacing w:line="240" w:lineRule="auto"/>
              <w:jc w:val="left"/>
              <w:cnfStyle w:val="000000000000"/>
              <w:rPr>
                <w:rFonts w:eastAsia="Calibri" w:cs="Arial"/>
                <w:b/>
                <w:sz w:val="20"/>
                <w:szCs w:val="20"/>
              </w:rPr>
            </w:pPr>
            <w:r w:rsidRPr="00335764">
              <w:rPr>
                <w:rFonts w:eastAsia="Calibri" w:cs="Arial"/>
                <w:b/>
                <w:sz w:val="20"/>
                <w:szCs w:val="20"/>
              </w:rPr>
              <w:t>7 058.1</w:t>
            </w:r>
          </w:p>
        </w:tc>
        <w:tc>
          <w:tcPr>
            <w:tcW w:w="1045" w:type="dxa"/>
            <w:shd w:val="clear" w:color="auto" w:fill="auto"/>
          </w:tcPr>
          <w:p w:rsidR="00BC2D5E" w:rsidRPr="00335764" w:rsidRDefault="00E43A06" w:rsidP="00335764">
            <w:pPr>
              <w:spacing w:line="240" w:lineRule="auto"/>
              <w:jc w:val="left"/>
              <w:cnfStyle w:val="000000000000"/>
              <w:rPr>
                <w:rFonts w:eastAsia="Calibri" w:cs="Arial"/>
                <w:b/>
                <w:sz w:val="20"/>
                <w:szCs w:val="20"/>
              </w:rPr>
            </w:pPr>
            <w:r w:rsidRPr="00335764">
              <w:rPr>
                <w:rFonts w:eastAsia="Calibri" w:cs="Arial"/>
                <w:b/>
                <w:sz w:val="20"/>
                <w:szCs w:val="20"/>
              </w:rPr>
              <w:t>7 367.9</w:t>
            </w:r>
          </w:p>
        </w:tc>
        <w:tc>
          <w:tcPr>
            <w:tcW w:w="1543" w:type="dxa"/>
            <w:shd w:val="clear" w:color="auto" w:fill="D9D9D9" w:themeFill="background1" w:themeFillShade="D9"/>
            <w:noWrap/>
            <w:hideMark/>
          </w:tcPr>
          <w:p w:rsidR="00BC2D5E" w:rsidRPr="00335764" w:rsidRDefault="00BC2D5E" w:rsidP="00335764">
            <w:pPr>
              <w:spacing w:line="240" w:lineRule="auto"/>
              <w:jc w:val="left"/>
              <w:cnfStyle w:val="000000000000"/>
              <w:rPr>
                <w:rFonts w:eastAsia="Calibri" w:cs="Arial"/>
                <w:sz w:val="20"/>
                <w:szCs w:val="20"/>
              </w:rPr>
            </w:pPr>
            <w:r w:rsidRPr="00335764">
              <w:rPr>
                <w:rFonts w:eastAsia="Calibri" w:cs="Arial"/>
                <w:sz w:val="20"/>
                <w:szCs w:val="20"/>
              </w:rPr>
              <w:t>-8</w:t>
            </w:r>
            <w:r w:rsidR="00E43A06" w:rsidRPr="00335764">
              <w:rPr>
                <w:rFonts w:eastAsia="Calibri" w:cs="Arial"/>
                <w:sz w:val="20"/>
                <w:szCs w:val="20"/>
              </w:rPr>
              <w:t>.</w:t>
            </w:r>
            <w:r w:rsidRPr="00335764">
              <w:rPr>
                <w:rFonts w:eastAsia="Calibri" w:cs="Arial"/>
                <w:sz w:val="20"/>
                <w:szCs w:val="20"/>
              </w:rPr>
              <w:t>18 %</w:t>
            </w:r>
          </w:p>
        </w:tc>
      </w:tr>
      <w:tr w:rsidR="002B3984" w:rsidRPr="00335764" w:rsidTr="00BC2D5E">
        <w:trPr>
          <w:cnfStyle w:val="000000100000"/>
          <w:trHeight w:val="264"/>
        </w:trPr>
        <w:tc>
          <w:tcPr>
            <w:cnfStyle w:val="001000000000"/>
            <w:tcW w:w="3340" w:type="dxa"/>
            <w:shd w:val="clear" w:color="auto" w:fill="auto"/>
            <w:noWrap/>
          </w:tcPr>
          <w:p w:rsidR="002B3984" w:rsidRPr="00335764" w:rsidRDefault="00E43A06" w:rsidP="00335764">
            <w:pPr>
              <w:spacing w:line="240" w:lineRule="auto"/>
              <w:jc w:val="left"/>
              <w:rPr>
                <w:rFonts w:eastAsia="Calibri" w:cs="Arial"/>
                <w:bCs w:val="0"/>
                <w:sz w:val="20"/>
                <w:szCs w:val="20"/>
              </w:rPr>
            </w:pPr>
            <w:r w:rsidRPr="00335764">
              <w:rPr>
                <w:rFonts w:cs="Arial"/>
                <w:b w:val="0"/>
                <w:color w:val="000000" w:themeColor="text1"/>
                <w:sz w:val="20"/>
                <w:szCs w:val="20"/>
              </w:rPr>
              <w:t>Change to 2022 Budget estimate</w:t>
            </w:r>
          </w:p>
        </w:tc>
        <w:tc>
          <w:tcPr>
            <w:tcW w:w="1197" w:type="dxa"/>
            <w:shd w:val="clear" w:color="auto" w:fill="auto"/>
            <w:noWrap/>
          </w:tcPr>
          <w:p w:rsidR="002B3984" w:rsidRPr="00335764" w:rsidRDefault="002B3984" w:rsidP="00335764">
            <w:pPr>
              <w:spacing w:line="240" w:lineRule="auto"/>
              <w:jc w:val="left"/>
              <w:cnfStyle w:val="000000100000"/>
              <w:rPr>
                <w:rFonts w:eastAsia="Calibri" w:cs="Arial"/>
                <w:sz w:val="20"/>
                <w:szCs w:val="20"/>
              </w:rPr>
            </w:pPr>
            <w:r w:rsidRPr="00335764">
              <w:rPr>
                <w:rFonts w:eastAsia="Calibri" w:cs="Arial"/>
                <w:sz w:val="20"/>
                <w:szCs w:val="20"/>
              </w:rPr>
              <w:t>209.4</w:t>
            </w:r>
          </w:p>
        </w:tc>
        <w:tc>
          <w:tcPr>
            <w:tcW w:w="1232" w:type="dxa"/>
            <w:shd w:val="clear" w:color="auto" w:fill="D9D9D9" w:themeFill="background1" w:themeFillShade="D9"/>
            <w:noWrap/>
          </w:tcPr>
          <w:p w:rsidR="002B3984" w:rsidRPr="00335764" w:rsidRDefault="00E43A06" w:rsidP="00335764">
            <w:pPr>
              <w:spacing w:line="240" w:lineRule="auto"/>
              <w:jc w:val="left"/>
              <w:cnfStyle w:val="000000100000"/>
              <w:rPr>
                <w:rFonts w:eastAsia="Calibri" w:cs="Arial"/>
                <w:sz w:val="20"/>
                <w:szCs w:val="20"/>
              </w:rPr>
            </w:pPr>
            <w:r w:rsidRPr="00335764">
              <w:rPr>
                <w:rFonts w:eastAsia="Calibri" w:cs="Arial"/>
                <w:sz w:val="20"/>
                <w:szCs w:val="20"/>
              </w:rPr>
              <w:t>244.8</w:t>
            </w:r>
          </w:p>
        </w:tc>
        <w:tc>
          <w:tcPr>
            <w:tcW w:w="1045" w:type="dxa"/>
            <w:shd w:val="clear" w:color="auto" w:fill="auto"/>
          </w:tcPr>
          <w:p w:rsidR="002B3984" w:rsidRPr="00335764" w:rsidRDefault="00E43A06" w:rsidP="00335764">
            <w:pPr>
              <w:spacing w:line="240" w:lineRule="auto"/>
              <w:jc w:val="left"/>
              <w:cnfStyle w:val="000000100000"/>
              <w:rPr>
                <w:rFonts w:eastAsia="Calibri" w:cs="Arial"/>
                <w:sz w:val="20"/>
                <w:szCs w:val="20"/>
              </w:rPr>
            </w:pPr>
            <w:r w:rsidRPr="00335764">
              <w:rPr>
                <w:rFonts w:eastAsia="Calibri" w:cs="Arial"/>
                <w:sz w:val="20"/>
                <w:szCs w:val="20"/>
              </w:rPr>
              <w:t>250.1</w:t>
            </w:r>
          </w:p>
        </w:tc>
        <w:tc>
          <w:tcPr>
            <w:tcW w:w="1045" w:type="dxa"/>
            <w:shd w:val="clear" w:color="auto" w:fill="auto"/>
          </w:tcPr>
          <w:p w:rsidR="002B3984" w:rsidRPr="00335764" w:rsidRDefault="00E43A06" w:rsidP="00335764">
            <w:pPr>
              <w:spacing w:line="240" w:lineRule="auto"/>
              <w:jc w:val="left"/>
              <w:cnfStyle w:val="000000100000"/>
              <w:rPr>
                <w:rFonts w:eastAsia="Calibri" w:cs="Arial"/>
                <w:b/>
                <w:sz w:val="20"/>
                <w:szCs w:val="20"/>
              </w:rPr>
            </w:pPr>
            <w:r w:rsidRPr="00335764">
              <w:rPr>
                <w:rFonts w:eastAsia="Calibri" w:cs="Arial"/>
                <w:b/>
                <w:sz w:val="20"/>
                <w:szCs w:val="20"/>
              </w:rPr>
              <w:t>-</w:t>
            </w:r>
          </w:p>
        </w:tc>
        <w:tc>
          <w:tcPr>
            <w:tcW w:w="1543" w:type="dxa"/>
            <w:shd w:val="clear" w:color="auto" w:fill="D9D9D9" w:themeFill="background1" w:themeFillShade="D9"/>
            <w:noWrap/>
          </w:tcPr>
          <w:p w:rsidR="002B3984" w:rsidRPr="00335764" w:rsidRDefault="00E43A06" w:rsidP="00335764">
            <w:pPr>
              <w:spacing w:line="240" w:lineRule="auto"/>
              <w:jc w:val="left"/>
              <w:cnfStyle w:val="000000100000"/>
              <w:rPr>
                <w:rFonts w:eastAsia="Calibri" w:cs="Arial"/>
                <w:sz w:val="20"/>
                <w:szCs w:val="20"/>
              </w:rPr>
            </w:pPr>
            <w:r w:rsidRPr="00335764">
              <w:rPr>
                <w:rFonts w:eastAsia="Calibri" w:cs="Arial"/>
                <w:sz w:val="20"/>
                <w:szCs w:val="20"/>
              </w:rPr>
              <w:t>-</w:t>
            </w:r>
          </w:p>
        </w:tc>
      </w:tr>
    </w:tbl>
    <w:p w:rsidR="00626BDB" w:rsidRPr="00335764" w:rsidRDefault="00626BDB" w:rsidP="00335764">
      <w:pPr>
        <w:autoSpaceDE w:val="0"/>
        <w:autoSpaceDN w:val="0"/>
        <w:adjustRightInd w:val="0"/>
        <w:spacing w:line="240" w:lineRule="auto"/>
        <w:jc w:val="left"/>
        <w:rPr>
          <w:rFonts w:cs="Arial"/>
          <w:sz w:val="20"/>
          <w:szCs w:val="20"/>
        </w:rPr>
      </w:pPr>
    </w:p>
    <w:p w:rsidR="004A339F" w:rsidRPr="00335764" w:rsidRDefault="00626BDB" w:rsidP="00335764">
      <w:pPr>
        <w:pStyle w:val="ListParagraph"/>
        <w:numPr>
          <w:ilvl w:val="1"/>
          <w:numId w:val="1"/>
        </w:numPr>
        <w:spacing w:line="240" w:lineRule="auto"/>
        <w:ind w:left="851" w:hanging="851"/>
        <w:jc w:val="left"/>
        <w:rPr>
          <w:rFonts w:cs="Arial"/>
          <w:sz w:val="20"/>
          <w:szCs w:val="20"/>
        </w:rPr>
      </w:pPr>
      <w:r w:rsidRPr="00335764">
        <w:rPr>
          <w:rFonts w:cs="Arial"/>
          <w:bCs/>
          <w:sz w:val="20"/>
          <w:szCs w:val="20"/>
          <w:lang w:val="en-ZA"/>
        </w:rPr>
        <w:t>F</w:t>
      </w:r>
      <w:r w:rsidR="004A339F" w:rsidRPr="00335764">
        <w:rPr>
          <w:rFonts w:cs="Arial"/>
          <w:bCs/>
          <w:sz w:val="20"/>
          <w:szCs w:val="20"/>
          <w:lang w:val="en-ZA"/>
        </w:rPr>
        <w:t xml:space="preserve">unding for selected indicators </w:t>
      </w:r>
      <w:r w:rsidRPr="00335764">
        <w:rPr>
          <w:rFonts w:cs="Arial"/>
          <w:bCs/>
          <w:sz w:val="20"/>
          <w:szCs w:val="20"/>
          <w:lang w:val="en-ZA"/>
        </w:rPr>
        <w:t xml:space="preserve">is </w:t>
      </w:r>
      <w:r w:rsidR="004A339F" w:rsidRPr="00335764">
        <w:rPr>
          <w:rFonts w:cs="Arial"/>
          <w:bCs/>
          <w:sz w:val="20"/>
          <w:szCs w:val="20"/>
          <w:lang w:val="en-ZA"/>
        </w:rPr>
        <w:t>as follows</w:t>
      </w:r>
      <w:r w:rsidR="004A339F" w:rsidRPr="00335764">
        <w:rPr>
          <w:rFonts w:cs="Arial"/>
          <w:sz w:val="20"/>
          <w:szCs w:val="20"/>
        </w:rPr>
        <w:t>:</w:t>
      </w:r>
    </w:p>
    <w:p w:rsidR="004A339F" w:rsidRPr="00335764" w:rsidRDefault="004A339F" w:rsidP="00335764">
      <w:pPr>
        <w:spacing w:line="240" w:lineRule="auto"/>
        <w:jc w:val="left"/>
        <w:rPr>
          <w:rFonts w:cs="Arial"/>
          <w:sz w:val="20"/>
          <w:szCs w:val="20"/>
        </w:rPr>
      </w:pPr>
    </w:p>
    <w:tbl>
      <w:tblPr>
        <w:tblStyle w:val="GridTable4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977"/>
        <w:gridCol w:w="3634"/>
      </w:tblGrid>
      <w:tr w:rsidR="000B6FB4" w:rsidRPr="00335764" w:rsidTr="000B6FB4">
        <w:trPr>
          <w:cnfStyle w:val="100000000000"/>
          <w:tblHeader/>
        </w:trPr>
        <w:tc>
          <w:tcPr>
            <w:cnfStyle w:val="001000000000"/>
            <w:tcW w:w="2405"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0B6FB4" w:rsidRPr="00335764" w:rsidRDefault="000B6FB4" w:rsidP="00335764">
            <w:pPr>
              <w:spacing w:line="240" w:lineRule="auto"/>
              <w:jc w:val="left"/>
              <w:rPr>
                <w:rFonts w:cs="Arial"/>
                <w:color w:val="000000" w:themeColor="text1"/>
                <w:sz w:val="20"/>
                <w:szCs w:val="20"/>
              </w:rPr>
            </w:pPr>
            <w:r w:rsidRPr="00335764">
              <w:rPr>
                <w:rFonts w:cs="Arial"/>
                <w:color w:val="000000" w:themeColor="text1"/>
                <w:sz w:val="20"/>
                <w:szCs w:val="20"/>
              </w:rPr>
              <w:t>OUTPUT</w:t>
            </w:r>
          </w:p>
        </w:tc>
        <w:tc>
          <w:tcPr>
            <w:tcW w:w="2977"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0B6FB4" w:rsidRPr="00335764" w:rsidRDefault="000B6FB4" w:rsidP="00335764">
            <w:pPr>
              <w:spacing w:line="240" w:lineRule="auto"/>
              <w:jc w:val="left"/>
              <w:cnfStyle w:val="100000000000"/>
              <w:rPr>
                <w:rFonts w:cs="Arial"/>
                <w:color w:val="000000" w:themeColor="text1"/>
                <w:sz w:val="20"/>
                <w:szCs w:val="20"/>
              </w:rPr>
            </w:pPr>
            <w:r w:rsidRPr="00335764">
              <w:rPr>
                <w:rFonts w:cs="Arial"/>
                <w:color w:val="000000" w:themeColor="text1"/>
                <w:sz w:val="20"/>
                <w:szCs w:val="20"/>
              </w:rPr>
              <w:t>INDICATOR</w:t>
            </w:r>
          </w:p>
        </w:tc>
        <w:tc>
          <w:tcPr>
            <w:tcW w:w="363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0B6FB4" w:rsidRPr="00335764" w:rsidRDefault="000B6FB4" w:rsidP="00335764">
            <w:pPr>
              <w:spacing w:line="240" w:lineRule="auto"/>
              <w:jc w:val="left"/>
              <w:cnfStyle w:val="100000000000"/>
              <w:rPr>
                <w:rFonts w:cs="Arial"/>
                <w:color w:val="000000" w:themeColor="text1"/>
                <w:sz w:val="20"/>
                <w:szCs w:val="20"/>
              </w:rPr>
            </w:pPr>
            <w:r w:rsidRPr="00335764">
              <w:rPr>
                <w:rFonts w:cs="Arial"/>
                <w:color w:val="000000" w:themeColor="text1"/>
                <w:sz w:val="20"/>
                <w:szCs w:val="20"/>
              </w:rPr>
              <w:t>ADDITIONAL BUDGET SUPPORT</w:t>
            </w:r>
          </w:p>
        </w:tc>
      </w:tr>
      <w:tr w:rsidR="000B6FB4" w:rsidRPr="00335764" w:rsidTr="000B6FB4">
        <w:trPr>
          <w:cnfStyle w:val="000000100000"/>
          <w:trHeight w:val="2062"/>
        </w:trPr>
        <w:tc>
          <w:tcPr>
            <w:cnfStyle w:val="001000000000"/>
            <w:tcW w:w="2405" w:type="dxa"/>
            <w:shd w:val="clear" w:color="auto" w:fill="auto"/>
          </w:tcPr>
          <w:p w:rsidR="000B6FB4" w:rsidRPr="00335764" w:rsidRDefault="000B6FB4" w:rsidP="00335764">
            <w:pPr>
              <w:spacing w:line="240" w:lineRule="auto"/>
              <w:jc w:val="left"/>
              <w:rPr>
                <w:rFonts w:cs="Arial"/>
                <w:b w:val="0"/>
                <w:color w:val="000000" w:themeColor="text1"/>
                <w:sz w:val="20"/>
                <w:szCs w:val="20"/>
              </w:rPr>
            </w:pPr>
            <w:r w:rsidRPr="00335764">
              <w:rPr>
                <w:rFonts w:cs="Arial"/>
                <w:b w:val="0"/>
                <w:color w:val="000000" w:themeColor="text1"/>
                <w:sz w:val="20"/>
                <w:szCs w:val="20"/>
              </w:rPr>
              <w:t>Increased access to justice services</w:t>
            </w:r>
            <w:r w:rsidR="002C706D" w:rsidRPr="00335764">
              <w:rPr>
                <w:rFonts w:cs="Arial"/>
                <w:b w:val="0"/>
                <w:color w:val="000000" w:themeColor="text1"/>
                <w:sz w:val="20"/>
                <w:szCs w:val="20"/>
              </w:rPr>
              <w:t>.</w:t>
            </w:r>
          </w:p>
          <w:p w:rsidR="000B6FB4" w:rsidRPr="00335764" w:rsidRDefault="000B6FB4" w:rsidP="00335764">
            <w:pPr>
              <w:spacing w:line="240" w:lineRule="auto"/>
              <w:jc w:val="left"/>
              <w:rPr>
                <w:rFonts w:cs="Arial"/>
                <w:b w:val="0"/>
                <w:color w:val="000000" w:themeColor="text1"/>
                <w:sz w:val="20"/>
                <w:szCs w:val="20"/>
              </w:rPr>
            </w:pPr>
          </w:p>
          <w:p w:rsidR="000B6FB4" w:rsidRPr="00335764" w:rsidRDefault="000B6FB4" w:rsidP="00335764">
            <w:pPr>
              <w:autoSpaceDE w:val="0"/>
              <w:autoSpaceDN w:val="0"/>
              <w:adjustRightInd w:val="0"/>
              <w:spacing w:line="240" w:lineRule="auto"/>
              <w:jc w:val="left"/>
              <w:rPr>
                <w:rFonts w:cs="Arial"/>
                <w:b w:val="0"/>
                <w:color w:val="000000" w:themeColor="text1"/>
                <w:sz w:val="20"/>
                <w:szCs w:val="20"/>
              </w:rPr>
            </w:pPr>
            <w:r w:rsidRPr="00335764">
              <w:rPr>
                <w:rFonts w:cs="Arial"/>
                <w:b w:val="0"/>
                <w:color w:val="000000" w:themeColor="text1"/>
                <w:sz w:val="20"/>
                <w:szCs w:val="20"/>
              </w:rPr>
              <w:t>(The NSP-GBVF requires an infusion of adequate resources (human and capital) in sexual</w:t>
            </w:r>
            <w:r w:rsidRPr="00335764">
              <w:rPr>
                <w:rFonts w:cs="Arial"/>
                <w:b w:val="0"/>
                <w:color w:val="000000" w:themeColor="text1"/>
                <w:sz w:val="20"/>
                <w:szCs w:val="20"/>
              </w:rPr>
              <w:br/>
              <w:t>offences courts and TCCs)</w:t>
            </w:r>
          </w:p>
        </w:tc>
        <w:tc>
          <w:tcPr>
            <w:tcW w:w="2977" w:type="dxa"/>
            <w:shd w:val="clear" w:color="auto" w:fill="auto"/>
          </w:tcPr>
          <w:p w:rsidR="000B6FB4" w:rsidRPr="00335764" w:rsidRDefault="000B6FB4" w:rsidP="00335764">
            <w:pPr>
              <w:autoSpaceDE w:val="0"/>
              <w:autoSpaceDN w:val="0"/>
              <w:adjustRightInd w:val="0"/>
              <w:spacing w:line="240" w:lineRule="auto"/>
              <w:jc w:val="left"/>
              <w:cnfStyle w:val="000000100000"/>
              <w:rPr>
                <w:rFonts w:cs="Arial"/>
                <w:color w:val="000000" w:themeColor="text1"/>
                <w:sz w:val="20"/>
                <w:szCs w:val="20"/>
              </w:rPr>
            </w:pPr>
            <w:r w:rsidRPr="00335764">
              <w:rPr>
                <w:rFonts w:cs="Arial"/>
                <w:color w:val="000000" w:themeColor="text1"/>
                <w:sz w:val="20"/>
                <w:szCs w:val="20"/>
              </w:rPr>
              <w:t>Number of sexual offences courts established at designated courts</w:t>
            </w:r>
            <w:r w:rsidR="002C706D" w:rsidRPr="00335764">
              <w:rPr>
                <w:rFonts w:cs="Arial"/>
                <w:color w:val="000000" w:themeColor="text1"/>
                <w:sz w:val="20"/>
                <w:szCs w:val="20"/>
              </w:rPr>
              <w:t>.</w:t>
            </w:r>
          </w:p>
        </w:tc>
        <w:tc>
          <w:tcPr>
            <w:tcW w:w="3634" w:type="dxa"/>
            <w:shd w:val="clear" w:color="auto" w:fill="auto"/>
          </w:tcPr>
          <w:p w:rsidR="000B6FB4" w:rsidRPr="00335764" w:rsidRDefault="000B6FB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R15 million over the medium term to support the establishment of sexual offences courts. Th</w:t>
            </w:r>
            <w:r w:rsidR="00455DBB" w:rsidRPr="00335764">
              <w:rPr>
                <w:rFonts w:cs="Arial"/>
                <w:color w:val="000000" w:themeColor="text1"/>
                <w:sz w:val="20"/>
                <w:szCs w:val="20"/>
              </w:rPr>
              <w:t xml:space="preserve">is is funded </w:t>
            </w:r>
            <w:r w:rsidRPr="00335764">
              <w:rPr>
                <w:rFonts w:cs="Arial"/>
                <w:color w:val="000000" w:themeColor="text1"/>
                <w:sz w:val="20"/>
                <w:szCs w:val="20"/>
              </w:rPr>
              <w:t>from the Criminal Assets Recovery Account.</w:t>
            </w:r>
          </w:p>
        </w:tc>
      </w:tr>
    </w:tbl>
    <w:p w:rsidR="004A339F" w:rsidRPr="00335764" w:rsidRDefault="004A339F" w:rsidP="00335764">
      <w:pPr>
        <w:pStyle w:val="ListParagraph"/>
        <w:spacing w:line="240" w:lineRule="auto"/>
        <w:jc w:val="left"/>
        <w:rPr>
          <w:rFonts w:cs="Arial"/>
          <w:sz w:val="20"/>
          <w:szCs w:val="20"/>
        </w:rPr>
      </w:pPr>
    </w:p>
    <w:p w:rsidR="000B6FB4" w:rsidRPr="00335764" w:rsidRDefault="000B6FB4" w:rsidP="00335764">
      <w:pPr>
        <w:pStyle w:val="ListParagraph"/>
        <w:numPr>
          <w:ilvl w:val="1"/>
          <w:numId w:val="1"/>
        </w:numPr>
        <w:spacing w:line="240" w:lineRule="auto"/>
        <w:ind w:left="851" w:hanging="851"/>
        <w:jc w:val="left"/>
        <w:rPr>
          <w:rFonts w:cs="Arial"/>
          <w:bCs/>
          <w:sz w:val="20"/>
          <w:szCs w:val="20"/>
          <w:lang w:val="en-ZA"/>
        </w:rPr>
      </w:pPr>
      <w:r w:rsidRPr="00335764">
        <w:rPr>
          <w:rFonts w:cs="Arial"/>
          <w:bCs/>
          <w:sz w:val="20"/>
          <w:szCs w:val="20"/>
          <w:lang w:val="en-ZA"/>
        </w:rPr>
        <w:t xml:space="preserve">The spending focus for the programme remains mainly on personnel (R4.48 billion), property payments (R738.2 million), buildings and fixed structures (R589.3 million) and travel and subsistence (R173.1 million). </w:t>
      </w:r>
    </w:p>
    <w:p w:rsidR="000B6FB4" w:rsidRPr="00335764" w:rsidRDefault="000B6FB4" w:rsidP="00335764">
      <w:pPr>
        <w:spacing w:line="240" w:lineRule="auto"/>
        <w:ind w:left="862"/>
        <w:jc w:val="left"/>
        <w:rPr>
          <w:rFonts w:cs="Arial"/>
          <w:bCs/>
          <w:sz w:val="20"/>
          <w:szCs w:val="20"/>
          <w:lang w:val="en-ZA"/>
        </w:rPr>
      </w:pPr>
    </w:p>
    <w:p w:rsidR="000B6FB4" w:rsidRPr="00335764" w:rsidRDefault="000B6FB4" w:rsidP="00335764">
      <w:pPr>
        <w:pStyle w:val="ListParagraph"/>
        <w:numPr>
          <w:ilvl w:val="1"/>
          <w:numId w:val="1"/>
        </w:numPr>
        <w:spacing w:line="240" w:lineRule="auto"/>
        <w:ind w:left="851" w:hanging="851"/>
        <w:jc w:val="left"/>
        <w:rPr>
          <w:rFonts w:cs="Arial"/>
          <w:bCs/>
          <w:sz w:val="20"/>
          <w:szCs w:val="20"/>
          <w:lang w:val="en-ZA"/>
        </w:rPr>
      </w:pPr>
      <w:r w:rsidRPr="00335764">
        <w:rPr>
          <w:rFonts w:cs="Arial"/>
          <w:bCs/>
          <w:i/>
          <w:sz w:val="20"/>
          <w:szCs w:val="20"/>
          <w:lang w:val="en-ZA"/>
        </w:rPr>
        <w:t>Personnel</w:t>
      </w:r>
      <w:r w:rsidRPr="00335764">
        <w:rPr>
          <w:rFonts w:cs="Arial"/>
          <w:bCs/>
          <w:sz w:val="20"/>
          <w:szCs w:val="20"/>
          <w:lang w:val="en-ZA"/>
        </w:rPr>
        <w:t xml:space="preserve">: </w:t>
      </w:r>
      <w:r w:rsidR="00110A44" w:rsidRPr="00335764">
        <w:rPr>
          <w:rFonts w:cs="Arial"/>
          <w:bCs/>
          <w:sz w:val="20"/>
          <w:szCs w:val="20"/>
          <w:lang w:val="en-ZA"/>
        </w:rPr>
        <w:t xml:space="preserve">As </w:t>
      </w:r>
      <w:r w:rsidR="001E3C09" w:rsidRPr="00335764">
        <w:rPr>
          <w:rFonts w:cs="Arial"/>
          <w:bCs/>
          <w:sz w:val="20"/>
          <w:szCs w:val="20"/>
          <w:lang w:val="en-ZA"/>
        </w:rPr>
        <w:t>of</w:t>
      </w:r>
      <w:r w:rsidR="00110A44" w:rsidRPr="00335764">
        <w:rPr>
          <w:rFonts w:cs="Arial"/>
          <w:bCs/>
          <w:sz w:val="20"/>
          <w:szCs w:val="20"/>
          <w:lang w:val="en-ZA"/>
        </w:rPr>
        <w:t xml:space="preserve"> 1 January 2023, t</w:t>
      </w:r>
      <w:r w:rsidR="00B16A2F" w:rsidRPr="00335764">
        <w:rPr>
          <w:rFonts w:cs="Arial"/>
          <w:bCs/>
          <w:sz w:val="20"/>
          <w:szCs w:val="20"/>
          <w:lang w:val="en-ZA"/>
        </w:rPr>
        <w:t>he programme had</w:t>
      </w:r>
      <w:r w:rsidRPr="00335764">
        <w:rPr>
          <w:rFonts w:cs="Arial"/>
          <w:bCs/>
          <w:sz w:val="20"/>
          <w:szCs w:val="20"/>
          <w:lang w:val="en-ZA"/>
        </w:rPr>
        <w:t xml:space="preserve"> 13 349 posts of which 689 posts are vacant. This represents a vacancy rate of 5.2%</w:t>
      </w:r>
      <w:r w:rsidR="002C706D" w:rsidRPr="00335764">
        <w:rPr>
          <w:rFonts w:cs="Arial"/>
          <w:bCs/>
          <w:sz w:val="20"/>
          <w:szCs w:val="20"/>
          <w:lang w:val="en-ZA"/>
        </w:rPr>
        <w:t>,</w:t>
      </w:r>
      <w:r w:rsidRPr="00335764">
        <w:rPr>
          <w:rFonts w:cs="Arial"/>
          <w:bCs/>
          <w:sz w:val="20"/>
          <w:szCs w:val="20"/>
          <w:lang w:val="en-ZA"/>
        </w:rPr>
        <w:t xml:space="preserve"> which is an improvement from 2022/23 when the vacancy rate was 7%.  </w:t>
      </w:r>
    </w:p>
    <w:p w:rsidR="000C2D0A" w:rsidRPr="00335764" w:rsidRDefault="000C2D0A" w:rsidP="00335764">
      <w:pPr>
        <w:pStyle w:val="ListParagraph"/>
        <w:spacing w:line="240" w:lineRule="auto"/>
        <w:jc w:val="left"/>
        <w:rPr>
          <w:rFonts w:cs="Arial"/>
          <w:sz w:val="20"/>
          <w:szCs w:val="20"/>
        </w:rPr>
      </w:pPr>
    </w:p>
    <w:p w:rsidR="00BB3265" w:rsidRPr="00335764" w:rsidRDefault="008538EF" w:rsidP="00335764">
      <w:pPr>
        <w:numPr>
          <w:ilvl w:val="0"/>
          <w:numId w:val="1"/>
        </w:numPr>
        <w:tabs>
          <w:tab w:val="clear" w:pos="375"/>
          <w:tab w:val="num" w:pos="851"/>
        </w:tabs>
        <w:spacing w:line="240" w:lineRule="auto"/>
        <w:ind w:left="851" w:hanging="851"/>
        <w:jc w:val="left"/>
        <w:rPr>
          <w:rFonts w:cs="Arial"/>
          <w:b/>
          <w:sz w:val="20"/>
          <w:szCs w:val="20"/>
        </w:rPr>
      </w:pPr>
      <w:r w:rsidRPr="00335764">
        <w:rPr>
          <w:rFonts w:cs="Arial"/>
          <w:b/>
          <w:bCs/>
          <w:sz w:val="20"/>
          <w:szCs w:val="20"/>
          <w:lang w:val="en-US"/>
        </w:rPr>
        <w:t>Programme</w:t>
      </w:r>
      <w:r w:rsidRPr="00335764">
        <w:rPr>
          <w:rFonts w:cs="Arial"/>
          <w:b/>
          <w:sz w:val="20"/>
          <w:szCs w:val="20"/>
        </w:rPr>
        <w:t xml:space="preserve"> 3: State Legal Services</w:t>
      </w:r>
    </w:p>
    <w:p w:rsidR="008245CD" w:rsidRPr="00335764" w:rsidRDefault="008245CD" w:rsidP="00335764">
      <w:pPr>
        <w:spacing w:line="240" w:lineRule="auto"/>
        <w:ind w:left="720"/>
        <w:jc w:val="left"/>
        <w:rPr>
          <w:rFonts w:cs="Arial"/>
          <w:b/>
          <w:sz w:val="20"/>
          <w:szCs w:val="20"/>
        </w:rPr>
      </w:pPr>
    </w:p>
    <w:p w:rsidR="00BB3265" w:rsidRPr="00335764" w:rsidRDefault="008538EF" w:rsidP="00335764">
      <w:pPr>
        <w:pStyle w:val="ListParagraph"/>
        <w:numPr>
          <w:ilvl w:val="1"/>
          <w:numId w:val="1"/>
        </w:numPr>
        <w:spacing w:line="240" w:lineRule="auto"/>
        <w:ind w:left="851" w:hanging="851"/>
        <w:jc w:val="left"/>
        <w:rPr>
          <w:rFonts w:cs="Arial"/>
          <w:sz w:val="20"/>
          <w:szCs w:val="20"/>
        </w:rPr>
      </w:pPr>
      <w:r w:rsidRPr="00335764">
        <w:rPr>
          <w:rFonts w:cs="Arial"/>
          <w:bCs/>
          <w:sz w:val="20"/>
          <w:szCs w:val="20"/>
          <w:lang w:val="en-ZA"/>
        </w:rPr>
        <w:t>The programme provide</w:t>
      </w:r>
      <w:r w:rsidR="001B3D36" w:rsidRPr="00335764">
        <w:rPr>
          <w:rFonts w:cs="Arial"/>
          <w:bCs/>
          <w:sz w:val="20"/>
          <w:szCs w:val="20"/>
          <w:lang w:val="en-ZA"/>
        </w:rPr>
        <w:t>s</w:t>
      </w:r>
      <w:r w:rsidRPr="00335764">
        <w:rPr>
          <w:rFonts w:cs="Arial"/>
          <w:bCs/>
          <w:sz w:val="20"/>
          <w:szCs w:val="20"/>
          <w:lang w:val="en-ZA"/>
        </w:rPr>
        <w:t xml:space="preserve"> legal and legislat</w:t>
      </w:r>
      <w:r w:rsidR="000C5D0D" w:rsidRPr="00335764">
        <w:rPr>
          <w:rFonts w:cs="Arial"/>
          <w:bCs/>
          <w:sz w:val="20"/>
          <w:szCs w:val="20"/>
          <w:lang w:val="en-ZA"/>
        </w:rPr>
        <w:t xml:space="preserve">ive services to </w:t>
      </w:r>
      <w:r w:rsidR="005A64E5" w:rsidRPr="00335764">
        <w:rPr>
          <w:rFonts w:cs="Arial"/>
          <w:bCs/>
          <w:sz w:val="20"/>
          <w:szCs w:val="20"/>
          <w:lang w:val="en-ZA"/>
        </w:rPr>
        <w:t>government</w:t>
      </w:r>
      <w:r w:rsidR="008245CD" w:rsidRPr="00335764">
        <w:rPr>
          <w:rFonts w:cs="Arial"/>
          <w:bCs/>
          <w:sz w:val="20"/>
          <w:szCs w:val="20"/>
          <w:lang w:val="en-ZA"/>
        </w:rPr>
        <w:t>;</w:t>
      </w:r>
      <w:r w:rsidRPr="00335764">
        <w:rPr>
          <w:rFonts w:cs="Arial"/>
          <w:bCs/>
          <w:sz w:val="20"/>
          <w:szCs w:val="20"/>
          <w:lang w:val="en-ZA"/>
        </w:rPr>
        <w:t xml:space="preserve"> supervise</w:t>
      </w:r>
      <w:r w:rsidR="001B3D36" w:rsidRPr="00335764">
        <w:rPr>
          <w:rFonts w:cs="Arial"/>
          <w:bCs/>
          <w:sz w:val="20"/>
          <w:szCs w:val="20"/>
          <w:lang w:val="en-ZA"/>
        </w:rPr>
        <w:t>s</w:t>
      </w:r>
      <w:r w:rsidRPr="00335764">
        <w:rPr>
          <w:rFonts w:cs="Arial"/>
          <w:bCs/>
          <w:sz w:val="20"/>
          <w:szCs w:val="20"/>
          <w:lang w:val="en-ZA"/>
        </w:rPr>
        <w:t xml:space="preserve"> the administration of</w:t>
      </w:r>
      <w:r w:rsidR="008245CD" w:rsidRPr="00335764">
        <w:rPr>
          <w:rFonts w:cs="Arial"/>
          <w:bCs/>
          <w:sz w:val="20"/>
          <w:szCs w:val="20"/>
          <w:lang w:val="en-ZA"/>
        </w:rPr>
        <w:t xml:space="preserve"> deceased and insolvent estates</w:t>
      </w:r>
      <w:r w:rsidR="005A64E5" w:rsidRPr="00335764">
        <w:rPr>
          <w:rFonts w:cs="Arial"/>
          <w:bCs/>
          <w:sz w:val="20"/>
          <w:szCs w:val="20"/>
          <w:lang w:val="en-ZA"/>
        </w:rPr>
        <w:t xml:space="preserve"> an</w:t>
      </w:r>
      <w:r w:rsidR="00703E27" w:rsidRPr="00335764">
        <w:rPr>
          <w:rFonts w:cs="Arial"/>
          <w:bCs/>
          <w:sz w:val="20"/>
          <w:szCs w:val="20"/>
          <w:lang w:val="en-ZA"/>
        </w:rPr>
        <w:t>d</w:t>
      </w:r>
      <w:r w:rsidR="005A64E5" w:rsidRPr="00335764">
        <w:rPr>
          <w:rFonts w:cs="Arial"/>
          <w:bCs/>
          <w:sz w:val="20"/>
          <w:szCs w:val="20"/>
          <w:lang w:val="en-ZA"/>
        </w:rPr>
        <w:t xml:space="preserve"> estates undergoing liquidation; manages</w:t>
      </w:r>
      <w:r w:rsidRPr="00335764">
        <w:rPr>
          <w:rFonts w:cs="Arial"/>
          <w:bCs/>
          <w:sz w:val="20"/>
          <w:szCs w:val="20"/>
          <w:lang w:val="en-ZA"/>
        </w:rPr>
        <w:t xml:space="preserve"> the</w:t>
      </w:r>
      <w:r w:rsidRPr="00335764">
        <w:rPr>
          <w:rFonts w:cs="Arial"/>
          <w:sz w:val="20"/>
          <w:szCs w:val="20"/>
        </w:rPr>
        <w:t xml:space="preserve"> Guardian’s Fund</w:t>
      </w:r>
      <w:r w:rsidR="00307CDE" w:rsidRPr="00335764">
        <w:rPr>
          <w:rFonts w:cs="Arial"/>
          <w:sz w:val="20"/>
          <w:szCs w:val="20"/>
        </w:rPr>
        <w:t>; facilitates constitutional development; and undertakes research</w:t>
      </w:r>
      <w:r w:rsidRPr="00335764">
        <w:rPr>
          <w:rFonts w:cs="Arial"/>
          <w:sz w:val="20"/>
          <w:szCs w:val="20"/>
        </w:rPr>
        <w:t>.</w:t>
      </w:r>
      <w:r w:rsidR="00BB3265" w:rsidRPr="00335764">
        <w:rPr>
          <w:rFonts w:cs="Arial"/>
          <w:sz w:val="20"/>
          <w:szCs w:val="20"/>
        </w:rPr>
        <w:t xml:space="preserve"> </w:t>
      </w:r>
    </w:p>
    <w:p w:rsidR="00815C10" w:rsidRPr="00335764" w:rsidRDefault="00815C10" w:rsidP="00335764">
      <w:pPr>
        <w:spacing w:line="240" w:lineRule="auto"/>
        <w:ind w:left="862"/>
        <w:jc w:val="left"/>
        <w:rPr>
          <w:rFonts w:cs="Arial"/>
          <w:sz w:val="20"/>
          <w:szCs w:val="20"/>
        </w:rPr>
      </w:pPr>
    </w:p>
    <w:p w:rsidR="004A339F" w:rsidRPr="00335764" w:rsidRDefault="00815C10" w:rsidP="00335764">
      <w:pPr>
        <w:spacing w:line="240" w:lineRule="auto"/>
        <w:jc w:val="left"/>
        <w:rPr>
          <w:rFonts w:eastAsia="Calibri" w:cs="Arial"/>
          <w:i/>
          <w:sz w:val="20"/>
          <w:szCs w:val="20"/>
        </w:rPr>
      </w:pPr>
      <w:r w:rsidRPr="00335764">
        <w:rPr>
          <w:rFonts w:eastAsia="Calibri" w:cs="Arial"/>
          <w:i/>
          <w:sz w:val="20"/>
          <w:szCs w:val="20"/>
        </w:rPr>
        <w:t>Budget</w:t>
      </w:r>
    </w:p>
    <w:p w:rsidR="00DD6BBE" w:rsidRPr="00335764" w:rsidRDefault="00DD6BBE" w:rsidP="00335764">
      <w:pPr>
        <w:pStyle w:val="ListParagraph"/>
        <w:numPr>
          <w:ilvl w:val="1"/>
          <w:numId w:val="1"/>
        </w:numPr>
        <w:spacing w:line="240" w:lineRule="auto"/>
        <w:ind w:left="851" w:hanging="851"/>
        <w:jc w:val="left"/>
        <w:rPr>
          <w:rFonts w:cs="Arial"/>
          <w:bCs/>
          <w:sz w:val="20"/>
          <w:szCs w:val="20"/>
          <w:lang w:val="en-ZA"/>
        </w:rPr>
      </w:pPr>
      <w:r w:rsidRPr="00335764">
        <w:rPr>
          <w:rFonts w:cs="Arial"/>
          <w:bCs/>
          <w:sz w:val="20"/>
          <w:szCs w:val="20"/>
          <w:lang w:val="en-ZA"/>
        </w:rPr>
        <w:lastRenderedPageBreak/>
        <w:t>The State Legal Servi</w:t>
      </w:r>
      <w:r w:rsidR="000C2D0A" w:rsidRPr="00335764">
        <w:rPr>
          <w:rFonts w:cs="Arial"/>
          <w:bCs/>
          <w:sz w:val="20"/>
          <w:szCs w:val="20"/>
          <w:lang w:val="en-ZA"/>
        </w:rPr>
        <w:t>ces programme is allocated R1.</w:t>
      </w:r>
      <w:r w:rsidR="002538F4" w:rsidRPr="00335764">
        <w:rPr>
          <w:rFonts w:cs="Arial"/>
          <w:bCs/>
          <w:sz w:val="20"/>
          <w:szCs w:val="20"/>
          <w:lang w:val="en-ZA"/>
        </w:rPr>
        <w:t>35</w:t>
      </w:r>
      <w:r w:rsidR="00B21161" w:rsidRPr="00335764">
        <w:rPr>
          <w:rFonts w:cs="Arial"/>
          <w:bCs/>
          <w:sz w:val="20"/>
          <w:szCs w:val="20"/>
          <w:lang w:val="en-ZA"/>
        </w:rPr>
        <w:t xml:space="preserve"> billion </w:t>
      </w:r>
      <w:r w:rsidR="002538F4" w:rsidRPr="00335764">
        <w:rPr>
          <w:rFonts w:cs="Arial"/>
          <w:bCs/>
          <w:sz w:val="20"/>
          <w:szCs w:val="20"/>
          <w:lang w:val="en-ZA"/>
        </w:rPr>
        <w:t xml:space="preserve">for 2023/24, </w:t>
      </w:r>
      <w:r w:rsidRPr="00335764">
        <w:rPr>
          <w:rFonts w:cs="Arial"/>
          <w:bCs/>
          <w:sz w:val="20"/>
          <w:szCs w:val="20"/>
          <w:lang w:val="en-ZA"/>
        </w:rPr>
        <w:t xml:space="preserve">compared with </w:t>
      </w:r>
      <w:r w:rsidR="00B21161" w:rsidRPr="00335764">
        <w:rPr>
          <w:rFonts w:cs="Arial"/>
          <w:bCs/>
          <w:sz w:val="20"/>
          <w:szCs w:val="20"/>
          <w:lang w:val="en-ZA"/>
        </w:rPr>
        <w:t xml:space="preserve">an adjusted budget of </w:t>
      </w:r>
      <w:r w:rsidRPr="00335764">
        <w:rPr>
          <w:rFonts w:cs="Arial"/>
          <w:bCs/>
          <w:sz w:val="20"/>
          <w:szCs w:val="20"/>
          <w:lang w:val="en-ZA"/>
        </w:rPr>
        <w:t>R1.</w:t>
      </w:r>
      <w:r w:rsidR="002538F4" w:rsidRPr="00335764">
        <w:rPr>
          <w:rFonts w:cs="Arial"/>
          <w:bCs/>
          <w:sz w:val="20"/>
          <w:szCs w:val="20"/>
          <w:lang w:val="en-ZA"/>
        </w:rPr>
        <w:t>4 billion in 2022/23. The</w:t>
      </w:r>
      <w:r w:rsidRPr="00335764">
        <w:rPr>
          <w:rFonts w:cs="Arial"/>
          <w:bCs/>
          <w:sz w:val="20"/>
          <w:szCs w:val="20"/>
          <w:lang w:val="en-ZA"/>
        </w:rPr>
        <w:t xml:space="preserve"> allocation to the programme </w:t>
      </w:r>
      <w:r w:rsidR="0023075A" w:rsidRPr="00335764">
        <w:rPr>
          <w:rFonts w:cs="Arial"/>
          <w:bCs/>
          <w:sz w:val="20"/>
          <w:szCs w:val="20"/>
          <w:lang w:val="en-ZA"/>
        </w:rPr>
        <w:t xml:space="preserve">decreases </w:t>
      </w:r>
      <w:r w:rsidRPr="00335764">
        <w:rPr>
          <w:rFonts w:cs="Arial"/>
          <w:bCs/>
          <w:sz w:val="20"/>
          <w:szCs w:val="20"/>
          <w:lang w:val="en-ZA"/>
        </w:rPr>
        <w:t xml:space="preserve">in real terms by </w:t>
      </w:r>
      <w:r w:rsidR="0023075A" w:rsidRPr="00335764">
        <w:rPr>
          <w:rFonts w:cs="Arial"/>
          <w:bCs/>
          <w:sz w:val="20"/>
          <w:szCs w:val="20"/>
          <w:lang w:val="en-ZA"/>
        </w:rPr>
        <w:t>-</w:t>
      </w:r>
      <w:r w:rsidR="002538F4" w:rsidRPr="00335764">
        <w:rPr>
          <w:rFonts w:cs="Arial"/>
          <w:bCs/>
          <w:sz w:val="20"/>
          <w:szCs w:val="20"/>
          <w:lang w:val="en-ZA"/>
        </w:rPr>
        <w:t>8.8%</w:t>
      </w:r>
      <w:r w:rsidR="00B21161" w:rsidRPr="00335764">
        <w:rPr>
          <w:rFonts w:cs="Arial"/>
          <w:bCs/>
          <w:sz w:val="20"/>
          <w:szCs w:val="20"/>
          <w:lang w:val="en-ZA"/>
        </w:rPr>
        <w:t xml:space="preserve"> from 202</w:t>
      </w:r>
      <w:r w:rsidR="002538F4" w:rsidRPr="00335764">
        <w:rPr>
          <w:rFonts w:cs="Arial"/>
          <w:bCs/>
          <w:sz w:val="20"/>
          <w:szCs w:val="20"/>
          <w:lang w:val="en-ZA"/>
        </w:rPr>
        <w:t>2/23.</w:t>
      </w:r>
      <w:r w:rsidRPr="00335764">
        <w:rPr>
          <w:rFonts w:cs="Arial"/>
          <w:bCs/>
          <w:sz w:val="20"/>
          <w:szCs w:val="20"/>
          <w:lang w:val="en-ZA"/>
        </w:rPr>
        <w:t xml:space="preserve"> </w:t>
      </w:r>
    </w:p>
    <w:p w:rsidR="008B5F6A" w:rsidRPr="00335764" w:rsidRDefault="008B5F6A" w:rsidP="00335764">
      <w:pPr>
        <w:spacing w:line="240" w:lineRule="auto"/>
        <w:ind w:left="862"/>
        <w:jc w:val="left"/>
        <w:rPr>
          <w:rFonts w:cs="Arial"/>
          <w:bCs/>
          <w:sz w:val="20"/>
          <w:szCs w:val="20"/>
          <w:lang w:val="en-ZA"/>
        </w:rPr>
      </w:pPr>
    </w:p>
    <w:p w:rsidR="00C25A99" w:rsidRPr="00335764" w:rsidRDefault="00815C10" w:rsidP="00335764">
      <w:pPr>
        <w:spacing w:line="240" w:lineRule="auto"/>
        <w:jc w:val="left"/>
        <w:rPr>
          <w:rFonts w:cs="Arial"/>
          <w:b/>
          <w:bCs/>
          <w:sz w:val="20"/>
          <w:szCs w:val="20"/>
          <w:lang w:val="en-ZA"/>
        </w:rPr>
      </w:pPr>
      <w:r w:rsidRPr="00335764">
        <w:rPr>
          <w:rFonts w:cs="Arial"/>
          <w:b/>
          <w:bCs/>
          <w:sz w:val="20"/>
          <w:szCs w:val="20"/>
          <w:lang w:val="en-ZA"/>
        </w:rPr>
        <w:t xml:space="preserve">State Legal Services: </w:t>
      </w:r>
      <w:r w:rsidR="00C25A99" w:rsidRPr="00335764">
        <w:rPr>
          <w:rFonts w:cs="Arial"/>
          <w:b/>
          <w:bCs/>
          <w:sz w:val="20"/>
          <w:szCs w:val="20"/>
          <w:lang w:val="en-ZA"/>
        </w:rPr>
        <w:t>Budget 2023 MTEF, including real percent change</w:t>
      </w: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321"/>
        <w:gridCol w:w="981"/>
        <w:gridCol w:w="1043"/>
        <w:gridCol w:w="981"/>
        <w:gridCol w:w="981"/>
        <w:gridCol w:w="2321"/>
      </w:tblGrid>
      <w:tr w:rsidR="00C25A99" w:rsidRPr="00335764" w:rsidTr="002538F4">
        <w:trPr>
          <w:cnfStyle w:val="100000000000"/>
          <w:trHeight w:val="1122"/>
          <w:tblHeader/>
        </w:trPr>
        <w:tc>
          <w:tcPr>
            <w:cnfStyle w:val="001000000000"/>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25A99" w:rsidRPr="00335764" w:rsidRDefault="00C25A99" w:rsidP="00335764">
            <w:pPr>
              <w:spacing w:line="240" w:lineRule="auto"/>
              <w:jc w:val="left"/>
              <w:rPr>
                <w:rFonts w:cs="Arial"/>
                <w:bCs w:val="0"/>
                <w:color w:val="000000" w:themeColor="text1"/>
                <w:sz w:val="20"/>
                <w:szCs w:val="20"/>
              </w:rPr>
            </w:pPr>
            <w:r w:rsidRPr="00335764">
              <w:rPr>
                <w:rFonts w:cs="Arial"/>
                <w:bCs w:val="0"/>
                <w:color w:val="000000" w:themeColor="text1"/>
                <w:sz w:val="20"/>
                <w:szCs w:val="20"/>
              </w:rPr>
              <w:t>Sub-programme</w:t>
            </w:r>
          </w:p>
        </w:tc>
        <w:tc>
          <w:tcPr>
            <w:tcW w:w="0" w:type="auto"/>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5A99" w:rsidRPr="00335764" w:rsidRDefault="00C25A99" w:rsidP="00335764">
            <w:pPr>
              <w:spacing w:line="240" w:lineRule="auto"/>
              <w:jc w:val="left"/>
              <w:cnfStyle w:val="100000000000"/>
              <w:rPr>
                <w:rFonts w:cs="Arial"/>
                <w:bCs w:val="0"/>
                <w:color w:val="000000" w:themeColor="text1"/>
                <w:sz w:val="20"/>
                <w:szCs w:val="20"/>
              </w:rPr>
            </w:pPr>
            <w:r w:rsidRPr="00335764">
              <w:rPr>
                <w:rFonts w:cs="Arial"/>
                <w:bCs w:val="0"/>
                <w:color w:val="000000" w:themeColor="text1"/>
                <w:sz w:val="20"/>
                <w:szCs w:val="20"/>
              </w:rPr>
              <w:t>Budget</w:t>
            </w:r>
          </w:p>
          <w:p w:rsidR="00C25A99" w:rsidRPr="00335764" w:rsidRDefault="00C25A99" w:rsidP="00335764">
            <w:pPr>
              <w:spacing w:line="240" w:lineRule="auto"/>
              <w:jc w:val="left"/>
              <w:cnfStyle w:val="100000000000"/>
              <w:rPr>
                <w:rFonts w:cs="Arial"/>
                <w:bCs w:val="0"/>
                <w:color w:val="000000" w:themeColor="text1"/>
                <w:sz w:val="20"/>
                <w:szCs w:val="20"/>
              </w:rPr>
            </w:pPr>
            <w:r w:rsidRPr="00335764">
              <w:rPr>
                <w:rFonts w:cs="Arial"/>
                <w:bCs w:val="0"/>
                <w:color w:val="000000" w:themeColor="text1"/>
                <w:sz w:val="20"/>
                <w:szCs w:val="20"/>
              </w:rPr>
              <w:t>R’million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5A99" w:rsidRPr="00335764" w:rsidRDefault="00C25A99" w:rsidP="00335764">
            <w:pPr>
              <w:spacing w:line="240" w:lineRule="auto"/>
              <w:jc w:val="left"/>
              <w:cnfStyle w:val="100000000000"/>
              <w:rPr>
                <w:rFonts w:cs="Arial"/>
                <w:bCs w:val="0"/>
                <w:color w:val="000000" w:themeColor="text1"/>
                <w:sz w:val="20"/>
                <w:szCs w:val="20"/>
              </w:rPr>
            </w:pPr>
            <w:r w:rsidRPr="00335764">
              <w:rPr>
                <w:rFonts w:cs="Arial"/>
                <w:bCs w:val="0"/>
                <w:color w:val="000000" w:themeColor="text1"/>
                <w:sz w:val="20"/>
                <w:szCs w:val="20"/>
              </w:rPr>
              <w:t>Real % change 2023/24</w:t>
            </w:r>
          </w:p>
        </w:tc>
      </w:tr>
      <w:tr w:rsidR="002538F4" w:rsidRPr="00335764" w:rsidTr="002538F4">
        <w:trPr>
          <w:cnfStyle w:val="100000000000"/>
          <w:trHeight w:val="264"/>
          <w:tblHeader/>
        </w:trPr>
        <w:tc>
          <w:tcPr>
            <w:cnfStyle w:val="001000000000"/>
            <w:tcW w:w="0" w:type="auto"/>
            <w:vMerge/>
            <w:tcBorders>
              <w:top w:val="single" w:sz="4" w:space="0" w:color="auto"/>
              <w:right w:val="single" w:sz="4" w:space="0" w:color="auto"/>
            </w:tcBorders>
            <w:shd w:val="clear" w:color="auto" w:fill="FFFFFF" w:themeFill="background1"/>
            <w:noWrap/>
            <w:hideMark/>
          </w:tcPr>
          <w:p w:rsidR="00C25A99" w:rsidRPr="00335764" w:rsidRDefault="00C25A99" w:rsidP="00335764">
            <w:pPr>
              <w:spacing w:line="240" w:lineRule="auto"/>
              <w:jc w:val="left"/>
              <w:rPr>
                <w:rFonts w:cs="Arial"/>
                <w:b w:val="0"/>
                <w:bCs w:val="0"/>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25A99" w:rsidRPr="00335764" w:rsidRDefault="00C25A99" w:rsidP="00335764">
            <w:pPr>
              <w:spacing w:line="240" w:lineRule="auto"/>
              <w:jc w:val="left"/>
              <w:cnfStyle w:val="100000000000"/>
              <w:rPr>
                <w:rFonts w:cs="Arial"/>
                <w:bCs w:val="0"/>
                <w:color w:val="000000" w:themeColor="text1"/>
                <w:sz w:val="20"/>
                <w:szCs w:val="20"/>
              </w:rPr>
            </w:pPr>
            <w:r w:rsidRPr="00335764">
              <w:rPr>
                <w:rFonts w:cs="Arial"/>
                <w:bCs w:val="0"/>
                <w:color w:val="000000" w:themeColor="text1"/>
                <w:sz w:val="20"/>
                <w:szCs w:val="20"/>
              </w:rPr>
              <w:t>2022/23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25A99" w:rsidRPr="00335764" w:rsidRDefault="00C25A99" w:rsidP="00335764">
            <w:pPr>
              <w:spacing w:line="240" w:lineRule="auto"/>
              <w:jc w:val="left"/>
              <w:cnfStyle w:val="100000000000"/>
              <w:rPr>
                <w:rFonts w:cs="Arial"/>
                <w:bCs w:val="0"/>
                <w:color w:val="000000" w:themeColor="text1"/>
                <w:sz w:val="20"/>
                <w:szCs w:val="20"/>
              </w:rPr>
            </w:pPr>
            <w:r w:rsidRPr="00335764">
              <w:rPr>
                <w:rFonts w:cs="Arial"/>
                <w:bCs w:val="0"/>
                <w:color w:val="000000" w:themeColor="text1"/>
                <w:sz w:val="20"/>
                <w:szCs w:val="20"/>
              </w:rPr>
              <w:t>2023/24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25A99" w:rsidRPr="00335764" w:rsidRDefault="00C25A99" w:rsidP="00335764">
            <w:pPr>
              <w:spacing w:line="240" w:lineRule="auto"/>
              <w:jc w:val="left"/>
              <w:cnfStyle w:val="100000000000"/>
              <w:rPr>
                <w:rFonts w:cs="Arial"/>
                <w:bCs w:val="0"/>
                <w:color w:val="000000" w:themeColor="text1"/>
                <w:sz w:val="20"/>
                <w:szCs w:val="20"/>
              </w:rPr>
            </w:pPr>
            <w:r w:rsidRPr="00335764">
              <w:rPr>
                <w:rFonts w:cs="Arial"/>
                <w:bCs w:val="0"/>
                <w:color w:val="000000" w:themeColor="text1"/>
                <w:sz w:val="20"/>
                <w:szCs w:val="20"/>
              </w:rPr>
              <w:t>2024/25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25A99" w:rsidRPr="00335764" w:rsidRDefault="00C25A99" w:rsidP="00335764">
            <w:pPr>
              <w:spacing w:line="240" w:lineRule="auto"/>
              <w:jc w:val="left"/>
              <w:cnfStyle w:val="100000000000"/>
              <w:rPr>
                <w:rFonts w:cs="Arial"/>
                <w:bCs w:val="0"/>
                <w:color w:val="000000" w:themeColor="text1"/>
                <w:sz w:val="20"/>
                <w:szCs w:val="20"/>
              </w:rPr>
            </w:pPr>
            <w:r w:rsidRPr="00335764">
              <w:rPr>
                <w:rFonts w:cs="Arial"/>
                <w:bCs w:val="0"/>
                <w:color w:val="000000" w:themeColor="text1"/>
                <w:sz w:val="20"/>
                <w:szCs w:val="20"/>
              </w:rPr>
              <w:t>2025/26</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C25A99" w:rsidRPr="00335764" w:rsidRDefault="00C25A99" w:rsidP="00335764">
            <w:pPr>
              <w:spacing w:line="240" w:lineRule="auto"/>
              <w:jc w:val="left"/>
              <w:cnfStyle w:val="100000000000"/>
              <w:rPr>
                <w:rFonts w:cs="Arial"/>
                <w:b w:val="0"/>
                <w:bCs w:val="0"/>
                <w:color w:val="000000" w:themeColor="text1"/>
                <w:sz w:val="20"/>
                <w:szCs w:val="20"/>
              </w:rPr>
            </w:pPr>
          </w:p>
        </w:tc>
      </w:tr>
      <w:tr w:rsidR="002538F4" w:rsidRPr="00335764" w:rsidTr="002538F4">
        <w:trPr>
          <w:cnfStyle w:val="000000100000"/>
          <w:trHeight w:val="264"/>
        </w:trPr>
        <w:tc>
          <w:tcPr>
            <w:cnfStyle w:val="001000000000"/>
            <w:tcW w:w="0" w:type="auto"/>
            <w:shd w:val="clear" w:color="auto" w:fill="FFFFFF" w:themeFill="background1"/>
            <w:noWrap/>
            <w:hideMark/>
          </w:tcPr>
          <w:p w:rsidR="00C25A99" w:rsidRPr="00335764" w:rsidRDefault="00C25A99" w:rsidP="00335764">
            <w:pPr>
              <w:spacing w:line="240" w:lineRule="auto"/>
              <w:jc w:val="left"/>
              <w:rPr>
                <w:rFonts w:cs="Arial"/>
                <w:b w:val="0"/>
                <w:color w:val="000000" w:themeColor="text1"/>
                <w:sz w:val="20"/>
                <w:szCs w:val="20"/>
              </w:rPr>
            </w:pPr>
            <w:r w:rsidRPr="00335764">
              <w:rPr>
                <w:rFonts w:cs="Arial"/>
                <w:b w:val="0"/>
                <w:color w:val="000000" w:themeColor="text1"/>
                <w:sz w:val="20"/>
                <w:szCs w:val="20"/>
              </w:rPr>
              <w:t>State Law Advisors</w:t>
            </w:r>
          </w:p>
        </w:tc>
        <w:tc>
          <w:tcPr>
            <w:tcW w:w="0" w:type="auto"/>
            <w:tcBorders>
              <w:top w:val="single" w:sz="4" w:space="0" w:color="auto"/>
            </w:tcBorders>
            <w:shd w:val="clear" w:color="auto" w:fill="FFFFFF" w:themeFill="background1"/>
            <w:noWrap/>
          </w:tcPr>
          <w:p w:rsidR="00C25A99" w:rsidRPr="00335764" w:rsidRDefault="00C25A99"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85.9</w:t>
            </w:r>
          </w:p>
        </w:tc>
        <w:tc>
          <w:tcPr>
            <w:tcW w:w="0" w:type="auto"/>
            <w:tcBorders>
              <w:top w:val="single" w:sz="4" w:space="0" w:color="auto"/>
            </w:tcBorders>
            <w:shd w:val="clear" w:color="auto" w:fill="FFFFFF" w:themeFill="background1"/>
            <w:noWrap/>
          </w:tcPr>
          <w:p w:rsidR="00C25A99" w:rsidRPr="00335764" w:rsidRDefault="00C25A99"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83.3</w:t>
            </w:r>
          </w:p>
        </w:tc>
        <w:tc>
          <w:tcPr>
            <w:tcW w:w="0" w:type="auto"/>
            <w:tcBorders>
              <w:top w:val="single" w:sz="4" w:space="0" w:color="auto"/>
            </w:tcBorders>
            <w:shd w:val="clear" w:color="auto" w:fill="FFFFFF" w:themeFill="background1"/>
          </w:tcPr>
          <w:p w:rsidR="00C25A99" w:rsidRPr="00335764" w:rsidRDefault="00C25A99"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86.9</w:t>
            </w:r>
          </w:p>
        </w:tc>
        <w:tc>
          <w:tcPr>
            <w:tcW w:w="0" w:type="auto"/>
            <w:tcBorders>
              <w:top w:val="single" w:sz="4" w:space="0" w:color="auto"/>
            </w:tcBorders>
            <w:shd w:val="clear" w:color="auto" w:fill="FFFFFF" w:themeFill="background1"/>
          </w:tcPr>
          <w:p w:rsidR="00C25A99" w:rsidRPr="00335764" w:rsidRDefault="00C25A99"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90.7</w:t>
            </w:r>
          </w:p>
        </w:tc>
        <w:tc>
          <w:tcPr>
            <w:tcW w:w="0" w:type="auto"/>
            <w:tcBorders>
              <w:top w:val="single" w:sz="4" w:space="0" w:color="auto"/>
            </w:tcBorders>
            <w:shd w:val="clear" w:color="auto" w:fill="FFFFFF" w:themeFill="background1"/>
            <w:noWrap/>
            <w:hideMark/>
          </w:tcPr>
          <w:p w:rsidR="00C25A99" w:rsidRPr="00335764" w:rsidRDefault="00C25A99"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-7.56%</w:t>
            </w:r>
          </w:p>
        </w:tc>
      </w:tr>
      <w:tr w:rsidR="002538F4" w:rsidRPr="00335764" w:rsidTr="002538F4">
        <w:trPr>
          <w:trHeight w:val="264"/>
        </w:trPr>
        <w:tc>
          <w:tcPr>
            <w:cnfStyle w:val="001000000000"/>
            <w:tcW w:w="0" w:type="auto"/>
            <w:shd w:val="clear" w:color="auto" w:fill="FFFFFF" w:themeFill="background1"/>
            <w:noWrap/>
            <w:hideMark/>
          </w:tcPr>
          <w:p w:rsidR="00C25A99" w:rsidRPr="00335764" w:rsidRDefault="00C25A99" w:rsidP="00335764">
            <w:pPr>
              <w:spacing w:line="240" w:lineRule="auto"/>
              <w:jc w:val="left"/>
              <w:rPr>
                <w:rFonts w:cs="Arial"/>
                <w:b w:val="0"/>
                <w:color w:val="000000" w:themeColor="text1"/>
                <w:sz w:val="20"/>
                <w:szCs w:val="20"/>
              </w:rPr>
            </w:pPr>
            <w:r w:rsidRPr="00335764">
              <w:rPr>
                <w:rFonts w:cs="Arial"/>
                <w:b w:val="0"/>
                <w:color w:val="000000" w:themeColor="text1"/>
                <w:sz w:val="20"/>
                <w:szCs w:val="20"/>
              </w:rPr>
              <w:t xml:space="preserve">Litigation and Legal Services </w:t>
            </w:r>
          </w:p>
        </w:tc>
        <w:tc>
          <w:tcPr>
            <w:tcW w:w="0" w:type="auto"/>
            <w:shd w:val="clear" w:color="auto" w:fill="FFFFFF" w:themeFill="background1"/>
            <w:noWrap/>
          </w:tcPr>
          <w:p w:rsidR="00C25A99" w:rsidRPr="00335764" w:rsidRDefault="00C25A99"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544.0</w:t>
            </w:r>
          </w:p>
        </w:tc>
        <w:tc>
          <w:tcPr>
            <w:tcW w:w="0" w:type="auto"/>
            <w:shd w:val="clear" w:color="auto" w:fill="FFFFFF" w:themeFill="background1"/>
            <w:noWrap/>
          </w:tcPr>
          <w:p w:rsidR="00C25A99" w:rsidRPr="00335764" w:rsidRDefault="00C25A99"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496.0</w:t>
            </w:r>
          </w:p>
        </w:tc>
        <w:tc>
          <w:tcPr>
            <w:tcW w:w="0" w:type="auto"/>
            <w:shd w:val="clear" w:color="auto" w:fill="FFFFFF" w:themeFill="background1"/>
          </w:tcPr>
          <w:p w:rsidR="00C25A99" w:rsidRPr="00335764" w:rsidRDefault="00C25A99"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516.7</w:t>
            </w:r>
          </w:p>
        </w:tc>
        <w:tc>
          <w:tcPr>
            <w:tcW w:w="0" w:type="auto"/>
            <w:shd w:val="clear" w:color="auto" w:fill="FFFFFF" w:themeFill="background1"/>
          </w:tcPr>
          <w:p w:rsidR="00C25A99" w:rsidRPr="00335764" w:rsidRDefault="00C25A99"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539.4</w:t>
            </w:r>
          </w:p>
        </w:tc>
        <w:tc>
          <w:tcPr>
            <w:tcW w:w="0" w:type="auto"/>
            <w:shd w:val="clear" w:color="auto" w:fill="FFFFFF" w:themeFill="background1"/>
            <w:noWrap/>
            <w:hideMark/>
          </w:tcPr>
          <w:p w:rsidR="00C25A99" w:rsidRPr="00335764" w:rsidRDefault="00C25A99"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-13.08%</w:t>
            </w:r>
          </w:p>
        </w:tc>
      </w:tr>
      <w:tr w:rsidR="002538F4" w:rsidRPr="00335764" w:rsidTr="002538F4">
        <w:trPr>
          <w:cnfStyle w:val="000000100000"/>
          <w:trHeight w:val="264"/>
        </w:trPr>
        <w:tc>
          <w:tcPr>
            <w:cnfStyle w:val="001000000000"/>
            <w:tcW w:w="0" w:type="auto"/>
            <w:shd w:val="clear" w:color="auto" w:fill="FFFFFF" w:themeFill="background1"/>
            <w:noWrap/>
            <w:hideMark/>
          </w:tcPr>
          <w:p w:rsidR="002538F4" w:rsidRPr="00335764" w:rsidRDefault="00C25A99" w:rsidP="00335764">
            <w:pPr>
              <w:spacing w:line="240" w:lineRule="auto"/>
              <w:jc w:val="left"/>
              <w:rPr>
                <w:rFonts w:cs="Arial"/>
                <w:b w:val="0"/>
                <w:color w:val="000000" w:themeColor="text1"/>
                <w:sz w:val="20"/>
                <w:szCs w:val="20"/>
              </w:rPr>
            </w:pPr>
            <w:r w:rsidRPr="00335764">
              <w:rPr>
                <w:rFonts w:cs="Arial"/>
                <w:b w:val="0"/>
                <w:color w:val="000000" w:themeColor="text1"/>
                <w:sz w:val="20"/>
                <w:szCs w:val="20"/>
              </w:rPr>
              <w:t xml:space="preserve">Legislative Development </w:t>
            </w:r>
          </w:p>
          <w:p w:rsidR="00C25A99" w:rsidRPr="00335764" w:rsidRDefault="00C25A99" w:rsidP="00335764">
            <w:pPr>
              <w:spacing w:line="240" w:lineRule="auto"/>
              <w:jc w:val="left"/>
              <w:rPr>
                <w:rFonts w:cs="Arial"/>
                <w:b w:val="0"/>
                <w:color w:val="000000" w:themeColor="text1"/>
                <w:sz w:val="20"/>
                <w:szCs w:val="20"/>
              </w:rPr>
            </w:pPr>
            <w:r w:rsidRPr="00335764">
              <w:rPr>
                <w:rFonts w:cs="Arial"/>
                <w:b w:val="0"/>
                <w:color w:val="000000" w:themeColor="text1"/>
                <w:sz w:val="20"/>
                <w:szCs w:val="20"/>
              </w:rPr>
              <w:t>and Law Reform</w:t>
            </w:r>
          </w:p>
        </w:tc>
        <w:tc>
          <w:tcPr>
            <w:tcW w:w="0" w:type="auto"/>
            <w:shd w:val="clear" w:color="auto" w:fill="FFFFFF" w:themeFill="background1"/>
            <w:noWrap/>
          </w:tcPr>
          <w:p w:rsidR="00C25A99" w:rsidRPr="00335764" w:rsidRDefault="00C25A99"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95.8</w:t>
            </w:r>
          </w:p>
        </w:tc>
        <w:tc>
          <w:tcPr>
            <w:tcW w:w="0" w:type="auto"/>
            <w:shd w:val="clear" w:color="auto" w:fill="FFFFFF" w:themeFill="background1"/>
            <w:noWrap/>
          </w:tcPr>
          <w:p w:rsidR="00C25A99" w:rsidRPr="00335764" w:rsidRDefault="00C25A99"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99.5</w:t>
            </w:r>
          </w:p>
        </w:tc>
        <w:tc>
          <w:tcPr>
            <w:tcW w:w="0" w:type="auto"/>
            <w:shd w:val="clear" w:color="auto" w:fill="FFFFFF" w:themeFill="background1"/>
          </w:tcPr>
          <w:p w:rsidR="00C25A99" w:rsidRPr="00335764" w:rsidRDefault="002538F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104.7</w:t>
            </w:r>
          </w:p>
        </w:tc>
        <w:tc>
          <w:tcPr>
            <w:tcW w:w="0" w:type="auto"/>
            <w:shd w:val="clear" w:color="auto" w:fill="FFFFFF" w:themeFill="background1"/>
          </w:tcPr>
          <w:p w:rsidR="00C25A99" w:rsidRPr="00335764" w:rsidRDefault="002538F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108.9</w:t>
            </w:r>
          </w:p>
        </w:tc>
        <w:tc>
          <w:tcPr>
            <w:tcW w:w="0" w:type="auto"/>
            <w:shd w:val="clear" w:color="auto" w:fill="FFFFFF" w:themeFill="background1"/>
            <w:noWrap/>
            <w:hideMark/>
          </w:tcPr>
          <w:p w:rsidR="00C25A99" w:rsidRPr="00335764" w:rsidRDefault="00C25A99"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-0.99%</w:t>
            </w:r>
          </w:p>
        </w:tc>
      </w:tr>
      <w:tr w:rsidR="002538F4" w:rsidRPr="00335764" w:rsidTr="002538F4">
        <w:trPr>
          <w:trHeight w:val="264"/>
        </w:trPr>
        <w:tc>
          <w:tcPr>
            <w:cnfStyle w:val="001000000000"/>
            <w:tcW w:w="0" w:type="auto"/>
            <w:shd w:val="clear" w:color="auto" w:fill="FFFFFF" w:themeFill="background1"/>
            <w:noWrap/>
            <w:hideMark/>
          </w:tcPr>
          <w:p w:rsidR="00C25A99" w:rsidRPr="00335764" w:rsidRDefault="00C25A99" w:rsidP="00335764">
            <w:pPr>
              <w:spacing w:line="240" w:lineRule="auto"/>
              <w:jc w:val="left"/>
              <w:rPr>
                <w:rFonts w:cs="Arial"/>
                <w:b w:val="0"/>
                <w:color w:val="000000" w:themeColor="text1"/>
                <w:sz w:val="20"/>
                <w:szCs w:val="20"/>
              </w:rPr>
            </w:pPr>
            <w:r w:rsidRPr="00335764">
              <w:rPr>
                <w:rFonts w:cs="Arial"/>
                <w:b w:val="0"/>
                <w:color w:val="000000" w:themeColor="text1"/>
                <w:sz w:val="20"/>
                <w:szCs w:val="20"/>
              </w:rPr>
              <w:t>Master of the High Court</w:t>
            </w:r>
          </w:p>
        </w:tc>
        <w:tc>
          <w:tcPr>
            <w:tcW w:w="0" w:type="auto"/>
            <w:shd w:val="clear" w:color="auto" w:fill="FFFFFF" w:themeFill="background1"/>
            <w:noWrap/>
          </w:tcPr>
          <w:p w:rsidR="00C25A99" w:rsidRPr="00335764" w:rsidRDefault="002538F4"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584.9</w:t>
            </w:r>
          </w:p>
        </w:tc>
        <w:tc>
          <w:tcPr>
            <w:tcW w:w="0" w:type="auto"/>
            <w:shd w:val="clear" w:color="auto" w:fill="FFFFFF" w:themeFill="background1"/>
            <w:noWrap/>
          </w:tcPr>
          <w:p w:rsidR="00C25A99" w:rsidRPr="00335764" w:rsidRDefault="002538F4"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572.1</w:t>
            </w:r>
          </w:p>
        </w:tc>
        <w:tc>
          <w:tcPr>
            <w:tcW w:w="0" w:type="auto"/>
            <w:shd w:val="clear" w:color="auto" w:fill="FFFFFF" w:themeFill="background1"/>
          </w:tcPr>
          <w:p w:rsidR="00C25A99" w:rsidRPr="00335764" w:rsidRDefault="002538F4"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596.2</w:t>
            </w:r>
          </w:p>
        </w:tc>
        <w:tc>
          <w:tcPr>
            <w:tcW w:w="0" w:type="auto"/>
            <w:shd w:val="clear" w:color="auto" w:fill="FFFFFF" w:themeFill="background1"/>
          </w:tcPr>
          <w:p w:rsidR="00C25A99" w:rsidRPr="00335764" w:rsidRDefault="002538F4"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621.1</w:t>
            </w:r>
          </w:p>
        </w:tc>
        <w:tc>
          <w:tcPr>
            <w:tcW w:w="0" w:type="auto"/>
            <w:shd w:val="clear" w:color="auto" w:fill="FFFFFF" w:themeFill="background1"/>
            <w:noWrap/>
            <w:hideMark/>
          </w:tcPr>
          <w:p w:rsidR="00C25A99" w:rsidRPr="00335764" w:rsidRDefault="00C25A99" w:rsidP="00335764">
            <w:pPr>
              <w:spacing w:line="240" w:lineRule="auto"/>
              <w:jc w:val="left"/>
              <w:cnfStyle w:val="000000000000"/>
              <w:rPr>
                <w:rFonts w:cs="Arial"/>
                <w:color w:val="000000" w:themeColor="text1"/>
                <w:sz w:val="20"/>
                <w:szCs w:val="20"/>
              </w:rPr>
            </w:pPr>
            <w:r w:rsidRPr="00335764">
              <w:rPr>
                <w:rFonts w:cs="Arial"/>
                <w:color w:val="000000" w:themeColor="text1"/>
                <w:sz w:val="20"/>
                <w:szCs w:val="20"/>
              </w:rPr>
              <w:t>-6.76 %</w:t>
            </w:r>
          </w:p>
        </w:tc>
      </w:tr>
      <w:tr w:rsidR="002538F4" w:rsidRPr="00335764" w:rsidTr="002538F4">
        <w:trPr>
          <w:cnfStyle w:val="000000100000"/>
          <w:trHeight w:val="264"/>
        </w:trPr>
        <w:tc>
          <w:tcPr>
            <w:cnfStyle w:val="001000000000"/>
            <w:tcW w:w="0" w:type="auto"/>
            <w:shd w:val="clear" w:color="auto" w:fill="FFFFFF" w:themeFill="background1"/>
            <w:noWrap/>
            <w:hideMark/>
          </w:tcPr>
          <w:p w:rsidR="00C25A99" w:rsidRPr="00335764" w:rsidRDefault="00C25A99" w:rsidP="00335764">
            <w:pPr>
              <w:spacing w:line="240" w:lineRule="auto"/>
              <w:jc w:val="left"/>
              <w:rPr>
                <w:rFonts w:cs="Arial"/>
                <w:b w:val="0"/>
                <w:color w:val="000000" w:themeColor="text1"/>
                <w:sz w:val="20"/>
                <w:szCs w:val="20"/>
              </w:rPr>
            </w:pPr>
            <w:r w:rsidRPr="00335764">
              <w:rPr>
                <w:rFonts w:cs="Arial"/>
                <w:b w:val="0"/>
                <w:color w:val="000000" w:themeColor="text1"/>
                <w:sz w:val="20"/>
                <w:szCs w:val="20"/>
              </w:rPr>
              <w:t xml:space="preserve">Constitutional Development </w:t>
            </w:r>
          </w:p>
        </w:tc>
        <w:tc>
          <w:tcPr>
            <w:tcW w:w="0" w:type="auto"/>
            <w:shd w:val="clear" w:color="auto" w:fill="FFFFFF" w:themeFill="background1"/>
            <w:noWrap/>
          </w:tcPr>
          <w:p w:rsidR="00C25A99" w:rsidRPr="00335764" w:rsidRDefault="002538F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97.5</w:t>
            </w:r>
          </w:p>
        </w:tc>
        <w:tc>
          <w:tcPr>
            <w:tcW w:w="0" w:type="auto"/>
            <w:shd w:val="clear" w:color="auto" w:fill="FFFFFF" w:themeFill="background1"/>
            <w:noWrap/>
          </w:tcPr>
          <w:p w:rsidR="00C25A99" w:rsidRPr="00335764" w:rsidRDefault="002538F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96.2</w:t>
            </w:r>
          </w:p>
        </w:tc>
        <w:tc>
          <w:tcPr>
            <w:tcW w:w="0" w:type="auto"/>
            <w:shd w:val="clear" w:color="auto" w:fill="FFFFFF" w:themeFill="background1"/>
          </w:tcPr>
          <w:p w:rsidR="00C25A99" w:rsidRPr="00335764" w:rsidRDefault="002538F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99.9</w:t>
            </w:r>
          </w:p>
        </w:tc>
        <w:tc>
          <w:tcPr>
            <w:tcW w:w="0" w:type="auto"/>
            <w:shd w:val="clear" w:color="auto" w:fill="FFFFFF" w:themeFill="background1"/>
          </w:tcPr>
          <w:p w:rsidR="00C25A99" w:rsidRPr="00335764" w:rsidRDefault="002538F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104.3</w:t>
            </w:r>
          </w:p>
        </w:tc>
        <w:tc>
          <w:tcPr>
            <w:tcW w:w="0" w:type="auto"/>
            <w:shd w:val="clear" w:color="auto" w:fill="FFFFFF" w:themeFill="background1"/>
            <w:noWrap/>
            <w:hideMark/>
          </w:tcPr>
          <w:p w:rsidR="00C25A99" w:rsidRPr="00335764" w:rsidRDefault="00C25A99"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-5.94%</w:t>
            </w:r>
          </w:p>
        </w:tc>
      </w:tr>
      <w:tr w:rsidR="002538F4" w:rsidRPr="00335764" w:rsidTr="002538F4">
        <w:trPr>
          <w:trHeight w:val="264"/>
        </w:trPr>
        <w:tc>
          <w:tcPr>
            <w:cnfStyle w:val="001000000000"/>
            <w:tcW w:w="0" w:type="auto"/>
            <w:shd w:val="clear" w:color="auto" w:fill="FFFFFF" w:themeFill="background1"/>
            <w:noWrap/>
            <w:hideMark/>
          </w:tcPr>
          <w:p w:rsidR="00C25A99" w:rsidRPr="00335764" w:rsidRDefault="00C25A99" w:rsidP="00335764">
            <w:pPr>
              <w:spacing w:line="240" w:lineRule="auto"/>
              <w:jc w:val="left"/>
              <w:rPr>
                <w:rFonts w:cs="Arial"/>
                <w:color w:val="000000" w:themeColor="text1"/>
                <w:sz w:val="20"/>
                <w:szCs w:val="20"/>
              </w:rPr>
            </w:pPr>
            <w:r w:rsidRPr="00335764">
              <w:rPr>
                <w:rFonts w:cs="Arial"/>
                <w:color w:val="000000" w:themeColor="text1"/>
                <w:sz w:val="20"/>
                <w:szCs w:val="20"/>
              </w:rPr>
              <w:t>TOTAL</w:t>
            </w:r>
          </w:p>
        </w:tc>
        <w:tc>
          <w:tcPr>
            <w:tcW w:w="0" w:type="auto"/>
            <w:shd w:val="clear" w:color="auto" w:fill="FFFFFF" w:themeFill="background1"/>
            <w:noWrap/>
          </w:tcPr>
          <w:p w:rsidR="00C25A99" w:rsidRPr="00335764" w:rsidRDefault="002538F4" w:rsidP="00335764">
            <w:pPr>
              <w:spacing w:line="240" w:lineRule="auto"/>
              <w:jc w:val="left"/>
              <w:cnfStyle w:val="000000000000"/>
              <w:rPr>
                <w:rFonts w:cs="Arial"/>
                <w:b/>
                <w:color w:val="000000" w:themeColor="text1"/>
                <w:sz w:val="20"/>
                <w:szCs w:val="20"/>
              </w:rPr>
            </w:pPr>
            <w:r w:rsidRPr="00335764">
              <w:rPr>
                <w:rFonts w:cs="Arial"/>
                <w:b/>
                <w:color w:val="000000" w:themeColor="text1"/>
                <w:sz w:val="20"/>
                <w:szCs w:val="20"/>
              </w:rPr>
              <w:t>1 408.1</w:t>
            </w:r>
          </w:p>
        </w:tc>
        <w:tc>
          <w:tcPr>
            <w:tcW w:w="0" w:type="auto"/>
            <w:shd w:val="clear" w:color="auto" w:fill="FFFFFF" w:themeFill="background1"/>
            <w:noWrap/>
          </w:tcPr>
          <w:p w:rsidR="00C25A99" w:rsidRPr="00335764" w:rsidRDefault="002538F4" w:rsidP="00335764">
            <w:pPr>
              <w:spacing w:line="240" w:lineRule="auto"/>
              <w:jc w:val="left"/>
              <w:cnfStyle w:val="000000000000"/>
              <w:rPr>
                <w:rFonts w:cs="Arial"/>
                <w:b/>
                <w:color w:val="000000" w:themeColor="text1"/>
                <w:sz w:val="20"/>
                <w:szCs w:val="20"/>
              </w:rPr>
            </w:pPr>
            <w:r w:rsidRPr="00335764">
              <w:rPr>
                <w:rFonts w:cs="Arial"/>
                <w:b/>
                <w:color w:val="000000" w:themeColor="text1"/>
                <w:sz w:val="20"/>
                <w:szCs w:val="20"/>
              </w:rPr>
              <w:t>1 3471.1</w:t>
            </w:r>
          </w:p>
        </w:tc>
        <w:tc>
          <w:tcPr>
            <w:tcW w:w="0" w:type="auto"/>
            <w:shd w:val="clear" w:color="auto" w:fill="FFFFFF" w:themeFill="background1"/>
          </w:tcPr>
          <w:p w:rsidR="00C25A99" w:rsidRPr="00335764" w:rsidRDefault="002538F4" w:rsidP="00335764">
            <w:pPr>
              <w:spacing w:line="240" w:lineRule="auto"/>
              <w:jc w:val="left"/>
              <w:cnfStyle w:val="000000000000"/>
              <w:rPr>
                <w:rFonts w:cs="Arial"/>
                <w:b/>
                <w:color w:val="000000" w:themeColor="text1"/>
                <w:sz w:val="20"/>
                <w:szCs w:val="20"/>
              </w:rPr>
            </w:pPr>
            <w:r w:rsidRPr="00335764">
              <w:rPr>
                <w:rFonts w:cs="Arial"/>
                <w:b/>
                <w:color w:val="000000" w:themeColor="text1"/>
                <w:sz w:val="20"/>
                <w:szCs w:val="20"/>
              </w:rPr>
              <w:t>1 404.3</w:t>
            </w:r>
          </w:p>
        </w:tc>
        <w:tc>
          <w:tcPr>
            <w:tcW w:w="0" w:type="auto"/>
            <w:shd w:val="clear" w:color="auto" w:fill="FFFFFF" w:themeFill="background1"/>
          </w:tcPr>
          <w:p w:rsidR="00C25A99" w:rsidRPr="00335764" w:rsidRDefault="002538F4" w:rsidP="00335764">
            <w:pPr>
              <w:spacing w:line="240" w:lineRule="auto"/>
              <w:jc w:val="left"/>
              <w:cnfStyle w:val="000000000000"/>
              <w:rPr>
                <w:rFonts w:cs="Arial"/>
                <w:b/>
                <w:color w:val="000000" w:themeColor="text1"/>
                <w:sz w:val="20"/>
                <w:szCs w:val="20"/>
              </w:rPr>
            </w:pPr>
            <w:r w:rsidRPr="00335764">
              <w:rPr>
                <w:rFonts w:cs="Arial"/>
                <w:b/>
                <w:color w:val="000000" w:themeColor="text1"/>
                <w:sz w:val="20"/>
                <w:szCs w:val="20"/>
              </w:rPr>
              <w:t>1 464.4</w:t>
            </w:r>
          </w:p>
        </w:tc>
        <w:tc>
          <w:tcPr>
            <w:tcW w:w="0" w:type="auto"/>
            <w:shd w:val="clear" w:color="auto" w:fill="FFFFFF" w:themeFill="background1"/>
            <w:noWrap/>
            <w:hideMark/>
          </w:tcPr>
          <w:p w:rsidR="00C25A99" w:rsidRPr="00335764" w:rsidRDefault="00C25A99" w:rsidP="00335764">
            <w:pPr>
              <w:spacing w:line="240" w:lineRule="auto"/>
              <w:jc w:val="left"/>
              <w:cnfStyle w:val="000000000000"/>
              <w:rPr>
                <w:rFonts w:cs="Arial"/>
                <w:b/>
                <w:color w:val="000000" w:themeColor="text1"/>
                <w:sz w:val="20"/>
                <w:szCs w:val="20"/>
              </w:rPr>
            </w:pPr>
            <w:r w:rsidRPr="00335764">
              <w:rPr>
                <w:rFonts w:cs="Arial"/>
                <w:b/>
                <w:color w:val="000000" w:themeColor="text1"/>
                <w:sz w:val="20"/>
                <w:szCs w:val="20"/>
              </w:rPr>
              <w:t>-8.80%</w:t>
            </w:r>
          </w:p>
        </w:tc>
      </w:tr>
      <w:tr w:rsidR="002538F4" w:rsidRPr="00335764" w:rsidTr="002538F4">
        <w:trPr>
          <w:cnfStyle w:val="000000100000"/>
          <w:trHeight w:val="264"/>
        </w:trPr>
        <w:tc>
          <w:tcPr>
            <w:cnfStyle w:val="001000000000"/>
            <w:tcW w:w="0" w:type="auto"/>
            <w:shd w:val="clear" w:color="auto" w:fill="FFFFFF" w:themeFill="background1"/>
            <w:noWrap/>
          </w:tcPr>
          <w:p w:rsidR="002538F4" w:rsidRPr="00335764" w:rsidRDefault="002538F4" w:rsidP="00335764">
            <w:pPr>
              <w:spacing w:line="240" w:lineRule="auto"/>
              <w:jc w:val="left"/>
              <w:rPr>
                <w:rFonts w:cs="Arial"/>
                <w:b w:val="0"/>
                <w:color w:val="000000" w:themeColor="text1"/>
                <w:sz w:val="20"/>
                <w:szCs w:val="20"/>
              </w:rPr>
            </w:pPr>
            <w:r w:rsidRPr="00335764">
              <w:rPr>
                <w:rFonts w:cs="Arial"/>
                <w:b w:val="0"/>
                <w:color w:val="000000" w:themeColor="text1"/>
                <w:sz w:val="20"/>
                <w:szCs w:val="20"/>
              </w:rPr>
              <w:t>Change to 2022 Budget estimate</w:t>
            </w:r>
          </w:p>
        </w:tc>
        <w:tc>
          <w:tcPr>
            <w:tcW w:w="0" w:type="auto"/>
            <w:shd w:val="clear" w:color="auto" w:fill="FFFFFF" w:themeFill="background1"/>
            <w:noWrap/>
          </w:tcPr>
          <w:p w:rsidR="002538F4" w:rsidRPr="00335764" w:rsidRDefault="002538F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85.4</w:t>
            </w:r>
          </w:p>
        </w:tc>
        <w:tc>
          <w:tcPr>
            <w:tcW w:w="0" w:type="auto"/>
            <w:shd w:val="clear" w:color="auto" w:fill="FFFFFF" w:themeFill="background1"/>
            <w:noWrap/>
          </w:tcPr>
          <w:p w:rsidR="002538F4" w:rsidRPr="00335764" w:rsidRDefault="002538F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43.8</w:t>
            </w:r>
          </w:p>
        </w:tc>
        <w:tc>
          <w:tcPr>
            <w:tcW w:w="0" w:type="auto"/>
            <w:shd w:val="clear" w:color="auto" w:fill="FFFFFF" w:themeFill="background1"/>
          </w:tcPr>
          <w:p w:rsidR="002538F4" w:rsidRPr="00335764" w:rsidRDefault="002538F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42.3</w:t>
            </w:r>
          </w:p>
        </w:tc>
        <w:tc>
          <w:tcPr>
            <w:tcW w:w="0" w:type="auto"/>
            <w:shd w:val="clear" w:color="auto" w:fill="FFFFFF" w:themeFill="background1"/>
          </w:tcPr>
          <w:p w:rsidR="002538F4" w:rsidRPr="00335764" w:rsidRDefault="002538F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w:t>
            </w:r>
          </w:p>
        </w:tc>
        <w:tc>
          <w:tcPr>
            <w:tcW w:w="0" w:type="auto"/>
            <w:shd w:val="clear" w:color="auto" w:fill="FFFFFF" w:themeFill="background1"/>
            <w:noWrap/>
          </w:tcPr>
          <w:p w:rsidR="002538F4" w:rsidRPr="00335764" w:rsidRDefault="002538F4"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w:t>
            </w:r>
          </w:p>
        </w:tc>
      </w:tr>
    </w:tbl>
    <w:p w:rsidR="00204353" w:rsidRPr="00335764" w:rsidRDefault="00204353" w:rsidP="00335764">
      <w:pPr>
        <w:spacing w:line="240" w:lineRule="auto"/>
        <w:ind w:left="862"/>
        <w:jc w:val="left"/>
        <w:rPr>
          <w:rFonts w:cs="Arial"/>
          <w:bCs/>
          <w:sz w:val="20"/>
          <w:szCs w:val="20"/>
          <w:lang w:val="en-ZA"/>
        </w:rPr>
      </w:pPr>
    </w:p>
    <w:p w:rsidR="002538F4" w:rsidRPr="00335764" w:rsidRDefault="002538F4" w:rsidP="00335764">
      <w:pPr>
        <w:pStyle w:val="ListParagraph"/>
        <w:numPr>
          <w:ilvl w:val="1"/>
          <w:numId w:val="1"/>
        </w:numPr>
        <w:spacing w:line="240" w:lineRule="auto"/>
        <w:ind w:left="851" w:hanging="851"/>
        <w:jc w:val="left"/>
        <w:rPr>
          <w:rFonts w:cs="Arial"/>
          <w:bCs/>
          <w:sz w:val="20"/>
          <w:szCs w:val="20"/>
          <w:lang w:val="en-ZA"/>
        </w:rPr>
      </w:pPr>
      <w:r w:rsidRPr="00335764">
        <w:rPr>
          <w:rFonts w:cs="Arial"/>
          <w:bCs/>
          <w:sz w:val="20"/>
          <w:szCs w:val="20"/>
          <w:lang w:val="en-ZA"/>
        </w:rPr>
        <w:t xml:space="preserve">The spending focus for the programme remains mainly on personnel (R1.18 billion), and Legal Services (R42.5 million). </w:t>
      </w:r>
    </w:p>
    <w:p w:rsidR="002538F4" w:rsidRPr="00335764" w:rsidRDefault="002538F4" w:rsidP="00335764">
      <w:pPr>
        <w:spacing w:line="240" w:lineRule="auto"/>
        <w:ind w:left="862"/>
        <w:jc w:val="left"/>
        <w:rPr>
          <w:rFonts w:cs="Arial"/>
          <w:bCs/>
          <w:sz w:val="20"/>
          <w:szCs w:val="20"/>
          <w:lang w:val="en-ZA"/>
        </w:rPr>
      </w:pPr>
    </w:p>
    <w:p w:rsidR="001B1D65" w:rsidRPr="00335764" w:rsidRDefault="001B1D65" w:rsidP="00335764">
      <w:pPr>
        <w:pStyle w:val="ListParagraph"/>
        <w:numPr>
          <w:ilvl w:val="1"/>
          <w:numId w:val="1"/>
        </w:numPr>
        <w:spacing w:line="240" w:lineRule="auto"/>
        <w:ind w:left="851" w:hanging="851"/>
        <w:jc w:val="left"/>
        <w:rPr>
          <w:rFonts w:cs="Arial"/>
          <w:bCs/>
          <w:sz w:val="20"/>
          <w:szCs w:val="20"/>
          <w:lang w:val="en-ZA"/>
        </w:rPr>
      </w:pPr>
      <w:r w:rsidRPr="00335764">
        <w:rPr>
          <w:rFonts w:cs="Arial"/>
          <w:bCs/>
          <w:i/>
          <w:sz w:val="20"/>
          <w:szCs w:val="20"/>
          <w:lang w:val="en-ZA"/>
        </w:rPr>
        <w:t xml:space="preserve">Additional </w:t>
      </w:r>
      <w:r w:rsidR="002C706D" w:rsidRPr="00335764">
        <w:rPr>
          <w:rFonts w:cs="Arial"/>
          <w:bCs/>
          <w:i/>
          <w:sz w:val="20"/>
          <w:szCs w:val="20"/>
          <w:lang w:val="en-ZA"/>
        </w:rPr>
        <w:t>b</w:t>
      </w:r>
      <w:r w:rsidRPr="00335764">
        <w:rPr>
          <w:rFonts w:cs="Arial"/>
          <w:bCs/>
          <w:i/>
          <w:sz w:val="20"/>
          <w:szCs w:val="20"/>
          <w:lang w:val="en-ZA"/>
        </w:rPr>
        <w:t>u</w:t>
      </w:r>
      <w:r w:rsidR="002C706D" w:rsidRPr="00335764">
        <w:rPr>
          <w:rFonts w:cs="Arial"/>
          <w:bCs/>
          <w:i/>
          <w:sz w:val="20"/>
          <w:szCs w:val="20"/>
          <w:lang w:val="en-ZA"/>
        </w:rPr>
        <w:t>dget s</w:t>
      </w:r>
      <w:r w:rsidRPr="00335764">
        <w:rPr>
          <w:rFonts w:cs="Arial"/>
          <w:bCs/>
          <w:i/>
          <w:sz w:val="20"/>
          <w:szCs w:val="20"/>
          <w:lang w:val="en-ZA"/>
        </w:rPr>
        <w:t>upport for APP indicators in the State Legal Services programme</w:t>
      </w:r>
      <w:r w:rsidRPr="00335764">
        <w:rPr>
          <w:rFonts w:cs="Arial"/>
          <w:bCs/>
          <w:sz w:val="20"/>
          <w:szCs w:val="20"/>
          <w:lang w:val="en-ZA"/>
        </w:rPr>
        <w:t>: For the Department to continue to carry out its work of co-ordinating and contributing to the implementation of the National Action Plan for Combating Racism, Racial Discrimination, Xenophobia and Related Intolerances, R5.1 million is allocated over the medium term. A virtual repository is to be developed in 2023/24 to provide disaggregated statistical data for the measurement of racism, racial discrimination xenophobia and related intolerance is to be developed by 31 March 2024.</w:t>
      </w:r>
    </w:p>
    <w:p w:rsidR="001B1D65" w:rsidRPr="00335764" w:rsidRDefault="001B1D65" w:rsidP="00335764">
      <w:pPr>
        <w:spacing w:line="240" w:lineRule="auto"/>
        <w:ind w:left="862"/>
        <w:jc w:val="left"/>
        <w:rPr>
          <w:rFonts w:cs="Arial"/>
          <w:bCs/>
          <w:sz w:val="20"/>
          <w:szCs w:val="20"/>
          <w:lang w:val="en-ZA"/>
        </w:rPr>
      </w:pPr>
    </w:p>
    <w:p w:rsidR="00B21161" w:rsidRPr="00335764" w:rsidRDefault="001B1D65" w:rsidP="00335764">
      <w:pPr>
        <w:pStyle w:val="ListParagraph"/>
        <w:numPr>
          <w:ilvl w:val="1"/>
          <w:numId w:val="1"/>
        </w:numPr>
        <w:spacing w:line="240" w:lineRule="auto"/>
        <w:ind w:left="851" w:hanging="851"/>
        <w:jc w:val="left"/>
        <w:rPr>
          <w:rFonts w:cs="Arial"/>
          <w:bCs/>
          <w:sz w:val="20"/>
          <w:szCs w:val="20"/>
          <w:lang w:val="en-ZA"/>
        </w:rPr>
      </w:pPr>
      <w:r w:rsidRPr="00335764">
        <w:rPr>
          <w:rFonts w:cs="Arial"/>
          <w:bCs/>
          <w:i/>
          <w:sz w:val="20"/>
          <w:szCs w:val="20"/>
          <w:lang w:val="en-ZA"/>
        </w:rPr>
        <w:t xml:space="preserve">Personnel. </w:t>
      </w:r>
      <w:r w:rsidR="003C5DE3" w:rsidRPr="00335764">
        <w:rPr>
          <w:rFonts w:cs="Arial"/>
          <w:bCs/>
          <w:sz w:val="20"/>
          <w:szCs w:val="20"/>
          <w:lang w:val="en-ZA"/>
        </w:rPr>
        <w:t xml:space="preserve">As </w:t>
      </w:r>
      <w:r w:rsidR="001E3C09" w:rsidRPr="00335764">
        <w:rPr>
          <w:rFonts w:cs="Arial"/>
          <w:bCs/>
          <w:sz w:val="20"/>
          <w:szCs w:val="20"/>
          <w:lang w:val="en-ZA"/>
        </w:rPr>
        <w:t>of</w:t>
      </w:r>
      <w:r w:rsidR="003C5DE3" w:rsidRPr="00335764">
        <w:rPr>
          <w:rFonts w:cs="Arial"/>
          <w:bCs/>
          <w:sz w:val="20"/>
          <w:szCs w:val="20"/>
          <w:lang w:val="en-ZA"/>
        </w:rPr>
        <w:t xml:space="preserve"> 1 January 2023, t</w:t>
      </w:r>
      <w:r w:rsidR="002538F4" w:rsidRPr="00335764">
        <w:rPr>
          <w:rFonts w:cs="Arial"/>
          <w:bCs/>
          <w:sz w:val="20"/>
          <w:szCs w:val="20"/>
          <w:lang w:val="en-ZA"/>
        </w:rPr>
        <w:t>he programme ha</w:t>
      </w:r>
      <w:r w:rsidR="00B16A2F" w:rsidRPr="00335764">
        <w:rPr>
          <w:rFonts w:cs="Arial"/>
          <w:bCs/>
          <w:sz w:val="20"/>
          <w:szCs w:val="20"/>
          <w:lang w:val="en-ZA"/>
        </w:rPr>
        <w:t>d</w:t>
      </w:r>
      <w:r w:rsidR="002538F4" w:rsidRPr="00335764">
        <w:rPr>
          <w:rFonts w:cs="Arial"/>
          <w:bCs/>
          <w:sz w:val="20"/>
          <w:szCs w:val="20"/>
          <w:lang w:val="en-ZA"/>
        </w:rPr>
        <w:t xml:space="preserve"> 2 349 posts, of which 270 </w:t>
      </w:r>
      <w:r w:rsidRPr="00335764">
        <w:rPr>
          <w:rFonts w:cs="Arial"/>
          <w:bCs/>
          <w:sz w:val="20"/>
          <w:szCs w:val="20"/>
          <w:lang w:val="en-ZA"/>
        </w:rPr>
        <w:t xml:space="preserve">posts are currently vacant. </w:t>
      </w:r>
      <w:r w:rsidR="002538F4" w:rsidRPr="00335764">
        <w:rPr>
          <w:rFonts w:cs="Arial"/>
          <w:bCs/>
          <w:sz w:val="20"/>
          <w:szCs w:val="20"/>
          <w:lang w:val="en-ZA"/>
        </w:rPr>
        <w:t xml:space="preserve">This represents a vacancy rate of 11.5% </w:t>
      </w:r>
      <w:r w:rsidRPr="00335764">
        <w:rPr>
          <w:rFonts w:cs="Arial"/>
          <w:bCs/>
          <w:sz w:val="20"/>
          <w:szCs w:val="20"/>
          <w:lang w:val="en-ZA"/>
        </w:rPr>
        <w:t xml:space="preserve">which is a </w:t>
      </w:r>
      <w:r w:rsidR="002538F4" w:rsidRPr="00335764">
        <w:rPr>
          <w:rFonts w:cs="Arial"/>
          <w:bCs/>
          <w:sz w:val="20"/>
          <w:szCs w:val="20"/>
          <w:lang w:val="en-ZA"/>
        </w:rPr>
        <w:t>slight increase from the previous financial year</w:t>
      </w:r>
      <w:r w:rsidRPr="00335764">
        <w:rPr>
          <w:rFonts w:cs="Arial"/>
          <w:bCs/>
          <w:sz w:val="20"/>
          <w:szCs w:val="20"/>
          <w:lang w:val="en-ZA"/>
        </w:rPr>
        <w:t xml:space="preserve"> at </w:t>
      </w:r>
      <w:r w:rsidR="002538F4" w:rsidRPr="00335764">
        <w:rPr>
          <w:rFonts w:cs="Arial"/>
          <w:bCs/>
          <w:sz w:val="20"/>
          <w:szCs w:val="20"/>
          <w:lang w:val="en-ZA"/>
        </w:rPr>
        <w:t>11.4%</w:t>
      </w:r>
      <w:r w:rsidR="003C5DE3" w:rsidRPr="00335764">
        <w:rPr>
          <w:rFonts w:cs="Arial"/>
          <w:bCs/>
          <w:sz w:val="20"/>
          <w:szCs w:val="20"/>
          <w:lang w:val="en-ZA"/>
        </w:rPr>
        <w:t>.</w:t>
      </w:r>
    </w:p>
    <w:p w:rsidR="000C2D0A" w:rsidRPr="00335764" w:rsidRDefault="000C2D0A" w:rsidP="00335764">
      <w:pPr>
        <w:pStyle w:val="ListParagraph"/>
        <w:spacing w:line="240" w:lineRule="auto"/>
        <w:jc w:val="left"/>
        <w:rPr>
          <w:rFonts w:cs="Arial"/>
          <w:bCs/>
          <w:sz w:val="20"/>
          <w:szCs w:val="20"/>
          <w:lang w:val="en-ZA"/>
        </w:rPr>
      </w:pPr>
    </w:p>
    <w:p w:rsidR="00BA1246" w:rsidRPr="00335764" w:rsidRDefault="00BA1246" w:rsidP="00335764">
      <w:pPr>
        <w:pStyle w:val="ListParagraph"/>
        <w:spacing w:line="240" w:lineRule="auto"/>
        <w:jc w:val="left"/>
        <w:rPr>
          <w:rFonts w:cs="Arial"/>
          <w:bCs/>
          <w:sz w:val="20"/>
          <w:szCs w:val="20"/>
          <w:lang w:val="en-ZA"/>
        </w:rPr>
      </w:pPr>
    </w:p>
    <w:p w:rsidR="006D4FAD" w:rsidRPr="00335764" w:rsidRDefault="00FE2267" w:rsidP="00335764">
      <w:pPr>
        <w:numPr>
          <w:ilvl w:val="0"/>
          <w:numId w:val="1"/>
        </w:numPr>
        <w:tabs>
          <w:tab w:val="clear" w:pos="375"/>
        </w:tabs>
        <w:spacing w:line="240" w:lineRule="auto"/>
        <w:ind w:left="851" w:hanging="851"/>
        <w:jc w:val="left"/>
        <w:rPr>
          <w:rFonts w:cs="Arial"/>
          <w:b/>
          <w:sz w:val="20"/>
          <w:szCs w:val="20"/>
        </w:rPr>
      </w:pPr>
      <w:r w:rsidRPr="00335764">
        <w:rPr>
          <w:rFonts w:cs="Arial"/>
          <w:b/>
          <w:sz w:val="20"/>
          <w:szCs w:val="20"/>
        </w:rPr>
        <w:t xml:space="preserve">Programme 4: </w:t>
      </w:r>
      <w:r w:rsidR="006D4FAD" w:rsidRPr="00335764">
        <w:rPr>
          <w:rFonts w:cs="Arial"/>
          <w:b/>
          <w:sz w:val="20"/>
          <w:szCs w:val="20"/>
        </w:rPr>
        <w:t>National Prosecuting Authority</w:t>
      </w:r>
    </w:p>
    <w:p w:rsidR="009B071A" w:rsidRPr="00335764" w:rsidRDefault="009B071A" w:rsidP="00335764">
      <w:pPr>
        <w:autoSpaceDE w:val="0"/>
        <w:autoSpaceDN w:val="0"/>
        <w:adjustRightInd w:val="0"/>
        <w:spacing w:line="240" w:lineRule="auto"/>
        <w:jc w:val="left"/>
        <w:rPr>
          <w:rFonts w:cs="Arial"/>
          <w:b/>
          <w:sz w:val="20"/>
          <w:szCs w:val="20"/>
        </w:rPr>
      </w:pPr>
    </w:p>
    <w:p w:rsidR="00004ECD" w:rsidRPr="00335764" w:rsidRDefault="00A57FB5" w:rsidP="00335764">
      <w:pPr>
        <w:pStyle w:val="ListParagraph"/>
        <w:numPr>
          <w:ilvl w:val="1"/>
          <w:numId w:val="1"/>
        </w:numPr>
        <w:spacing w:line="240" w:lineRule="auto"/>
        <w:ind w:left="851" w:hanging="851"/>
        <w:jc w:val="left"/>
        <w:rPr>
          <w:rFonts w:cs="Arial"/>
          <w:bCs/>
          <w:sz w:val="20"/>
          <w:szCs w:val="20"/>
        </w:rPr>
      </w:pPr>
      <w:r w:rsidRPr="00335764">
        <w:rPr>
          <w:rFonts w:cs="Arial"/>
          <w:bCs/>
          <w:sz w:val="20"/>
          <w:szCs w:val="20"/>
        </w:rPr>
        <w:t>The NPA provides a co</w:t>
      </w:r>
      <w:r w:rsidR="00AB3C0F" w:rsidRPr="00335764">
        <w:rPr>
          <w:rFonts w:cs="Arial"/>
          <w:bCs/>
          <w:sz w:val="20"/>
          <w:szCs w:val="20"/>
        </w:rPr>
        <w:t>-</w:t>
      </w:r>
      <w:r w:rsidRPr="00335764">
        <w:rPr>
          <w:rFonts w:cs="Arial"/>
          <w:bCs/>
          <w:sz w:val="20"/>
          <w:szCs w:val="20"/>
        </w:rPr>
        <w:t xml:space="preserve">ordinated prosecuting service that ensures that justice is </w:t>
      </w:r>
      <w:r w:rsidR="00AE1708" w:rsidRPr="00335764">
        <w:rPr>
          <w:rFonts w:cs="Arial"/>
          <w:bCs/>
          <w:sz w:val="20"/>
          <w:szCs w:val="20"/>
        </w:rPr>
        <w:t>delivered</w:t>
      </w:r>
      <w:r w:rsidRPr="00335764">
        <w:rPr>
          <w:rFonts w:cs="Arial"/>
          <w:bCs/>
          <w:sz w:val="20"/>
          <w:szCs w:val="20"/>
        </w:rPr>
        <w:t xml:space="preserve"> to the victims of crime through general and </w:t>
      </w:r>
      <w:r w:rsidR="00AE1708" w:rsidRPr="00335764">
        <w:rPr>
          <w:rFonts w:cs="Arial"/>
          <w:bCs/>
          <w:sz w:val="20"/>
          <w:szCs w:val="20"/>
        </w:rPr>
        <w:t>specialized</w:t>
      </w:r>
      <w:r w:rsidR="00F6763D" w:rsidRPr="00335764">
        <w:rPr>
          <w:rFonts w:cs="Arial"/>
          <w:bCs/>
          <w:sz w:val="20"/>
          <w:szCs w:val="20"/>
        </w:rPr>
        <w:t xml:space="preserve"> prosecutions;</w:t>
      </w:r>
      <w:r w:rsidRPr="00335764">
        <w:rPr>
          <w:rFonts w:cs="Arial"/>
          <w:bCs/>
          <w:sz w:val="20"/>
          <w:szCs w:val="20"/>
        </w:rPr>
        <w:t xml:space="preserve"> removes the profit from crime</w:t>
      </w:r>
      <w:r w:rsidR="00F6763D" w:rsidRPr="00335764">
        <w:rPr>
          <w:rFonts w:cs="Arial"/>
          <w:bCs/>
          <w:sz w:val="20"/>
          <w:szCs w:val="20"/>
        </w:rPr>
        <w:t>;</w:t>
      </w:r>
      <w:r w:rsidRPr="00335764">
        <w:rPr>
          <w:rFonts w:cs="Arial"/>
          <w:bCs/>
          <w:sz w:val="20"/>
          <w:szCs w:val="20"/>
        </w:rPr>
        <w:t xml:space="preserve"> and protects certain witnesses. </w:t>
      </w:r>
      <w:r w:rsidR="00ED0C55" w:rsidRPr="00335764">
        <w:rPr>
          <w:rFonts w:cs="Arial"/>
          <w:bCs/>
          <w:sz w:val="20"/>
          <w:szCs w:val="20"/>
        </w:rPr>
        <w:t>The NPA also forms part of the Anti-Corruption Task</w:t>
      </w:r>
      <w:r w:rsidR="00D44B58" w:rsidRPr="00335764">
        <w:rPr>
          <w:rFonts w:cs="Arial"/>
          <w:bCs/>
          <w:sz w:val="20"/>
          <w:szCs w:val="20"/>
        </w:rPr>
        <w:t xml:space="preserve"> </w:t>
      </w:r>
      <w:r w:rsidR="004D5129" w:rsidRPr="00335764">
        <w:rPr>
          <w:rFonts w:cs="Arial"/>
          <w:bCs/>
          <w:sz w:val="20"/>
          <w:szCs w:val="20"/>
        </w:rPr>
        <w:t xml:space="preserve">Team </w:t>
      </w:r>
      <w:r w:rsidR="00D44B58" w:rsidRPr="00335764">
        <w:rPr>
          <w:rFonts w:cs="Arial"/>
          <w:bCs/>
          <w:sz w:val="20"/>
          <w:szCs w:val="20"/>
        </w:rPr>
        <w:t>(ACTT)</w:t>
      </w:r>
      <w:r w:rsidR="00380E87" w:rsidRPr="00335764">
        <w:rPr>
          <w:rFonts w:cs="Arial"/>
          <w:bCs/>
          <w:sz w:val="20"/>
          <w:szCs w:val="20"/>
        </w:rPr>
        <w:t>.</w:t>
      </w:r>
    </w:p>
    <w:p w:rsidR="00380E87" w:rsidRPr="00335764" w:rsidRDefault="00380E87" w:rsidP="00335764">
      <w:pPr>
        <w:pStyle w:val="ListParagraph"/>
        <w:spacing w:line="240" w:lineRule="auto"/>
        <w:jc w:val="left"/>
        <w:rPr>
          <w:rFonts w:cs="Arial"/>
          <w:sz w:val="20"/>
          <w:szCs w:val="20"/>
        </w:rPr>
      </w:pPr>
    </w:p>
    <w:p w:rsidR="00535ACC" w:rsidRPr="00335764" w:rsidRDefault="00535ACC" w:rsidP="00335764">
      <w:pPr>
        <w:pStyle w:val="ListParagraph"/>
        <w:numPr>
          <w:ilvl w:val="1"/>
          <w:numId w:val="1"/>
        </w:numPr>
        <w:spacing w:line="240" w:lineRule="auto"/>
        <w:ind w:left="851" w:hanging="851"/>
        <w:jc w:val="left"/>
        <w:rPr>
          <w:rFonts w:cs="Arial"/>
          <w:bCs/>
          <w:sz w:val="20"/>
          <w:szCs w:val="20"/>
          <w:lang w:val="en-ZA"/>
        </w:rPr>
      </w:pPr>
      <w:r w:rsidRPr="00335764">
        <w:rPr>
          <w:rFonts w:cs="Arial"/>
          <w:bCs/>
          <w:sz w:val="20"/>
          <w:szCs w:val="20"/>
          <w:lang w:val="en-ZA"/>
        </w:rPr>
        <w:t xml:space="preserve">The programme </w:t>
      </w:r>
      <w:r w:rsidR="008C5460" w:rsidRPr="00335764">
        <w:rPr>
          <w:rFonts w:cs="Arial"/>
          <w:bCs/>
          <w:sz w:val="20"/>
          <w:szCs w:val="20"/>
          <w:lang w:val="en-ZA"/>
        </w:rPr>
        <w:t xml:space="preserve">has </w:t>
      </w:r>
      <w:r w:rsidRPr="00335764">
        <w:rPr>
          <w:rFonts w:cs="Arial"/>
          <w:bCs/>
          <w:sz w:val="20"/>
          <w:szCs w:val="20"/>
          <w:lang w:val="en-ZA"/>
        </w:rPr>
        <w:t>the following sub-programmes:</w:t>
      </w:r>
    </w:p>
    <w:p w:rsidR="00535ACC" w:rsidRPr="00335764" w:rsidRDefault="00535ACC" w:rsidP="00335764">
      <w:pPr>
        <w:numPr>
          <w:ilvl w:val="0"/>
          <w:numId w:val="2"/>
        </w:numPr>
        <w:autoSpaceDE w:val="0"/>
        <w:autoSpaceDN w:val="0"/>
        <w:adjustRightInd w:val="0"/>
        <w:spacing w:line="240" w:lineRule="auto"/>
        <w:ind w:hanging="502"/>
        <w:jc w:val="left"/>
        <w:rPr>
          <w:rFonts w:cs="Arial"/>
          <w:bCs/>
          <w:sz w:val="20"/>
          <w:szCs w:val="20"/>
          <w:lang w:val="en-ZA"/>
        </w:rPr>
      </w:pPr>
      <w:r w:rsidRPr="00335764">
        <w:rPr>
          <w:rFonts w:cs="Arial"/>
          <w:bCs/>
          <w:sz w:val="20"/>
          <w:szCs w:val="20"/>
          <w:lang w:val="en-ZA"/>
        </w:rPr>
        <w:t>National Prosecutions Service: Primarily responsible for general and specialised prosecutions and the appeals that might follow, which include resolving criminal matters outside of the formal trial process through alternative dispute resolution mechanisms, settling admissions of guilt for minor offences and considering dockets brought by the police where persons have not been charged. This sub-programme further deals with priority crimes litigation, sexual offences, and community affairs and specialised commercial crimes.</w:t>
      </w:r>
    </w:p>
    <w:p w:rsidR="00874484" w:rsidRPr="00335764" w:rsidRDefault="00874484" w:rsidP="00335764">
      <w:pPr>
        <w:pStyle w:val="ListParagraph"/>
        <w:numPr>
          <w:ilvl w:val="0"/>
          <w:numId w:val="5"/>
        </w:numPr>
        <w:spacing w:line="240" w:lineRule="auto"/>
        <w:ind w:hanging="589"/>
        <w:jc w:val="left"/>
        <w:rPr>
          <w:rFonts w:cs="Arial"/>
          <w:bCs/>
          <w:sz w:val="20"/>
          <w:szCs w:val="20"/>
          <w:lang w:val="en-ZA"/>
        </w:rPr>
      </w:pPr>
      <w:r w:rsidRPr="00335764">
        <w:rPr>
          <w:rFonts w:cs="Arial"/>
          <w:bCs/>
          <w:sz w:val="20"/>
          <w:szCs w:val="20"/>
          <w:lang w:val="en-ZA"/>
        </w:rPr>
        <w:t xml:space="preserve">Investigating Directorate </w:t>
      </w:r>
      <w:r w:rsidR="008C5460" w:rsidRPr="00335764">
        <w:rPr>
          <w:rFonts w:cs="Arial"/>
          <w:bCs/>
          <w:sz w:val="20"/>
          <w:szCs w:val="20"/>
          <w:lang w:val="en-ZA"/>
        </w:rPr>
        <w:t>provides</w:t>
      </w:r>
      <w:r w:rsidRPr="00335764">
        <w:rPr>
          <w:rFonts w:cs="Arial"/>
          <w:bCs/>
          <w:sz w:val="20"/>
          <w:szCs w:val="20"/>
          <w:lang w:val="en-ZA"/>
        </w:rPr>
        <w:t xml:space="preserve"> </w:t>
      </w:r>
      <w:r w:rsidR="008C5460" w:rsidRPr="00335764">
        <w:rPr>
          <w:rFonts w:cs="Arial"/>
          <w:bCs/>
          <w:sz w:val="20"/>
          <w:szCs w:val="20"/>
          <w:lang w:val="en-ZA"/>
        </w:rPr>
        <w:t>for</w:t>
      </w:r>
      <w:r w:rsidRPr="00335764">
        <w:rPr>
          <w:rFonts w:cs="Arial"/>
          <w:bCs/>
          <w:sz w:val="20"/>
          <w:szCs w:val="20"/>
          <w:lang w:val="en-ZA"/>
        </w:rPr>
        <w:t xml:space="preserve"> </w:t>
      </w:r>
      <w:r w:rsidR="008C5460" w:rsidRPr="00335764">
        <w:rPr>
          <w:rFonts w:cs="Arial"/>
          <w:bCs/>
          <w:sz w:val="20"/>
          <w:szCs w:val="20"/>
          <w:lang w:val="en-ZA"/>
        </w:rPr>
        <w:t>the</w:t>
      </w:r>
      <w:r w:rsidRPr="00335764">
        <w:rPr>
          <w:rFonts w:cs="Arial"/>
          <w:bCs/>
          <w:sz w:val="20"/>
          <w:szCs w:val="20"/>
          <w:lang w:val="en-ZA"/>
        </w:rPr>
        <w:t xml:space="preserve"> Investigating Directorate, </w:t>
      </w:r>
      <w:r w:rsidR="00020E20" w:rsidRPr="00335764">
        <w:rPr>
          <w:rFonts w:cs="Arial"/>
          <w:bCs/>
          <w:sz w:val="20"/>
          <w:szCs w:val="20"/>
          <w:lang w:val="en-ZA"/>
        </w:rPr>
        <w:t xml:space="preserve">established in the Office of the National Director of Public Prosecutions, </w:t>
      </w:r>
      <w:r w:rsidRPr="00335764">
        <w:rPr>
          <w:rFonts w:cs="Arial"/>
          <w:bCs/>
          <w:sz w:val="20"/>
          <w:szCs w:val="20"/>
          <w:lang w:val="en-ZA"/>
        </w:rPr>
        <w:t xml:space="preserve">to deal with offences </w:t>
      </w:r>
      <w:r w:rsidR="008C5460" w:rsidRPr="00335764">
        <w:rPr>
          <w:rFonts w:cs="Arial"/>
          <w:bCs/>
          <w:sz w:val="20"/>
          <w:szCs w:val="20"/>
          <w:lang w:val="en-ZA"/>
        </w:rPr>
        <w:t>or</w:t>
      </w:r>
      <w:r w:rsidRPr="00335764">
        <w:rPr>
          <w:rFonts w:cs="Arial"/>
          <w:bCs/>
          <w:sz w:val="20"/>
          <w:szCs w:val="20"/>
          <w:lang w:val="en-ZA"/>
        </w:rPr>
        <w:t xml:space="preserve"> </w:t>
      </w:r>
      <w:r w:rsidR="008C5460" w:rsidRPr="00335764">
        <w:rPr>
          <w:rFonts w:cs="Arial"/>
          <w:bCs/>
          <w:sz w:val="20"/>
          <w:szCs w:val="20"/>
          <w:lang w:val="en-ZA"/>
        </w:rPr>
        <w:t>criminal</w:t>
      </w:r>
      <w:r w:rsidRPr="00335764">
        <w:rPr>
          <w:rFonts w:cs="Arial"/>
          <w:bCs/>
          <w:sz w:val="20"/>
          <w:szCs w:val="20"/>
          <w:lang w:val="en-ZA"/>
        </w:rPr>
        <w:t xml:space="preserve"> or unlawful </w:t>
      </w:r>
      <w:r w:rsidR="008C5460" w:rsidRPr="00335764">
        <w:rPr>
          <w:rFonts w:cs="Arial"/>
          <w:bCs/>
          <w:sz w:val="20"/>
          <w:szCs w:val="20"/>
          <w:lang w:val="en-ZA"/>
        </w:rPr>
        <w:t>a</w:t>
      </w:r>
      <w:r w:rsidRPr="00335764">
        <w:rPr>
          <w:rFonts w:cs="Arial"/>
          <w:bCs/>
          <w:sz w:val="20"/>
          <w:szCs w:val="20"/>
          <w:lang w:val="en-ZA"/>
        </w:rPr>
        <w:t xml:space="preserve">ctivities involving serious, </w:t>
      </w:r>
      <w:r w:rsidR="008C5460" w:rsidRPr="00335764">
        <w:rPr>
          <w:rFonts w:cs="Arial"/>
          <w:bCs/>
          <w:sz w:val="20"/>
          <w:szCs w:val="20"/>
          <w:lang w:val="en-ZA"/>
        </w:rPr>
        <w:t>high</w:t>
      </w:r>
      <w:r w:rsidR="008C5460" w:rsidRPr="00335764">
        <w:rPr>
          <w:rFonts w:ascii="Times New Roman" w:hAnsi="Times New Roman" w:cs="Arial"/>
          <w:bCs/>
          <w:sz w:val="20"/>
          <w:szCs w:val="20"/>
          <w:lang w:val="en-ZA"/>
        </w:rPr>
        <w:t>‐</w:t>
      </w:r>
      <w:r w:rsidR="008C5460" w:rsidRPr="00335764">
        <w:rPr>
          <w:rFonts w:cs="Arial"/>
          <w:bCs/>
          <w:sz w:val="20"/>
          <w:szCs w:val="20"/>
          <w:lang w:val="en-ZA"/>
        </w:rPr>
        <w:t xml:space="preserve"> profile</w:t>
      </w:r>
      <w:r w:rsidRPr="00335764">
        <w:rPr>
          <w:rFonts w:cs="Arial"/>
          <w:bCs/>
          <w:sz w:val="20"/>
          <w:szCs w:val="20"/>
          <w:lang w:val="en-ZA"/>
        </w:rPr>
        <w:t xml:space="preserve"> and complex corruption, including allegations of corruption arising from commissions of </w:t>
      </w:r>
      <w:r w:rsidR="008C5460" w:rsidRPr="00335764">
        <w:rPr>
          <w:rFonts w:cs="Arial"/>
          <w:bCs/>
          <w:sz w:val="20"/>
          <w:szCs w:val="20"/>
          <w:lang w:val="en-ZA"/>
        </w:rPr>
        <w:t>inquiry.</w:t>
      </w:r>
    </w:p>
    <w:p w:rsidR="00535ACC" w:rsidRPr="00335764" w:rsidRDefault="00535ACC" w:rsidP="00335764">
      <w:pPr>
        <w:pStyle w:val="ListParagraph"/>
        <w:numPr>
          <w:ilvl w:val="0"/>
          <w:numId w:val="5"/>
        </w:numPr>
        <w:spacing w:line="240" w:lineRule="auto"/>
        <w:ind w:hanging="589"/>
        <w:jc w:val="left"/>
        <w:rPr>
          <w:rFonts w:cs="Arial"/>
          <w:bCs/>
          <w:sz w:val="20"/>
          <w:szCs w:val="20"/>
          <w:lang w:val="en-ZA"/>
        </w:rPr>
      </w:pPr>
      <w:r w:rsidRPr="00335764">
        <w:rPr>
          <w:rFonts w:cs="Arial"/>
          <w:bCs/>
          <w:sz w:val="20"/>
          <w:szCs w:val="20"/>
          <w:lang w:val="en-ZA"/>
        </w:rPr>
        <w:t>Assets Forfeiture Unit: Seizes assets that are the proceeds of crime or have been part of the offence through a criminal or civil process.</w:t>
      </w:r>
    </w:p>
    <w:p w:rsidR="001F31BB" w:rsidRPr="00335764" w:rsidRDefault="00535ACC" w:rsidP="00335764">
      <w:pPr>
        <w:pStyle w:val="ListParagraph"/>
        <w:numPr>
          <w:ilvl w:val="0"/>
          <w:numId w:val="5"/>
        </w:numPr>
        <w:spacing w:line="240" w:lineRule="auto"/>
        <w:ind w:hanging="589"/>
        <w:jc w:val="left"/>
        <w:rPr>
          <w:rFonts w:cs="Arial"/>
          <w:bCs/>
          <w:sz w:val="20"/>
          <w:szCs w:val="20"/>
          <w:lang w:val="en-ZA"/>
        </w:rPr>
      </w:pPr>
      <w:r w:rsidRPr="00335764">
        <w:rPr>
          <w:rFonts w:cs="Arial"/>
          <w:bCs/>
          <w:sz w:val="20"/>
          <w:szCs w:val="20"/>
          <w:lang w:val="en-ZA"/>
        </w:rPr>
        <w:lastRenderedPageBreak/>
        <w:t>Office of Witness Protection: Provides for protection, support and related services to vulnerable, intimidated witnesses and related persons in judicial proceedings in terms of the Witness Protection Act (1998).</w:t>
      </w:r>
    </w:p>
    <w:p w:rsidR="008C5460" w:rsidRPr="00335764" w:rsidRDefault="00874484" w:rsidP="00335764">
      <w:pPr>
        <w:pStyle w:val="ListParagraph"/>
        <w:numPr>
          <w:ilvl w:val="0"/>
          <w:numId w:val="5"/>
        </w:numPr>
        <w:spacing w:line="240" w:lineRule="auto"/>
        <w:ind w:hanging="589"/>
        <w:jc w:val="left"/>
        <w:rPr>
          <w:rFonts w:cs="Arial"/>
          <w:bCs/>
          <w:sz w:val="20"/>
          <w:szCs w:val="20"/>
          <w:lang w:val="en-ZA"/>
        </w:rPr>
      </w:pPr>
      <w:r w:rsidRPr="00335764">
        <w:rPr>
          <w:rFonts w:cs="Arial"/>
          <w:bCs/>
          <w:sz w:val="20"/>
          <w:szCs w:val="20"/>
          <w:lang w:val="en-ZA"/>
        </w:rPr>
        <w:t xml:space="preserve">Support Services </w:t>
      </w:r>
      <w:r w:rsidR="008C5460" w:rsidRPr="00335764">
        <w:rPr>
          <w:rFonts w:cs="Arial"/>
          <w:bCs/>
          <w:sz w:val="20"/>
          <w:szCs w:val="20"/>
          <w:lang w:val="en-ZA"/>
        </w:rPr>
        <w:t>pro</w:t>
      </w:r>
      <w:r w:rsidRPr="00335764">
        <w:rPr>
          <w:rFonts w:cs="Arial"/>
          <w:bCs/>
          <w:sz w:val="20"/>
          <w:szCs w:val="20"/>
          <w:lang w:val="en-ZA"/>
        </w:rPr>
        <w:t xml:space="preserve">vides corporate support services to the NPA in terms of finance, human resources, ICT, strategy support, integrity, security, communication </w:t>
      </w:r>
      <w:r w:rsidR="008C5460" w:rsidRPr="00335764">
        <w:rPr>
          <w:rFonts w:cs="Arial"/>
          <w:bCs/>
          <w:sz w:val="20"/>
          <w:szCs w:val="20"/>
          <w:lang w:val="en-ZA"/>
        </w:rPr>
        <w:t>and</w:t>
      </w:r>
      <w:r w:rsidR="00703E27" w:rsidRPr="00335764">
        <w:rPr>
          <w:rFonts w:cs="Arial"/>
          <w:bCs/>
          <w:sz w:val="20"/>
          <w:szCs w:val="20"/>
          <w:lang w:val="en-ZA"/>
        </w:rPr>
        <w:t xml:space="preserve"> </w:t>
      </w:r>
      <w:r w:rsidR="008C5460" w:rsidRPr="00335764">
        <w:rPr>
          <w:rFonts w:cs="Arial"/>
          <w:bCs/>
          <w:sz w:val="20"/>
          <w:szCs w:val="20"/>
          <w:lang w:val="en-ZA"/>
        </w:rPr>
        <w:t>risk</w:t>
      </w:r>
      <w:r w:rsidR="00703E27" w:rsidRPr="00335764">
        <w:rPr>
          <w:rFonts w:cs="Arial"/>
          <w:bCs/>
          <w:sz w:val="20"/>
          <w:szCs w:val="20"/>
          <w:lang w:val="en-ZA"/>
        </w:rPr>
        <w:t xml:space="preserve"> </w:t>
      </w:r>
      <w:r w:rsidR="008C5460" w:rsidRPr="00335764">
        <w:rPr>
          <w:rFonts w:cs="Arial"/>
          <w:bCs/>
          <w:sz w:val="20"/>
          <w:szCs w:val="20"/>
          <w:lang w:val="en-ZA"/>
        </w:rPr>
        <w:t>management. </w:t>
      </w:r>
    </w:p>
    <w:p w:rsidR="001F31BB" w:rsidRPr="00335764" w:rsidRDefault="001F31BB" w:rsidP="00335764">
      <w:pPr>
        <w:pStyle w:val="ListParagraph"/>
        <w:spacing w:line="240" w:lineRule="auto"/>
        <w:jc w:val="left"/>
        <w:rPr>
          <w:rFonts w:cs="Arial"/>
          <w:bCs/>
          <w:sz w:val="20"/>
          <w:szCs w:val="20"/>
        </w:rPr>
      </w:pPr>
    </w:p>
    <w:p w:rsidR="002761C1" w:rsidRPr="00335764" w:rsidRDefault="002761C1" w:rsidP="00335764">
      <w:pPr>
        <w:pStyle w:val="ListParagraph"/>
        <w:numPr>
          <w:ilvl w:val="1"/>
          <w:numId w:val="1"/>
        </w:numPr>
        <w:autoSpaceDE w:val="0"/>
        <w:autoSpaceDN w:val="0"/>
        <w:adjustRightInd w:val="0"/>
        <w:spacing w:line="240" w:lineRule="auto"/>
        <w:ind w:left="851" w:hanging="851"/>
        <w:jc w:val="left"/>
        <w:rPr>
          <w:rFonts w:cs="Arial"/>
          <w:bCs/>
          <w:i/>
          <w:sz w:val="20"/>
          <w:szCs w:val="20"/>
          <w:lang w:val="en-ZA"/>
        </w:rPr>
      </w:pPr>
      <w:r w:rsidRPr="00335764">
        <w:rPr>
          <w:rFonts w:cs="Arial"/>
          <w:bCs/>
          <w:i/>
          <w:sz w:val="20"/>
          <w:szCs w:val="20"/>
          <w:lang w:val="en-ZA"/>
        </w:rPr>
        <w:t xml:space="preserve">Planning </w:t>
      </w:r>
    </w:p>
    <w:p w:rsidR="00B16A2F" w:rsidRPr="00335764" w:rsidRDefault="00B16A2F" w:rsidP="00335764">
      <w:pPr>
        <w:pStyle w:val="ListParagraph"/>
        <w:autoSpaceDE w:val="0"/>
        <w:autoSpaceDN w:val="0"/>
        <w:adjustRightInd w:val="0"/>
        <w:spacing w:line="240" w:lineRule="auto"/>
        <w:ind w:left="851"/>
        <w:jc w:val="left"/>
        <w:rPr>
          <w:rFonts w:cs="Arial"/>
          <w:bCs/>
          <w:i/>
          <w:sz w:val="20"/>
          <w:szCs w:val="20"/>
          <w:lang w:val="en-ZA"/>
        </w:rPr>
      </w:pPr>
    </w:p>
    <w:p w:rsidR="00786B13" w:rsidRPr="00335764" w:rsidRDefault="009C5399" w:rsidP="00335764">
      <w:pPr>
        <w:numPr>
          <w:ilvl w:val="2"/>
          <w:numId w:val="1"/>
        </w:numPr>
        <w:spacing w:line="240" w:lineRule="auto"/>
        <w:ind w:hanging="862"/>
        <w:jc w:val="left"/>
        <w:rPr>
          <w:rFonts w:cs="Arial"/>
          <w:bCs/>
          <w:sz w:val="20"/>
          <w:szCs w:val="20"/>
          <w:lang w:val="en-ZA"/>
        </w:rPr>
      </w:pPr>
      <w:r w:rsidRPr="00335764">
        <w:rPr>
          <w:rFonts w:cs="Arial"/>
          <w:bCs/>
          <w:sz w:val="20"/>
          <w:szCs w:val="20"/>
          <w:lang w:val="en-ZA"/>
        </w:rPr>
        <w:t>Th</w:t>
      </w:r>
      <w:r w:rsidR="00435A81" w:rsidRPr="00335764">
        <w:rPr>
          <w:rFonts w:cs="Arial"/>
          <w:bCs/>
          <w:sz w:val="20"/>
          <w:szCs w:val="20"/>
          <w:lang w:val="en-ZA"/>
        </w:rPr>
        <w:t xml:space="preserve">e </w:t>
      </w:r>
      <w:r w:rsidRPr="00335764">
        <w:rPr>
          <w:rFonts w:cs="Arial"/>
          <w:bCs/>
          <w:sz w:val="20"/>
          <w:szCs w:val="20"/>
          <w:lang w:val="en-ZA"/>
        </w:rPr>
        <w:t>APP 2023</w:t>
      </w:r>
      <w:r w:rsidR="002761C1" w:rsidRPr="00335764">
        <w:rPr>
          <w:rFonts w:cs="Arial"/>
          <w:bCs/>
          <w:sz w:val="20"/>
          <w:szCs w:val="20"/>
          <w:lang w:val="en-ZA"/>
        </w:rPr>
        <w:t>/24</w:t>
      </w:r>
      <w:r w:rsidR="00435A81" w:rsidRPr="00335764">
        <w:rPr>
          <w:rFonts w:cs="Arial"/>
          <w:bCs/>
          <w:sz w:val="20"/>
          <w:szCs w:val="20"/>
          <w:lang w:val="en-ZA"/>
        </w:rPr>
        <w:t xml:space="preserve"> intends to b</w:t>
      </w:r>
      <w:r w:rsidRPr="00335764">
        <w:rPr>
          <w:rFonts w:cs="Arial"/>
          <w:bCs/>
          <w:sz w:val="20"/>
          <w:szCs w:val="20"/>
          <w:lang w:val="en-ZA"/>
        </w:rPr>
        <w:t xml:space="preserve">uild on recent successes relating to </w:t>
      </w:r>
      <w:r w:rsidRPr="00335764">
        <w:rPr>
          <w:rFonts w:cs="Arial"/>
          <w:bCs/>
          <w:sz w:val="20"/>
          <w:szCs w:val="20"/>
          <w:lang w:val="en-US"/>
        </w:rPr>
        <w:t xml:space="preserve">high-level and complex corruption </w:t>
      </w:r>
      <w:r w:rsidR="00435A81" w:rsidRPr="00335764">
        <w:rPr>
          <w:rFonts w:cs="Arial"/>
          <w:bCs/>
          <w:sz w:val="20"/>
          <w:szCs w:val="20"/>
          <w:lang w:val="en-US"/>
        </w:rPr>
        <w:t>and in</w:t>
      </w:r>
      <w:r w:rsidRPr="00335764">
        <w:rPr>
          <w:rFonts w:cs="Arial"/>
          <w:bCs/>
          <w:sz w:val="20"/>
          <w:szCs w:val="20"/>
          <w:lang w:val="en-ZA"/>
        </w:rPr>
        <w:t xml:space="preserve">cludes work relating to the permanent establishment of the Investigating Directorate with </w:t>
      </w:r>
      <w:r w:rsidR="00435A81" w:rsidRPr="00335764">
        <w:rPr>
          <w:rFonts w:cs="Arial"/>
          <w:bCs/>
          <w:sz w:val="20"/>
          <w:szCs w:val="20"/>
          <w:lang w:val="en-ZA"/>
        </w:rPr>
        <w:t xml:space="preserve">the </w:t>
      </w:r>
      <w:r w:rsidRPr="00335764">
        <w:rPr>
          <w:rFonts w:cs="Arial"/>
          <w:bCs/>
          <w:sz w:val="20"/>
          <w:szCs w:val="20"/>
          <w:lang w:val="en-ZA"/>
        </w:rPr>
        <w:t>requisite criminal investigative powers</w:t>
      </w:r>
      <w:r w:rsidR="00435A81" w:rsidRPr="00335764">
        <w:rPr>
          <w:rFonts w:cs="Arial"/>
          <w:bCs/>
          <w:sz w:val="20"/>
          <w:szCs w:val="20"/>
          <w:lang w:val="en-ZA"/>
        </w:rPr>
        <w:t>.</w:t>
      </w:r>
    </w:p>
    <w:p w:rsidR="00435A81" w:rsidRPr="00335764" w:rsidRDefault="00435A81" w:rsidP="00335764">
      <w:pPr>
        <w:pStyle w:val="ListParagraph"/>
        <w:autoSpaceDE w:val="0"/>
        <w:autoSpaceDN w:val="0"/>
        <w:adjustRightInd w:val="0"/>
        <w:spacing w:line="240" w:lineRule="auto"/>
        <w:ind w:left="851"/>
        <w:jc w:val="left"/>
        <w:rPr>
          <w:rFonts w:cs="Arial"/>
          <w:bCs/>
          <w:sz w:val="20"/>
          <w:szCs w:val="20"/>
          <w:lang w:val="en-ZA"/>
        </w:rPr>
      </w:pPr>
    </w:p>
    <w:p w:rsidR="00786B13" w:rsidRPr="00335764" w:rsidRDefault="00435A81" w:rsidP="00335764">
      <w:pPr>
        <w:pStyle w:val="ListParagraph"/>
        <w:numPr>
          <w:ilvl w:val="1"/>
          <w:numId w:val="1"/>
        </w:numPr>
        <w:autoSpaceDE w:val="0"/>
        <w:autoSpaceDN w:val="0"/>
        <w:adjustRightInd w:val="0"/>
        <w:spacing w:line="240" w:lineRule="auto"/>
        <w:ind w:left="851" w:hanging="851"/>
        <w:jc w:val="left"/>
        <w:rPr>
          <w:rFonts w:cs="Arial"/>
          <w:bCs/>
          <w:sz w:val="20"/>
          <w:szCs w:val="20"/>
          <w:lang w:val="en-ZA"/>
        </w:rPr>
      </w:pPr>
      <w:r w:rsidRPr="00335764">
        <w:rPr>
          <w:rFonts w:cs="Arial"/>
          <w:bCs/>
          <w:sz w:val="20"/>
          <w:szCs w:val="20"/>
          <w:lang w:val="en-ZA"/>
        </w:rPr>
        <w:t>The Plan o</w:t>
      </w:r>
      <w:r w:rsidR="009C5399" w:rsidRPr="00335764">
        <w:rPr>
          <w:rFonts w:cs="Arial"/>
          <w:bCs/>
          <w:sz w:val="20"/>
          <w:szCs w:val="20"/>
          <w:lang w:val="en-ZA"/>
        </w:rPr>
        <w:t xml:space="preserve">utlines four strategic priorities as part of </w:t>
      </w:r>
      <w:r w:rsidR="009C5399" w:rsidRPr="00335764">
        <w:rPr>
          <w:rFonts w:cs="Arial"/>
          <w:bCs/>
          <w:sz w:val="20"/>
          <w:szCs w:val="20"/>
          <w:lang w:val="en-US"/>
        </w:rPr>
        <w:t>efforts to future-proof the NPA, including:</w:t>
      </w:r>
    </w:p>
    <w:p w:rsidR="00786B13" w:rsidRPr="00335764" w:rsidRDefault="009C5399" w:rsidP="00335764">
      <w:pPr>
        <w:pStyle w:val="ListParagraph"/>
        <w:numPr>
          <w:ilvl w:val="0"/>
          <w:numId w:val="5"/>
        </w:numPr>
        <w:spacing w:line="240" w:lineRule="auto"/>
        <w:ind w:hanging="589"/>
        <w:jc w:val="left"/>
        <w:rPr>
          <w:rFonts w:cs="Arial"/>
          <w:bCs/>
          <w:sz w:val="20"/>
          <w:szCs w:val="20"/>
          <w:lang w:val="en-ZA"/>
        </w:rPr>
      </w:pPr>
      <w:r w:rsidRPr="00335764">
        <w:rPr>
          <w:rFonts w:cs="Arial"/>
          <w:bCs/>
          <w:sz w:val="20"/>
          <w:szCs w:val="20"/>
          <w:lang w:val="en-ZA"/>
        </w:rPr>
        <w:t>Prioritisation Practice and Policy</w:t>
      </w:r>
      <w:r w:rsidR="000B754C" w:rsidRPr="00335764">
        <w:rPr>
          <w:rFonts w:cs="Arial"/>
          <w:bCs/>
          <w:sz w:val="20"/>
          <w:szCs w:val="20"/>
          <w:lang w:val="en-ZA"/>
        </w:rPr>
        <w:t>:</w:t>
      </w:r>
      <w:r w:rsidR="00435A81" w:rsidRPr="00335764">
        <w:rPr>
          <w:rFonts w:cs="Arial"/>
          <w:bCs/>
          <w:sz w:val="20"/>
          <w:szCs w:val="20"/>
          <w:lang w:val="en-ZA"/>
        </w:rPr>
        <w:t xml:space="preserve"> </w:t>
      </w:r>
      <w:r w:rsidRPr="00335764">
        <w:rPr>
          <w:rFonts w:cs="Arial"/>
          <w:bCs/>
          <w:sz w:val="20"/>
          <w:szCs w:val="20"/>
        </w:rPr>
        <w:t>To prosecute more smartly and strategically, targeting repeat offenders and crime syndicate leaders together with their assets, as well as crimes which disproportionately undermine public safety</w:t>
      </w:r>
      <w:r w:rsidR="00435A81" w:rsidRPr="00335764">
        <w:rPr>
          <w:rFonts w:cs="Arial"/>
          <w:bCs/>
          <w:sz w:val="20"/>
          <w:szCs w:val="20"/>
        </w:rPr>
        <w:t>.</w:t>
      </w:r>
      <w:r w:rsidRPr="00335764">
        <w:rPr>
          <w:rFonts w:cs="Arial"/>
          <w:bCs/>
          <w:sz w:val="20"/>
          <w:szCs w:val="20"/>
        </w:rPr>
        <w:t xml:space="preserve"> </w:t>
      </w:r>
    </w:p>
    <w:p w:rsidR="00786B13" w:rsidRPr="00335764" w:rsidRDefault="009C5399" w:rsidP="00335764">
      <w:pPr>
        <w:pStyle w:val="ListParagraph"/>
        <w:numPr>
          <w:ilvl w:val="0"/>
          <w:numId w:val="5"/>
        </w:numPr>
        <w:spacing w:line="240" w:lineRule="auto"/>
        <w:ind w:hanging="589"/>
        <w:jc w:val="left"/>
        <w:rPr>
          <w:rFonts w:cs="Arial"/>
          <w:bCs/>
          <w:sz w:val="20"/>
          <w:szCs w:val="20"/>
          <w:lang w:val="en-ZA"/>
        </w:rPr>
      </w:pPr>
      <w:r w:rsidRPr="00335764">
        <w:rPr>
          <w:rFonts w:cs="Arial"/>
          <w:bCs/>
          <w:sz w:val="20"/>
          <w:szCs w:val="20"/>
          <w:lang w:val="en-ZA"/>
        </w:rPr>
        <w:t>Community Prosecutions Initiative</w:t>
      </w:r>
      <w:r w:rsidR="000B754C" w:rsidRPr="00335764">
        <w:rPr>
          <w:rFonts w:cs="Arial"/>
          <w:bCs/>
          <w:sz w:val="20"/>
          <w:szCs w:val="20"/>
          <w:lang w:val="en-ZA"/>
        </w:rPr>
        <w:t xml:space="preserve">: </w:t>
      </w:r>
      <w:r w:rsidRPr="00335764">
        <w:rPr>
          <w:rFonts w:cs="Arial"/>
          <w:bCs/>
          <w:sz w:val="20"/>
          <w:szCs w:val="20"/>
        </w:rPr>
        <w:t>To strengthen partnerships between prosecutors, communities, police, and local authorities to develop joint solutions to ongoing forms of public safety concerns, including serious and violent crime</w:t>
      </w:r>
      <w:r w:rsidR="00435A81" w:rsidRPr="00335764">
        <w:rPr>
          <w:rFonts w:cs="Arial"/>
          <w:bCs/>
          <w:sz w:val="20"/>
          <w:szCs w:val="20"/>
        </w:rPr>
        <w:t>.</w:t>
      </w:r>
    </w:p>
    <w:p w:rsidR="00786B13" w:rsidRPr="00335764" w:rsidRDefault="009C5399" w:rsidP="00335764">
      <w:pPr>
        <w:pStyle w:val="ListParagraph"/>
        <w:numPr>
          <w:ilvl w:val="0"/>
          <w:numId w:val="5"/>
        </w:numPr>
        <w:spacing w:line="240" w:lineRule="auto"/>
        <w:ind w:hanging="589"/>
        <w:jc w:val="left"/>
        <w:rPr>
          <w:rFonts w:cs="Arial"/>
          <w:bCs/>
          <w:sz w:val="20"/>
          <w:szCs w:val="20"/>
        </w:rPr>
      </w:pPr>
      <w:r w:rsidRPr="00335764">
        <w:rPr>
          <w:rFonts w:cs="Arial"/>
          <w:bCs/>
          <w:sz w:val="20"/>
          <w:szCs w:val="20"/>
          <w:lang w:val="en-ZA"/>
        </w:rPr>
        <w:t xml:space="preserve">Service Delivery </w:t>
      </w:r>
      <w:r w:rsidRPr="00335764">
        <w:rPr>
          <w:rFonts w:cs="Arial"/>
          <w:bCs/>
          <w:sz w:val="20"/>
          <w:szCs w:val="20"/>
        </w:rPr>
        <w:t>Improvement</w:t>
      </w:r>
      <w:r w:rsidR="000B754C" w:rsidRPr="00335764">
        <w:rPr>
          <w:rFonts w:cs="Arial"/>
          <w:bCs/>
          <w:sz w:val="20"/>
          <w:szCs w:val="20"/>
        </w:rPr>
        <w:t xml:space="preserve"> through</w:t>
      </w:r>
      <w:r w:rsidRPr="00335764">
        <w:rPr>
          <w:rFonts w:cs="Arial"/>
          <w:bCs/>
          <w:sz w:val="20"/>
          <w:szCs w:val="20"/>
        </w:rPr>
        <w:t xml:space="preserve"> the implementation of client satisfaction surveys; the expansion of victim-centric support measures, including improved engagement on whistle-blower protection</w:t>
      </w:r>
      <w:r w:rsidR="000B754C" w:rsidRPr="00335764">
        <w:rPr>
          <w:rFonts w:cs="Arial"/>
          <w:bCs/>
          <w:sz w:val="20"/>
          <w:szCs w:val="20"/>
        </w:rPr>
        <w:t>.</w:t>
      </w:r>
    </w:p>
    <w:p w:rsidR="000B754C" w:rsidRPr="00335764" w:rsidRDefault="009C5399" w:rsidP="00335764">
      <w:pPr>
        <w:pStyle w:val="ListParagraph"/>
        <w:numPr>
          <w:ilvl w:val="0"/>
          <w:numId w:val="5"/>
        </w:numPr>
        <w:spacing w:line="240" w:lineRule="auto"/>
        <w:ind w:left="1441" w:hanging="590"/>
        <w:jc w:val="left"/>
        <w:rPr>
          <w:rFonts w:cs="Arial"/>
          <w:bCs/>
          <w:sz w:val="20"/>
          <w:szCs w:val="20"/>
        </w:rPr>
      </w:pPr>
      <w:r w:rsidRPr="00335764">
        <w:rPr>
          <w:rFonts w:cs="Arial"/>
          <w:bCs/>
          <w:sz w:val="20"/>
          <w:szCs w:val="20"/>
        </w:rPr>
        <w:t xml:space="preserve">Amplifying </w:t>
      </w:r>
      <w:r w:rsidR="00435A81" w:rsidRPr="00335764">
        <w:rPr>
          <w:rFonts w:cs="Arial"/>
          <w:bCs/>
          <w:sz w:val="20"/>
          <w:szCs w:val="20"/>
        </w:rPr>
        <w:t xml:space="preserve">the NPA’s </w:t>
      </w:r>
      <w:r w:rsidRPr="00335764">
        <w:rPr>
          <w:rFonts w:cs="Arial"/>
          <w:bCs/>
          <w:sz w:val="20"/>
          <w:szCs w:val="20"/>
        </w:rPr>
        <w:t>influence/voice within the broader JCPS strategic matters</w:t>
      </w:r>
      <w:r w:rsidR="000B754C" w:rsidRPr="00335764">
        <w:rPr>
          <w:rFonts w:cs="Arial"/>
          <w:bCs/>
          <w:sz w:val="20"/>
          <w:szCs w:val="20"/>
        </w:rPr>
        <w:t xml:space="preserve"> by developing an NPA strategy on organised crime that will guide the NPA’s interventions and enhance relevant collaboration with key JCPS partners, especially the DPCI.</w:t>
      </w:r>
    </w:p>
    <w:p w:rsidR="00435A81" w:rsidRPr="00335764" w:rsidRDefault="00435A81" w:rsidP="00335764">
      <w:pPr>
        <w:pStyle w:val="ListParagraph"/>
        <w:autoSpaceDE w:val="0"/>
        <w:autoSpaceDN w:val="0"/>
        <w:adjustRightInd w:val="0"/>
        <w:spacing w:line="240" w:lineRule="auto"/>
        <w:ind w:left="851"/>
        <w:jc w:val="left"/>
        <w:rPr>
          <w:rFonts w:cs="Arial"/>
          <w:bCs/>
          <w:sz w:val="20"/>
          <w:szCs w:val="20"/>
        </w:rPr>
      </w:pPr>
    </w:p>
    <w:p w:rsidR="000209E0" w:rsidRPr="00335764" w:rsidRDefault="002761C1" w:rsidP="00335764">
      <w:pPr>
        <w:pStyle w:val="ListParagraph"/>
        <w:numPr>
          <w:ilvl w:val="1"/>
          <w:numId w:val="1"/>
        </w:numPr>
        <w:autoSpaceDE w:val="0"/>
        <w:autoSpaceDN w:val="0"/>
        <w:adjustRightInd w:val="0"/>
        <w:spacing w:line="240" w:lineRule="auto"/>
        <w:ind w:left="851" w:hanging="851"/>
        <w:jc w:val="left"/>
        <w:rPr>
          <w:rFonts w:cs="Arial"/>
          <w:bCs/>
          <w:sz w:val="20"/>
          <w:szCs w:val="20"/>
        </w:rPr>
      </w:pPr>
      <w:r w:rsidRPr="00335764">
        <w:rPr>
          <w:rFonts w:cs="Arial"/>
          <w:bCs/>
          <w:sz w:val="20"/>
          <w:szCs w:val="20"/>
        </w:rPr>
        <w:t>O</w:t>
      </w:r>
      <w:r w:rsidR="000209E0" w:rsidRPr="00335764">
        <w:rPr>
          <w:rFonts w:cs="Arial"/>
          <w:bCs/>
          <w:sz w:val="20"/>
          <w:szCs w:val="20"/>
        </w:rPr>
        <w:t>utput</w:t>
      </w:r>
      <w:r w:rsidR="00410947" w:rsidRPr="00335764">
        <w:rPr>
          <w:rFonts w:cs="Arial"/>
          <w:bCs/>
          <w:sz w:val="20"/>
          <w:szCs w:val="20"/>
        </w:rPr>
        <w:t>s</w:t>
      </w:r>
      <w:r w:rsidR="000209E0" w:rsidRPr="00335764">
        <w:rPr>
          <w:rFonts w:cs="Arial"/>
          <w:bCs/>
          <w:sz w:val="20"/>
          <w:szCs w:val="20"/>
        </w:rPr>
        <w:t xml:space="preserve">, </w:t>
      </w:r>
      <w:r w:rsidR="00261D2C" w:rsidRPr="00335764">
        <w:rPr>
          <w:rFonts w:cs="Arial"/>
          <w:bCs/>
          <w:sz w:val="20"/>
          <w:szCs w:val="20"/>
        </w:rPr>
        <w:t>indicators,</w:t>
      </w:r>
      <w:r w:rsidR="000209E0" w:rsidRPr="00335764">
        <w:rPr>
          <w:rFonts w:cs="Arial"/>
          <w:bCs/>
          <w:sz w:val="20"/>
          <w:szCs w:val="20"/>
        </w:rPr>
        <w:t xml:space="preserve"> and targets </w:t>
      </w:r>
      <w:r w:rsidRPr="00335764">
        <w:rPr>
          <w:rFonts w:cs="Arial"/>
          <w:bCs/>
          <w:sz w:val="20"/>
          <w:szCs w:val="20"/>
        </w:rPr>
        <w:t xml:space="preserve">for 2023/24 </w:t>
      </w:r>
      <w:r w:rsidR="000209E0" w:rsidRPr="00335764">
        <w:rPr>
          <w:rFonts w:cs="Arial"/>
          <w:bCs/>
          <w:sz w:val="20"/>
          <w:szCs w:val="20"/>
        </w:rPr>
        <w:t>are as follows:</w:t>
      </w:r>
    </w:p>
    <w:p w:rsidR="000209E0" w:rsidRPr="00335764" w:rsidRDefault="000209E0" w:rsidP="00335764">
      <w:pPr>
        <w:pStyle w:val="ListParagraph"/>
        <w:spacing w:line="240" w:lineRule="auto"/>
        <w:jc w:val="left"/>
        <w:rPr>
          <w:rFonts w:eastAsia="Calibri" w:cs="Arial"/>
          <w:color w:val="auto"/>
          <w:spacing w:val="0"/>
          <w:sz w:val="20"/>
          <w:szCs w:val="20"/>
          <w:lang w:eastAsia="en-US"/>
        </w:rPr>
      </w:pPr>
    </w:p>
    <w:p w:rsidR="002B2E02" w:rsidRPr="00335764" w:rsidRDefault="00A21365" w:rsidP="00335764">
      <w:pPr>
        <w:spacing w:line="240" w:lineRule="auto"/>
        <w:jc w:val="left"/>
        <w:rPr>
          <w:rFonts w:eastAsia="Calibri" w:cs="Arial"/>
          <w:b/>
          <w:color w:val="auto"/>
          <w:spacing w:val="0"/>
          <w:sz w:val="20"/>
          <w:szCs w:val="20"/>
          <w:lang w:val="en-ZA" w:eastAsia="en-US"/>
        </w:rPr>
      </w:pPr>
      <w:r w:rsidRPr="00335764">
        <w:rPr>
          <w:rFonts w:eastAsia="Calibri" w:cs="Arial"/>
          <w:b/>
          <w:color w:val="auto"/>
          <w:spacing w:val="0"/>
          <w:sz w:val="20"/>
          <w:szCs w:val="20"/>
          <w:lang w:val="en-ZA" w:eastAsia="en-US"/>
        </w:rPr>
        <w:t xml:space="preserve">NPA </w:t>
      </w:r>
      <w:r w:rsidR="008A51A1" w:rsidRPr="00335764">
        <w:rPr>
          <w:rFonts w:eastAsia="Calibri" w:cs="Arial"/>
          <w:b/>
          <w:color w:val="auto"/>
          <w:spacing w:val="0"/>
          <w:sz w:val="20"/>
          <w:szCs w:val="20"/>
          <w:lang w:val="en-ZA" w:eastAsia="en-US"/>
        </w:rPr>
        <w:t>–</w:t>
      </w:r>
      <w:r w:rsidRPr="00335764">
        <w:rPr>
          <w:rFonts w:eastAsia="Calibri" w:cs="Arial"/>
          <w:b/>
          <w:color w:val="auto"/>
          <w:spacing w:val="0"/>
          <w:sz w:val="20"/>
          <w:szCs w:val="20"/>
          <w:lang w:val="en-ZA" w:eastAsia="en-US"/>
        </w:rPr>
        <w:t xml:space="preserve"> </w:t>
      </w:r>
      <w:r w:rsidR="006509E6" w:rsidRPr="00335764">
        <w:rPr>
          <w:rFonts w:eastAsia="Calibri" w:cs="Arial"/>
          <w:b/>
          <w:color w:val="auto"/>
          <w:spacing w:val="0"/>
          <w:sz w:val="20"/>
          <w:szCs w:val="20"/>
          <w:lang w:val="en-ZA" w:eastAsia="en-US"/>
        </w:rPr>
        <w:t>Outcome, o</w:t>
      </w:r>
      <w:r w:rsidR="0088410E" w:rsidRPr="00335764">
        <w:rPr>
          <w:rFonts w:eastAsia="Calibri" w:cs="Arial"/>
          <w:b/>
          <w:color w:val="auto"/>
          <w:spacing w:val="0"/>
          <w:sz w:val="20"/>
          <w:szCs w:val="20"/>
          <w:lang w:val="en-ZA" w:eastAsia="en-US"/>
        </w:rPr>
        <w:t>utputs, output indicators and targets</w:t>
      </w:r>
    </w:p>
    <w:tbl>
      <w:tblPr>
        <w:tblStyle w:val="TableGrid"/>
        <w:tblW w:w="5000" w:type="pct"/>
        <w:tblLook w:val="04A0"/>
      </w:tblPr>
      <w:tblGrid>
        <w:gridCol w:w="2070"/>
        <w:gridCol w:w="2603"/>
        <w:gridCol w:w="1569"/>
        <w:gridCol w:w="12"/>
        <w:gridCol w:w="1126"/>
        <w:gridCol w:w="12"/>
        <w:gridCol w:w="1119"/>
        <w:gridCol w:w="1117"/>
      </w:tblGrid>
      <w:tr w:rsidR="0018253C" w:rsidRPr="00335764" w:rsidTr="000219B8">
        <w:trPr>
          <w:tblHeader/>
        </w:trPr>
        <w:tc>
          <w:tcPr>
            <w:tcW w:w="1075" w:type="pct"/>
            <w:vMerge w:val="restart"/>
            <w:shd w:val="clear" w:color="auto" w:fill="D9D9D9" w:themeFill="background1" w:themeFillShade="D9"/>
          </w:tcPr>
          <w:p w:rsidR="0018253C" w:rsidRPr="00335764" w:rsidRDefault="0018253C" w:rsidP="00335764">
            <w:pPr>
              <w:spacing w:line="240" w:lineRule="auto"/>
              <w:jc w:val="left"/>
              <w:rPr>
                <w:rFonts w:cs="Arial"/>
                <w:b/>
                <w:caps/>
                <w:sz w:val="20"/>
                <w:szCs w:val="20"/>
              </w:rPr>
            </w:pPr>
            <w:r w:rsidRPr="00335764">
              <w:rPr>
                <w:rFonts w:cs="Arial"/>
                <w:b/>
                <w:caps/>
                <w:sz w:val="20"/>
                <w:szCs w:val="20"/>
              </w:rPr>
              <w:t>Output</w:t>
            </w:r>
          </w:p>
        </w:tc>
        <w:tc>
          <w:tcPr>
            <w:tcW w:w="1352" w:type="pct"/>
            <w:vMerge w:val="restart"/>
            <w:shd w:val="clear" w:color="auto" w:fill="D9D9D9" w:themeFill="background1" w:themeFillShade="D9"/>
          </w:tcPr>
          <w:p w:rsidR="0018253C" w:rsidRPr="00335764" w:rsidRDefault="0018253C" w:rsidP="00335764">
            <w:pPr>
              <w:spacing w:line="240" w:lineRule="auto"/>
              <w:jc w:val="left"/>
              <w:rPr>
                <w:rFonts w:cs="Arial"/>
                <w:b/>
                <w:caps/>
                <w:sz w:val="20"/>
                <w:szCs w:val="20"/>
              </w:rPr>
            </w:pPr>
            <w:r w:rsidRPr="00335764">
              <w:rPr>
                <w:rFonts w:cs="Arial"/>
                <w:b/>
                <w:caps/>
                <w:sz w:val="20"/>
                <w:szCs w:val="20"/>
              </w:rPr>
              <w:t>Output Indicators</w:t>
            </w:r>
          </w:p>
        </w:tc>
        <w:tc>
          <w:tcPr>
            <w:tcW w:w="2573" w:type="pct"/>
            <w:gridSpan w:val="6"/>
            <w:tcBorders>
              <w:right w:val="single" w:sz="4" w:space="0" w:color="000000"/>
            </w:tcBorders>
            <w:shd w:val="clear" w:color="auto" w:fill="D9D9D9" w:themeFill="background1" w:themeFillShade="D9"/>
          </w:tcPr>
          <w:p w:rsidR="0018253C" w:rsidRPr="00335764" w:rsidRDefault="005B4B93" w:rsidP="00335764">
            <w:pPr>
              <w:spacing w:line="240" w:lineRule="auto"/>
              <w:jc w:val="left"/>
              <w:rPr>
                <w:rFonts w:cs="Arial"/>
                <w:b/>
                <w:caps/>
                <w:sz w:val="20"/>
                <w:szCs w:val="20"/>
              </w:rPr>
            </w:pPr>
            <w:r w:rsidRPr="00335764">
              <w:rPr>
                <w:rFonts w:cs="Arial"/>
                <w:b/>
                <w:caps/>
                <w:sz w:val="20"/>
                <w:szCs w:val="20"/>
              </w:rPr>
              <w:t>Target</w:t>
            </w:r>
          </w:p>
        </w:tc>
      </w:tr>
      <w:tr w:rsidR="006509E6" w:rsidRPr="00335764" w:rsidTr="000219B8">
        <w:trPr>
          <w:tblHeader/>
        </w:trPr>
        <w:tc>
          <w:tcPr>
            <w:tcW w:w="1075" w:type="pct"/>
            <w:vMerge/>
          </w:tcPr>
          <w:p w:rsidR="0018253C" w:rsidRPr="00335764" w:rsidRDefault="0018253C" w:rsidP="00335764">
            <w:pPr>
              <w:spacing w:line="240" w:lineRule="auto"/>
              <w:jc w:val="left"/>
              <w:rPr>
                <w:rFonts w:cs="Arial"/>
                <w:b/>
                <w:caps/>
                <w:sz w:val="20"/>
                <w:szCs w:val="20"/>
              </w:rPr>
            </w:pPr>
          </w:p>
        </w:tc>
        <w:tc>
          <w:tcPr>
            <w:tcW w:w="1352" w:type="pct"/>
            <w:vMerge/>
          </w:tcPr>
          <w:p w:rsidR="0018253C" w:rsidRPr="00335764" w:rsidRDefault="0018253C" w:rsidP="00335764">
            <w:pPr>
              <w:spacing w:line="240" w:lineRule="auto"/>
              <w:jc w:val="left"/>
              <w:rPr>
                <w:rFonts w:cs="Arial"/>
                <w:b/>
                <w:caps/>
                <w:sz w:val="20"/>
                <w:szCs w:val="20"/>
              </w:rPr>
            </w:pPr>
          </w:p>
        </w:tc>
        <w:tc>
          <w:tcPr>
            <w:tcW w:w="815" w:type="pct"/>
            <w:tcBorders>
              <w:left w:val="single" w:sz="4" w:space="0" w:color="000000"/>
            </w:tcBorders>
            <w:shd w:val="clear" w:color="auto" w:fill="D9D9D9" w:themeFill="background1" w:themeFillShade="D9"/>
          </w:tcPr>
          <w:p w:rsidR="0018253C" w:rsidRPr="00335764" w:rsidRDefault="0018253C" w:rsidP="00335764">
            <w:pPr>
              <w:spacing w:line="240" w:lineRule="auto"/>
              <w:jc w:val="left"/>
              <w:rPr>
                <w:rFonts w:cs="Arial"/>
                <w:b/>
                <w:caps/>
                <w:sz w:val="20"/>
                <w:szCs w:val="20"/>
              </w:rPr>
            </w:pPr>
            <w:r w:rsidRPr="00335764">
              <w:rPr>
                <w:rFonts w:cs="Arial"/>
                <w:b/>
                <w:caps/>
                <w:sz w:val="20"/>
                <w:szCs w:val="20"/>
              </w:rPr>
              <w:t>202</w:t>
            </w:r>
            <w:r w:rsidR="00435A81" w:rsidRPr="00335764">
              <w:rPr>
                <w:rFonts w:cs="Arial"/>
                <w:b/>
                <w:caps/>
                <w:sz w:val="20"/>
                <w:szCs w:val="20"/>
              </w:rPr>
              <w:t>2</w:t>
            </w:r>
            <w:r w:rsidRPr="00335764">
              <w:rPr>
                <w:rFonts w:cs="Arial"/>
                <w:b/>
                <w:caps/>
                <w:sz w:val="20"/>
                <w:szCs w:val="20"/>
              </w:rPr>
              <w:t>/2</w:t>
            </w:r>
            <w:r w:rsidR="00435A81" w:rsidRPr="00335764">
              <w:rPr>
                <w:rFonts w:cs="Arial"/>
                <w:b/>
                <w:caps/>
                <w:sz w:val="20"/>
                <w:szCs w:val="20"/>
              </w:rPr>
              <w:t>3</w:t>
            </w:r>
          </w:p>
          <w:p w:rsidR="0018253C" w:rsidRPr="00335764" w:rsidRDefault="0018253C" w:rsidP="00335764">
            <w:pPr>
              <w:spacing w:line="240" w:lineRule="auto"/>
              <w:jc w:val="left"/>
              <w:rPr>
                <w:rFonts w:cs="Arial"/>
                <w:b/>
                <w:caps/>
                <w:sz w:val="20"/>
                <w:szCs w:val="20"/>
              </w:rPr>
            </w:pPr>
            <w:r w:rsidRPr="00335764">
              <w:rPr>
                <w:rFonts w:cs="Arial"/>
                <w:b/>
                <w:caps/>
                <w:sz w:val="20"/>
                <w:szCs w:val="20"/>
              </w:rPr>
              <w:t>Estimate</w:t>
            </w:r>
          </w:p>
        </w:tc>
        <w:tc>
          <w:tcPr>
            <w:tcW w:w="591" w:type="pct"/>
            <w:gridSpan w:val="2"/>
            <w:shd w:val="clear" w:color="auto" w:fill="D9D9D9" w:themeFill="background1" w:themeFillShade="D9"/>
          </w:tcPr>
          <w:p w:rsidR="0018253C" w:rsidRPr="00335764" w:rsidRDefault="0018253C" w:rsidP="00335764">
            <w:pPr>
              <w:spacing w:line="240" w:lineRule="auto"/>
              <w:jc w:val="left"/>
              <w:rPr>
                <w:rFonts w:cs="Arial"/>
                <w:b/>
                <w:caps/>
                <w:sz w:val="20"/>
                <w:szCs w:val="20"/>
              </w:rPr>
            </w:pPr>
            <w:r w:rsidRPr="00335764">
              <w:rPr>
                <w:rFonts w:cs="Arial"/>
                <w:b/>
                <w:caps/>
                <w:sz w:val="20"/>
                <w:szCs w:val="20"/>
              </w:rPr>
              <w:t>202</w:t>
            </w:r>
            <w:r w:rsidR="00435A81" w:rsidRPr="00335764">
              <w:rPr>
                <w:rFonts w:cs="Arial"/>
                <w:b/>
                <w:caps/>
                <w:sz w:val="20"/>
                <w:szCs w:val="20"/>
              </w:rPr>
              <w:t>3</w:t>
            </w:r>
            <w:r w:rsidRPr="00335764">
              <w:rPr>
                <w:rFonts w:cs="Arial"/>
                <w:b/>
                <w:caps/>
                <w:sz w:val="20"/>
                <w:szCs w:val="20"/>
              </w:rPr>
              <w:t>/2</w:t>
            </w:r>
            <w:r w:rsidR="00435A81" w:rsidRPr="00335764">
              <w:rPr>
                <w:rFonts w:cs="Arial"/>
                <w:b/>
                <w:caps/>
                <w:sz w:val="20"/>
                <w:szCs w:val="20"/>
              </w:rPr>
              <w:t>4</w:t>
            </w:r>
          </w:p>
        </w:tc>
        <w:tc>
          <w:tcPr>
            <w:tcW w:w="587" w:type="pct"/>
            <w:gridSpan w:val="2"/>
            <w:shd w:val="clear" w:color="auto" w:fill="D9D9D9" w:themeFill="background1" w:themeFillShade="D9"/>
          </w:tcPr>
          <w:p w:rsidR="0018253C" w:rsidRPr="00335764" w:rsidRDefault="0018253C" w:rsidP="00335764">
            <w:pPr>
              <w:spacing w:line="240" w:lineRule="auto"/>
              <w:jc w:val="left"/>
              <w:rPr>
                <w:rFonts w:cs="Arial"/>
                <w:b/>
                <w:caps/>
                <w:sz w:val="20"/>
                <w:szCs w:val="20"/>
              </w:rPr>
            </w:pPr>
            <w:r w:rsidRPr="00335764">
              <w:rPr>
                <w:rFonts w:cs="Arial"/>
                <w:b/>
                <w:caps/>
                <w:sz w:val="20"/>
                <w:szCs w:val="20"/>
              </w:rPr>
              <w:t>202</w:t>
            </w:r>
            <w:r w:rsidR="00435A81" w:rsidRPr="00335764">
              <w:rPr>
                <w:rFonts w:cs="Arial"/>
                <w:b/>
                <w:caps/>
                <w:sz w:val="20"/>
                <w:szCs w:val="20"/>
              </w:rPr>
              <w:t>4</w:t>
            </w:r>
            <w:r w:rsidRPr="00335764">
              <w:rPr>
                <w:rFonts w:cs="Arial"/>
                <w:b/>
                <w:caps/>
                <w:sz w:val="20"/>
                <w:szCs w:val="20"/>
              </w:rPr>
              <w:t>/2</w:t>
            </w:r>
            <w:r w:rsidR="00435A81" w:rsidRPr="00335764">
              <w:rPr>
                <w:rFonts w:cs="Arial"/>
                <w:b/>
                <w:caps/>
                <w:sz w:val="20"/>
                <w:szCs w:val="20"/>
              </w:rPr>
              <w:t>5</w:t>
            </w:r>
          </w:p>
        </w:tc>
        <w:tc>
          <w:tcPr>
            <w:tcW w:w="580" w:type="pct"/>
            <w:shd w:val="clear" w:color="auto" w:fill="D9D9D9" w:themeFill="background1" w:themeFillShade="D9"/>
          </w:tcPr>
          <w:p w:rsidR="0018253C" w:rsidRPr="00335764" w:rsidRDefault="0018253C" w:rsidP="00335764">
            <w:pPr>
              <w:spacing w:line="240" w:lineRule="auto"/>
              <w:jc w:val="left"/>
              <w:rPr>
                <w:rFonts w:cs="Arial"/>
                <w:b/>
                <w:caps/>
                <w:sz w:val="20"/>
                <w:szCs w:val="20"/>
              </w:rPr>
            </w:pPr>
            <w:r w:rsidRPr="00335764">
              <w:rPr>
                <w:rFonts w:cs="Arial"/>
                <w:b/>
                <w:caps/>
                <w:sz w:val="20"/>
                <w:szCs w:val="20"/>
              </w:rPr>
              <w:t>2</w:t>
            </w:r>
            <w:r w:rsidR="00435A81" w:rsidRPr="00335764">
              <w:rPr>
                <w:rFonts w:cs="Arial"/>
                <w:b/>
                <w:caps/>
                <w:sz w:val="20"/>
                <w:szCs w:val="20"/>
              </w:rPr>
              <w:t>025</w:t>
            </w:r>
            <w:r w:rsidRPr="00335764">
              <w:rPr>
                <w:rFonts w:cs="Arial"/>
                <w:b/>
                <w:caps/>
                <w:sz w:val="20"/>
                <w:szCs w:val="20"/>
              </w:rPr>
              <w:t>/2</w:t>
            </w:r>
            <w:r w:rsidR="00435A81" w:rsidRPr="00335764">
              <w:rPr>
                <w:rFonts w:cs="Arial"/>
                <w:b/>
                <w:caps/>
                <w:sz w:val="20"/>
                <w:szCs w:val="20"/>
              </w:rPr>
              <w:t>6</w:t>
            </w:r>
          </w:p>
        </w:tc>
      </w:tr>
      <w:tr w:rsidR="006509E6" w:rsidRPr="00335764" w:rsidTr="003C5DE3">
        <w:tc>
          <w:tcPr>
            <w:tcW w:w="5000" w:type="pct"/>
            <w:gridSpan w:val="8"/>
            <w:shd w:val="clear" w:color="auto" w:fill="D9D9D9" w:themeFill="background1" w:themeFillShade="D9"/>
          </w:tcPr>
          <w:p w:rsidR="006509E6" w:rsidRPr="00335764" w:rsidRDefault="006509E6" w:rsidP="00335764">
            <w:pPr>
              <w:spacing w:line="240" w:lineRule="auto"/>
              <w:jc w:val="left"/>
              <w:rPr>
                <w:rFonts w:cs="Arial"/>
                <w:b/>
                <w:sz w:val="20"/>
                <w:szCs w:val="20"/>
              </w:rPr>
            </w:pPr>
            <w:r w:rsidRPr="00335764">
              <w:rPr>
                <w:rFonts w:cs="Arial"/>
                <w:b/>
                <w:sz w:val="20"/>
                <w:szCs w:val="20"/>
              </w:rPr>
              <w:t>OUTCOME: Crime and corruption reduced through effective prosecution</w:t>
            </w:r>
          </w:p>
        </w:tc>
      </w:tr>
      <w:tr w:rsidR="006509E6" w:rsidRPr="00335764" w:rsidTr="000219B8">
        <w:tc>
          <w:tcPr>
            <w:tcW w:w="1075" w:type="pct"/>
            <w:vMerge w:val="restart"/>
          </w:tcPr>
          <w:p w:rsidR="0018253C" w:rsidRPr="00335764" w:rsidRDefault="0018253C" w:rsidP="00335764">
            <w:pPr>
              <w:spacing w:line="240" w:lineRule="auto"/>
              <w:jc w:val="left"/>
              <w:rPr>
                <w:rFonts w:cs="Arial"/>
                <w:sz w:val="20"/>
                <w:szCs w:val="20"/>
              </w:rPr>
            </w:pPr>
            <w:r w:rsidRPr="00335764">
              <w:rPr>
                <w:rFonts w:cs="Arial"/>
                <w:sz w:val="20"/>
                <w:szCs w:val="20"/>
              </w:rPr>
              <w:t>Effective prosecutions conducted</w:t>
            </w:r>
          </w:p>
        </w:tc>
        <w:tc>
          <w:tcPr>
            <w:tcW w:w="1352" w:type="pct"/>
          </w:tcPr>
          <w:p w:rsidR="0018253C" w:rsidRPr="00335764" w:rsidRDefault="0018253C" w:rsidP="00335764">
            <w:pPr>
              <w:spacing w:line="240" w:lineRule="auto"/>
              <w:jc w:val="left"/>
              <w:rPr>
                <w:rFonts w:cs="Arial"/>
                <w:sz w:val="20"/>
                <w:szCs w:val="20"/>
              </w:rPr>
            </w:pPr>
            <w:r w:rsidRPr="00335764">
              <w:rPr>
                <w:rFonts w:cs="Arial"/>
                <w:sz w:val="20"/>
                <w:szCs w:val="20"/>
              </w:rPr>
              <w:t xml:space="preserve">Conviction rate in High Court </w:t>
            </w:r>
          </w:p>
        </w:tc>
        <w:tc>
          <w:tcPr>
            <w:tcW w:w="821" w:type="pct"/>
            <w:gridSpan w:val="2"/>
          </w:tcPr>
          <w:p w:rsidR="0018253C" w:rsidRPr="00335764" w:rsidRDefault="000219B8" w:rsidP="00335764">
            <w:pPr>
              <w:spacing w:line="240" w:lineRule="auto"/>
              <w:jc w:val="left"/>
              <w:rPr>
                <w:rFonts w:cs="Arial"/>
                <w:sz w:val="20"/>
                <w:szCs w:val="20"/>
              </w:rPr>
            </w:pPr>
            <w:r w:rsidRPr="00335764">
              <w:rPr>
                <w:rFonts w:cs="Arial"/>
                <w:sz w:val="20"/>
                <w:szCs w:val="20"/>
              </w:rPr>
              <w:t>87%</w:t>
            </w:r>
          </w:p>
        </w:tc>
        <w:tc>
          <w:tcPr>
            <w:tcW w:w="591" w:type="pct"/>
            <w:gridSpan w:val="2"/>
          </w:tcPr>
          <w:p w:rsidR="0018253C" w:rsidRPr="00335764" w:rsidRDefault="0018253C" w:rsidP="00335764">
            <w:pPr>
              <w:spacing w:line="240" w:lineRule="auto"/>
              <w:jc w:val="left"/>
              <w:rPr>
                <w:rFonts w:cs="Arial"/>
                <w:sz w:val="20"/>
                <w:szCs w:val="20"/>
              </w:rPr>
            </w:pPr>
            <w:r w:rsidRPr="00335764">
              <w:rPr>
                <w:rFonts w:cs="Arial"/>
                <w:sz w:val="20"/>
                <w:szCs w:val="20"/>
              </w:rPr>
              <w:t>87%</w:t>
            </w:r>
          </w:p>
        </w:tc>
        <w:tc>
          <w:tcPr>
            <w:tcW w:w="581" w:type="pct"/>
          </w:tcPr>
          <w:p w:rsidR="0018253C" w:rsidRPr="00335764" w:rsidRDefault="0018253C" w:rsidP="00335764">
            <w:pPr>
              <w:spacing w:line="240" w:lineRule="auto"/>
              <w:jc w:val="left"/>
              <w:rPr>
                <w:rFonts w:cs="Arial"/>
                <w:sz w:val="20"/>
                <w:szCs w:val="20"/>
              </w:rPr>
            </w:pPr>
            <w:r w:rsidRPr="00335764">
              <w:rPr>
                <w:rFonts w:cs="Arial"/>
                <w:sz w:val="20"/>
                <w:szCs w:val="20"/>
              </w:rPr>
              <w:t>87%</w:t>
            </w:r>
          </w:p>
        </w:tc>
        <w:tc>
          <w:tcPr>
            <w:tcW w:w="580" w:type="pct"/>
          </w:tcPr>
          <w:p w:rsidR="0018253C" w:rsidRPr="00335764" w:rsidRDefault="0018253C" w:rsidP="00335764">
            <w:pPr>
              <w:spacing w:line="240" w:lineRule="auto"/>
              <w:jc w:val="left"/>
              <w:rPr>
                <w:rFonts w:cs="Arial"/>
                <w:sz w:val="20"/>
                <w:szCs w:val="20"/>
              </w:rPr>
            </w:pPr>
            <w:r w:rsidRPr="00335764">
              <w:rPr>
                <w:rFonts w:cs="Arial"/>
                <w:sz w:val="20"/>
                <w:szCs w:val="20"/>
              </w:rPr>
              <w:t>87%</w:t>
            </w:r>
          </w:p>
        </w:tc>
      </w:tr>
      <w:tr w:rsidR="006509E6" w:rsidRPr="00335764" w:rsidTr="000219B8">
        <w:tc>
          <w:tcPr>
            <w:tcW w:w="1075" w:type="pct"/>
            <w:vMerge/>
          </w:tcPr>
          <w:p w:rsidR="0018253C" w:rsidRPr="00335764" w:rsidRDefault="0018253C" w:rsidP="00335764">
            <w:pPr>
              <w:spacing w:line="240" w:lineRule="auto"/>
              <w:jc w:val="left"/>
              <w:rPr>
                <w:rFonts w:cs="Arial"/>
                <w:sz w:val="20"/>
                <w:szCs w:val="20"/>
              </w:rPr>
            </w:pPr>
          </w:p>
        </w:tc>
        <w:tc>
          <w:tcPr>
            <w:tcW w:w="1352" w:type="pct"/>
          </w:tcPr>
          <w:p w:rsidR="0018253C" w:rsidRPr="00335764" w:rsidRDefault="0018253C" w:rsidP="00335764">
            <w:pPr>
              <w:spacing w:line="240" w:lineRule="auto"/>
              <w:jc w:val="left"/>
              <w:rPr>
                <w:rFonts w:cs="Arial"/>
                <w:sz w:val="20"/>
                <w:szCs w:val="20"/>
              </w:rPr>
            </w:pPr>
            <w:r w:rsidRPr="00335764">
              <w:rPr>
                <w:rFonts w:cs="Arial"/>
                <w:sz w:val="20"/>
                <w:szCs w:val="20"/>
              </w:rPr>
              <w:t xml:space="preserve">Conviction rate in Regional Court </w:t>
            </w:r>
          </w:p>
        </w:tc>
        <w:tc>
          <w:tcPr>
            <w:tcW w:w="821" w:type="pct"/>
            <w:gridSpan w:val="2"/>
          </w:tcPr>
          <w:p w:rsidR="0018253C" w:rsidRPr="00335764" w:rsidRDefault="000219B8" w:rsidP="00335764">
            <w:pPr>
              <w:spacing w:line="240" w:lineRule="auto"/>
              <w:jc w:val="left"/>
              <w:rPr>
                <w:rFonts w:cs="Arial"/>
                <w:sz w:val="20"/>
                <w:szCs w:val="20"/>
              </w:rPr>
            </w:pPr>
            <w:r w:rsidRPr="00335764">
              <w:rPr>
                <w:rFonts w:cs="Arial"/>
                <w:sz w:val="20"/>
                <w:szCs w:val="20"/>
              </w:rPr>
              <w:t>74%</w:t>
            </w:r>
          </w:p>
        </w:tc>
        <w:tc>
          <w:tcPr>
            <w:tcW w:w="591" w:type="pct"/>
            <w:gridSpan w:val="2"/>
          </w:tcPr>
          <w:p w:rsidR="0018253C" w:rsidRPr="00335764" w:rsidRDefault="0018253C" w:rsidP="00335764">
            <w:pPr>
              <w:spacing w:line="240" w:lineRule="auto"/>
              <w:jc w:val="left"/>
              <w:rPr>
                <w:rFonts w:cs="Arial"/>
                <w:sz w:val="20"/>
                <w:szCs w:val="20"/>
              </w:rPr>
            </w:pPr>
            <w:r w:rsidRPr="00335764">
              <w:rPr>
                <w:rFonts w:cs="Arial"/>
                <w:sz w:val="20"/>
                <w:szCs w:val="20"/>
              </w:rPr>
              <w:t>74%</w:t>
            </w:r>
          </w:p>
        </w:tc>
        <w:tc>
          <w:tcPr>
            <w:tcW w:w="581" w:type="pct"/>
          </w:tcPr>
          <w:p w:rsidR="0018253C" w:rsidRPr="00335764" w:rsidRDefault="0018253C" w:rsidP="00335764">
            <w:pPr>
              <w:spacing w:line="240" w:lineRule="auto"/>
              <w:jc w:val="left"/>
              <w:rPr>
                <w:rFonts w:cs="Arial"/>
                <w:sz w:val="20"/>
                <w:szCs w:val="20"/>
              </w:rPr>
            </w:pPr>
            <w:r w:rsidRPr="00335764">
              <w:rPr>
                <w:rFonts w:cs="Arial"/>
                <w:sz w:val="20"/>
                <w:szCs w:val="20"/>
              </w:rPr>
              <w:t>74%</w:t>
            </w:r>
          </w:p>
        </w:tc>
        <w:tc>
          <w:tcPr>
            <w:tcW w:w="580" w:type="pct"/>
          </w:tcPr>
          <w:p w:rsidR="0018253C" w:rsidRPr="00335764" w:rsidRDefault="0018253C" w:rsidP="00335764">
            <w:pPr>
              <w:spacing w:line="240" w:lineRule="auto"/>
              <w:jc w:val="left"/>
              <w:rPr>
                <w:rFonts w:cs="Arial"/>
                <w:sz w:val="20"/>
                <w:szCs w:val="20"/>
              </w:rPr>
            </w:pPr>
            <w:r w:rsidRPr="00335764">
              <w:rPr>
                <w:rFonts w:cs="Arial"/>
                <w:sz w:val="20"/>
                <w:szCs w:val="20"/>
              </w:rPr>
              <w:t>74%</w:t>
            </w:r>
          </w:p>
        </w:tc>
      </w:tr>
      <w:tr w:rsidR="006509E6" w:rsidRPr="00335764" w:rsidTr="000219B8">
        <w:tc>
          <w:tcPr>
            <w:tcW w:w="1075" w:type="pct"/>
            <w:vMerge/>
          </w:tcPr>
          <w:p w:rsidR="0018253C" w:rsidRPr="00335764" w:rsidRDefault="0018253C" w:rsidP="00335764">
            <w:pPr>
              <w:spacing w:line="240" w:lineRule="auto"/>
              <w:jc w:val="left"/>
              <w:rPr>
                <w:rFonts w:cs="Arial"/>
                <w:sz w:val="20"/>
                <w:szCs w:val="20"/>
              </w:rPr>
            </w:pPr>
          </w:p>
        </w:tc>
        <w:tc>
          <w:tcPr>
            <w:tcW w:w="1352" w:type="pct"/>
          </w:tcPr>
          <w:p w:rsidR="0018253C" w:rsidRPr="00335764" w:rsidRDefault="0018253C" w:rsidP="00335764">
            <w:pPr>
              <w:spacing w:line="240" w:lineRule="auto"/>
              <w:jc w:val="left"/>
              <w:rPr>
                <w:rFonts w:cs="Arial"/>
                <w:sz w:val="20"/>
                <w:szCs w:val="20"/>
              </w:rPr>
            </w:pPr>
            <w:r w:rsidRPr="00335764">
              <w:rPr>
                <w:rFonts w:cs="Arial"/>
                <w:sz w:val="20"/>
                <w:szCs w:val="20"/>
              </w:rPr>
              <w:t xml:space="preserve">Conviction rate in District Court </w:t>
            </w:r>
          </w:p>
        </w:tc>
        <w:tc>
          <w:tcPr>
            <w:tcW w:w="821" w:type="pct"/>
            <w:gridSpan w:val="2"/>
          </w:tcPr>
          <w:p w:rsidR="0018253C" w:rsidRPr="00335764" w:rsidRDefault="000219B8" w:rsidP="00335764">
            <w:pPr>
              <w:spacing w:line="240" w:lineRule="auto"/>
              <w:jc w:val="left"/>
              <w:rPr>
                <w:rFonts w:cs="Arial"/>
                <w:sz w:val="20"/>
                <w:szCs w:val="20"/>
              </w:rPr>
            </w:pPr>
            <w:r w:rsidRPr="00335764">
              <w:rPr>
                <w:rFonts w:cs="Arial"/>
                <w:sz w:val="20"/>
                <w:szCs w:val="20"/>
              </w:rPr>
              <w:t>88%</w:t>
            </w:r>
          </w:p>
        </w:tc>
        <w:tc>
          <w:tcPr>
            <w:tcW w:w="591" w:type="pct"/>
            <w:gridSpan w:val="2"/>
          </w:tcPr>
          <w:p w:rsidR="0018253C" w:rsidRPr="00335764" w:rsidRDefault="0018253C" w:rsidP="00335764">
            <w:pPr>
              <w:spacing w:line="240" w:lineRule="auto"/>
              <w:jc w:val="left"/>
              <w:rPr>
                <w:rFonts w:cs="Arial"/>
                <w:sz w:val="20"/>
                <w:szCs w:val="20"/>
              </w:rPr>
            </w:pPr>
            <w:r w:rsidRPr="00335764">
              <w:rPr>
                <w:rFonts w:cs="Arial"/>
                <w:sz w:val="20"/>
                <w:szCs w:val="20"/>
              </w:rPr>
              <w:t>88%</w:t>
            </w:r>
          </w:p>
        </w:tc>
        <w:tc>
          <w:tcPr>
            <w:tcW w:w="581" w:type="pct"/>
          </w:tcPr>
          <w:p w:rsidR="0018253C" w:rsidRPr="00335764" w:rsidRDefault="0018253C" w:rsidP="00335764">
            <w:pPr>
              <w:spacing w:line="240" w:lineRule="auto"/>
              <w:jc w:val="left"/>
              <w:rPr>
                <w:rFonts w:cs="Arial"/>
                <w:sz w:val="20"/>
                <w:szCs w:val="20"/>
              </w:rPr>
            </w:pPr>
            <w:r w:rsidRPr="00335764">
              <w:rPr>
                <w:rFonts w:cs="Arial"/>
                <w:sz w:val="20"/>
                <w:szCs w:val="20"/>
              </w:rPr>
              <w:t>88%</w:t>
            </w:r>
          </w:p>
        </w:tc>
        <w:tc>
          <w:tcPr>
            <w:tcW w:w="580" w:type="pct"/>
          </w:tcPr>
          <w:p w:rsidR="0018253C" w:rsidRPr="00335764" w:rsidRDefault="0018253C" w:rsidP="00335764">
            <w:pPr>
              <w:spacing w:line="240" w:lineRule="auto"/>
              <w:jc w:val="left"/>
              <w:rPr>
                <w:rFonts w:cs="Arial"/>
                <w:sz w:val="20"/>
                <w:szCs w:val="20"/>
              </w:rPr>
            </w:pPr>
            <w:r w:rsidRPr="00335764">
              <w:rPr>
                <w:rFonts w:cs="Arial"/>
                <w:sz w:val="20"/>
                <w:szCs w:val="20"/>
              </w:rPr>
              <w:t>88%</w:t>
            </w:r>
          </w:p>
        </w:tc>
      </w:tr>
      <w:tr w:rsidR="006509E6" w:rsidRPr="00335764" w:rsidTr="000219B8">
        <w:tc>
          <w:tcPr>
            <w:tcW w:w="1075" w:type="pct"/>
            <w:vMerge/>
          </w:tcPr>
          <w:p w:rsidR="0018253C" w:rsidRPr="00335764" w:rsidRDefault="0018253C" w:rsidP="00335764">
            <w:pPr>
              <w:spacing w:line="240" w:lineRule="auto"/>
              <w:jc w:val="left"/>
              <w:rPr>
                <w:rFonts w:cs="Arial"/>
                <w:sz w:val="20"/>
                <w:szCs w:val="20"/>
              </w:rPr>
            </w:pPr>
          </w:p>
        </w:tc>
        <w:tc>
          <w:tcPr>
            <w:tcW w:w="1352" w:type="pct"/>
          </w:tcPr>
          <w:p w:rsidR="0018253C" w:rsidRPr="00335764" w:rsidRDefault="0018253C" w:rsidP="00335764">
            <w:pPr>
              <w:spacing w:line="240" w:lineRule="auto"/>
              <w:jc w:val="left"/>
              <w:rPr>
                <w:rFonts w:cs="Arial"/>
                <w:sz w:val="20"/>
                <w:szCs w:val="20"/>
              </w:rPr>
            </w:pPr>
            <w:r w:rsidRPr="00335764">
              <w:rPr>
                <w:rFonts w:cs="Arial"/>
                <w:sz w:val="20"/>
                <w:szCs w:val="20"/>
              </w:rPr>
              <w:t>Conviction rate in cable theft cases</w:t>
            </w:r>
          </w:p>
        </w:tc>
        <w:tc>
          <w:tcPr>
            <w:tcW w:w="821" w:type="pct"/>
            <w:gridSpan w:val="2"/>
          </w:tcPr>
          <w:p w:rsidR="0018253C" w:rsidRPr="00335764" w:rsidRDefault="000219B8" w:rsidP="00335764">
            <w:pPr>
              <w:spacing w:line="240" w:lineRule="auto"/>
              <w:jc w:val="left"/>
              <w:rPr>
                <w:rFonts w:cs="Arial"/>
                <w:sz w:val="20"/>
                <w:szCs w:val="20"/>
              </w:rPr>
            </w:pPr>
            <w:r w:rsidRPr="00335764">
              <w:rPr>
                <w:rFonts w:cs="Arial"/>
                <w:sz w:val="20"/>
                <w:szCs w:val="20"/>
              </w:rPr>
              <w:t>80%</w:t>
            </w:r>
          </w:p>
        </w:tc>
        <w:tc>
          <w:tcPr>
            <w:tcW w:w="591" w:type="pct"/>
            <w:gridSpan w:val="2"/>
          </w:tcPr>
          <w:p w:rsidR="0018253C" w:rsidRPr="00335764" w:rsidRDefault="0018253C" w:rsidP="00335764">
            <w:pPr>
              <w:spacing w:line="240" w:lineRule="auto"/>
              <w:jc w:val="left"/>
              <w:rPr>
                <w:rFonts w:cs="Arial"/>
                <w:sz w:val="20"/>
                <w:szCs w:val="20"/>
              </w:rPr>
            </w:pPr>
            <w:r w:rsidRPr="00335764">
              <w:rPr>
                <w:rFonts w:cs="Arial"/>
                <w:sz w:val="20"/>
                <w:szCs w:val="20"/>
              </w:rPr>
              <w:t>80%</w:t>
            </w:r>
          </w:p>
        </w:tc>
        <w:tc>
          <w:tcPr>
            <w:tcW w:w="581" w:type="pct"/>
          </w:tcPr>
          <w:p w:rsidR="0018253C" w:rsidRPr="00335764" w:rsidRDefault="0018253C" w:rsidP="00335764">
            <w:pPr>
              <w:spacing w:line="240" w:lineRule="auto"/>
              <w:jc w:val="left"/>
              <w:rPr>
                <w:rFonts w:cs="Arial"/>
                <w:sz w:val="20"/>
                <w:szCs w:val="20"/>
              </w:rPr>
            </w:pPr>
            <w:r w:rsidRPr="00335764">
              <w:rPr>
                <w:rFonts w:cs="Arial"/>
                <w:sz w:val="20"/>
                <w:szCs w:val="20"/>
              </w:rPr>
              <w:t>80%</w:t>
            </w:r>
          </w:p>
        </w:tc>
        <w:tc>
          <w:tcPr>
            <w:tcW w:w="580" w:type="pct"/>
          </w:tcPr>
          <w:p w:rsidR="0018253C" w:rsidRPr="00335764" w:rsidRDefault="0018253C" w:rsidP="00335764">
            <w:pPr>
              <w:spacing w:line="240" w:lineRule="auto"/>
              <w:jc w:val="left"/>
              <w:rPr>
                <w:rFonts w:cs="Arial"/>
                <w:sz w:val="20"/>
                <w:szCs w:val="20"/>
              </w:rPr>
            </w:pPr>
            <w:r w:rsidRPr="00335764">
              <w:rPr>
                <w:rFonts w:cs="Arial"/>
                <w:sz w:val="20"/>
                <w:szCs w:val="20"/>
              </w:rPr>
              <w:t>80%</w:t>
            </w:r>
          </w:p>
        </w:tc>
      </w:tr>
      <w:tr w:rsidR="006509E6" w:rsidRPr="00335764" w:rsidTr="000219B8">
        <w:tc>
          <w:tcPr>
            <w:tcW w:w="1075" w:type="pct"/>
            <w:vMerge/>
          </w:tcPr>
          <w:p w:rsidR="0018253C" w:rsidRPr="00335764" w:rsidRDefault="0018253C" w:rsidP="00335764">
            <w:pPr>
              <w:spacing w:line="240" w:lineRule="auto"/>
              <w:jc w:val="left"/>
              <w:rPr>
                <w:rFonts w:cs="Arial"/>
                <w:sz w:val="20"/>
                <w:szCs w:val="20"/>
              </w:rPr>
            </w:pPr>
          </w:p>
        </w:tc>
        <w:tc>
          <w:tcPr>
            <w:tcW w:w="1352" w:type="pct"/>
          </w:tcPr>
          <w:p w:rsidR="0018253C" w:rsidRPr="00335764" w:rsidRDefault="0018253C" w:rsidP="00335764">
            <w:pPr>
              <w:spacing w:line="240" w:lineRule="auto"/>
              <w:jc w:val="left"/>
              <w:rPr>
                <w:rFonts w:cs="Arial"/>
                <w:sz w:val="20"/>
                <w:szCs w:val="20"/>
              </w:rPr>
            </w:pPr>
            <w:r w:rsidRPr="00335764">
              <w:rPr>
                <w:rFonts w:cs="Arial"/>
                <w:sz w:val="20"/>
                <w:szCs w:val="20"/>
              </w:rPr>
              <w:t xml:space="preserve">Number of witnesses and related persons threatened, harmed or killed while on the witness protection programme </w:t>
            </w:r>
          </w:p>
        </w:tc>
        <w:tc>
          <w:tcPr>
            <w:tcW w:w="821" w:type="pct"/>
            <w:gridSpan w:val="2"/>
          </w:tcPr>
          <w:p w:rsidR="0018253C" w:rsidRPr="00335764" w:rsidRDefault="000219B8" w:rsidP="00335764">
            <w:pPr>
              <w:spacing w:line="240" w:lineRule="auto"/>
              <w:jc w:val="left"/>
              <w:rPr>
                <w:rFonts w:cs="Arial"/>
                <w:sz w:val="20"/>
                <w:szCs w:val="20"/>
              </w:rPr>
            </w:pPr>
            <w:r w:rsidRPr="00335764">
              <w:rPr>
                <w:rFonts w:cs="Arial"/>
                <w:sz w:val="20"/>
                <w:szCs w:val="20"/>
              </w:rPr>
              <w:t>0</w:t>
            </w:r>
          </w:p>
        </w:tc>
        <w:tc>
          <w:tcPr>
            <w:tcW w:w="591" w:type="pct"/>
            <w:gridSpan w:val="2"/>
          </w:tcPr>
          <w:p w:rsidR="0018253C" w:rsidRPr="00335764" w:rsidRDefault="0018253C" w:rsidP="00335764">
            <w:pPr>
              <w:spacing w:line="240" w:lineRule="auto"/>
              <w:jc w:val="left"/>
              <w:rPr>
                <w:rFonts w:cs="Arial"/>
                <w:sz w:val="20"/>
                <w:szCs w:val="20"/>
              </w:rPr>
            </w:pPr>
            <w:r w:rsidRPr="00335764">
              <w:rPr>
                <w:rFonts w:cs="Arial"/>
                <w:sz w:val="20"/>
                <w:szCs w:val="20"/>
              </w:rPr>
              <w:t>0</w:t>
            </w:r>
          </w:p>
        </w:tc>
        <w:tc>
          <w:tcPr>
            <w:tcW w:w="581" w:type="pct"/>
          </w:tcPr>
          <w:p w:rsidR="0018253C" w:rsidRPr="00335764" w:rsidRDefault="0018253C" w:rsidP="00335764">
            <w:pPr>
              <w:spacing w:line="240" w:lineRule="auto"/>
              <w:jc w:val="left"/>
              <w:rPr>
                <w:rFonts w:cs="Arial"/>
                <w:sz w:val="20"/>
                <w:szCs w:val="20"/>
              </w:rPr>
            </w:pPr>
            <w:r w:rsidRPr="00335764">
              <w:rPr>
                <w:rFonts w:cs="Arial"/>
                <w:sz w:val="20"/>
                <w:szCs w:val="20"/>
              </w:rPr>
              <w:t>0</w:t>
            </w:r>
          </w:p>
        </w:tc>
        <w:tc>
          <w:tcPr>
            <w:tcW w:w="580" w:type="pct"/>
          </w:tcPr>
          <w:p w:rsidR="0018253C" w:rsidRPr="00335764" w:rsidRDefault="009E7F74" w:rsidP="00335764">
            <w:pPr>
              <w:spacing w:line="240" w:lineRule="auto"/>
              <w:jc w:val="left"/>
              <w:rPr>
                <w:rFonts w:cs="Arial"/>
                <w:sz w:val="20"/>
                <w:szCs w:val="20"/>
              </w:rPr>
            </w:pPr>
            <w:r w:rsidRPr="00335764">
              <w:rPr>
                <w:rFonts w:cs="Arial"/>
                <w:sz w:val="20"/>
                <w:szCs w:val="20"/>
              </w:rPr>
              <w:t>0</w:t>
            </w:r>
          </w:p>
        </w:tc>
      </w:tr>
      <w:tr w:rsidR="006509E6" w:rsidRPr="00335764" w:rsidTr="000219B8">
        <w:trPr>
          <w:trHeight w:val="1221"/>
        </w:trPr>
        <w:tc>
          <w:tcPr>
            <w:tcW w:w="1075" w:type="pct"/>
            <w:vMerge w:val="restart"/>
          </w:tcPr>
          <w:p w:rsidR="0018253C" w:rsidRPr="00335764" w:rsidRDefault="0018253C" w:rsidP="00335764">
            <w:pPr>
              <w:autoSpaceDE w:val="0"/>
              <w:autoSpaceDN w:val="0"/>
              <w:adjustRightInd w:val="0"/>
              <w:spacing w:line="240" w:lineRule="auto"/>
              <w:jc w:val="left"/>
              <w:rPr>
                <w:rFonts w:cs="Arial"/>
                <w:sz w:val="20"/>
                <w:szCs w:val="20"/>
              </w:rPr>
            </w:pPr>
            <w:r w:rsidRPr="00335764">
              <w:rPr>
                <w:rFonts w:cs="Arial"/>
                <w:sz w:val="20"/>
                <w:szCs w:val="20"/>
              </w:rPr>
              <w:t>Fraud and corruption dealt with</w:t>
            </w:r>
          </w:p>
        </w:tc>
        <w:tc>
          <w:tcPr>
            <w:tcW w:w="1352" w:type="pct"/>
          </w:tcPr>
          <w:p w:rsidR="0018253C" w:rsidRPr="00335764" w:rsidRDefault="0018253C" w:rsidP="00335764">
            <w:pPr>
              <w:autoSpaceDE w:val="0"/>
              <w:autoSpaceDN w:val="0"/>
              <w:adjustRightInd w:val="0"/>
              <w:spacing w:line="240" w:lineRule="auto"/>
              <w:jc w:val="left"/>
              <w:rPr>
                <w:rFonts w:cs="Arial"/>
                <w:sz w:val="20"/>
                <w:szCs w:val="20"/>
              </w:rPr>
            </w:pPr>
            <w:r w:rsidRPr="00335764">
              <w:rPr>
                <w:rFonts w:cs="Arial"/>
                <w:sz w:val="20"/>
                <w:szCs w:val="20"/>
              </w:rPr>
              <w:t>Conviction rate in complex commercial crime</w:t>
            </w:r>
          </w:p>
        </w:tc>
        <w:tc>
          <w:tcPr>
            <w:tcW w:w="821" w:type="pct"/>
            <w:gridSpan w:val="2"/>
          </w:tcPr>
          <w:p w:rsidR="0018253C" w:rsidRPr="00335764" w:rsidRDefault="0018253C" w:rsidP="00335764">
            <w:pPr>
              <w:spacing w:line="240" w:lineRule="auto"/>
              <w:jc w:val="left"/>
              <w:rPr>
                <w:rFonts w:cs="Arial"/>
                <w:sz w:val="20"/>
                <w:szCs w:val="20"/>
              </w:rPr>
            </w:pPr>
            <w:r w:rsidRPr="00335764">
              <w:rPr>
                <w:rFonts w:cs="Arial"/>
                <w:sz w:val="20"/>
                <w:szCs w:val="20"/>
              </w:rPr>
              <w:t>9</w:t>
            </w:r>
            <w:r w:rsidR="000219B8" w:rsidRPr="00335764">
              <w:rPr>
                <w:rFonts w:cs="Arial"/>
                <w:sz w:val="20"/>
                <w:szCs w:val="20"/>
              </w:rPr>
              <w:t>0</w:t>
            </w:r>
            <w:r w:rsidRPr="00335764">
              <w:rPr>
                <w:rFonts w:cs="Arial"/>
                <w:sz w:val="20"/>
                <w:szCs w:val="20"/>
              </w:rPr>
              <w:t>%</w:t>
            </w:r>
          </w:p>
        </w:tc>
        <w:tc>
          <w:tcPr>
            <w:tcW w:w="591" w:type="pct"/>
            <w:gridSpan w:val="2"/>
          </w:tcPr>
          <w:p w:rsidR="0018253C" w:rsidRPr="00335764" w:rsidRDefault="009E7F74" w:rsidP="00335764">
            <w:pPr>
              <w:spacing w:line="240" w:lineRule="auto"/>
              <w:jc w:val="left"/>
              <w:rPr>
                <w:rFonts w:cs="Arial"/>
                <w:sz w:val="20"/>
                <w:szCs w:val="20"/>
              </w:rPr>
            </w:pPr>
            <w:r w:rsidRPr="00335764">
              <w:rPr>
                <w:rFonts w:cs="Arial"/>
                <w:sz w:val="20"/>
                <w:szCs w:val="20"/>
              </w:rPr>
              <w:t>90</w:t>
            </w:r>
            <w:r w:rsidR="0018253C" w:rsidRPr="00335764">
              <w:rPr>
                <w:rFonts w:cs="Arial"/>
                <w:sz w:val="20"/>
                <w:szCs w:val="20"/>
              </w:rPr>
              <w:t>%</w:t>
            </w:r>
          </w:p>
        </w:tc>
        <w:tc>
          <w:tcPr>
            <w:tcW w:w="581" w:type="pct"/>
          </w:tcPr>
          <w:p w:rsidR="0018253C" w:rsidRPr="00335764" w:rsidRDefault="009E7F74" w:rsidP="00335764">
            <w:pPr>
              <w:spacing w:line="240" w:lineRule="auto"/>
              <w:jc w:val="left"/>
              <w:rPr>
                <w:rFonts w:cs="Arial"/>
                <w:sz w:val="20"/>
                <w:szCs w:val="20"/>
              </w:rPr>
            </w:pPr>
            <w:r w:rsidRPr="00335764">
              <w:rPr>
                <w:rFonts w:cs="Arial"/>
                <w:sz w:val="20"/>
                <w:szCs w:val="20"/>
              </w:rPr>
              <w:t>90</w:t>
            </w:r>
            <w:r w:rsidR="0018253C" w:rsidRPr="00335764">
              <w:rPr>
                <w:rFonts w:cs="Arial"/>
                <w:sz w:val="20"/>
                <w:szCs w:val="20"/>
              </w:rPr>
              <w:t>%</w:t>
            </w:r>
          </w:p>
        </w:tc>
        <w:tc>
          <w:tcPr>
            <w:tcW w:w="580" w:type="pct"/>
          </w:tcPr>
          <w:p w:rsidR="0018253C" w:rsidRPr="00335764" w:rsidRDefault="009E7F74" w:rsidP="00335764">
            <w:pPr>
              <w:spacing w:line="240" w:lineRule="auto"/>
              <w:jc w:val="left"/>
              <w:rPr>
                <w:rFonts w:cs="Arial"/>
                <w:sz w:val="20"/>
                <w:szCs w:val="20"/>
              </w:rPr>
            </w:pPr>
            <w:r w:rsidRPr="00335764">
              <w:rPr>
                <w:rFonts w:cs="Arial"/>
                <w:sz w:val="20"/>
                <w:szCs w:val="20"/>
              </w:rPr>
              <w:t>90%</w:t>
            </w:r>
          </w:p>
        </w:tc>
      </w:tr>
      <w:tr w:rsidR="006509E6" w:rsidRPr="00335764" w:rsidTr="000219B8">
        <w:trPr>
          <w:trHeight w:val="2042"/>
        </w:trPr>
        <w:tc>
          <w:tcPr>
            <w:tcW w:w="1075" w:type="pct"/>
            <w:vMerge/>
          </w:tcPr>
          <w:p w:rsidR="0018253C" w:rsidRPr="00335764" w:rsidRDefault="0018253C" w:rsidP="00335764">
            <w:pPr>
              <w:spacing w:line="240" w:lineRule="auto"/>
              <w:jc w:val="left"/>
              <w:rPr>
                <w:rFonts w:cs="Arial"/>
                <w:sz w:val="20"/>
                <w:szCs w:val="20"/>
              </w:rPr>
            </w:pPr>
          </w:p>
        </w:tc>
        <w:tc>
          <w:tcPr>
            <w:tcW w:w="1352" w:type="pct"/>
          </w:tcPr>
          <w:p w:rsidR="0018253C" w:rsidRPr="00335764" w:rsidRDefault="0018253C" w:rsidP="00335764">
            <w:pPr>
              <w:autoSpaceDE w:val="0"/>
              <w:autoSpaceDN w:val="0"/>
              <w:adjustRightInd w:val="0"/>
              <w:spacing w:line="240" w:lineRule="auto"/>
              <w:jc w:val="left"/>
              <w:rPr>
                <w:rFonts w:cs="Arial"/>
                <w:sz w:val="20"/>
                <w:szCs w:val="20"/>
              </w:rPr>
            </w:pPr>
            <w:r w:rsidRPr="00335764">
              <w:rPr>
                <w:rFonts w:cs="Arial"/>
                <w:sz w:val="20"/>
                <w:szCs w:val="20"/>
              </w:rPr>
              <w:t>Number of persons convicted of corruption</w:t>
            </w:r>
            <w:r w:rsidR="009E7F74" w:rsidRPr="00335764">
              <w:rPr>
                <w:rFonts w:cs="Arial"/>
                <w:sz w:val="20"/>
                <w:szCs w:val="20"/>
              </w:rPr>
              <w:t xml:space="preserve"> and/or offences related to corruption</w:t>
            </w:r>
          </w:p>
        </w:tc>
        <w:tc>
          <w:tcPr>
            <w:tcW w:w="821" w:type="pct"/>
            <w:gridSpan w:val="2"/>
          </w:tcPr>
          <w:p w:rsidR="0018253C" w:rsidRPr="00335764" w:rsidRDefault="000219B8" w:rsidP="00335764">
            <w:pPr>
              <w:spacing w:line="240" w:lineRule="auto"/>
              <w:jc w:val="left"/>
              <w:rPr>
                <w:rFonts w:cs="Arial"/>
                <w:sz w:val="20"/>
                <w:szCs w:val="20"/>
              </w:rPr>
            </w:pPr>
            <w:r w:rsidRPr="00335764">
              <w:rPr>
                <w:rFonts w:cs="Arial"/>
                <w:sz w:val="20"/>
                <w:szCs w:val="20"/>
              </w:rPr>
              <w:t>334</w:t>
            </w:r>
          </w:p>
        </w:tc>
        <w:tc>
          <w:tcPr>
            <w:tcW w:w="591" w:type="pct"/>
            <w:gridSpan w:val="2"/>
          </w:tcPr>
          <w:p w:rsidR="0018253C" w:rsidRPr="00335764" w:rsidRDefault="009E7F74" w:rsidP="00335764">
            <w:pPr>
              <w:spacing w:line="240" w:lineRule="auto"/>
              <w:jc w:val="left"/>
              <w:rPr>
                <w:rFonts w:cs="Arial"/>
                <w:sz w:val="20"/>
                <w:szCs w:val="20"/>
              </w:rPr>
            </w:pPr>
            <w:r w:rsidRPr="00335764">
              <w:rPr>
                <w:rFonts w:cs="Arial"/>
                <w:sz w:val="20"/>
                <w:szCs w:val="20"/>
              </w:rPr>
              <w:t>334</w:t>
            </w:r>
          </w:p>
        </w:tc>
        <w:tc>
          <w:tcPr>
            <w:tcW w:w="581" w:type="pct"/>
          </w:tcPr>
          <w:p w:rsidR="0018253C" w:rsidRPr="00335764" w:rsidRDefault="009E7F74" w:rsidP="00335764">
            <w:pPr>
              <w:spacing w:line="240" w:lineRule="auto"/>
              <w:jc w:val="left"/>
              <w:rPr>
                <w:rFonts w:cs="Arial"/>
                <w:sz w:val="20"/>
                <w:szCs w:val="20"/>
              </w:rPr>
            </w:pPr>
            <w:r w:rsidRPr="00335764">
              <w:rPr>
                <w:rFonts w:cs="Arial"/>
                <w:sz w:val="20"/>
                <w:szCs w:val="20"/>
              </w:rPr>
              <w:t>334</w:t>
            </w:r>
          </w:p>
        </w:tc>
        <w:tc>
          <w:tcPr>
            <w:tcW w:w="580" w:type="pct"/>
          </w:tcPr>
          <w:p w:rsidR="0018253C" w:rsidRPr="00335764" w:rsidRDefault="009E7F74" w:rsidP="00335764">
            <w:pPr>
              <w:spacing w:line="240" w:lineRule="auto"/>
              <w:jc w:val="left"/>
              <w:rPr>
                <w:rFonts w:cs="Arial"/>
                <w:sz w:val="20"/>
                <w:szCs w:val="20"/>
              </w:rPr>
            </w:pPr>
            <w:r w:rsidRPr="00335764">
              <w:rPr>
                <w:rFonts w:cs="Arial"/>
                <w:sz w:val="20"/>
                <w:szCs w:val="20"/>
              </w:rPr>
              <w:t>334</w:t>
            </w:r>
          </w:p>
        </w:tc>
      </w:tr>
      <w:tr w:rsidR="006509E6" w:rsidRPr="00335764" w:rsidTr="000219B8">
        <w:tc>
          <w:tcPr>
            <w:tcW w:w="1075" w:type="pct"/>
            <w:vMerge/>
          </w:tcPr>
          <w:p w:rsidR="0018253C" w:rsidRPr="00335764" w:rsidRDefault="0018253C" w:rsidP="00335764">
            <w:pPr>
              <w:spacing w:line="240" w:lineRule="auto"/>
              <w:jc w:val="left"/>
              <w:rPr>
                <w:rFonts w:cs="Arial"/>
                <w:sz w:val="20"/>
                <w:szCs w:val="20"/>
              </w:rPr>
            </w:pPr>
          </w:p>
        </w:tc>
        <w:tc>
          <w:tcPr>
            <w:tcW w:w="1352" w:type="pct"/>
          </w:tcPr>
          <w:p w:rsidR="009E7F74" w:rsidRPr="00335764" w:rsidRDefault="009E7F74" w:rsidP="00335764">
            <w:pPr>
              <w:autoSpaceDE w:val="0"/>
              <w:autoSpaceDN w:val="0"/>
              <w:adjustRightInd w:val="0"/>
              <w:spacing w:line="240" w:lineRule="auto"/>
              <w:jc w:val="left"/>
              <w:rPr>
                <w:rFonts w:cs="Arial"/>
                <w:sz w:val="20"/>
                <w:szCs w:val="20"/>
              </w:rPr>
            </w:pPr>
            <w:r w:rsidRPr="00335764">
              <w:rPr>
                <w:rFonts w:cs="Arial"/>
                <w:sz w:val="20"/>
                <w:szCs w:val="20"/>
              </w:rPr>
              <w:t>Number of investigations authorised</w:t>
            </w:r>
            <w:r w:rsidR="000219B8" w:rsidRPr="00335764">
              <w:rPr>
                <w:rFonts w:cs="Arial"/>
                <w:sz w:val="20"/>
                <w:szCs w:val="20"/>
              </w:rPr>
              <w:t xml:space="preserve"> (ID)</w:t>
            </w:r>
          </w:p>
        </w:tc>
        <w:tc>
          <w:tcPr>
            <w:tcW w:w="821" w:type="pct"/>
            <w:gridSpan w:val="2"/>
          </w:tcPr>
          <w:p w:rsidR="0018253C" w:rsidRPr="00335764" w:rsidRDefault="000219B8" w:rsidP="00335764">
            <w:pPr>
              <w:spacing w:line="240" w:lineRule="auto"/>
              <w:jc w:val="left"/>
              <w:rPr>
                <w:rFonts w:cs="Arial"/>
                <w:sz w:val="20"/>
                <w:szCs w:val="20"/>
              </w:rPr>
            </w:pPr>
            <w:r w:rsidRPr="00335764">
              <w:rPr>
                <w:rFonts w:cs="Arial"/>
                <w:sz w:val="20"/>
                <w:szCs w:val="20"/>
              </w:rPr>
              <w:t>11</w:t>
            </w:r>
          </w:p>
        </w:tc>
        <w:tc>
          <w:tcPr>
            <w:tcW w:w="591" w:type="pct"/>
            <w:gridSpan w:val="2"/>
          </w:tcPr>
          <w:p w:rsidR="0018253C" w:rsidRPr="00335764" w:rsidRDefault="009E7F74" w:rsidP="00335764">
            <w:pPr>
              <w:spacing w:line="240" w:lineRule="auto"/>
              <w:jc w:val="left"/>
              <w:rPr>
                <w:rFonts w:cs="Arial"/>
                <w:sz w:val="20"/>
                <w:szCs w:val="20"/>
              </w:rPr>
            </w:pPr>
            <w:r w:rsidRPr="00335764">
              <w:rPr>
                <w:rFonts w:cs="Arial"/>
                <w:sz w:val="20"/>
                <w:szCs w:val="20"/>
              </w:rPr>
              <w:t>11</w:t>
            </w:r>
          </w:p>
        </w:tc>
        <w:tc>
          <w:tcPr>
            <w:tcW w:w="581" w:type="pct"/>
          </w:tcPr>
          <w:p w:rsidR="0018253C" w:rsidRPr="00335764" w:rsidRDefault="009E7F74" w:rsidP="00335764">
            <w:pPr>
              <w:spacing w:line="240" w:lineRule="auto"/>
              <w:jc w:val="left"/>
              <w:rPr>
                <w:rFonts w:cs="Arial"/>
                <w:sz w:val="20"/>
                <w:szCs w:val="20"/>
              </w:rPr>
            </w:pPr>
            <w:r w:rsidRPr="00335764">
              <w:rPr>
                <w:rFonts w:cs="Arial"/>
                <w:sz w:val="20"/>
                <w:szCs w:val="20"/>
              </w:rPr>
              <w:t>16</w:t>
            </w:r>
          </w:p>
        </w:tc>
        <w:tc>
          <w:tcPr>
            <w:tcW w:w="580" w:type="pct"/>
          </w:tcPr>
          <w:p w:rsidR="0018253C" w:rsidRPr="00335764" w:rsidRDefault="009E7F74" w:rsidP="00335764">
            <w:pPr>
              <w:spacing w:line="240" w:lineRule="auto"/>
              <w:jc w:val="left"/>
              <w:rPr>
                <w:rFonts w:cs="Arial"/>
                <w:sz w:val="20"/>
                <w:szCs w:val="20"/>
              </w:rPr>
            </w:pPr>
            <w:r w:rsidRPr="00335764">
              <w:rPr>
                <w:rFonts w:cs="Arial"/>
                <w:sz w:val="20"/>
                <w:szCs w:val="20"/>
              </w:rPr>
              <w:t>21</w:t>
            </w:r>
          </w:p>
        </w:tc>
      </w:tr>
      <w:tr w:rsidR="006509E6" w:rsidRPr="00335764" w:rsidTr="000219B8">
        <w:tc>
          <w:tcPr>
            <w:tcW w:w="1075" w:type="pct"/>
            <w:vMerge/>
          </w:tcPr>
          <w:p w:rsidR="009E7F74" w:rsidRPr="00335764" w:rsidRDefault="009E7F74" w:rsidP="00335764">
            <w:pPr>
              <w:spacing w:line="240" w:lineRule="auto"/>
              <w:jc w:val="left"/>
              <w:rPr>
                <w:rFonts w:cs="Arial"/>
                <w:sz w:val="20"/>
                <w:szCs w:val="20"/>
              </w:rPr>
            </w:pPr>
          </w:p>
        </w:tc>
        <w:tc>
          <w:tcPr>
            <w:tcW w:w="1352" w:type="pct"/>
          </w:tcPr>
          <w:p w:rsidR="009E7F74" w:rsidRPr="00335764" w:rsidRDefault="009E7F74" w:rsidP="00335764">
            <w:pPr>
              <w:autoSpaceDE w:val="0"/>
              <w:autoSpaceDN w:val="0"/>
              <w:adjustRightInd w:val="0"/>
              <w:spacing w:line="240" w:lineRule="auto"/>
              <w:jc w:val="left"/>
              <w:rPr>
                <w:rFonts w:cs="Arial"/>
                <w:sz w:val="20"/>
                <w:szCs w:val="20"/>
              </w:rPr>
            </w:pPr>
            <w:r w:rsidRPr="00335764">
              <w:rPr>
                <w:rFonts w:cs="Arial"/>
                <w:sz w:val="20"/>
                <w:szCs w:val="20"/>
              </w:rPr>
              <w:t xml:space="preserve">Number of state capture </w:t>
            </w:r>
            <w:r w:rsidR="000219B8" w:rsidRPr="00335764">
              <w:rPr>
                <w:rFonts w:cs="Arial"/>
                <w:sz w:val="20"/>
                <w:szCs w:val="20"/>
              </w:rPr>
              <w:t xml:space="preserve">and complex corruption </w:t>
            </w:r>
            <w:r w:rsidRPr="00335764">
              <w:rPr>
                <w:rFonts w:cs="Arial"/>
                <w:sz w:val="20"/>
                <w:szCs w:val="20"/>
              </w:rPr>
              <w:t>matters enrolled</w:t>
            </w:r>
          </w:p>
        </w:tc>
        <w:tc>
          <w:tcPr>
            <w:tcW w:w="821" w:type="pct"/>
            <w:gridSpan w:val="2"/>
          </w:tcPr>
          <w:p w:rsidR="009E7F74" w:rsidRPr="00335764" w:rsidRDefault="000219B8" w:rsidP="00335764">
            <w:pPr>
              <w:spacing w:line="240" w:lineRule="auto"/>
              <w:jc w:val="left"/>
              <w:rPr>
                <w:rFonts w:cs="Arial"/>
                <w:sz w:val="20"/>
                <w:szCs w:val="20"/>
              </w:rPr>
            </w:pPr>
            <w:r w:rsidRPr="00335764">
              <w:rPr>
                <w:rFonts w:cs="Arial"/>
                <w:sz w:val="20"/>
                <w:szCs w:val="20"/>
              </w:rPr>
              <w:t>9</w:t>
            </w:r>
          </w:p>
        </w:tc>
        <w:tc>
          <w:tcPr>
            <w:tcW w:w="591" w:type="pct"/>
            <w:gridSpan w:val="2"/>
          </w:tcPr>
          <w:p w:rsidR="009E7F74" w:rsidRPr="00335764" w:rsidRDefault="000219B8" w:rsidP="00335764">
            <w:pPr>
              <w:spacing w:line="240" w:lineRule="auto"/>
              <w:jc w:val="left"/>
              <w:rPr>
                <w:rFonts w:cs="Arial"/>
                <w:sz w:val="20"/>
                <w:szCs w:val="20"/>
              </w:rPr>
            </w:pPr>
            <w:r w:rsidRPr="00335764">
              <w:rPr>
                <w:rFonts w:cs="Arial"/>
                <w:sz w:val="20"/>
                <w:szCs w:val="20"/>
              </w:rPr>
              <w:t>12</w:t>
            </w:r>
          </w:p>
        </w:tc>
        <w:tc>
          <w:tcPr>
            <w:tcW w:w="581" w:type="pct"/>
          </w:tcPr>
          <w:p w:rsidR="009E7F74" w:rsidRPr="00335764" w:rsidRDefault="000219B8" w:rsidP="00335764">
            <w:pPr>
              <w:spacing w:line="240" w:lineRule="auto"/>
              <w:jc w:val="left"/>
              <w:rPr>
                <w:rFonts w:cs="Arial"/>
                <w:sz w:val="20"/>
                <w:szCs w:val="20"/>
              </w:rPr>
            </w:pPr>
            <w:r w:rsidRPr="00335764">
              <w:rPr>
                <w:rFonts w:cs="Arial"/>
                <w:sz w:val="20"/>
                <w:szCs w:val="20"/>
              </w:rPr>
              <w:t>15</w:t>
            </w:r>
          </w:p>
        </w:tc>
        <w:tc>
          <w:tcPr>
            <w:tcW w:w="580" w:type="pct"/>
          </w:tcPr>
          <w:p w:rsidR="009E7F74" w:rsidRPr="00335764" w:rsidRDefault="000219B8" w:rsidP="00335764">
            <w:pPr>
              <w:spacing w:line="240" w:lineRule="auto"/>
              <w:jc w:val="left"/>
              <w:rPr>
                <w:rFonts w:cs="Arial"/>
                <w:sz w:val="20"/>
                <w:szCs w:val="20"/>
              </w:rPr>
            </w:pPr>
            <w:r w:rsidRPr="00335764">
              <w:rPr>
                <w:rFonts w:cs="Arial"/>
                <w:sz w:val="20"/>
                <w:szCs w:val="20"/>
              </w:rPr>
              <w:t>18</w:t>
            </w:r>
          </w:p>
        </w:tc>
      </w:tr>
      <w:tr w:rsidR="006509E6" w:rsidRPr="00335764" w:rsidTr="000219B8">
        <w:tc>
          <w:tcPr>
            <w:tcW w:w="1075" w:type="pct"/>
            <w:vMerge/>
          </w:tcPr>
          <w:p w:rsidR="0018253C" w:rsidRPr="00335764" w:rsidRDefault="0018253C" w:rsidP="00335764">
            <w:pPr>
              <w:spacing w:line="240" w:lineRule="auto"/>
              <w:jc w:val="left"/>
              <w:rPr>
                <w:rFonts w:cs="Arial"/>
                <w:sz w:val="20"/>
                <w:szCs w:val="20"/>
              </w:rPr>
            </w:pPr>
          </w:p>
        </w:tc>
        <w:tc>
          <w:tcPr>
            <w:tcW w:w="1352" w:type="pct"/>
          </w:tcPr>
          <w:p w:rsidR="0018253C" w:rsidRPr="00335764" w:rsidRDefault="000219B8" w:rsidP="00335764">
            <w:pPr>
              <w:autoSpaceDE w:val="0"/>
              <w:autoSpaceDN w:val="0"/>
              <w:adjustRightInd w:val="0"/>
              <w:spacing w:line="240" w:lineRule="auto"/>
              <w:jc w:val="left"/>
              <w:rPr>
                <w:rFonts w:cs="Arial"/>
                <w:sz w:val="20"/>
                <w:szCs w:val="20"/>
              </w:rPr>
            </w:pPr>
            <w:r w:rsidRPr="00335764">
              <w:rPr>
                <w:rFonts w:cs="Arial"/>
                <w:sz w:val="20"/>
                <w:szCs w:val="20"/>
              </w:rPr>
              <w:t xml:space="preserve">Number of prosecutions </w:t>
            </w:r>
            <w:r w:rsidR="009E7F74" w:rsidRPr="00335764">
              <w:rPr>
                <w:rFonts w:cs="Arial"/>
                <w:sz w:val="20"/>
                <w:szCs w:val="20"/>
              </w:rPr>
              <w:t>i</w:t>
            </w:r>
            <w:r w:rsidR="0018253C" w:rsidRPr="00335764">
              <w:rPr>
                <w:rFonts w:cs="Arial"/>
                <w:sz w:val="20"/>
                <w:szCs w:val="20"/>
              </w:rPr>
              <w:t>nvolving money laundering</w:t>
            </w:r>
            <w:r w:rsidR="003C5DE3" w:rsidRPr="00335764">
              <w:rPr>
                <w:rFonts w:cs="Arial"/>
                <w:sz w:val="20"/>
                <w:szCs w:val="20"/>
              </w:rPr>
              <w:t xml:space="preserve"> NEW</w:t>
            </w:r>
          </w:p>
        </w:tc>
        <w:tc>
          <w:tcPr>
            <w:tcW w:w="821" w:type="pct"/>
            <w:gridSpan w:val="2"/>
          </w:tcPr>
          <w:p w:rsidR="0018253C" w:rsidRPr="00335764" w:rsidRDefault="000219B8" w:rsidP="00335764">
            <w:pPr>
              <w:spacing w:line="240" w:lineRule="auto"/>
              <w:jc w:val="left"/>
              <w:rPr>
                <w:rFonts w:cs="Arial"/>
                <w:sz w:val="20"/>
                <w:szCs w:val="20"/>
              </w:rPr>
            </w:pPr>
            <w:r w:rsidRPr="00335764">
              <w:rPr>
                <w:rFonts w:cs="Arial"/>
                <w:sz w:val="20"/>
                <w:szCs w:val="20"/>
              </w:rPr>
              <w:t>NA</w:t>
            </w:r>
          </w:p>
        </w:tc>
        <w:tc>
          <w:tcPr>
            <w:tcW w:w="591" w:type="pct"/>
            <w:gridSpan w:val="2"/>
          </w:tcPr>
          <w:p w:rsidR="0018253C" w:rsidRPr="00335764" w:rsidRDefault="000219B8" w:rsidP="00335764">
            <w:pPr>
              <w:spacing w:line="240" w:lineRule="auto"/>
              <w:jc w:val="left"/>
              <w:rPr>
                <w:rFonts w:cs="Arial"/>
                <w:sz w:val="20"/>
                <w:szCs w:val="20"/>
              </w:rPr>
            </w:pPr>
            <w:r w:rsidRPr="00335764">
              <w:rPr>
                <w:rFonts w:cs="Arial"/>
                <w:sz w:val="20"/>
                <w:szCs w:val="20"/>
              </w:rPr>
              <w:t>Baseline</w:t>
            </w:r>
          </w:p>
        </w:tc>
        <w:tc>
          <w:tcPr>
            <w:tcW w:w="581" w:type="pct"/>
          </w:tcPr>
          <w:p w:rsidR="0018253C" w:rsidRPr="00335764" w:rsidRDefault="000219B8" w:rsidP="00335764">
            <w:pPr>
              <w:spacing w:line="240" w:lineRule="auto"/>
              <w:jc w:val="left"/>
              <w:rPr>
                <w:rFonts w:cs="Arial"/>
                <w:sz w:val="20"/>
                <w:szCs w:val="20"/>
              </w:rPr>
            </w:pPr>
            <w:r w:rsidRPr="00335764">
              <w:rPr>
                <w:rFonts w:cs="Arial"/>
                <w:sz w:val="20"/>
                <w:szCs w:val="20"/>
              </w:rPr>
              <w:t>Baseline</w:t>
            </w:r>
          </w:p>
        </w:tc>
        <w:tc>
          <w:tcPr>
            <w:tcW w:w="580" w:type="pct"/>
          </w:tcPr>
          <w:p w:rsidR="0018253C" w:rsidRPr="00335764" w:rsidRDefault="000219B8" w:rsidP="00335764">
            <w:pPr>
              <w:spacing w:line="240" w:lineRule="auto"/>
              <w:jc w:val="left"/>
              <w:rPr>
                <w:rFonts w:cs="Arial"/>
                <w:sz w:val="20"/>
                <w:szCs w:val="20"/>
              </w:rPr>
            </w:pPr>
            <w:r w:rsidRPr="00335764">
              <w:rPr>
                <w:rFonts w:cs="Arial"/>
                <w:sz w:val="20"/>
                <w:szCs w:val="20"/>
              </w:rPr>
              <w:t>Baseline</w:t>
            </w:r>
          </w:p>
        </w:tc>
      </w:tr>
      <w:tr w:rsidR="006509E6" w:rsidRPr="00335764" w:rsidTr="000219B8">
        <w:tc>
          <w:tcPr>
            <w:tcW w:w="1075" w:type="pct"/>
            <w:vMerge w:val="restart"/>
          </w:tcPr>
          <w:p w:rsidR="009E7F74" w:rsidRPr="00335764" w:rsidRDefault="009E7F74" w:rsidP="00335764">
            <w:pPr>
              <w:autoSpaceDE w:val="0"/>
              <w:autoSpaceDN w:val="0"/>
              <w:adjustRightInd w:val="0"/>
              <w:spacing w:line="240" w:lineRule="auto"/>
              <w:jc w:val="left"/>
              <w:rPr>
                <w:rFonts w:cs="Arial"/>
                <w:sz w:val="20"/>
                <w:szCs w:val="20"/>
              </w:rPr>
            </w:pPr>
            <w:r w:rsidRPr="00335764">
              <w:rPr>
                <w:rFonts w:cs="Arial"/>
                <w:sz w:val="20"/>
                <w:szCs w:val="20"/>
              </w:rPr>
              <w:t>Freezing of money and assets that are the proceeds of crime</w:t>
            </w:r>
          </w:p>
        </w:tc>
        <w:tc>
          <w:tcPr>
            <w:tcW w:w="1352" w:type="pct"/>
          </w:tcPr>
          <w:p w:rsidR="009E7F74" w:rsidRPr="00335764" w:rsidRDefault="009E7F74" w:rsidP="00335764">
            <w:pPr>
              <w:autoSpaceDE w:val="0"/>
              <w:autoSpaceDN w:val="0"/>
              <w:adjustRightInd w:val="0"/>
              <w:spacing w:line="240" w:lineRule="auto"/>
              <w:jc w:val="left"/>
              <w:rPr>
                <w:rFonts w:cs="Arial"/>
                <w:sz w:val="20"/>
                <w:szCs w:val="20"/>
              </w:rPr>
            </w:pPr>
            <w:r w:rsidRPr="00335764">
              <w:rPr>
                <w:rFonts w:cs="Arial"/>
                <w:sz w:val="20"/>
                <w:szCs w:val="20"/>
              </w:rPr>
              <w:t>Value of completed forfeiture cases</w:t>
            </w:r>
          </w:p>
        </w:tc>
        <w:tc>
          <w:tcPr>
            <w:tcW w:w="821" w:type="pct"/>
            <w:gridSpan w:val="2"/>
          </w:tcPr>
          <w:p w:rsidR="009E7F74" w:rsidRPr="00335764" w:rsidRDefault="009E7F74" w:rsidP="00335764">
            <w:pPr>
              <w:spacing w:line="240" w:lineRule="auto"/>
              <w:jc w:val="left"/>
              <w:rPr>
                <w:rFonts w:cs="Arial"/>
                <w:sz w:val="20"/>
                <w:szCs w:val="20"/>
              </w:rPr>
            </w:pPr>
            <w:r w:rsidRPr="00335764">
              <w:rPr>
                <w:rFonts w:cs="Arial"/>
                <w:sz w:val="20"/>
                <w:szCs w:val="20"/>
              </w:rPr>
              <w:t>R550 million</w:t>
            </w:r>
          </w:p>
        </w:tc>
        <w:tc>
          <w:tcPr>
            <w:tcW w:w="591" w:type="pct"/>
            <w:gridSpan w:val="2"/>
          </w:tcPr>
          <w:p w:rsidR="009E7F74" w:rsidRPr="00335764" w:rsidRDefault="009E7F74" w:rsidP="00335764">
            <w:pPr>
              <w:spacing w:line="240" w:lineRule="auto"/>
              <w:jc w:val="left"/>
              <w:rPr>
                <w:rFonts w:cs="Arial"/>
                <w:sz w:val="20"/>
                <w:szCs w:val="20"/>
              </w:rPr>
            </w:pPr>
            <w:r w:rsidRPr="00335764">
              <w:rPr>
                <w:rFonts w:cs="Arial"/>
                <w:sz w:val="20"/>
                <w:szCs w:val="20"/>
              </w:rPr>
              <w:t>R550 million</w:t>
            </w:r>
          </w:p>
        </w:tc>
        <w:tc>
          <w:tcPr>
            <w:tcW w:w="581" w:type="pct"/>
          </w:tcPr>
          <w:p w:rsidR="009E7F74" w:rsidRPr="00335764" w:rsidRDefault="009E7F74" w:rsidP="00335764">
            <w:pPr>
              <w:spacing w:line="240" w:lineRule="auto"/>
              <w:jc w:val="left"/>
              <w:rPr>
                <w:rFonts w:cs="Arial"/>
                <w:sz w:val="20"/>
                <w:szCs w:val="20"/>
              </w:rPr>
            </w:pPr>
            <w:r w:rsidRPr="00335764">
              <w:rPr>
                <w:rFonts w:cs="Arial"/>
                <w:sz w:val="20"/>
                <w:szCs w:val="20"/>
              </w:rPr>
              <w:t>R550 million</w:t>
            </w:r>
          </w:p>
        </w:tc>
        <w:tc>
          <w:tcPr>
            <w:tcW w:w="580" w:type="pct"/>
          </w:tcPr>
          <w:p w:rsidR="009E7F74" w:rsidRPr="00335764" w:rsidRDefault="009E7F74" w:rsidP="00335764">
            <w:pPr>
              <w:spacing w:line="240" w:lineRule="auto"/>
              <w:jc w:val="left"/>
              <w:rPr>
                <w:rFonts w:cs="Arial"/>
                <w:sz w:val="20"/>
                <w:szCs w:val="20"/>
              </w:rPr>
            </w:pPr>
            <w:r w:rsidRPr="00335764">
              <w:rPr>
                <w:rFonts w:cs="Arial"/>
                <w:sz w:val="20"/>
                <w:szCs w:val="20"/>
              </w:rPr>
              <w:t>R550 million</w:t>
            </w:r>
          </w:p>
        </w:tc>
      </w:tr>
      <w:tr w:rsidR="006509E6" w:rsidRPr="00335764" w:rsidTr="000219B8">
        <w:tc>
          <w:tcPr>
            <w:tcW w:w="1075" w:type="pct"/>
            <w:vMerge/>
          </w:tcPr>
          <w:p w:rsidR="009E7F74" w:rsidRPr="00335764" w:rsidRDefault="009E7F74" w:rsidP="00335764">
            <w:pPr>
              <w:spacing w:line="240" w:lineRule="auto"/>
              <w:jc w:val="left"/>
              <w:rPr>
                <w:rFonts w:cs="Arial"/>
                <w:sz w:val="20"/>
                <w:szCs w:val="20"/>
              </w:rPr>
            </w:pPr>
          </w:p>
        </w:tc>
        <w:tc>
          <w:tcPr>
            <w:tcW w:w="1352" w:type="pct"/>
          </w:tcPr>
          <w:p w:rsidR="009E7F74" w:rsidRPr="00335764" w:rsidRDefault="009E7F74" w:rsidP="00335764">
            <w:pPr>
              <w:autoSpaceDE w:val="0"/>
              <w:autoSpaceDN w:val="0"/>
              <w:adjustRightInd w:val="0"/>
              <w:spacing w:line="240" w:lineRule="auto"/>
              <w:jc w:val="left"/>
              <w:rPr>
                <w:rFonts w:cs="Arial"/>
                <w:sz w:val="20"/>
                <w:szCs w:val="20"/>
              </w:rPr>
            </w:pPr>
            <w:r w:rsidRPr="00335764">
              <w:rPr>
                <w:rFonts w:cs="Arial"/>
                <w:sz w:val="20"/>
                <w:szCs w:val="20"/>
              </w:rPr>
              <w:t>Value of freezing orders obtained for corruption or offences relating to corruption</w:t>
            </w:r>
          </w:p>
        </w:tc>
        <w:tc>
          <w:tcPr>
            <w:tcW w:w="821" w:type="pct"/>
            <w:gridSpan w:val="2"/>
          </w:tcPr>
          <w:p w:rsidR="000219B8" w:rsidRPr="00335764" w:rsidRDefault="009E7F74" w:rsidP="00335764">
            <w:pPr>
              <w:spacing w:line="240" w:lineRule="auto"/>
              <w:jc w:val="left"/>
              <w:rPr>
                <w:rFonts w:cs="Arial"/>
                <w:sz w:val="20"/>
                <w:szCs w:val="20"/>
              </w:rPr>
            </w:pPr>
            <w:r w:rsidRPr="00335764">
              <w:rPr>
                <w:rFonts w:cs="Arial"/>
                <w:sz w:val="20"/>
                <w:szCs w:val="20"/>
              </w:rPr>
              <w:t>R2.4</w:t>
            </w:r>
          </w:p>
          <w:p w:rsidR="009E7F74" w:rsidRPr="00335764" w:rsidRDefault="009E7F74" w:rsidP="00335764">
            <w:pPr>
              <w:spacing w:line="240" w:lineRule="auto"/>
              <w:jc w:val="left"/>
              <w:rPr>
                <w:rFonts w:cs="Arial"/>
                <w:sz w:val="20"/>
                <w:szCs w:val="20"/>
              </w:rPr>
            </w:pPr>
            <w:r w:rsidRPr="00335764">
              <w:rPr>
                <w:rFonts w:cs="Arial"/>
                <w:sz w:val="20"/>
                <w:szCs w:val="20"/>
              </w:rPr>
              <w:t>b</w:t>
            </w:r>
            <w:r w:rsidR="000219B8" w:rsidRPr="00335764">
              <w:rPr>
                <w:rFonts w:cs="Arial"/>
                <w:sz w:val="20"/>
                <w:szCs w:val="20"/>
              </w:rPr>
              <w:t>illio</w:t>
            </w:r>
            <w:r w:rsidRPr="00335764">
              <w:rPr>
                <w:rFonts w:cs="Arial"/>
                <w:sz w:val="20"/>
                <w:szCs w:val="20"/>
              </w:rPr>
              <w:t>n</w:t>
            </w:r>
          </w:p>
        </w:tc>
        <w:tc>
          <w:tcPr>
            <w:tcW w:w="591" w:type="pct"/>
            <w:gridSpan w:val="2"/>
          </w:tcPr>
          <w:p w:rsidR="009E7F74" w:rsidRPr="00335764" w:rsidRDefault="009E7F74" w:rsidP="00335764">
            <w:pPr>
              <w:spacing w:line="240" w:lineRule="auto"/>
              <w:jc w:val="left"/>
              <w:rPr>
                <w:rFonts w:cs="Arial"/>
                <w:sz w:val="20"/>
                <w:szCs w:val="20"/>
              </w:rPr>
            </w:pPr>
            <w:r w:rsidRPr="00335764">
              <w:rPr>
                <w:rFonts w:cs="Arial"/>
                <w:sz w:val="20"/>
                <w:szCs w:val="20"/>
              </w:rPr>
              <w:t>R2.4</w:t>
            </w:r>
            <w:r w:rsidR="008B5F6A" w:rsidRPr="00335764">
              <w:rPr>
                <w:rFonts w:cs="Arial"/>
                <w:sz w:val="20"/>
                <w:szCs w:val="20"/>
              </w:rPr>
              <w:t xml:space="preserve"> </w:t>
            </w:r>
            <w:r w:rsidRPr="00335764">
              <w:rPr>
                <w:rFonts w:cs="Arial"/>
                <w:sz w:val="20"/>
                <w:szCs w:val="20"/>
              </w:rPr>
              <w:t>b</w:t>
            </w:r>
            <w:r w:rsidR="000219B8" w:rsidRPr="00335764">
              <w:rPr>
                <w:rFonts w:cs="Arial"/>
                <w:sz w:val="20"/>
                <w:szCs w:val="20"/>
              </w:rPr>
              <w:t>illio</w:t>
            </w:r>
            <w:r w:rsidRPr="00335764">
              <w:rPr>
                <w:rFonts w:cs="Arial"/>
                <w:sz w:val="20"/>
                <w:szCs w:val="20"/>
              </w:rPr>
              <w:t>n</w:t>
            </w:r>
          </w:p>
        </w:tc>
        <w:tc>
          <w:tcPr>
            <w:tcW w:w="581" w:type="pct"/>
          </w:tcPr>
          <w:p w:rsidR="009E7F74" w:rsidRPr="00335764" w:rsidRDefault="000219B8" w:rsidP="00335764">
            <w:pPr>
              <w:spacing w:line="240" w:lineRule="auto"/>
              <w:jc w:val="left"/>
              <w:rPr>
                <w:rFonts w:cs="Arial"/>
                <w:sz w:val="20"/>
                <w:szCs w:val="20"/>
              </w:rPr>
            </w:pPr>
            <w:r w:rsidRPr="00335764">
              <w:rPr>
                <w:rFonts w:cs="Arial"/>
                <w:sz w:val="20"/>
                <w:szCs w:val="20"/>
              </w:rPr>
              <w:t>R2.2</w:t>
            </w:r>
            <w:r w:rsidR="008B5F6A" w:rsidRPr="00335764">
              <w:rPr>
                <w:rFonts w:cs="Arial"/>
                <w:sz w:val="20"/>
                <w:szCs w:val="20"/>
              </w:rPr>
              <w:t xml:space="preserve"> </w:t>
            </w:r>
            <w:r w:rsidR="009E7F74" w:rsidRPr="00335764">
              <w:rPr>
                <w:rFonts w:cs="Arial"/>
                <w:sz w:val="20"/>
                <w:szCs w:val="20"/>
              </w:rPr>
              <w:t>b</w:t>
            </w:r>
            <w:r w:rsidRPr="00335764">
              <w:rPr>
                <w:rFonts w:cs="Arial"/>
                <w:sz w:val="20"/>
                <w:szCs w:val="20"/>
              </w:rPr>
              <w:t>illion</w:t>
            </w:r>
          </w:p>
        </w:tc>
        <w:tc>
          <w:tcPr>
            <w:tcW w:w="580" w:type="pct"/>
          </w:tcPr>
          <w:p w:rsidR="009E7F74" w:rsidRPr="00335764" w:rsidRDefault="009E7F74" w:rsidP="00335764">
            <w:pPr>
              <w:spacing w:line="240" w:lineRule="auto"/>
              <w:jc w:val="left"/>
              <w:rPr>
                <w:rFonts w:cs="Arial"/>
                <w:sz w:val="20"/>
                <w:szCs w:val="20"/>
              </w:rPr>
            </w:pPr>
            <w:r w:rsidRPr="00335764">
              <w:rPr>
                <w:rFonts w:cs="Arial"/>
                <w:sz w:val="20"/>
                <w:szCs w:val="20"/>
              </w:rPr>
              <w:t>R2.2 b</w:t>
            </w:r>
            <w:r w:rsidR="000219B8" w:rsidRPr="00335764">
              <w:rPr>
                <w:rFonts w:cs="Arial"/>
                <w:sz w:val="20"/>
                <w:szCs w:val="20"/>
              </w:rPr>
              <w:t>illion</w:t>
            </w:r>
          </w:p>
        </w:tc>
      </w:tr>
      <w:tr w:rsidR="006509E6" w:rsidRPr="00335764" w:rsidTr="000219B8">
        <w:tc>
          <w:tcPr>
            <w:tcW w:w="1075" w:type="pct"/>
          </w:tcPr>
          <w:p w:rsidR="009E7F74" w:rsidRPr="00335764" w:rsidRDefault="009E7F74" w:rsidP="00335764">
            <w:pPr>
              <w:spacing w:line="240" w:lineRule="auto"/>
              <w:jc w:val="left"/>
              <w:rPr>
                <w:rFonts w:cs="Arial"/>
                <w:sz w:val="20"/>
                <w:szCs w:val="20"/>
              </w:rPr>
            </w:pPr>
            <w:r w:rsidRPr="00335764">
              <w:rPr>
                <w:rFonts w:cs="Arial"/>
                <w:sz w:val="20"/>
                <w:szCs w:val="20"/>
              </w:rPr>
              <w:t>Recovery of money and assets that are the proceeds of crime</w:t>
            </w:r>
          </w:p>
        </w:tc>
        <w:tc>
          <w:tcPr>
            <w:tcW w:w="1352" w:type="pct"/>
          </w:tcPr>
          <w:p w:rsidR="009E7F74" w:rsidRPr="00335764" w:rsidRDefault="009E7F74" w:rsidP="00335764">
            <w:pPr>
              <w:autoSpaceDE w:val="0"/>
              <w:autoSpaceDN w:val="0"/>
              <w:adjustRightInd w:val="0"/>
              <w:spacing w:line="240" w:lineRule="auto"/>
              <w:jc w:val="left"/>
              <w:rPr>
                <w:rFonts w:cs="Arial"/>
                <w:sz w:val="20"/>
                <w:szCs w:val="20"/>
              </w:rPr>
            </w:pPr>
            <w:r w:rsidRPr="00335764">
              <w:rPr>
                <w:rFonts w:cs="Arial"/>
                <w:sz w:val="20"/>
                <w:szCs w:val="20"/>
              </w:rPr>
              <w:t>Value of recoveries relating to corruption or related offences</w:t>
            </w:r>
          </w:p>
        </w:tc>
        <w:tc>
          <w:tcPr>
            <w:tcW w:w="821" w:type="pct"/>
            <w:gridSpan w:val="2"/>
          </w:tcPr>
          <w:p w:rsidR="000219B8" w:rsidRPr="00335764" w:rsidRDefault="009E7F74" w:rsidP="00335764">
            <w:pPr>
              <w:spacing w:line="240" w:lineRule="auto"/>
              <w:jc w:val="left"/>
              <w:rPr>
                <w:rFonts w:cs="Arial"/>
                <w:sz w:val="20"/>
                <w:szCs w:val="20"/>
              </w:rPr>
            </w:pPr>
            <w:r w:rsidRPr="00335764">
              <w:rPr>
                <w:rFonts w:cs="Arial"/>
                <w:sz w:val="20"/>
                <w:szCs w:val="20"/>
              </w:rPr>
              <w:t>R1.4</w:t>
            </w:r>
          </w:p>
          <w:p w:rsidR="009E7F74" w:rsidRPr="00335764" w:rsidRDefault="000219B8" w:rsidP="00335764">
            <w:pPr>
              <w:spacing w:line="240" w:lineRule="auto"/>
              <w:jc w:val="left"/>
              <w:rPr>
                <w:rFonts w:cs="Arial"/>
                <w:sz w:val="20"/>
                <w:szCs w:val="20"/>
              </w:rPr>
            </w:pPr>
            <w:r w:rsidRPr="00335764">
              <w:rPr>
                <w:rFonts w:cs="Arial"/>
                <w:sz w:val="20"/>
                <w:szCs w:val="20"/>
              </w:rPr>
              <w:t>billion</w:t>
            </w:r>
          </w:p>
        </w:tc>
        <w:tc>
          <w:tcPr>
            <w:tcW w:w="591" w:type="pct"/>
            <w:gridSpan w:val="2"/>
          </w:tcPr>
          <w:p w:rsidR="009E7F74" w:rsidRPr="00335764" w:rsidRDefault="000219B8" w:rsidP="00335764">
            <w:pPr>
              <w:spacing w:line="240" w:lineRule="auto"/>
              <w:jc w:val="left"/>
              <w:rPr>
                <w:rFonts w:cs="Arial"/>
                <w:sz w:val="20"/>
                <w:szCs w:val="20"/>
              </w:rPr>
            </w:pPr>
            <w:r w:rsidRPr="00335764">
              <w:rPr>
                <w:rFonts w:cs="Arial"/>
                <w:sz w:val="20"/>
                <w:szCs w:val="20"/>
              </w:rPr>
              <w:t>R1.4</w:t>
            </w:r>
            <w:r w:rsidR="008B5F6A" w:rsidRPr="00335764">
              <w:rPr>
                <w:rFonts w:cs="Arial"/>
                <w:sz w:val="20"/>
                <w:szCs w:val="20"/>
              </w:rPr>
              <w:t xml:space="preserve"> </w:t>
            </w:r>
            <w:r w:rsidRPr="00335764">
              <w:rPr>
                <w:rFonts w:cs="Arial"/>
                <w:sz w:val="20"/>
                <w:szCs w:val="20"/>
              </w:rPr>
              <w:t>billion</w:t>
            </w:r>
          </w:p>
        </w:tc>
        <w:tc>
          <w:tcPr>
            <w:tcW w:w="581" w:type="pct"/>
          </w:tcPr>
          <w:p w:rsidR="009E7F74" w:rsidRPr="00335764" w:rsidRDefault="000219B8" w:rsidP="00335764">
            <w:pPr>
              <w:spacing w:line="240" w:lineRule="auto"/>
              <w:jc w:val="left"/>
              <w:rPr>
                <w:rFonts w:cs="Arial"/>
                <w:sz w:val="20"/>
                <w:szCs w:val="20"/>
              </w:rPr>
            </w:pPr>
            <w:r w:rsidRPr="00335764">
              <w:rPr>
                <w:rFonts w:cs="Arial"/>
                <w:sz w:val="20"/>
                <w:szCs w:val="20"/>
              </w:rPr>
              <w:t>R1.4</w:t>
            </w:r>
            <w:r w:rsidR="008B5F6A" w:rsidRPr="00335764">
              <w:rPr>
                <w:rFonts w:cs="Arial"/>
                <w:sz w:val="20"/>
                <w:szCs w:val="20"/>
              </w:rPr>
              <w:t xml:space="preserve"> </w:t>
            </w:r>
            <w:r w:rsidRPr="00335764">
              <w:rPr>
                <w:rFonts w:cs="Arial"/>
                <w:sz w:val="20"/>
                <w:szCs w:val="20"/>
              </w:rPr>
              <w:t>billion</w:t>
            </w:r>
          </w:p>
        </w:tc>
        <w:tc>
          <w:tcPr>
            <w:tcW w:w="580" w:type="pct"/>
          </w:tcPr>
          <w:p w:rsidR="009E7F74" w:rsidRPr="00335764" w:rsidRDefault="000219B8" w:rsidP="00335764">
            <w:pPr>
              <w:spacing w:line="240" w:lineRule="auto"/>
              <w:jc w:val="left"/>
              <w:rPr>
                <w:rFonts w:cs="Arial"/>
                <w:sz w:val="20"/>
                <w:szCs w:val="20"/>
              </w:rPr>
            </w:pPr>
            <w:r w:rsidRPr="00335764">
              <w:rPr>
                <w:rFonts w:cs="Arial"/>
                <w:sz w:val="20"/>
                <w:szCs w:val="20"/>
              </w:rPr>
              <w:t>R1.4 billion</w:t>
            </w:r>
          </w:p>
        </w:tc>
      </w:tr>
      <w:tr w:rsidR="006509E6" w:rsidRPr="00335764" w:rsidTr="003C5DE3">
        <w:tc>
          <w:tcPr>
            <w:tcW w:w="5000" w:type="pct"/>
            <w:gridSpan w:val="8"/>
            <w:shd w:val="clear" w:color="auto" w:fill="D9D9D9" w:themeFill="background1" w:themeFillShade="D9"/>
          </w:tcPr>
          <w:p w:rsidR="006509E6" w:rsidRPr="00335764" w:rsidRDefault="006509E6" w:rsidP="00335764">
            <w:pPr>
              <w:spacing w:line="240" w:lineRule="auto"/>
              <w:jc w:val="left"/>
              <w:rPr>
                <w:rFonts w:cs="Arial"/>
                <w:b/>
                <w:sz w:val="20"/>
                <w:szCs w:val="20"/>
              </w:rPr>
            </w:pPr>
            <w:r w:rsidRPr="00335764">
              <w:rPr>
                <w:rFonts w:cs="Arial"/>
                <w:b/>
                <w:sz w:val="20"/>
                <w:szCs w:val="20"/>
              </w:rPr>
              <w:t>OUTCOME: Increased access to justice services</w:t>
            </w:r>
          </w:p>
        </w:tc>
      </w:tr>
      <w:tr w:rsidR="006509E6" w:rsidRPr="00335764" w:rsidTr="000219B8">
        <w:tc>
          <w:tcPr>
            <w:tcW w:w="1075" w:type="pct"/>
            <w:vMerge w:val="restart"/>
          </w:tcPr>
          <w:p w:rsidR="009E7F74" w:rsidRPr="00335764" w:rsidRDefault="009E7F74" w:rsidP="00335764">
            <w:pPr>
              <w:autoSpaceDE w:val="0"/>
              <w:autoSpaceDN w:val="0"/>
              <w:adjustRightInd w:val="0"/>
              <w:spacing w:line="240" w:lineRule="auto"/>
              <w:jc w:val="left"/>
              <w:rPr>
                <w:rFonts w:cs="Arial"/>
                <w:sz w:val="20"/>
                <w:szCs w:val="20"/>
              </w:rPr>
            </w:pPr>
            <w:r w:rsidRPr="00335764">
              <w:rPr>
                <w:rFonts w:cs="Arial"/>
                <w:sz w:val="20"/>
                <w:szCs w:val="20"/>
              </w:rPr>
              <w:t>Victim-centric services enhanced</w:t>
            </w:r>
          </w:p>
        </w:tc>
        <w:tc>
          <w:tcPr>
            <w:tcW w:w="1352" w:type="pct"/>
          </w:tcPr>
          <w:p w:rsidR="009E7F74" w:rsidRPr="00335764" w:rsidRDefault="009E7F74" w:rsidP="00335764">
            <w:pPr>
              <w:autoSpaceDE w:val="0"/>
              <w:autoSpaceDN w:val="0"/>
              <w:adjustRightInd w:val="0"/>
              <w:spacing w:line="240" w:lineRule="auto"/>
              <w:jc w:val="left"/>
              <w:rPr>
                <w:rFonts w:cs="Arial"/>
                <w:sz w:val="20"/>
                <w:szCs w:val="20"/>
              </w:rPr>
            </w:pPr>
            <w:r w:rsidRPr="00335764">
              <w:rPr>
                <w:rFonts w:cs="Arial"/>
                <w:sz w:val="20"/>
                <w:szCs w:val="20"/>
              </w:rPr>
              <w:t xml:space="preserve">Number of </w:t>
            </w:r>
            <w:r w:rsidR="000219B8" w:rsidRPr="00335764">
              <w:rPr>
                <w:rFonts w:cs="Arial"/>
                <w:sz w:val="20"/>
                <w:szCs w:val="20"/>
              </w:rPr>
              <w:t>new TCCs established</w:t>
            </w:r>
          </w:p>
        </w:tc>
        <w:tc>
          <w:tcPr>
            <w:tcW w:w="821" w:type="pct"/>
            <w:gridSpan w:val="2"/>
          </w:tcPr>
          <w:p w:rsidR="009E7F74" w:rsidRPr="00335764" w:rsidRDefault="000219B8" w:rsidP="00335764">
            <w:pPr>
              <w:spacing w:line="240" w:lineRule="auto"/>
              <w:jc w:val="left"/>
              <w:rPr>
                <w:rFonts w:cs="Arial"/>
                <w:sz w:val="20"/>
                <w:szCs w:val="20"/>
              </w:rPr>
            </w:pPr>
            <w:r w:rsidRPr="00335764">
              <w:rPr>
                <w:rFonts w:cs="Arial"/>
                <w:sz w:val="20"/>
                <w:szCs w:val="20"/>
              </w:rPr>
              <w:t>62</w:t>
            </w:r>
          </w:p>
        </w:tc>
        <w:tc>
          <w:tcPr>
            <w:tcW w:w="591" w:type="pct"/>
            <w:gridSpan w:val="2"/>
          </w:tcPr>
          <w:p w:rsidR="009E7F74" w:rsidRPr="00335764" w:rsidRDefault="005B4B93" w:rsidP="00335764">
            <w:pPr>
              <w:spacing w:line="240" w:lineRule="auto"/>
              <w:jc w:val="left"/>
              <w:rPr>
                <w:rFonts w:cs="Arial"/>
                <w:sz w:val="20"/>
                <w:szCs w:val="20"/>
              </w:rPr>
            </w:pPr>
            <w:r w:rsidRPr="00335764">
              <w:rPr>
                <w:rFonts w:cs="Arial"/>
                <w:sz w:val="20"/>
                <w:szCs w:val="20"/>
              </w:rPr>
              <w:t>2</w:t>
            </w:r>
          </w:p>
        </w:tc>
        <w:tc>
          <w:tcPr>
            <w:tcW w:w="581" w:type="pct"/>
          </w:tcPr>
          <w:p w:rsidR="009E7F74" w:rsidRPr="00335764" w:rsidRDefault="000219B8" w:rsidP="00335764">
            <w:pPr>
              <w:spacing w:line="240" w:lineRule="auto"/>
              <w:jc w:val="left"/>
              <w:rPr>
                <w:rFonts w:cs="Arial"/>
                <w:sz w:val="20"/>
                <w:szCs w:val="20"/>
              </w:rPr>
            </w:pPr>
            <w:r w:rsidRPr="00335764">
              <w:rPr>
                <w:rFonts w:cs="Arial"/>
                <w:sz w:val="20"/>
                <w:szCs w:val="20"/>
              </w:rPr>
              <w:t>2</w:t>
            </w:r>
          </w:p>
        </w:tc>
        <w:tc>
          <w:tcPr>
            <w:tcW w:w="580" w:type="pct"/>
          </w:tcPr>
          <w:p w:rsidR="009E7F74" w:rsidRPr="00335764" w:rsidRDefault="000219B8" w:rsidP="00335764">
            <w:pPr>
              <w:spacing w:line="240" w:lineRule="auto"/>
              <w:jc w:val="left"/>
              <w:rPr>
                <w:rFonts w:cs="Arial"/>
                <w:sz w:val="20"/>
                <w:szCs w:val="20"/>
              </w:rPr>
            </w:pPr>
            <w:r w:rsidRPr="00335764">
              <w:rPr>
                <w:rFonts w:cs="Arial"/>
                <w:sz w:val="20"/>
                <w:szCs w:val="20"/>
              </w:rPr>
              <w:t>2</w:t>
            </w:r>
          </w:p>
        </w:tc>
      </w:tr>
      <w:tr w:rsidR="000219B8" w:rsidRPr="00335764" w:rsidTr="00110A44">
        <w:trPr>
          <w:trHeight w:val="838"/>
        </w:trPr>
        <w:tc>
          <w:tcPr>
            <w:tcW w:w="1075" w:type="pct"/>
            <w:vMerge/>
          </w:tcPr>
          <w:p w:rsidR="000219B8" w:rsidRPr="00335764" w:rsidRDefault="000219B8" w:rsidP="00335764">
            <w:pPr>
              <w:spacing w:line="240" w:lineRule="auto"/>
              <w:jc w:val="left"/>
              <w:rPr>
                <w:rFonts w:cs="Arial"/>
                <w:sz w:val="20"/>
                <w:szCs w:val="20"/>
              </w:rPr>
            </w:pPr>
          </w:p>
        </w:tc>
        <w:tc>
          <w:tcPr>
            <w:tcW w:w="1352" w:type="pct"/>
          </w:tcPr>
          <w:p w:rsidR="000219B8" w:rsidRPr="00335764" w:rsidRDefault="000219B8" w:rsidP="00335764">
            <w:pPr>
              <w:autoSpaceDE w:val="0"/>
              <w:autoSpaceDN w:val="0"/>
              <w:adjustRightInd w:val="0"/>
              <w:spacing w:line="240" w:lineRule="auto"/>
              <w:jc w:val="left"/>
              <w:rPr>
                <w:rFonts w:cs="Arial"/>
                <w:sz w:val="20"/>
                <w:szCs w:val="20"/>
              </w:rPr>
            </w:pPr>
            <w:r w:rsidRPr="00335764">
              <w:rPr>
                <w:rFonts w:cs="Arial"/>
                <w:sz w:val="20"/>
                <w:szCs w:val="20"/>
              </w:rPr>
              <w:t>Conviction rate in sexual offences</w:t>
            </w:r>
          </w:p>
        </w:tc>
        <w:tc>
          <w:tcPr>
            <w:tcW w:w="821" w:type="pct"/>
            <w:gridSpan w:val="2"/>
          </w:tcPr>
          <w:p w:rsidR="000219B8" w:rsidRPr="00335764" w:rsidRDefault="000219B8" w:rsidP="00335764">
            <w:pPr>
              <w:spacing w:line="240" w:lineRule="auto"/>
              <w:jc w:val="left"/>
              <w:rPr>
                <w:rFonts w:cs="Arial"/>
                <w:sz w:val="20"/>
                <w:szCs w:val="20"/>
              </w:rPr>
            </w:pPr>
            <w:r w:rsidRPr="00335764">
              <w:rPr>
                <w:rFonts w:cs="Arial"/>
                <w:sz w:val="20"/>
                <w:szCs w:val="20"/>
              </w:rPr>
              <w:t>70%</w:t>
            </w:r>
          </w:p>
        </w:tc>
        <w:tc>
          <w:tcPr>
            <w:tcW w:w="591" w:type="pct"/>
            <w:gridSpan w:val="2"/>
          </w:tcPr>
          <w:p w:rsidR="000219B8" w:rsidRPr="00335764" w:rsidRDefault="000219B8" w:rsidP="00335764">
            <w:pPr>
              <w:spacing w:line="240" w:lineRule="auto"/>
              <w:jc w:val="left"/>
              <w:rPr>
                <w:rFonts w:cs="Arial"/>
                <w:sz w:val="20"/>
                <w:szCs w:val="20"/>
              </w:rPr>
            </w:pPr>
            <w:r w:rsidRPr="00335764">
              <w:rPr>
                <w:rFonts w:cs="Arial"/>
                <w:sz w:val="20"/>
                <w:szCs w:val="20"/>
              </w:rPr>
              <w:t>70%</w:t>
            </w:r>
          </w:p>
        </w:tc>
        <w:tc>
          <w:tcPr>
            <w:tcW w:w="581" w:type="pct"/>
          </w:tcPr>
          <w:p w:rsidR="000219B8" w:rsidRPr="00335764" w:rsidRDefault="000219B8" w:rsidP="00335764">
            <w:pPr>
              <w:spacing w:line="240" w:lineRule="auto"/>
              <w:jc w:val="left"/>
              <w:rPr>
                <w:rFonts w:cs="Arial"/>
                <w:sz w:val="20"/>
                <w:szCs w:val="20"/>
              </w:rPr>
            </w:pPr>
            <w:r w:rsidRPr="00335764">
              <w:rPr>
                <w:rFonts w:cs="Arial"/>
                <w:sz w:val="20"/>
                <w:szCs w:val="20"/>
              </w:rPr>
              <w:t>70%</w:t>
            </w:r>
          </w:p>
        </w:tc>
        <w:tc>
          <w:tcPr>
            <w:tcW w:w="580" w:type="pct"/>
          </w:tcPr>
          <w:p w:rsidR="000219B8" w:rsidRPr="00335764" w:rsidRDefault="000219B8" w:rsidP="00335764">
            <w:pPr>
              <w:spacing w:line="240" w:lineRule="auto"/>
              <w:jc w:val="left"/>
              <w:rPr>
                <w:rFonts w:cs="Arial"/>
                <w:sz w:val="20"/>
                <w:szCs w:val="20"/>
              </w:rPr>
            </w:pPr>
            <w:r w:rsidRPr="00335764">
              <w:rPr>
                <w:rFonts w:cs="Arial"/>
                <w:sz w:val="20"/>
                <w:szCs w:val="20"/>
              </w:rPr>
              <w:t>70%</w:t>
            </w:r>
          </w:p>
        </w:tc>
      </w:tr>
    </w:tbl>
    <w:p w:rsidR="000301C2" w:rsidRPr="00335764" w:rsidRDefault="000301C2" w:rsidP="00335764">
      <w:pPr>
        <w:spacing w:line="240" w:lineRule="auto"/>
        <w:jc w:val="left"/>
        <w:rPr>
          <w:rFonts w:eastAsia="Calibri" w:cs="Arial"/>
          <w:color w:val="auto"/>
          <w:spacing w:val="0"/>
          <w:sz w:val="20"/>
          <w:szCs w:val="20"/>
          <w:lang w:val="en-ZA" w:eastAsia="en-US"/>
        </w:rPr>
      </w:pPr>
    </w:p>
    <w:p w:rsidR="008B5F6A" w:rsidRPr="00335764" w:rsidRDefault="008B5F6A" w:rsidP="00335764">
      <w:pPr>
        <w:spacing w:line="240" w:lineRule="auto"/>
        <w:jc w:val="left"/>
        <w:rPr>
          <w:rFonts w:cs="Arial"/>
          <w:bCs/>
          <w:i/>
          <w:sz w:val="20"/>
          <w:szCs w:val="20"/>
        </w:rPr>
      </w:pPr>
      <w:r w:rsidRPr="00335764">
        <w:rPr>
          <w:rFonts w:cs="Arial"/>
          <w:bCs/>
          <w:i/>
          <w:sz w:val="20"/>
          <w:szCs w:val="20"/>
        </w:rPr>
        <w:t>Budget</w:t>
      </w:r>
    </w:p>
    <w:p w:rsidR="00A0470D" w:rsidRPr="00335764" w:rsidRDefault="002B2E02" w:rsidP="00335764">
      <w:pPr>
        <w:pStyle w:val="ListParagraph"/>
        <w:numPr>
          <w:ilvl w:val="1"/>
          <w:numId w:val="1"/>
        </w:numPr>
        <w:spacing w:line="240" w:lineRule="auto"/>
        <w:ind w:left="851" w:hanging="851"/>
        <w:jc w:val="left"/>
        <w:rPr>
          <w:rFonts w:cs="Arial"/>
          <w:bCs/>
          <w:sz w:val="20"/>
          <w:szCs w:val="20"/>
        </w:rPr>
      </w:pPr>
      <w:r w:rsidRPr="00335764">
        <w:rPr>
          <w:rFonts w:cs="Arial"/>
          <w:bCs/>
          <w:sz w:val="20"/>
          <w:szCs w:val="20"/>
        </w:rPr>
        <w:t xml:space="preserve">The NPA is allocated </w:t>
      </w:r>
      <w:r w:rsidR="00410947" w:rsidRPr="00335764">
        <w:rPr>
          <w:rFonts w:cs="Arial"/>
          <w:bCs/>
          <w:sz w:val="20"/>
          <w:szCs w:val="20"/>
        </w:rPr>
        <w:t>R</w:t>
      </w:r>
      <w:r w:rsidR="00A0470D" w:rsidRPr="00335764">
        <w:rPr>
          <w:rFonts w:cs="Arial"/>
          <w:bCs/>
          <w:sz w:val="20"/>
          <w:szCs w:val="20"/>
        </w:rPr>
        <w:t xml:space="preserve">5.4 billion for 2023/24, compared with an adjusted budget of </w:t>
      </w:r>
      <w:r w:rsidR="00410947" w:rsidRPr="00335764">
        <w:rPr>
          <w:rFonts w:cs="Arial"/>
          <w:bCs/>
          <w:sz w:val="20"/>
          <w:szCs w:val="20"/>
        </w:rPr>
        <w:t>4.9 billion for 2022/23</w:t>
      </w:r>
      <w:r w:rsidR="00A0470D" w:rsidRPr="00335764">
        <w:rPr>
          <w:rFonts w:cs="Arial"/>
          <w:bCs/>
          <w:sz w:val="20"/>
          <w:szCs w:val="20"/>
        </w:rPr>
        <w:t xml:space="preserve">. </w:t>
      </w:r>
    </w:p>
    <w:p w:rsidR="00A0470D" w:rsidRPr="00335764" w:rsidRDefault="00A0470D" w:rsidP="00335764">
      <w:pPr>
        <w:pStyle w:val="ListParagraph"/>
        <w:spacing w:line="240" w:lineRule="auto"/>
        <w:ind w:left="851"/>
        <w:jc w:val="left"/>
        <w:rPr>
          <w:rFonts w:cs="Arial"/>
          <w:bCs/>
          <w:sz w:val="20"/>
          <w:szCs w:val="20"/>
        </w:rPr>
      </w:pPr>
    </w:p>
    <w:p w:rsidR="008540E2" w:rsidRPr="00335764" w:rsidRDefault="008540E2" w:rsidP="00335764">
      <w:pPr>
        <w:pStyle w:val="ListParagraph"/>
        <w:numPr>
          <w:ilvl w:val="1"/>
          <w:numId w:val="1"/>
        </w:numPr>
        <w:spacing w:line="240" w:lineRule="auto"/>
        <w:ind w:left="851" w:hanging="851"/>
        <w:jc w:val="left"/>
        <w:rPr>
          <w:rFonts w:cs="Arial"/>
          <w:bCs/>
          <w:sz w:val="20"/>
          <w:szCs w:val="20"/>
        </w:rPr>
      </w:pPr>
      <w:r w:rsidRPr="00335764">
        <w:rPr>
          <w:rFonts w:cs="Arial"/>
          <w:bCs/>
          <w:sz w:val="20"/>
          <w:szCs w:val="20"/>
        </w:rPr>
        <w:t>In 2023/24, the NPA’s overall budget increases by 3.98% in real terms. In terms of sub-programmes, the Investigating Directorate’s budget increases by 43.4%, followed by the Office of Witness Protection, whose budget increases by 11.2%.</w:t>
      </w:r>
    </w:p>
    <w:p w:rsidR="008540E2" w:rsidRPr="00335764" w:rsidRDefault="008540E2" w:rsidP="00335764">
      <w:pPr>
        <w:pStyle w:val="ListParagraph"/>
        <w:spacing w:line="240" w:lineRule="auto"/>
        <w:jc w:val="left"/>
        <w:rPr>
          <w:rFonts w:cs="Arial"/>
          <w:bCs/>
          <w:sz w:val="20"/>
          <w:szCs w:val="20"/>
        </w:rPr>
      </w:pPr>
    </w:p>
    <w:p w:rsidR="008540E2" w:rsidRPr="00335764" w:rsidRDefault="008540E2" w:rsidP="00335764">
      <w:pPr>
        <w:spacing w:line="240" w:lineRule="auto"/>
        <w:jc w:val="left"/>
        <w:rPr>
          <w:rFonts w:cs="Arial"/>
          <w:b/>
          <w:bCs/>
          <w:sz w:val="20"/>
          <w:szCs w:val="20"/>
        </w:rPr>
      </w:pPr>
      <w:r w:rsidRPr="00335764">
        <w:rPr>
          <w:rFonts w:cs="Arial"/>
          <w:b/>
          <w:bCs/>
          <w:sz w:val="20"/>
          <w:szCs w:val="20"/>
        </w:rPr>
        <w:t>NPA: Allocation for 2023 MTEF</w:t>
      </w:r>
    </w:p>
    <w:tbl>
      <w:tblPr>
        <w:tblStyle w:val="TableGrid"/>
        <w:tblW w:w="5000" w:type="pct"/>
        <w:tblLook w:val="04A0"/>
      </w:tblPr>
      <w:tblGrid>
        <w:gridCol w:w="3473"/>
        <w:gridCol w:w="1593"/>
        <w:gridCol w:w="1074"/>
        <w:gridCol w:w="1074"/>
        <w:gridCol w:w="1078"/>
        <w:gridCol w:w="1336"/>
      </w:tblGrid>
      <w:tr w:rsidR="008540E2" w:rsidRPr="00335764" w:rsidTr="00703E27">
        <w:trPr>
          <w:tblHeader/>
        </w:trPr>
        <w:tc>
          <w:tcPr>
            <w:tcW w:w="1803" w:type="pct"/>
            <w:vMerge w:val="restart"/>
            <w:shd w:val="clear" w:color="auto" w:fill="D9D9D9" w:themeFill="background1" w:themeFillShade="D9"/>
          </w:tcPr>
          <w:p w:rsidR="008540E2" w:rsidRPr="00335764" w:rsidRDefault="008540E2" w:rsidP="00335764">
            <w:pPr>
              <w:pStyle w:val="ListParagraph"/>
              <w:spacing w:line="240" w:lineRule="auto"/>
              <w:ind w:left="0"/>
              <w:jc w:val="left"/>
              <w:rPr>
                <w:rFonts w:cs="Arial"/>
                <w:b/>
                <w:bCs/>
                <w:caps/>
                <w:sz w:val="20"/>
                <w:szCs w:val="20"/>
              </w:rPr>
            </w:pPr>
            <w:r w:rsidRPr="00335764">
              <w:rPr>
                <w:rFonts w:cs="Arial"/>
                <w:b/>
                <w:bCs/>
                <w:caps/>
                <w:sz w:val="20"/>
                <w:szCs w:val="20"/>
              </w:rPr>
              <w:t>Sub-programme</w:t>
            </w:r>
          </w:p>
          <w:p w:rsidR="008540E2" w:rsidRPr="00335764" w:rsidRDefault="008540E2" w:rsidP="00335764">
            <w:pPr>
              <w:pStyle w:val="ListParagraph"/>
              <w:spacing w:line="240" w:lineRule="auto"/>
              <w:ind w:left="0"/>
              <w:jc w:val="left"/>
              <w:rPr>
                <w:rFonts w:cs="Arial"/>
                <w:b/>
                <w:bCs/>
                <w:caps/>
                <w:sz w:val="20"/>
                <w:szCs w:val="20"/>
              </w:rPr>
            </w:pPr>
          </w:p>
          <w:p w:rsidR="008540E2" w:rsidRPr="00335764" w:rsidRDefault="008540E2" w:rsidP="00335764">
            <w:pPr>
              <w:pStyle w:val="ListParagraph"/>
              <w:spacing w:line="240" w:lineRule="auto"/>
              <w:ind w:left="0"/>
              <w:jc w:val="left"/>
              <w:rPr>
                <w:rFonts w:cs="Arial"/>
                <w:b/>
                <w:bCs/>
                <w:caps/>
                <w:sz w:val="20"/>
                <w:szCs w:val="20"/>
              </w:rPr>
            </w:pPr>
            <w:r w:rsidRPr="00335764">
              <w:rPr>
                <w:rFonts w:cs="Arial"/>
                <w:b/>
                <w:bCs/>
                <w:caps/>
                <w:sz w:val="20"/>
                <w:szCs w:val="20"/>
              </w:rPr>
              <w:t>R’000</w:t>
            </w:r>
          </w:p>
        </w:tc>
        <w:tc>
          <w:tcPr>
            <w:tcW w:w="2503" w:type="pct"/>
            <w:gridSpan w:val="4"/>
            <w:shd w:val="clear" w:color="auto" w:fill="D9D9D9" w:themeFill="background1" w:themeFillShade="D9"/>
          </w:tcPr>
          <w:p w:rsidR="008540E2" w:rsidRPr="00335764" w:rsidRDefault="008540E2" w:rsidP="00335764">
            <w:pPr>
              <w:pStyle w:val="ListParagraph"/>
              <w:spacing w:line="240" w:lineRule="auto"/>
              <w:ind w:left="0"/>
              <w:jc w:val="left"/>
              <w:rPr>
                <w:rFonts w:cs="Arial"/>
                <w:b/>
                <w:bCs/>
                <w:caps/>
                <w:sz w:val="20"/>
                <w:szCs w:val="20"/>
              </w:rPr>
            </w:pPr>
            <w:r w:rsidRPr="00335764">
              <w:rPr>
                <w:rFonts w:cs="Arial"/>
                <w:b/>
                <w:bCs/>
                <w:caps/>
                <w:sz w:val="20"/>
                <w:szCs w:val="20"/>
              </w:rPr>
              <w:t>Budget</w:t>
            </w:r>
          </w:p>
          <w:p w:rsidR="008540E2" w:rsidRPr="00335764" w:rsidRDefault="008540E2" w:rsidP="00335764">
            <w:pPr>
              <w:pStyle w:val="ListParagraph"/>
              <w:spacing w:line="240" w:lineRule="auto"/>
              <w:ind w:left="0"/>
              <w:jc w:val="left"/>
              <w:rPr>
                <w:rFonts w:cs="Arial"/>
                <w:b/>
                <w:bCs/>
                <w:caps/>
                <w:sz w:val="20"/>
                <w:szCs w:val="20"/>
              </w:rPr>
            </w:pPr>
            <w:r w:rsidRPr="00335764">
              <w:rPr>
                <w:rFonts w:cs="Arial"/>
                <w:b/>
                <w:bCs/>
                <w:caps/>
                <w:sz w:val="20"/>
                <w:szCs w:val="20"/>
              </w:rPr>
              <w:t>R’million</w:t>
            </w:r>
          </w:p>
        </w:tc>
        <w:tc>
          <w:tcPr>
            <w:tcW w:w="695" w:type="pct"/>
            <w:vMerge w:val="restart"/>
            <w:shd w:val="clear" w:color="auto" w:fill="D9D9D9" w:themeFill="background1" w:themeFillShade="D9"/>
          </w:tcPr>
          <w:p w:rsidR="008540E2" w:rsidRPr="00335764" w:rsidRDefault="008540E2" w:rsidP="00335764">
            <w:pPr>
              <w:pStyle w:val="ListParagraph"/>
              <w:spacing w:line="240" w:lineRule="auto"/>
              <w:ind w:left="0"/>
              <w:jc w:val="left"/>
              <w:rPr>
                <w:rFonts w:cs="Arial"/>
                <w:b/>
                <w:bCs/>
                <w:caps/>
                <w:sz w:val="20"/>
                <w:szCs w:val="20"/>
              </w:rPr>
            </w:pPr>
            <w:r w:rsidRPr="00335764">
              <w:rPr>
                <w:rFonts w:cs="Arial"/>
                <w:b/>
                <w:bCs/>
                <w:caps/>
                <w:sz w:val="20"/>
                <w:szCs w:val="20"/>
              </w:rPr>
              <w:t>Real % Change</w:t>
            </w:r>
          </w:p>
        </w:tc>
      </w:tr>
      <w:tr w:rsidR="008540E2" w:rsidRPr="00335764" w:rsidTr="00703E27">
        <w:trPr>
          <w:tblHeader/>
        </w:trPr>
        <w:tc>
          <w:tcPr>
            <w:tcW w:w="1803" w:type="pct"/>
            <w:vMerge/>
            <w:shd w:val="clear" w:color="auto" w:fill="D9D9D9" w:themeFill="background1" w:themeFillShade="D9"/>
          </w:tcPr>
          <w:p w:rsidR="008540E2" w:rsidRPr="00335764" w:rsidRDefault="008540E2" w:rsidP="00335764">
            <w:pPr>
              <w:pStyle w:val="ListParagraph"/>
              <w:spacing w:line="240" w:lineRule="auto"/>
              <w:ind w:left="0"/>
              <w:jc w:val="left"/>
              <w:rPr>
                <w:rFonts w:cs="Arial"/>
                <w:bCs/>
                <w:caps/>
                <w:sz w:val="20"/>
                <w:szCs w:val="20"/>
              </w:rPr>
            </w:pPr>
          </w:p>
        </w:tc>
        <w:tc>
          <w:tcPr>
            <w:tcW w:w="827" w:type="pct"/>
            <w:shd w:val="clear" w:color="auto" w:fill="D9D9D9" w:themeFill="background1" w:themeFillShade="D9"/>
          </w:tcPr>
          <w:p w:rsidR="008540E2" w:rsidRPr="00335764" w:rsidRDefault="008540E2" w:rsidP="00335764">
            <w:pPr>
              <w:pStyle w:val="ListParagraph"/>
              <w:spacing w:line="240" w:lineRule="auto"/>
              <w:ind w:left="0"/>
              <w:jc w:val="left"/>
              <w:rPr>
                <w:rFonts w:cs="Arial"/>
                <w:b/>
                <w:bCs/>
                <w:caps/>
                <w:sz w:val="20"/>
                <w:szCs w:val="20"/>
              </w:rPr>
            </w:pPr>
            <w:r w:rsidRPr="00335764">
              <w:rPr>
                <w:rFonts w:cs="Arial"/>
                <w:b/>
                <w:bCs/>
                <w:caps/>
                <w:sz w:val="20"/>
                <w:szCs w:val="20"/>
              </w:rPr>
              <w:t>2022/23</w:t>
            </w:r>
          </w:p>
          <w:p w:rsidR="008540E2" w:rsidRPr="00335764" w:rsidRDefault="008540E2" w:rsidP="00335764">
            <w:pPr>
              <w:pStyle w:val="ListParagraph"/>
              <w:spacing w:line="240" w:lineRule="auto"/>
              <w:ind w:left="0"/>
              <w:jc w:val="left"/>
              <w:rPr>
                <w:rFonts w:cs="Arial"/>
                <w:b/>
                <w:bCs/>
                <w:caps/>
                <w:sz w:val="20"/>
                <w:szCs w:val="20"/>
              </w:rPr>
            </w:pPr>
            <w:r w:rsidRPr="00335764">
              <w:rPr>
                <w:rFonts w:cs="Arial"/>
                <w:b/>
                <w:bCs/>
                <w:caps/>
                <w:sz w:val="20"/>
                <w:szCs w:val="20"/>
              </w:rPr>
              <w:t>Adjusted</w:t>
            </w:r>
          </w:p>
        </w:tc>
        <w:tc>
          <w:tcPr>
            <w:tcW w:w="558" w:type="pct"/>
            <w:shd w:val="clear" w:color="auto" w:fill="D9D9D9" w:themeFill="background1" w:themeFillShade="D9"/>
          </w:tcPr>
          <w:p w:rsidR="008540E2" w:rsidRPr="00335764" w:rsidRDefault="008540E2" w:rsidP="00335764">
            <w:pPr>
              <w:pStyle w:val="ListParagraph"/>
              <w:spacing w:line="240" w:lineRule="auto"/>
              <w:ind w:left="0"/>
              <w:jc w:val="left"/>
              <w:rPr>
                <w:rFonts w:cs="Arial"/>
                <w:b/>
                <w:bCs/>
                <w:caps/>
                <w:sz w:val="20"/>
                <w:szCs w:val="20"/>
              </w:rPr>
            </w:pPr>
            <w:r w:rsidRPr="00335764">
              <w:rPr>
                <w:rFonts w:cs="Arial"/>
                <w:b/>
                <w:bCs/>
                <w:caps/>
                <w:sz w:val="20"/>
                <w:szCs w:val="20"/>
              </w:rPr>
              <w:t>2023/24</w:t>
            </w:r>
          </w:p>
        </w:tc>
        <w:tc>
          <w:tcPr>
            <w:tcW w:w="558" w:type="pct"/>
            <w:shd w:val="clear" w:color="auto" w:fill="D9D9D9" w:themeFill="background1" w:themeFillShade="D9"/>
          </w:tcPr>
          <w:p w:rsidR="008540E2" w:rsidRPr="00335764" w:rsidRDefault="008540E2" w:rsidP="00335764">
            <w:pPr>
              <w:pStyle w:val="ListParagraph"/>
              <w:spacing w:line="240" w:lineRule="auto"/>
              <w:ind w:left="0"/>
              <w:jc w:val="left"/>
              <w:rPr>
                <w:rFonts w:cs="Arial"/>
                <w:b/>
                <w:bCs/>
                <w:caps/>
                <w:sz w:val="20"/>
                <w:szCs w:val="20"/>
              </w:rPr>
            </w:pPr>
            <w:r w:rsidRPr="00335764">
              <w:rPr>
                <w:rFonts w:cs="Arial"/>
                <w:b/>
                <w:bCs/>
                <w:caps/>
                <w:sz w:val="20"/>
                <w:szCs w:val="20"/>
              </w:rPr>
              <w:t>2024/25</w:t>
            </w:r>
          </w:p>
        </w:tc>
        <w:tc>
          <w:tcPr>
            <w:tcW w:w="558" w:type="pct"/>
            <w:shd w:val="clear" w:color="auto" w:fill="D9D9D9" w:themeFill="background1" w:themeFillShade="D9"/>
          </w:tcPr>
          <w:p w:rsidR="008540E2" w:rsidRPr="00335764" w:rsidRDefault="008540E2" w:rsidP="00335764">
            <w:pPr>
              <w:pStyle w:val="ListParagraph"/>
              <w:spacing w:line="240" w:lineRule="auto"/>
              <w:ind w:left="0"/>
              <w:jc w:val="left"/>
              <w:rPr>
                <w:rFonts w:cs="Arial"/>
                <w:b/>
                <w:bCs/>
                <w:caps/>
                <w:sz w:val="20"/>
                <w:szCs w:val="20"/>
              </w:rPr>
            </w:pPr>
            <w:r w:rsidRPr="00335764">
              <w:rPr>
                <w:rFonts w:cs="Arial"/>
                <w:b/>
                <w:bCs/>
                <w:caps/>
                <w:sz w:val="20"/>
                <w:szCs w:val="20"/>
              </w:rPr>
              <w:t>2025/26</w:t>
            </w:r>
          </w:p>
        </w:tc>
        <w:tc>
          <w:tcPr>
            <w:tcW w:w="695" w:type="pct"/>
            <w:vMerge/>
            <w:shd w:val="clear" w:color="auto" w:fill="D9D9D9" w:themeFill="background1" w:themeFillShade="D9"/>
          </w:tcPr>
          <w:p w:rsidR="008540E2" w:rsidRPr="00335764" w:rsidRDefault="008540E2" w:rsidP="00335764">
            <w:pPr>
              <w:pStyle w:val="ListParagraph"/>
              <w:spacing w:line="240" w:lineRule="auto"/>
              <w:ind w:left="0"/>
              <w:jc w:val="left"/>
              <w:rPr>
                <w:rFonts w:cs="Arial"/>
                <w:b/>
                <w:bCs/>
                <w:caps/>
                <w:sz w:val="20"/>
                <w:szCs w:val="20"/>
              </w:rPr>
            </w:pPr>
          </w:p>
        </w:tc>
      </w:tr>
      <w:tr w:rsidR="008540E2" w:rsidRPr="00335764" w:rsidTr="00254E78">
        <w:tc>
          <w:tcPr>
            <w:tcW w:w="1803"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National Prosecutions Service</w:t>
            </w:r>
          </w:p>
        </w:tc>
        <w:tc>
          <w:tcPr>
            <w:tcW w:w="827"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3 707.1</w:t>
            </w:r>
          </w:p>
        </w:tc>
        <w:tc>
          <w:tcPr>
            <w:tcW w:w="558" w:type="pct"/>
            <w:shd w:val="clear" w:color="auto" w:fill="D9D9D9" w:themeFill="background1" w:themeFillShade="D9"/>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3 971.4</w:t>
            </w:r>
          </w:p>
        </w:tc>
        <w:tc>
          <w:tcPr>
            <w:tcW w:w="558"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4 147.1</w:t>
            </w:r>
          </w:p>
        </w:tc>
        <w:tc>
          <w:tcPr>
            <w:tcW w:w="558"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4 328.8</w:t>
            </w:r>
          </w:p>
        </w:tc>
        <w:tc>
          <w:tcPr>
            <w:tcW w:w="695"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1.0%</w:t>
            </w:r>
          </w:p>
        </w:tc>
      </w:tr>
      <w:tr w:rsidR="008540E2" w:rsidRPr="00335764" w:rsidTr="00254E78">
        <w:tc>
          <w:tcPr>
            <w:tcW w:w="1803"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Investigating Directorate</w:t>
            </w:r>
          </w:p>
        </w:tc>
        <w:tc>
          <w:tcPr>
            <w:tcW w:w="827"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243.6</w:t>
            </w:r>
          </w:p>
        </w:tc>
        <w:tc>
          <w:tcPr>
            <w:tcW w:w="558" w:type="pct"/>
            <w:shd w:val="clear" w:color="auto" w:fill="D9D9D9" w:themeFill="background1" w:themeFillShade="D9"/>
          </w:tcPr>
          <w:p w:rsidR="008540E2" w:rsidRPr="00335764" w:rsidRDefault="008540E2" w:rsidP="00335764">
            <w:pPr>
              <w:pStyle w:val="ListParagraph"/>
              <w:spacing w:line="240" w:lineRule="auto"/>
              <w:ind w:left="0"/>
              <w:jc w:val="left"/>
              <w:rPr>
                <w:rFonts w:cs="Arial"/>
                <w:b/>
                <w:bCs/>
                <w:sz w:val="20"/>
                <w:szCs w:val="20"/>
              </w:rPr>
            </w:pPr>
            <w:r w:rsidRPr="00335764">
              <w:rPr>
                <w:rFonts w:cs="Arial"/>
                <w:b/>
                <w:bCs/>
                <w:sz w:val="20"/>
                <w:szCs w:val="20"/>
              </w:rPr>
              <w:t>361.1</w:t>
            </w:r>
          </w:p>
        </w:tc>
        <w:tc>
          <w:tcPr>
            <w:tcW w:w="558"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296.7</w:t>
            </w:r>
          </w:p>
        </w:tc>
        <w:tc>
          <w:tcPr>
            <w:tcW w:w="558"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302.7</w:t>
            </w:r>
          </w:p>
        </w:tc>
        <w:tc>
          <w:tcPr>
            <w:tcW w:w="695"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43.4%</w:t>
            </w:r>
          </w:p>
        </w:tc>
      </w:tr>
      <w:tr w:rsidR="008540E2" w:rsidRPr="00335764" w:rsidTr="00254E78">
        <w:tc>
          <w:tcPr>
            <w:tcW w:w="1803"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Asset Forfeiture Unit</w:t>
            </w:r>
          </w:p>
        </w:tc>
        <w:tc>
          <w:tcPr>
            <w:tcW w:w="827"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212.4</w:t>
            </w:r>
          </w:p>
        </w:tc>
        <w:tc>
          <w:tcPr>
            <w:tcW w:w="558" w:type="pct"/>
            <w:shd w:val="clear" w:color="auto" w:fill="D9D9D9" w:themeFill="background1" w:themeFillShade="D9"/>
          </w:tcPr>
          <w:p w:rsidR="008540E2" w:rsidRPr="00335764" w:rsidRDefault="008540E2" w:rsidP="00335764">
            <w:pPr>
              <w:pStyle w:val="ListParagraph"/>
              <w:spacing w:line="240" w:lineRule="auto"/>
              <w:ind w:left="0"/>
              <w:jc w:val="left"/>
              <w:rPr>
                <w:rFonts w:cs="Arial"/>
                <w:b/>
                <w:bCs/>
                <w:sz w:val="20"/>
                <w:szCs w:val="20"/>
              </w:rPr>
            </w:pPr>
            <w:r w:rsidRPr="00335764">
              <w:rPr>
                <w:rFonts w:cs="Arial"/>
                <w:b/>
                <w:bCs/>
                <w:sz w:val="20"/>
                <w:szCs w:val="20"/>
              </w:rPr>
              <w:t>225.2</w:t>
            </w:r>
          </w:p>
        </w:tc>
        <w:tc>
          <w:tcPr>
            <w:tcW w:w="558"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234.7</w:t>
            </w:r>
          </w:p>
        </w:tc>
        <w:tc>
          <w:tcPr>
            <w:tcW w:w="558"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249.5</w:t>
            </w:r>
          </w:p>
        </w:tc>
        <w:tc>
          <w:tcPr>
            <w:tcW w:w="695"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1.1%</w:t>
            </w:r>
          </w:p>
        </w:tc>
      </w:tr>
      <w:tr w:rsidR="008540E2" w:rsidRPr="00335764" w:rsidTr="00254E78">
        <w:tc>
          <w:tcPr>
            <w:tcW w:w="1803"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Office of Witness Protection</w:t>
            </w:r>
          </w:p>
        </w:tc>
        <w:tc>
          <w:tcPr>
            <w:tcW w:w="827"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219.9</w:t>
            </w:r>
          </w:p>
        </w:tc>
        <w:tc>
          <w:tcPr>
            <w:tcW w:w="558" w:type="pct"/>
            <w:shd w:val="clear" w:color="auto" w:fill="D9D9D9" w:themeFill="background1" w:themeFillShade="D9"/>
          </w:tcPr>
          <w:p w:rsidR="008540E2" w:rsidRPr="00335764" w:rsidRDefault="008540E2" w:rsidP="00335764">
            <w:pPr>
              <w:pStyle w:val="ListParagraph"/>
              <w:spacing w:line="240" w:lineRule="auto"/>
              <w:ind w:left="0"/>
              <w:jc w:val="left"/>
              <w:rPr>
                <w:rFonts w:cs="Arial"/>
                <w:b/>
                <w:bCs/>
                <w:sz w:val="20"/>
                <w:szCs w:val="20"/>
              </w:rPr>
            </w:pPr>
            <w:r w:rsidRPr="00335764">
              <w:rPr>
                <w:rFonts w:cs="Arial"/>
                <w:b/>
                <w:bCs/>
                <w:sz w:val="20"/>
                <w:szCs w:val="20"/>
              </w:rPr>
              <w:t>256.5</w:t>
            </w:r>
          </w:p>
        </w:tc>
        <w:tc>
          <w:tcPr>
            <w:tcW w:w="558"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268.4</w:t>
            </w:r>
          </w:p>
        </w:tc>
        <w:tc>
          <w:tcPr>
            <w:tcW w:w="558"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280.5</w:t>
            </w:r>
          </w:p>
        </w:tc>
        <w:tc>
          <w:tcPr>
            <w:tcW w:w="695"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11.2%</w:t>
            </w:r>
          </w:p>
        </w:tc>
      </w:tr>
      <w:tr w:rsidR="008540E2" w:rsidRPr="00335764" w:rsidTr="00254E78">
        <w:tc>
          <w:tcPr>
            <w:tcW w:w="1803"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Support Services</w:t>
            </w:r>
          </w:p>
        </w:tc>
        <w:tc>
          <w:tcPr>
            <w:tcW w:w="827"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528.0</w:t>
            </w:r>
          </w:p>
        </w:tc>
        <w:tc>
          <w:tcPr>
            <w:tcW w:w="558" w:type="pct"/>
            <w:shd w:val="clear" w:color="auto" w:fill="D9D9D9" w:themeFill="background1" w:themeFillShade="D9"/>
          </w:tcPr>
          <w:p w:rsidR="008540E2" w:rsidRPr="00335764" w:rsidRDefault="008540E2" w:rsidP="00335764">
            <w:pPr>
              <w:pStyle w:val="ListParagraph"/>
              <w:spacing w:line="240" w:lineRule="auto"/>
              <w:ind w:left="0"/>
              <w:jc w:val="left"/>
              <w:rPr>
                <w:rFonts w:cs="Arial"/>
                <w:b/>
                <w:bCs/>
                <w:sz w:val="20"/>
                <w:szCs w:val="20"/>
              </w:rPr>
            </w:pPr>
            <w:r w:rsidRPr="00335764">
              <w:rPr>
                <w:rFonts w:cs="Arial"/>
                <w:b/>
                <w:bCs/>
                <w:sz w:val="20"/>
                <w:szCs w:val="20"/>
              </w:rPr>
              <w:t>592.8</w:t>
            </w:r>
          </w:p>
        </w:tc>
        <w:tc>
          <w:tcPr>
            <w:tcW w:w="558"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606.0</w:t>
            </w:r>
          </w:p>
        </w:tc>
        <w:tc>
          <w:tcPr>
            <w:tcW w:w="558"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635.0</w:t>
            </w:r>
          </w:p>
        </w:tc>
        <w:tc>
          <w:tcPr>
            <w:tcW w:w="695"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5.8%</w:t>
            </w:r>
          </w:p>
        </w:tc>
      </w:tr>
      <w:tr w:rsidR="008540E2" w:rsidRPr="00335764" w:rsidTr="00254E78">
        <w:tc>
          <w:tcPr>
            <w:tcW w:w="1803" w:type="pct"/>
          </w:tcPr>
          <w:p w:rsidR="008540E2" w:rsidRPr="00335764" w:rsidRDefault="008540E2" w:rsidP="00335764">
            <w:pPr>
              <w:pStyle w:val="ListParagraph"/>
              <w:spacing w:line="240" w:lineRule="auto"/>
              <w:ind w:left="0"/>
              <w:jc w:val="left"/>
              <w:rPr>
                <w:rFonts w:cs="Arial"/>
                <w:b/>
                <w:bCs/>
                <w:sz w:val="20"/>
                <w:szCs w:val="20"/>
              </w:rPr>
            </w:pPr>
            <w:r w:rsidRPr="00335764">
              <w:rPr>
                <w:rFonts w:cs="Arial"/>
                <w:b/>
                <w:bCs/>
                <w:sz w:val="20"/>
                <w:szCs w:val="20"/>
              </w:rPr>
              <w:t>Total</w:t>
            </w:r>
          </w:p>
        </w:tc>
        <w:tc>
          <w:tcPr>
            <w:tcW w:w="827" w:type="pct"/>
          </w:tcPr>
          <w:p w:rsidR="008540E2" w:rsidRPr="00335764" w:rsidRDefault="008540E2" w:rsidP="00335764">
            <w:pPr>
              <w:pStyle w:val="ListParagraph"/>
              <w:spacing w:line="240" w:lineRule="auto"/>
              <w:ind w:left="0"/>
              <w:jc w:val="left"/>
              <w:rPr>
                <w:rFonts w:cs="Arial"/>
                <w:b/>
                <w:bCs/>
                <w:sz w:val="20"/>
                <w:szCs w:val="20"/>
              </w:rPr>
            </w:pPr>
            <w:r w:rsidRPr="00335764">
              <w:rPr>
                <w:rFonts w:cs="Arial"/>
                <w:b/>
                <w:bCs/>
                <w:sz w:val="20"/>
                <w:szCs w:val="20"/>
              </w:rPr>
              <w:t>4 911.0</w:t>
            </w:r>
          </w:p>
        </w:tc>
        <w:tc>
          <w:tcPr>
            <w:tcW w:w="558" w:type="pct"/>
            <w:shd w:val="clear" w:color="auto" w:fill="D9D9D9" w:themeFill="background1" w:themeFillShade="D9"/>
          </w:tcPr>
          <w:p w:rsidR="008540E2" w:rsidRPr="00335764" w:rsidRDefault="008540E2" w:rsidP="00335764">
            <w:pPr>
              <w:pStyle w:val="ListParagraph"/>
              <w:spacing w:line="240" w:lineRule="auto"/>
              <w:ind w:left="0"/>
              <w:jc w:val="left"/>
              <w:rPr>
                <w:rFonts w:cs="Arial"/>
                <w:b/>
                <w:bCs/>
                <w:sz w:val="20"/>
                <w:szCs w:val="20"/>
              </w:rPr>
            </w:pPr>
            <w:r w:rsidRPr="00335764">
              <w:rPr>
                <w:rFonts w:cs="Arial"/>
                <w:b/>
                <w:bCs/>
                <w:sz w:val="20"/>
                <w:szCs w:val="20"/>
              </w:rPr>
              <w:t>5 407.0</w:t>
            </w:r>
          </w:p>
        </w:tc>
        <w:tc>
          <w:tcPr>
            <w:tcW w:w="558" w:type="pct"/>
          </w:tcPr>
          <w:p w:rsidR="008540E2" w:rsidRPr="00335764" w:rsidRDefault="008540E2" w:rsidP="00335764">
            <w:pPr>
              <w:pStyle w:val="ListParagraph"/>
              <w:spacing w:line="240" w:lineRule="auto"/>
              <w:ind w:left="0"/>
              <w:jc w:val="left"/>
              <w:rPr>
                <w:rFonts w:cs="Arial"/>
                <w:b/>
                <w:bCs/>
                <w:sz w:val="20"/>
                <w:szCs w:val="20"/>
              </w:rPr>
            </w:pPr>
            <w:r w:rsidRPr="00335764">
              <w:rPr>
                <w:rFonts w:cs="Arial"/>
                <w:b/>
                <w:bCs/>
                <w:sz w:val="20"/>
                <w:szCs w:val="20"/>
              </w:rPr>
              <w:t>5 552.9</w:t>
            </w:r>
          </w:p>
        </w:tc>
        <w:tc>
          <w:tcPr>
            <w:tcW w:w="558" w:type="pct"/>
          </w:tcPr>
          <w:p w:rsidR="008540E2" w:rsidRPr="00335764" w:rsidRDefault="008540E2" w:rsidP="00335764">
            <w:pPr>
              <w:pStyle w:val="ListParagraph"/>
              <w:spacing w:line="240" w:lineRule="auto"/>
              <w:ind w:left="0"/>
              <w:jc w:val="left"/>
              <w:rPr>
                <w:rFonts w:cs="Arial"/>
                <w:b/>
                <w:bCs/>
                <w:sz w:val="20"/>
                <w:szCs w:val="20"/>
              </w:rPr>
            </w:pPr>
            <w:r w:rsidRPr="00335764">
              <w:rPr>
                <w:rFonts w:cs="Arial"/>
                <w:b/>
                <w:bCs/>
                <w:sz w:val="20"/>
                <w:szCs w:val="20"/>
              </w:rPr>
              <w:t>5 896.9</w:t>
            </w:r>
          </w:p>
        </w:tc>
        <w:tc>
          <w:tcPr>
            <w:tcW w:w="695" w:type="pct"/>
          </w:tcPr>
          <w:p w:rsidR="008540E2" w:rsidRPr="00335764" w:rsidRDefault="008540E2" w:rsidP="00335764">
            <w:pPr>
              <w:pStyle w:val="ListParagraph"/>
              <w:spacing w:line="240" w:lineRule="auto"/>
              <w:ind w:left="0"/>
              <w:jc w:val="left"/>
              <w:rPr>
                <w:rFonts w:cs="Arial"/>
                <w:b/>
                <w:bCs/>
                <w:sz w:val="20"/>
                <w:szCs w:val="20"/>
              </w:rPr>
            </w:pPr>
            <w:r w:rsidRPr="00335764">
              <w:rPr>
                <w:rFonts w:cs="Arial"/>
                <w:b/>
                <w:bCs/>
                <w:sz w:val="20"/>
                <w:szCs w:val="20"/>
              </w:rPr>
              <w:t>4.0%</w:t>
            </w:r>
          </w:p>
        </w:tc>
      </w:tr>
      <w:tr w:rsidR="008540E2" w:rsidRPr="00335764" w:rsidTr="00254E78">
        <w:tc>
          <w:tcPr>
            <w:tcW w:w="1803"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Change to 2022 Budget estimate</w:t>
            </w:r>
          </w:p>
        </w:tc>
        <w:tc>
          <w:tcPr>
            <w:tcW w:w="827"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0.7</w:t>
            </w:r>
          </w:p>
        </w:tc>
        <w:tc>
          <w:tcPr>
            <w:tcW w:w="558" w:type="pct"/>
            <w:shd w:val="clear" w:color="auto" w:fill="D9D9D9" w:themeFill="background1" w:themeFillShade="D9"/>
          </w:tcPr>
          <w:p w:rsidR="008540E2" w:rsidRPr="00335764" w:rsidRDefault="008540E2" w:rsidP="00335764">
            <w:pPr>
              <w:pStyle w:val="ListParagraph"/>
              <w:spacing w:line="240" w:lineRule="auto"/>
              <w:ind w:left="0"/>
              <w:jc w:val="left"/>
              <w:rPr>
                <w:rFonts w:cs="Arial"/>
                <w:b/>
                <w:bCs/>
                <w:sz w:val="20"/>
                <w:szCs w:val="20"/>
              </w:rPr>
            </w:pPr>
            <w:r w:rsidRPr="00335764">
              <w:rPr>
                <w:rFonts w:cs="Arial"/>
                <w:b/>
                <w:bCs/>
                <w:sz w:val="20"/>
                <w:szCs w:val="20"/>
              </w:rPr>
              <w:t>536.1</w:t>
            </w:r>
          </w:p>
        </w:tc>
        <w:tc>
          <w:tcPr>
            <w:tcW w:w="558"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463.3</w:t>
            </w:r>
          </w:p>
        </w:tc>
        <w:tc>
          <w:tcPr>
            <w:tcW w:w="558"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w:t>
            </w:r>
          </w:p>
        </w:tc>
        <w:tc>
          <w:tcPr>
            <w:tcW w:w="695" w:type="pct"/>
          </w:tcPr>
          <w:p w:rsidR="008540E2" w:rsidRPr="00335764" w:rsidRDefault="008540E2" w:rsidP="00335764">
            <w:pPr>
              <w:pStyle w:val="ListParagraph"/>
              <w:spacing w:line="240" w:lineRule="auto"/>
              <w:ind w:left="0"/>
              <w:jc w:val="left"/>
              <w:rPr>
                <w:rFonts w:cs="Arial"/>
                <w:bCs/>
                <w:sz w:val="20"/>
                <w:szCs w:val="20"/>
              </w:rPr>
            </w:pPr>
            <w:r w:rsidRPr="00335764">
              <w:rPr>
                <w:rFonts w:cs="Arial"/>
                <w:bCs/>
                <w:sz w:val="20"/>
                <w:szCs w:val="20"/>
              </w:rPr>
              <w:t>-</w:t>
            </w:r>
          </w:p>
        </w:tc>
      </w:tr>
    </w:tbl>
    <w:p w:rsidR="008540E2" w:rsidRPr="00335764" w:rsidRDefault="008540E2" w:rsidP="00335764">
      <w:pPr>
        <w:pStyle w:val="ListParagraph"/>
        <w:spacing w:line="240" w:lineRule="auto"/>
        <w:ind w:left="851"/>
        <w:jc w:val="left"/>
        <w:rPr>
          <w:rFonts w:cs="Arial"/>
          <w:bCs/>
          <w:sz w:val="20"/>
          <w:szCs w:val="20"/>
        </w:rPr>
      </w:pPr>
    </w:p>
    <w:p w:rsidR="00A27629" w:rsidRPr="00335764" w:rsidRDefault="003C5DE3" w:rsidP="00335764">
      <w:pPr>
        <w:pStyle w:val="ListParagraph"/>
        <w:numPr>
          <w:ilvl w:val="1"/>
          <w:numId w:val="1"/>
        </w:numPr>
        <w:spacing w:line="240" w:lineRule="auto"/>
        <w:ind w:left="851" w:hanging="851"/>
        <w:jc w:val="left"/>
        <w:rPr>
          <w:rFonts w:cs="Arial"/>
          <w:bCs/>
          <w:sz w:val="20"/>
          <w:szCs w:val="20"/>
        </w:rPr>
      </w:pPr>
      <w:r w:rsidRPr="00335764">
        <w:rPr>
          <w:rFonts w:cs="Arial"/>
          <w:bCs/>
          <w:sz w:val="20"/>
          <w:szCs w:val="20"/>
        </w:rPr>
        <w:lastRenderedPageBreak/>
        <w:t xml:space="preserve">In the </w:t>
      </w:r>
      <w:r w:rsidR="00A27629" w:rsidRPr="00335764">
        <w:rPr>
          <w:rFonts w:cs="Arial"/>
          <w:bCs/>
          <w:sz w:val="20"/>
          <w:szCs w:val="20"/>
        </w:rPr>
        <w:t>2023 MTEF</w:t>
      </w:r>
      <w:r w:rsidRPr="00335764">
        <w:rPr>
          <w:rFonts w:cs="Arial"/>
          <w:bCs/>
          <w:sz w:val="20"/>
          <w:szCs w:val="20"/>
        </w:rPr>
        <w:t>, the NPA is allocated</w:t>
      </w:r>
      <w:r w:rsidR="00A27629" w:rsidRPr="00335764">
        <w:rPr>
          <w:rFonts w:cs="Arial"/>
          <w:bCs/>
          <w:sz w:val="20"/>
          <w:szCs w:val="20"/>
        </w:rPr>
        <w:t xml:space="preserve"> the following additional funds: </w:t>
      </w:r>
    </w:p>
    <w:p w:rsidR="00EF5664" w:rsidRPr="00335764" w:rsidRDefault="00A27629" w:rsidP="00335764">
      <w:pPr>
        <w:pStyle w:val="ListParagraph"/>
        <w:numPr>
          <w:ilvl w:val="0"/>
          <w:numId w:val="5"/>
        </w:numPr>
        <w:spacing w:line="240" w:lineRule="auto"/>
        <w:ind w:hanging="589"/>
        <w:jc w:val="left"/>
        <w:rPr>
          <w:rFonts w:cs="Arial"/>
          <w:bCs/>
          <w:sz w:val="20"/>
          <w:szCs w:val="20"/>
          <w:lang w:val="en-ZA"/>
        </w:rPr>
      </w:pPr>
      <w:r w:rsidRPr="00335764">
        <w:rPr>
          <w:rFonts w:cs="Arial"/>
          <w:bCs/>
          <w:sz w:val="20"/>
          <w:szCs w:val="20"/>
          <w:lang w:val="en-ZA"/>
        </w:rPr>
        <w:t>R1.3 billion is allocated over the MTEF to support the implementation of the State Capture Commission and Financial Action Task Force’s recommendations</w:t>
      </w:r>
      <w:r w:rsidR="00EF5664" w:rsidRPr="00335764">
        <w:rPr>
          <w:rFonts w:cs="Arial"/>
          <w:bCs/>
          <w:sz w:val="20"/>
          <w:szCs w:val="20"/>
          <w:lang w:val="en-ZA"/>
        </w:rPr>
        <w:t>.</w:t>
      </w:r>
    </w:p>
    <w:p w:rsidR="00EF5664" w:rsidRPr="00335764" w:rsidRDefault="00EF5664" w:rsidP="00335764">
      <w:pPr>
        <w:pStyle w:val="ListParagraph"/>
        <w:numPr>
          <w:ilvl w:val="0"/>
          <w:numId w:val="5"/>
        </w:numPr>
        <w:spacing w:line="240" w:lineRule="auto"/>
        <w:ind w:hanging="589"/>
        <w:jc w:val="left"/>
        <w:rPr>
          <w:rFonts w:cs="Arial"/>
          <w:bCs/>
          <w:sz w:val="20"/>
          <w:szCs w:val="20"/>
        </w:rPr>
      </w:pPr>
      <w:r w:rsidRPr="00335764">
        <w:rPr>
          <w:rFonts w:cs="Arial"/>
          <w:bCs/>
          <w:sz w:val="20"/>
          <w:szCs w:val="20"/>
          <w:lang w:val="en-ZA"/>
        </w:rPr>
        <w:t>In addition, reprioritised funds have been made available to reduce GBVF from within the NPA’s</w:t>
      </w:r>
      <w:r w:rsidRPr="00335764">
        <w:rPr>
          <w:rFonts w:cs="Arial"/>
          <w:bCs/>
          <w:sz w:val="20"/>
          <w:szCs w:val="20"/>
        </w:rPr>
        <w:t xml:space="preserve"> National Prosecution Services salaries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4122"/>
        <w:gridCol w:w="1423"/>
        <w:gridCol w:w="1280"/>
        <w:gridCol w:w="996"/>
        <w:gridCol w:w="1615"/>
      </w:tblGrid>
      <w:tr w:rsidR="008540E2" w:rsidRPr="00335764" w:rsidTr="008540E2">
        <w:trPr>
          <w:trHeight w:val="20"/>
        </w:trPr>
        <w:tc>
          <w:tcPr>
            <w:tcW w:w="2184"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
                <w:bCs/>
                <w:sz w:val="20"/>
                <w:szCs w:val="20"/>
                <w:lang w:val="en-US"/>
              </w:rPr>
              <w:t>R’000</w:t>
            </w:r>
          </w:p>
        </w:tc>
        <w:tc>
          <w:tcPr>
            <w:tcW w:w="754"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
                <w:bCs/>
                <w:sz w:val="20"/>
                <w:szCs w:val="20"/>
                <w:lang w:val="en-US"/>
              </w:rPr>
              <w:t>2023/24</w:t>
            </w:r>
          </w:p>
        </w:tc>
        <w:tc>
          <w:tcPr>
            <w:tcW w:w="678"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
                <w:bCs/>
                <w:sz w:val="20"/>
                <w:szCs w:val="20"/>
                <w:lang w:val="en-US"/>
              </w:rPr>
              <w:t>2024/25</w:t>
            </w:r>
          </w:p>
        </w:tc>
        <w:tc>
          <w:tcPr>
            <w:tcW w:w="528"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
                <w:bCs/>
                <w:sz w:val="20"/>
                <w:szCs w:val="20"/>
                <w:lang w:val="en-US"/>
              </w:rPr>
              <w:t>2025/26</w:t>
            </w:r>
          </w:p>
        </w:tc>
        <w:tc>
          <w:tcPr>
            <w:tcW w:w="856"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
                <w:bCs/>
                <w:sz w:val="20"/>
                <w:szCs w:val="20"/>
                <w:lang w:val="en-US"/>
              </w:rPr>
              <w:t>Total</w:t>
            </w:r>
          </w:p>
        </w:tc>
      </w:tr>
      <w:tr w:rsidR="008540E2" w:rsidRPr="00335764" w:rsidTr="008540E2">
        <w:trPr>
          <w:trHeight w:val="20"/>
        </w:trPr>
        <w:tc>
          <w:tcPr>
            <w:tcW w:w="2184"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National Prosecutions Service</w:t>
            </w:r>
          </w:p>
        </w:tc>
        <w:tc>
          <w:tcPr>
            <w:tcW w:w="754"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264 000</w:t>
            </w:r>
          </w:p>
        </w:tc>
        <w:tc>
          <w:tcPr>
            <w:tcW w:w="678"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275000</w:t>
            </w:r>
          </w:p>
        </w:tc>
        <w:tc>
          <w:tcPr>
            <w:tcW w:w="528"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285 000</w:t>
            </w:r>
          </w:p>
        </w:tc>
        <w:tc>
          <w:tcPr>
            <w:tcW w:w="856"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824 000</w:t>
            </w:r>
          </w:p>
        </w:tc>
      </w:tr>
      <w:tr w:rsidR="008540E2" w:rsidRPr="00335764" w:rsidTr="008540E2">
        <w:trPr>
          <w:trHeight w:val="20"/>
        </w:trPr>
        <w:tc>
          <w:tcPr>
            <w:tcW w:w="2184"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Investigating Directorate</w:t>
            </w:r>
          </w:p>
        </w:tc>
        <w:tc>
          <w:tcPr>
            <w:tcW w:w="754"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12 500</w:t>
            </w:r>
          </w:p>
        </w:tc>
        <w:tc>
          <w:tcPr>
            <w:tcW w:w="678"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50 000</w:t>
            </w:r>
          </w:p>
        </w:tc>
        <w:tc>
          <w:tcPr>
            <w:tcW w:w="528"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45 000</w:t>
            </w:r>
          </w:p>
        </w:tc>
        <w:tc>
          <w:tcPr>
            <w:tcW w:w="856"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220 000</w:t>
            </w:r>
          </w:p>
        </w:tc>
      </w:tr>
      <w:tr w:rsidR="008540E2" w:rsidRPr="00335764" w:rsidTr="008540E2">
        <w:trPr>
          <w:trHeight w:val="20"/>
        </w:trPr>
        <w:tc>
          <w:tcPr>
            <w:tcW w:w="2184"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Asset Forfeiture Unit</w:t>
            </w:r>
          </w:p>
        </w:tc>
        <w:tc>
          <w:tcPr>
            <w:tcW w:w="754"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15 000</w:t>
            </w:r>
          </w:p>
        </w:tc>
        <w:tc>
          <w:tcPr>
            <w:tcW w:w="678"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15000</w:t>
            </w:r>
          </w:p>
        </w:tc>
        <w:tc>
          <w:tcPr>
            <w:tcW w:w="528" w:type="pct"/>
            <w:shd w:val="clear" w:color="auto" w:fill="auto"/>
            <w:tcMar>
              <w:top w:w="12" w:type="dxa"/>
              <w:left w:w="12" w:type="dxa"/>
              <w:bottom w:w="0" w:type="dxa"/>
              <w:right w:w="12" w:type="dxa"/>
            </w:tcMar>
            <w:vAlign w:val="center"/>
            <w:hideMark/>
          </w:tcPr>
          <w:p w:rsidR="008540E2" w:rsidRPr="00335764" w:rsidRDefault="001E3C09" w:rsidP="00335764">
            <w:pPr>
              <w:spacing w:line="240" w:lineRule="auto"/>
              <w:jc w:val="left"/>
              <w:rPr>
                <w:rFonts w:cs="Arial"/>
                <w:bCs/>
                <w:sz w:val="20"/>
                <w:szCs w:val="20"/>
                <w:lang w:val="en-ZA"/>
              </w:rPr>
            </w:pPr>
            <w:r w:rsidRPr="00335764">
              <w:rPr>
                <w:rFonts w:cs="Arial"/>
                <w:bCs/>
                <w:sz w:val="20"/>
                <w:szCs w:val="20"/>
                <w:lang w:val="en-US"/>
              </w:rPr>
              <w:t>20 000</w:t>
            </w:r>
          </w:p>
        </w:tc>
        <w:tc>
          <w:tcPr>
            <w:tcW w:w="856"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50 000</w:t>
            </w:r>
          </w:p>
        </w:tc>
      </w:tr>
      <w:tr w:rsidR="008540E2" w:rsidRPr="00335764" w:rsidTr="008540E2">
        <w:trPr>
          <w:trHeight w:val="20"/>
        </w:trPr>
        <w:tc>
          <w:tcPr>
            <w:tcW w:w="2184"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Office for Witness Protection</w:t>
            </w:r>
          </w:p>
        </w:tc>
        <w:tc>
          <w:tcPr>
            <w:tcW w:w="754"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35 000</w:t>
            </w:r>
          </w:p>
        </w:tc>
        <w:tc>
          <w:tcPr>
            <w:tcW w:w="678"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37000</w:t>
            </w:r>
          </w:p>
        </w:tc>
        <w:tc>
          <w:tcPr>
            <w:tcW w:w="528"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39000</w:t>
            </w:r>
          </w:p>
        </w:tc>
        <w:tc>
          <w:tcPr>
            <w:tcW w:w="856"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111 000</w:t>
            </w:r>
          </w:p>
        </w:tc>
      </w:tr>
      <w:tr w:rsidR="008540E2" w:rsidRPr="00335764" w:rsidTr="008540E2">
        <w:trPr>
          <w:trHeight w:val="20"/>
        </w:trPr>
        <w:tc>
          <w:tcPr>
            <w:tcW w:w="2184"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Strategy Operations and Compliance  </w:t>
            </w:r>
          </w:p>
        </w:tc>
        <w:tc>
          <w:tcPr>
            <w:tcW w:w="754"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50 000</w:t>
            </w:r>
          </w:p>
        </w:tc>
        <w:tc>
          <w:tcPr>
            <w:tcW w:w="678"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38 500</w:t>
            </w:r>
          </w:p>
        </w:tc>
        <w:tc>
          <w:tcPr>
            <w:tcW w:w="528"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41 700</w:t>
            </w:r>
          </w:p>
        </w:tc>
        <w:tc>
          <w:tcPr>
            <w:tcW w:w="856"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Cs/>
                <w:sz w:val="20"/>
                <w:szCs w:val="20"/>
                <w:lang w:val="en-US"/>
              </w:rPr>
              <w:t>130 200</w:t>
            </w:r>
          </w:p>
        </w:tc>
      </w:tr>
      <w:tr w:rsidR="008540E2" w:rsidRPr="00335764" w:rsidTr="008540E2">
        <w:trPr>
          <w:trHeight w:val="20"/>
        </w:trPr>
        <w:tc>
          <w:tcPr>
            <w:tcW w:w="2184"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
                <w:bCs/>
                <w:sz w:val="20"/>
                <w:szCs w:val="20"/>
                <w:lang w:val="en-US"/>
              </w:rPr>
              <w:t>Total</w:t>
            </w:r>
          </w:p>
        </w:tc>
        <w:tc>
          <w:tcPr>
            <w:tcW w:w="754"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
                <w:bCs/>
                <w:sz w:val="20"/>
                <w:szCs w:val="20"/>
                <w:lang w:val="en-US"/>
              </w:rPr>
              <w:t>489 000</w:t>
            </w:r>
          </w:p>
        </w:tc>
        <w:tc>
          <w:tcPr>
            <w:tcW w:w="678"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
                <w:bCs/>
                <w:sz w:val="20"/>
                <w:szCs w:val="20"/>
                <w:lang w:val="en-US"/>
              </w:rPr>
              <w:t>415 500</w:t>
            </w:r>
          </w:p>
        </w:tc>
        <w:tc>
          <w:tcPr>
            <w:tcW w:w="528"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
                <w:bCs/>
                <w:sz w:val="20"/>
                <w:szCs w:val="20"/>
                <w:lang w:val="en-US"/>
              </w:rPr>
              <w:t>430 700</w:t>
            </w:r>
          </w:p>
        </w:tc>
        <w:tc>
          <w:tcPr>
            <w:tcW w:w="856" w:type="pct"/>
            <w:shd w:val="clear" w:color="auto" w:fill="auto"/>
            <w:tcMar>
              <w:top w:w="12" w:type="dxa"/>
              <w:left w:w="12" w:type="dxa"/>
              <w:bottom w:w="0" w:type="dxa"/>
              <w:right w:w="12" w:type="dxa"/>
            </w:tcMar>
            <w:vAlign w:val="center"/>
            <w:hideMark/>
          </w:tcPr>
          <w:p w:rsidR="008540E2" w:rsidRPr="00335764" w:rsidRDefault="008540E2" w:rsidP="00335764">
            <w:pPr>
              <w:spacing w:line="240" w:lineRule="auto"/>
              <w:jc w:val="left"/>
              <w:rPr>
                <w:rFonts w:cs="Arial"/>
                <w:bCs/>
                <w:sz w:val="20"/>
                <w:szCs w:val="20"/>
                <w:lang w:val="en-ZA"/>
              </w:rPr>
            </w:pPr>
            <w:r w:rsidRPr="00335764">
              <w:rPr>
                <w:rFonts w:cs="Arial"/>
                <w:b/>
                <w:bCs/>
                <w:sz w:val="20"/>
                <w:szCs w:val="20"/>
                <w:lang w:val="en-US"/>
              </w:rPr>
              <w:t>1 335 200</w:t>
            </w:r>
          </w:p>
        </w:tc>
      </w:tr>
    </w:tbl>
    <w:p w:rsidR="00A27629" w:rsidRPr="00335764" w:rsidRDefault="00A27629" w:rsidP="00335764">
      <w:pPr>
        <w:spacing w:line="240" w:lineRule="auto"/>
        <w:jc w:val="left"/>
        <w:rPr>
          <w:rFonts w:cs="Arial"/>
          <w:bCs/>
          <w:sz w:val="20"/>
          <w:szCs w:val="20"/>
        </w:rPr>
      </w:pPr>
    </w:p>
    <w:p w:rsidR="00F30939" w:rsidRPr="00335764" w:rsidRDefault="00F30939" w:rsidP="00335764">
      <w:pPr>
        <w:pStyle w:val="ListParagraph"/>
        <w:spacing w:line="240" w:lineRule="auto"/>
        <w:jc w:val="left"/>
        <w:rPr>
          <w:rFonts w:cs="Arial"/>
          <w:bCs/>
          <w:sz w:val="20"/>
          <w:szCs w:val="20"/>
        </w:rPr>
      </w:pPr>
    </w:p>
    <w:p w:rsidR="00664901" w:rsidRPr="00335764" w:rsidRDefault="00714507" w:rsidP="00335764">
      <w:pPr>
        <w:pStyle w:val="ListParagraph"/>
        <w:numPr>
          <w:ilvl w:val="1"/>
          <w:numId w:val="1"/>
        </w:numPr>
        <w:spacing w:line="240" w:lineRule="auto"/>
        <w:ind w:left="851" w:hanging="851"/>
        <w:jc w:val="left"/>
        <w:rPr>
          <w:rFonts w:cs="Arial"/>
          <w:bCs/>
          <w:sz w:val="20"/>
          <w:szCs w:val="20"/>
        </w:rPr>
      </w:pPr>
      <w:r w:rsidRPr="00335764">
        <w:rPr>
          <w:rFonts w:cs="Arial"/>
          <w:bCs/>
          <w:i/>
          <w:sz w:val="20"/>
          <w:szCs w:val="20"/>
          <w:lang w:val="en-ZA"/>
        </w:rPr>
        <w:t>Personnel.</w:t>
      </w:r>
      <w:r w:rsidRPr="00335764">
        <w:rPr>
          <w:rFonts w:cs="Arial"/>
          <w:bCs/>
          <w:sz w:val="20"/>
          <w:szCs w:val="20"/>
          <w:lang w:val="en-ZA"/>
        </w:rPr>
        <w:t xml:space="preserve"> </w:t>
      </w:r>
      <w:r w:rsidR="00261D2C" w:rsidRPr="00335764">
        <w:rPr>
          <w:rFonts w:cs="Arial"/>
          <w:bCs/>
          <w:sz w:val="20"/>
          <w:szCs w:val="20"/>
          <w:lang w:val="en-ZA"/>
        </w:rPr>
        <w:t>On</w:t>
      </w:r>
      <w:r w:rsidR="003C5DE3" w:rsidRPr="00335764">
        <w:rPr>
          <w:rFonts w:cs="Arial"/>
          <w:bCs/>
          <w:sz w:val="20"/>
          <w:szCs w:val="20"/>
          <w:lang w:val="en-ZA"/>
        </w:rPr>
        <w:t xml:space="preserve"> 1 January 2023, t</w:t>
      </w:r>
      <w:r w:rsidR="00664901" w:rsidRPr="00335764">
        <w:rPr>
          <w:rFonts w:cs="Arial"/>
          <w:bCs/>
          <w:sz w:val="20"/>
          <w:szCs w:val="20"/>
        </w:rPr>
        <w:t xml:space="preserve">he NPA </w:t>
      </w:r>
      <w:r w:rsidR="003C5DE3" w:rsidRPr="00335764">
        <w:rPr>
          <w:rFonts w:cs="Arial"/>
          <w:bCs/>
          <w:sz w:val="20"/>
          <w:szCs w:val="20"/>
        </w:rPr>
        <w:t>had</w:t>
      </w:r>
      <w:r w:rsidR="00DD061E" w:rsidRPr="00335764">
        <w:rPr>
          <w:rFonts w:cs="Arial"/>
          <w:bCs/>
          <w:sz w:val="20"/>
          <w:szCs w:val="20"/>
        </w:rPr>
        <w:t xml:space="preserve"> a staff establishment of </w:t>
      </w:r>
      <w:r w:rsidR="00664901" w:rsidRPr="00335764">
        <w:rPr>
          <w:rFonts w:cs="Arial"/>
          <w:bCs/>
          <w:sz w:val="20"/>
          <w:szCs w:val="20"/>
        </w:rPr>
        <w:t>6</w:t>
      </w:r>
      <w:r w:rsidR="00A27629" w:rsidRPr="00335764">
        <w:rPr>
          <w:rFonts w:cs="Arial"/>
          <w:bCs/>
          <w:sz w:val="20"/>
          <w:szCs w:val="20"/>
        </w:rPr>
        <w:t xml:space="preserve"> 432</w:t>
      </w:r>
      <w:r w:rsidR="00DD061E" w:rsidRPr="00335764">
        <w:rPr>
          <w:rFonts w:cs="Arial"/>
          <w:bCs/>
          <w:sz w:val="20"/>
          <w:szCs w:val="20"/>
        </w:rPr>
        <w:t xml:space="preserve"> posts, </w:t>
      </w:r>
      <w:r w:rsidR="00A27629" w:rsidRPr="00335764">
        <w:rPr>
          <w:rFonts w:cs="Arial"/>
          <w:bCs/>
          <w:sz w:val="20"/>
          <w:szCs w:val="20"/>
        </w:rPr>
        <w:t>of which 5 203</w:t>
      </w:r>
      <w:r w:rsidR="00664901" w:rsidRPr="00335764">
        <w:rPr>
          <w:rFonts w:cs="Arial"/>
          <w:bCs/>
          <w:sz w:val="20"/>
          <w:szCs w:val="20"/>
        </w:rPr>
        <w:t xml:space="preserve"> are filled</w:t>
      </w:r>
      <w:r w:rsidR="00A27629" w:rsidRPr="00335764">
        <w:rPr>
          <w:rFonts w:cs="Arial"/>
          <w:bCs/>
          <w:sz w:val="20"/>
          <w:szCs w:val="20"/>
        </w:rPr>
        <w:t xml:space="preserve"> and 1 229 are vacant with a vacancy rate of 19%</w:t>
      </w:r>
      <w:r w:rsidR="00DD061E" w:rsidRPr="00335764">
        <w:rPr>
          <w:rFonts w:cs="Arial"/>
          <w:bCs/>
          <w:sz w:val="20"/>
          <w:szCs w:val="20"/>
        </w:rPr>
        <w:t>.</w:t>
      </w:r>
      <w:r w:rsidR="00664901" w:rsidRPr="00335764">
        <w:rPr>
          <w:rFonts w:cs="Arial"/>
          <w:bCs/>
          <w:sz w:val="20"/>
          <w:szCs w:val="20"/>
        </w:rPr>
        <w:t xml:space="preserve"> The NPA has embarked on mass recruitment to address shortages of capacity and necessary skills needed to investigate and prosecute complex matters within the NPA environment</w:t>
      </w:r>
      <w:r w:rsidR="00A27629" w:rsidRPr="00335764">
        <w:rPr>
          <w:rFonts w:cs="Arial"/>
          <w:bCs/>
          <w:sz w:val="20"/>
          <w:szCs w:val="20"/>
        </w:rPr>
        <w:t xml:space="preserve">. This includes </w:t>
      </w:r>
      <w:r w:rsidR="00664901" w:rsidRPr="00335764">
        <w:rPr>
          <w:rFonts w:cs="Arial"/>
          <w:bCs/>
          <w:sz w:val="20"/>
          <w:szCs w:val="20"/>
        </w:rPr>
        <w:t>the capacitation of the Investigating Directorate</w:t>
      </w:r>
      <w:r w:rsidRPr="00335764">
        <w:rPr>
          <w:rFonts w:cs="Arial"/>
          <w:bCs/>
          <w:sz w:val="20"/>
          <w:szCs w:val="20"/>
        </w:rPr>
        <w:t>.</w:t>
      </w:r>
    </w:p>
    <w:p w:rsidR="00DD061E" w:rsidRPr="00335764" w:rsidRDefault="00DD061E" w:rsidP="00335764">
      <w:pPr>
        <w:pStyle w:val="ListParagraph"/>
        <w:spacing w:line="240" w:lineRule="auto"/>
        <w:ind w:left="375"/>
        <w:jc w:val="left"/>
        <w:rPr>
          <w:rFonts w:cs="Arial"/>
          <w:bCs/>
          <w:sz w:val="20"/>
          <w:szCs w:val="20"/>
        </w:rPr>
      </w:pPr>
    </w:p>
    <w:p w:rsidR="00714507" w:rsidRPr="00335764" w:rsidRDefault="00714507" w:rsidP="00335764">
      <w:pPr>
        <w:pStyle w:val="ListParagraph"/>
        <w:spacing w:line="240" w:lineRule="auto"/>
        <w:ind w:left="375"/>
        <w:jc w:val="left"/>
        <w:rPr>
          <w:rFonts w:cs="Arial"/>
          <w:bCs/>
          <w:sz w:val="20"/>
          <w:szCs w:val="20"/>
        </w:rPr>
      </w:pPr>
    </w:p>
    <w:p w:rsidR="00FF7D47" w:rsidRPr="00335764" w:rsidRDefault="00FF7D47" w:rsidP="00335764">
      <w:pPr>
        <w:numPr>
          <w:ilvl w:val="0"/>
          <w:numId w:val="1"/>
        </w:numPr>
        <w:tabs>
          <w:tab w:val="clear" w:pos="375"/>
        </w:tabs>
        <w:spacing w:line="240" w:lineRule="auto"/>
        <w:ind w:left="851" w:hanging="851"/>
        <w:jc w:val="left"/>
        <w:rPr>
          <w:rFonts w:cs="Arial"/>
          <w:b/>
          <w:sz w:val="20"/>
          <w:szCs w:val="20"/>
        </w:rPr>
      </w:pPr>
      <w:r w:rsidRPr="00335764">
        <w:rPr>
          <w:rFonts w:cs="Arial"/>
          <w:b/>
          <w:sz w:val="20"/>
          <w:szCs w:val="20"/>
        </w:rPr>
        <w:t>Programme 5: Auxiliary and Associated Services</w:t>
      </w:r>
    </w:p>
    <w:p w:rsidR="00FF7D47" w:rsidRPr="00335764" w:rsidRDefault="00FF7D47" w:rsidP="00335764">
      <w:pPr>
        <w:autoSpaceDE w:val="0"/>
        <w:autoSpaceDN w:val="0"/>
        <w:adjustRightInd w:val="0"/>
        <w:spacing w:line="240" w:lineRule="auto"/>
        <w:ind w:left="720"/>
        <w:jc w:val="left"/>
        <w:rPr>
          <w:rFonts w:cs="Arial"/>
          <w:b/>
          <w:sz w:val="20"/>
          <w:szCs w:val="20"/>
        </w:rPr>
      </w:pPr>
    </w:p>
    <w:p w:rsidR="00FF7D47" w:rsidRPr="00335764" w:rsidRDefault="00FF7D47" w:rsidP="00335764">
      <w:pPr>
        <w:pStyle w:val="ListParagraph"/>
        <w:numPr>
          <w:ilvl w:val="1"/>
          <w:numId w:val="1"/>
        </w:numPr>
        <w:spacing w:line="240" w:lineRule="auto"/>
        <w:ind w:left="851" w:hanging="851"/>
        <w:jc w:val="left"/>
        <w:rPr>
          <w:rFonts w:cs="Arial"/>
          <w:bCs/>
          <w:sz w:val="20"/>
          <w:szCs w:val="20"/>
          <w:lang w:val="en-ZA"/>
        </w:rPr>
      </w:pPr>
      <w:r w:rsidRPr="00335764">
        <w:rPr>
          <w:rFonts w:cs="Arial"/>
          <w:bCs/>
          <w:sz w:val="20"/>
          <w:szCs w:val="20"/>
          <w:lang w:val="en-ZA"/>
        </w:rPr>
        <w:t>The programme provides a variety of auxiliary services associated with the Department’s aim</w:t>
      </w:r>
      <w:r w:rsidR="00247EC4" w:rsidRPr="00335764">
        <w:rPr>
          <w:rFonts w:cs="Arial"/>
          <w:bCs/>
          <w:sz w:val="20"/>
          <w:szCs w:val="20"/>
          <w:lang w:val="en-ZA"/>
        </w:rPr>
        <w:t>s</w:t>
      </w:r>
      <w:r w:rsidRPr="00335764">
        <w:rPr>
          <w:rFonts w:cs="Arial"/>
          <w:bCs/>
          <w:sz w:val="20"/>
          <w:szCs w:val="20"/>
          <w:lang w:val="en-ZA"/>
        </w:rPr>
        <w:t xml:space="preserve"> </w:t>
      </w:r>
      <w:r w:rsidR="00703E27" w:rsidRPr="00335764">
        <w:rPr>
          <w:rFonts w:cs="Arial"/>
          <w:bCs/>
          <w:sz w:val="20"/>
          <w:szCs w:val="20"/>
          <w:lang w:val="en-ZA"/>
        </w:rPr>
        <w:t>and</w:t>
      </w:r>
      <w:r w:rsidR="00461FB2" w:rsidRPr="00335764">
        <w:rPr>
          <w:rFonts w:cs="Arial"/>
          <w:bCs/>
          <w:sz w:val="20"/>
          <w:szCs w:val="20"/>
          <w:lang w:val="en-ZA"/>
        </w:rPr>
        <w:t xml:space="preserve"> </w:t>
      </w:r>
      <w:r w:rsidRPr="00335764">
        <w:rPr>
          <w:rFonts w:cs="Arial"/>
          <w:bCs/>
          <w:sz w:val="20"/>
          <w:szCs w:val="20"/>
          <w:lang w:val="en-ZA"/>
        </w:rPr>
        <w:t>funds transfer payment to the South Africa Human Rights Commission, the Public Protector</w:t>
      </w:r>
      <w:r w:rsidR="00461FB2" w:rsidRPr="00335764">
        <w:rPr>
          <w:rFonts w:cs="Arial"/>
          <w:bCs/>
          <w:sz w:val="20"/>
          <w:szCs w:val="20"/>
          <w:lang w:val="en-ZA"/>
        </w:rPr>
        <w:t xml:space="preserve"> SA</w:t>
      </w:r>
      <w:r w:rsidRPr="00335764">
        <w:rPr>
          <w:rFonts w:cs="Arial"/>
          <w:bCs/>
          <w:sz w:val="20"/>
          <w:szCs w:val="20"/>
          <w:lang w:val="en-ZA"/>
        </w:rPr>
        <w:t xml:space="preserve">, Legal Aid South Africa, the Special Investigation </w:t>
      </w:r>
      <w:r w:rsidR="00261D2C" w:rsidRPr="00335764">
        <w:rPr>
          <w:rFonts w:cs="Arial"/>
          <w:bCs/>
          <w:sz w:val="20"/>
          <w:szCs w:val="20"/>
          <w:lang w:val="en-ZA"/>
        </w:rPr>
        <w:t>Unit,</w:t>
      </w:r>
      <w:r w:rsidR="00BA1246" w:rsidRPr="00335764">
        <w:rPr>
          <w:rFonts w:cs="Arial"/>
          <w:bCs/>
          <w:sz w:val="20"/>
          <w:szCs w:val="20"/>
          <w:lang w:val="en-ZA"/>
        </w:rPr>
        <w:t xml:space="preserve"> and the Information Regulator</w:t>
      </w:r>
      <w:r w:rsidRPr="00335764">
        <w:rPr>
          <w:rFonts w:cs="Arial"/>
          <w:bCs/>
          <w:sz w:val="20"/>
          <w:szCs w:val="20"/>
          <w:lang w:val="en-ZA"/>
        </w:rPr>
        <w:t xml:space="preserve">. </w:t>
      </w:r>
    </w:p>
    <w:p w:rsidR="00FF7D47" w:rsidRPr="00335764" w:rsidRDefault="00FF7D47" w:rsidP="00335764">
      <w:pPr>
        <w:spacing w:line="240" w:lineRule="auto"/>
        <w:ind w:left="720"/>
        <w:jc w:val="left"/>
        <w:rPr>
          <w:rFonts w:cs="Arial"/>
          <w:bCs/>
          <w:sz w:val="20"/>
          <w:szCs w:val="20"/>
          <w:lang w:val="en-ZA"/>
        </w:rPr>
      </w:pPr>
    </w:p>
    <w:p w:rsidR="00BA1246" w:rsidRPr="00335764" w:rsidRDefault="00425BFF" w:rsidP="00335764">
      <w:pPr>
        <w:pStyle w:val="ListParagraph"/>
        <w:numPr>
          <w:ilvl w:val="1"/>
          <w:numId w:val="1"/>
        </w:numPr>
        <w:spacing w:line="240" w:lineRule="auto"/>
        <w:ind w:left="851" w:hanging="851"/>
        <w:jc w:val="left"/>
        <w:rPr>
          <w:rFonts w:cs="Arial"/>
          <w:sz w:val="20"/>
          <w:szCs w:val="20"/>
        </w:rPr>
      </w:pPr>
      <w:r w:rsidRPr="00335764">
        <w:rPr>
          <w:rFonts w:cs="Arial"/>
          <w:sz w:val="20"/>
          <w:szCs w:val="20"/>
        </w:rPr>
        <w:t xml:space="preserve">The spending focus of this programme is </w:t>
      </w:r>
      <w:r w:rsidR="00461FB2" w:rsidRPr="00335764">
        <w:rPr>
          <w:rFonts w:cs="Arial"/>
          <w:sz w:val="20"/>
          <w:szCs w:val="20"/>
        </w:rPr>
        <w:t xml:space="preserve">the modernisation of the justice system and </w:t>
      </w:r>
      <w:r w:rsidRPr="00335764">
        <w:rPr>
          <w:rFonts w:cs="Arial"/>
          <w:sz w:val="20"/>
          <w:szCs w:val="20"/>
        </w:rPr>
        <w:t>transfers to public entities</w:t>
      </w:r>
      <w:r w:rsidR="00461FB2" w:rsidRPr="00335764">
        <w:rPr>
          <w:rFonts w:cs="Arial"/>
          <w:sz w:val="20"/>
          <w:szCs w:val="20"/>
        </w:rPr>
        <w:t xml:space="preserve"> and </w:t>
      </w:r>
      <w:r w:rsidRPr="00335764">
        <w:rPr>
          <w:rFonts w:cs="Arial"/>
          <w:sz w:val="20"/>
          <w:szCs w:val="20"/>
        </w:rPr>
        <w:t xml:space="preserve">constitutional </w:t>
      </w:r>
      <w:r w:rsidR="00EF5664" w:rsidRPr="00335764">
        <w:rPr>
          <w:rFonts w:cs="Arial"/>
          <w:sz w:val="20"/>
          <w:szCs w:val="20"/>
        </w:rPr>
        <w:t xml:space="preserve">and statutory independent </w:t>
      </w:r>
      <w:r w:rsidRPr="00335764">
        <w:rPr>
          <w:rFonts w:cs="Arial"/>
          <w:sz w:val="20"/>
          <w:szCs w:val="20"/>
        </w:rPr>
        <w:t xml:space="preserve">institutions. </w:t>
      </w:r>
    </w:p>
    <w:p w:rsidR="00BA1246" w:rsidRPr="00335764" w:rsidRDefault="00BA1246" w:rsidP="00335764">
      <w:pPr>
        <w:pStyle w:val="ListParagraph"/>
        <w:spacing w:line="240" w:lineRule="auto"/>
        <w:jc w:val="left"/>
        <w:rPr>
          <w:rFonts w:cs="Arial"/>
          <w:sz w:val="20"/>
          <w:szCs w:val="20"/>
        </w:rPr>
      </w:pPr>
    </w:p>
    <w:p w:rsidR="00DC21A2" w:rsidRPr="00335764" w:rsidRDefault="00425BFF" w:rsidP="00335764">
      <w:pPr>
        <w:pStyle w:val="ListParagraph"/>
        <w:numPr>
          <w:ilvl w:val="1"/>
          <w:numId w:val="1"/>
        </w:numPr>
        <w:spacing w:line="240" w:lineRule="auto"/>
        <w:ind w:left="851" w:hanging="851"/>
        <w:jc w:val="left"/>
        <w:rPr>
          <w:rFonts w:cs="Arial"/>
          <w:b/>
          <w:sz w:val="20"/>
          <w:szCs w:val="20"/>
          <w:shd w:val="clear" w:color="auto" w:fill="FFFFFF"/>
        </w:rPr>
      </w:pPr>
      <w:r w:rsidRPr="00335764">
        <w:rPr>
          <w:rFonts w:cs="Arial"/>
          <w:b/>
          <w:bCs/>
          <w:sz w:val="20"/>
          <w:szCs w:val="20"/>
          <w:lang w:val="en-ZA"/>
        </w:rPr>
        <w:t xml:space="preserve">Justice Modernisation </w:t>
      </w:r>
    </w:p>
    <w:p w:rsidR="00DC21A2" w:rsidRPr="00335764" w:rsidRDefault="00DC21A2" w:rsidP="00335764">
      <w:pPr>
        <w:spacing w:line="240" w:lineRule="auto"/>
        <w:jc w:val="left"/>
        <w:rPr>
          <w:rFonts w:cs="Arial"/>
          <w:bCs/>
          <w:sz w:val="20"/>
          <w:szCs w:val="20"/>
          <w:lang w:val="en-ZA"/>
        </w:rPr>
      </w:pPr>
    </w:p>
    <w:p w:rsidR="00425BFF" w:rsidRPr="00335764" w:rsidRDefault="00DC21A2" w:rsidP="00335764">
      <w:pPr>
        <w:pStyle w:val="ListParagraph"/>
        <w:numPr>
          <w:ilvl w:val="2"/>
          <w:numId w:val="1"/>
        </w:numPr>
        <w:spacing w:line="240" w:lineRule="auto"/>
        <w:ind w:hanging="862"/>
        <w:jc w:val="left"/>
        <w:rPr>
          <w:rFonts w:cs="Arial"/>
          <w:sz w:val="20"/>
          <w:szCs w:val="20"/>
          <w:shd w:val="clear" w:color="auto" w:fill="FFFFFF"/>
        </w:rPr>
      </w:pPr>
      <w:r w:rsidRPr="00335764">
        <w:rPr>
          <w:rFonts w:cs="Arial"/>
          <w:bCs/>
          <w:sz w:val="20"/>
          <w:szCs w:val="20"/>
          <w:lang w:val="en-ZA"/>
        </w:rPr>
        <w:t xml:space="preserve">The Justice Modernisation </w:t>
      </w:r>
      <w:r w:rsidR="00425BFF" w:rsidRPr="00335764">
        <w:rPr>
          <w:rFonts w:cs="Arial"/>
          <w:bCs/>
          <w:sz w:val="20"/>
          <w:szCs w:val="20"/>
          <w:lang w:val="en-ZA"/>
        </w:rPr>
        <w:t>sub-programme contains funds for the modernisation of IT systems and for the Integrated Justice System (IJS) project on behalf of Justice Crime Prevention and Security (JCPS) Cluster departments and entities</w:t>
      </w:r>
      <w:r w:rsidR="00425BFF" w:rsidRPr="00335764">
        <w:rPr>
          <w:rFonts w:cs="Arial"/>
          <w:sz w:val="20"/>
          <w:szCs w:val="20"/>
          <w:lang w:val="en-ZA"/>
        </w:rPr>
        <w:t xml:space="preserve">. </w:t>
      </w:r>
    </w:p>
    <w:p w:rsidR="00690A22" w:rsidRPr="00335764" w:rsidRDefault="00690A22" w:rsidP="00335764">
      <w:pPr>
        <w:spacing w:line="240" w:lineRule="auto"/>
        <w:ind w:left="862"/>
        <w:jc w:val="left"/>
        <w:rPr>
          <w:rFonts w:cs="Arial"/>
          <w:sz w:val="20"/>
          <w:szCs w:val="20"/>
          <w:shd w:val="clear" w:color="auto" w:fill="FFFFFF"/>
        </w:rPr>
      </w:pPr>
    </w:p>
    <w:p w:rsidR="00D50139" w:rsidRPr="00335764" w:rsidRDefault="00C1092F" w:rsidP="00335764">
      <w:pPr>
        <w:pStyle w:val="ListParagraph"/>
        <w:numPr>
          <w:ilvl w:val="2"/>
          <w:numId w:val="1"/>
        </w:numPr>
        <w:spacing w:line="240" w:lineRule="auto"/>
        <w:ind w:hanging="862"/>
        <w:jc w:val="left"/>
        <w:rPr>
          <w:rFonts w:cs="Arial"/>
          <w:bCs/>
          <w:sz w:val="20"/>
          <w:szCs w:val="20"/>
          <w:lang w:val="en-ZA"/>
        </w:rPr>
      </w:pPr>
      <w:r w:rsidRPr="00335764">
        <w:rPr>
          <w:rFonts w:cs="Arial"/>
          <w:bCs/>
          <w:sz w:val="20"/>
          <w:szCs w:val="20"/>
          <w:lang w:val="en-ZA"/>
        </w:rPr>
        <w:t>Justice Modernisation has identified the following outcome: ‘Modernised and digitised justice services platforms’</w:t>
      </w:r>
      <w:r w:rsidR="00D17093" w:rsidRPr="00335764">
        <w:rPr>
          <w:rFonts w:cs="Arial"/>
          <w:bCs/>
          <w:sz w:val="20"/>
          <w:szCs w:val="20"/>
          <w:lang w:val="en-ZA"/>
        </w:rPr>
        <w:t xml:space="preserve"> with the following </w:t>
      </w:r>
      <w:r w:rsidR="00D50139" w:rsidRPr="00335764">
        <w:rPr>
          <w:rFonts w:cs="Arial"/>
          <w:bCs/>
          <w:sz w:val="20"/>
          <w:szCs w:val="20"/>
          <w:lang w:val="en-ZA"/>
        </w:rPr>
        <w:t>related output indicators and targets:</w:t>
      </w:r>
    </w:p>
    <w:p w:rsidR="00D50139" w:rsidRPr="00335764" w:rsidRDefault="00D50139" w:rsidP="00335764">
      <w:pPr>
        <w:pStyle w:val="ListParagraph"/>
        <w:spacing w:line="240" w:lineRule="auto"/>
        <w:ind w:left="862"/>
        <w:jc w:val="left"/>
        <w:rPr>
          <w:rFonts w:cs="Arial"/>
          <w:bCs/>
          <w:sz w:val="20"/>
          <w:szCs w:val="20"/>
          <w:lang w:val="en-ZA"/>
        </w:rPr>
      </w:pPr>
    </w:p>
    <w:tbl>
      <w:tblPr>
        <w:tblStyle w:val="TableGrid"/>
        <w:tblW w:w="5000" w:type="pct"/>
        <w:tblLook w:val="04A0"/>
      </w:tblPr>
      <w:tblGrid>
        <w:gridCol w:w="3375"/>
        <w:gridCol w:w="2282"/>
        <w:gridCol w:w="1306"/>
        <w:gridCol w:w="1307"/>
        <w:gridCol w:w="1358"/>
      </w:tblGrid>
      <w:tr w:rsidR="00D50139" w:rsidRPr="00335764" w:rsidTr="00D17093">
        <w:tc>
          <w:tcPr>
            <w:tcW w:w="1753" w:type="pct"/>
            <w:vMerge w:val="restart"/>
            <w:shd w:val="clear" w:color="auto" w:fill="D9D9D9" w:themeFill="background1" w:themeFillShade="D9"/>
          </w:tcPr>
          <w:p w:rsidR="00D50139" w:rsidRPr="00335764" w:rsidRDefault="00D50139" w:rsidP="00335764">
            <w:pPr>
              <w:pStyle w:val="ListParagraph"/>
              <w:spacing w:line="240" w:lineRule="auto"/>
              <w:ind w:left="0"/>
              <w:jc w:val="left"/>
              <w:rPr>
                <w:rFonts w:cs="Arial"/>
                <w:b/>
                <w:bCs/>
                <w:caps/>
                <w:sz w:val="20"/>
                <w:szCs w:val="20"/>
                <w:lang w:val="en-ZA"/>
              </w:rPr>
            </w:pPr>
            <w:r w:rsidRPr="00335764">
              <w:rPr>
                <w:rFonts w:cs="Arial"/>
                <w:b/>
                <w:bCs/>
                <w:caps/>
                <w:sz w:val="20"/>
                <w:szCs w:val="20"/>
                <w:lang w:val="en-ZA"/>
              </w:rPr>
              <w:t>Output</w:t>
            </w:r>
            <w:r w:rsidR="00D17093" w:rsidRPr="00335764">
              <w:rPr>
                <w:rFonts w:cs="Arial"/>
                <w:b/>
                <w:bCs/>
                <w:caps/>
                <w:sz w:val="20"/>
                <w:szCs w:val="20"/>
                <w:lang w:val="en-ZA"/>
              </w:rPr>
              <w:t xml:space="preserve"> </w:t>
            </w:r>
            <w:r w:rsidRPr="00335764">
              <w:rPr>
                <w:rFonts w:cs="Arial"/>
                <w:b/>
                <w:bCs/>
                <w:caps/>
                <w:sz w:val="20"/>
                <w:szCs w:val="20"/>
                <w:lang w:val="en-ZA"/>
              </w:rPr>
              <w:t>Indicator</w:t>
            </w:r>
          </w:p>
        </w:tc>
        <w:tc>
          <w:tcPr>
            <w:tcW w:w="3247" w:type="pct"/>
            <w:gridSpan w:val="4"/>
            <w:shd w:val="clear" w:color="auto" w:fill="D9D9D9" w:themeFill="background1" w:themeFillShade="D9"/>
          </w:tcPr>
          <w:p w:rsidR="00D50139" w:rsidRPr="00335764" w:rsidRDefault="00D50139" w:rsidP="00335764">
            <w:pPr>
              <w:pStyle w:val="ListParagraph"/>
              <w:spacing w:line="240" w:lineRule="auto"/>
              <w:ind w:left="0"/>
              <w:jc w:val="left"/>
              <w:rPr>
                <w:rFonts w:cs="Arial"/>
                <w:b/>
                <w:bCs/>
                <w:caps/>
                <w:sz w:val="20"/>
                <w:szCs w:val="20"/>
                <w:lang w:val="en-ZA"/>
              </w:rPr>
            </w:pPr>
            <w:r w:rsidRPr="00335764">
              <w:rPr>
                <w:rFonts w:cs="Arial"/>
                <w:b/>
                <w:bCs/>
                <w:caps/>
                <w:sz w:val="20"/>
                <w:szCs w:val="20"/>
                <w:lang w:val="en-ZA"/>
              </w:rPr>
              <w:t>Target</w:t>
            </w:r>
          </w:p>
        </w:tc>
      </w:tr>
      <w:tr w:rsidR="00D17093" w:rsidRPr="00335764" w:rsidTr="00D17093">
        <w:tc>
          <w:tcPr>
            <w:tcW w:w="1753" w:type="pct"/>
            <w:vMerge/>
            <w:shd w:val="clear" w:color="auto" w:fill="D9D9D9" w:themeFill="background1" w:themeFillShade="D9"/>
          </w:tcPr>
          <w:p w:rsidR="00D50139" w:rsidRPr="00335764" w:rsidRDefault="00D50139" w:rsidP="00335764">
            <w:pPr>
              <w:pStyle w:val="ListParagraph"/>
              <w:spacing w:line="240" w:lineRule="auto"/>
              <w:ind w:left="0"/>
              <w:jc w:val="left"/>
              <w:rPr>
                <w:rFonts w:cs="Arial"/>
                <w:b/>
                <w:bCs/>
                <w:caps/>
                <w:sz w:val="20"/>
                <w:szCs w:val="20"/>
                <w:lang w:val="en-ZA"/>
              </w:rPr>
            </w:pPr>
          </w:p>
        </w:tc>
        <w:tc>
          <w:tcPr>
            <w:tcW w:w="1185" w:type="pct"/>
            <w:shd w:val="clear" w:color="auto" w:fill="D9D9D9" w:themeFill="background1" w:themeFillShade="D9"/>
          </w:tcPr>
          <w:p w:rsidR="00D50139" w:rsidRPr="00335764" w:rsidRDefault="00D17093" w:rsidP="00335764">
            <w:pPr>
              <w:pStyle w:val="ListParagraph"/>
              <w:spacing w:line="240" w:lineRule="auto"/>
              <w:ind w:left="0"/>
              <w:jc w:val="left"/>
              <w:rPr>
                <w:rFonts w:cs="Arial"/>
                <w:b/>
                <w:bCs/>
                <w:caps/>
                <w:sz w:val="20"/>
                <w:szCs w:val="20"/>
                <w:lang w:val="en-ZA"/>
              </w:rPr>
            </w:pPr>
            <w:r w:rsidRPr="00335764">
              <w:rPr>
                <w:rFonts w:cs="Arial"/>
                <w:b/>
                <w:bCs/>
                <w:caps/>
                <w:sz w:val="20"/>
                <w:szCs w:val="20"/>
                <w:lang w:val="en-ZA"/>
              </w:rPr>
              <w:t xml:space="preserve">Est performance </w:t>
            </w:r>
            <w:r w:rsidR="00D50139" w:rsidRPr="00335764">
              <w:rPr>
                <w:rFonts w:cs="Arial"/>
                <w:b/>
                <w:bCs/>
                <w:caps/>
                <w:sz w:val="20"/>
                <w:szCs w:val="20"/>
                <w:lang w:val="en-ZA"/>
              </w:rPr>
              <w:t>2022/23</w:t>
            </w:r>
          </w:p>
        </w:tc>
        <w:tc>
          <w:tcPr>
            <w:tcW w:w="678" w:type="pct"/>
            <w:shd w:val="clear" w:color="auto" w:fill="D9D9D9" w:themeFill="background1" w:themeFillShade="D9"/>
          </w:tcPr>
          <w:p w:rsidR="00D50139" w:rsidRPr="00335764" w:rsidRDefault="00D50139" w:rsidP="00335764">
            <w:pPr>
              <w:pStyle w:val="ListParagraph"/>
              <w:spacing w:line="240" w:lineRule="auto"/>
              <w:ind w:left="0"/>
              <w:jc w:val="left"/>
              <w:rPr>
                <w:rFonts w:cs="Arial"/>
                <w:b/>
                <w:bCs/>
                <w:caps/>
                <w:sz w:val="20"/>
                <w:szCs w:val="20"/>
                <w:lang w:val="en-ZA"/>
              </w:rPr>
            </w:pPr>
            <w:r w:rsidRPr="00335764">
              <w:rPr>
                <w:rFonts w:cs="Arial"/>
                <w:b/>
                <w:bCs/>
                <w:caps/>
                <w:sz w:val="20"/>
                <w:szCs w:val="20"/>
                <w:lang w:val="en-ZA"/>
              </w:rPr>
              <w:t>2023/24</w:t>
            </w:r>
          </w:p>
        </w:tc>
        <w:tc>
          <w:tcPr>
            <w:tcW w:w="679" w:type="pct"/>
            <w:shd w:val="clear" w:color="auto" w:fill="D9D9D9" w:themeFill="background1" w:themeFillShade="D9"/>
          </w:tcPr>
          <w:p w:rsidR="00D50139" w:rsidRPr="00335764" w:rsidRDefault="00D50139" w:rsidP="00335764">
            <w:pPr>
              <w:pStyle w:val="ListParagraph"/>
              <w:spacing w:line="240" w:lineRule="auto"/>
              <w:ind w:left="0"/>
              <w:jc w:val="left"/>
              <w:rPr>
                <w:rFonts w:cs="Arial"/>
                <w:b/>
                <w:bCs/>
                <w:caps/>
                <w:sz w:val="20"/>
                <w:szCs w:val="20"/>
                <w:lang w:val="en-ZA"/>
              </w:rPr>
            </w:pPr>
            <w:r w:rsidRPr="00335764">
              <w:rPr>
                <w:rFonts w:cs="Arial"/>
                <w:b/>
                <w:bCs/>
                <w:caps/>
                <w:sz w:val="20"/>
                <w:szCs w:val="20"/>
                <w:lang w:val="en-ZA"/>
              </w:rPr>
              <w:t>2024/25</w:t>
            </w:r>
          </w:p>
        </w:tc>
        <w:tc>
          <w:tcPr>
            <w:tcW w:w="706" w:type="pct"/>
            <w:shd w:val="clear" w:color="auto" w:fill="D9D9D9" w:themeFill="background1" w:themeFillShade="D9"/>
          </w:tcPr>
          <w:p w:rsidR="00D50139" w:rsidRPr="00335764" w:rsidRDefault="00D50139" w:rsidP="00335764">
            <w:pPr>
              <w:pStyle w:val="ListParagraph"/>
              <w:spacing w:line="240" w:lineRule="auto"/>
              <w:ind w:left="0"/>
              <w:jc w:val="left"/>
              <w:rPr>
                <w:rFonts w:cs="Arial"/>
                <w:b/>
                <w:bCs/>
                <w:caps/>
                <w:sz w:val="20"/>
                <w:szCs w:val="20"/>
                <w:lang w:val="en-ZA"/>
              </w:rPr>
            </w:pPr>
            <w:r w:rsidRPr="00335764">
              <w:rPr>
                <w:rFonts w:cs="Arial"/>
                <w:b/>
                <w:bCs/>
                <w:caps/>
                <w:sz w:val="20"/>
                <w:szCs w:val="20"/>
                <w:lang w:val="en-ZA"/>
              </w:rPr>
              <w:t>2025/26</w:t>
            </w:r>
          </w:p>
        </w:tc>
      </w:tr>
      <w:tr w:rsidR="00D17093" w:rsidRPr="00335764" w:rsidTr="00D17093">
        <w:tc>
          <w:tcPr>
            <w:tcW w:w="1753" w:type="pct"/>
          </w:tcPr>
          <w:p w:rsidR="00D50139" w:rsidRPr="00335764" w:rsidRDefault="00D50139" w:rsidP="00335764">
            <w:pPr>
              <w:pStyle w:val="ListParagraph"/>
              <w:spacing w:line="240" w:lineRule="auto"/>
              <w:ind w:left="0"/>
              <w:jc w:val="left"/>
              <w:rPr>
                <w:rFonts w:cs="Arial"/>
                <w:bCs/>
                <w:sz w:val="20"/>
                <w:szCs w:val="20"/>
                <w:lang w:val="en-ZA"/>
              </w:rPr>
            </w:pPr>
            <w:r w:rsidRPr="00335764">
              <w:rPr>
                <w:rFonts w:cs="Arial"/>
                <w:bCs/>
                <w:sz w:val="20"/>
                <w:szCs w:val="20"/>
                <w:lang w:val="en-ZA"/>
              </w:rPr>
              <w:t>No of KPIs completed on the Integrated Justice System dashboard</w:t>
            </w:r>
          </w:p>
        </w:tc>
        <w:tc>
          <w:tcPr>
            <w:tcW w:w="1185" w:type="pct"/>
          </w:tcPr>
          <w:p w:rsidR="00D50139" w:rsidRPr="00335764" w:rsidRDefault="00D17093" w:rsidP="00335764">
            <w:pPr>
              <w:pStyle w:val="ListParagraph"/>
              <w:spacing w:line="240" w:lineRule="auto"/>
              <w:ind w:left="0"/>
              <w:jc w:val="left"/>
              <w:rPr>
                <w:rFonts w:cs="Arial"/>
                <w:bCs/>
                <w:sz w:val="20"/>
                <w:szCs w:val="20"/>
                <w:lang w:val="en-ZA"/>
              </w:rPr>
            </w:pPr>
            <w:r w:rsidRPr="00335764">
              <w:rPr>
                <w:rFonts w:cs="Arial"/>
                <w:bCs/>
                <w:sz w:val="20"/>
                <w:szCs w:val="20"/>
                <w:lang w:val="en-ZA"/>
              </w:rPr>
              <w:t>1</w:t>
            </w:r>
          </w:p>
        </w:tc>
        <w:tc>
          <w:tcPr>
            <w:tcW w:w="678" w:type="pct"/>
          </w:tcPr>
          <w:p w:rsidR="00D50139" w:rsidRPr="00335764" w:rsidRDefault="00D17093" w:rsidP="00335764">
            <w:pPr>
              <w:pStyle w:val="ListParagraph"/>
              <w:spacing w:line="240" w:lineRule="auto"/>
              <w:ind w:left="0"/>
              <w:jc w:val="left"/>
              <w:rPr>
                <w:rFonts w:cs="Arial"/>
                <w:bCs/>
                <w:sz w:val="20"/>
                <w:szCs w:val="20"/>
                <w:lang w:val="en-ZA"/>
              </w:rPr>
            </w:pPr>
            <w:r w:rsidRPr="00335764">
              <w:rPr>
                <w:rFonts w:cs="Arial"/>
                <w:bCs/>
                <w:sz w:val="20"/>
                <w:szCs w:val="20"/>
                <w:lang w:val="en-ZA"/>
              </w:rPr>
              <w:t>1</w:t>
            </w:r>
          </w:p>
        </w:tc>
        <w:tc>
          <w:tcPr>
            <w:tcW w:w="679" w:type="pct"/>
          </w:tcPr>
          <w:p w:rsidR="00D50139" w:rsidRPr="00335764" w:rsidRDefault="00D17093" w:rsidP="00335764">
            <w:pPr>
              <w:pStyle w:val="ListParagraph"/>
              <w:spacing w:line="240" w:lineRule="auto"/>
              <w:ind w:left="0"/>
              <w:jc w:val="left"/>
              <w:rPr>
                <w:rFonts w:cs="Arial"/>
                <w:bCs/>
                <w:sz w:val="20"/>
                <w:szCs w:val="20"/>
                <w:lang w:val="en-ZA"/>
              </w:rPr>
            </w:pPr>
            <w:r w:rsidRPr="00335764">
              <w:rPr>
                <w:rFonts w:cs="Arial"/>
                <w:bCs/>
                <w:sz w:val="20"/>
                <w:szCs w:val="20"/>
                <w:lang w:val="en-ZA"/>
              </w:rPr>
              <w:t>-</w:t>
            </w:r>
          </w:p>
        </w:tc>
        <w:tc>
          <w:tcPr>
            <w:tcW w:w="706" w:type="pct"/>
          </w:tcPr>
          <w:p w:rsidR="00D50139" w:rsidRPr="00335764" w:rsidRDefault="00D17093" w:rsidP="00335764">
            <w:pPr>
              <w:pStyle w:val="ListParagraph"/>
              <w:spacing w:line="240" w:lineRule="auto"/>
              <w:ind w:left="0"/>
              <w:jc w:val="left"/>
              <w:rPr>
                <w:rFonts w:cs="Arial"/>
                <w:bCs/>
                <w:sz w:val="20"/>
                <w:szCs w:val="20"/>
                <w:lang w:val="en-ZA"/>
              </w:rPr>
            </w:pPr>
            <w:r w:rsidRPr="00335764">
              <w:rPr>
                <w:rFonts w:cs="Arial"/>
                <w:bCs/>
                <w:sz w:val="20"/>
                <w:szCs w:val="20"/>
                <w:lang w:val="en-ZA"/>
              </w:rPr>
              <w:t>-</w:t>
            </w:r>
          </w:p>
        </w:tc>
      </w:tr>
      <w:tr w:rsidR="00D17093" w:rsidRPr="00335764" w:rsidTr="00D17093">
        <w:tc>
          <w:tcPr>
            <w:tcW w:w="1753" w:type="pct"/>
          </w:tcPr>
          <w:p w:rsidR="00D17093" w:rsidRPr="00335764" w:rsidRDefault="00D17093" w:rsidP="00335764">
            <w:pPr>
              <w:pStyle w:val="ListParagraph"/>
              <w:spacing w:line="240" w:lineRule="auto"/>
              <w:ind w:left="0"/>
              <w:jc w:val="left"/>
              <w:rPr>
                <w:rFonts w:cs="Arial"/>
                <w:bCs/>
                <w:sz w:val="20"/>
                <w:szCs w:val="20"/>
                <w:lang w:val="en-ZA"/>
              </w:rPr>
            </w:pPr>
            <w:r w:rsidRPr="00335764">
              <w:rPr>
                <w:rFonts w:cs="Arial"/>
                <w:bCs/>
                <w:sz w:val="20"/>
                <w:szCs w:val="20"/>
                <w:lang w:val="en-ZA"/>
              </w:rPr>
              <w:t xml:space="preserve">No of IJS </w:t>
            </w:r>
            <w:r w:rsidR="00261D2C" w:rsidRPr="00335764">
              <w:rPr>
                <w:rFonts w:cs="Arial"/>
                <w:bCs/>
                <w:sz w:val="20"/>
                <w:szCs w:val="20"/>
                <w:lang w:val="en-ZA"/>
              </w:rPr>
              <w:t>Governance intervention</w:t>
            </w:r>
            <w:r w:rsidRPr="00335764">
              <w:rPr>
                <w:rFonts w:cs="Arial"/>
                <w:bCs/>
                <w:sz w:val="20"/>
                <w:szCs w:val="20"/>
                <w:lang w:val="en-ZA"/>
              </w:rPr>
              <w:t xml:space="preserve"> sessions held (Output: Effective IJS governance systems)</w:t>
            </w:r>
          </w:p>
        </w:tc>
        <w:tc>
          <w:tcPr>
            <w:tcW w:w="1185" w:type="pct"/>
          </w:tcPr>
          <w:p w:rsidR="00D17093" w:rsidRPr="00335764" w:rsidRDefault="00D17093" w:rsidP="00335764">
            <w:pPr>
              <w:pStyle w:val="ListParagraph"/>
              <w:spacing w:line="240" w:lineRule="auto"/>
              <w:ind w:left="0"/>
              <w:jc w:val="left"/>
              <w:rPr>
                <w:rFonts w:cs="Arial"/>
                <w:bCs/>
                <w:sz w:val="20"/>
                <w:szCs w:val="20"/>
                <w:lang w:val="en-ZA"/>
              </w:rPr>
            </w:pPr>
            <w:r w:rsidRPr="00335764">
              <w:rPr>
                <w:rFonts w:cs="Arial"/>
                <w:bCs/>
                <w:sz w:val="20"/>
                <w:szCs w:val="20"/>
                <w:lang w:val="en-ZA"/>
              </w:rPr>
              <w:t>14</w:t>
            </w:r>
          </w:p>
        </w:tc>
        <w:tc>
          <w:tcPr>
            <w:tcW w:w="678" w:type="pct"/>
          </w:tcPr>
          <w:p w:rsidR="00D17093" w:rsidRPr="00335764" w:rsidRDefault="00D17093" w:rsidP="00335764">
            <w:pPr>
              <w:pStyle w:val="ListParagraph"/>
              <w:spacing w:line="240" w:lineRule="auto"/>
              <w:ind w:left="0"/>
              <w:jc w:val="left"/>
              <w:rPr>
                <w:rFonts w:cs="Arial"/>
                <w:bCs/>
                <w:sz w:val="20"/>
                <w:szCs w:val="20"/>
                <w:lang w:val="en-ZA"/>
              </w:rPr>
            </w:pPr>
            <w:r w:rsidRPr="00335764">
              <w:rPr>
                <w:rFonts w:cs="Arial"/>
                <w:bCs/>
                <w:sz w:val="20"/>
                <w:szCs w:val="20"/>
                <w:lang w:val="en-ZA"/>
              </w:rPr>
              <w:t>14</w:t>
            </w:r>
          </w:p>
        </w:tc>
        <w:tc>
          <w:tcPr>
            <w:tcW w:w="679" w:type="pct"/>
          </w:tcPr>
          <w:p w:rsidR="00D17093" w:rsidRPr="00335764" w:rsidRDefault="00D17093" w:rsidP="00335764">
            <w:pPr>
              <w:pStyle w:val="ListParagraph"/>
              <w:spacing w:line="240" w:lineRule="auto"/>
              <w:ind w:left="0"/>
              <w:jc w:val="left"/>
              <w:rPr>
                <w:rFonts w:cs="Arial"/>
                <w:bCs/>
                <w:sz w:val="20"/>
                <w:szCs w:val="20"/>
                <w:lang w:val="en-ZA"/>
              </w:rPr>
            </w:pPr>
            <w:r w:rsidRPr="00335764">
              <w:rPr>
                <w:rFonts w:cs="Arial"/>
                <w:bCs/>
                <w:sz w:val="20"/>
                <w:szCs w:val="20"/>
                <w:lang w:val="en-ZA"/>
              </w:rPr>
              <w:t>14</w:t>
            </w:r>
          </w:p>
        </w:tc>
        <w:tc>
          <w:tcPr>
            <w:tcW w:w="706" w:type="pct"/>
          </w:tcPr>
          <w:p w:rsidR="00D17093" w:rsidRPr="00335764" w:rsidRDefault="00D17093" w:rsidP="00335764">
            <w:pPr>
              <w:pStyle w:val="ListParagraph"/>
              <w:spacing w:line="240" w:lineRule="auto"/>
              <w:ind w:left="0"/>
              <w:jc w:val="left"/>
              <w:rPr>
                <w:rFonts w:cs="Arial"/>
                <w:bCs/>
                <w:sz w:val="20"/>
                <w:szCs w:val="20"/>
                <w:lang w:val="en-ZA"/>
              </w:rPr>
            </w:pPr>
            <w:r w:rsidRPr="00335764">
              <w:rPr>
                <w:rFonts w:cs="Arial"/>
                <w:bCs/>
                <w:sz w:val="20"/>
                <w:szCs w:val="20"/>
                <w:lang w:val="en-ZA"/>
              </w:rPr>
              <w:t>14</w:t>
            </w:r>
          </w:p>
        </w:tc>
      </w:tr>
      <w:tr w:rsidR="00D17093" w:rsidRPr="00335764" w:rsidTr="00D17093">
        <w:tc>
          <w:tcPr>
            <w:tcW w:w="1753" w:type="pct"/>
          </w:tcPr>
          <w:p w:rsidR="00D17093" w:rsidRPr="00335764" w:rsidRDefault="00D17093" w:rsidP="00335764">
            <w:pPr>
              <w:pStyle w:val="ListParagraph"/>
              <w:spacing w:line="240" w:lineRule="auto"/>
              <w:ind w:left="0"/>
              <w:jc w:val="left"/>
              <w:rPr>
                <w:rFonts w:cs="Arial"/>
                <w:bCs/>
                <w:sz w:val="20"/>
                <w:szCs w:val="20"/>
                <w:lang w:val="en-ZA"/>
              </w:rPr>
            </w:pPr>
            <w:r w:rsidRPr="00335764">
              <w:rPr>
                <w:rFonts w:cs="Arial"/>
                <w:bCs/>
                <w:sz w:val="20"/>
                <w:szCs w:val="20"/>
                <w:lang w:val="en-ZA"/>
              </w:rPr>
              <w:t>No of IJS operational sites assessed for vulnerability to cyberattacks.</w:t>
            </w:r>
          </w:p>
        </w:tc>
        <w:tc>
          <w:tcPr>
            <w:tcW w:w="1185" w:type="pct"/>
          </w:tcPr>
          <w:p w:rsidR="00D17093" w:rsidRPr="00335764" w:rsidRDefault="00D17093" w:rsidP="00335764">
            <w:pPr>
              <w:pStyle w:val="ListParagraph"/>
              <w:spacing w:line="240" w:lineRule="auto"/>
              <w:ind w:left="0"/>
              <w:jc w:val="left"/>
              <w:rPr>
                <w:rFonts w:cs="Arial"/>
                <w:bCs/>
                <w:sz w:val="20"/>
                <w:szCs w:val="20"/>
                <w:lang w:val="en-ZA"/>
              </w:rPr>
            </w:pPr>
            <w:r w:rsidRPr="00335764">
              <w:rPr>
                <w:rFonts w:cs="Arial"/>
                <w:bCs/>
                <w:sz w:val="20"/>
                <w:szCs w:val="20"/>
                <w:lang w:val="en-ZA"/>
              </w:rPr>
              <w:t>-</w:t>
            </w:r>
          </w:p>
        </w:tc>
        <w:tc>
          <w:tcPr>
            <w:tcW w:w="678" w:type="pct"/>
          </w:tcPr>
          <w:p w:rsidR="00D17093" w:rsidRPr="00335764" w:rsidRDefault="00D17093" w:rsidP="00335764">
            <w:pPr>
              <w:pStyle w:val="ListParagraph"/>
              <w:spacing w:line="240" w:lineRule="auto"/>
              <w:ind w:left="0"/>
              <w:jc w:val="left"/>
              <w:rPr>
                <w:rFonts w:cs="Arial"/>
                <w:bCs/>
                <w:sz w:val="20"/>
                <w:szCs w:val="20"/>
                <w:lang w:val="en-ZA"/>
              </w:rPr>
            </w:pPr>
            <w:r w:rsidRPr="00335764">
              <w:rPr>
                <w:rFonts w:cs="Arial"/>
                <w:bCs/>
                <w:sz w:val="20"/>
                <w:szCs w:val="20"/>
                <w:lang w:val="en-ZA"/>
              </w:rPr>
              <w:t>2</w:t>
            </w:r>
          </w:p>
        </w:tc>
        <w:tc>
          <w:tcPr>
            <w:tcW w:w="679" w:type="pct"/>
          </w:tcPr>
          <w:p w:rsidR="00D17093" w:rsidRPr="00335764" w:rsidRDefault="00D17093" w:rsidP="00335764">
            <w:pPr>
              <w:pStyle w:val="ListParagraph"/>
              <w:spacing w:line="240" w:lineRule="auto"/>
              <w:ind w:left="0"/>
              <w:jc w:val="left"/>
              <w:rPr>
                <w:rFonts w:cs="Arial"/>
                <w:bCs/>
                <w:sz w:val="20"/>
                <w:szCs w:val="20"/>
                <w:lang w:val="en-ZA"/>
              </w:rPr>
            </w:pPr>
            <w:r w:rsidRPr="00335764">
              <w:rPr>
                <w:rFonts w:cs="Arial"/>
                <w:bCs/>
                <w:sz w:val="20"/>
                <w:szCs w:val="20"/>
                <w:lang w:val="en-ZA"/>
              </w:rPr>
              <w:t>1</w:t>
            </w:r>
          </w:p>
        </w:tc>
        <w:tc>
          <w:tcPr>
            <w:tcW w:w="706" w:type="pct"/>
          </w:tcPr>
          <w:p w:rsidR="00D17093" w:rsidRPr="00335764" w:rsidRDefault="00D17093" w:rsidP="00335764">
            <w:pPr>
              <w:pStyle w:val="ListParagraph"/>
              <w:spacing w:line="240" w:lineRule="auto"/>
              <w:ind w:left="0"/>
              <w:jc w:val="left"/>
              <w:rPr>
                <w:rFonts w:cs="Arial"/>
                <w:bCs/>
                <w:sz w:val="20"/>
                <w:szCs w:val="20"/>
                <w:lang w:val="en-ZA"/>
              </w:rPr>
            </w:pPr>
            <w:r w:rsidRPr="00335764">
              <w:rPr>
                <w:rFonts w:cs="Arial"/>
                <w:bCs/>
                <w:sz w:val="20"/>
                <w:szCs w:val="20"/>
                <w:lang w:val="en-ZA"/>
              </w:rPr>
              <w:t>-</w:t>
            </w:r>
          </w:p>
        </w:tc>
      </w:tr>
      <w:tr w:rsidR="00D17093" w:rsidRPr="00335764" w:rsidTr="00D17093">
        <w:tc>
          <w:tcPr>
            <w:tcW w:w="1753" w:type="pct"/>
          </w:tcPr>
          <w:p w:rsidR="00D17093" w:rsidRPr="00335764" w:rsidRDefault="00D17093" w:rsidP="00335764">
            <w:pPr>
              <w:pStyle w:val="ListParagraph"/>
              <w:spacing w:line="240" w:lineRule="auto"/>
              <w:ind w:left="0"/>
              <w:jc w:val="left"/>
              <w:rPr>
                <w:rFonts w:cs="Arial"/>
                <w:bCs/>
                <w:sz w:val="20"/>
                <w:szCs w:val="20"/>
                <w:lang w:val="en-ZA"/>
              </w:rPr>
            </w:pPr>
            <w:r w:rsidRPr="00335764">
              <w:rPr>
                <w:rFonts w:cs="Arial"/>
                <w:bCs/>
                <w:sz w:val="20"/>
                <w:szCs w:val="20"/>
                <w:lang w:val="en-ZA"/>
              </w:rPr>
              <w:t>No of police station at which PIVA is deployed (Output: CJS digitised and integrated)</w:t>
            </w:r>
          </w:p>
        </w:tc>
        <w:tc>
          <w:tcPr>
            <w:tcW w:w="1185" w:type="pct"/>
          </w:tcPr>
          <w:p w:rsidR="00D17093" w:rsidRPr="00335764" w:rsidRDefault="00D17093" w:rsidP="00335764">
            <w:pPr>
              <w:pStyle w:val="ListParagraph"/>
              <w:spacing w:line="240" w:lineRule="auto"/>
              <w:ind w:left="0"/>
              <w:jc w:val="left"/>
              <w:rPr>
                <w:rFonts w:cs="Arial"/>
                <w:bCs/>
                <w:sz w:val="20"/>
                <w:szCs w:val="20"/>
                <w:lang w:val="en-ZA"/>
              </w:rPr>
            </w:pPr>
            <w:r w:rsidRPr="00335764">
              <w:rPr>
                <w:rFonts w:cs="Arial"/>
                <w:bCs/>
                <w:sz w:val="20"/>
                <w:szCs w:val="20"/>
                <w:lang w:val="en-ZA"/>
              </w:rPr>
              <w:t>40</w:t>
            </w:r>
          </w:p>
        </w:tc>
        <w:tc>
          <w:tcPr>
            <w:tcW w:w="678" w:type="pct"/>
          </w:tcPr>
          <w:p w:rsidR="00D17093" w:rsidRPr="00335764" w:rsidRDefault="00D17093" w:rsidP="00335764">
            <w:pPr>
              <w:pStyle w:val="ListParagraph"/>
              <w:spacing w:line="240" w:lineRule="auto"/>
              <w:ind w:left="0"/>
              <w:jc w:val="left"/>
              <w:rPr>
                <w:rFonts w:cs="Arial"/>
                <w:bCs/>
                <w:sz w:val="20"/>
                <w:szCs w:val="20"/>
                <w:lang w:val="en-ZA"/>
              </w:rPr>
            </w:pPr>
            <w:r w:rsidRPr="00335764">
              <w:rPr>
                <w:rFonts w:cs="Arial"/>
                <w:bCs/>
                <w:sz w:val="20"/>
                <w:szCs w:val="20"/>
                <w:lang w:val="en-ZA"/>
              </w:rPr>
              <w:t>20</w:t>
            </w:r>
          </w:p>
        </w:tc>
        <w:tc>
          <w:tcPr>
            <w:tcW w:w="679" w:type="pct"/>
          </w:tcPr>
          <w:p w:rsidR="00D17093" w:rsidRPr="00335764" w:rsidRDefault="00D17093" w:rsidP="00335764">
            <w:pPr>
              <w:pStyle w:val="ListParagraph"/>
              <w:spacing w:line="240" w:lineRule="auto"/>
              <w:ind w:left="0"/>
              <w:jc w:val="left"/>
              <w:rPr>
                <w:rFonts w:cs="Arial"/>
                <w:bCs/>
                <w:sz w:val="20"/>
                <w:szCs w:val="20"/>
                <w:lang w:val="en-ZA"/>
              </w:rPr>
            </w:pPr>
            <w:r w:rsidRPr="00335764">
              <w:rPr>
                <w:rFonts w:cs="Arial"/>
                <w:bCs/>
                <w:sz w:val="20"/>
                <w:szCs w:val="20"/>
                <w:lang w:val="en-ZA"/>
              </w:rPr>
              <w:t>-</w:t>
            </w:r>
          </w:p>
        </w:tc>
        <w:tc>
          <w:tcPr>
            <w:tcW w:w="706" w:type="pct"/>
          </w:tcPr>
          <w:p w:rsidR="00D17093" w:rsidRPr="00335764" w:rsidRDefault="00D17093" w:rsidP="00335764">
            <w:pPr>
              <w:pStyle w:val="ListParagraph"/>
              <w:spacing w:line="240" w:lineRule="auto"/>
              <w:ind w:left="0"/>
              <w:jc w:val="left"/>
              <w:rPr>
                <w:rFonts w:cs="Arial"/>
                <w:bCs/>
                <w:sz w:val="20"/>
                <w:szCs w:val="20"/>
                <w:lang w:val="en-ZA"/>
              </w:rPr>
            </w:pPr>
            <w:r w:rsidRPr="00335764">
              <w:rPr>
                <w:rFonts w:cs="Arial"/>
                <w:bCs/>
                <w:sz w:val="20"/>
                <w:szCs w:val="20"/>
                <w:lang w:val="en-ZA"/>
              </w:rPr>
              <w:t>-</w:t>
            </w:r>
          </w:p>
        </w:tc>
      </w:tr>
    </w:tbl>
    <w:p w:rsidR="00D50139" w:rsidRPr="00335764" w:rsidRDefault="00D50139" w:rsidP="00335764">
      <w:pPr>
        <w:pStyle w:val="ListParagraph"/>
        <w:spacing w:line="240" w:lineRule="auto"/>
        <w:ind w:left="862"/>
        <w:jc w:val="left"/>
        <w:rPr>
          <w:rFonts w:cs="Arial"/>
          <w:bCs/>
          <w:sz w:val="20"/>
          <w:szCs w:val="20"/>
          <w:lang w:val="en-ZA"/>
        </w:rPr>
      </w:pPr>
    </w:p>
    <w:p w:rsidR="008B5F6A" w:rsidRPr="00335764" w:rsidRDefault="008B5F6A" w:rsidP="00335764">
      <w:pPr>
        <w:pStyle w:val="ListParagraph"/>
        <w:numPr>
          <w:ilvl w:val="2"/>
          <w:numId w:val="1"/>
        </w:numPr>
        <w:spacing w:line="240" w:lineRule="auto"/>
        <w:ind w:hanging="862"/>
        <w:jc w:val="left"/>
        <w:rPr>
          <w:rFonts w:cs="Arial"/>
          <w:color w:val="auto"/>
          <w:spacing w:val="0"/>
          <w:sz w:val="20"/>
          <w:szCs w:val="20"/>
          <w:lang w:val="en-ZA" w:eastAsia="en-US"/>
        </w:rPr>
      </w:pPr>
      <w:r w:rsidRPr="00335764">
        <w:rPr>
          <w:rFonts w:cs="Arial"/>
          <w:bCs/>
          <w:sz w:val="20"/>
          <w:szCs w:val="20"/>
          <w:lang w:val="en-ZA"/>
        </w:rPr>
        <w:lastRenderedPageBreak/>
        <w:t>Justice Modernisation is allocated R</w:t>
      </w:r>
      <w:r w:rsidR="00D17093" w:rsidRPr="00335764">
        <w:rPr>
          <w:rFonts w:cs="Arial"/>
          <w:bCs/>
          <w:sz w:val="20"/>
          <w:szCs w:val="20"/>
          <w:lang w:val="en-ZA"/>
        </w:rPr>
        <w:t>813.7 million for 20</w:t>
      </w:r>
      <w:r w:rsidR="003C5DE3" w:rsidRPr="00335764">
        <w:rPr>
          <w:rFonts w:cs="Arial"/>
          <w:bCs/>
          <w:sz w:val="20"/>
          <w:szCs w:val="20"/>
          <w:lang w:val="en-ZA"/>
        </w:rPr>
        <w:t>2</w:t>
      </w:r>
      <w:r w:rsidR="00D17093" w:rsidRPr="00335764">
        <w:rPr>
          <w:rFonts w:cs="Arial"/>
          <w:bCs/>
          <w:sz w:val="20"/>
          <w:szCs w:val="20"/>
          <w:lang w:val="en-ZA"/>
        </w:rPr>
        <w:t>3/24, com</w:t>
      </w:r>
      <w:r w:rsidRPr="00335764">
        <w:rPr>
          <w:rFonts w:cs="Arial"/>
          <w:bCs/>
          <w:sz w:val="20"/>
          <w:szCs w:val="20"/>
          <w:lang w:val="en-ZA"/>
        </w:rPr>
        <w:t xml:space="preserve">pared with </w:t>
      </w:r>
      <w:r w:rsidR="008B219B" w:rsidRPr="00335764">
        <w:rPr>
          <w:rFonts w:cs="Arial"/>
          <w:bCs/>
          <w:sz w:val="20"/>
          <w:szCs w:val="20"/>
          <w:lang w:val="en-ZA"/>
        </w:rPr>
        <w:t xml:space="preserve">an adjusted budget of </w:t>
      </w:r>
      <w:r w:rsidRPr="00335764">
        <w:rPr>
          <w:rFonts w:cs="Arial"/>
          <w:bCs/>
          <w:sz w:val="20"/>
          <w:szCs w:val="20"/>
          <w:lang w:val="en-ZA"/>
        </w:rPr>
        <w:t>R</w:t>
      </w:r>
      <w:r w:rsidR="008B219B" w:rsidRPr="00335764">
        <w:rPr>
          <w:rFonts w:cs="Arial"/>
          <w:bCs/>
          <w:sz w:val="20"/>
          <w:szCs w:val="20"/>
          <w:lang w:val="en-ZA"/>
        </w:rPr>
        <w:t>736.2</w:t>
      </w:r>
      <w:r w:rsidRPr="00335764">
        <w:rPr>
          <w:rFonts w:cs="Arial"/>
          <w:bCs/>
          <w:sz w:val="20"/>
          <w:szCs w:val="20"/>
          <w:lang w:val="en-ZA"/>
        </w:rPr>
        <w:t xml:space="preserve"> million in 202</w:t>
      </w:r>
      <w:r w:rsidR="008B219B" w:rsidRPr="00335764">
        <w:rPr>
          <w:rFonts w:cs="Arial"/>
          <w:bCs/>
          <w:sz w:val="20"/>
          <w:szCs w:val="20"/>
          <w:lang w:val="en-ZA"/>
        </w:rPr>
        <w:t>2/23</w:t>
      </w:r>
      <w:r w:rsidRPr="00335764">
        <w:rPr>
          <w:rFonts w:cs="Arial"/>
          <w:bCs/>
          <w:sz w:val="20"/>
          <w:szCs w:val="20"/>
          <w:lang w:val="en-ZA"/>
        </w:rPr>
        <w:t xml:space="preserve">, increasing by </w:t>
      </w:r>
      <w:r w:rsidR="008B219B" w:rsidRPr="00335764">
        <w:rPr>
          <w:rFonts w:cs="Arial"/>
          <w:bCs/>
          <w:sz w:val="20"/>
          <w:szCs w:val="20"/>
          <w:lang w:val="en-ZA"/>
        </w:rPr>
        <w:t xml:space="preserve">5.4% </w:t>
      </w:r>
      <w:r w:rsidRPr="00335764">
        <w:rPr>
          <w:rFonts w:cs="Arial"/>
          <w:bCs/>
          <w:sz w:val="20"/>
          <w:szCs w:val="20"/>
          <w:lang w:val="en-ZA"/>
        </w:rPr>
        <w:t>in real terms</w:t>
      </w:r>
      <w:r w:rsidRPr="00335764">
        <w:rPr>
          <w:rFonts w:cs="Arial"/>
          <w:sz w:val="20"/>
          <w:szCs w:val="20"/>
        </w:rPr>
        <w:t>.</w:t>
      </w:r>
    </w:p>
    <w:p w:rsidR="008B5F6A" w:rsidRPr="00335764" w:rsidRDefault="008B5F6A" w:rsidP="00335764">
      <w:pPr>
        <w:spacing w:line="240" w:lineRule="auto"/>
        <w:ind w:left="862"/>
        <w:jc w:val="left"/>
        <w:rPr>
          <w:rFonts w:cs="Arial"/>
          <w:sz w:val="20"/>
          <w:szCs w:val="20"/>
          <w:shd w:val="clear" w:color="auto" w:fill="FFFFFF"/>
        </w:rPr>
      </w:pPr>
    </w:p>
    <w:p w:rsidR="008B5F6A" w:rsidRPr="00335764" w:rsidRDefault="008B5F6A" w:rsidP="00335764">
      <w:pPr>
        <w:spacing w:line="240" w:lineRule="auto"/>
        <w:jc w:val="left"/>
        <w:rPr>
          <w:rFonts w:cs="Arial"/>
          <w:b/>
          <w:sz w:val="20"/>
          <w:szCs w:val="20"/>
          <w:shd w:val="clear" w:color="auto" w:fill="FFFFFF"/>
        </w:rPr>
      </w:pPr>
      <w:r w:rsidRPr="00335764">
        <w:rPr>
          <w:rFonts w:cs="Arial"/>
          <w:b/>
          <w:sz w:val="20"/>
          <w:szCs w:val="20"/>
          <w:shd w:val="clear" w:color="auto" w:fill="FFFFFF"/>
        </w:rPr>
        <w:t xml:space="preserve">Justice Modernisation: Budget </w:t>
      </w:r>
      <w:r w:rsidR="008B219B" w:rsidRPr="00335764">
        <w:rPr>
          <w:rFonts w:cs="Arial"/>
          <w:b/>
          <w:sz w:val="20"/>
          <w:szCs w:val="20"/>
          <w:shd w:val="clear" w:color="auto" w:fill="FFFFFF"/>
        </w:rPr>
        <w:t xml:space="preserve">2023 MTEF, including </w:t>
      </w:r>
      <w:r w:rsidRPr="00335764">
        <w:rPr>
          <w:rFonts w:cs="Arial"/>
          <w:b/>
          <w:sz w:val="20"/>
          <w:szCs w:val="20"/>
          <w:shd w:val="clear" w:color="auto" w:fill="FFFFFF"/>
        </w:rPr>
        <w:t xml:space="preserve">real </w:t>
      </w:r>
      <w:r w:rsidR="008B219B" w:rsidRPr="00335764">
        <w:rPr>
          <w:rFonts w:cs="Arial"/>
          <w:b/>
          <w:sz w:val="20"/>
          <w:szCs w:val="20"/>
          <w:shd w:val="clear" w:color="auto" w:fill="FFFFFF"/>
        </w:rPr>
        <w:t>% change</w:t>
      </w:r>
    </w:p>
    <w:tbl>
      <w:tblPr>
        <w:tblStyle w:val="GridTable4Accent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8"/>
        <w:gridCol w:w="1718"/>
        <w:gridCol w:w="1550"/>
        <w:gridCol w:w="1240"/>
        <w:gridCol w:w="1071"/>
        <w:gridCol w:w="1371"/>
      </w:tblGrid>
      <w:tr w:rsidR="008B219B" w:rsidRPr="00335764" w:rsidTr="003C5DE3">
        <w:trPr>
          <w:cnfStyle w:val="100000000000"/>
          <w:trHeight w:val="765"/>
          <w:tblHeader/>
          <w:jc w:val="center"/>
        </w:trPr>
        <w:tc>
          <w:tcPr>
            <w:cnfStyle w:val="001000000000"/>
            <w:tcW w:w="139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8B219B" w:rsidRPr="00335764" w:rsidRDefault="008B219B" w:rsidP="00335764">
            <w:pPr>
              <w:spacing w:line="240" w:lineRule="auto"/>
              <w:jc w:val="left"/>
              <w:rPr>
                <w:rFonts w:cs="Arial"/>
                <w:bCs w:val="0"/>
                <w:caps/>
                <w:color w:val="000000" w:themeColor="text1"/>
                <w:sz w:val="20"/>
                <w:szCs w:val="20"/>
              </w:rPr>
            </w:pPr>
            <w:r w:rsidRPr="00335764">
              <w:rPr>
                <w:rFonts w:cs="Arial"/>
                <w:bCs w:val="0"/>
                <w:caps/>
                <w:color w:val="000000" w:themeColor="text1"/>
                <w:sz w:val="20"/>
                <w:szCs w:val="20"/>
              </w:rPr>
              <w:t>Sub-</w:t>
            </w:r>
          </w:p>
          <w:p w:rsidR="008B219B" w:rsidRPr="00335764" w:rsidRDefault="008B219B" w:rsidP="00335764">
            <w:pPr>
              <w:spacing w:line="240" w:lineRule="auto"/>
              <w:jc w:val="left"/>
              <w:rPr>
                <w:rFonts w:cs="Arial"/>
                <w:bCs w:val="0"/>
                <w:caps/>
                <w:color w:val="000000" w:themeColor="text1"/>
                <w:sz w:val="20"/>
                <w:szCs w:val="20"/>
              </w:rPr>
            </w:pPr>
            <w:r w:rsidRPr="00335764">
              <w:rPr>
                <w:rFonts w:cs="Arial"/>
                <w:bCs w:val="0"/>
                <w:caps/>
                <w:color w:val="000000" w:themeColor="text1"/>
                <w:sz w:val="20"/>
                <w:szCs w:val="20"/>
              </w:rPr>
              <w:t>Programme</w:t>
            </w:r>
          </w:p>
        </w:tc>
        <w:tc>
          <w:tcPr>
            <w:tcW w:w="289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5DE3" w:rsidRPr="00335764" w:rsidRDefault="003C5DE3" w:rsidP="00335764">
            <w:pPr>
              <w:spacing w:line="240" w:lineRule="auto"/>
              <w:jc w:val="left"/>
              <w:cnfStyle w:val="100000000000"/>
              <w:rPr>
                <w:rFonts w:cs="Arial"/>
                <w:bCs w:val="0"/>
                <w:color w:val="000000" w:themeColor="text1"/>
                <w:sz w:val="20"/>
                <w:szCs w:val="20"/>
              </w:rPr>
            </w:pPr>
            <w:r w:rsidRPr="00335764">
              <w:rPr>
                <w:rFonts w:cs="Arial"/>
                <w:bCs w:val="0"/>
                <w:color w:val="000000" w:themeColor="text1"/>
                <w:sz w:val="20"/>
                <w:szCs w:val="20"/>
              </w:rPr>
              <w:t>Budget</w:t>
            </w:r>
          </w:p>
          <w:p w:rsidR="008B219B" w:rsidRPr="00335764" w:rsidRDefault="008B219B" w:rsidP="00335764">
            <w:pPr>
              <w:spacing w:line="240" w:lineRule="auto"/>
              <w:jc w:val="left"/>
              <w:cnfStyle w:val="100000000000"/>
              <w:rPr>
                <w:rFonts w:cs="Arial"/>
                <w:bCs w:val="0"/>
                <w:caps/>
                <w:color w:val="000000" w:themeColor="text1"/>
                <w:sz w:val="20"/>
                <w:szCs w:val="20"/>
              </w:rPr>
            </w:pPr>
            <w:r w:rsidRPr="00335764">
              <w:rPr>
                <w:rFonts w:cs="Arial"/>
                <w:bCs w:val="0"/>
                <w:color w:val="000000" w:themeColor="text1"/>
                <w:sz w:val="20"/>
                <w:szCs w:val="20"/>
              </w:rPr>
              <w:t>R’million</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219B" w:rsidRPr="00335764" w:rsidRDefault="008B219B" w:rsidP="00335764">
            <w:pPr>
              <w:spacing w:line="240" w:lineRule="auto"/>
              <w:jc w:val="left"/>
              <w:cnfStyle w:val="100000000000"/>
              <w:rPr>
                <w:rFonts w:cs="Arial"/>
                <w:bCs w:val="0"/>
                <w:caps/>
                <w:color w:val="000000" w:themeColor="text1"/>
                <w:sz w:val="20"/>
                <w:szCs w:val="20"/>
              </w:rPr>
            </w:pPr>
            <w:r w:rsidRPr="00335764">
              <w:rPr>
                <w:rFonts w:cs="Arial"/>
                <w:bCs w:val="0"/>
                <w:caps/>
                <w:color w:val="000000" w:themeColor="text1"/>
                <w:sz w:val="20"/>
                <w:szCs w:val="20"/>
              </w:rPr>
              <w:t>Real %</w:t>
            </w:r>
          </w:p>
          <w:p w:rsidR="008B219B" w:rsidRPr="00335764" w:rsidRDefault="008B219B" w:rsidP="00335764">
            <w:pPr>
              <w:spacing w:line="240" w:lineRule="auto"/>
              <w:jc w:val="left"/>
              <w:cnfStyle w:val="100000000000"/>
              <w:rPr>
                <w:rFonts w:cs="Arial"/>
                <w:bCs w:val="0"/>
                <w:caps/>
                <w:color w:val="000000" w:themeColor="text1"/>
                <w:sz w:val="20"/>
                <w:szCs w:val="20"/>
              </w:rPr>
            </w:pPr>
            <w:r w:rsidRPr="00335764">
              <w:rPr>
                <w:rFonts w:cs="Arial"/>
                <w:bCs w:val="0"/>
                <w:caps/>
                <w:color w:val="000000" w:themeColor="text1"/>
                <w:sz w:val="20"/>
                <w:szCs w:val="20"/>
              </w:rPr>
              <w:t xml:space="preserve">CHange </w:t>
            </w:r>
          </w:p>
        </w:tc>
      </w:tr>
      <w:tr w:rsidR="008B219B" w:rsidRPr="00335764" w:rsidTr="003C5DE3">
        <w:trPr>
          <w:cnfStyle w:val="100000000000"/>
          <w:trHeight w:val="264"/>
          <w:tblHeader/>
          <w:jc w:val="center"/>
        </w:trPr>
        <w:tc>
          <w:tcPr>
            <w:cnfStyle w:val="001000000000"/>
            <w:tcW w:w="139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219B" w:rsidRPr="00335764" w:rsidRDefault="008B219B" w:rsidP="00335764">
            <w:pPr>
              <w:spacing w:line="240" w:lineRule="auto"/>
              <w:jc w:val="left"/>
              <w:rPr>
                <w:rFonts w:cs="Arial"/>
                <w:color w:val="000000" w:themeColor="text1"/>
                <w:sz w:val="20"/>
                <w:szCs w:val="20"/>
                <w:lang w:eastAsia="en-US"/>
              </w:rPr>
            </w:pPr>
          </w:p>
        </w:tc>
        <w:tc>
          <w:tcPr>
            <w:tcW w:w="89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8B219B" w:rsidRPr="00335764" w:rsidRDefault="008B219B" w:rsidP="00335764">
            <w:pPr>
              <w:spacing w:line="240" w:lineRule="auto"/>
              <w:jc w:val="left"/>
              <w:cnfStyle w:val="100000000000"/>
              <w:rPr>
                <w:rFonts w:cs="Arial"/>
                <w:bCs w:val="0"/>
                <w:color w:val="000000" w:themeColor="text1"/>
                <w:sz w:val="20"/>
                <w:szCs w:val="20"/>
              </w:rPr>
            </w:pPr>
            <w:r w:rsidRPr="00335764">
              <w:rPr>
                <w:rFonts w:cs="Arial"/>
                <w:bCs w:val="0"/>
                <w:color w:val="000000" w:themeColor="text1"/>
                <w:sz w:val="20"/>
                <w:szCs w:val="20"/>
              </w:rPr>
              <w:t>2022/23</w:t>
            </w:r>
          </w:p>
          <w:p w:rsidR="008B219B" w:rsidRPr="00335764" w:rsidRDefault="008B219B" w:rsidP="00335764">
            <w:pPr>
              <w:spacing w:line="240" w:lineRule="auto"/>
              <w:jc w:val="left"/>
              <w:cnfStyle w:val="100000000000"/>
              <w:rPr>
                <w:rFonts w:cs="Arial"/>
                <w:bCs w:val="0"/>
                <w:color w:val="000000" w:themeColor="text1"/>
                <w:sz w:val="20"/>
                <w:szCs w:val="20"/>
              </w:rPr>
            </w:pPr>
            <w:r w:rsidRPr="00335764">
              <w:rPr>
                <w:rFonts w:cs="Arial"/>
                <w:bCs w:val="0"/>
                <w:color w:val="000000" w:themeColor="text1"/>
                <w:sz w:val="20"/>
                <w:szCs w:val="20"/>
              </w:rPr>
              <w:t>(Adjusted)</w:t>
            </w:r>
          </w:p>
        </w:tc>
        <w:tc>
          <w:tcPr>
            <w:tcW w:w="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8B219B" w:rsidRPr="00335764" w:rsidRDefault="008B219B" w:rsidP="00335764">
            <w:pPr>
              <w:spacing w:line="240" w:lineRule="auto"/>
              <w:jc w:val="left"/>
              <w:cnfStyle w:val="100000000000"/>
              <w:rPr>
                <w:rFonts w:cs="Arial"/>
                <w:bCs w:val="0"/>
                <w:color w:val="000000" w:themeColor="text1"/>
                <w:sz w:val="20"/>
                <w:szCs w:val="20"/>
              </w:rPr>
            </w:pPr>
            <w:r w:rsidRPr="00335764">
              <w:rPr>
                <w:rFonts w:cs="Arial"/>
                <w:bCs w:val="0"/>
                <w:color w:val="000000" w:themeColor="text1"/>
                <w:sz w:val="20"/>
                <w:szCs w:val="20"/>
              </w:rPr>
              <w:t>2023/24</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19B" w:rsidRPr="00335764" w:rsidRDefault="008B219B" w:rsidP="00335764">
            <w:pPr>
              <w:spacing w:line="240" w:lineRule="auto"/>
              <w:jc w:val="left"/>
              <w:cnfStyle w:val="100000000000"/>
              <w:rPr>
                <w:rFonts w:cs="Arial"/>
                <w:color w:val="000000" w:themeColor="text1"/>
                <w:sz w:val="20"/>
                <w:szCs w:val="20"/>
                <w:lang w:eastAsia="en-US"/>
              </w:rPr>
            </w:pPr>
            <w:r w:rsidRPr="00335764">
              <w:rPr>
                <w:rFonts w:cs="Arial"/>
                <w:color w:val="000000" w:themeColor="text1"/>
                <w:sz w:val="20"/>
                <w:szCs w:val="20"/>
                <w:lang w:eastAsia="en-US"/>
              </w:rPr>
              <w:t>2024/25</w:t>
            </w:r>
          </w:p>
        </w:tc>
        <w:tc>
          <w:tcPr>
            <w:tcW w:w="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19B" w:rsidRPr="00335764" w:rsidRDefault="008B219B" w:rsidP="00335764">
            <w:pPr>
              <w:spacing w:line="240" w:lineRule="auto"/>
              <w:jc w:val="left"/>
              <w:cnfStyle w:val="100000000000"/>
              <w:rPr>
                <w:rFonts w:cs="Arial"/>
                <w:color w:val="000000" w:themeColor="text1"/>
                <w:sz w:val="20"/>
                <w:szCs w:val="20"/>
                <w:lang w:eastAsia="en-US"/>
              </w:rPr>
            </w:pPr>
            <w:r w:rsidRPr="00335764">
              <w:rPr>
                <w:rFonts w:cs="Arial"/>
                <w:color w:val="000000" w:themeColor="text1"/>
                <w:sz w:val="20"/>
                <w:szCs w:val="20"/>
                <w:lang w:eastAsia="en-US"/>
              </w:rPr>
              <w:t>2025/26</w:t>
            </w:r>
          </w:p>
        </w:tc>
        <w:tc>
          <w:tcPr>
            <w:tcW w:w="71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219B" w:rsidRPr="00335764" w:rsidRDefault="008B219B" w:rsidP="00335764">
            <w:pPr>
              <w:spacing w:line="240" w:lineRule="auto"/>
              <w:jc w:val="left"/>
              <w:cnfStyle w:val="100000000000"/>
              <w:rPr>
                <w:rFonts w:cs="Arial"/>
                <w:color w:val="000000" w:themeColor="text1"/>
                <w:sz w:val="20"/>
                <w:szCs w:val="20"/>
                <w:lang w:eastAsia="en-US"/>
              </w:rPr>
            </w:pPr>
          </w:p>
        </w:tc>
      </w:tr>
      <w:tr w:rsidR="008B219B" w:rsidRPr="00335764" w:rsidTr="003C5DE3">
        <w:trPr>
          <w:cnfStyle w:val="000000100000"/>
          <w:trHeight w:val="264"/>
          <w:jc w:val="center"/>
        </w:trPr>
        <w:tc>
          <w:tcPr>
            <w:cnfStyle w:val="001000000000"/>
            <w:tcW w:w="139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B219B" w:rsidRPr="00335764" w:rsidRDefault="003C5DE3" w:rsidP="00335764">
            <w:pPr>
              <w:spacing w:line="240" w:lineRule="auto"/>
              <w:jc w:val="left"/>
              <w:rPr>
                <w:rFonts w:cs="Arial"/>
                <w:color w:val="000000" w:themeColor="text1"/>
                <w:sz w:val="20"/>
                <w:szCs w:val="20"/>
              </w:rPr>
            </w:pPr>
            <w:r w:rsidRPr="00335764">
              <w:rPr>
                <w:rFonts w:cs="Arial"/>
                <w:color w:val="000000" w:themeColor="text1"/>
                <w:sz w:val="20"/>
                <w:szCs w:val="20"/>
              </w:rPr>
              <w:t>Justice Modernisation</w:t>
            </w:r>
          </w:p>
        </w:tc>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B219B" w:rsidRPr="00335764" w:rsidRDefault="008B219B"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736.2</w:t>
            </w: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B219B" w:rsidRPr="00335764" w:rsidRDefault="008B219B"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813.7</w:t>
            </w:r>
          </w:p>
        </w:tc>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tcPr>
          <w:p w:rsidR="008B219B" w:rsidRPr="00335764" w:rsidRDefault="008B219B"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846.2</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tcPr>
          <w:p w:rsidR="008B219B" w:rsidRPr="00335764" w:rsidRDefault="008B219B"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884.1</w:t>
            </w:r>
          </w:p>
        </w:tc>
        <w:tc>
          <w:tcPr>
            <w:tcW w:w="71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B219B" w:rsidRPr="00335764" w:rsidRDefault="008B219B" w:rsidP="00335764">
            <w:pPr>
              <w:spacing w:line="240" w:lineRule="auto"/>
              <w:jc w:val="left"/>
              <w:cnfStyle w:val="000000100000"/>
              <w:rPr>
                <w:rFonts w:cs="Arial"/>
                <w:color w:val="000000" w:themeColor="text1"/>
                <w:sz w:val="20"/>
                <w:szCs w:val="20"/>
              </w:rPr>
            </w:pPr>
            <w:r w:rsidRPr="00335764">
              <w:rPr>
                <w:rFonts w:cs="Arial"/>
                <w:color w:val="000000" w:themeColor="text1"/>
                <w:sz w:val="20"/>
                <w:szCs w:val="20"/>
              </w:rPr>
              <w:t>19.74 %</w:t>
            </w:r>
          </w:p>
        </w:tc>
      </w:tr>
    </w:tbl>
    <w:p w:rsidR="00425BFF" w:rsidRPr="00335764" w:rsidRDefault="00425BFF" w:rsidP="00335764">
      <w:pPr>
        <w:autoSpaceDE w:val="0"/>
        <w:autoSpaceDN w:val="0"/>
        <w:adjustRightInd w:val="0"/>
        <w:spacing w:line="240" w:lineRule="auto"/>
        <w:jc w:val="left"/>
        <w:rPr>
          <w:rFonts w:cs="Arial"/>
          <w:sz w:val="20"/>
          <w:szCs w:val="20"/>
        </w:rPr>
      </w:pPr>
    </w:p>
    <w:p w:rsidR="008B5F6A" w:rsidRPr="00335764" w:rsidRDefault="008B5F6A" w:rsidP="00335764">
      <w:pPr>
        <w:autoSpaceDE w:val="0"/>
        <w:autoSpaceDN w:val="0"/>
        <w:adjustRightInd w:val="0"/>
        <w:spacing w:line="240" w:lineRule="auto"/>
        <w:jc w:val="left"/>
        <w:rPr>
          <w:rFonts w:cs="Arial"/>
          <w:sz w:val="20"/>
          <w:szCs w:val="20"/>
        </w:rPr>
      </w:pPr>
    </w:p>
    <w:p w:rsidR="0025470A" w:rsidRPr="00335764" w:rsidRDefault="0025470A" w:rsidP="00335764">
      <w:pPr>
        <w:numPr>
          <w:ilvl w:val="0"/>
          <w:numId w:val="1"/>
        </w:numPr>
        <w:tabs>
          <w:tab w:val="clear" w:pos="375"/>
        </w:tabs>
        <w:spacing w:line="240" w:lineRule="auto"/>
        <w:ind w:left="851" w:hanging="851"/>
        <w:jc w:val="left"/>
        <w:rPr>
          <w:rFonts w:cs="Arial"/>
          <w:b/>
          <w:color w:val="auto"/>
          <w:sz w:val="20"/>
          <w:szCs w:val="20"/>
        </w:rPr>
      </w:pPr>
      <w:r w:rsidRPr="00335764">
        <w:rPr>
          <w:rFonts w:cs="Arial"/>
          <w:b/>
          <w:color w:val="auto"/>
          <w:sz w:val="20"/>
          <w:szCs w:val="20"/>
        </w:rPr>
        <w:t>Legal Aid South Africa</w:t>
      </w:r>
    </w:p>
    <w:p w:rsidR="0025470A" w:rsidRPr="00335764" w:rsidRDefault="0025470A" w:rsidP="00335764">
      <w:pPr>
        <w:autoSpaceDE w:val="0"/>
        <w:autoSpaceDN w:val="0"/>
        <w:adjustRightInd w:val="0"/>
        <w:spacing w:line="240" w:lineRule="auto"/>
        <w:jc w:val="left"/>
        <w:rPr>
          <w:rFonts w:cs="Arial"/>
          <w:color w:val="auto"/>
          <w:sz w:val="20"/>
          <w:szCs w:val="20"/>
        </w:rPr>
      </w:pPr>
    </w:p>
    <w:p w:rsidR="00BF541A" w:rsidRPr="00335764" w:rsidRDefault="00BF541A" w:rsidP="00335764">
      <w:pPr>
        <w:pStyle w:val="ListParagraph"/>
        <w:numPr>
          <w:ilvl w:val="1"/>
          <w:numId w:val="1"/>
        </w:numPr>
        <w:spacing w:line="240" w:lineRule="auto"/>
        <w:ind w:left="851" w:hanging="851"/>
        <w:jc w:val="left"/>
        <w:rPr>
          <w:rFonts w:cs="Arial"/>
          <w:sz w:val="20"/>
          <w:szCs w:val="20"/>
          <w:lang w:val="en-ZA"/>
        </w:rPr>
      </w:pPr>
      <w:r w:rsidRPr="00335764">
        <w:rPr>
          <w:rFonts w:cs="Arial"/>
          <w:bCs/>
          <w:color w:val="auto"/>
          <w:sz w:val="20"/>
          <w:szCs w:val="20"/>
        </w:rPr>
        <w:t xml:space="preserve">The main objective of Legal Aid SA is to render or make available legal representation to indigent persons at </w:t>
      </w:r>
      <w:r w:rsidR="00B12E36" w:rsidRPr="00335764">
        <w:rPr>
          <w:rFonts w:cs="Arial"/>
          <w:bCs/>
          <w:color w:val="auto"/>
          <w:sz w:val="20"/>
          <w:szCs w:val="20"/>
        </w:rPr>
        <w:t>s</w:t>
      </w:r>
      <w:r w:rsidRPr="00335764">
        <w:rPr>
          <w:rFonts w:cs="Arial"/>
          <w:bCs/>
          <w:color w:val="auto"/>
          <w:sz w:val="20"/>
          <w:szCs w:val="20"/>
        </w:rPr>
        <w:t xml:space="preserve">tate expense as contemplated in the Constitution, ensuring the rights of citizens to access to justice. </w:t>
      </w:r>
    </w:p>
    <w:p w:rsidR="00BF541A" w:rsidRPr="00335764" w:rsidRDefault="00BF541A" w:rsidP="00335764">
      <w:pPr>
        <w:autoSpaceDE w:val="0"/>
        <w:autoSpaceDN w:val="0"/>
        <w:adjustRightInd w:val="0"/>
        <w:spacing w:line="240" w:lineRule="auto"/>
        <w:ind w:left="862"/>
        <w:jc w:val="left"/>
        <w:rPr>
          <w:rFonts w:cs="Arial"/>
          <w:sz w:val="20"/>
          <w:szCs w:val="20"/>
          <w:lang w:val="en-ZA"/>
        </w:rPr>
      </w:pPr>
    </w:p>
    <w:p w:rsidR="000A6CB1" w:rsidRPr="00335764" w:rsidRDefault="000A6CB1" w:rsidP="00335764">
      <w:pPr>
        <w:pStyle w:val="ListParagraph"/>
        <w:numPr>
          <w:ilvl w:val="1"/>
          <w:numId w:val="1"/>
        </w:numPr>
        <w:spacing w:line="240" w:lineRule="auto"/>
        <w:ind w:left="851" w:hanging="851"/>
        <w:jc w:val="left"/>
        <w:rPr>
          <w:rFonts w:cs="Arial"/>
          <w:bCs/>
          <w:sz w:val="20"/>
          <w:szCs w:val="20"/>
          <w:lang w:val="en-ZA"/>
        </w:rPr>
      </w:pPr>
      <w:r w:rsidRPr="00335764">
        <w:rPr>
          <w:rFonts w:cs="Arial"/>
          <w:color w:val="auto"/>
          <w:sz w:val="20"/>
          <w:szCs w:val="20"/>
          <w:lang w:val="en-US"/>
        </w:rPr>
        <w:t xml:space="preserve">Land Rights Management Unit: </w:t>
      </w:r>
      <w:r w:rsidRPr="00335764">
        <w:rPr>
          <w:rFonts w:cs="Arial"/>
          <w:bCs/>
          <w:sz w:val="20"/>
          <w:szCs w:val="20"/>
          <w:lang w:val="en-ZA"/>
        </w:rPr>
        <w:t xml:space="preserve">On 1 January 2022, Legal Aid SA took over the management of the legal component of the Land Rights Management Facility in the </w:t>
      </w:r>
      <w:r w:rsidRPr="00335764">
        <w:rPr>
          <w:rFonts w:cs="Arial"/>
          <w:bCs/>
          <w:sz w:val="20"/>
          <w:szCs w:val="20"/>
          <w:lang w:val="en-US"/>
        </w:rPr>
        <w:t>Department of Agriculture, Land Reform and Rural Development (DALRRD)</w:t>
      </w:r>
      <w:r w:rsidRPr="00335764">
        <w:rPr>
          <w:rFonts w:cs="Arial"/>
          <w:bCs/>
          <w:sz w:val="20"/>
          <w:szCs w:val="20"/>
          <w:lang w:val="en-ZA"/>
        </w:rPr>
        <w:t>. As a result, Legal Aid SA legislative mandate has expanded to include the following legislation:</w:t>
      </w:r>
    </w:p>
    <w:p w:rsidR="000A6CB1" w:rsidRPr="00335764" w:rsidRDefault="000A6CB1" w:rsidP="00335764">
      <w:pPr>
        <w:numPr>
          <w:ilvl w:val="0"/>
          <w:numId w:val="2"/>
        </w:numPr>
        <w:autoSpaceDE w:val="0"/>
        <w:autoSpaceDN w:val="0"/>
        <w:adjustRightInd w:val="0"/>
        <w:spacing w:line="240" w:lineRule="auto"/>
        <w:ind w:hanging="502"/>
        <w:jc w:val="left"/>
        <w:rPr>
          <w:rFonts w:cs="Arial"/>
          <w:sz w:val="20"/>
          <w:szCs w:val="20"/>
          <w:lang/>
        </w:rPr>
      </w:pPr>
      <w:r w:rsidRPr="00335764">
        <w:rPr>
          <w:rFonts w:cs="Arial"/>
          <w:sz w:val="20"/>
          <w:szCs w:val="20"/>
          <w:lang/>
        </w:rPr>
        <w:t>Restitution of Land Rights Act 22 of 1994 .</w:t>
      </w:r>
    </w:p>
    <w:p w:rsidR="000A6CB1" w:rsidRPr="00335764" w:rsidRDefault="000A6CB1" w:rsidP="00335764">
      <w:pPr>
        <w:numPr>
          <w:ilvl w:val="0"/>
          <w:numId w:val="2"/>
        </w:numPr>
        <w:autoSpaceDE w:val="0"/>
        <w:autoSpaceDN w:val="0"/>
        <w:adjustRightInd w:val="0"/>
        <w:spacing w:line="240" w:lineRule="auto"/>
        <w:ind w:hanging="502"/>
        <w:jc w:val="left"/>
        <w:rPr>
          <w:rFonts w:cs="Arial"/>
          <w:sz w:val="20"/>
          <w:szCs w:val="20"/>
          <w:lang/>
        </w:rPr>
      </w:pPr>
      <w:r w:rsidRPr="00335764">
        <w:rPr>
          <w:rFonts w:cs="Arial"/>
          <w:sz w:val="20"/>
          <w:szCs w:val="20"/>
          <w:lang/>
        </w:rPr>
        <w:t>Land Reform (Labour Tenants Act 3 of 1996</w:t>
      </w:r>
      <w:r w:rsidRPr="00335764">
        <w:rPr>
          <w:rFonts w:cs="Arial"/>
          <w:sz w:val="20"/>
          <w:szCs w:val="20"/>
          <w:lang w:val="en-ZA"/>
        </w:rPr>
        <w:t>.</w:t>
      </w:r>
    </w:p>
    <w:p w:rsidR="000A6CB1" w:rsidRPr="00335764" w:rsidRDefault="000A6CB1" w:rsidP="00335764">
      <w:pPr>
        <w:numPr>
          <w:ilvl w:val="0"/>
          <w:numId w:val="2"/>
        </w:numPr>
        <w:autoSpaceDE w:val="0"/>
        <w:autoSpaceDN w:val="0"/>
        <w:adjustRightInd w:val="0"/>
        <w:spacing w:line="240" w:lineRule="auto"/>
        <w:ind w:hanging="502"/>
        <w:jc w:val="left"/>
        <w:rPr>
          <w:rFonts w:cs="Arial"/>
          <w:bCs/>
          <w:sz w:val="20"/>
          <w:szCs w:val="20"/>
          <w:lang w:val="en-ZA"/>
        </w:rPr>
      </w:pPr>
      <w:r w:rsidRPr="00335764">
        <w:rPr>
          <w:rFonts w:cs="Arial"/>
          <w:sz w:val="20"/>
          <w:szCs w:val="20"/>
          <w:lang/>
        </w:rPr>
        <w:t>The Extension</w:t>
      </w:r>
      <w:r w:rsidRPr="00335764">
        <w:rPr>
          <w:rFonts w:cs="Arial"/>
          <w:bCs/>
          <w:sz w:val="20"/>
          <w:szCs w:val="20"/>
          <w:lang w:val="en-ZA"/>
        </w:rPr>
        <w:t xml:space="preserve"> of Security of Tenure Act 62 of 1997.</w:t>
      </w:r>
    </w:p>
    <w:p w:rsidR="000A6CB1" w:rsidRPr="00335764" w:rsidRDefault="000A6CB1" w:rsidP="00335764">
      <w:pPr>
        <w:pStyle w:val="ListParagraph"/>
        <w:spacing w:line="240" w:lineRule="auto"/>
        <w:ind w:left="851"/>
        <w:jc w:val="left"/>
        <w:rPr>
          <w:rFonts w:cs="Arial"/>
          <w:bCs/>
          <w:color w:val="auto"/>
          <w:sz w:val="20"/>
          <w:szCs w:val="20"/>
        </w:rPr>
      </w:pPr>
    </w:p>
    <w:p w:rsidR="00690A22" w:rsidRPr="00335764" w:rsidRDefault="00690A22" w:rsidP="00335764">
      <w:pPr>
        <w:pStyle w:val="ListParagraph"/>
        <w:numPr>
          <w:ilvl w:val="1"/>
          <w:numId w:val="1"/>
        </w:numPr>
        <w:spacing w:line="240" w:lineRule="auto"/>
        <w:ind w:left="851" w:hanging="851"/>
        <w:jc w:val="left"/>
        <w:rPr>
          <w:rFonts w:cs="Arial"/>
          <w:bCs/>
          <w:color w:val="auto"/>
          <w:sz w:val="20"/>
          <w:szCs w:val="20"/>
        </w:rPr>
      </w:pPr>
      <w:r w:rsidRPr="00335764">
        <w:rPr>
          <w:rFonts w:cs="Arial"/>
          <w:bCs/>
          <w:color w:val="auto"/>
          <w:sz w:val="20"/>
          <w:szCs w:val="20"/>
        </w:rPr>
        <w:t xml:space="preserve">The </w:t>
      </w:r>
      <w:r w:rsidR="004D73FB" w:rsidRPr="00335764">
        <w:rPr>
          <w:rFonts w:cs="Arial"/>
          <w:bCs/>
          <w:color w:val="auto"/>
          <w:sz w:val="20"/>
          <w:szCs w:val="20"/>
        </w:rPr>
        <w:t>S</w:t>
      </w:r>
      <w:r w:rsidR="004D73FB" w:rsidRPr="00335764">
        <w:rPr>
          <w:rFonts w:cs="Arial"/>
          <w:sz w:val="20"/>
          <w:szCs w:val="20"/>
          <w:lang w:val="en-ZA"/>
        </w:rPr>
        <w:t>trategic</w:t>
      </w:r>
      <w:r w:rsidRPr="00335764">
        <w:rPr>
          <w:rFonts w:cs="Arial"/>
          <w:sz w:val="20"/>
          <w:szCs w:val="20"/>
          <w:lang w:val="en-ZA"/>
        </w:rPr>
        <w:t xml:space="preserve"> Plan 2020-2025 </w:t>
      </w:r>
      <w:r w:rsidRPr="00335764">
        <w:rPr>
          <w:rFonts w:cs="Arial"/>
          <w:bCs/>
          <w:color w:val="auto"/>
          <w:sz w:val="20"/>
          <w:szCs w:val="20"/>
        </w:rPr>
        <w:t>sets out the policy priorities, programmes and project plans for that period, as well as the related outcomes, outcome indicators and five-year targets</w:t>
      </w:r>
      <w:r w:rsidRPr="00335764">
        <w:rPr>
          <w:rFonts w:cs="Arial"/>
          <w:sz w:val="20"/>
          <w:szCs w:val="20"/>
          <w:lang w:val="en-ZA"/>
        </w:rPr>
        <w:t xml:space="preserve">. </w:t>
      </w:r>
      <w:r w:rsidRPr="00335764">
        <w:rPr>
          <w:rFonts w:cs="Arial"/>
          <w:bCs/>
          <w:color w:val="auto"/>
          <w:sz w:val="20"/>
          <w:szCs w:val="20"/>
        </w:rPr>
        <w:t xml:space="preserve">Legal Aid SA’s plans are aligned with the MTSF priority ‘Social </w:t>
      </w:r>
      <w:r w:rsidR="008540E2" w:rsidRPr="00335764">
        <w:rPr>
          <w:rFonts w:cs="Arial"/>
          <w:bCs/>
          <w:color w:val="auto"/>
          <w:sz w:val="20"/>
          <w:szCs w:val="20"/>
        </w:rPr>
        <w:t>cohesion and safer communities’.</w:t>
      </w:r>
    </w:p>
    <w:p w:rsidR="008A0E30" w:rsidRPr="00335764" w:rsidRDefault="008A0E30" w:rsidP="00335764">
      <w:pPr>
        <w:pStyle w:val="ListParagraph"/>
        <w:spacing w:line="240" w:lineRule="auto"/>
        <w:jc w:val="left"/>
        <w:rPr>
          <w:rFonts w:cs="Arial"/>
          <w:bCs/>
          <w:color w:val="auto"/>
          <w:sz w:val="20"/>
          <w:szCs w:val="20"/>
        </w:rPr>
      </w:pPr>
    </w:p>
    <w:p w:rsidR="004D73FB" w:rsidRPr="00335764" w:rsidRDefault="004D73FB" w:rsidP="00335764">
      <w:pPr>
        <w:pStyle w:val="ListParagraph"/>
        <w:numPr>
          <w:ilvl w:val="1"/>
          <w:numId w:val="1"/>
        </w:numPr>
        <w:spacing w:line="240" w:lineRule="auto"/>
        <w:ind w:left="851" w:hanging="851"/>
        <w:jc w:val="left"/>
        <w:rPr>
          <w:rFonts w:cs="Arial"/>
          <w:sz w:val="20"/>
          <w:szCs w:val="20"/>
          <w:lang w:val="en-ZA"/>
        </w:rPr>
      </w:pPr>
      <w:r w:rsidRPr="00335764">
        <w:rPr>
          <w:rFonts w:cs="Arial"/>
          <w:bCs/>
          <w:color w:val="auto"/>
          <w:sz w:val="20"/>
          <w:szCs w:val="20"/>
        </w:rPr>
        <w:t>The</w:t>
      </w:r>
      <w:r w:rsidRPr="00335764">
        <w:rPr>
          <w:rFonts w:cs="Arial"/>
          <w:sz w:val="20"/>
          <w:szCs w:val="20"/>
          <w:lang w:val="en-ZA"/>
        </w:rPr>
        <w:t xml:space="preserve"> overall strategic shift for the 2020-2025 period that Legal Aid SA is seeking to achieve is ‘Ensure equal access to justice for all to build a just society</w:t>
      </w:r>
      <w:r w:rsidRPr="00335764">
        <w:rPr>
          <w:rFonts w:cs="Arial"/>
          <w:bCs/>
          <w:color w:val="auto"/>
          <w:sz w:val="20"/>
          <w:szCs w:val="20"/>
        </w:rPr>
        <w:t>’.</w:t>
      </w:r>
    </w:p>
    <w:p w:rsidR="004D73FB" w:rsidRPr="00335764" w:rsidRDefault="004D73FB" w:rsidP="00335764">
      <w:pPr>
        <w:pStyle w:val="ListParagraph"/>
        <w:spacing w:line="240" w:lineRule="auto"/>
        <w:ind w:left="851"/>
        <w:jc w:val="left"/>
        <w:rPr>
          <w:rFonts w:cs="Arial"/>
          <w:sz w:val="20"/>
          <w:szCs w:val="20"/>
          <w:lang w:val="en-ZA"/>
        </w:rPr>
      </w:pPr>
    </w:p>
    <w:p w:rsidR="003C1A29" w:rsidRPr="00335764" w:rsidRDefault="00F6132A" w:rsidP="00335764">
      <w:pPr>
        <w:pStyle w:val="ListParagraph"/>
        <w:numPr>
          <w:ilvl w:val="1"/>
          <w:numId w:val="1"/>
        </w:numPr>
        <w:spacing w:line="240" w:lineRule="auto"/>
        <w:ind w:left="851" w:hanging="851"/>
        <w:jc w:val="left"/>
        <w:rPr>
          <w:rFonts w:cs="Arial"/>
          <w:sz w:val="20"/>
          <w:szCs w:val="20"/>
          <w:lang w:val="en-ZA"/>
        </w:rPr>
      </w:pPr>
      <w:r w:rsidRPr="00335764">
        <w:rPr>
          <w:rFonts w:cs="Arial"/>
          <w:bCs/>
          <w:color w:val="auto"/>
          <w:sz w:val="20"/>
          <w:szCs w:val="20"/>
        </w:rPr>
        <w:t>Legal Aid SA’s strategic outcomes for 20</w:t>
      </w:r>
      <w:r w:rsidR="00FC03A9" w:rsidRPr="00335764">
        <w:rPr>
          <w:rFonts w:cs="Arial"/>
          <w:bCs/>
          <w:color w:val="auto"/>
          <w:sz w:val="20"/>
          <w:szCs w:val="20"/>
        </w:rPr>
        <w:t>20-</w:t>
      </w:r>
      <w:r w:rsidR="00B12E36" w:rsidRPr="00335764">
        <w:rPr>
          <w:rFonts w:cs="Arial"/>
          <w:bCs/>
          <w:color w:val="auto"/>
          <w:sz w:val="20"/>
          <w:szCs w:val="20"/>
        </w:rPr>
        <w:t>20</w:t>
      </w:r>
      <w:r w:rsidR="00FC03A9" w:rsidRPr="00335764">
        <w:rPr>
          <w:rFonts w:cs="Arial"/>
          <w:bCs/>
          <w:color w:val="auto"/>
          <w:sz w:val="20"/>
          <w:szCs w:val="20"/>
        </w:rPr>
        <w:t>25</w:t>
      </w:r>
      <w:r w:rsidRPr="00335764">
        <w:rPr>
          <w:rFonts w:cs="Arial"/>
          <w:bCs/>
          <w:color w:val="auto"/>
          <w:sz w:val="20"/>
          <w:szCs w:val="20"/>
        </w:rPr>
        <w:t xml:space="preserve"> are to provide quality justice for all, especially, the poor and vulnerable, and to be a respected, high performance, sustainable and accessible public entity that will have a positive impact on society, the economy and the environment.</w:t>
      </w:r>
    </w:p>
    <w:p w:rsidR="003C1A29" w:rsidRPr="00335764" w:rsidRDefault="003C1A29" w:rsidP="00335764">
      <w:pPr>
        <w:pStyle w:val="ListParagraph"/>
        <w:spacing w:line="240" w:lineRule="auto"/>
        <w:ind w:left="851"/>
        <w:jc w:val="left"/>
        <w:rPr>
          <w:rFonts w:cs="Arial"/>
          <w:sz w:val="20"/>
          <w:szCs w:val="20"/>
          <w:lang w:val="en-ZA"/>
        </w:rPr>
      </w:pPr>
    </w:p>
    <w:p w:rsidR="003C1A29" w:rsidRPr="00335764" w:rsidRDefault="003C1A29" w:rsidP="00335764">
      <w:pPr>
        <w:pStyle w:val="ListParagraph"/>
        <w:numPr>
          <w:ilvl w:val="1"/>
          <w:numId w:val="1"/>
        </w:numPr>
        <w:spacing w:line="240" w:lineRule="auto"/>
        <w:ind w:left="851" w:hanging="851"/>
        <w:jc w:val="left"/>
        <w:rPr>
          <w:rFonts w:cs="Arial"/>
          <w:sz w:val="20"/>
          <w:szCs w:val="20"/>
          <w:lang w:val="en-ZA"/>
        </w:rPr>
      </w:pPr>
      <w:r w:rsidRPr="00335764">
        <w:rPr>
          <w:rFonts w:cs="Arial"/>
          <w:bCs/>
          <w:color w:val="auto"/>
          <w:sz w:val="20"/>
          <w:szCs w:val="20"/>
        </w:rPr>
        <w:t>Legal Aid SA has the following objectives:</w:t>
      </w:r>
    </w:p>
    <w:p w:rsidR="003C1A29" w:rsidRPr="00335764" w:rsidRDefault="003C1A29" w:rsidP="00335764">
      <w:pPr>
        <w:pStyle w:val="ListParagraph"/>
        <w:spacing w:line="240" w:lineRule="auto"/>
        <w:ind w:left="851"/>
        <w:jc w:val="left"/>
        <w:rPr>
          <w:rFonts w:cs="Arial"/>
          <w:sz w:val="20"/>
          <w:szCs w:val="20"/>
          <w:lang w:val="en-ZA"/>
        </w:rPr>
      </w:pPr>
    </w:p>
    <w:tbl>
      <w:tblPr>
        <w:tblStyle w:val="TableGrid"/>
        <w:tblW w:w="5000" w:type="pct"/>
        <w:tblLook w:val="04A0"/>
      </w:tblPr>
      <w:tblGrid>
        <w:gridCol w:w="9628"/>
      </w:tblGrid>
      <w:tr w:rsidR="003C1A29" w:rsidRPr="00335764" w:rsidTr="003C1A29">
        <w:tc>
          <w:tcPr>
            <w:tcW w:w="5000" w:type="pct"/>
          </w:tcPr>
          <w:p w:rsidR="003C1A29" w:rsidRPr="00335764" w:rsidRDefault="003C1A29" w:rsidP="00335764">
            <w:pPr>
              <w:spacing w:line="240" w:lineRule="auto"/>
              <w:jc w:val="left"/>
              <w:rPr>
                <w:rFonts w:cs="Arial"/>
                <w:sz w:val="20"/>
                <w:szCs w:val="20"/>
              </w:rPr>
            </w:pPr>
            <w:r w:rsidRPr="00335764">
              <w:rPr>
                <w:rFonts w:cs="Arial"/>
                <w:sz w:val="20"/>
                <w:szCs w:val="20"/>
              </w:rPr>
              <w:t xml:space="preserve">Objective 1: Empowered clients and communities making informed choices about their legal matters, rights and responsibilities. </w:t>
            </w:r>
          </w:p>
        </w:tc>
      </w:tr>
      <w:tr w:rsidR="003C1A29" w:rsidRPr="00335764" w:rsidTr="003C1A29">
        <w:tc>
          <w:tcPr>
            <w:tcW w:w="5000" w:type="pct"/>
          </w:tcPr>
          <w:p w:rsidR="003C1A29" w:rsidRPr="00335764" w:rsidRDefault="003C1A29" w:rsidP="00335764">
            <w:pPr>
              <w:spacing w:line="240" w:lineRule="auto"/>
              <w:jc w:val="left"/>
              <w:rPr>
                <w:rFonts w:cs="Arial"/>
                <w:sz w:val="20"/>
                <w:szCs w:val="20"/>
              </w:rPr>
            </w:pPr>
            <w:r w:rsidRPr="00335764">
              <w:rPr>
                <w:rFonts w:cs="Arial"/>
                <w:sz w:val="20"/>
                <w:szCs w:val="20"/>
              </w:rPr>
              <w:t xml:space="preserve">Objective 2: All indigent and vulnerable members of society have equal access to public funded legal services to protect and defend their rights. </w:t>
            </w:r>
          </w:p>
        </w:tc>
      </w:tr>
      <w:tr w:rsidR="003C1A29" w:rsidRPr="00335764" w:rsidTr="003C1A29">
        <w:tc>
          <w:tcPr>
            <w:tcW w:w="5000" w:type="pct"/>
          </w:tcPr>
          <w:p w:rsidR="003C1A29" w:rsidRPr="00335764" w:rsidRDefault="003C1A29" w:rsidP="00335764">
            <w:pPr>
              <w:spacing w:line="240" w:lineRule="auto"/>
              <w:jc w:val="left"/>
              <w:rPr>
                <w:rFonts w:cs="Arial"/>
                <w:sz w:val="20"/>
                <w:szCs w:val="20"/>
              </w:rPr>
            </w:pPr>
            <w:r w:rsidRPr="00335764">
              <w:rPr>
                <w:rFonts w:cs="Arial"/>
                <w:sz w:val="20"/>
                <w:szCs w:val="20"/>
              </w:rPr>
              <w:t xml:space="preserve">Objective 3: A fair, efficient and effective justice system that ensures equal access to justice for all. </w:t>
            </w:r>
          </w:p>
        </w:tc>
      </w:tr>
      <w:tr w:rsidR="003C1A29" w:rsidRPr="00335764" w:rsidTr="003C1A29">
        <w:tc>
          <w:tcPr>
            <w:tcW w:w="5000" w:type="pct"/>
          </w:tcPr>
          <w:p w:rsidR="003C1A29" w:rsidRPr="00335764" w:rsidRDefault="003C1A29" w:rsidP="00335764">
            <w:pPr>
              <w:spacing w:line="240" w:lineRule="auto"/>
              <w:jc w:val="left"/>
              <w:rPr>
                <w:rFonts w:cs="Arial"/>
                <w:sz w:val="20"/>
                <w:szCs w:val="20"/>
              </w:rPr>
            </w:pPr>
            <w:r w:rsidRPr="00335764">
              <w:rPr>
                <w:rFonts w:cs="Arial"/>
                <w:sz w:val="20"/>
                <w:szCs w:val="20"/>
              </w:rPr>
              <w:t xml:space="preserve">Objective 4: Delivering on our constitutional and statutory mandate thereby ensuring equal access to justice for all, in an independent, accountable and sustainable manner. </w:t>
            </w:r>
          </w:p>
        </w:tc>
      </w:tr>
      <w:tr w:rsidR="003C1A29" w:rsidRPr="00335764" w:rsidTr="003C1A29">
        <w:tc>
          <w:tcPr>
            <w:tcW w:w="5000" w:type="pct"/>
          </w:tcPr>
          <w:p w:rsidR="003C1A29" w:rsidRPr="00335764" w:rsidRDefault="003C1A29" w:rsidP="00335764">
            <w:pPr>
              <w:spacing w:line="240" w:lineRule="auto"/>
              <w:jc w:val="left"/>
              <w:rPr>
                <w:rFonts w:cs="Arial"/>
                <w:sz w:val="20"/>
                <w:szCs w:val="20"/>
              </w:rPr>
            </w:pPr>
            <w:r w:rsidRPr="00335764">
              <w:rPr>
                <w:rFonts w:cs="Arial"/>
                <w:sz w:val="20"/>
                <w:szCs w:val="20"/>
              </w:rPr>
              <w:t>Objective 5: An organisation re-inventing and embedding sustainable and agile practices in every segment to positively impact on society, the economy and the environment.</w:t>
            </w:r>
          </w:p>
        </w:tc>
      </w:tr>
      <w:tr w:rsidR="003C1A29" w:rsidRPr="00335764" w:rsidTr="003C1A29">
        <w:tc>
          <w:tcPr>
            <w:tcW w:w="5000" w:type="pct"/>
          </w:tcPr>
          <w:p w:rsidR="003C1A29" w:rsidRPr="00335764" w:rsidRDefault="003C1A29" w:rsidP="00335764">
            <w:pPr>
              <w:spacing w:line="240" w:lineRule="auto"/>
              <w:jc w:val="left"/>
              <w:rPr>
                <w:rFonts w:cs="Arial"/>
                <w:sz w:val="20"/>
                <w:szCs w:val="20"/>
              </w:rPr>
            </w:pPr>
            <w:r w:rsidRPr="00335764">
              <w:rPr>
                <w:rFonts w:cs="Arial"/>
                <w:sz w:val="20"/>
                <w:szCs w:val="20"/>
              </w:rPr>
              <w:t>Objective 6: Sustaining good governance, best practices and maintaining high ethical standards and integrity, high performance and accountability.</w:t>
            </w:r>
          </w:p>
        </w:tc>
      </w:tr>
      <w:tr w:rsidR="003C1A29" w:rsidRPr="00335764" w:rsidTr="003C1A29">
        <w:tc>
          <w:tcPr>
            <w:tcW w:w="5000" w:type="pct"/>
          </w:tcPr>
          <w:p w:rsidR="003C1A29" w:rsidRPr="00335764" w:rsidRDefault="003C1A29" w:rsidP="00335764">
            <w:pPr>
              <w:spacing w:line="240" w:lineRule="auto"/>
              <w:jc w:val="left"/>
              <w:rPr>
                <w:rFonts w:cs="Arial"/>
                <w:sz w:val="20"/>
                <w:szCs w:val="20"/>
              </w:rPr>
            </w:pPr>
            <w:r w:rsidRPr="00335764">
              <w:rPr>
                <w:rFonts w:cs="Arial"/>
                <w:sz w:val="20"/>
                <w:szCs w:val="20"/>
              </w:rPr>
              <w:t>Objective 7: Legal Aid South Africa's regulatory framework is responsive to the changing legal, social and economic environment.</w:t>
            </w:r>
          </w:p>
        </w:tc>
      </w:tr>
      <w:tr w:rsidR="003C1A29" w:rsidRPr="00335764" w:rsidTr="003C1A29">
        <w:tc>
          <w:tcPr>
            <w:tcW w:w="5000" w:type="pct"/>
          </w:tcPr>
          <w:p w:rsidR="003C1A29" w:rsidRPr="00335764" w:rsidRDefault="003C1A29" w:rsidP="00335764">
            <w:pPr>
              <w:spacing w:line="240" w:lineRule="auto"/>
              <w:jc w:val="left"/>
              <w:rPr>
                <w:rFonts w:cs="Arial"/>
                <w:sz w:val="20"/>
                <w:szCs w:val="20"/>
              </w:rPr>
            </w:pPr>
            <w:r w:rsidRPr="00335764">
              <w:rPr>
                <w:rFonts w:cs="Arial"/>
                <w:sz w:val="20"/>
                <w:szCs w:val="20"/>
              </w:rPr>
              <w:t xml:space="preserve">Objective 8: An effective, efficient, economic and environmentally responsive supply chain management system supporting client services delivery and internal business processes. </w:t>
            </w:r>
          </w:p>
        </w:tc>
      </w:tr>
      <w:tr w:rsidR="003C1A29" w:rsidRPr="00335764" w:rsidTr="003C1A29">
        <w:tc>
          <w:tcPr>
            <w:tcW w:w="5000" w:type="pct"/>
          </w:tcPr>
          <w:p w:rsidR="003C1A29" w:rsidRPr="00335764" w:rsidRDefault="003C1A29" w:rsidP="00335764">
            <w:pPr>
              <w:spacing w:line="240" w:lineRule="auto"/>
              <w:jc w:val="left"/>
              <w:rPr>
                <w:rFonts w:cs="Arial"/>
                <w:sz w:val="20"/>
                <w:szCs w:val="20"/>
              </w:rPr>
            </w:pPr>
            <w:r w:rsidRPr="00335764">
              <w:rPr>
                <w:rFonts w:cs="Arial"/>
                <w:sz w:val="20"/>
                <w:szCs w:val="20"/>
              </w:rPr>
              <w:t xml:space="preserve">Objective 9: An appropriately resourced national footprint that is adaptable to changing technological and environmental factors to ensure improved access to our clients, communities, </w:t>
            </w:r>
            <w:r w:rsidRPr="00335764">
              <w:rPr>
                <w:rFonts w:cs="Arial"/>
                <w:sz w:val="20"/>
                <w:szCs w:val="20"/>
              </w:rPr>
              <w:lastRenderedPageBreak/>
              <w:t>stakeholders and employees.</w:t>
            </w:r>
          </w:p>
        </w:tc>
      </w:tr>
      <w:tr w:rsidR="003C1A29" w:rsidRPr="00335764" w:rsidTr="003C1A29">
        <w:tc>
          <w:tcPr>
            <w:tcW w:w="5000" w:type="pct"/>
          </w:tcPr>
          <w:p w:rsidR="003C1A29" w:rsidRPr="00335764" w:rsidRDefault="003C1A29" w:rsidP="00335764">
            <w:pPr>
              <w:spacing w:line="240" w:lineRule="auto"/>
              <w:jc w:val="left"/>
              <w:rPr>
                <w:rFonts w:cs="Arial"/>
                <w:sz w:val="20"/>
                <w:szCs w:val="20"/>
              </w:rPr>
            </w:pPr>
            <w:r w:rsidRPr="00335764">
              <w:rPr>
                <w:rFonts w:cs="Arial"/>
                <w:sz w:val="20"/>
                <w:szCs w:val="20"/>
              </w:rPr>
              <w:lastRenderedPageBreak/>
              <w:t xml:space="preserve">Objective 10: Knowledgeable, informed, self-directed, and committed employees competently delivering the organisation’s constitutional mandate and strategies in a sustainable manner. </w:t>
            </w:r>
          </w:p>
        </w:tc>
      </w:tr>
      <w:tr w:rsidR="003C1A29" w:rsidRPr="00335764" w:rsidTr="003C1A29">
        <w:tc>
          <w:tcPr>
            <w:tcW w:w="5000" w:type="pct"/>
          </w:tcPr>
          <w:p w:rsidR="003C1A29" w:rsidRPr="00335764" w:rsidRDefault="003C1A29" w:rsidP="00335764">
            <w:pPr>
              <w:spacing w:line="240" w:lineRule="auto"/>
              <w:jc w:val="left"/>
              <w:rPr>
                <w:rFonts w:cs="Arial"/>
                <w:sz w:val="20"/>
                <w:szCs w:val="20"/>
              </w:rPr>
            </w:pPr>
            <w:r w:rsidRPr="00335764">
              <w:rPr>
                <w:rFonts w:cs="Arial"/>
                <w:sz w:val="20"/>
                <w:szCs w:val="20"/>
              </w:rPr>
              <w:t>Objective 11: Embracing emerging technologies including the Fourth Industrial Revolution to optimise its impact on business and the provision of client services through a responsive and adaptive IT environment</w:t>
            </w:r>
            <w:r w:rsidR="00703E27" w:rsidRPr="00335764">
              <w:rPr>
                <w:rFonts w:cs="Arial"/>
                <w:sz w:val="20"/>
                <w:szCs w:val="20"/>
              </w:rPr>
              <w:t>.</w:t>
            </w:r>
          </w:p>
        </w:tc>
      </w:tr>
    </w:tbl>
    <w:p w:rsidR="003C1A29" w:rsidRPr="00335764" w:rsidRDefault="003C1A29" w:rsidP="00335764">
      <w:pPr>
        <w:pStyle w:val="ListParagraph"/>
        <w:spacing w:line="240" w:lineRule="auto"/>
        <w:ind w:left="851"/>
        <w:jc w:val="left"/>
        <w:rPr>
          <w:rFonts w:cs="Arial"/>
          <w:bCs/>
          <w:color w:val="auto"/>
          <w:sz w:val="20"/>
          <w:szCs w:val="20"/>
        </w:rPr>
      </w:pPr>
    </w:p>
    <w:p w:rsidR="003C1A29" w:rsidRPr="00335764" w:rsidRDefault="000A6CB1" w:rsidP="00335764">
      <w:pPr>
        <w:pStyle w:val="ListParagraph"/>
        <w:numPr>
          <w:ilvl w:val="1"/>
          <w:numId w:val="1"/>
        </w:numPr>
        <w:spacing w:line="240" w:lineRule="auto"/>
        <w:ind w:left="851" w:hanging="851"/>
        <w:jc w:val="left"/>
        <w:rPr>
          <w:rFonts w:cs="Arial"/>
          <w:bCs/>
          <w:color w:val="auto"/>
          <w:sz w:val="20"/>
          <w:szCs w:val="20"/>
        </w:rPr>
      </w:pPr>
      <w:r w:rsidRPr="00335764">
        <w:rPr>
          <w:rFonts w:cs="Arial"/>
          <w:bCs/>
          <w:color w:val="auto"/>
          <w:sz w:val="20"/>
          <w:szCs w:val="20"/>
        </w:rPr>
        <w:t xml:space="preserve">Legal Aid SA intends the following organisational outcomes: </w:t>
      </w:r>
    </w:p>
    <w:p w:rsidR="003C1A29" w:rsidRPr="00335764" w:rsidRDefault="003C1A29" w:rsidP="00335764">
      <w:pPr>
        <w:pStyle w:val="ListParagraph"/>
        <w:spacing w:line="240" w:lineRule="auto"/>
        <w:ind w:left="851"/>
        <w:jc w:val="left"/>
        <w:rPr>
          <w:rFonts w:cs="Arial"/>
          <w:sz w:val="20"/>
          <w:szCs w:val="20"/>
          <w:lang w:val="en-ZA"/>
        </w:rPr>
      </w:pPr>
    </w:p>
    <w:tbl>
      <w:tblPr>
        <w:tblStyle w:val="TableGrid"/>
        <w:tblW w:w="0" w:type="auto"/>
        <w:tblLook w:val="04A0"/>
      </w:tblPr>
      <w:tblGrid>
        <w:gridCol w:w="3284"/>
        <w:gridCol w:w="6344"/>
      </w:tblGrid>
      <w:tr w:rsidR="003C1A29" w:rsidRPr="00335764" w:rsidTr="009F2784">
        <w:trPr>
          <w:tblHeader/>
        </w:trPr>
        <w:tc>
          <w:tcPr>
            <w:tcW w:w="0" w:type="auto"/>
            <w:shd w:val="clear" w:color="auto" w:fill="D9D9D9" w:themeFill="background1" w:themeFillShade="D9"/>
          </w:tcPr>
          <w:p w:rsidR="003C1A29" w:rsidRPr="00335764" w:rsidRDefault="003C1A29" w:rsidP="00335764">
            <w:pPr>
              <w:spacing w:line="240" w:lineRule="auto"/>
              <w:jc w:val="left"/>
              <w:rPr>
                <w:rFonts w:cs="Arial"/>
                <w:b/>
                <w:caps/>
                <w:sz w:val="20"/>
                <w:szCs w:val="20"/>
                <w:lang w:val="en-ZA"/>
              </w:rPr>
            </w:pPr>
            <w:r w:rsidRPr="00335764">
              <w:rPr>
                <w:rFonts w:cs="Arial"/>
                <w:b/>
                <w:caps/>
                <w:sz w:val="20"/>
                <w:szCs w:val="20"/>
                <w:lang w:val="en-ZA"/>
              </w:rPr>
              <w:t>Balanced scorecard component</w:t>
            </w:r>
          </w:p>
        </w:tc>
        <w:tc>
          <w:tcPr>
            <w:tcW w:w="0" w:type="auto"/>
            <w:shd w:val="clear" w:color="auto" w:fill="D9D9D9" w:themeFill="background1" w:themeFillShade="D9"/>
          </w:tcPr>
          <w:p w:rsidR="003C1A29" w:rsidRPr="00335764" w:rsidRDefault="003C1A29" w:rsidP="00335764">
            <w:pPr>
              <w:spacing w:line="240" w:lineRule="auto"/>
              <w:jc w:val="left"/>
              <w:rPr>
                <w:rFonts w:cs="Arial"/>
                <w:b/>
                <w:caps/>
                <w:sz w:val="20"/>
                <w:szCs w:val="20"/>
                <w:lang w:val="en-ZA"/>
              </w:rPr>
            </w:pPr>
            <w:r w:rsidRPr="00335764">
              <w:rPr>
                <w:rFonts w:cs="Arial"/>
                <w:b/>
                <w:caps/>
                <w:sz w:val="20"/>
                <w:szCs w:val="20"/>
                <w:lang w:val="en-ZA"/>
              </w:rPr>
              <w:t>Outcomes</w:t>
            </w:r>
          </w:p>
        </w:tc>
      </w:tr>
      <w:tr w:rsidR="003C1A29" w:rsidRPr="00335764" w:rsidTr="003C1A29">
        <w:tc>
          <w:tcPr>
            <w:tcW w:w="0" w:type="auto"/>
            <w:vMerge w:val="restart"/>
          </w:tcPr>
          <w:p w:rsidR="003C1A29" w:rsidRPr="00335764" w:rsidRDefault="003C1A29" w:rsidP="00335764">
            <w:pPr>
              <w:spacing w:line="240" w:lineRule="auto"/>
              <w:jc w:val="left"/>
              <w:rPr>
                <w:rFonts w:cs="Arial"/>
                <w:sz w:val="20"/>
                <w:szCs w:val="20"/>
                <w:lang w:val="en-ZA"/>
              </w:rPr>
            </w:pPr>
            <w:r w:rsidRPr="00335764">
              <w:rPr>
                <w:rFonts w:cs="Arial"/>
                <w:b/>
                <w:bCs/>
                <w:sz w:val="20"/>
                <w:szCs w:val="20"/>
                <w:lang w:val="en-ZA"/>
              </w:rPr>
              <w:t>Client, Community, Stakeholder and Shareholder</w:t>
            </w:r>
          </w:p>
          <w:p w:rsidR="003C1A29" w:rsidRPr="00335764" w:rsidRDefault="003C1A29" w:rsidP="00335764">
            <w:pPr>
              <w:spacing w:line="240" w:lineRule="auto"/>
              <w:jc w:val="left"/>
              <w:rPr>
                <w:rFonts w:cs="Arial"/>
                <w:sz w:val="20"/>
                <w:szCs w:val="20"/>
              </w:rPr>
            </w:pPr>
          </w:p>
        </w:tc>
        <w:tc>
          <w:tcPr>
            <w:tcW w:w="0" w:type="auto"/>
          </w:tcPr>
          <w:p w:rsidR="003C1A29" w:rsidRPr="00335764" w:rsidRDefault="003C1A29" w:rsidP="00335764">
            <w:pPr>
              <w:spacing w:line="240" w:lineRule="auto"/>
              <w:jc w:val="left"/>
              <w:rPr>
                <w:rFonts w:cs="Arial"/>
                <w:sz w:val="20"/>
                <w:szCs w:val="20"/>
                <w:lang w:val="en-ZA"/>
              </w:rPr>
            </w:pPr>
            <w:r w:rsidRPr="00335764">
              <w:rPr>
                <w:rFonts w:cs="Arial"/>
                <w:sz w:val="20"/>
                <w:szCs w:val="20"/>
              </w:rPr>
              <w:t>Outcome 1: Quality client-focused legal aid in criminal matters, particularly for indigent and vulnerable persons.</w:t>
            </w:r>
          </w:p>
        </w:tc>
      </w:tr>
      <w:tr w:rsidR="003C1A29" w:rsidRPr="00335764" w:rsidTr="003C1A29">
        <w:tc>
          <w:tcPr>
            <w:tcW w:w="0" w:type="auto"/>
            <w:vMerge/>
          </w:tcPr>
          <w:p w:rsidR="003C1A29" w:rsidRPr="00335764" w:rsidRDefault="003C1A29" w:rsidP="00335764">
            <w:pPr>
              <w:spacing w:line="240" w:lineRule="auto"/>
              <w:jc w:val="left"/>
              <w:rPr>
                <w:rFonts w:cs="Arial"/>
                <w:sz w:val="20"/>
                <w:szCs w:val="20"/>
              </w:rPr>
            </w:pPr>
          </w:p>
        </w:tc>
        <w:tc>
          <w:tcPr>
            <w:tcW w:w="0" w:type="auto"/>
          </w:tcPr>
          <w:p w:rsidR="003C1A29" w:rsidRPr="00335764" w:rsidRDefault="003C1A29" w:rsidP="00335764">
            <w:pPr>
              <w:spacing w:line="240" w:lineRule="auto"/>
              <w:jc w:val="left"/>
              <w:rPr>
                <w:rFonts w:cs="Arial"/>
                <w:sz w:val="20"/>
                <w:szCs w:val="20"/>
                <w:lang w:val="en-ZA"/>
              </w:rPr>
            </w:pPr>
            <w:r w:rsidRPr="00335764">
              <w:rPr>
                <w:rFonts w:cs="Arial"/>
                <w:sz w:val="20"/>
                <w:szCs w:val="20"/>
              </w:rPr>
              <w:t>Outcome 2: Quality client-focused legal aid, including to indigent and vulnerable persons, in civil matters with a priority focus on land and other constitutional rights matters.</w:t>
            </w:r>
          </w:p>
        </w:tc>
      </w:tr>
      <w:tr w:rsidR="003C1A29" w:rsidRPr="00335764" w:rsidTr="003C1A29">
        <w:tc>
          <w:tcPr>
            <w:tcW w:w="0" w:type="auto"/>
            <w:vMerge/>
          </w:tcPr>
          <w:p w:rsidR="003C1A29" w:rsidRPr="00335764" w:rsidRDefault="003C1A29" w:rsidP="00335764">
            <w:pPr>
              <w:spacing w:line="240" w:lineRule="auto"/>
              <w:jc w:val="left"/>
              <w:rPr>
                <w:rFonts w:cs="Arial"/>
                <w:sz w:val="20"/>
                <w:szCs w:val="20"/>
              </w:rPr>
            </w:pPr>
          </w:p>
        </w:tc>
        <w:tc>
          <w:tcPr>
            <w:tcW w:w="0" w:type="auto"/>
          </w:tcPr>
          <w:p w:rsidR="003C1A29" w:rsidRPr="00335764" w:rsidRDefault="003C1A29" w:rsidP="00335764">
            <w:pPr>
              <w:spacing w:line="240" w:lineRule="auto"/>
              <w:jc w:val="left"/>
              <w:rPr>
                <w:rFonts w:cs="Arial"/>
                <w:sz w:val="20"/>
                <w:szCs w:val="20"/>
              </w:rPr>
            </w:pPr>
            <w:r w:rsidRPr="00335764">
              <w:rPr>
                <w:rFonts w:cs="Arial"/>
                <w:sz w:val="20"/>
                <w:szCs w:val="20"/>
              </w:rPr>
              <w:t>Outcome 3: Quality client-focused legal advice services.</w:t>
            </w:r>
          </w:p>
        </w:tc>
      </w:tr>
      <w:tr w:rsidR="003C1A29" w:rsidRPr="00335764" w:rsidTr="003C1A29">
        <w:tc>
          <w:tcPr>
            <w:tcW w:w="0" w:type="auto"/>
            <w:vMerge/>
          </w:tcPr>
          <w:p w:rsidR="003C1A29" w:rsidRPr="00335764" w:rsidRDefault="003C1A29" w:rsidP="00335764">
            <w:pPr>
              <w:spacing w:line="240" w:lineRule="auto"/>
              <w:jc w:val="left"/>
              <w:rPr>
                <w:rFonts w:cs="Arial"/>
                <w:sz w:val="20"/>
                <w:szCs w:val="20"/>
              </w:rPr>
            </w:pPr>
          </w:p>
        </w:tc>
        <w:tc>
          <w:tcPr>
            <w:tcW w:w="0" w:type="auto"/>
          </w:tcPr>
          <w:p w:rsidR="003C1A29" w:rsidRPr="00335764" w:rsidRDefault="003C1A29" w:rsidP="00335764">
            <w:pPr>
              <w:spacing w:line="240" w:lineRule="auto"/>
              <w:jc w:val="left"/>
              <w:rPr>
                <w:rFonts w:cs="Arial"/>
                <w:sz w:val="20"/>
                <w:szCs w:val="20"/>
                <w:lang w:val="en-ZA"/>
              </w:rPr>
            </w:pPr>
            <w:r w:rsidRPr="00335764">
              <w:rPr>
                <w:rFonts w:cs="Arial"/>
                <w:sz w:val="20"/>
                <w:szCs w:val="20"/>
              </w:rPr>
              <w:t xml:space="preserve">Outcome 4: Client-focused strategic litigation services </w:t>
            </w:r>
            <w:r w:rsidR="00905AF0" w:rsidRPr="00335764">
              <w:rPr>
                <w:rFonts w:cs="Arial"/>
                <w:sz w:val="20"/>
                <w:szCs w:val="20"/>
              </w:rPr>
              <w:t>to</w:t>
            </w:r>
            <w:r w:rsidRPr="00335764">
              <w:rPr>
                <w:rFonts w:cs="Arial"/>
                <w:sz w:val="20"/>
                <w:szCs w:val="20"/>
              </w:rPr>
              <w:t xml:space="preserve"> give content to constitutional rights, as well as to increase access to justice for indigent and vulnerable persons.</w:t>
            </w:r>
          </w:p>
        </w:tc>
      </w:tr>
      <w:tr w:rsidR="003C1A29" w:rsidRPr="00335764" w:rsidTr="003C1A29">
        <w:tc>
          <w:tcPr>
            <w:tcW w:w="0" w:type="auto"/>
            <w:vMerge/>
          </w:tcPr>
          <w:p w:rsidR="003C1A29" w:rsidRPr="00335764" w:rsidRDefault="003C1A29" w:rsidP="00335764">
            <w:pPr>
              <w:spacing w:line="240" w:lineRule="auto"/>
              <w:jc w:val="left"/>
              <w:rPr>
                <w:rFonts w:cs="Arial"/>
                <w:sz w:val="20"/>
                <w:szCs w:val="20"/>
              </w:rPr>
            </w:pPr>
          </w:p>
        </w:tc>
        <w:tc>
          <w:tcPr>
            <w:tcW w:w="0" w:type="auto"/>
          </w:tcPr>
          <w:p w:rsidR="003C1A29" w:rsidRPr="00335764" w:rsidRDefault="003C1A29" w:rsidP="00335764">
            <w:pPr>
              <w:spacing w:line="240" w:lineRule="auto"/>
              <w:jc w:val="left"/>
              <w:rPr>
                <w:rFonts w:cs="Arial"/>
                <w:sz w:val="20"/>
                <w:szCs w:val="20"/>
              </w:rPr>
            </w:pPr>
            <w:r w:rsidRPr="00335764">
              <w:rPr>
                <w:rFonts w:cs="Arial"/>
                <w:sz w:val="20"/>
                <w:szCs w:val="20"/>
              </w:rPr>
              <w:t xml:space="preserve">Outcome 5: Contribute to the effective functioning of the justice and legal sector thereby promoting the rule of law and increasing access to justice. </w:t>
            </w:r>
          </w:p>
        </w:tc>
      </w:tr>
      <w:tr w:rsidR="003C1A29" w:rsidRPr="00335764" w:rsidTr="003C1A29">
        <w:tc>
          <w:tcPr>
            <w:tcW w:w="0" w:type="auto"/>
            <w:vMerge/>
          </w:tcPr>
          <w:p w:rsidR="003C1A29" w:rsidRPr="00335764" w:rsidRDefault="003C1A29" w:rsidP="00335764">
            <w:pPr>
              <w:spacing w:line="240" w:lineRule="auto"/>
              <w:jc w:val="left"/>
              <w:rPr>
                <w:rFonts w:cs="Arial"/>
                <w:sz w:val="20"/>
                <w:szCs w:val="20"/>
              </w:rPr>
            </w:pPr>
          </w:p>
        </w:tc>
        <w:tc>
          <w:tcPr>
            <w:tcW w:w="0" w:type="auto"/>
          </w:tcPr>
          <w:p w:rsidR="003C1A29" w:rsidRPr="00335764" w:rsidRDefault="003C1A29" w:rsidP="00335764">
            <w:pPr>
              <w:spacing w:line="240" w:lineRule="auto"/>
              <w:jc w:val="left"/>
              <w:rPr>
                <w:rFonts w:cs="Arial"/>
                <w:sz w:val="20"/>
                <w:szCs w:val="20"/>
                <w:lang w:val="en-ZA"/>
              </w:rPr>
            </w:pPr>
            <w:r w:rsidRPr="00335764">
              <w:rPr>
                <w:rFonts w:cs="Arial"/>
                <w:sz w:val="20"/>
                <w:szCs w:val="20"/>
              </w:rPr>
              <w:t>Outcome 6: Account to the Executive Authority (the Minister of Justice and Correctional Services) and Parliament on delivery of mandate, governance and sustainability</w:t>
            </w:r>
          </w:p>
        </w:tc>
      </w:tr>
      <w:tr w:rsidR="003C1A29" w:rsidRPr="00335764" w:rsidTr="003C1A29">
        <w:tc>
          <w:tcPr>
            <w:tcW w:w="0" w:type="auto"/>
            <w:vMerge w:val="restart"/>
          </w:tcPr>
          <w:p w:rsidR="003C1A29" w:rsidRPr="00335764" w:rsidRDefault="003C1A29" w:rsidP="00335764">
            <w:pPr>
              <w:spacing w:line="240" w:lineRule="auto"/>
              <w:jc w:val="left"/>
              <w:rPr>
                <w:rFonts w:cs="Arial"/>
                <w:sz w:val="20"/>
                <w:szCs w:val="20"/>
                <w:lang w:val="en-ZA"/>
              </w:rPr>
            </w:pPr>
            <w:r w:rsidRPr="00335764">
              <w:rPr>
                <w:rFonts w:cs="Arial"/>
                <w:b/>
                <w:bCs/>
                <w:sz w:val="20"/>
                <w:szCs w:val="20"/>
                <w:lang w:val="en-ZA"/>
              </w:rPr>
              <w:t>Finance and Sustainability</w:t>
            </w:r>
          </w:p>
          <w:p w:rsidR="003C1A29" w:rsidRPr="00335764" w:rsidRDefault="003C1A29" w:rsidP="00335764">
            <w:pPr>
              <w:spacing w:line="240" w:lineRule="auto"/>
              <w:jc w:val="left"/>
              <w:rPr>
                <w:rFonts w:cs="Arial"/>
                <w:sz w:val="20"/>
                <w:szCs w:val="20"/>
              </w:rPr>
            </w:pPr>
          </w:p>
        </w:tc>
        <w:tc>
          <w:tcPr>
            <w:tcW w:w="0" w:type="auto"/>
          </w:tcPr>
          <w:p w:rsidR="003C1A29" w:rsidRPr="00335764" w:rsidRDefault="003C1A29" w:rsidP="00335764">
            <w:pPr>
              <w:spacing w:line="240" w:lineRule="auto"/>
              <w:jc w:val="left"/>
              <w:rPr>
                <w:rFonts w:cs="Arial"/>
                <w:sz w:val="20"/>
                <w:szCs w:val="20"/>
              </w:rPr>
            </w:pPr>
            <w:r w:rsidRPr="00335764">
              <w:rPr>
                <w:rFonts w:cs="Arial"/>
                <w:sz w:val="20"/>
                <w:szCs w:val="20"/>
              </w:rPr>
              <w:t xml:space="preserve">Outcome 7: Improve financial sustainability and manage the reductions to the budget. </w:t>
            </w:r>
          </w:p>
        </w:tc>
      </w:tr>
      <w:tr w:rsidR="003C1A29" w:rsidRPr="00335764" w:rsidTr="003C1A29">
        <w:tc>
          <w:tcPr>
            <w:tcW w:w="0" w:type="auto"/>
            <w:vMerge/>
          </w:tcPr>
          <w:p w:rsidR="003C1A29" w:rsidRPr="00335764" w:rsidRDefault="003C1A29" w:rsidP="00335764">
            <w:pPr>
              <w:spacing w:line="240" w:lineRule="auto"/>
              <w:jc w:val="left"/>
              <w:rPr>
                <w:rFonts w:cs="Arial"/>
                <w:sz w:val="20"/>
                <w:szCs w:val="20"/>
              </w:rPr>
            </w:pPr>
          </w:p>
        </w:tc>
        <w:tc>
          <w:tcPr>
            <w:tcW w:w="0" w:type="auto"/>
          </w:tcPr>
          <w:p w:rsidR="003C1A29" w:rsidRPr="00335764" w:rsidRDefault="003C1A29" w:rsidP="00335764">
            <w:pPr>
              <w:spacing w:line="240" w:lineRule="auto"/>
              <w:jc w:val="left"/>
              <w:rPr>
                <w:rFonts w:cs="Arial"/>
                <w:sz w:val="20"/>
                <w:szCs w:val="20"/>
              </w:rPr>
            </w:pPr>
            <w:r w:rsidRPr="00335764">
              <w:rPr>
                <w:rFonts w:cs="Arial"/>
                <w:sz w:val="20"/>
                <w:szCs w:val="20"/>
              </w:rPr>
              <w:t xml:space="preserve">Outcome 8: Maintain and enhance good governance.  </w:t>
            </w:r>
          </w:p>
        </w:tc>
      </w:tr>
      <w:tr w:rsidR="003C1A29" w:rsidRPr="00335764" w:rsidTr="003C1A29">
        <w:tc>
          <w:tcPr>
            <w:tcW w:w="0" w:type="auto"/>
            <w:vMerge w:val="restart"/>
          </w:tcPr>
          <w:p w:rsidR="003C1A29" w:rsidRPr="00335764" w:rsidRDefault="003C1A29" w:rsidP="00335764">
            <w:pPr>
              <w:spacing w:line="240" w:lineRule="auto"/>
              <w:jc w:val="left"/>
              <w:rPr>
                <w:rFonts w:cs="Arial"/>
                <w:sz w:val="20"/>
                <w:szCs w:val="20"/>
                <w:lang w:val="en-ZA"/>
              </w:rPr>
            </w:pPr>
            <w:r w:rsidRPr="00335764">
              <w:rPr>
                <w:rFonts w:cs="Arial"/>
                <w:b/>
                <w:bCs/>
                <w:sz w:val="20"/>
                <w:szCs w:val="20"/>
                <w:lang w:val="en-ZA"/>
              </w:rPr>
              <w:t xml:space="preserve">Internal Business Processes </w:t>
            </w:r>
          </w:p>
          <w:p w:rsidR="003C1A29" w:rsidRPr="00335764" w:rsidRDefault="003C1A29" w:rsidP="00335764">
            <w:pPr>
              <w:spacing w:line="240" w:lineRule="auto"/>
              <w:jc w:val="left"/>
              <w:rPr>
                <w:rFonts w:cs="Arial"/>
                <w:sz w:val="20"/>
                <w:szCs w:val="20"/>
              </w:rPr>
            </w:pPr>
          </w:p>
        </w:tc>
        <w:tc>
          <w:tcPr>
            <w:tcW w:w="0" w:type="auto"/>
          </w:tcPr>
          <w:p w:rsidR="003C1A29" w:rsidRPr="00335764" w:rsidRDefault="003C1A29" w:rsidP="00335764">
            <w:pPr>
              <w:spacing w:line="240" w:lineRule="auto"/>
              <w:jc w:val="left"/>
              <w:rPr>
                <w:rFonts w:cs="Arial"/>
                <w:sz w:val="20"/>
                <w:szCs w:val="20"/>
                <w:lang w:val="en-ZA"/>
              </w:rPr>
            </w:pPr>
            <w:r w:rsidRPr="00335764">
              <w:rPr>
                <w:rFonts w:cs="Arial"/>
                <w:sz w:val="20"/>
                <w:szCs w:val="20"/>
              </w:rPr>
              <w:t xml:space="preserve">Outcome 9: Maintain a regulatory framework that incorporates best practices and is responsive to changes in the overall environment. </w:t>
            </w:r>
          </w:p>
        </w:tc>
      </w:tr>
      <w:tr w:rsidR="003C1A29" w:rsidRPr="00335764" w:rsidTr="003C1A29">
        <w:tc>
          <w:tcPr>
            <w:tcW w:w="0" w:type="auto"/>
            <w:vMerge/>
          </w:tcPr>
          <w:p w:rsidR="003C1A29" w:rsidRPr="00335764" w:rsidRDefault="003C1A29" w:rsidP="00335764">
            <w:pPr>
              <w:spacing w:line="240" w:lineRule="auto"/>
              <w:jc w:val="left"/>
              <w:rPr>
                <w:rFonts w:cs="Arial"/>
                <w:sz w:val="20"/>
                <w:szCs w:val="20"/>
              </w:rPr>
            </w:pPr>
          </w:p>
        </w:tc>
        <w:tc>
          <w:tcPr>
            <w:tcW w:w="0" w:type="auto"/>
          </w:tcPr>
          <w:p w:rsidR="003C1A29" w:rsidRPr="00335764" w:rsidRDefault="003C1A29" w:rsidP="00335764">
            <w:pPr>
              <w:spacing w:line="240" w:lineRule="auto"/>
              <w:jc w:val="left"/>
              <w:rPr>
                <w:rFonts w:cs="Arial"/>
                <w:sz w:val="20"/>
                <w:szCs w:val="20"/>
              </w:rPr>
            </w:pPr>
            <w:r w:rsidRPr="00335764">
              <w:rPr>
                <w:rFonts w:cs="Arial"/>
                <w:sz w:val="20"/>
                <w:szCs w:val="20"/>
              </w:rPr>
              <w:t xml:space="preserve">Outcome 10: Sustain strong financial management, supply chain and asset management practices informed by best practice. </w:t>
            </w:r>
          </w:p>
        </w:tc>
      </w:tr>
      <w:tr w:rsidR="003C1A29" w:rsidRPr="00335764" w:rsidTr="003C1A29">
        <w:tc>
          <w:tcPr>
            <w:tcW w:w="0" w:type="auto"/>
            <w:vMerge w:val="restart"/>
          </w:tcPr>
          <w:p w:rsidR="003C1A29" w:rsidRPr="00335764" w:rsidRDefault="003C1A29" w:rsidP="00335764">
            <w:pPr>
              <w:spacing w:line="240" w:lineRule="auto"/>
              <w:jc w:val="left"/>
              <w:rPr>
                <w:rFonts w:cs="Arial"/>
                <w:sz w:val="20"/>
                <w:szCs w:val="20"/>
                <w:lang w:val="en-ZA"/>
              </w:rPr>
            </w:pPr>
            <w:r w:rsidRPr="00335764">
              <w:rPr>
                <w:rFonts w:cs="Arial"/>
                <w:b/>
                <w:bCs/>
                <w:sz w:val="20"/>
                <w:szCs w:val="20"/>
                <w:lang w:val="en-ZA"/>
              </w:rPr>
              <w:t xml:space="preserve">Employee and Organisational Capacity and Innovation and Learning </w:t>
            </w:r>
          </w:p>
          <w:p w:rsidR="003C1A29" w:rsidRPr="00335764" w:rsidRDefault="003C1A29" w:rsidP="00335764">
            <w:pPr>
              <w:spacing w:line="240" w:lineRule="auto"/>
              <w:jc w:val="left"/>
              <w:rPr>
                <w:rFonts w:cs="Arial"/>
                <w:sz w:val="20"/>
                <w:szCs w:val="20"/>
              </w:rPr>
            </w:pPr>
          </w:p>
        </w:tc>
        <w:tc>
          <w:tcPr>
            <w:tcW w:w="0" w:type="auto"/>
          </w:tcPr>
          <w:p w:rsidR="003C1A29" w:rsidRPr="00335764" w:rsidRDefault="003C1A29" w:rsidP="00335764">
            <w:pPr>
              <w:spacing w:line="240" w:lineRule="auto"/>
              <w:jc w:val="left"/>
              <w:rPr>
                <w:rFonts w:cs="Arial"/>
                <w:sz w:val="20"/>
                <w:szCs w:val="20"/>
              </w:rPr>
            </w:pPr>
            <w:r w:rsidRPr="00335764">
              <w:rPr>
                <w:rFonts w:cs="Arial"/>
                <w:sz w:val="20"/>
                <w:szCs w:val="20"/>
              </w:rPr>
              <w:t xml:space="preserve">Outcome 11: Consolidate and review the resourcing of our national footprint to ensure adequate staffing, as well as safe and secure facilities for clients and staff, within available resources. </w:t>
            </w:r>
          </w:p>
        </w:tc>
      </w:tr>
      <w:tr w:rsidR="003C1A29" w:rsidRPr="00335764" w:rsidTr="003C1A29">
        <w:tc>
          <w:tcPr>
            <w:tcW w:w="0" w:type="auto"/>
            <w:vMerge/>
          </w:tcPr>
          <w:p w:rsidR="003C1A29" w:rsidRPr="00335764" w:rsidRDefault="003C1A29" w:rsidP="00335764">
            <w:pPr>
              <w:spacing w:line="240" w:lineRule="auto"/>
              <w:jc w:val="left"/>
              <w:rPr>
                <w:rFonts w:cs="Arial"/>
                <w:sz w:val="20"/>
                <w:szCs w:val="20"/>
              </w:rPr>
            </w:pPr>
          </w:p>
        </w:tc>
        <w:tc>
          <w:tcPr>
            <w:tcW w:w="0" w:type="auto"/>
          </w:tcPr>
          <w:p w:rsidR="003C1A29" w:rsidRPr="00335764" w:rsidRDefault="003C1A29" w:rsidP="00335764">
            <w:pPr>
              <w:spacing w:line="240" w:lineRule="auto"/>
              <w:jc w:val="left"/>
              <w:rPr>
                <w:rFonts w:cs="Arial"/>
                <w:sz w:val="20"/>
                <w:szCs w:val="20"/>
              </w:rPr>
            </w:pPr>
            <w:r w:rsidRPr="00335764">
              <w:rPr>
                <w:rFonts w:cs="Arial"/>
                <w:sz w:val="20"/>
                <w:szCs w:val="20"/>
              </w:rPr>
              <w:t xml:space="preserve">Outcome 12: Strengthen and continuously improve the quality and expertise for each segment of the national footprint. </w:t>
            </w:r>
          </w:p>
        </w:tc>
      </w:tr>
      <w:tr w:rsidR="003C1A29" w:rsidRPr="00335764" w:rsidTr="003C1A29">
        <w:tc>
          <w:tcPr>
            <w:tcW w:w="0" w:type="auto"/>
            <w:vMerge/>
          </w:tcPr>
          <w:p w:rsidR="003C1A29" w:rsidRPr="00335764" w:rsidRDefault="003C1A29" w:rsidP="00335764">
            <w:pPr>
              <w:spacing w:line="240" w:lineRule="auto"/>
              <w:jc w:val="left"/>
              <w:rPr>
                <w:rFonts w:cs="Arial"/>
                <w:sz w:val="20"/>
                <w:szCs w:val="20"/>
              </w:rPr>
            </w:pPr>
          </w:p>
        </w:tc>
        <w:tc>
          <w:tcPr>
            <w:tcW w:w="0" w:type="auto"/>
          </w:tcPr>
          <w:p w:rsidR="003C1A29" w:rsidRPr="00335764" w:rsidRDefault="003C1A29" w:rsidP="00335764">
            <w:pPr>
              <w:spacing w:line="240" w:lineRule="auto"/>
              <w:jc w:val="left"/>
              <w:rPr>
                <w:rFonts w:cs="Arial"/>
                <w:sz w:val="20"/>
                <w:szCs w:val="20"/>
              </w:rPr>
            </w:pPr>
            <w:r w:rsidRPr="00335764">
              <w:rPr>
                <w:rFonts w:cs="Arial"/>
                <w:sz w:val="20"/>
                <w:szCs w:val="20"/>
              </w:rPr>
              <w:t>Outcome 13: Enhance and maintain an integrated and service and client-oriented and secured Information Technology system with capacity to integrate stakeholders</w:t>
            </w:r>
          </w:p>
        </w:tc>
      </w:tr>
    </w:tbl>
    <w:p w:rsidR="00F6132A" w:rsidRPr="00335764" w:rsidRDefault="00F6132A" w:rsidP="00335764">
      <w:pPr>
        <w:spacing w:line="240" w:lineRule="auto"/>
        <w:jc w:val="left"/>
        <w:rPr>
          <w:rFonts w:cs="Arial"/>
          <w:sz w:val="20"/>
          <w:szCs w:val="20"/>
          <w:lang w:val="en-ZA"/>
        </w:rPr>
      </w:pPr>
    </w:p>
    <w:p w:rsidR="000A6CB1" w:rsidRPr="00335764" w:rsidRDefault="000A6CB1" w:rsidP="00335764">
      <w:pPr>
        <w:pStyle w:val="ListParagraph"/>
        <w:numPr>
          <w:ilvl w:val="1"/>
          <w:numId w:val="1"/>
        </w:numPr>
        <w:spacing w:line="240" w:lineRule="auto"/>
        <w:ind w:left="851" w:hanging="851"/>
        <w:jc w:val="left"/>
        <w:rPr>
          <w:rFonts w:cs="Arial"/>
          <w:color w:val="auto"/>
          <w:sz w:val="20"/>
          <w:szCs w:val="20"/>
          <w:lang w:val="en-US"/>
        </w:rPr>
      </w:pPr>
      <w:r w:rsidRPr="00335764">
        <w:rPr>
          <w:rFonts w:cs="Arial"/>
          <w:color w:val="auto"/>
          <w:sz w:val="20"/>
          <w:szCs w:val="20"/>
          <w:lang w:val="en-US"/>
        </w:rPr>
        <w:t xml:space="preserve">Key Performance Indicators seek to measure performance on the programmes to achieve objectives and outputs, while targets are to be achieved for each objective in five years, and the baseline level of performance, against timeframes. </w:t>
      </w:r>
    </w:p>
    <w:p w:rsidR="008540E2" w:rsidRPr="00335764" w:rsidRDefault="008540E2" w:rsidP="00335764">
      <w:pPr>
        <w:spacing w:line="240" w:lineRule="auto"/>
        <w:jc w:val="left"/>
        <w:rPr>
          <w:rFonts w:cs="Arial"/>
          <w:color w:val="auto"/>
          <w:sz w:val="20"/>
          <w:szCs w:val="20"/>
          <w:lang w:val="en-US"/>
        </w:rPr>
      </w:pPr>
    </w:p>
    <w:tbl>
      <w:tblPr>
        <w:tblStyle w:val="TableGrid"/>
        <w:tblW w:w="9209" w:type="dxa"/>
        <w:jc w:val="center"/>
        <w:tblLayout w:type="fixed"/>
        <w:tblLook w:val="04A0"/>
      </w:tblPr>
      <w:tblGrid>
        <w:gridCol w:w="2442"/>
        <w:gridCol w:w="2089"/>
        <w:gridCol w:w="1357"/>
        <w:gridCol w:w="1759"/>
        <w:gridCol w:w="1562"/>
      </w:tblGrid>
      <w:tr w:rsidR="004D73FB" w:rsidRPr="00335764" w:rsidTr="00631432">
        <w:trPr>
          <w:tblHeader/>
          <w:jc w:val="center"/>
        </w:trPr>
        <w:tc>
          <w:tcPr>
            <w:tcW w:w="2442" w:type="dxa"/>
            <w:vMerge w:val="restart"/>
            <w:shd w:val="clear" w:color="auto" w:fill="BFBFBF" w:themeFill="background1" w:themeFillShade="BF"/>
          </w:tcPr>
          <w:p w:rsidR="004D73FB" w:rsidRPr="00335764" w:rsidRDefault="004D73FB" w:rsidP="00335764">
            <w:pPr>
              <w:spacing w:line="240" w:lineRule="auto"/>
              <w:jc w:val="left"/>
              <w:rPr>
                <w:rFonts w:cs="Arial"/>
                <w:b/>
                <w:sz w:val="20"/>
                <w:szCs w:val="20"/>
              </w:rPr>
            </w:pPr>
            <w:r w:rsidRPr="00335764">
              <w:rPr>
                <w:rFonts w:cs="Arial"/>
                <w:b/>
                <w:sz w:val="20"/>
                <w:szCs w:val="20"/>
              </w:rPr>
              <w:t>Performance Indicator</w:t>
            </w:r>
          </w:p>
        </w:tc>
        <w:tc>
          <w:tcPr>
            <w:tcW w:w="2089" w:type="dxa"/>
            <w:vMerge w:val="restart"/>
            <w:shd w:val="clear" w:color="auto" w:fill="BFBFBF" w:themeFill="background1" w:themeFillShade="BF"/>
          </w:tcPr>
          <w:p w:rsidR="004D73FB" w:rsidRPr="00335764" w:rsidRDefault="004D73FB" w:rsidP="00335764">
            <w:pPr>
              <w:spacing w:line="240" w:lineRule="auto"/>
              <w:jc w:val="left"/>
              <w:rPr>
                <w:rFonts w:cs="Arial"/>
                <w:b/>
                <w:sz w:val="20"/>
                <w:szCs w:val="20"/>
              </w:rPr>
            </w:pPr>
            <w:r w:rsidRPr="00335764">
              <w:rPr>
                <w:rFonts w:cs="Arial"/>
                <w:b/>
                <w:sz w:val="20"/>
                <w:szCs w:val="20"/>
              </w:rPr>
              <w:t>Programme/ objective/activity</w:t>
            </w:r>
          </w:p>
        </w:tc>
        <w:tc>
          <w:tcPr>
            <w:tcW w:w="1357" w:type="dxa"/>
            <w:shd w:val="clear" w:color="auto" w:fill="BFBFBF" w:themeFill="background1" w:themeFillShade="BF"/>
          </w:tcPr>
          <w:p w:rsidR="004D73FB" w:rsidRPr="00335764" w:rsidRDefault="004D73FB" w:rsidP="00335764">
            <w:pPr>
              <w:spacing w:line="240" w:lineRule="auto"/>
              <w:jc w:val="left"/>
              <w:rPr>
                <w:rFonts w:cs="Arial"/>
                <w:b/>
                <w:sz w:val="20"/>
                <w:szCs w:val="20"/>
              </w:rPr>
            </w:pPr>
            <w:r w:rsidRPr="00335764">
              <w:rPr>
                <w:rFonts w:cs="Arial"/>
                <w:b/>
                <w:sz w:val="20"/>
                <w:szCs w:val="20"/>
              </w:rPr>
              <w:t>Audited Outcome</w:t>
            </w:r>
          </w:p>
        </w:tc>
        <w:tc>
          <w:tcPr>
            <w:tcW w:w="3321" w:type="dxa"/>
            <w:gridSpan w:val="2"/>
            <w:shd w:val="clear" w:color="auto" w:fill="BFBFBF" w:themeFill="background1" w:themeFillShade="BF"/>
          </w:tcPr>
          <w:p w:rsidR="004D73FB" w:rsidRPr="00335764" w:rsidRDefault="004D73FB" w:rsidP="00335764">
            <w:pPr>
              <w:spacing w:line="240" w:lineRule="auto"/>
              <w:jc w:val="left"/>
              <w:rPr>
                <w:rFonts w:cs="Arial"/>
                <w:b/>
                <w:sz w:val="20"/>
                <w:szCs w:val="20"/>
              </w:rPr>
            </w:pPr>
            <w:r w:rsidRPr="00335764">
              <w:rPr>
                <w:rFonts w:cs="Arial"/>
                <w:b/>
                <w:sz w:val="20"/>
                <w:szCs w:val="20"/>
              </w:rPr>
              <w:t>Estimated Performance/Target</w:t>
            </w:r>
          </w:p>
        </w:tc>
      </w:tr>
      <w:tr w:rsidR="004D73FB" w:rsidRPr="00335764" w:rsidTr="00631432">
        <w:trPr>
          <w:tblHeader/>
          <w:jc w:val="center"/>
        </w:trPr>
        <w:tc>
          <w:tcPr>
            <w:tcW w:w="2442" w:type="dxa"/>
            <w:vMerge/>
            <w:shd w:val="clear" w:color="auto" w:fill="BFBFBF" w:themeFill="background1" w:themeFillShade="BF"/>
          </w:tcPr>
          <w:p w:rsidR="004D73FB" w:rsidRPr="00335764" w:rsidRDefault="004D73FB" w:rsidP="00335764">
            <w:pPr>
              <w:spacing w:line="240" w:lineRule="auto"/>
              <w:jc w:val="left"/>
              <w:rPr>
                <w:rFonts w:cs="Arial"/>
                <w:b/>
                <w:sz w:val="20"/>
                <w:szCs w:val="20"/>
              </w:rPr>
            </w:pPr>
          </w:p>
        </w:tc>
        <w:tc>
          <w:tcPr>
            <w:tcW w:w="2089" w:type="dxa"/>
            <w:vMerge/>
            <w:shd w:val="clear" w:color="auto" w:fill="BFBFBF" w:themeFill="background1" w:themeFillShade="BF"/>
          </w:tcPr>
          <w:p w:rsidR="004D73FB" w:rsidRPr="00335764" w:rsidRDefault="004D73FB" w:rsidP="00335764">
            <w:pPr>
              <w:spacing w:line="240" w:lineRule="auto"/>
              <w:jc w:val="left"/>
              <w:rPr>
                <w:rFonts w:cs="Arial"/>
                <w:b/>
                <w:sz w:val="20"/>
                <w:szCs w:val="20"/>
              </w:rPr>
            </w:pPr>
          </w:p>
        </w:tc>
        <w:tc>
          <w:tcPr>
            <w:tcW w:w="1357" w:type="dxa"/>
            <w:shd w:val="clear" w:color="auto" w:fill="BFBFBF" w:themeFill="background1" w:themeFillShade="BF"/>
          </w:tcPr>
          <w:p w:rsidR="004D73FB" w:rsidRPr="00335764" w:rsidRDefault="004D73FB" w:rsidP="00335764">
            <w:pPr>
              <w:spacing w:line="240" w:lineRule="auto"/>
              <w:jc w:val="left"/>
              <w:rPr>
                <w:rFonts w:cs="Arial"/>
                <w:b/>
                <w:sz w:val="20"/>
                <w:szCs w:val="20"/>
              </w:rPr>
            </w:pPr>
            <w:r w:rsidRPr="00335764">
              <w:rPr>
                <w:rFonts w:cs="Arial"/>
                <w:b/>
                <w:sz w:val="20"/>
                <w:szCs w:val="20"/>
              </w:rPr>
              <w:t>2022/23</w:t>
            </w:r>
          </w:p>
        </w:tc>
        <w:tc>
          <w:tcPr>
            <w:tcW w:w="1759" w:type="dxa"/>
            <w:shd w:val="clear" w:color="auto" w:fill="BFBFBF" w:themeFill="background1" w:themeFillShade="BF"/>
          </w:tcPr>
          <w:p w:rsidR="004D73FB" w:rsidRPr="00335764" w:rsidRDefault="004D73FB" w:rsidP="00335764">
            <w:pPr>
              <w:spacing w:line="240" w:lineRule="auto"/>
              <w:jc w:val="left"/>
              <w:rPr>
                <w:rFonts w:cs="Arial"/>
                <w:b/>
                <w:sz w:val="20"/>
                <w:szCs w:val="20"/>
              </w:rPr>
            </w:pPr>
            <w:r w:rsidRPr="00335764">
              <w:rPr>
                <w:rFonts w:cs="Arial"/>
                <w:b/>
                <w:sz w:val="20"/>
                <w:szCs w:val="20"/>
              </w:rPr>
              <w:t>2023/24</w:t>
            </w:r>
          </w:p>
        </w:tc>
        <w:tc>
          <w:tcPr>
            <w:tcW w:w="1562" w:type="dxa"/>
            <w:shd w:val="clear" w:color="auto" w:fill="BFBFBF" w:themeFill="background1" w:themeFillShade="BF"/>
          </w:tcPr>
          <w:p w:rsidR="004D73FB" w:rsidRPr="00335764" w:rsidRDefault="004D73FB" w:rsidP="00335764">
            <w:pPr>
              <w:spacing w:line="240" w:lineRule="auto"/>
              <w:jc w:val="left"/>
              <w:rPr>
                <w:rFonts w:cs="Arial"/>
                <w:b/>
                <w:sz w:val="20"/>
                <w:szCs w:val="20"/>
              </w:rPr>
            </w:pPr>
            <w:r w:rsidRPr="00335764">
              <w:rPr>
                <w:rFonts w:cs="Arial"/>
                <w:b/>
                <w:sz w:val="20"/>
                <w:szCs w:val="20"/>
              </w:rPr>
              <w:t>2024/25</w:t>
            </w:r>
          </w:p>
        </w:tc>
      </w:tr>
      <w:tr w:rsidR="000A6CB1" w:rsidRPr="00335764" w:rsidTr="00631432">
        <w:trPr>
          <w:trHeight w:val="1789"/>
          <w:jc w:val="center"/>
        </w:trPr>
        <w:tc>
          <w:tcPr>
            <w:tcW w:w="2442" w:type="dxa"/>
          </w:tcPr>
          <w:p w:rsidR="000A6CB1" w:rsidRPr="00335764" w:rsidRDefault="000A6CB1" w:rsidP="00335764">
            <w:pPr>
              <w:spacing w:line="240" w:lineRule="auto"/>
              <w:jc w:val="left"/>
              <w:rPr>
                <w:rFonts w:cs="Arial"/>
                <w:b/>
                <w:sz w:val="20"/>
                <w:szCs w:val="20"/>
              </w:rPr>
            </w:pPr>
            <w:r w:rsidRPr="00335764">
              <w:rPr>
                <w:rFonts w:cs="Arial"/>
                <w:b/>
                <w:sz w:val="20"/>
                <w:szCs w:val="20"/>
              </w:rPr>
              <w:t>New legal matters</w:t>
            </w:r>
            <w:r w:rsidR="004D73FB" w:rsidRPr="00335764">
              <w:rPr>
                <w:rFonts w:cs="Arial"/>
                <w:b/>
                <w:sz w:val="20"/>
                <w:szCs w:val="20"/>
              </w:rPr>
              <w:t xml:space="preserve"> approved:</w:t>
            </w:r>
          </w:p>
          <w:p w:rsidR="000A6CB1" w:rsidRPr="00335764" w:rsidRDefault="000A6CB1" w:rsidP="00335764">
            <w:pPr>
              <w:spacing w:line="240" w:lineRule="auto"/>
              <w:jc w:val="left"/>
              <w:rPr>
                <w:rFonts w:cs="Arial"/>
                <w:b/>
                <w:sz w:val="20"/>
                <w:szCs w:val="20"/>
              </w:rPr>
            </w:pPr>
          </w:p>
          <w:p w:rsidR="000A6CB1" w:rsidRPr="00335764" w:rsidRDefault="000A6CB1" w:rsidP="00335764">
            <w:pPr>
              <w:spacing w:line="240" w:lineRule="auto"/>
              <w:jc w:val="left"/>
              <w:rPr>
                <w:rFonts w:cs="Arial"/>
                <w:b/>
                <w:sz w:val="20"/>
                <w:szCs w:val="20"/>
              </w:rPr>
            </w:pPr>
            <w:r w:rsidRPr="00335764">
              <w:rPr>
                <w:rFonts w:cs="Arial"/>
                <w:b/>
                <w:sz w:val="20"/>
                <w:szCs w:val="20"/>
              </w:rPr>
              <w:t>Criminal</w:t>
            </w:r>
          </w:p>
          <w:p w:rsidR="000A6CB1" w:rsidRPr="00335764" w:rsidRDefault="000A6CB1" w:rsidP="00335764">
            <w:pPr>
              <w:spacing w:line="240" w:lineRule="auto"/>
              <w:jc w:val="left"/>
              <w:rPr>
                <w:rFonts w:cs="Arial"/>
                <w:b/>
                <w:sz w:val="20"/>
                <w:szCs w:val="20"/>
              </w:rPr>
            </w:pPr>
          </w:p>
          <w:p w:rsidR="000A6CB1" w:rsidRPr="00335764" w:rsidRDefault="000A6CB1" w:rsidP="00335764">
            <w:pPr>
              <w:spacing w:line="240" w:lineRule="auto"/>
              <w:jc w:val="left"/>
              <w:rPr>
                <w:rFonts w:cs="Arial"/>
                <w:b/>
                <w:sz w:val="20"/>
                <w:szCs w:val="20"/>
              </w:rPr>
            </w:pPr>
            <w:r w:rsidRPr="00335764">
              <w:rPr>
                <w:rFonts w:cs="Arial"/>
                <w:b/>
                <w:sz w:val="20"/>
                <w:szCs w:val="20"/>
              </w:rPr>
              <w:t>Civil</w:t>
            </w:r>
          </w:p>
        </w:tc>
        <w:tc>
          <w:tcPr>
            <w:tcW w:w="2089" w:type="dxa"/>
          </w:tcPr>
          <w:p w:rsidR="000A6CB1" w:rsidRPr="00335764" w:rsidRDefault="000A6CB1" w:rsidP="00335764">
            <w:pPr>
              <w:spacing w:line="240" w:lineRule="auto"/>
              <w:jc w:val="left"/>
              <w:rPr>
                <w:rFonts w:cs="Arial"/>
                <w:sz w:val="20"/>
                <w:szCs w:val="20"/>
              </w:rPr>
            </w:pPr>
            <w:r w:rsidRPr="00335764">
              <w:rPr>
                <w:rFonts w:cs="Arial"/>
                <w:sz w:val="20"/>
                <w:szCs w:val="20"/>
              </w:rPr>
              <w:t>Legal Aid Services</w:t>
            </w:r>
          </w:p>
        </w:tc>
        <w:tc>
          <w:tcPr>
            <w:tcW w:w="1357" w:type="dxa"/>
          </w:tcPr>
          <w:p w:rsidR="000A6CB1" w:rsidRPr="00335764" w:rsidRDefault="000A6CB1" w:rsidP="00335764">
            <w:pPr>
              <w:spacing w:line="240" w:lineRule="auto"/>
              <w:jc w:val="left"/>
              <w:rPr>
                <w:rFonts w:cs="Arial"/>
                <w:bCs/>
                <w:sz w:val="20"/>
                <w:szCs w:val="20"/>
              </w:rPr>
            </w:pPr>
          </w:p>
          <w:p w:rsidR="000A6CB1" w:rsidRPr="00335764" w:rsidRDefault="000A6CB1" w:rsidP="00335764">
            <w:pPr>
              <w:spacing w:line="240" w:lineRule="auto"/>
              <w:jc w:val="left"/>
              <w:rPr>
                <w:rFonts w:cs="Arial"/>
                <w:bCs/>
                <w:sz w:val="20"/>
                <w:szCs w:val="20"/>
              </w:rPr>
            </w:pPr>
          </w:p>
          <w:p w:rsidR="000A6CB1" w:rsidRPr="00335764" w:rsidRDefault="000A6CB1" w:rsidP="00335764">
            <w:pPr>
              <w:spacing w:line="240" w:lineRule="auto"/>
              <w:jc w:val="left"/>
              <w:rPr>
                <w:rFonts w:cs="Arial"/>
                <w:bCs/>
                <w:sz w:val="20"/>
                <w:szCs w:val="20"/>
              </w:rPr>
            </w:pPr>
          </w:p>
          <w:p w:rsidR="000A6CB1" w:rsidRPr="00335764" w:rsidRDefault="000A6CB1" w:rsidP="00335764">
            <w:pPr>
              <w:spacing w:line="240" w:lineRule="auto"/>
              <w:jc w:val="left"/>
              <w:rPr>
                <w:rFonts w:cs="Arial"/>
                <w:bCs/>
                <w:sz w:val="20"/>
                <w:szCs w:val="20"/>
              </w:rPr>
            </w:pPr>
            <w:r w:rsidRPr="00335764">
              <w:rPr>
                <w:rFonts w:cs="Arial"/>
                <w:bCs/>
                <w:sz w:val="20"/>
                <w:szCs w:val="20"/>
              </w:rPr>
              <w:t>321 870</w:t>
            </w:r>
          </w:p>
          <w:p w:rsidR="000A6CB1" w:rsidRPr="00335764" w:rsidRDefault="000A6CB1" w:rsidP="00335764">
            <w:pPr>
              <w:spacing w:line="240" w:lineRule="auto"/>
              <w:jc w:val="left"/>
              <w:rPr>
                <w:rFonts w:cs="Arial"/>
                <w:bCs/>
                <w:sz w:val="20"/>
                <w:szCs w:val="20"/>
              </w:rPr>
            </w:pPr>
          </w:p>
          <w:p w:rsidR="000A6CB1" w:rsidRPr="00335764" w:rsidRDefault="000A6CB1" w:rsidP="00335764">
            <w:pPr>
              <w:spacing w:line="240" w:lineRule="auto"/>
              <w:jc w:val="left"/>
              <w:rPr>
                <w:rFonts w:cs="Arial"/>
                <w:bCs/>
                <w:sz w:val="20"/>
                <w:szCs w:val="20"/>
              </w:rPr>
            </w:pPr>
            <w:r w:rsidRPr="00335764">
              <w:rPr>
                <w:rFonts w:cs="Arial"/>
                <w:bCs/>
                <w:sz w:val="20"/>
                <w:szCs w:val="20"/>
              </w:rPr>
              <w:t>43 891</w:t>
            </w:r>
          </w:p>
        </w:tc>
        <w:tc>
          <w:tcPr>
            <w:tcW w:w="1759" w:type="dxa"/>
          </w:tcPr>
          <w:p w:rsidR="000A6CB1" w:rsidRPr="00335764" w:rsidRDefault="000A6CB1" w:rsidP="00335764">
            <w:pPr>
              <w:spacing w:line="240" w:lineRule="auto"/>
              <w:jc w:val="left"/>
              <w:rPr>
                <w:rFonts w:cs="Arial"/>
                <w:bCs/>
                <w:sz w:val="20"/>
                <w:szCs w:val="20"/>
              </w:rPr>
            </w:pPr>
          </w:p>
          <w:p w:rsidR="000A6CB1" w:rsidRPr="00335764" w:rsidRDefault="000A6CB1" w:rsidP="00335764">
            <w:pPr>
              <w:spacing w:line="240" w:lineRule="auto"/>
              <w:jc w:val="left"/>
              <w:rPr>
                <w:rFonts w:cs="Arial"/>
                <w:bCs/>
                <w:sz w:val="20"/>
                <w:szCs w:val="20"/>
              </w:rPr>
            </w:pPr>
          </w:p>
          <w:p w:rsidR="000A6CB1" w:rsidRPr="00335764" w:rsidRDefault="000A6CB1" w:rsidP="00335764">
            <w:pPr>
              <w:spacing w:line="240" w:lineRule="auto"/>
              <w:jc w:val="left"/>
              <w:rPr>
                <w:rFonts w:cs="Arial"/>
                <w:bCs/>
                <w:sz w:val="20"/>
                <w:szCs w:val="20"/>
              </w:rPr>
            </w:pPr>
          </w:p>
          <w:p w:rsidR="000A6CB1" w:rsidRPr="00335764" w:rsidRDefault="000A6CB1" w:rsidP="00335764">
            <w:pPr>
              <w:spacing w:line="240" w:lineRule="auto"/>
              <w:jc w:val="left"/>
              <w:rPr>
                <w:rFonts w:cs="Arial"/>
                <w:bCs/>
                <w:sz w:val="20"/>
                <w:szCs w:val="20"/>
              </w:rPr>
            </w:pPr>
            <w:r w:rsidRPr="00335764">
              <w:rPr>
                <w:rFonts w:cs="Arial"/>
                <w:bCs/>
                <w:sz w:val="20"/>
                <w:szCs w:val="20"/>
              </w:rPr>
              <w:t>337 963</w:t>
            </w:r>
          </w:p>
          <w:p w:rsidR="000A6CB1" w:rsidRPr="00335764" w:rsidRDefault="000A6CB1" w:rsidP="00335764">
            <w:pPr>
              <w:spacing w:line="240" w:lineRule="auto"/>
              <w:jc w:val="left"/>
              <w:rPr>
                <w:rFonts w:cs="Arial"/>
                <w:bCs/>
                <w:sz w:val="20"/>
                <w:szCs w:val="20"/>
              </w:rPr>
            </w:pPr>
          </w:p>
          <w:p w:rsidR="000A6CB1" w:rsidRPr="00335764" w:rsidRDefault="000A6CB1" w:rsidP="00335764">
            <w:pPr>
              <w:spacing w:line="240" w:lineRule="auto"/>
              <w:jc w:val="left"/>
              <w:rPr>
                <w:rFonts w:cs="Arial"/>
                <w:bCs/>
                <w:sz w:val="20"/>
                <w:szCs w:val="20"/>
              </w:rPr>
            </w:pPr>
            <w:r w:rsidRPr="00335764">
              <w:rPr>
                <w:rFonts w:cs="Arial"/>
                <w:bCs/>
                <w:sz w:val="20"/>
                <w:szCs w:val="20"/>
              </w:rPr>
              <w:t>46 984</w:t>
            </w:r>
          </w:p>
        </w:tc>
        <w:tc>
          <w:tcPr>
            <w:tcW w:w="1562" w:type="dxa"/>
          </w:tcPr>
          <w:p w:rsidR="000A6CB1" w:rsidRPr="00335764" w:rsidRDefault="000A6CB1" w:rsidP="00335764">
            <w:pPr>
              <w:spacing w:line="240" w:lineRule="auto"/>
              <w:jc w:val="left"/>
              <w:rPr>
                <w:rFonts w:cs="Arial"/>
                <w:bCs/>
                <w:sz w:val="20"/>
                <w:szCs w:val="20"/>
              </w:rPr>
            </w:pPr>
          </w:p>
          <w:p w:rsidR="000A6CB1" w:rsidRPr="00335764" w:rsidRDefault="000A6CB1" w:rsidP="00335764">
            <w:pPr>
              <w:spacing w:line="240" w:lineRule="auto"/>
              <w:jc w:val="left"/>
              <w:rPr>
                <w:rFonts w:cs="Arial"/>
                <w:bCs/>
                <w:sz w:val="20"/>
                <w:szCs w:val="20"/>
              </w:rPr>
            </w:pPr>
          </w:p>
          <w:p w:rsidR="000A6CB1" w:rsidRPr="00335764" w:rsidRDefault="000A6CB1" w:rsidP="00335764">
            <w:pPr>
              <w:spacing w:line="240" w:lineRule="auto"/>
              <w:jc w:val="left"/>
              <w:rPr>
                <w:rFonts w:cs="Arial"/>
                <w:bCs/>
                <w:sz w:val="20"/>
                <w:szCs w:val="20"/>
              </w:rPr>
            </w:pPr>
          </w:p>
          <w:p w:rsidR="000A6CB1" w:rsidRPr="00335764" w:rsidRDefault="000A6CB1" w:rsidP="00335764">
            <w:pPr>
              <w:spacing w:line="240" w:lineRule="auto"/>
              <w:jc w:val="left"/>
              <w:rPr>
                <w:rFonts w:cs="Arial"/>
                <w:bCs/>
                <w:sz w:val="20"/>
                <w:szCs w:val="20"/>
              </w:rPr>
            </w:pPr>
            <w:r w:rsidRPr="00335764">
              <w:rPr>
                <w:rFonts w:cs="Arial"/>
                <w:bCs/>
                <w:sz w:val="20"/>
                <w:szCs w:val="20"/>
              </w:rPr>
              <w:t>354 861</w:t>
            </w:r>
          </w:p>
          <w:p w:rsidR="000A6CB1" w:rsidRPr="00335764" w:rsidRDefault="000A6CB1" w:rsidP="00335764">
            <w:pPr>
              <w:spacing w:line="240" w:lineRule="auto"/>
              <w:jc w:val="left"/>
              <w:rPr>
                <w:rFonts w:cs="Arial"/>
                <w:bCs/>
                <w:sz w:val="20"/>
                <w:szCs w:val="20"/>
              </w:rPr>
            </w:pPr>
          </w:p>
          <w:p w:rsidR="000A6CB1" w:rsidRPr="00335764" w:rsidRDefault="000A6CB1" w:rsidP="00335764">
            <w:pPr>
              <w:spacing w:line="240" w:lineRule="auto"/>
              <w:jc w:val="left"/>
              <w:rPr>
                <w:rFonts w:cs="Arial"/>
                <w:bCs/>
                <w:sz w:val="20"/>
                <w:szCs w:val="20"/>
              </w:rPr>
            </w:pPr>
            <w:r w:rsidRPr="00335764">
              <w:rPr>
                <w:rFonts w:cs="Arial"/>
                <w:bCs/>
                <w:sz w:val="20"/>
                <w:szCs w:val="20"/>
              </w:rPr>
              <w:t>48 390</w:t>
            </w:r>
          </w:p>
        </w:tc>
      </w:tr>
      <w:tr w:rsidR="000A6CB1" w:rsidRPr="00335764" w:rsidTr="00631432">
        <w:trPr>
          <w:jc w:val="center"/>
        </w:trPr>
        <w:tc>
          <w:tcPr>
            <w:tcW w:w="2442" w:type="dxa"/>
          </w:tcPr>
          <w:p w:rsidR="000A6CB1" w:rsidRPr="00335764" w:rsidRDefault="000A6CB1" w:rsidP="00335764">
            <w:pPr>
              <w:spacing w:line="240" w:lineRule="auto"/>
              <w:jc w:val="left"/>
              <w:rPr>
                <w:rFonts w:cs="Arial"/>
                <w:b/>
                <w:sz w:val="20"/>
                <w:szCs w:val="20"/>
              </w:rPr>
            </w:pPr>
            <w:r w:rsidRPr="00335764">
              <w:rPr>
                <w:rFonts w:cs="Arial"/>
                <w:b/>
                <w:sz w:val="20"/>
                <w:szCs w:val="20"/>
              </w:rPr>
              <w:lastRenderedPageBreak/>
              <w:t>Finalised legal matters</w:t>
            </w:r>
            <w:r w:rsidR="004D73FB" w:rsidRPr="00335764">
              <w:rPr>
                <w:rFonts w:cs="Arial"/>
                <w:b/>
                <w:sz w:val="20"/>
                <w:szCs w:val="20"/>
              </w:rPr>
              <w:t>:</w:t>
            </w:r>
          </w:p>
          <w:p w:rsidR="004D73FB" w:rsidRPr="00335764" w:rsidRDefault="004D73FB" w:rsidP="00335764">
            <w:pPr>
              <w:spacing w:line="240" w:lineRule="auto"/>
              <w:jc w:val="left"/>
              <w:rPr>
                <w:rFonts w:cs="Arial"/>
                <w:b/>
                <w:sz w:val="20"/>
                <w:szCs w:val="20"/>
              </w:rPr>
            </w:pPr>
          </w:p>
          <w:p w:rsidR="000A6CB1" w:rsidRPr="00335764" w:rsidRDefault="000A6CB1" w:rsidP="00335764">
            <w:pPr>
              <w:spacing w:line="240" w:lineRule="auto"/>
              <w:jc w:val="left"/>
              <w:rPr>
                <w:rFonts w:cs="Arial"/>
                <w:b/>
                <w:sz w:val="20"/>
                <w:szCs w:val="20"/>
              </w:rPr>
            </w:pPr>
            <w:r w:rsidRPr="00335764">
              <w:rPr>
                <w:rFonts w:cs="Arial"/>
                <w:b/>
                <w:sz w:val="20"/>
                <w:szCs w:val="20"/>
              </w:rPr>
              <w:t>Criminal</w:t>
            </w:r>
          </w:p>
          <w:p w:rsidR="000A6CB1" w:rsidRPr="00335764" w:rsidRDefault="000A6CB1" w:rsidP="00335764">
            <w:pPr>
              <w:spacing w:line="240" w:lineRule="auto"/>
              <w:jc w:val="left"/>
              <w:rPr>
                <w:rFonts w:cs="Arial"/>
                <w:b/>
                <w:sz w:val="20"/>
                <w:szCs w:val="20"/>
              </w:rPr>
            </w:pPr>
          </w:p>
          <w:p w:rsidR="000A6CB1" w:rsidRPr="00335764" w:rsidRDefault="000A6CB1" w:rsidP="00335764">
            <w:pPr>
              <w:spacing w:line="240" w:lineRule="auto"/>
              <w:jc w:val="left"/>
              <w:rPr>
                <w:rFonts w:cs="Arial"/>
                <w:b/>
                <w:sz w:val="20"/>
                <w:szCs w:val="20"/>
              </w:rPr>
            </w:pPr>
            <w:r w:rsidRPr="00335764">
              <w:rPr>
                <w:rFonts w:cs="Arial"/>
                <w:b/>
                <w:sz w:val="20"/>
                <w:szCs w:val="20"/>
              </w:rPr>
              <w:t>Civil</w:t>
            </w:r>
          </w:p>
        </w:tc>
        <w:tc>
          <w:tcPr>
            <w:tcW w:w="2089" w:type="dxa"/>
          </w:tcPr>
          <w:p w:rsidR="000A6CB1" w:rsidRPr="00335764" w:rsidRDefault="000A6CB1" w:rsidP="00335764">
            <w:pPr>
              <w:spacing w:line="240" w:lineRule="auto"/>
              <w:jc w:val="left"/>
              <w:rPr>
                <w:rFonts w:cs="Arial"/>
                <w:sz w:val="20"/>
                <w:szCs w:val="20"/>
              </w:rPr>
            </w:pPr>
            <w:r w:rsidRPr="00335764">
              <w:rPr>
                <w:rFonts w:cs="Arial"/>
                <w:sz w:val="20"/>
                <w:szCs w:val="20"/>
              </w:rPr>
              <w:t>Legal Aid Services</w:t>
            </w:r>
          </w:p>
        </w:tc>
        <w:tc>
          <w:tcPr>
            <w:tcW w:w="1357" w:type="dxa"/>
          </w:tcPr>
          <w:p w:rsidR="000A6CB1" w:rsidRPr="00335764" w:rsidRDefault="000A6CB1" w:rsidP="00335764">
            <w:pPr>
              <w:spacing w:line="240" w:lineRule="auto"/>
              <w:jc w:val="left"/>
              <w:rPr>
                <w:rFonts w:cs="Arial"/>
                <w:bCs/>
                <w:sz w:val="20"/>
                <w:szCs w:val="20"/>
              </w:rPr>
            </w:pPr>
          </w:p>
          <w:p w:rsidR="000A6CB1" w:rsidRPr="00335764" w:rsidRDefault="000A6CB1" w:rsidP="00335764">
            <w:pPr>
              <w:spacing w:line="240" w:lineRule="auto"/>
              <w:jc w:val="left"/>
              <w:rPr>
                <w:rFonts w:cs="Arial"/>
                <w:bCs/>
                <w:sz w:val="20"/>
                <w:szCs w:val="20"/>
              </w:rPr>
            </w:pPr>
          </w:p>
          <w:p w:rsidR="004D73FB" w:rsidRPr="00335764" w:rsidRDefault="004D73FB" w:rsidP="00335764">
            <w:pPr>
              <w:spacing w:line="240" w:lineRule="auto"/>
              <w:jc w:val="left"/>
              <w:rPr>
                <w:rFonts w:cs="Arial"/>
                <w:bCs/>
                <w:sz w:val="20"/>
                <w:szCs w:val="20"/>
              </w:rPr>
            </w:pPr>
          </w:p>
          <w:p w:rsidR="000A6CB1" w:rsidRPr="00335764" w:rsidRDefault="000A6CB1" w:rsidP="00335764">
            <w:pPr>
              <w:spacing w:line="240" w:lineRule="auto"/>
              <w:jc w:val="left"/>
              <w:rPr>
                <w:rFonts w:cs="Arial"/>
                <w:bCs/>
                <w:sz w:val="20"/>
                <w:szCs w:val="20"/>
              </w:rPr>
            </w:pPr>
            <w:r w:rsidRPr="00335764">
              <w:rPr>
                <w:rFonts w:cs="Arial"/>
                <w:bCs/>
                <w:sz w:val="20"/>
                <w:szCs w:val="20"/>
              </w:rPr>
              <w:t>344 622</w:t>
            </w:r>
          </w:p>
          <w:p w:rsidR="000A6CB1" w:rsidRPr="00335764" w:rsidRDefault="000A6CB1" w:rsidP="00335764">
            <w:pPr>
              <w:spacing w:line="240" w:lineRule="auto"/>
              <w:jc w:val="left"/>
              <w:rPr>
                <w:rFonts w:cs="Arial"/>
                <w:bCs/>
                <w:sz w:val="20"/>
                <w:szCs w:val="20"/>
              </w:rPr>
            </w:pPr>
          </w:p>
          <w:p w:rsidR="000A6CB1" w:rsidRPr="00335764" w:rsidRDefault="000A6CB1" w:rsidP="00335764">
            <w:pPr>
              <w:spacing w:line="240" w:lineRule="auto"/>
              <w:jc w:val="left"/>
              <w:rPr>
                <w:rFonts w:cs="Arial"/>
                <w:bCs/>
                <w:sz w:val="20"/>
                <w:szCs w:val="20"/>
              </w:rPr>
            </w:pPr>
            <w:r w:rsidRPr="00335764">
              <w:rPr>
                <w:rFonts w:cs="Arial"/>
                <w:bCs/>
                <w:sz w:val="20"/>
                <w:szCs w:val="20"/>
              </w:rPr>
              <w:t>46 994</w:t>
            </w:r>
          </w:p>
        </w:tc>
        <w:tc>
          <w:tcPr>
            <w:tcW w:w="1759" w:type="dxa"/>
          </w:tcPr>
          <w:p w:rsidR="000A6CB1" w:rsidRPr="00335764" w:rsidRDefault="000A6CB1" w:rsidP="00335764">
            <w:pPr>
              <w:spacing w:line="240" w:lineRule="auto"/>
              <w:jc w:val="left"/>
              <w:rPr>
                <w:rFonts w:cs="Arial"/>
                <w:bCs/>
                <w:sz w:val="20"/>
                <w:szCs w:val="20"/>
              </w:rPr>
            </w:pPr>
          </w:p>
          <w:p w:rsidR="000A6CB1" w:rsidRPr="00335764" w:rsidRDefault="000A6CB1" w:rsidP="00335764">
            <w:pPr>
              <w:spacing w:line="240" w:lineRule="auto"/>
              <w:jc w:val="left"/>
              <w:rPr>
                <w:rFonts w:cs="Arial"/>
                <w:bCs/>
                <w:sz w:val="20"/>
                <w:szCs w:val="20"/>
              </w:rPr>
            </w:pPr>
          </w:p>
          <w:p w:rsidR="004D73FB" w:rsidRPr="00335764" w:rsidRDefault="004D73FB" w:rsidP="00335764">
            <w:pPr>
              <w:spacing w:line="240" w:lineRule="auto"/>
              <w:jc w:val="left"/>
              <w:rPr>
                <w:rFonts w:cs="Arial"/>
                <w:bCs/>
                <w:sz w:val="20"/>
                <w:szCs w:val="20"/>
              </w:rPr>
            </w:pPr>
          </w:p>
          <w:p w:rsidR="000A6CB1" w:rsidRPr="00335764" w:rsidRDefault="000A6CB1" w:rsidP="00335764">
            <w:pPr>
              <w:spacing w:line="240" w:lineRule="auto"/>
              <w:jc w:val="left"/>
              <w:rPr>
                <w:rFonts w:cs="Arial"/>
                <w:bCs/>
                <w:sz w:val="20"/>
                <w:szCs w:val="20"/>
              </w:rPr>
            </w:pPr>
            <w:r w:rsidRPr="00335764">
              <w:rPr>
                <w:rFonts w:cs="Arial"/>
                <w:bCs/>
                <w:sz w:val="20"/>
                <w:szCs w:val="20"/>
              </w:rPr>
              <w:t>361 863</w:t>
            </w:r>
          </w:p>
          <w:p w:rsidR="000A6CB1" w:rsidRPr="00335764" w:rsidRDefault="000A6CB1" w:rsidP="00335764">
            <w:pPr>
              <w:spacing w:line="240" w:lineRule="auto"/>
              <w:jc w:val="left"/>
              <w:rPr>
                <w:rFonts w:cs="Arial"/>
                <w:bCs/>
                <w:sz w:val="20"/>
                <w:szCs w:val="20"/>
              </w:rPr>
            </w:pPr>
          </w:p>
          <w:p w:rsidR="000A6CB1" w:rsidRPr="00335764" w:rsidRDefault="000A6CB1" w:rsidP="00335764">
            <w:pPr>
              <w:spacing w:line="240" w:lineRule="auto"/>
              <w:jc w:val="left"/>
              <w:rPr>
                <w:rFonts w:cs="Arial"/>
                <w:bCs/>
                <w:sz w:val="20"/>
                <w:szCs w:val="20"/>
              </w:rPr>
            </w:pPr>
            <w:r w:rsidRPr="00335764">
              <w:rPr>
                <w:rFonts w:cs="Arial"/>
                <w:bCs/>
                <w:sz w:val="20"/>
                <w:szCs w:val="20"/>
              </w:rPr>
              <w:t>49 344</w:t>
            </w:r>
          </w:p>
        </w:tc>
        <w:tc>
          <w:tcPr>
            <w:tcW w:w="1562" w:type="dxa"/>
          </w:tcPr>
          <w:p w:rsidR="000A6CB1" w:rsidRPr="00335764" w:rsidRDefault="000A6CB1" w:rsidP="00335764">
            <w:pPr>
              <w:spacing w:line="240" w:lineRule="auto"/>
              <w:jc w:val="left"/>
              <w:rPr>
                <w:rFonts w:cs="Arial"/>
                <w:bCs/>
                <w:sz w:val="20"/>
                <w:szCs w:val="20"/>
              </w:rPr>
            </w:pPr>
          </w:p>
          <w:p w:rsidR="000A6CB1" w:rsidRPr="00335764" w:rsidRDefault="000A6CB1" w:rsidP="00335764">
            <w:pPr>
              <w:spacing w:line="240" w:lineRule="auto"/>
              <w:jc w:val="left"/>
              <w:rPr>
                <w:rFonts w:cs="Arial"/>
                <w:bCs/>
                <w:sz w:val="20"/>
                <w:szCs w:val="20"/>
              </w:rPr>
            </w:pPr>
          </w:p>
          <w:p w:rsidR="004D73FB" w:rsidRPr="00335764" w:rsidRDefault="004D73FB" w:rsidP="00335764">
            <w:pPr>
              <w:spacing w:line="240" w:lineRule="auto"/>
              <w:jc w:val="left"/>
              <w:rPr>
                <w:rFonts w:cs="Arial"/>
                <w:bCs/>
                <w:sz w:val="20"/>
                <w:szCs w:val="20"/>
              </w:rPr>
            </w:pPr>
          </w:p>
          <w:p w:rsidR="000A6CB1" w:rsidRPr="00335764" w:rsidRDefault="000A6CB1" w:rsidP="00335764">
            <w:pPr>
              <w:spacing w:line="240" w:lineRule="auto"/>
              <w:jc w:val="left"/>
              <w:rPr>
                <w:rFonts w:cs="Arial"/>
                <w:bCs/>
                <w:sz w:val="20"/>
                <w:szCs w:val="20"/>
              </w:rPr>
            </w:pPr>
            <w:r w:rsidRPr="00335764">
              <w:rPr>
                <w:rFonts w:cs="Arial"/>
                <w:bCs/>
                <w:sz w:val="20"/>
                <w:szCs w:val="20"/>
              </w:rPr>
              <w:t>379 946</w:t>
            </w:r>
          </w:p>
          <w:p w:rsidR="000A6CB1" w:rsidRPr="00335764" w:rsidRDefault="000A6CB1" w:rsidP="00335764">
            <w:pPr>
              <w:spacing w:line="240" w:lineRule="auto"/>
              <w:jc w:val="left"/>
              <w:rPr>
                <w:rFonts w:cs="Arial"/>
                <w:bCs/>
                <w:sz w:val="20"/>
                <w:szCs w:val="20"/>
              </w:rPr>
            </w:pPr>
          </w:p>
          <w:p w:rsidR="000A6CB1" w:rsidRPr="00335764" w:rsidRDefault="000A6CB1" w:rsidP="00335764">
            <w:pPr>
              <w:spacing w:line="240" w:lineRule="auto"/>
              <w:jc w:val="left"/>
              <w:rPr>
                <w:rFonts w:cs="Arial"/>
                <w:bCs/>
                <w:sz w:val="20"/>
                <w:szCs w:val="20"/>
              </w:rPr>
            </w:pPr>
            <w:r w:rsidRPr="00335764">
              <w:rPr>
                <w:rFonts w:cs="Arial"/>
                <w:bCs/>
                <w:sz w:val="20"/>
                <w:szCs w:val="20"/>
              </w:rPr>
              <w:t>51 810</w:t>
            </w:r>
          </w:p>
        </w:tc>
      </w:tr>
      <w:tr w:rsidR="000A6CB1" w:rsidRPr="00335764" w:rsidTr="00631432">
        <w:trPr>
          <w:jc w:val="center"/>
        </w:trPr>
        <w:tc>
          <w:tcPr>
            <w:tcW w:w="2442" w:type="dxa"/>
          </w:tcPr>
          <w:p w:rsidR="000A6CB1" w:rsidRPr="00335764" w:rsidRDefault="000A6CB1" w:rsidP="00335764">
            <w:pPr>
              <w:spacing w:line="240" w:lineRule="auto"/>
              <w:jc w:val="left"/>
              <w:rPr>
                <w:rFonts w:cs="Arial"/>
                <w:b/>
                <w:sz w:val="20"/>
                <w:szCs w:val="20"/>
              </w:rPr>
            </w:pPr>
            <w:r w:rsidRPr="00335764">
              <w:rPr>
                <w:rFonts w:cs="Arial"/>
                <w:b/>
                <w:sz w:val="20"/>
                <w:szCs w:val="20"/>
              </w:rPr>
              <w:t>Percentage of annual coverage of legal practitioner per district court per year</w:t>
            </w:r>
          </w:p>
        </w:tc>
        <w:tc>
          <w:tcPr>
            <w:tcW w:w="2089" w:type="dxa"/>
          </w:tcPr>
          <w:p w:rsidR="000A6CB1" w:rsidRPr="00335764" w:rsidRDefault="000A6CB1" w:rsidP="00335764">
            <w:pPr>
              <w:spacing w:line="240" w:lineRule="auto"/>
              <w:jc w:val="left"/>
              <w:rPr>
                <w:rFonts w:cs="Arial"/>
                <w:sz w:val="20"/>
                <w:szCs w:val="20"/>
              </w:rPr>
            </w:pPr>
            <w:r w:rsidRPr="00335764">
              <w:rPr>
                <w:rFonts w:cs="Arial"/>
                <w:sz w:val="20"/>
                <w:szCs w:val="20"/>
              </w:rPr>
              <w:t>Legal Aid Services</w:t>
            </w:r>
          </w:p>
        </w:tc>
        <w:tc>
          <w:tcPr>
            <w:tcW w:w="1357" w:type="dxa"/>
          </w:tcPr>
          <w:p w:rsidR="000A6CB1" w:rsidRPr="00335764" w:rsidRDefault="000A6CB1" w:rsidP="00335764">
            <w:pPr>
              <w:spacing w:line="240" w:lineRule="auto"/>
              <w:jc w:val="left"/>
              <w:rPr>
                <w:rFonts w:cs="Arial"/>
                <w:bCs/>
                <w:sz w:val="20"/>
                <w:szCs w:val="20"/>
              </w:rPr>
            </w:pPr>
            <w:r w:rsidRPr="00335764">
              <w:rPr>
                <w:rFonts w:cs="Arial"/>
                <w:bCs/>
                <w:sz w:val="20"/>
                <w:szCs w:val="20"/>
              </w:rPr>
              <w:t>85%</w:t>
            </w:r>
          </w:p>
        </w:tc>
        <w:tc>
          <w:tcPr>
            <w:tcW w:w="1759" w:type="dxa"/>
          </w:tcPr>
          <w:p w:rsidR="000A6CB1" w:rsidRPr="00335764" w:rsidRDefault="000A6CB1" w:rsidP="00335764">
            <w:pPr>
              <w:spacing w:line="240" w:lineRule="auto"/>
              <w:jc w:val="left"/>
              <w:rPr>
                <w:rFonts w:cs="Arial"/>
                <w:bCs/>
                <w:sz w:val="20"/>
                <w:szCs w:val="20"/>
              </w:rPr>
            </w:pPr>
            <w:r w:rsidRPr="00335764">
              <w:rPr>
                <w:rFonts w:cs="Arial"/>
                <w:bCs/>
                <w:sz w:val="20"/>
                <w:szCs w:val="20"/>
              </w:rPr>
              <w:t>85%</w:t>
            </w:r>
          </w:p>
        </w:tc>
        <w:tc>
          <w:tcPr>
            <w:tcW w:w="1562" w:type="dxa"/>
          </w:tcPr>
          <w:p w:rsidR="000A6CB1" w:rsidRPr="00335764" w:rsidRDefault="000A6CB1" w:rsidP="00335764">
            <w:pPr>
              <w:spacing w:line="240" w:lineRule="auto"/>
              <w:jc w:val="left"/>
              <w:rPr>
                <w:rFonts w:cs="Arial"/>
                <w:bCs/>
                <w:sz w:val="20"/>
                <w:szCs w:val="20"/>
              </w:rPr>
            </w:pPr>
            <w:r w:rsidRPr="00335764">
              <w:rPr>
                <w:rFonts w:cs="Arial"/>
                <w:bCs/>
                <w:sz w:val="20"/>
                <w:szCs w:val="20"/>
              </w:rPr>
              <w:t>85%</w:t>
            </w:r>
          </w:p>
        </w:tc>
      </w:tr>
      <w:tr w:rsidR="000A6CB1" w:rsidRPr="00335764" w:rsidTr="00631432">
        <w:trPr>
          <w:trHeight w:val="556"/>
          <w:jc w:val="center"/>
        </w:trPr>
        <w:tc>
          <w:tcPr>
            <w:tcW w:w="2442" w:type="dxa"/>
          </w:tcPr>
          <w:p w:rsidR="000A6CB1" w:rsidRPr="00335764" w:rsidRDefault="000A6CB1" w:rsidP="00335764">
            <w:pPr>
              <w:spacing w:line="240" w:lineRule="auto"/>
              <w:jc w:val="left"/>
              <w:rPr>
                <w:rFonts w:cs="Arial"/>
                <w:b/>
                <w:sz w:val="20"/>
                <w:szCs w:val="20"/>
              </w:rPr>
            </w:pPr>
            <w:r w:rsidRPr="00335764">
              <w:rPr>
                <w:rFonts w:cs="Arial"/>
                <w:b/>
                <w:sz w:val="20"/>
                <w:szCs w:val="20"/>
              </w:rPr>
              <w:t>Percentage of annual coverage of legal practitioner per DC</w:t>
            </w:r>
          </w:p>
        </w:tc>
        <w:tc>
          <w:tcPr>
            <w:tcW w:w="2089" w:type="dxa"/>
          </w:tcPr>
          <w:p w:rsidR="000A6CB1" w:rsidRPr="00335764" w:rsidRDefault="000A6CB1" w:rsidP="00335764">
            <w:pPr>
              <w:spacing w:line="240" w:lineRule="auto"/>
              <w:jc w:val="left"/>
              <w:rPr>
                <w:rFonts w:cs="Arial"/>
                <w:sz w:val="20"/>
                <w:szCs w:val="20"/>
              </w:rPr>
            </w:pPr>
            <w:r w:rsidRPr="00335764">
              <w:rPr>
                <w:rFonts w:cs="Arial"/>
                <w:sz w:val="20"/>
                <w:szCs w:val="20"/>
              </w:rPr>
              <w:t>Legal Aid Services</w:t>
            </w:r>
          </w:p>
        </w:tc>
        <w:tc>
          <w:tcPr>
            <w:tcW w:w="1357" w:type="dxa"/>
          </w:tcPr>
          <w:p w:rsidR="000A6CB1" w:rsidRPr="00335764" w:rsidRDefault="000A6CB1" w:rsidP="00335764">
            <w:pPr>
              <w:spacing w:line="240" w:lineRule="auto"/>
              <w:jc w:val="left"/>
              <w:rPr>
                <w:rFonts w:cs="Arial"/>
                <w:bCs/>
                <w:sz w:val="20"/>
                <w:szCs w:val="20"/>
              </w:rPr>
            </w:pPr>
            <w:r w:rsidRPr="00335764">
              <w:rPr>
                <w:rFonts w:cs="Arial"/>
                <w:bCs/>
                <w:sz w:val="20"/>
                <w:szCs w:val="20"/>
              </w:rPr>
              <w:t>90%</w:t>
            </w:r>
          </w:p>
        </w:tc>
        <w:tc>
          <w:tcPr>
            <w:tcW w:w="1759" w:type="dxa"/>
          </w:tcPr>
          <w:p w:rsidR="000A6CB1" w:rsidRPr="00335764" w:rsidRDefault="000A6CB1" w:rsidP="00335764">
            <w:pPr>
              <w:spacing w:line="240" w:lineRule="auto"/>
              <w:jc w:val="left"/>
              <w:rPr>
                <w:rFonts w:cs="Arial"/>
                <w:bCs/>
                <w:sz w:val="20"/>
                <w:szCs w:val="20"/>
              </w:rPr>
            </w:pPr>
            <w:r w:rsidRPr="00335764">
              <w:rPr>
                <w:rFonts w:cs="Arial"/>
                <w:bCs/>
                <w:sz w:val="20"/>
                <w:szCs w:val="20"/>
              </w:rPr>
              <w:t>90%</w:t>
            </w:r>
          </w:p>
        </w:tc>
        <w:tc>
          <w:tcPr>
            <w:tcW w:w="1562" w:type="dxa"/>
          </w:tcPr>
          <w:p w:rsidR="000A6CB1" w:rsidRPr="00335764" w:rsidRDefault="000A6CB1" w:rsidP="00335764">
            <w:pPr>
              <w:spacing w:line="240" w:lineRule="auto"/>
              <w:jc w:val="left"/>
              <w:rPr>
                <w:rFonts w:cs="Arial"/>
                <w:bCs/>
                <w:sz w:val="20"/>
                <w:szCs w:val="20"/>
              </w:rPr>
            </w:pPr>
            <w:r w:rsidRPr="00335764">
              <w:rPr>
                <w:rFonts w:cs="Arial"/>
                <w:bCs/>
                <w:sz w:val="20"/>
                <w:szCs w:val="20"/>
              </w:rPr>
              <w:t>90%</w:t>
            </w:r>
          </w:p>
        </w:tc>
      </w:tr>
      <w:tr w:rsidR="000A6CB1" w:rsidRPr="00335764" w:rsidTr="00631432">
        <w:trPr>
          <w:trHeight w:val="556"/>
          <w:jc w:val="center"/>
        </w:trPr>
        <w:tc>
          <w:tcPr>
            <w:tcW w:w="2442" w:type="dxa"/>
          </w:tcPr>
          <w:p w:rsidR="000A6CB1" w:rsidRPr="00335764" w:rsidRDefault="000A6CB1" w:rsidP="00335764">
            <w:pPr>
              <w:spacing w:line="240" w:lineRule="auto"/>
              <w:jc w:val="left"/>
              <w:rPr>
                <w:rFonts w:cs="Arial"/>
                <w:b/>
                <w:sz w:val="20"/>
                <w:szCs w:val="20"/>
              </w:rPr>
            </w:pPr>
            <w:r w:rsidRPr="00335764">
              <w:rPr>
                <w:rFonts w:cs="Arial"/>
                <w:b/>
                <w:sz w:val="20"/>
                <w:szCs w:val="20"/>
              </w:rPr>
              <w:t>Percentage of annual coverage of legal practitioner per DC</w:t>
            </w:r>
          </w:p>
        </w:tc>
        <w:tc>
          <w:tcPr>
            <w:tcW w:w="2089" w:type="dxa"/>
          </w:tcPr>
          <w:p w:rsidR="000A6CB1" w:rsidRPr="00335764" w:rsidRDefault="000A6CB1" w:rsidP="00335764">
            <w:pPr>
              <w:spacing w:line="240" w:lineRule="auto"/>
              <w:jc w:val="left"/>
              <w:rPr>
                <w:rFonts w:cs="Arial"/>
                <w:sz w:val="20"/>
                <w:szCs w:val="20"/>
              </w:rPr>
            </w:pPr>
            <w:r w:rsidRPr="00335764">
              <w:rPr>
                <w:rFonts w:cs="Arial"/>
                <w:sz w:val="20"/>
                <w:szCs w:val="20"/>
              </w:rPr>
              <w:t>Legal Aid Services</w:t>
            </w:r>
          </w:p>
        </w:tc>
        <w:tc>
          <w:tcPr>
            <w:tcW w:w="1357" w:type="dxa"/>
          </w:tcPr>
          <w:p w:rsidR="000A6CB1" w:rsidRPr="00335764" w:rsidRDefault="000A6CB1" w:rsidP="00335764">
            <w:pPr>
              <w:spacing w:line="240" w:lineRule="auto"/>
              <w:jc w:val="left"/>
              <w:rPr>
                <w:rFonts w:cs="Arial"/>
                <w:bCs/>
                <w:sz w:val="20"/>
                <w:szCs w:val="20"/>
              </w:rPr>
            </w:pPr>
            <w:r w:rsidRPr="00335764">
              <w:rPr>
                <w:rFonts w:cs="Arial"/>
                <w:bCs/>
                <w:sz w:val="20"/>
                <w:szCs w:val="20"/>
              </w:rPr>
              <w:t>80%</w:t>
            </w:r>
          </w:p>
        </w:tc>
        <w:tc>
          <w:tcPr>
            <w:tcW w:w="1759" w:type="dxa"/>
          </w:tcPr>
          <w:p w:rsidR="000A6CB1" w:rsidRPr="00335764" w:rsidRDefault="000A6CB1" w:rsidP="00335764">
            <w:pPr>
              <w:spacing w:line="240" w:lineRule="auto"/>
              <w:jc w:val="left"/>
              <w:rPr>
                <w:rFonts w:cs="Arial"/>
                <w:bCs/>
                <w:sz w:val="20"/>
                <w:szCs w:val="20"/>
              </w:rPr>
            </w:pPr>
            <w:r w:rsidRPr="00335764">
              <w:rPr>
                <w:rFonts w:cs="Arial"/>
                <w:bCs/>
                <w:sz w:val="20"/>
                <w:szCs w:val="20"/>
              </w:rPr>
              <w:t>80%</w:t>
            </w:r>
          </w:p>
        </w:tc>
        <w:tc>
          <w:tcPr>
            <w:tcW w:w="1562" w:type="dxa"/>
          </w:tcPr>
          <w:p w:rsidR="000A6CB1" w:rsidRPr="00335764" w:rsidRDefault="000A6CB1" w:rsidP="00335764">
            <w:pPr>
              <w:spacing w:line="240" w:lineRule="auto"/>
              <w:jc w:val="left"/>
              <w:rPr>
                <w:rFonts w:cs="Arial"/>
                <w:bCs/>
                <w:sz w:val="20"/>
                <w:szCs w:val="20"/>
              </w:rPr>
            </w:pPr>
            <w:r w:rsidRPr="00335764">
              <w:rPr>
                <w:rFonts w:cs="Arial"/>
                <w:bCs/>
                <w:sz w:val="20"/>
                <w:szCs w:val="20"/>
              </w:rPr>
              <w:t>80%</w:t>
            </w:r>
          </w:p>
        </w:tc>
      </w:tr>
      <w:tr w:rsidR="000A6CB1" w:rsidRPr="00335764" w:rsidTr="00631432">
        <w:trPr>
          <w:trHeight w:val="556"/>
          <w:jc w:val="center"/>
        </w:trPr>
        <w:tc>
          <w:tcPr>
            <w:tcW w:w="2442" w:type="dxa"/>
          </w:tcPr>
          <w:p w:rsidR="000A6CB1" w:rsidRPr="00335764" w:rsidRDefault="000A6CB1" w:rsidP="00335764">
            <w:pPr>
              <w:spacing w:line="240" w:lineRule="auto"/>
              <w:jc w:val="left"/>
              <w:rPr>
                <w:rFonts w:cs="Arial"/>
                <w:b/>
                <w:sz w:val="20"/>
                <w:szCs w:val="20"/>
              </w:rPr>
            </w:pPr>
            <w:r w:rsidRPr="00335764">
              <w:rPr>
                <w:rFonts w:cs="Arial"/>
                <w:b/>
                <w:sz w:val="20"/>
                <w:szCs w:val="20"/>
              </w:rPr>
              <w:t>Percentage of annual coverage of legal practitioner per HC</w:t>
            </w:r>
          </w:p>
        </w:tc>
        <w:tc>
          <w:tcPr>
            <w:tcW w:w="2089" w:type="dxa"/>
          </w:tcPr>
          <w:p w:rsidR="000A6CB1" w:rsidRPr="00335764" w:rsidRDefault="000A6CB1" w:rsidP="00335764">
            <w:pPr>
              <w:spacing w:line="240" w:lineRule="auto"/>
              <w:jc w:val="left"/>
              <w:rPr>
                <w:rFonts w:cs="Arial"/>
                <w:sz w:val="20"/>
                <w:szCs w:val="20"/>
              </w:rPr>
            </w:pPr>
            <w:r w:rsidRPr="00335764">
              <w:rPr>
                <w:rFonts w:cs="Arial"/>
                <w:sz w:val="20"/>
                <w:szCs w:val="20"/>
              </w:rPr>
              <w:t>Legal Aid Services</w:t>
            </w:r>
          </w:p>
        </w:tc>
        <w:tc>
          <w:tcPr>
            <w:tcW w:w="1357" w:type="dxa"/>
          </w:tcPr>
          <w:p w:rsidR="000A6CB1" w:rsidRPr="00335764" w:rsidRDefault="000A6CB1" w:rsidP="00335764">
            <w:pPr>
              <w:spacing w:line="240" w:lineRule="auto"/>
              <w:jc w:val="left"/>
              <w:rPr>
                <w:rFonts w:cs="Arial"/>
                <w:bCs/>
                <w:sz w:val="20"/>
                <w:szCs w:val="20"/>
              </w:rPr>
            </w:pPr>
            <w:r w:rsidRPr="00335764">
              <w:rPr>
                <w:rFonts w:cs="Arial"/>
                <w:bCs/>
                <w:sz w:val="20"/>
                <w:szCs w:val="20"/>
              </w:rPr>
              <w:t>All courts</w:t>
            </w:r>
          </w:p>
        </w:tc>
        <w:tc>
          <w:tcPr>
            <w:tcW w:w="1759" w:type="dxa"/>
          </w:tcPr>
          <w:p w:rsidR="000A6CB1" w:rsidRPr="00335764" w:rsidRDefault="000A6CB1" w:rsidP="00335764">
            <w:pPr>
              <w:spacing w:line="240" w:lineRule="auto"/>
              <w:jc w:val="left"/>
              <w:rPr>
                <w:rFonts w:cs="Arial"/>
                <w:bCs/>
                <w:sz w:val="20"/>
                <w:szCs w:val="20"/>
              </w:rPr>
            </w:pPr>
            <w:r w:rsidRPr="00335764">
              <w:rPr>
                <w:rFonts w:cs="Arial"/>
                <w:bCs/>
                <w:sz w:val="20"/>
                <w:szCs w:val="20"/>
              </w:rPr>
              <w:t>All courts</w:t>
            </w:r>
          </w:p>
        </w:tc>
        <w:tc>
          <w:tcPr>
            <w:tcW w:w="1562" w:type="dxa"/>
          </w:tcPr>
          <w:p w:rsidR="000A6CB1" w:rsidRPr="00335764" w:rsidRDefault="000A6CB1" w:rsidP="00335764">
            <w:pPr>
              <w:spacing w:line="240" w:lineRule="auto"/>
              <w:jc w:val="left"/>
              <w:rPr>
                <w:rFonts w:cs="Arial"/>
                <w:bCs/>
                <w:sz w:val="20"/>
                <w:szCs w:val="20"/>
              </w:rPr>
            </w:pPr>
            <w:r w:rsidRPr="00335764">
              <w:rPr>
                <w:rFonts w:cs="Arial"/>
                <w:bCs/>
                <w:sz w:val="20"/>
                <w:szCs w:val="20"/>
              </w:rPr>
              <w:t>All courts</w:t>
            </w:r>
          </w:p>
        </w:tc>
      </w:tr>
      <w:tr w:rsidR="000A6CB1" w:rsidRPr="00335764" w:rsidTr="00631432">
        <w:trPr>
          <w:trHeight w:val="556"/>
          <w:jc w:val="center"/>
        </w:trPr>
        <w:tc>
          <w:tcPr>
            <w:tcW w:w="2442" w:type="dxa"/>
          </w:tcPr>
          <w:p w:rsidR="000A6CB1" w:rsidRPr="00335764" w:rsidRDefault="000A6CB1" w:rsidP="00335764">
            <w:pPr>
              <w:spacing w:line="240" w:lineRule="auto"/>
              <w:jc w:val="left"/>
              <w:rPr>
                <w:rFonts w:cs="Arial"/>
                <w:b/>
                <w:sz w:val="20"/>
                <w:szCs w:val="20"/>
              </w:rPr>
            </w:pPr>
            <w:r w:rsidRPr="00335764">
              <w:rPr>
                <w:rFonts w:cs="Arial"/>
                <w:b/>
                <w:sz w:val="20"/>
                <w:szCs w:val="20"/>
              </w:rPr>
              <w:t>Number of clients</w:t>
            </w:r>
            <w:r w:rsidR="00156470" w:rsidRPr="00335764">
              <w:rPr>
                <w:rFonts w:cs="Arial"/>
                <w:b/>
                <w:sz w:val="20"/>
                <w:szCs w:val="20"/>
              </w:rPr>
              <w:t xml:space="preserve"> </w:t>
            </w:r>
            <w:r w:rsidRPr="00335764">
              <w:rPr>
                <w:rFonts w:cs="Arial"/>
                <w:b/>
                <w:sz w:val="20"/>
                <w:szCs w:val="20"/>
              </w:rPr>
              <w:t>assisted in land</w:t>
            </w:r>
            <w:r w:rsidR="00156470" w:rsidRPr="00335764">
              <w:rPr>
                <w:rFonts w:cs="Arial"/>
                <w:b/>
                <w:sz w:val="20"/>
                <w:szCs w:val="20"/>
              </w:rPr>
              <w:t xml:space="preserve"> </w:t>
            </w:r>
            <w:r w:rsidRPr="00335764">
              <w:rPr>
                <w:rFonts w:cs="Arial"/>
                <w:b/>
                <w:sz w:val="20"/>
                <w:szCs w:val="20"/>
              </w:rPr>
              <w:t>related matters</w:t>
            </w:r>
          </w:p>
        </w:tc>
        <w:tc>
          <w:tcPr>
            <w:tcW w:w="2089" w:type="dxa"/>
          </w:tcPr>
          <w:p w:rsidR="000A6CB1" w:rsidRPr="00335764" w:rsidRDefault="000A6CB1" w:rsidP="00335764">
            <w:pPr>
              <w:spacing w:line="240" w:lineRule="auto"/>
              <w:jc w:val="left"/>
              <w:rPr>
                <w:rFonts w:cs="Arial"/>
                <w:sz w:val="20"/>
                <w:szCs w:val="20"/>
              </w:rPr>
            </w:pPr>
            <w:r w:rsidRPr="00335764">
              <w:rPr>
                <w:rFonts w:cs="Arial"/>
                <w:sz w:val="20"/>
                <w:szCs w:val="20"/>
              </w:rPr>
              <w:t>Legal Aid Services</w:t>
            </w:r>
          </w:p>
        </w:tc>
        <w:tc>
          <w:tcPr>
            <w:tcW w:w="1357" w:type="dxa"/>
          </w:tcPr>
          <w:p w:rsidR="000A6CB1" w:rsidRPr="00335764" w:rsidRDefault="000A6CB1" w:rsidP="00335764">
            <w:pPr>
              <w:spacing w:line="240" w:lineRule="auto"/>
              <w:jc w:val="left"/>
              <w:rPr>
                <w:rFonts w:cs="Arial"/>
                <w:bCs/>
                <w:sz w:val="20"/>
                <w:szCs w:val="20"/>
              </w:rPr>
            </w:pPr>
            <w:r w:rsidRPr="00335764">
              <w:rPr>
                <w:rFonts w:cs="Arial"/>
                <w:bCs/>
                <w:sz w:val="20"/>
                <w:szCs w:val="20"/>
              </w:rPr>
              <w:t>800</w:t>
            </w:r>
          </w:p>
        </w:tc>
        <w:tc>
          <w:tcPr>
            <w:tcW w:w="1759" w:type="dxa"/>
          </w:tcPr>
          <w:p w:rsidR="000A6CB1" w:rsidRPr="00335764" w:rsidRDefault="000A6CB1" w:rsidP="00335764">
            <w:pPr>
              <w:spacing w:line="240" w:lineRule="auto"/>
              <w:jc w:val="left"/>
              <w:rPr>
                <w:rFonts w:cs="Arial"/>
                <w:bCs/>
                <w:sz w:val="20"/>
                <w:szCs w:val="20"/>
              </w:rPr>
            </w:pPr>
            <w:r w:rsidRPr="00335764">
              <w:rPr>
                <w:rFonts w:cs="Arial"/>
                <w:bCs/>
                <w:sz w:val="20"/>
                <w:szCs w:val="20"/>
              </w:rPr>
              <w:t>200</w:t>
            </w:r>
          </w:p>
        </w:tc>
        <w:tc>
          <w:tcPr>
            <w:tcW w:w="1562" w:type="dxa"/>
          </w:tcPr>
          <w:p w:rsidR="000A6CB1" w:rsidRPr="00335764" w:rsidRDefault="000A6CB1" w:rsidP="00335764">
            <w:pPr>
              <w:spacing w:line="240" w:lineRule="auto"/>
              <w:jc w:val="left"/>
              <w:rPr>
                <w:rFonts w:cs="Arial"/>
                <w:bCs/>
                <w:sz w:val="20"/>
                <w:szCs w:val="20"/>
              </w:rPr>
            </w:pPr>
            <w:r w:rsidRPr="00335764">
              <w:rPr>
                <w:rFonts w:cs="Arial"/>
                <w:bCs/>
                <w:sz w:val="20"/>
                <w:szCs w:val="20"/>
              </w:rPr>
              <w:t>200</w:t>
            </w:r>
          </w:p>
        </w:tc>
      </w:tr>
      <w:tr w:rsidR="000A6CB1" w:rsidRPr="00335764" w:rsidTr="00631432">
        <w:trPr>
          <w:trHeight w:val="556"/>
          <w:jc w:val="center"/>
        </w:trPr>
        <w:tc>
          <w:tcPr>
            <w:tcW w:w="2442" w:type="dxa"/>
          </w:tcPr>
          <w:p w:rsidR="000A6CB1" w:rsidRPr="00335764" w:rsidRDefault="000A6CB1" w:rsidP="00335764">
            <w:pPr>
              <w:spacing w:line="240" w:lineRule="auto"/>
              <w:jc w:val="left"/>
              <w:rPr>
                <w:rFonts w:cs="Arial"/>
                <w:b/>
                <w:sz w:val="20"/>
                <w:szCs w:val="20"/>
              </w:rPr>
            </w:pPr>
            <w:r w:rsidRPr="00335764">
              <w:rPr>
                <w:rFonts w:cs="Arial"/>
                <w:b/>
                <w:sz w:val="20"/>
                <w:szCs w:val="20"/>
              </w:rPr>
              <w:t>Strategic litigation addressing social</w:t>
            </w:r>
            <w:r w:rsidR="00156470" w:rsidRPr="00335764">
              <w:rPr>
                <w:rFonts w:cs="Arial"/>
                <w:b/>
                <w:sz w:val="20"/>
                <w:szCs w:val="20"/>
              </w:rPr>
              <w:t xml:space="preserve"> </w:t>
            </w:r>
            <w:r w:rsidR="001E3C09" w:rsidRPr="00335764">
              <w:rPr>
                <w:rFonts w:cs="Arial"/>
                <w:b/>
                <w:sz w:val="20"/>
                <w:szCs w:val="20"/>
              </w:rPr>
              <w:t>justice.</w:t>
            </w:r>
          </w:p>
          <w:p w:rsidR="000A6CB1" w:rsidRPr="00335764" w:rsidRDefault="000A6CB1" w:rsidP="00335764">
            <w:pPr>
              <w:spacing w:line="240" w:lineRule="auto"/>
              <w:jc w:val="left"/>
              <w:rPr>
                <w:rFonts w:cs="Arial"/>
                <w:b/>
                <w:sz w:val="20"/>
                <w:szCs w:val="20"/>
              </w:rPr>
            </w:pPr>
          </w:p>
        </w:tc>
        <w:tc>
          <w:tcPr>
            <w:tcW w:w="2089" w:type="dxa"/>
          </w:tcPr>
          <w:p w:rsidR="000A6CB1" w:rsidRPr="00335764" w:rsidRDefault="000A6CB1" w:rsidP="00335764">
            <w:pPr>
              <w:spacing w:line="240" w:lineRule="auto"/>
              <w:jc w:val="left"/>
              <w:rPr>
                <w:rFonts w:cs="Arial"/>
                <w:sz w:val="20"/>
                <w:szCs w:val="20"/>
              </w:rPr>
            </w:pPr>
            <w:r w:rsidRPr="00335764">
              <w:rPr>
                <w:rFonts w:cs="Arial"/>
                <w:sz w:val="20"/>
                <w:szCs w:val="20"/>
              </w:rPr>
              <w:t>Legal Aid Services</w:t>
            </w:r>
          </w:p>
        </w:tc>
        <w:tc>
          <w:tcPr>
            <w:tcW w:w="1357" w:type="dxa"/>
          </w:tcPr>
          <w:p w:rsidR="000A6CB1" w:rsidRPr="00335764" w:rsidRDefault="000A6CB1" w:rsidP="00335764">
            <w:pPr>
              <w:spacing w:line="240" w:lineRule="auto"/>
              <w:jc w:val="left"/>
              <w:rPr>
                <w:rFonts w:cs="Arial"/>
                <w:b/>
                <w:sz w:val="20"/>
                <w:szCs w:val="20"/>
              </w:rPr>
            </w:pPr>
            <w:r w:rsidRPr="00335764">
              <w:rPr>
                <w:rFonts w:cs="Arial"/>
                <w:b/>
                <w:sz w:val="20"/>
                <w:szCs w:val="20"/>
              </w:rPr>
              <w:t>16 new matters</w:t>
            </w:r>
          </w:p>
        </w:tc>
        <w:tc>
          <w:tcPr>
            <w:tcW w:w="1759" w:type="dxa"/>
          </w:tcPr>
          <w:p w:rsidR="000A6CB1" w:rsidRPr="00335764" w:rsidRDefault="000A6CB1" w:rsidP="00335764">
            <w:pPr>
              <w:spacing w:line="240" w:lineRule="auto"/>
              <w:jc w:val="left"/>
              <w:rPr>
                <w:rFonts w:cs="Arial"/>
                <w:b/>
                <w:sz w:val="20"/>
                <w:szCs w:val="20"/>
              </w:rPr>
            </w:pPr>
            <w:r w:rsidRPr="00335764">
              <w:rPr>
                <w:rFonts w:cs="Arial"/>
                <w:b/>
                <w:sz w:val="20"/>
                <w:szCs w:val="20"/>
              </w:rPr>
              <w:t>16 new matters</w:t>
            </w:r>
          </w:p>
        </w:tc>
        <w:tc>
          <w:tcPr>
            <w:tcW w:w="1562" w:type="dxa"/>
          </w:tcPr>
          <w:p w:rsidR="000A6CB1" w:rsidRPr="00335764" w:rsidRDefault="000A6CB1" w:rsidP="00335764">
            <w:pPr>
              <w:spacing w:line="240" w:lineRule="auto"/>
              <w:jc w:val="left"/>
              <w:rPr>
                <w:rFonts w:cs="Arial"/>
                <w:b/>
                <w:sz w:val="20"/>
                <w:szCs w:val="20"/>
              </w:rPr>
            </w:pPr>
            <w:r w:rsidRPr="00335764">
              <w:rPr>
                <w:rFonts w:cs="Arial"/>
                <w:b/>
                <w:sz w:val="20"/>
                <w:szCs w:val="20"/>
              </w:rPr>
              <w:t>16 new matters</w:t>
            </w:r>
          </w:p>
        </w:tc>
      </w:tr>
    </w:tbl>
    <w:p w:rsidR="008B5F6A" w:rsidRPr="00335764" w:rsidRDefault="008B5F6A" w:rsidP="00335764">
      <w:pPr>
        <w:pStyle w:val="ListParagraph"/>
        <w:spacing w:line="240" w:lineRule="auto"/>
        <w:ind w:left="1440"/>
        <w:jc w:val="left"/>
        <w:rPr>
          <w:rFonts w:cs="Arial"/>
          <w:color w:val="auto"/>
          <w:sz w:val="20"/>
          <w:szCs w:val="20"/>
          <w:lang w:val="en-ZA"/>
        </w:rPr>
      </w:pPr>
    </w:p>
    <w:p w:rsidR="008B5F6A" w:rsidRPr="00335764" w:rsidRDefault="008B5F6A" w:rsidP="00335764">
      <w:pPr>
        <w:pStyle w:val="ListParagraph"/>
        <w:spacing w:line="240" w:lineRule="auto"/>
        <w:ind w:left="0"/>
        <w:jc w:val="left"/>
        <w:rPr>
          <w:rFonts w:cs="Arial"/>
          <w:i/>
          <w:color w:val="auto"/>
          <w:sz w:val="20"/>
          <w:szCs w:val="20"/>
          <w:lang w:val="en-ZA"/>
        </w:rPr>
      </w:pPr>
      <w:r w:rsidRPr="00335764">
        <w:rPr>
          <w:rFonts w:cs="Arial"/>
          <w:i/>
          <w:color w:val="auto"/>
          <w:sz w:val="20"/>
          <w:szCs w:val="20"/>
          <w:lang w:val="en-ZA"/>
        </w:rPr>
        <w:t>Budget</w:t>
      </w:r>
    </w:p>
    <w:p w:rsidR="00A70360" w:rsidRPr="00335764" w:rsidRDefault="00BF541A" w:rsidP="00335764">
      <w:pPr>
        <w:pStyle w:val="ListParagraph"/>
        <w:numPr>
          <w:ilvl w:val="1"/>
          <w:numId w:val="1"/>
        </w:numPr>
        <w:spacing w:line="240" w:lineRule="auto"/>
        <w:ind w:left="851" w:hanging="851"/>
        <w:jc w:val="left"/>
        <w:rPr>
          <w:rFonts w:cs="Arial"/>
          <w:sz w:val="20"/>
          <w:szCs w:val="20"/>
          <w:lang w:val="en-ZA"/>
        </w:rPr>
      </w:pPr>
      <w:r w:rsidRPr="00335764">
        <w:rPr>
          <w:rFonts w:cs="Arial"/>
          <w:sz w:val="20"/>
          <w:szCs w:val="20"/>
        </w:rPr>
        <w:t xml:space="preserve">Legal Aid SA </w:t>
      </w:r>
      <w:r w:rsidR="007D69BD" w:rsidRPr="00335764">
        <w:rPr>
          <w:rFonts w:cs="Arial"/>
          <w:sz w:val="20"/>
          <w:szCs w:val="20"/>
        </w:rPr>
        <w:t xml:space="preserve">is allocated </w:t>
      </w:r>
      <w:r w:rsidRPr="00335764">
        <w:rPr>
          <w:rFonts w:cs="Arial"/>
          <w:sz w:val="20"/>
          <w:szCs w:val="20"/>
        </w:rPr>
        <w:t>R2.</w:t>
      </w:r>
      <w:r w:rsidR="00156470" w:rsidRPr="00335764">
        <w:rPr>
          <w:rFonts w:cs="Arial"/>
          <w:sz w:val="20"/>
          <w:szCs w:val="20"/>
        </w:rPr>
        <w:t>21</w:t>
      </w:r>
      <w:r w:rsidRPr="00335764">
        <w:rPr>
          <w:rFonts w:cs="Arial"/>
          <w:sz w:val="20"/>
          <w:szCs w:val="20"/>
        </w:rPr>
        <w:t xml:space="preserve"> billion </w:t>
      </w:r>
      <w:r w:rsidR="007D69BD" w:rsidRPr="00335764">
        <w:rPr>
          <w:rFonts w:cs="Arial"/>
          <w:sz w:val="20"/>
          <w:szCs w:val="20"/>
        </w:rPr>
        <w:t>in 202</w:t>
      </w:r>
      <w:r w:rsidR="000A6CB1" w:rsidRPr="00335764">
        <w:rPr>
          <w:rFonts w:cs="Arial"/>
          <w:sz w:val="20"/>
          <w:szCs w:val="20"/>
        </w:rPr>
        <w:t>3/24</w:t>
      </w:r>
      <w:r w:rsidRPr="00335764">
        <w:rPr>
          <w:rFonts w:cs="Arial"/>
          <w:sz w:val="20"/>
          <w:szCs w:val="20"/>
        </w:rPr>
        <w:t xml:space="preserve"> </w:t>
      </w:r>
      <w:r w:rsidR="003943D0" w:rsidRPr="00335764">
        <w:rPr>
          <w:rFonts w:cs="Arial"/>
          <w:sz w:val="20"/>
          <w:szCs w:val="20"/>
        </w:rPr>
        <w:t xml:space="preserve">compared to </w:t>
      </w:r>
      <w:r w:rsidR="00156470" w:rsidRPr="00335764">
        <w:rPr>
          <w:rFonts w:cs="Arial"/>
          <w:sz w:val="20"/>
          <w:szCs w:val="20"/>
        </w:rPr>
        <w:t xml:space="preserve">a revised </w:t>
      </w:r>
      <w:r w:rsidR="00BC36F0" w:rsidRPr="00335764">
        <w:rPr>
          <w:rFonts w:cs="Arial"/>
          <w:sz w:val="20"/>
          <w:szCs w:val="20"/>
        </w:rPr>
        <w:t>estimate</w:t>
      </w:r>
      <w:r w:rsidR="00156470" w:rsidRPr="00335764">
        <w:rPr>
          <w:rFonts w:cs="Arial"/>
          <w:sz w:val="20"/>
          <w:szCs w:val="20"/>
        </w:rPr>
        <w:t xml:space="preserve"> of R2.22 </w:t>
      </w:r>
      <w:r w:rsidRPr="00335764">
        <w:rPr>
          <w:rFonts w:cs="Arial"/>
          <w:sz w:val="20"/>
          <w:szCs w:val="20"/>
        </w:rPr>
        <w:t>billion in 20</w:t>
      </w:r>
      <w:r w:rsidR="000A6CB1" w:rsidRPr="00335764">
        <w:rPr>
          <w:rFonts w:cs="Arial"/>
          <w:sz w:val="20"/>
          <w:szCs w:val="20"/>
        </w:rPr>
        <w:t>22</w:t>
      </w:r>
      <w:r w:rsidR="003943D0" w:rsidRPr="00335764">
        <w:rPr>
          <w:rFonts w:cs="Arial"/>
          <w:sz w:val="20"/>
          <w:szCs w:val="20"/>
        </w:rPr>
        <w:t>/2</w:t>
      </w:r>
      <w:r w:rsidR="00BC36F0" w:rsidRPr="00335764">
        <w:rPr>
          <w:rFonts w:cs="Arial"/>
          <w:sz w:val="20"/>
          <w:szCs w:val="20"/>
        </w:rPr>
        <w:t>3</w:t>
      </w:r>
      <w:r w:rsidRPr="00335764">
        <w:rPr>
          <w:rFonts w:cs="Arial"/>
          <w:sz w:val="20"/>
          <w:szCs w:val="20"/>
        </w:rPr>
        <w:t xml:space="preserve">. </w:t>
      </w:r>
      <w:r w:rsidR="00A70360" w:rsidRPr="00335764">
        <w:rPr>
          <w:rFonts w:cs="Arial"/>
          <w:sz w:val="20"/>
          <w:szCs w:val="20"/>
        </w:rPr>
        <w:t>Despite its expanded mandate, in real terms, the allocation to Legal Aid SA for 2023/24 decreases by -0.2% compared with 2022/23.</w:t>
      </w:r>
    </w:p>
    <w:p w:rsidR="00A70360" w:rsidRPr="00335764" w:rsidRDefault="00A70360" w:rsidP="00335764">
      <w:pPr>
        <w:pStyle w:val="ListParagraph"/>
        <w:spacing w:line="240" w:lineRule="auto"/>
        <w:ind w:left="851"/>
        <w:jc w:val="left"/>
        <w:rPr>
          <w:rFonts w:cs="Arial"/>
          <w:sz w:val="20"/>
          <w:szCs w:val="20"/>
          <w:lang w:val="en-ZA"/>
        </w:rPr>
      </w:pPr>
    </w:p>
    <w:p w:rsidR="00156470" w:rsidRPr="00335764" w:rsidRDefault="00BC36F0" w:rsidP="00335764">
      <w:pPr>
        <w:pStyle w:val="ListParagraph"/>
        <w:numPr>
          <w:ilvl w:val="1"/>
          <w:numId w:val="1"/>
        </w:numPr>
        <w:spacing w:line="240" w:lineRule="auto"/>
        <w:ind w:left="851" w:hanging="851"/>
        <w:jc w:val="left"/>
        <w:rPr>
          <w:rFonts w:cs="Arial"/>
          <w:sz w:val="20"/>
          <w:szCs w:val="20"/>
          <w:lang w:val="en-ZA"/>
        </w:rPr>
      </w:pPr>
      <w:r w:rsidRPr="00335764">
        <w:rPr>
          <w:rFonts w:cs="Arial"/>
          <w:sz w:val="20"/>
          <w:szCs w:val="20"/>
        </w:rPr>
        <w:t>The allocation to programmes is as follows:</w:t>
      </w:r>
    </w:p>
    <w:p w:rsidR="00BC36F0" w:rsidRPr="00335764" w:rsidRDefault="00BC36F0" w:rsidP="00335764">
      <w:pPr>
        <w:pStyle w:val="ListParagraph"/>
        <w:spacing w:line="240" w:lineRule="auto"/>
        <w:ind w:left="0"/>
        <w:jc w:val="left"/>
        <w:rPr>
          <w:rFonts w:cs="Arial"/>
          <w:b/>
          <w:sz w:val="20"/>
          <w:szCs w:val="20"/>
        </w:rPr>
      </w:pPr>
    </w:p>
    <w:p w:rsidR="00667F0D" w:rsidRPr="00335764" w:rsidRDefault="00667F0D" w:rsidP="00335764">
      <w:pPr>
        <w:pStyle w:val="ListParagraph"/>
        <w:spacing w:line="240" w:lineRule="auto"/>
        <w:ind w:left="0"/>
        <w:jc w:val="left"/>
        <w:rPr>
          <w:rFonts w:cs="Arial"/>
          <w:b/>
          <w:bCs/>
          <w:color w:val="auto"/>
          <w:sz w:val="20"/>
          <w:szCs w:val="20"/>
        </w:rPr>
      </w:pPr>
      <w:r w:rsidRPr="00335764">
        <w:rPr>
          <w:rFonts w:cs="Arial"/>
          <w:b/>
          <w:sz w:val="20"/>
          <w:szCs w:val="20"/>
        </w:rPr>
        <w:t>Legal</w:t>
      </w:r>
      <w:r w:rsidRPr="00335764">
        <w:rPr>
          <w:rFonts w:cs="Arial"/>
          <w:b/>
          <w:bCs/>
          <w:color w:val="auto"/>
          <w:sz w:val="20"/>
          <w:szCs w:val="20"/>
        </w:rPr>
        <w:t xml:space="preserve"> Aid SA programme budget for the 202</w:t>
      </w:r>
      <w:r w:rsidR="0059066C" w:rsidRPr="00335764">
        <w:rPr>
          <w:rFonts w:cs="Arial"/>
          <w:b/>
          <w:bCs/>
          <w:color w:val="auto"/>
          <w:sz w:val="20"/>
          <w:szCs w:val="20"/>
        </w:rPr>
        <w:t>3</w:t>
      </w:r>
      <w:r w:rsidRPr="00335764">
        <w:rPr>
          <w:rFonts w:cs="Arial"/>
          <w:b/>
          <w:bCs/>
          <w:color w:val="auto"/>
          <w:sz w:val="20"/>
          <w:szCs w:val="20"/>
        </w:rPr>
        <w:t xml:space="preserve"> MTEF </w:t>
      </w:r>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3"/>
        <w:gridCol w:w="1738"/>
        <w:gridCol w:w="1737"/>
        <w:gridCol w:w="1735"/>
        <w:gridCol w:w="1735"/>
      </w:tblGrid>
      <w:tr w:rsidR="00667F0D" w:rsidRPr="00335764" w:rsidTr="00BA5985">
        <w:trPr>
          <w:trHeight w:val="199"/>
          <w:tblHeader/>
        </w:trPr>
        <w:tc>
          <w:tcPr>
            <w:tcW w:w="1393" w:type="pct"/>
            <w:shd w:val="clear" w:color="auto" w:fill="D9D9D9"/>
            <w:noWrap/>
            <w:vAlign w:val="bottom"/>
          </w:tcPr>
          <w:p w:rsidR="00667F0D" w:rsidRPr="00335764" w:rsidRDefault="00667F0D" w:rsidP="00335764">
            <w:pPr>
              <w:spacing w:line="240" w:lineRule="auto"/>
              <w:jc w:val="left"/>
              <w:rPr>
                <w:rFonts w:cs="Arial"/>
                <w:b/>
                <w:sz w:val="20"/>
                <w:szCs w:val="20"/>
              </w:rPr>
            </w:pPr>
            <w:r w:rsidRPr="00335764">
              <w:rPr>
                <w:rFonts w:cs="Arial"/>
                <w:b/>
                <w:sz w:val="20"/>
                <w:szCs w:val="20"/>
              </w:rPr>
              <w:t>Subprogramme</w:t>
            </w:r>
          </w:p>
          <w:p w:rsidR="00667F0D" w:rsidRPr="00335764" w:rsidRDefault="00667F0D" w:rsidP="00335764">
            <w:pPr>
              <w:spacing w:line="240" w:lineRule="auto"/>
              <w:jc w:val="left"/>
              <w:rPr>
                <w:rFonts w:cs="Arial"/>
                <w:b/>
                <w:sz w:val="20"/>
                <w:szCs w:val="20"/>
              </w:rPr>
            </w:pPr>
            <w:r w:rsidRPr="00335764">
              <w:rPr>
                <w:rFonts w:cs="Arial"/>
                <w:b/>
                <w:sz w:val="20"/>
                <w:szCs w:val="20"/>
              </w:rPr>
              <w:t>(R’million)</w:t>
            </w:r>
          </w:p>
        </w:tc>
        <w:tc>
          <w:tcPr>
            <w:tcW w:w="902" w:type="pct"/>
            <w:shd w:val="clear" w:color="auto" w:fill="D9D9D9"/>
          </w:tcPr>
          <w:p w:rsidR="00667F0D" w:rsidRPr="00335764" w:rsidRDefault="00156470" w:rsidP="00335764">
            <w:pPr>
              <w:spacing w:line="240" w:lineRule="auto"/>
              <w:jc w:val="left"/>
              <w:rPr>
                <w:rFonts w:cs="Arial"/>
                <w:b/>
                <w:bCs/>
                <w:sz w:val="20"/>
                <w:szCs w:val="20"/>
              </w:rPr>
            </w:pPr>
            <w:r w:rsidRPr="00335764">
              <w:rPr>
                <w:rFonts w:cs="Arial"/>
                <w:b/>
                <w:bCs/>
                <w:sz w:val="20"/>
                <w:szCs w:val="20"/>
              </w:rPr>
              <w:t>Revised estimate</w:t>
            </w:r>
          </w:p>
          <w:p w:rsidR="00156470" w:rsidRPr="00335764" w:rsidRDefault="00156470" w:rsidP="00335764">
            <w:pPr>
              <w:spacing w:line="240" w:lineRule="auto"/>
              <w:jc w:val="left"/>
              <w:rPr>
                <w:rFonts w:cs="Arial"/>
                <w:b/>
                <w:bCs/>
                <w:sz w:val="20"/>
                <w:szCs w:val="20"/>
              </w:rPr>
            </w:pPr>
            <w:r w:rsidRPr="00335764">
              <w:rPr>
                <w:rFonts w:cs="Arial"/>
                <w:b/>
                <w:bCs/>
                <w:sz w:val="20"/>
                <w:szCs w:val="20"/>
              </w:rPr>
              <w:t>2022/23</w:t>
            </w:r>
          </w:p>
        </w:tc>
        <w:tc>
          <w:tcPr>
            <w:tcW w:w="902" w:type="pct"/>
            <w:shd w:val="clear" w:color="auto" w:fill="D9D9D9"/>
          </w:tcPr>
          <w:p w:rsidR="00667F0D" w:rsidRPr="00335764" w:rsidRDefault="00156470" w:rsidP="00335764">
            <w:pPr>
              <w:spacing w:line="240" w:lineRule="auto"/>
              <w:jc w:val="left"/>
              <w:rPr>
                <w:rFonts w:cs="Arial"/>
                <w:b/>
                <w:bCs/>
                <w:sz w:val="20"/>
                <w:szCs w:val="20"/>
              </w:rPr>
            </w:pPr>
            <w:r w:rsidRPr="00335764">
              <w:rPr>
                <w:rFonts w:cs="Arial"/>
                <w:b/>
                <w:bCs/>
                <w:sz w:val="20"/>
                <w:szCs w:val="20"/>
              </w:rPr>
              <w:t>2023/24</w:t>
            </w:r>
          </w:p>
        </w:tc>
        <w:tc>
          <w:tcPr>
            <w:tcW w:w="901" w:type="pct"/>
            <w:shd w:val="clear" w:color="auto" w:fill="D9D9D9"/>
          </w:tcPr>
          <w:p w:rsidR="00667F0D" w:rsidRPr="00335764" w:rsidRDefault="00156470" w:rsidP="00335764">
            <w:pPr>
              <w:spacing w:line="240" w:lineRule="auto"/>
              <w:jc w:val="left"/>
              <w:rPr>
                <w:rFonts w:cs="Arial"/>
                <w:b/>
                <w:bCs/>
                <w:sz w:val="20"/>
                <w:szCs w:val="20"/>
              </w:rPr>
            </w:pPr>
            <w:r w:rsidRPr="00335764">
              <w:rPr>
                <w:rFonts w:cs="Arial"/>
                <w:b/>
                <w:bCs/>
                <w:sz w:val="20"/>
                <w:szCs w:val="20"/>
              </w:rPr>
              <w:t>2024/25</w:t>
            </w:r>
          </w:p>
        </w:tc>
        <w:tc>
          <w:tcPr>
            <w:tcW w:w="901" w:type="pct"/>
            <w:shd w:val="clear" w:color="auto" w:fill="D9D9D9"/>
          </w:tcPr>
          <w:p w:rsidR="00667F0D" w:rsidRPr="00335764" w:rsidRDefault="00156470" w:rsidP="00335764">
            <w:pPr>
              <w:spacing w:line="240" w:lineRule="auto"/>
              <w:jc w:val="left"/>
              <w:rPr>
                <w:rFonts w:cs="Arial"/>
                <w:b/>
                <w:bCs/>
                <w:sz w:val="20"/>
                <w:szCs w:val="20"/>
              </w:rPr>
            </w:pPr>
            <w:r w:rsidRPr="00335764">
              <w:rPr>
                <w:rFonts w:cs="Arial"/>
                <w:b/>
                <w:bCs/>
                <w:sz w:val="20"/>
                <w:szCs w:val="20"/>
              </w:rPr>
              <w:t>2025/26</w:t>
            </w:r>
          </w:p>
        </w:tc>
      </w:tr>
      <w:tr w:rsidR="00667F0D" w:rsidRPr="00335764" w:rsidTr="00BA5985">
        <w:trPr>
          <w:trHeight w:val="199"/>
        </w:trPr>
        <w:tc>
          <w:tcPr>
            <w:tcW w:w="1393" w:type="pct"/>
            <w:shd w:val="clear" w:color="auto" w:fill="auto"/>
            <w:vAlign w:val="bottom"/>
          </w:tcPr>
          <w:p w:rsidR="00667F0D" w:rsidRPr="00335764" w:rsidRDefault="00667F0D" w:rsidP="00335764">
            <w:pPr>
              <w:spacing w:line="240" w:lineRule="auto"/>
              <w:jc w:val="left"/>
              <w:rPr>
                <w:rFonts w:cs="Arial"/>
                <w:sz w:val="20"/>
                <w:szCs w:val="20"/>
              </w:rPr>
            </w:pPr>
            <w:r w:rsidRPr="00335764">
              <w:rPr>
                <w:rFonts w:cs="Arial"/>
                <w:sz w:val="20"/>
                <w:szCs w:val="20"/>
              </w:rPr>
              <w:t>Legal Aid Services</w:t>
            </w:r>
          </w:p>
        </w:tc>
        <w:tc>
          <w:tcPr>
            <w:tcW w:w="902" w:type="pct"/>
            <w:shd w:val="clear" w:color="auto" w:fill="auto"/>
          </w:tcPr>
          <w:p w:rsidR="00667F0D" w:rsidRPr="00335764" w:rsidRDefault="00156470" w:rsidP="00335764">
            <w:pPr>
              <w:pStyle w:val="Default"/>
              <w:spacing w:line="240" w:lineRule="auto"/>
              <w:jc w:val="left"/>
              <w:rPr>
                <w:sz w:val="20"/>
                <w:szCs w:val="20"/>
              </w:rPr>
            </w:pPr>
            <w:r w:rsidRPr="00335764">
              <w:rPr>
                <w:sz w:val="20"/>
                <w:szCs w:val="20"/>
              </w:rPr>
              <w:t>572.6</w:t>
            </w:r>
          </w:p>
        </w:tc>
        <w:tc>
          <w:tcPr>
            <w:tcW w:w="902" w:type="pct"/>
            <w:shd w:val="clear" w:color="auto" w:fill="D9D9D9" w:themeFill="background1" w:themeFillShade="D9"/>
          </w:tcPr>
          <w:p w:rsidR="00667F0D" w:rsidRPr="00335764" w:rsidRDefault="00156470" w:rsidP="00335764">
            <w:pPr>
              <w:pStyle w:val="Default"/>
              <w:spacing w:line="240" w:lineRule="auto"/>
              <w:jc w:val="left"/>
              <w:rPr>
                <w:sz w:val="20"/>
                <w:szCs w:val="20"/>
              </w:rPr>
            </w:pPr>
            <w:r w:rsidRPr="00335764">
              <w:rPr>
                <w:sz w:val="20"/>
                <w:szCs w:val="20"/>
              </w:rPr>
              <w:t>587.9</w:t>
            </w:r>
          </w:p>
        </w:tc>
        <w:tc>
          <w:tcPr>
            <w:tcW w:w="901" w:type="pct"/>
          </w:tcPr>
          <w:p w:rsidR="00667F0D" w:rsidRPr="00335764" w:rsidRDefault="00156470" w:rsidP="00335764">
            <w:pPr>
              <w:pStyle w:val="Default"/>
              <w:spacing w:line="240" w:lineRule="auto"/>
              <w:jc w:val="left"/>
              <w:rPr>
                <w:sz w:val="20"/>
                <w:szCs w:val="20"/>
              </w:rPr>
            </w:pPr>
            <w:r w:rsidRPr="00335764">
              <w:rPr>
                <w:sz w:val="20"/>
                <w:szCs w:val="20"/>
              </w:rPr>
              <w:t>598.1</w:t>
            </w:r>
          </w:p>
        </w:tc>
        <w:tc>
          <w:tcPr>
            <w:tcW w:w="901" w:type="pct"/>
          </w:tcPr>
          <w:p w:rsidR="00667F0D" w:rsidRPr="00335764" w:rsidRDefault="00156470" w:rsidP="00335764">
            <w:pPr>
              <w:pStyle w:val="Default"/>
              <w:spacing w:line="240" w:lineRule="auto"/>
              <w:jc w:val="left"/>
              <w:rPr>
                <w:sz w:val="20"/>
                <w:szCs w:val="20"/>
              </w:rPr>
            </w:pPr>
            <w:r w:rsidRPr="00335764">
              <w:rPr>
                <w:sz w:val="20"/>
                <w:szCs w:val="20"/>
              </w:rPr>
              <w:t>628.8</w:t>
            </w:r>
          </w:p>
        </w:tc>
      </w:tr>
      <w:tr w:rsidR="00667F0D" w:rsidRPr="00335764" w:rsidTr="00BA5985">
        <w:trPr>
          <w:trHeight w:val="351"/>
        </w:trPr>
        <w:tc>
          <w:tcPr>
            <w:tcW w:w="1393" w:type="pct"/>
            <w:shd w:val="clear" w:color="auto" w:fill="auto"/>
            <w:vAlign w:val="bottom"/>
          </w:tcPr>
          <w:p w:rsidR="00667F0D" w:rsidRPr="00335764" w:rsidRDefault="00667F0D" w:rsidP="00335764">
            <w:pPr>
              <w:spacing w:line="240" w:lineRule="auto"/>
              <w:jc w:val="left"/>
              <w:rPr>
                <w:rFonts w:cs="Arial"/>
                <w:sz w:val="20"/>
                <w:szCs w:val="20"/>
              </w:rPr>
            </w:pPr>
            <w:r w:rsidRPr="00335764">
              <w:rPr>
                <w:rFonts w:cs="Arial"/>
                <w:sz w:val="20"/>
                <w:szCs w:val="20"/>
              </w:rPr>
              <w:t xml:space="preserve">Administration </w:t>
            </w:r>
          </w:p>
        </w:tc>
        <w:tc>
          <w:tcPr>
            <w:tcW w:w="902" w:type="pct"/>
            <w:shd w:val="clear" w:color="auto" w:fill="auto"/>
          </w:tcPr>
          <w:p w:rsidR="00667F0D" w:rsidRPr="00335764" w:rsidRDefault="00156470" w:rsidP="00335764">
            <w:pPr>
              <w:pStyle w:val="Default"/>
              <w:spacing w:line="240" w:lineRule="auto"/>
              <w:jc w:val="left"/>
              <w:rPr>
                <w:sz w:val="20"/>
                <w:szCs w:val="20"/>
              </w:rPr>
            </w:pPr>
            <w:r w:rsidRPr="00335764">
              <w:rPr>
                <w:sz w:val="20"/>
                <w:szCs w:val="20"/>
              </w:rPr>
              <w:t>1 590.1</w:t>
            </w:r>
          </w:p>
        </w:tc>
        <w:tc>
          <w:tcPr>
            <w:tcW w:w="902" w:type="pct"/>
            <w:shd w:val="clear" w:color="auto" w:fill="D9D9D9" w:themeFill="background1" w:themeFillShade="D9"/>
          </w:tcPr>
          <w:p w:rsidR="00667F0D" w:rsidRPr="00335764" w:rsidRDefault="00156470" w:rsidP="00335764">
            <w:pPr>
              <w:pStyle w:val="Default"/>
              <w:spacing w:line="240" w:lineRule="auto"/>
              <w:jc w:val="left"/>
              <w:rPr>
                <w:sz w:val="20"/>
                <w:szCs w:val="20"/>
              </w:rPr>
            </w:pPr>
            <w:r w:rsidRPr="00335764">
              <w:rPr>
                <w:sz w:val="20"/>
                <w:szCs w:val="20"/>
              </w:rPr>
              <w:t>1 552. 8</w:t>
            </w:r>
          </w:p>
        </w:tc>
        <w:tc>
          <w:tcPr>
            <w:tcW w:w="901" w:type="pct"/>
          </w:tcPr>
          <w:p w:rsidR="00667F0D" w:rsidRPr="00335764" w:rsidRDefault="00156470" w:rsidP="00335764">
            <w:pPr>
              <w:pStyle w:val="Default"/>
              <w:spacing w:line="240" w:lineRule="auto"/>
              <w:jc w:val="left"/>
              <w:rPr>
                <w:sz w:val="20"/>
                <w:szCs w:val="20"/>
              </w:rPr>
            </w:pPr>
            <w:r w:rsidRPr="00335764">
              <w:rPr>
                <w:sz w:val="20"/>
                <w:szCs w:val="20"/>
              </w:rPr>
              <w:t>1 639.5</w:t>
            </w:r>
          </w:p>
        </w:tc>
        <w:tc>
          <w:tcPr>
            <w:tcW w:w="901" w:type="pct"/>
          </w:tcPr>
          <w:p w:rsidR="00667F0D" w:rsidRPr="00335764" w:rsidRDefault="00156470" w:rsidP="00335764">
            <w:pPr>
              <w:pStyle w:val="Default"/>
              <w:spacing w:line="240" w:lineRule="auto"/>
              <w:jc w:val="left"/>
              <w:rPr>
                <w:sz w:val="20"/>
                <w:szCs w:val="20"/>
              </w:rPr>
            </w:pPr>
            <w:r w:rsidRPr="00335764">
              <w:rPr>
                <w:sz w:val="20"/>
                <w:szCs w:val="20"/>
              </w:rPr>
              <w:t>1 708.2</w:t>
            </w:r>
          </w:p>
        </w:tc>
      </w:tr>
      <w:tr w:rsidR="00667F0D" w:rsidRPr="00335764" w:rsidTr="00BA5985">
        <w:trPr>
          <w:trHeight w:val="351"/>
        </w:trPr>
        <w:tc>
          <w:tcPr>
            <w:tcW w:w="1393" w:type="pct"/>
            <w:shd w:val="clear" w:color="auto" w:fill="auto"/>
            <w:vAlign w:val="bottom"/>
          </w:tcPr>
          <w:p w:rsidR="00667F0D" w:rsidRPr="00335764" w:rsidRDefault="00667F0D" w:rsidP="00335764">
            <w:pPr>
              <w:spacing w:line="240" w:lineRule="auto"/>
              <w:jc w:val="left"/>
              <w:rPr>
                <w:rFonts w:cs="Arial"/>
                <w:sz w:val="20"/>
                <w:szCs w:val="20"/>
              </w:rPr>
            </w:pPr>
            <w:r w:rsidRPr="00335764">
              <w:rPr>
                <w:rFonts w:cs="Arial"/>
                <w:sz w:val="20"/>
                <w:szCs w:val="20"/>
              </w:rPr>
              <w:t>Special projects</w:t>
            </w:r>
          </w:p>
        </w:tc>
        <w:tc>
          <w:tcPr>
            <w:tcW w:w="902" w:type="pct"/>
            <w:shd w:val="clear" w:color="auto" w:fill="auto"/>
          </w:tcPr>
          <w:p w:rsidR="00667F0D" w:rsidRPr="00335764" w:rsidRDefault="00BC36F0" w:rsidP="00335764">
            <w:pPr>
              <w:pStyle w:val="Default"/>
              <w:spacing w:line="240" w:lineRule="auto"/>
              <w:jc w:val="left"/>
              <w:rPr>
                <w:sz w:val="20"/>
                <w:szCs w:val="20"/>
              </w:rPr>
            </w:pPr>
            <w:r w:rsidRPr="00335764">
              <w:rPr>
                <w:sz w:val="20"/>
                <w:szCs w:val="20"/>
              </w:rPr>
              <w:t>66.</w:t>
            </w:r>
            <w:r w:rsidR="00156470" w:rsidRPr="00335764">
              <w:rPr>
                <w:sz w:val="20"/>
                <w:szCs w:val="20"/>
              </w:rPr>
              <w:t>7</w:t>
            </w:r>
          </w:p>
        </w:tc>
        <w:tc>
          <w:tcPr>
            <w:tcW w:w="902" w:type="pct"/>
            <w:shd w:val="clear" w:color="auto" w:fill="D9D9D9" w:themeFill="background1" w:themeFillShade="D9"/>
          </w:tcPr>
          <w:p w:rsidR="00667F0D" w:rsidRPr="00335764" w:rsidRDefault="00156470" w:rsidP="00335764">
            <w:pPr>
              <w:pStyle w:val="Default"/>
              <w:spacing w:line="240" w:lineRule="auto"/>
              <w:jc w:val="left"/>
              <w:rPr>
                <w:sz w:val="20"/>
                <w:szCs w:val="20"/>
              </w:rPr>
            </w:pPr>
            <w:r w:rsidRPr="00335764">
              <w:rPr>
                <w:sz w:val="20"/>
                <w:szCs w:val="20"/>
              </w:rPr>
              <w:t>69.7</w:t>
            </w:r>
          </w:p>
        </w:tc>
        <w:tc>
          <w:tcPr>
            <w:tcW w:w="901" w:type="pct"/>
          </w:tcPr>
          <w:p w:rsidR="00667F0D" w:rsidRPr="00335764" w:rsidRDefault="00BC36F0" w:rsidP="00335764">
            <w:pPr>
              <w:pStyle w:val="Default"/>
              <w:spacing w:line="240" w:lineRule="auto"/>
              <w:jc w:val="left"/>
              <w:rPr>
                <w:sz w:val="20"/>
                <w:szCs w:val="20"/>
              </w:rPr>
            </w:pPr>
            <w:r w:rsidRPr="00335764">
              <w:rPr>
                <w:sz w:val="20"/>
                <w:szCs w:val="20"/>
              </w:rPr>
              <w:t>71.1</w:t>
            </w:r>
          </w:p>
        </w:tc>
        <w:tc>
          <w:tcPr>
            <w:tcW w:w="901" w:type="pct"/>
          </w:tcPr>
          <w:p w:rsidR="00667F0D" w:rsidRPr="00335764" w:rsidRDefault="00BC36F0" w:rsidP="00335764">
            <w:pPr>
              <w:pStyle w:val="Default"/>
              <w:spacing w:line="240" w:lineRule="auto"/>
              <w:jc w:val="left"/>
              <w:rPr>
                <w:sz w:val="20"/>
                <w:szCs w:val="20"/>
              </w:rPr>
            </w:pPr>
            <w:r w:rsidRPr="00335764">
              <w:rPr>
                <w:sz w:val="20"/>
                <w:szCs w:val="20"/>
              </w:rPr>
              <w:t>74.3</w:t>
            </w:r>
          </w:p>
        </w:tc>
      </w:tr>
      <w:tr w:rsidR="00667F0D" w:rsidRPr="00335764" w:rsidTr="00BA5985">
        <w:trPr>
          <w:trHeight w:val="211"/>
        </w:trPr>
        <w:tc>
          <w:tcPr>
            <w:tcW w:w="1393" w:type="pct"/>
            <w:shd w:val="clear" w:color="auto" w:fill="auto"/>
            <w:noWrap/>
            <w:vAlign w:val="bottom"/>
          </w:tcPr>
          <w:p w:rsidR="00667F0D" w:rsidRPr="00335764" w:rsidRDefault="00667F0D" w:rsidP="00335764">
            <w:pPr>
              <w:spacing w:line="240" w:lineRule="auto"/>
              <w:jc w:val="left"/>
              <w:rPr>
                <w:rFonts w:cs="Arial"/>
                <w:b/>
                <w:bCs/>
                <w:sz w:val="20"/>
                <w:szCs w:val="20"/>
              </w:rPr>
            </w:pPr>
            <w:r w:rsidRPr="00335764">
              <w:rPr>
                <w:rFonts w:cs="Arial"/>
                <w:b/>
                <w:bCs/>
                <w:sz w:val="20"/>
                <w:szCs w:val="20"/>
              </w:rPr>
              <w:t>TOTAL</w:t>
            </w:r>
          </w:p>
        </w:tc>
        <w:tc>
          <w:tcPr>
            <w:tcW w:w="902" w:type="pct"/>
            <w:shd w:val="clear" w:color="auto" w:fill="auto"/>
          </w:tcPr>
          <w:p w:rsidR="00667F0D" w:rsidRPr="00335764" w:rsidRDefault="00BC36F0" w:rsidP="00335764">
            <w:pPr>
              <w:pStyle w:val="Default"/>
              <w:spacing w:line="240" w:lineRule="auto"/>
              <w:jc w:val="left"/>
              <w:rPr>
                <w:b/>
                <w:sz w:val="20"/>
                <w:szCs w:val="20"/>
              </w:rPr>
            </w:pPr>
            <w:r w:rsidRPr="00335764">
              <w:rPr>
                <w:b/>
                <w:sz w:val="20"/>
                <w:szCs w:val="20"/>
              </w:rPr>
              <w:t>2 229.5</w:t>
            </w:r>
          </w:p>
        </w:tc>
        <w:tc>
          <w:tcPr>
            <w:tcW w:w="902" w:type="pct"/>
            <w:shd w:val="clear" w:color="auto" w:fill="D9D9D9" w:themeFill="background1" w:themeFillShade="D9"/>
          </w:tcPr>
          <w:p w:rsidR="00667F0D" w:rsidRPr="00335764" w:rsidRDefault="00BC36F0" w:rsidP="00335764">
            <w:pPr>
              <w:pStyle w:val="Default"/>
              <w:spacing w:line="240" w:lineRule="auto"/>
              <w:jc w:val="left"/>
              <w:rPr>
                <w:b/>
                <w:sz w:val="20"/>
                <w:szCs w:val="20"/>
              </w:rPr>
            </w:pPr>
            <w:r w:rsidRPr="00335764">
              <w:rPr>
                <w:b/>
                <w:sz w:val="20"/>
                <w:szCs w:val="20"/>
              </w:rPr>
              <w:t>2 210.4</w:t>
            </w:r>
          </w:p>
        </w:tc>
        <w:tc>
          <w:tcPr>
            <w:tcW w:w="901" w:type="pct"/>
          </w:tcPr>
          <w:p w:rsidR="00667F0D" w:rsidRPr="00335764" w:rsidRDefault="00BC36F0" w:rsidP="00335764">
            <w:pPr>
              <w:pStyle w:val="Default"/>
              <w:spacing w:line="240" w:lineRule="auto"/>
              <w:jc w:val="left"/>
              <w:rPr>
                <w:b/>
                <w:sz w:val="20"/>
                <w:szCs w:val="20"/>
              </w:rPr>
            </w:pPr>
            <w:r w:rsidRPr="00335764">
              <w:rPr>
                <w:b/>
                <w:sz w:val="20"/>
                <w:szCs w:val="20"/>
              </w:rPr>
              <w:t>2 308.4</w:t>
            </w:r>
          </w:p>
        </w:tc>
        <w:tc>
          <w:tcPr>
            <w:tcW w:w="901" w:type="pct"/>
          </w:tcPr>
          <w:p w:rsidR="00667F0D" w:rsidRPr="00335764" w:rsidRDefault="00BC36F0" w:rsidP="00335764">
            <w:pPr>
              <w:pStyle w:val="Default"/>
              <w:spacing w:line="240" w:lineRule="auto"/>
              <w:jc w:val="left"/>
              <w:rPr>
                <w:b/>
                <w:sz w:val="20"/>
                <w:szCs w:val="20"/>
              </w:rPr>
            </w:pPr>
            <w:r w:rsidRPr="00335764">
              <w:rPr>
                <w:b/>
                <w:sz w:val="20"/>
                <w:szCs w:val="20"/>
              </w:rPr>
              <w:t>2 308.8</w:t>
            </w:r>
          </w:p>
        </w:tc>
      </w:tr>
    </w:tbl>
    <w:p w:rsidR="003943D0" w:rsidRPr="00335764" w:rsidRDefault="003943D0" w:rsidP="00335764">
      <w:pPr>
        <w:pStyle w:val="ListParagraph"/>
        <w:spacing w:line="240" w:lineRule="auto"/>
        <w:jc w:val="left"/>
        <w:rPr>
          <w:rFonts w:cs="Arial"/>
          <w:sz w:val="20"/>
          <w:szCs w:val="20"/>
        </w:rPr>
      </w:pPr>
    </w:p>
    <w:p w:rsidR="00BC36F0" w:rsidRPr="00335764" w:rsidRDefault="00BC36F0" w:rsidP="00335764">
      <w:pPr>
        <w:pStyle w:val="ListParagraph"/>
        <w:numPr>
          <w:ilvl w:val="1"/>
          <w:numId w:val="1"/>
        </w:numPr>
        <w:spacing w:line="240" w:lineRule="auto"/>
        <w:jc w:val="left"/>
        <w:rPr>
          <w:rFonts w:cs="Arial"/>
          <w:sz w:val="20"/>
          <w:szCs w:val="20"/>
          <w:lang w:val="en-ZA"/>
        </w:rPr>
      </w:pPr>
      <w:r w:rsidRPr="00335764">
        <w:rPr>
          <w:rFonts w:cs="Arial"/>
          <w:sz w:val="20"/>
          <w:szCs w:val="20"/>
          <w:lang w:val="en-ZA"/>
        </w:rPr>
        <w:t>Salaries and related costs continue to be the largest driver of spending accounting for 79% of the allocation. The operating budget is the second highest driver accounting for 12% of the allocation. Other direct expenditure relates to expenditure that is directly linked to the provision of Legal services. The remaining 2% is for the replacement of capital assets.</w:t>
      </w:r>
    </w:p>
    <w:p w:rsidR="00BC36F0" w:rsidRPr="00335764" w:rsidRDefault="00BC36F0" w:rsidP="00335764">
      <w:pPr>
        <w:pStyle w:val="ListParagraph"/>
        <w:spacing w:line="240" w:lineRule="auto"/>
        <w:ind w:left="862"/>
        <w:jc w:val="left"/>
        <w:rPr>
          <w:rFonts w:cs="Arial"/>
          <w:sz w:val="20"/>
          <w:szCs w:val="20"/>
          <w:lang w:val="en-ZA"/>
        </w:rPr>
      </w:pPr>
    </w:p>
    <w:p w:rsidR="00321762" w:rsidRPr="00335764" w:rsidRDefault="00BC36F0" w:rsidP="00335764">
      <w:pPr>
        <w:pStyle w:val="ListParagraph"/>
        <w:numPr>
          <w:ilvl w:val="1"/>
          <w:numId w:val="1"/>
        </w:numPr>
        <w:spacing w:line="240" w:lineRule="auto"/>
        <w:jc w:val="left"/>
        <w:rPr>
          <w:rFonts w:cs="Arial"/>
          <w:sz w:val="20"/>
          <w:szCs w:val="20"/>
          <w:lang w:val="en-ZA"/>
        </w:rPr>
      </w:pPr>
      <w:r w:rsidRPr="00335764">
        <w:rPr>
          <w:rFonts w:cs="Arial"/>
          <w:sz w:val="20"/>
          <w:szCs w:val="20"/>
          <w:lang w:val="en-ZA"/>
        </w:rPr>
        <w:t xml:space="preserve">The 2021 MTEF cut Legal Aid SA’s baseline by R534 million over the MTEF period, affecting the compensation of employees’ budget. In 2023/24, </w:t>
      </w:r>
      <w:r w:rsidR="003943D0" w:rsidRPr="00335764">
        <w:rPr>
          <w:rFonts w:cs="Arial"/>
          <w:sz w:val="20"/>
          <w:szCs w:val="20"/>
        </w:rPr>
        <w:t xml:space="preserve">Legal Aid SA’s baseline is reduced </w:t>
      </w:r>
      <w:r w:rsidR="00E6532B" w:rsidRPr="00335764">
        <w:rPr>
          <w:rFonts w:cs="Arial"/>
          <w:sz w:val="20"/>
          <w:szCs w:val="20"/>
        </w:rPr>
        <w:t xml:space="preserve">by </w:t>
      </w:r>
      <w:r w:rsidR="00EC045E" w:rsidRPr="00335764">
        <w:rPr>
          <w:rFonts w:cs="Arial"/>
          <w:sz w:val="20"/>
          <w:szCs w:val="20"/>
        </w:rPr>
        <w:t xml:space="preserve">–R121.8 million in 2023/24, which is from its compensation of employees’ budget. </w:t>
      </w:r>
      <w:r w:rsidR="00E6532B" w:rsidRPr="00335764">
        <w:rPr>
          <w:rFonts w:cs="Arial"/>
          <w:sz w:val="20"/>
          <w:szCs w:val="20"/>
        </w:rPr>
        <w:t>Th</w:t>
      </w:r>
      <w:r w:rsidRPr="00335764">
        <w:rPr>
          <w:rFonts w:cs="Arial"/>
          <w:sz w:val="20"/>
          <w:szCs w:val="20"/>
        </w:rPr>
        <w:t xml:space="preserve">e reductions have </w:t>
      </w:r>
      <w:r w:rsidR="00E6532B" w:rsidRPr="00335764">
        <w:rPr>
          <w:rFonts w:cs="Arial"/>
          <w:sz w:val="20"/>
          <w:szCs w:val="20"/>
        </w:rPr>
        <w:t xml:space="preserve">had a negative impact on service delivery as 80% of the budget is spent on employee costs and legal practitioners make up 79% of the total staff </w:t>
      </w:r>
      <w:r w:rsidR="00E6532B" w:rsidRPr="00335764">
        <w:rPr>
          <w:rFonts w:cs="Arial"/>
          <w:sz w:val="20"/>
          <w:szCs w:val="20"/>
        </w:rPr>
        <w:lastRenderedPageBreak/>
        <w:t xml:space="preserve">component. </w:t>
      </w:r>
      <w:r w:rsidR="003D17B4" w:rsidRPr="00335764">
        <w:rPr>
          <w:rFonts w:cs="Arial"/>
          <w:sz w:val="20"/>
          <w:szCs w:val="20"/>
        </w:rPr>
        <w:t>The deficit is compounded by the PSBC wage settlement over the next two years.</w:t>
      </w:r>
    </w:p>
    <w:p w:rsidR="00EC045E" w:rsidRPr="00335764" w:rsidRDefault="00EC045E" w:rsidP="00335764">
      <w:pPr>
        <w:pStyle w:val="ListParagraph"/>
        <w:spacing w:line="240" w:lineRule="auto"/>
        <w:ind w:left="851"/>
        <w:jc w:val="left"/>
        <w:rPr>
          <w:rFonts w:cs="Arial"/>
          <w:sz w:val="20"/>
          <w:szCs w:val="20"/>
          <w:lang w:val="en-ZA"/>
        </w:rPr>
      </w:pPr>
    </w:p>
    <w:p w:rsidR="00E6532B" w:rsidRPr="00335764" w:rsidRDefault="00EC045E" w:rsidP="00335764">
      <w:pPr>
        <w:pStyle w:val="ListParagraph"/>
        <w:numPr>
          <w:ilvl w:val="1"/>
          <w:numId w:val="1"/>
        </w:numPr>
        <w:spacing w:line="240" w:lineRule="auto"/>
        <w:ind w:left="851" w:hanging="851"/>
        <w:jc w:val="left"/>
        <w:rPr>
          <w:rFonts w:cs="Arial"/>
          <w:b/>
          <w:bCs/>
          <w:color w:val="auto"/>
          <w:sz w:val="20"/>
          <w:szCs w:val="20"/>
          <w:lang w:val="en-ZA"/>
        </w:rPr>
      </w:pPr>
      <w:r w:rsidRPr="00335764">
        <w:rPr>
          <w:rFonts w:cs="Arial"/>
          <w:sz w:val="20"/>
          <w:szCs w:val="20"/>
          <w:lang w:val="en-US"/>
        </w:rPr>
        <w:t xml:space="preserve">The </w:t>
      </w:r>
      <w:r w:rsidR="00BC36F0" w:rsidRPr="00335764">
        <w:rPr>
          <w:rFonts w:cs="Arial"/>
          <w:sz w:val="20"/>
          <w:szCs w:val="20"/>
          <w:lang w:val="en-US"/>
        </w:rPr>
        <w:t xml:space="preserve">2023/24 </w:t>
      </w:r>
      <w:r w:rsidRPr="00335764">
        <w:rPr>
          <w:rFonts w:cs="Arial"/>
          <w:sz w:val="20"/>
          <w:szCs w:val="20"/>
          <w:lang w:val="en-US"/>
        </w:rPr>
        <w:t>budget allocation does not include the funding for the contingent liability for land matters estimated at R144 million.</w:t>
      </w:r>
    </w:p>
    <w:p w:rsidR="00B41DB7" w:rsidRPr="00335764" w:rsidRDefault="00B41DB7" w:rsidP="00335764">
      <w:pPr>
        <w:pStyle w:val="ListParagraph"/>
        <w:spacing w:line="240" w:lineRule="auto"/>
        <w:ind w:left="851"/>
        <w:jc w:val="left"/>
        <w:rPr>
          <w:rFonts w:cs="Arial"/>
          <w:b/>
          <w:bCs/>
          <w:color w:val="auto"/>
          <w:sz w:val="20"/>
          <w:szCs w:val="20"/>
          <w:lang w:val="en-ZA"/>
        </w:rPr>
      </w:pPr>
    </w:p>
    <w:p w:rsidR="00EC045E" w:rsidRPr="00335764" w:rsidRDefault="00EC045E" w:rsidP="00335764">
      <w:pPr>
        <w:spacing w:line="240" w:lineRule="auto"/>
        <w:jc w:val="left"/>
        <w:rPr>
          <w:rFonts w:cs="Arial"/>
          <w:b/>
          <w:bCs/>
          <w:color w:val="auto"/>
          <w:sz w:val="20"/>
          <w:szCs w:val="20"/>
          <w:lang w:val="en-ZA"/>
        </w:rPr>
      </w:pPr>
      <w:r w:rsidRPr="00335764">
        <w:rPr>
          <w:rFonts w:cs="Arial"/>
          <w:b/>
          <w:bCs/>
          <w:color w:val="auto"/>
          <w:sz w:val="20"/>
          <w:szCs w:val="20"/>
          <w:lang w:val="en-ZA"/>
        </w:rPr>
        <w:t>Budget Reductions and additional allocations: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2547"/>
        <w:gridCol w:w="1843"/>
        <w:gridCol w:w="1842"/>
        <w:gridCol w:w="1560"/>
        <w:gridCol w:w="1610"/>
      </w:tblGrid>
      <w:tr w:rsidR="00EC045E" w:rsidRPr="00335764" w:rsidTr="00BC36F0">
        <w:trPr>
          <w:trHeight w:val="406"/>
        </w:trPr>
        <w:tc>
          <w:tcPr>
            <w:tcW w:w="2547" w:type="dxa"/>
            <w:shd w:val="clear" w:color="auto" w:fill="D9D9D9" w:themeFill="background1" w:themeFillShade="D9"/>
            <w:tcMar>
              <w:top w:w="72" w:type="dxa"/>
              <w:left w:w="144" w:type="dxa"/>
              <w:bottom w:w="72" w:type="dxa"/>
              <w:right w:w="144" w:type="dxa"/>
            </w:tcMar>
            <w:hideMark/>
          </w:tcPr>
          <w:p w:rsidR="00EC045E" w:rsidRPr="00335764" w:rsidRDefault="00EC045E" w:rsidP="00335764">
            <w:pPr>
              <w:spacing w:line="240" w:lineRule="auto"/>
              <w:jc w:val="left"/>
              <w:rPr>
                <w:rFonts w:cs="Arial"/>
                <w:b/>
                <w:sz w:val="20"/>
                <w:szCs w:val="20"/>
              </w:rPr>
            </w:pPr>
            <w:r w:rsidRPr="00335764">
              <w:rPr>
                <w:rFonts w:cs="Arial"/>
                <w:b/>
                <w:sz w:val="20"/>
                <w:szCs w:val="20"/>
              </w:rPr>
              <w:t xml:space="preserve">Financial Year </w:t>
            </w:r>
          </w:p>
        </w:tc>
        <w:tc>
          <w:tcPr>
            <w:tcW w:w="1843" w:type="dxa"/>
            <w:shd w:val="clear" w:color="auto" w:fill="D9D9D9" w:themeFill="background1" w:themeFillShade="D9"/>
            <w:tcMar>
              <w:top w:w="72" w:type="dxa"/>
              <w:left w:w="144" w:type="dxa"/>
              <w:bottom w:w="72" w:type="dxa"/>
              <w:right w:w="144" w:type="dxa"/>
            </w:tcMar>
            <w:hideMark/>
          </w:tcPr>
          <w:p w:rsidR="00EC045E" w:rsidRPr="00335764" w:rsidRDefault="00EC045E" w:rsidP="00335764">
            <w:pPr>
              <w:spacing w:line="240" w:lineRule="auto"/>
              <w:jc w:val="left"/>
              <w:rPr>
                <w:rFonts w:cs="Arial"/>
                <w:b/>
                <w:sz w:val="20"/>
                <w:szCs w:val="20"/>
              </w:rPr>
            </w:pPr>
            <w:r w:rsidRPr="00335764">
              <w:rPr>
                <w:rFonts w:cs="Arial"/>
                <w:b/>
                <w:sz w:val="20"/>
                <w:szCs w:val="20"/>
              </w:rPr>
              <w:t>2022/23</w:t>
            </w:r>
          </w:p>
          <w:p w:rsidR="00EC045E" w:rsidRPr="00335764" w:rsidRDefault="00EC045E" w:rsidP="00335764">
            <w:pPr>
              <w:spacing w:line="240" w:lineRule="auto"/>
              <w:jc w:val="left"/>
              <w:rPr>
                <w:rFonts w:cs="Arial"/>
                <w:b/>
                <w:sz w:val="20"/>
                <w:szCs w:val="20"/>
              </w:rPr>
            </w:pPr>
            <w:r w:rsidRPr="00335764">
              <w:rPr>
                <w:rFonts w:cs="Arial"/>
                <w:b/>
                <w:sz w:val="20"/>
                <w:szCs w:val="20"/>
              </w:rPr>
              <w:t>R’000</w:t>
            </w:r>
          </w:p>
        </w:tc>
        <w:tc>
          <w:tcPr>
            <w:tcW w:w="1842" w:type="dxa"/>
            <w:shd w:val="clear" w:color="auto" w:fill="D9D9D9" w:themeFill="background1" w:themeFillShade="D9"/>
            <w:tcMar>
              <w:top w:w="72" w:type="dxa"/>
              <w:left w:w="144" w:type="dxa"/>
              <w:bottom w:w="72" w:type="dxa"/>
              <w:right w:w="144" w:type="dxa"/>
            </w:tcMar>
            <w:hideMark/>
          </w:tcPr>
          <w:p w:rsidR="00EC045E" w:rsidRPr="00335764" w:rsidRDefault="00EC045E" w:rsidP="00335764">
            <w:pPr>
              <w:spacing w:line="240" w:lineRule="auto"/>
              <w:jc w:val="left"/>
              <w:rPr>
                <w:rFonts w:cs="Arial"/>
                <w:b/>
                <w:sz w:val="20"/>
                <w:szCs w:val="20"/>
              </w:rPr>
            </w:pPr>
            <w:r w:rsidRPr="00335764">
              <w:rPr>
                <w:rFonts w:cs="Arial"/>
                <w:b/>
                <w:sz w:val="20"/>
                <w:szCs w:val="20"/>
              </w:rPr>
              <w:t>2023/24</w:t>
            </w:r>
          </w:p>
          <w:p w:rsidR="00EC045E" w:rsidRPr="00335764" w:rsidRDefault="00EC045E" w:rsidP="00335764">
            <w:pPr>
              <w:spacing w:line="240" w:lineRule="auto"/>
              <w:jc w:val="left"/>
              <w:rPr>
                <w:rFonts w:cs="Arial"/>
                <w:b/>
                <w:sz w:val="20"/>
                <w:szCs w:val="20"/>
              </w:rPr>
            </w:pPr>
            <w:r w:rsidRPr="00335764">
              <w:rPr>
                <w:rFonts w:cs="Arial"/>
                <w:b/>
                <w:sz w:val="20"/>
                <w:szCs w:val="20"/>
              </w:rPr>
              <w:t>R’000</w:t>
            </w:r>
          </w:p>
        </w:tc>
        <w:tc>
          <w:tcPr>
            <w:tcW w:w="1560" w:type="dxa"/>
            <w:shd w:val="clear" w:color="auto" w:fill="D9D9D9" w:themeFill="background1" w:themeFillShade="D9"/>
            <w:tcMar>
              <w:top w:w="72" w:type="dxa"/>
              <w:left w:w="144" w:type="dxa"/>
              <w:bottom w:w="72" w:type="dxa"/>
              <w:right w:w="144" w:type="dxa"/>
            </w:tcMar>
            <w:hideMark/>
          </w:tcPr>
          <w:p w:rsidR="00EC045E" w:rsidRPr="00335764" w:rsidRDefault="00EC045E" w:rsidP="00335764">
            <w:pPr>
              <w:spacing w:line="240" w:lineRule="auto"/>
              <w:jc w:val="left"/>
              <w:rPr>
                <w:rFonts w:cs="Arial"/>
                <w:b/>
                <w:sz w:val="20"/>
                <w:szCs w:val="20"/>
              </w:rPr>
            </w:pPr>
            <w:r w:rsidRPr="00335764">
              <w:rPr>
                <w:rFonts w:cs="Arial"/>
                <w:b/>
                <w:sz w:val="20"/>
                <w:szCs w:val="20"/>
              </w:rPr>
              <w:t>2024/25</w:t>
            </w:r>
          </w:p>
          <w:p w:rsidR="00EC045E" w:rsidRPr="00335764" w:rsidRDefault="00EC045E" w:rsidP="00335764">
            <w:pPr>
              <w:spacing w:line="240" w:lineRule="auto"/>
              <w:jc w:val="left"/>
              <w:rPr>
                <w:rFonts w:cs="Arial"/>
                <w:b/>
                <w:sz w:val="20"/>
                <w:szCs w:val="20"/>
              </w:rPr>
            </w:pPr>
            <w:r w:rsidRPr="00335764">
              <w:rPr>
                <w:rFonts w:cs="Arial"/>
                <w:b/>
                <w:sz w:val="20"/>
                <w:szCs w:val="20"/>
              </w:rPr>
              <w:t>R’000</w:t>
            </w:r>
          </w:p>
        </w:tc>
        <w:tc>
          <w:tcPr>
            <w:tcW w:w="1610" w:type="dxa"/>
            <w:shd w:val="clear" w:color="auto" w:fill="D9D9D9" w:themeFill="background1" w:themeFillShade="D9"/>
            <w:tcMar>
              <w:top w:w="72" w:type="dxa"/>
              <w:left w:w="144" w:type="dxa"/>
              <w:bottom w:w="72" w:type="dxa"/>
              <w:right w:w="144" w:type="dxa"/>
            </w:tcMar>
            <w:hideMark/>
          </w:tcPr>
          <w:p w:rsidR="00EC045E" w:rsidRPr="00335764" w:rsidRDefault="00EC045E" w:rsidP="00335764">
            <w:pPr>
              <w:spacing w:line="240" w:lineRule="auto"/>
              <w:jc w:val="left"/>
              <w:rPr>
                <w:rFonts w:cs="Arial"/>
                <w:b/>
                <w:sz w:val="20"/>
                <w:szCs w:val="20"/>
              </w:rPr>
            </w:pPr>
            <w:r w:rsidRPr="00335764">
              <w:rPr>
                <w:rFonts w:cs="Arial"/>
                <w:b/>
                <w:sz w:val="20"/>
                <w:szCs w:val="20"/>
              </w:rPr>
              <w:t>2025/26</w:t>
            </w:r>
          </w:p>
          <w:p w:rsidR="00EC045E" w:rsidRPr="00335764" w:rsidRDefault="00EC045E" w:rsidP="00335764">
            <w:pPr>
              <w:spacing w:line="240" w:lineRule="auto"/>
              <w:jc w:val="left"/>
              <w:rPr>
                <w:rFonts w:cs="Arial"/>
                <w:b/>
                <w:sz w:val="20"/>
                <w:szCs w:val="20"/>
              </w:rPr>
            </w:pPr>
            <w:r w:rsidRPr="00335764">
              <w:rPr>
                <w:rFonts w:cs="Arial"/>
                <w:b/>
                <w:sz w:val="20"/>
                <w:szCs w:val="20"/>
              </w:rPr>
              <w:t>R’000</w:t>
            </w:r>
          </w:p>
        </w:tc>
      </w:tr>
      <w:tr w:rsidR="00EC045E" w:rsidRPr="00335764" w:rsidTr="00EC045E">
        <w:trPr>
          <w:trHeight w:val="692"/>
        </w:trPr>
        <w:tc>
          <w:tcPr>
            <w:tcW w:w="2547"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sz w:val="20"/>
                <w:szCs w:val="20"/>
              </w:rPr>
            </w:pPr>
            <w:r w:rsidRPr="00335764">
              <w:rPr>
                <w:rFonts w:cs="Arial"/>
                <w:sz w:val="20"/>
                <w:szCs w:val="20"/>
              </w:rPr>
              <w:t>Original baseline</w:t>
            </w:r>
          </w:p>
        </w:tc>
        <w:tc>
          <w:tcPr>
            <w:tcW w:w="1843"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sz w:val="20"/>
                <w:szCs w:val="20"/>
              </w:rPr>
            </w:pPr>
            <w:r w:rsidRPr="00335764">
              <w:rPr>
                <w:rFonts w:cs="Arial"/>
                <w:sz w:val="20"/>
                <w:szCs w:val="20"/>
              </w:rPr>
              <w:t>2 313 817</w:t>
            </w:r>
          </w:p>
        </w:tc>
        <w:tc>
          <w:tcPr>
            <w:tcW w:w="1842"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sz w:val="20"/>
                <w:szCs w:val="20"/>
              </w:rPr>
            </w:pPr>
            <w:r w:rsidRPr="00335764">
              <w:rPr>
                <w:rFonts w:cs="Arial"/>
                <w:sz w:val="20"/>
                <w:szCs w:val="20"/>
              </w:rPr>
              <w:t>2 222 563</w:t>
            </w:r>
          </w:p>
        </w:tc>
        <w:tc>
          <w:tcPr>
            <w:tcW w:w="1560"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sz w:val="20"/>
                <w:szCs w:val="20"/>
              </w:rPr>
            </w:pPr>
            <w:r w:rsidRPr="00335764">
              <w:rPr>
                <w:rFonts w:cs="Arial"/>
                <w:sz w:val="20"/>
                <w:szCs w:val="20"/>
              </w:rPr>
              <w:t>2 195 852</w:t>
            </w:r>
          </w:p>
        </w:tc>
        <w:tc>
          <w:tcPr>
            <w:tcW w:w="1610"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sz w:val="20"/>
                <w:szCs w:val="20"/>
              </w:rPr>
            </w:pPr>
            <w:r w:rsidRPr="00335764">
              <w:rPr>
                <w:rFonts w:cs="Arial"/>
                <w:sz w:val="20"/>
                <w:szCs w:val="20"/>
              </w:rPr>
              <w:t>2 294 213</w:t>
            </w:r>
          </w:p>
        </w:tc>
      </w:tr>
      <w:tr w:rsidR="00EC045E" w:rsidRPr="00335764" w:rsidTr="00EC045E">
        <w:trPr>
          <w:trHeight w:val="662"/>
        </w:trPr>
        <w:tc>
          <w:tcPr>
            <w:tcW w:w="2547"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sz w:val="20"/>
                <w:szCs w:val="20"/>
              </w:rPr>
            </w:pPr>
            <w:r w:rsidRPr="00335764">
              <w:rPr>
                <w:rFonts w:cs="Arial"/>
                <w:sz w:val="20"/>
                <w:szCs w:val="20"/>
              </w:rPr>
              <w:t>Baseline reduction</w:t>
            </w:r>
          </w:p>
        </w:tc>
        <w:tc>
          <w:tcPr>
            <w:tcW w:w="1843"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sz w:val="20"/>
                <w:szCs w:val="20"/>
              </w:rPr>
            </w:pPr>
            <w:r w:rsidRPr="00335764">
              <w:rPr>
                <w:rFonts w:cs="Arial"/>
                <w:sz w:val="20"/>
                <w:szCs w:val="20"/>
              </w:rPr>
              <w:t>-230 835</w:t>
            </w:r>
          </w:p>
        </w:tc>
        <w:tc>
          <w:tcPr>
            <w:tcW w:w="1842"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sz w:val="20"/>
                <w:szCs w:val="20"/>
              </w:rPr>
            </w:pPr>
            <w:r w:rsidRPr="00335764">
              <w:rPr>
                <w:rFonts w:cs="Arial"/>
                <w:sz w:val="20"/>
                <w:szCs w:val="20"/>
              </w:rPr>
              <w:t>-121 808</w:t>
            </w:r>
          </w:p>
        </w:tc>
        <w:tc>
          <w:tcPr>
            <w:tcW w:w="1560"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sz w:val="20"/>
                <w:szCs w:val="20"/>
              </w:rPr>
            </w:pPr>
            <w:r w:rsidRPr="00335764">
              <w:rPr>
                <w:rFonts w:cs="Arial"/>
                <w:sz w:val="20"/>
                <w:szCs w:val="20"/>
              </w:rPr>
              <w:t>-</w:t>
            </w:r>
          </w:p>
        </w:tc>
        <w:tc>
          <w:tcPr>
            <w:tcW w:w="1610"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sz w:val="20"/>
                <w:szCs w:val="20"/>
              </w:rPr>
            </w:pPr>
            <w:r w:rsidRPr="00335764">
              <w:rPr>
                <w:rFonts w:cs="Arial"/>
                <w:sz w:val="20"/>
                <w:szCs w:val="20"/>
              </w:rPr>
              <w:t>-</w:t>
            </w:r>
          </w:p>
        </w:tc>
      </w:tr>
      <w:tr w:rsidR="00EC045E" w:rsidRPr="00335764" w:rsidTr="00EC045E">
        <w:trPr>
          <w:trHeight w:val="769"/>
        </w:trPr>
        <w:tc>
          <w:tcPr>
            <w:tcW w:w="2547"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b/>
                <w:sz w:val="20"/>
                <w:szCs w:val="20"/>
              </w:rPr>
            </w:pPr>
            <w:r w:rsidRPr="00335764">
              <w:rPr>
                <w:rFonts w:cs="Arial"/>
                <w:b/>
                <w:sz w:val="20"/>
                <w:szCs w:val="20"/>
              </w:rPr>
              <w:t>Baseline allocation after reduction</w:t>
            </w:r>
          </w:p>
        </w:tc>
        <w:tc>
          <w:tcPr>
            <w:tcW w:w="1843"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b/>
                <w:sz w:val="20"/>
                <w:szCs w:val="20"/>
              </w:rPr>
            </w:pPr>
            <w:r w:rsidRPr="00335764">
              <w:rPr>
                <w:rFonts w:cs="Arial"/>
                <w:b/>
                <w:sz w:val="20"/>
                <w:szCs w:val="20"/>
              </w:rPr>
              <w:t>2 082 982</w:t>
            </w:r>
          </w:p>
        </w:tc>
        <w:tc>
          <w:tcPr>
            <w:tcW w:w="1842"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b/>
                <w:sz w:val="20"/>
                <w:szCs w:val="20"/>
              </w:rPr>
            </w:pPr>
            <w:r w:rsidRPr="00335764">
              <w:rPr>
                <w:rFonts w:cs="Arial"/>
                <w:b/>
                <w:sz w:val="20"/>
                <w:szCs w:val="20"/>
              </w:rPr>
              <w:t>2 100 755</w:t>
            </w:r>
          </w:p>
        </w:tc>
        <w:tc>
          <w:tcPr>
            <w:tcW w:w="1560"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b/>
                <w:sz w:val="20"/>
                <w:szCs w:val="20"/>
              </w:rPr>
            </w:pPr>
            <w:r w:rsidRPr="00335764">
              <w:rPr>
                <w:rFonts w:cs="Arial"/>
                <w:b/>
                <w:sz w:val="20"/>
                <w:szCs w:val="20"/>
              </w:rPr>
              <w:t>2 195 852</w:t>
            </w:r>
          </w:p>
        </w:tc>
        <w:tc>
          <w:tcPr>
            <w:tcW w:w="1610"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b/>
                <w:sz w:val="20"/>
                <w:szCs w:val="20"/>
              </w:rPr>
            </w:pPr>
            <w:r w:rsidRPr="00335764">
              <w:rPr>
                <w:rFonts w:cs="Arial"/>
                <w:b/>
                <w:sz w:val="20"/>
                <w:szCs w:val="20"/>
              </w:rPr>
              <w:t>2 294 213</w:t>
            </w:r>
          </w:p>
        </w:tc>
      </w:tr>
      <w:tr w:rsidR="00EC045E" w:rsidRPr="00335764" w:rsidTr="00EC045E">
        <w:trPr>
          <w:trHeight w:val="875"/>
        </w:trPr>
        <w:tc>
          <w:tcPr>
            <w:tcW w:w="2547"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sz w:val="20"/>
                <w:szCs w:val="20"/>
              </w:rPr>
            </w:pPr>
            <w:r w:rsidRPr="00335764">
              <w:rPr>
                <w:rFonts w:cs="Arial"/>
                <w:sz w:val="20"/>
                <w:szCs w:val="20"/>
              </w:rPr>
              <w:t>Specialised Commercial Crimes Courts allocation</w:t>
            </w:r>
          </w:p>
        </w:tc>
        <w:tc>
          <w:tcPr>
            <w:tcW w:w="1843"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sz w:val="20"/>
                <w:szCs w:val="20"/>
              </w:rPr>
            </w:pPr>
            <w:r w:rsidRPr="00335764">
              <w:rPr>
                <w:rFonts w:cs="Arial"/>
                <w:sz w:val="20"/>
                <w:szCs w:val="20"/>
              </w:rPr>
              <w:t>11 165</w:t>
            </w:r>
          </w:p>
        </w:tc>
        <w:tc>
          <w:tcPr>
            <w:tcW w:w="1842"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sz w:val="20"/>
                <w:szCs w:val="20"/>
              </w:rPr>
            </w:pPr>
            <w:r w:rsidRPr="00335764">
              <w:rPr>
                <w:rFonts w:cs="Arial"/>
                <w:sz w:val="20"/>
                <w:szCs w:val="20"/>
              </w:rPr>
              <w:t>11 332</w:t>
            </w:r>
          </w:p>
        </w:tc>
        <w:tc>
          <w:tcPr>
            <w:tcW w:w="1560"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sz w:val="20"/>
                <w:szCs w:val="20"/>
              </w:rPr>
            </w:pPr>
            <w:r w:rsidRPr="00335764">
              <w:rPr>
                <w:rFonts w:cs="Arial"/>
                <w:sz w:val="20"/>
                <w:szCs w:val="20"/>
              </w:rPr>
              <w:t>11 842</w:t>
            </w:r>
          </w:p>
        </w:tc>
        <w:tc>
          <w:tcPr>
            <w:tcW w:w="1610"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sz w:val="20"/>
                <w:szCs w:val="20"/>
              </w:rPr>
            </w:pPr>
            <w:r w:rsidRPr="00335764">
              <w:rPr>
                <w:rFonts w:cs="Arial"/>
                <w:sz w:val="20"/>
                <w:szCs w:val="20"/>
              </w:rPr>
              <w:t>12 372</w:t>
            </w:r>
          </w:p>
        </w:tc>
      </w:tr>
      <w:tr w:rsidR="00EC045E" w:rsidRPr="00335764" w:rsidTr="00EC045E">
        <w:trPr>
          <w:trHeight w:val="668"/>
        </w:trPr>
        <w:tc>
          <w:tcPr>
            <w:tcW w:w="2547"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sz w:val="20"/>
                <w:szCs w:val="20"/>
              </w:rPr>
            </w:pPr>
            <w:r w:rsidRPr="00335764">
              <w:rPr>
                <w:rFonts w:cs="Arial"/>
                <w:sz w:val="20"/>
                <w:szCs w:val="20"/>
              </w:rPr>
              <w:t>Land Rights allocation</w:t>
            </w:r>
          </w:p>
        </w:tc>
        <w:tc>
          <w:tcPr>
            <w:tcW w:w="1843"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sz w:val="20"/>
                <w:szCs w:val="20"/>
              </w:rPr>
            </w:pPr>
            <w:r w:rsidRPr="00335764">
              <w:rPr>
                <w:rFonts w:cs="Arial"/>
                <w:sz w:val="20"/>
                <w:szCs w:val="20"/>
              </w:rPr>
              <w:t>89 603</w:t>
            </w:r>
          </w:p>
        </w:tc>
        <w:tc>
          <w:tcPr>
            <w:tcW w:w="1842"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sz w:val="20"/>
                <w:szCs w:val="20"/>
              </w:rPr>
            </w:pPr>
            <w:r w:rsidRPr="00335764">
              <w:rPr>
                <w:rFonts w:cs="Arial"/>
                <w:sz w:val="20"/>
                <w:szCs w:val="20"/>
              </w:rPr>
              <w:t>76 625</w:t>
            </w:r>
          </w:p>
        </w:tc>
        <w:tc>
          <w:tcPr>
            <w:tcW w:w="1560"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sz w:val="20"/>
                <w:szCs w:val="20"/>
              </w:rPr>
            </w:pPr>
            <w:r w:rsidRPr="00335764">
              <w:rPr>
                <w:rFonts w:cs="Arial"/>
                <w:sz w:val="20"/>
                <w:szCs w:val="20"/>
              </w:rPr>
              <w:t>80 073</w:t>
            </w:r>
          </w:p>
        </w:tc>
        <w:tc>
          <w:tcPr>
            <w:tcW w:w="1610"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sz w:val="20"/>
                <w:szCs w:val="20"/>
              </w:rPr>
            </w:pPr>
            <w:r w:rsidRPr="00335764">
              <w:rPr>
                <w:rFonts w:cs="Arial"/>
                <w:sz w:val="20"/>
                <w:szCs w:val="20"/>
              </w:rPr>
              <w:t>83 676</w:t>
            </w:r>
          </w:p>
        </w:tc>
      </w:tr>
      <w:tr w:rsidR="00EC045E" w:rsidRPr="00335764" w:rsidTr="00EC045E">
        <w:trPr>
          <w:trHeight w:val="875"/>
        </w:trPr>
        <w:tc>
          <w:tcPr>
            <w:tcW w:w="2547"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b/>
                <w:sz w:val="20"/>
                <w:szCs w:val="20"/>
              </w:rPr>
            </w:pPr>
            <w:r w:rsidRPr="00335764">
              <w:rPr>
                <w:rFonts w:cs="Arial"/>
                <w:b/>
                <w:sz w:val="20"/>
                <w:szCs w:val="20"/>
              </w:rPr>
              <w:t>Allocation as per allocation letter</w:t>
            </w:r>
          </w:p>
        </w:tc>
        <w:tc>
          <w:tcPr>
            <w:tcW w:w="1843"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b/>
                <w:sz w:val="20"/>
                <w:szCs w:val="20"/>
              </w:rPr>
            </w:pPr>
            <w:r w:rsidRPr="00335764">
              <w:rPr>
                <w:rFonts w:cs="Arial"/>
                <w:b/>
                <w:sz w:val="20"/>
                <w:szCs w:val="20"/>
              </w:rPr>
              <w:t>2 189 449</w:t>
            </w:r>
          </w:p>
        </w:tc>
        <w:tc>
          <w:tcPr>
            <w:tcW w:w="1842"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b/>
                <w:sz w:val="20"/>
                <w:szCs w:val="20"/>
              </w:rPr>
            </w:pPr>
            <w:r w:rsidRPr="00335764">
              <w:rPr>
                <w:rFonts w:cs="Arial"/>
                <w:b/>
                <w:sz w:val="20"/>
                <w:szCs w:val="20"/>
              </w:rPr>
              <w:t>2 188 712</w:t>
            </w:r>
          </w:p>
        </w:tc>
        <w:tc>
          <w:tcPr>
            <w:tcW w:w="1560"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b/>
                <w:sz w:val="20"/>
                <w:szCs w:val="20"/>
              </w:rPr>
            </w:pPr>
            <w:r w:rsidRPr="00335764">
              <w:rPr>
                <w:rFonts w:cs="Arial"/>
                <w:b/>
                <w:sz w:val="20"/>
                <w:szCs w:val="20"/>
              </w:rPr>
              <w:t>2 287 767</w:t>
            </w:r>
          </w:p>
        </w:tc>
        <w:tc>
          <w:tcPr>
            <w:tcW w:w="1610" w:type="dxa"/>
            <w:shd w:val="clear" w:color="auto" w:fill="auto"/>
            <w:tcMar>
              <w:top w:w="72" w:type="dxa"/>
              <w:left w:w="144" w:type="dxa"/>
              <w:bottom w:w="72" w:type="dxa"/>
              <w:right w:w="144" w:type="dxa"/>
            </w:tcMar>
            <w:hideMark/>
          </w:tcPr>
          <w:p w:rsidR="00EC045E" w:rsidRPr="00335764" w:rsidRDefault="00EC045E" w:rsidP="00335764">
            <w:pPr>
              <w:spacing w:line="240" w:lineRule="auto"/>
              <w:jc w:val="left"/>
              <w:rPr>
                <w:rFonts w:cs="Arial"/>
                <w:b/>
                <w:sz w:val="20"/>
                <w:szCs w:val="20"/>
              </w:rPr>
            </w:pPr>
            <w:r w:rsidRPr="00335764">
              <w:rPr>
                <w:rFonts w:cs="Arial"/>
                <w:b/>
                <w:sz w:val="20"/>
                <w:szCs w:val="20"/>
              </w:rPr>
              <w:t>2 390 261</w:t>
            </w:r>
          </w:p>
        </w:tc>
      </w:tr>
    </w:tbl>
    <w:p w:rsidR="00EC045E" w:rsidRPr="00335764" w:rsidRDefault="00EC045E" w:rsidP="00335764">
      <w:pPr>
        <w:spacing w:line="240" w:lineRule="auto"/>
        <w:jc w:val="left"/>
        <w:rPr>
          <w:rFonts w:cs="Arial"/>
          <w:bCs/>
          <w:color w:val="auto"/>
          <w:sz w:val="20"/>
          <w:szCs w:val="20"/>
          <w:lang w:val="en-ZA"/>
        </w:rPr>
      </w:pPr>
    </w:p>
    <w:p w:rsidR="0099312A" w:rsidRPr="00335764" w:rsidRDefault="00BC36F0" w:rsidP="00335764">
      <w:pPr>
        <w:pStyle w:val="ListParagraph"/>
        <w:numPr>
          <w:ilvl w:val="1"/>
          <w:numId w:val="1"/>
        </w:numPr>
        <w:spacing w:line="240" w:lineRule="auto"/>
        <w:ind w:left="851" w:hanging="851"/>
        <w:jc w:val="left"/>
        <w:rPr>
          <w:rFonts w:cs="Arial"/>
          <w:sz w:val="20"/>
          <w:szCs w:val="20"/>
          <w:lang w:val="en-US"/>
        </w:rPr>
      </w:pPr>
      <w:r w:rsidRPr="00335764">
        <w:rPr>
          <w:rFonts w:cs="Arial"/>
          <w:i/>
          <w:sz w:val="20"/>
          <w:szCs w:val="20"/>
          <w:lang w:val="en-US"/>
        </w:rPr>
        <w:t>Personne</w:t>
      </w:r>
      <w:r w:rsidRPr="00335764">
        <w:rPr>
          <w:rFonts w:cs="Arial"/>
          <w:sz w:val="20"/>
          <w:szCs w:val="20"/>
          <w:lang w:val="en-US"/>
        </w:rPr>
        <w:t xml:space="preserve">l: </w:t>
      </w:r>
      <w:r w:rsidR="00261D2C" w:rsidRPr="00335764">
        <w:rPr>
          <w:rFonts w:cs="Arial"/>
          <w:sz w:val="20"/>
          <w:szCs w:val="20"/>
          <w:lang w:val="en-US"/>
        </w:rPr>
        <w:t>On</w:t>
      </w:r>
      <w:r w:rsidR="00A70360" w:rsidRPr="00335764">
        <w:rPr>
          <w:rFonts w:cs="Arial"/>
          <w:sz w:val="20"/>
          <w:szCs w:val="20"/>
          <w:lang w:val="en-US"/>
        </w:rPr>
        <w:t xml:space="preserve"> 31 March 2023, Legal Aid SA had 2 468 staff members, staff recruitment being at 91.8</w:t>
      </w:r>
      <w:r w:rsidR="00EB4C4E" w:rsidRPr="00335764">
        <w:rPr>
          <w:rFonts w:cs="Arial"/>
          <w:sz w:val="20"/>
          <w:szCs w:val="20"/>
          <w:lang w:val="en-US"/>
        </w:rPr>
        <w:t>%</w:t>
      </w:r>
      <w:r w:rsidR="00A70360" w:rsidRPr="00335764">
        <w:rPr>
          <w:rFonts w:cs="Arial"/>
          <w:sz w:val="20"/>
          <w:szCs w:val="20"/>
          <w:lang w:val="en-US"/>
        </w:rPr>
        <w:t xml:space="preserve">. The staff turnover rate excluding Candidate Attorneys </w:t>
      </w:r>
      <w:r w:rsidR="00261D2C" w:rsidRPr="00335764">
        <w:rPr>
          <w:rFonts w:cs="Arial"/>
          <w:sz w:val="20"/>
          <w:szCs w:val="20"/>
          <w:lang w:val="en-US"/>
        </w:rPr>
        <w:t>was</w:t>
      </w:r>
      <w:r w:rsidR="00A70360" w:rsidRPr="00335764">
        <w:rPr>
          <w:rFonts w:cs="Arial"/>
          <w:sz w:val="20"/>
          <w:szCs w:val="20"/>
          <w:lang w:val="en-US"/>
        </w:rPr>
        <w:t xml:space="preserve"> 5.2%.</w:t>
      </w:r>
    </w:p>
    <w:p w:rsidR="00EB4C4E" w:rsidRPr="00335764" w:rsidRDefault="00EB4C4E" w:rsidP="00335764">
      <w:pPr>
        <w:spacing w:line="240" w:lineRule="auto"/>
        <w:jc w:val="left"/>
        <w:rPr>
          <w:rFonts w:cs="Arial"/>
          <w:sz w:val="20"/>
          <w:szCs w:val="20"/>
          <w:lang w:val="en-US"/>
        </w:rPr>
      </w:pPr>
    </w:p>
    <w:p w:rsidR="00EB4C4E" w:rsidRPr="00335764" w:rsidRDefault="00EB4C4E" w:rsidP="00335764">
      <w:pPr>
        <w:spacing w:line="240" w:lineRule="auto"/>
        <w:jc w:val="left"/>
        <w:rPr>
          <w:rFonts w:cs="Arial"/>
          <w:sz w:val="20"/>
          <w:szCs w:val="20"/>
          <w:lang w:val="en-US"/>
        </w:rPr>
      </w:pPr>
    </w:p>
    <w:p w:rsidR="0025470A" w:rsidRPr="00335764" w:rsidRDefault="0025470A" w:rsidP="00335764">
      <w:pPr>
        <w:numPr>
          <w:ilvl w:val="0"/>
          <w:numId w:val="1"/>
        </w:numPr>
        <w:tabs>
          <w:tab w:val="clear" w:pos="375"/>
        </w:tabs>
        <w:spacing w:line="240" w:lineRule="auto"/>
        <w:ind w:left="851" w:hanging="851"/>
        <w:jc w:val="left"/>
        <w:rPr>
          <w:rFonts w:cs="Arial"/>
          <w:sz w:val="20"/>
          <w:szCs w:val="20"/>
          <w:lang w:val="en-ZA"/>
        </w:rPr>
      </w:pPr>
      <w:r w:rsidRPr="00335764">
        <w:rPr>
          <w:rFonts w:cs="Arial"/>
          <w:b/>
          <w:color w:val="auto"/>
          <w:sz w:val="20"/>
          <w:szCs w:val="20"/>
        </w:rPr>
        <w:t>Special</w:t>
      </w:r>
      <w:r w:rsidRPr="00335764">
        <w:rPr>
          <w:rFonts w:cs="Arial"/>
          <w:b/>
          <w:bCs/>
          <w:color w:val="auto"/>
          <w:sz w:val="20"/>
          <w:szCs w:val="20"/>
        </w:rPr>
        <w:t xml:space="preserve"> Investigating Unit</w:t>
      </w:r>
    </w:p>
    <w:p w:rsidR="0025470A" w:rsidRPr="00335764" w:rsidRDefault="0025470A" w:rsidP="00335764">
      <w:pPr>
        <w:autoSpaceDE w:val="0"/>
        <w:autoSpaceDN w:val="0"/>
        <w:adjustRightInd w:val="0"/>
        <w:spacing w:line="240" w:lineRule="auto"/>
        <w:jc w:val="left"/>
        <w:rPr>
          <w:rFonts w:cs="Arial"/>
          <w:sz w:val="20"/>
          <w:szCs w:val="20"/>
          <w:lang w:val="en-ZA"/>
        </w:rPr>
      </w:pPr>
    </w:p>
    <w:p w:rsidR="0025470A" w:rsidRPr="00335764" w:rsidRDefault="001C499E" w:rsidP="00335764">
      <w:pPr>
        <w:pStyle w:val="ListParagraph"/>
        <w:numPr>
          <w:ilvl w:val="1"/>
          <w:numId w:val="1"/>
        </w:numPr>
        <w:spacing w:line="240" w:lineRule="auto"/>
        <w:ind w:left="851" w:hanging="851"/>
        <w:jc w:val="left"/>
        <w:rPr>
          <w:rFonts w:cs="Arial"/>
          <w:sz w:val="20"/>
          <w:szCs w:val="20"/>
        </w:rPr>
      </w:pPr>
      <w:r w:rsidRPr="00335764">
        <w:rPr>
          <w:rFonts w:cs="Arial"/>
          <w:sz w:val="20"/>
          <w:szCs w:val="20"/>
        </w:rPr>
        <w:t xml:space="preserve">The SIU’s </w:t>
      </w:r>
      <w:r w:rsidR="0025470A" w:rsidRPr="00335764">
        <w:rPr>
          <w:rFonts w:cs="Arial"/>
          <w:sz w:val="20"/>
          <w:szCs w:val="20"/>
        </w:rPr>
        <w:t xml:space="preserve">principal function is to investigate serious malpractices, </w:t>
      </w:r>
      <w:r w:rsidR="00261D2C" w:rsidRPr="00335764">
        <w:rPr>
          <w:rFonts w:cs="Arial"/>
          <w:sz w:val="20"/>
          <w:szCs w:val="20"/>
        </w:rPr>
        <w:t>maladministration,</w:t>
      </w:r>
      <w:r w:rsidR="0025470A" w:rsidRPr="00335764">
        <w:rPr>
          <w:rFonts w:cs="Arial"/>
          <w:sz w:val="20"/>
          <w:szCs w:val="20"/>
        </w:rPr>
        <w:t xml:space="preserve"> and corruption in connection with the administration of state institutions, state assets and public money, as well as any </w:t>
      </w:r>
      <w:r w:rsidR="009E38D3" w:rsidRPr="00335764">
        <w:rPr>
          <w:rFonts w:cs="Arial"/>
          <w:sz w:val="20"/>
          <w:szCs w:val="20"/>
        </w:rPr>
        <w:t>conduct that</w:t>
      </w:r>
      <w:r w:rsidR="0025470A" w:rsidRPr="00335764">
        <w:rPr>
          <w:rFonts w:cs="Arial"/>
          <w:sz w:val="20"/>
          <w:szCs w:val="20"/>
        </w:rPr>
        <w:t xml:space="preserve"> may seriously harm the interests of the public. </w:t>
      </w:r>
      <w:r w:rsidR="009F5A5A" w:rsidRPr="00335764">
        <w:rPr>
          <w:rFonts w:cs="Arial"/>
          <w:sz w:val="20"/>
          <w:szCs w:val="20"/>
        </w:rPr>
        <w:t>T</w:t>
      </w:r>
      <w:r w:rsidR="0025470A" w:rsidRPr="00335764">
        <w:rPr>
          <w:rFonts w:cs="Arial"/>
          <w:sz w:val="20"/>
          <w:szCs w:val="20"/>
        </w:rPr>
        <w:t>he SIU</w:t>
      </w:r>
      <w:r w:rsidR="009F5A5A" w:rsidRPr="00335764">
        <w:rPr>
          <w:rFonts w:cs="Arial"/>
          <w:sz w:val="20"/>
          <w:szCs w:val="20"/>
        </w:rPr>
        <w:t xml:space="preserve"> also</w:t>
      </w:r>
      <w:r w:rsidR="0025470A" w:rsidRPr="00335764">
        <w:rPr>
          <w:rFonts w:cs="Arial"/>
          <w:sz w:val="20"/>
          <w:szCs w:val="20"/>
        </w:rPr>
        <w:t xml:space="preserve">: </w:t>
      </w:r>
    </w:p>
    <w:p w:rsidR="0025470A" w:rsidRPr="00335764" w:rsidRDefault="0025470A" w:rsidP="00335764">
      <w:pPr>
        <w:numPr>
          <w:ilvl w:val="0"/>
          <w:numId w:val="2"/>
        </w:numPr>
        <w:autoSpaceDE w:val="0"/>
        <w:autoSpaceDN w:val="0"/>
        <w:adjustRightInd w:val="0"/>
        <w:spacing w:line="240" w:lineRule="auto"/>
        <w:ind w:hanging="502"/>
        <w:jc w:val="left"/>
        <w:rPr>
          <w:rFonts w:cs="Arial"/>
          <w:sz w:val="20"/>
          <w:szCs w:val="20"/>
          <w:lang/>
        </w:rPr>
      </w:pPr>
      <w:r w:rsidRPr="00335764">
        <w:rPr>
          <w:rFonts w:cs="Arial"/>
          <w:sz w:val="20"/>
          <w:szCs w:val="20"/>
          <w:lang/>
        </w:rPr>
        <w:t xml:space="preserve">Institutes and conducts civil proceedings in any court of law or special tribunal, in its own name or on behalf of state institutions. </w:t>
      </w:r>
    </w:p>
    <w:p w:rsidR="0025470A" w:rsidRPr="00335764" w:rsidRDefault="0025470A" w:rsidP="00335764">
      <w:pPr>
        <w:numPr>
          <w:ilvl w:val="0"/>
          <w:numId w:val="2"/>
        </w:numPr>
        <w:autoSpaceDE w:val="0"/>
        <w:autoSpaceDN w:val="0"/>
        <w:adjustRightInd w:val="0"/>
        <w:spacing w:line="240" w:lineRule="auto"/>
        <w:ind w:hanging="502"/>
        <w:jc w:val="left"/>
        <w:rPr>
          <w:rFonts w:cs="Arial"/>
          <w:sz w:val="20"/>
          <w:szCs w:val="20"/>
          <w:lang/>
        </w:rPr>
      </w:pPr>
      <w:r w:rsidRPr="00335764">
        <w:rPr>
          <w:rFonts w:cs="Arial"/>
          <w:sz w:val="20"/>
          <w:szCs w:val="20"/>
          <w:lang/>
        </w:rPr>
        <w:t>Brings potential disciplinary matters to the attention of state institutions</w:t>
      </w:r>
      <w:r w:rsidR="009F5A5A" w:rsidRPr="00335764">
        <w:rPr>
          <w:rFonts w:cs="Arial"/>
          <w:sz w:val="20"/>
          <w:szCs w:val="20"/>
          <w:lang w:val="en-ZA"/>
        </w:rPr>
        <w:t>.</w:t>
      </w:r>
    </w:p>
    <w:p w:rsidR="00E97803" w:rsidRPr="00335764" w:rsidRDefault="00E97803" w:rsidP="00335764">
      <w:pPr>
        <w:shd w:val="clear" w:color="auto" w:fill="FFFFFF"/>
        <w:autoSpaceDE w:val="0"/>
        <w:autoSpaceDN w:val="0"/>
        <w:adjustRightInd w:val="0"/>
        <w:spacing w:line="240" w:lineRule="auto"/>
        <w:ind w:left="709"/>
        <w:jc w:val="left"/>
        <w:rPr>
          <w:rFonts w:cs="Arial"/>
          <w:sz w:val="20"/>
          <w:szCs w:val="20"/>
        </w:rPr>
      </w:pPr>
    </w:p>
    <w:p w:rsidR="0025470A" w:rsidRPr="00335764" w:rsidRDefault="00E97803" w:rsidP="00335764">
      <w:pPr>
        <w:pStyle w:val="ListParagraph"/>
        <w:numPr>
          <w:ilvl w:val="1"/>
          <w:numId w:val="1"/>
        </w:numPr>
        <w:spacing w:line="240" w:lineRule="auto"/>
        <w:ind w:left="851" w:hanging="851"/>
        <w:jc w:val="left"/>
        <w:rPr>
          <w:rFonts w:cs="Arial"/>
          <w:sz w:val="20"/>
          <w:szCs w:val="20"/>
        </w:rPr>
      </w:pPr>
      <w:r w:rsidRPr="00335764">
        <w:rPr>
          <w:rFonts w:cs="Arial"/>
          <w:sz w:val="20"/>
          <w:szCs w:val="20"/>
        </w:rPr>
        <w:t xml:space="preserve">Although the SIU does not have the power to arrest or prosecute offenders for criminal conduct, it reports matters to the Directorate for Priority Crime Investigation (DPCI/the Hawks), the South African Police Service (SAPS) and the National Prosecuting Authority (NPA). The SIU works closely with the Asset Forfeiture Unit (AFU) in the NPA, where its powers are more appropriate or effective in recovering the proceeds of crime. </w:t>
      </w:r>
      <w:r w:rsidR="00A22BD5" w:rsidRPr="00335764">
        <w:rPr>
          <w:rFonts w:cs="Arial"/>
          <w:sz w:val="20"/>
          <w:szCs w:val="20"/>
        </w:rPr>
        <w:t>The MTSF also identifies the investigative reports of the</w:t>
      </w:r>
      <w:r w:rsidR="00A00B55" w:rsidRPr="00335764">
        <w:rPr>
          <w:rFonts w:cs="Arial"/>
          <w:sz w:val="20"/>
          <w:szCs w:val="20"/>
        </w:rPr>
        <w:t xml:space="preserve"> Financial Intelligence Centre </w:t>
      </w:r>
      <w:r w:rsidR="00A22BD5" w:rsidRPr="00335764">
        <w:rPr>
          <w:rFonts w:cs="Arial"/>
          <w:sz w:val="20"/>
          <w:szCs w:val="20"/>
        </w:rPr>
        <w:t xml:space="preserve">as key in the identification of high priority cases. </w:t>
      </w:r>
      <w:r w:rsidRPr="00335764">
        <w:rPr>
          <w:rFonts w:cs="Arial"/>
          <w:sz w:val="20"/>
          <w:szCs w:val="20"/>
        </w:rPr>
        <w:t xml:space="preserve">The </w:t>
      </w:r>
      <w:r w:rsidR="00A22BD5" w:rsidRPr="00335764">
        <w:rPr>
          <w:rFonts w:cs="Arial"/>
          <w:sz w:val="20"/>
          <w:szCs w:val="20"/>
        </w:rPr>
        <w:t xml:space="preserve">SIU </w:t>
      </w:r>
      <w:r w:rsidRPr="00335764">
        <w:rPr>
          <w:rFonts w:cs="Arial"/>
          <w:sz w:val="20"/>
          <w:szCs w:val="20"/>
        </w:rPr>
        <w:t>is part of the Anti-Corruption Task Team (ACTT), which was established to fast–track investigations and prosecutions of serious corruption cases.</w:t>
      </w:r>
    </w:p>
    <w:p w:rsidR="00E97803" w:rsidRPr="00335764" w:rsidRDefault="00E97803" w:rsidP="00335764">
      <w:pPr>
        <w:shd w:val="clear" w:color="auto" w:fill="FFFFFF"/>
        <w:autoSpaceDE w:val="0"/>
        <w:autoSpaceDN w:val="0"/>
        <w:adjustRightInd w:val="0"/>
        <w:spacing w:line="240" w:lineRule="auto"/>
        <w:ind w:left="709"/>
        <w:jc w:val="left"/>
        <w:rPr>
          <w:rFonts w:cs="Arial"/>
          <w:sz w:val="20"/>
          <w:szCs w:val="20"/>
        </w:rPr>
      </w:pPr>
    </w:p>
    <w:p w:rsidR="00A147E7" w:rsidRPr="00335764" w:rsidRDefault="007E57A0" w:rsidP="00335764">
      <w:pPr>
        <w:pStyle w:val="ListParagraph"/>
        <w:numPr>
          <w:ilvl w:val="1"/>
          <w:numId w:val="1"/>
        </w:numPr>
        <w:spacing w:line="240" w:lineRule="auto"/>
        <w:ind w:left="851" w:hanging="851"/>
        <w:jc w:val="left"/>
        <w:rPr>
          <w:rFonts w:cs="Arial"/>
          <w:sz w:val="20"/>
          <w:szCs w:val="20"/>
        </w:rPr>
      </w:pPr>
      <w:r w:rsidRPr="00335764">
        <w:rPr>
          <w:rFonts w:cs="Arial"/>
          <w:sz w:val="20"/>
          <w:szCs w:val="20"/>
        </w:rPr>
        <w:lastRenderedPageBreak/>
        <w:t>The SIU locates its role under</w:t>
      </w:r>
      <w:r w:rsidR="00690A22" w:rsidRPr="00335764">
        <w:rPr>
          <w:rFonts w:cs="Arial"/>
          <w:sz w:val="20"/>
          <w:szCs w:val="20"/>
        </w:rPr>
        <w:t xml:space="preserve"> the MTSF priorities: ‘</w:t>
      </w:r>
      <w:r w:rsidRPr="00335764">
        <w:rPr>
          <w:rFonts w:cs="Arial"/>
          <w:sz w:val="20"/>
          <w:szCs w:val="20"/>
        </w:rPr>
        <w:t>Social Cohesion and Safe Communities</w:t>
      </w:r>
      <w:r w:rsidR="00690A22" w:rsidRPr="00335764">
        <w:rPr>
          <w:rFonts w:cs="Arial"/>
          <w:sz w:val="20"/>
          <w:szCs w:val="20"/>
        </w:rPr>
        <w:t>’</w:t>
      </w:r>
      <w:r w:rsidRPr="00335764">
        <w:rPr>
          <w:rFonts w:cs="Arial"/>
          <w:sz w:val="20"/>
          <w:szCs w:val="20"/>
        </w:rPr>
        <w:t xml:space="preserve"> and </w:t>
      </w:r>
      <w:r w:rsidR="00690A22" w:rsidRPr="00335764">
        <w:rPr>
          <w:rFonts w:cs="Arial"/>
          <w:sz w:val="20"/>
          <w:szCs w:val="20"/>
        </w:rPr>
        <w:t>‘</w:t>
      </w:r>
      <w:r w:rsidRPr="00335764">
        <w:rPr>
          <w:rFonts w:cs="Arial"/>
          <w:sz w:val="20"/>
          <w:szCs w:val="20"/>
        </w:rPr>
        <w:t>A capable, ethical and development</w:t>
      </w:r>
      <w:r w:rsidR="00690A22" w:rsidRPr="00335764">
        <w:rPr>
          <w:rFonts w:cs="Arial"/>
          <w:sz w:val="20"/>
          <w:szCs w:val="20"/>
        </w:rPr>
        <w:t>al</w:t>
      </w:r>
      <w:r w:rsidRPr="00335764">
        <w:rPr>
          <w:rFonts w:cs="Arial"/>
          <w:sz w:val="20"/>
          <w:szCs w:val="20"/>
        </w:rPr>
        <w:t xml:space="preserve"> state</w:t>
      </w:r>
      <w:r w:rsidR="00690A22" w:rsidRPr="00335764">
        <w:rPr>
          <w:rFonts w:cs="Arial"/>
          <w:sz w:val="20"/>
          <w:szCs w:val="20"/>
        </w:rPr>
        <w:t>’</w:t>
      </w:r>
      <w:r w:rsidRPr="00335764">
        <w:rPr>
          <w:rFonts w:cs="Arial"/>
          <w:sz w:val="20"/>
          <w:szCs w:val="20"/>
        </w:rPr>
        <w:t xml:space="preserve">. </w:t>
      </w:r>
      <w:r w:rsidR="00A147E7" w:rsidRPr="00335764">
        <w:rPr>
          <w:rFonts w:cs="Arial"/>
          <w:sz w:val="20"/>
          <w:szCs w:val="20"/>
        </w:rPr>
        <w:t>The MTSF envisages a</w:t>
      </w:r>
      <w:r w:rsidRPr="00335764">
        <w:rPr>
          <w:rFonts w:cs="Arial"/>
          <w:sz w:val="20"/>
          <w:szCs w:val="20"/>
        </w:rPr>
        <w:t xml:space="preserve">n improvement in </w:t>
      </w:r>
      <w:r w:rsidR="00A147E7" w:rsidRPr="00335764">
        <w:rPr>
          <w:rFonts w:cs="Arial"/>
          <w:sz w:val="20"/>
          <w:szCs w:val="20"/>
        </w:rPr>
        <w:t>corruption p</w:t>
      </w:r>
      <w:r w:rsidRPr="00335764">
        <w:rPr>
          <w:rFonts w:cs="Arial"/>
          <w:sz w:val="20"/>
          <w:szCs w:val="20"/>
        </w:rPr>
        <w:t>erception</w:t>
      </w:r>
      <w:r w:rsidR="00E627CC" w:rsidRPr="00335764">
        <w:rPr>
          <w:rFonts w:cs="Arial"/>
          <w:sz w:val="20"/>
          <w:szCs w:val="20"/>
        </w:rPr>
        <w:t xml:space="preserve"> by the end of the five-year period</w:t>
      </w:r>
      <w:r w:rsidR="00A147E7" w:rsidRPr="00335764">
        <w:rPr>
          <w:rFonts w:cs="Arial"/>
          <w:sz w:val="20"/>
          <w:szCs w:val="20"/>
        </w:rPr>
        <w:t>. The SIU i</w:t>
      </w:r>
      <w:r w:rsidR="00E627CC" w:rsidRPr="00335764">
        <w:rPr>
          <w:rFonts w:cs="Arial"/>
          <w:sz w:val="20"/>
          <w:szCs w:val="20"/>
        </w:rPr>
        <w:t xml:space="preserve">s to </w:t>
      </w:r>
      <w:r w:rsidR="00A147E7" w:rsidRPr="00335764">
        <w:rPr>
          <w:rFonts w:cs="Arial"/>
          <w:sz w:val="20"/>
          <w:szCs w:val="20"/>
        </w:rPr>
        <w:t>contribute</w:t>
      </w:r>
      <w:r w:rsidR="00632D98" w:rsidRPr="00335764">
        <w:rPr>
          <w:rFonts w:cs="Arial"/>
          <w:sz w:val="20"/>
          <w:szCs w:val="20"/>
        </w:rPr>
        <w:t xml:space="preserve"> by reducing levels of fraud and corruption in the private and public sectors; freezing money and assets;</w:t>
      </w:r>
      <w:r w:rsidR="00A147E7" w:rsidRPr="00335764">
        <w:rPr>
          <w:rFonts w:cs="Arial"/>
          <w:sz w:val="20"/>
          <w:szCs w:val="20"/>
        </w:rPr>
        <w:t xml:space="preserve"> establishing and strengthening the capacity of the Special Tribunal for civil recoveries; </w:t>
      </w:r>
      <w:r w:rsidR="00632D98" w:rsidRPr="00335764">
        <w:rPr>
          <w:rFonts w:cs="Arial"/>
          <w:sz w:val="20"/>
          <w:szCs w:val="20"/>
        </w:rPr>
        <w:t xml:space="preserve">and increasing the use of Financial Intelligence Reports in </w:t>
      </w:r>
      <w:r w:rsidR="00A147E7" w:rsidRPr="00335764">
        <w:rPr>
          <w:rFonts w:cs="Arial"/>
          <w:sz w:val="20"/>
          <w:szCs w:val="20"/>
        </w:rPr>
        <w:t>identifying</w:t>
      </w:r>
      <w:r w:rsidR="00632D98" w:rsidRPr="00335764">
        <w:rPr>
          <w:rFonts w:cs="Arial"/>
          <w:sz w:val="20"/>
          <w:szCs w:val="20"/>
        </w:rPr>
        <w:t xml:space="preserve"> high priority cases.</w:t>
      </w:r>
      <w:r w:rsidR="00A147E7" w:rsidRPr="00335764">
        <w:rPr>
          <w:rFonts w:cs="Arial"/>
          <w:sz w:val="20"/>
          <w:szCs w:val="20"/>
        </w:rPr>
        <w:t xml:space="preserve"> </w:t>
      </w:r>
    </w:p>
    <w:p w:rsidR="008B5F6A" w:rsidRPr="00335764" w:rsidRDefault="008B5F6A" w:rsidP="00335764">
      <w:pPr>
        <w:pStyle w:val="ListParagraph"/>
        <w:spacing w:line="240" w:lineRule="auto"/>
        <w:ind w:left="851"/>
        <w:jc w:val="left"/>
        <w:rPr>
          <w:rFonts w:eastAsia="Calibri" w:cs="Arial"/>
          <w:spacing w:val="0"/>
          <w:sz w:val="20"/>
          <w:szCs w:val="20"/>
        </w:rPr>
      </w:pPr>
    </w:p>
    <w:p w:rsidR="00B4138A" w:rsidRPr="00335764" w:rsidRDefault="00D8030F" w:rsidP="00335764">
      <w:pPr>
        <w:pStyle w:val="ListParagraph"/>
        <w:numPr>
          <w:ilvl w:val="1"/>
          <w:numId w:val="1"/>
        </w:numPr>
        <w:spacing w:line="240" w:lineRule="auto"/>
        <w:ind w:left="851" w:hanging="851"/>
        <w:jc w:val="left"/>
        <w:rPr>
          <w:rFonts w:eastAsia="Calibri" w:cs="Arial"/>
          <w:spacing w:val="0"/>
          <w:sz w:val="20"/>
          <w:szCs w:val="20"/>
        </w:rPr>
      </w:pPr>
      <w:r w:rsidRPr="00335764">
        <w:rPr>
          <w:rFonts w:cs="Arial"/>
          <w:sz w:val="20"/>
          <w:szCs w:val="20"/>
        </w:rPr>
        <w:t>In 2023/23, t</w:t>
      </w:r>
      <w:r w:rsidR="00B4138A" w:rsidRPr="00335764">
        <w:rPr>
          <w:rFonts w:cs="Arial"/>
          <w:sz w:val="20"/>
          <w:szCs w:val="20"/>
        </w:rPr>
        <w:t>he</w:t>
      </w:r>
      <w:r w:rsidR="00B4138A" w:rsidRPr="00335764">
        <w:rPr>
          <w:rFonts w:eastAsia="Calibri" w:cs="Arial"/>
          <w:spacing w:val="0"/>
          <w:sz w:val="20"/>
          <w:szCs w:val="20"/>
        </w:rPr>
        <w:t xml:space="preserve"> SIU </w:t>
      </w:r>
      <w:r w:rsidRPr="00335764">
        <w:rPr>
          <w:rFonts w:eastAsia="Calibri" w:cs="Arial"/>
          <w:spacing w:val="0"/>
          <w:sz w:val="20"/>
          <w:szCs w:val="20"/>
        </w:rPr>
        <w:t xml:space="preserve">retains the following </w:t>
      </w:r>
      <w:r w:rsidR="001935EC" w:rsidRPr="00335764">
        <w:rPr>
          <w:rFonts w:eastAsia="Calibri" w:cs="Arial"/>
          <w:spacing w:val="0"/>
          <w:sz w:val="20"/>
          <w:szCs w:val="20"/>
        </w:rPr>
        <w:t>strategic focus areas:</w:t>
      </w:r>
    </w:p>
    <w:p w:rsidR="00B4138A" w:rsidRPr="00335764" w:rsidRDefault="00B4138A"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Improving investigation turnaround times</w:t>
      </w:r>
      <w:r w:rsidR="001935EC" w:rsidRPr="00335764">
        <w:rPr>
          <w:rFonts w:eastAsia="Calibri" w:cs="Arial"/>
          <w:spacing w:val="0"/>
          <w:sz w:val="20"/>
          <w:szCs w:val="20"/>
        </w:rPr>
        <w:t>.</w:t>
      </w:r>
    </w:p>
    <w:p w:rsidR="00B4138A" w:rsidRPr="00335764" w:rsidRDefault="00B4138A"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Monitoring implementation of the SIU referrals and consequence management</w:t>
      </w:r>
      <w:r w:rsidR="001935EC" w:rsidRPr="00335764">
        <w:rPr>
          <w:rFonts w:eastAsia="Calibri" w:cs="Arial"/>
          <w:spacing w:val="0"/>
          <w:sz w:val="20"/>
          <w:szCs w:val="20"/>
        </w:rPr>
        <w:t>.</w:t>
      </w:r>
    </w:p>
    <w:p w:rsidR="00B4138A" w:rsidRPr="00335764" w:rsidRDefault="00B4138A"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Implementing measures to accelerate civil litigation</w:t>
      </w:r>
      <w:r w:rsidR="001935EC" w:rsidRPr="00335764">
        <w:rPr>
          <w:rFonts w:eastAsia="Calibri" w:cs="Arial"/>
          <w:spacing w:val="0"/>
          <w:sz w:val="20"/>
          <w:szCs w:val="20"/>
        </w:rPr>
        <w:t>.</w:t>
      </w:r>
    </w:p>
    <w:p w:rsidR="00B4138A" w:rsidRPr="00335764" w:rsidRDefault="00B4138A"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Reviewing and strengthening the SIU funding model</w:t>
      </w:r>
      <w:r w:rsidR="001935EC" w:rsidRPr="00335764">
        <w:rPr>
          <w:rFonts w:eastAsia="Calibri" w:cs="Arial"/>
          <w:spacing w:val="0"/>
          <w:sz w:val="20"/>
          <w:szCs w:val="20"/>
        </w:rPr>
        <w:t>.</w:t>
      </w:r>
    </w:p>
    <w:p w:rsidR="00B4138A" w:rsidRPr="00335764" w:rsidRDefault="00B4138A"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Implementing targeted prevention and awareness campaigns</w:t>
      </w:r>
      <w:r w:rsidR="001935EC" w:rsidRPr="00335764">
        <w:rPr>
          <w:rFonts w:eastAsia="Calibri" w:cs="Arial"/>
          <w:spacing w:val="0"/>
          <w:sz w:val="20"/>
          <w:szCs w:val="20"/>
        </w:rPr>
        <w:t>.</w:t>
      </w:r>
    </w:p>
    <w:p w:rsidR="00B4138A" w:rsidRPr="00335764" w:rsidRDefault="00B4138A"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 xml:space="preserve">Making systematic recommendations to state institutions to prevent a recurrence of corruption, </w:t>
      </w:r>
      <w:r w:rsidR="00261D2C" w:rsidRPr="00335764">
        <w:rPr>
          <w:rFonts w:eastAsia="Calibri" w:cs="Arial"/>
          <w:spacing w:val="0"/>
          <w:sz w:val="20"/>
          <w:szCs w:val="20"/>
        </w:rPr>
        <w:t>maladministration,</w:t>
      </w:r>
      <w:r w:rsidRPr="00335764">
        <w:rPr>
          <w:rFonts w:eastAsia="Calibri" w:cs="Arial"/>
          <w:spacing w:val="0"/>
          <w:sz w:val="20"/>
          <w:szCs w:val="20"/>
        </w:rPr>
        <w:t xml:space="preserve"> and malpractice</w:t>
      </w:r>
      <w:r w:rsidR="001935EC" w:rsidRPr="00335764">
        <w:rPr>
          <w:rFonts w:eastAsia="Calibri" w:cs="Arial"/>
          <w:spacing w:val="0"/>
          <w:sz w:val="20"/>
          <w:szCs w:val="20"/>
        </w:rPr>
        <w:t>.</w:t>
      </w:r>
    </w:p>
    <w:p w:rsidR="00B4138A" w:rsidRPr="00335764" w:rsidRDefault="00B4138A"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Improving communication and stakeholder relations</w:t>
      </w:r>
      <w:r w:rsidR="001935EC" w:rsidRPr="00335764">
        <w:rPr>
          <w:rFonts w:eastAsia="Calibri" w:cs="Arial"/>
          <w:spacing w:val="0"/>
          <w:sz w:val="20"/>
          <w:szCs w:val="20"/>
        </w:rPr>
        <w:t>.</w:t>
      </w:r>
    </w:p>
    <w:p w:rsidR="00D8030F" w:rsidRPr="00335764" w:rsidRDefault="00B4138A"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 xml:space="preserve">Implementing corruption, </w:t>
      </w:r>
      <w:r w:rsidR="00261D2C" w:rsidRPr="00335764">
        <w:rPr>
          <w:rFonts w:eastAsia="Calibri" w:cs="Arial"/>
          <w:spacing w:val="0"/>
          <w:sz w:val="20"/>
          <w:szCs w:val="20"/>
        </w:rPr>
        <w:t>maladministration,</w:t>
      </w:r>
      <w:r w:rsidR="00D8030F" w:rsidRPr="00335764">
        <w:rPr>
          <w:rFonts w:eastAsia="Calibri" w:cs="Arial"/>
          <w:spacing w:val="0"/>
          <w:sz w:val="20"/>
          <w:szCs w:val="20"/>
        </w:rPr>
        <w:t xml:space="preserve"> and malpractice data analytics.</w:t>
      </w:r>
    </w:p>
    <w:p w:rsidR="00D8030F" w:rsidRPr="00335764" w:rsidRDefault="00D8030F"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I</w:t>
      </w:r>
      <w:r w:rsidR="00B4138A" w:rsidRPr="00335764">
        <w:rPr>
          <w:rFonts w:eastAsia="Calibri" w:cs="Arial"/>
          <w:spacing w:val="0"/>
          <w:sz w:val="20"/>
          <w:szCs w:val="20"/>
        </w:rPr>
        <w:t>mproving the SIU governance framework</w:t>
      </w:r>
      <w:r w:rsidRPr="00335764">
        <w:rPr>
          <w:rFonts w:eastAsia="Calibri" w:cs="Arial"/>
          <w:spacing w:val="0"/>
          <w:sz w:val="20"/>
          <w:szCs w:val="20"/>
        </w:rPr>
        <w:t>.</w:t>
      </w:r>
    </w:p>
    <w:p w:rsidR="00B4138A" w:rsidRPr="00335764" w:rsidRDefault="00D8030F"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I</w:t>
      </w:r>
      <w:r w:rsidR="00B4138A" w:rsidRPr="00335764">
        <w:rPr>
          <w:rFonts w:eastAsia="Calibri" w:cs="Arial"/>
          <w:spacing w:val="0"/>
          <w:sz w:val="20"/>
          <w:szCs w:val="20"/>
        </w:rPr>
        <w:t>mproving all the SIU operations enablement functions</w:t>
      </w:r>
      <w:r w:rsidR="001935EC" w:rsidRPr="00335764">
        <w:rPr>
          <w:rFonts w:eastAsia="Calibri" w:cs="Arial"/>
          <w:spacing w:val="0"/>
          <w:sz w:val="20"/>
          <w:szCs w:val="20"/>
        </w:rPr>
        <w:t>.</w:t>
      </w:r>
    </w:p>
    <w:p w:rsidR="00B4138A" w:rsidRPr="00335764" w:rsidRDefault="00B4138A"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Introducing a new organisational and individual performance management system</w:t>
      </w:r>
      <w:r w:rsidR="001935EC" w:rsidRPr="00335764">
        <w:rPr>
          <w:rFonts w:eastAsia="Calibri" w:cs="Arial"/>
          <w:spacing w:val="0"/>
          <w:sz w:val="20"/>
          <w:szCs w:val="20"/>
        </w:rPr>
        <w:t>.</w:t>
      </w:r>
    </w:p>
    <w:p w:rsidR="00BA5985" w:rsidRPr="00335764" w:rsidRDefault="00BA5985"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Re-</w:t>
      </w:r>
      <w:r w:rsidR="001935EC" w:rsidRPr="00335764">
        <w:rPr>
          <w:rFonts w:eastAsia="Calibri" w:cs="Arial"/>
          <w:spacing w:val="0"/>
          <w:sz w:val="20"/>
          <w:szCs w:val="20"/>
        </w:rPr>
        <w:t>introducing</w:t>
      </w:r>
      <w:r w:rsidRPr="00335764">
        <w:rPr>
          <w:rFonts w:eastAsia="Calibri" w:cs="Arial"/>
          <w:spacing w:val="0"/>
          <w:sz w:val="20"/>
          <w:szCs w:val="20"/>
        </w:rPr>
        <w:t xml:space="preserve"> an E-PMO</w:t>
      </w:r>
      <w:r w:rsidR="001935EC" w:rsidRPr="00335764">
        <w:rPr>
          <w:rFonts w:eastAsia="Calibri" w:cs="Arial"/>
          <w:spacing w:val="0"/>
          <w:sz w:val="20"/>
          <w:szCs w:val="20"/>
        </w:rPr>
        <w:t>.</w:t>
      </w:r>
    </w:p>
    <w:p w:rsidR="00B4138A" w:rsidRPr="00335764" w:rsidRDefault="001935EC"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Accelerating</w:t>
      </w:r>
      <w:r w:rsidR="00B4138A" w:rsidRPr="00335764">
        <w:rPr>
          <w:rFonts w:eastAsia="Calibri" w:cs="Arial"/>
          <w:spacing w:val="0"/>
          <w:sz w:val="20"/>
          <w:szCs w:val="20"/>
        </w:rPr>
        <w:t xml:space="preserve"> implementation of Data Analytics capability</w:t>
      </w:r>
      <w:r w:rsidRPr="00335764">
        <w:rPr>
          <w:rFonts w:eastAsia="Calibri" w:cs="Arial"/>
          <w:spacing w:val="0"/>
          <w:sz w:val="20"/>
          <w:szCs w:val="20"/>
        </w:rPr>
        <w:t>.</w:t>
      </w:r>
    </w:p>
    <w:p w:rsidR="00BA5985" w:rsidRPr="00335764" w:rsidRDefault="00BA5985"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Business Development (Provincial Offices)</w:t>
      </w:r>
      <w:r w:rsidR="001935EC" w:rsidRPr="00335764">
        <w:rPr>
          <w:rFonts w:eastAsia="Calibri" w:cs="Arial"/>
          <w:spacing w:val="0"/>
          <w:sz w:val="20"/>
          <w:szCs w:val="20"/>
        </w:rPr>
        <w:t>.</w:t>
      </w:r>
    </w:p>
    <w:p w:rsidR="00D8030F" w:rsidRPr="00335764" w:rsidRDefault="00BA5985"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Strengthening of Employee Value Proposition (EVP)</w:t>
      </w:r>
      <w:r w:rsidR="001935EC" w:rsidRPr="00335764">
        <w:rPr>
          <w:rFonts w:eastAsia="Calibri" w:cs="Arial"/>
          <w:spacing w:val="0"/>
          <w:sz w:val="20"/>
          <w:szCs w:val="20"/>
        </w:rPr>
        <w:t>.</w:t>
      </w:r>
    </w:p>
    <w:p w:rsidR="00B4138A" w:rsidRPr="00335764" w:rsidRDefault="00B4138A" w:rsidP="00335764">
      <w:pPr>
        <w:autoSpaceDE w:val="0"/>
        <w:autoSpaceDN w:val="0"/>
        <w:adjustRightInd w:val="0"/>
        <w:spacing w:line="240" w:lineRule="auto"/>
        <w:ind w:left="851"/>
        <w:jc w:val="left"/>
        <w:rPr>
          <w:rFonts w:cs="Arial"/>
          <w:sz w:val="20"/>
          <w:szCs w:val="20"/>
          <w:lang w:val="en-ZA" w:eastAsia="en-ZA"/>
        </w:rPr>
      </w:pPr>
    </w:p>
    <w:p w:rsidR="008B5F6A" w:rsidRPr="00335764" w:rsidRDefault="008B5F6A" w:rsidP="00335764">
      <w:pPr>
        <w:pStyle w:val="ListParagraph"/>
        <w:numPr>
          <w:ilvl w:val="1"/>
          <w:numId w:val="1"/>
        </w:numPr>
        <w:spacing w:line="240" w:lineRule="auto"/>
        <w:ind w:left="851" w:hanging="851"/>
        <w:jc w:val="left"/>
        <w:rPr>
          <w:rFonts w:eastAsia="Calibri" w:cs="Arial"/>
          <w:spacing w:val="0"/>
          <w:sz w:val="20"/>
          <w:szCs w:val="20"/>
        </w:rPr>
      </w:pPr>
      <w:r w:rsidRPr="00335764">
        <w:rPr>
          <w:rFonts w:cs="Arial"/>
          <w:sz w:val="20"/>
          <w:szCs w:val="20"/>
        </w:rPr>
        <w:t>The</w:t>
      </w:r>
      <w:r w:rsidRPr="00335764">
        <w:rPr>
          <w:rFonts w:eastAsia="Calibri" w:cs="Arial"/>
          <w:spacing w:val="0"/>
          <w:sz w:val="20"/>
          <w:szCs w:val="20"/>
        </w:rPr>
        <w:t xml:space="preserve"> SIU has identified the following as key risks:</w:t>
      </w:r>
    </w:p>
    <w:p w:rsidR="0065114D" w:rsidRPr="00335764" w:rsidRDefault="0065114D" w:rsidP="00335764">
      <w:pPr>
        <w:pStyle w:val="ListParagraph"/>
        <w:spacing w:line="240" w:lineRule="auto"/>
        <w:ind w:left="851"/>
        <w:jc w:val="left"/>
        <w:rPr>
          <w:rFonts w:eastAsia="Calibri" w:cs="Arial"/>
          <w:spacing w:val="0"/>
          <w:sz w:val="20"/>
          <w:szCs w:val="20"/>
          <w:highlight w:val="yellow"/>
        </w:rPr>
      </w:pPr>
    </w:p>
    <w:tbl>
      <w:tblPr>
        <w:tblStyle w:val="TableGrid1"/>
        <w:tblW w:w="0" w:type="auto"/>
        <w:shd w:val="clear" w:color="auto" w:fill="EDEDED"/>
        <w:tblLook w:val="04A0"/>
      </w:tblPr>
      <w:tblGrid>
        <w:gridCol w:w="3169"/>
        <w:gridCol w:w="2765"/>
        <w:gridCol w:w="3694"/>
      </w:tblGrid>
      <w:tr w:rsidR="0065114D" w:rsidRPr="00335764" w:rsidTr="009F2784">
        <w:trPr>
          <w:tblHeader/>
        </w:trPr>
        <w:tc>
          <w:tcPr>
            <w:tcW w:w="0" w:type="auto"/>
            <w:shd w:val="clear" w:color="auto" w:fill="EDEDED"/>
          </w:tcPr>
          <w:p w:rsidR="0065114D" w:rsidRPr="00335764" w:rsidRDefault="0065114D" w:rsidP="00335764">
            <w:pPr>
              <w:spacing w:line="240" w:lineRule="auto"/>
              <w:jc w:val="left"/>
              <w:rPr>
                <w:rFonts w:cs="Arial"/>
                <w:b/>
                <w:color w:val="auto"/>
                <w:spacing w:val="0"/>
                <w:sz w:val="20"/>
                <w:szCs w:val="20"/>
                <w:lang w:val="en-ZA" w:eastAsia="en-US"/>
              </w:rPr>
            </w:pPr>
            <w:r w:rsidRPr="00335764">
              <w:rPr>
                <w:rFonts w:cs="Arial"/>
                <w:b/>
                <w:color w:val="auto"/>
                <w:spacing w:val="0"/>
                <w:sz w:val="20"/>
                <w:szCs w:val="20"/>
                <w:lang w:val="en-ZA" w:eastAsia="en-US"/>
              </w:rPr>
              <w:t>KEY RISK</w:t>
            </w:r>
          </w:p>
        </w:tc>
        <w:tc>
          <w:tcPr>
            <w:tcW w:w="0" w:type="auto"/>
            <w:shd w:val="clear" w:color="auto" w:fill="EDEDED"/>
          </w:tcPr>
          <w:p w:rsidR="0065114D" w:rsidRPr="00335764" w:rsidRDefault="0065114D" w:rsidP="00335764">
            <w:pPr>
              <w:spacing w:line="240" w:lineRule="auto"/>
              <w:jc w:val="left"/>
              <w:rPr>
                <w:rFonts w:cs="Arial"/>
                <w:b/>
                <w:color w:val="auto"/>
                <w:spacing w:val="0"/>
                <w:sz w:val="20"/>
                <w:szCs w:val="20"/>
                <w:lang w:val="en-ZA" w:eastAsia="en-US"/>
              </w:rPr>
            </w:pPr>
            <w:r w:rsidRPr="00335764">
              <w:rPr>
                <w:rFonts w:cs="Arial"/>
                <w:b/>
                <w:bCs/>
                <w:color w:val="auto"/>
                <w:spacing w:val="0"/>
                <w:sz w:val="20"/>
                <w:szCs w:val="20"/>
                <w:lang w:val="en-ZA" w:eastAsia="en-US"/>
              </w:rPr>
              <w:t>CONTRIBUTING FACTORS</w:t>
            </w:r>
          </w:p>
        </w:tc>
        <w:tc>
          <w:tcPr>
            <w:tcW w:w="0" w:type="auto"/>
            <w:shd w:val="clear" w:color="auto" w:fill="EDEDED"/>
          </w:tcPr>
          <w:p w:rsidR="0065114D" w:rsidRPr="00335764" w:rsidRDefault="0065114D" w:rsidP="00335764">
            <w:pPr>
              <w:spacing w:line="240" w:lineRule="auto"/>
              <w:jc w:val="left"/>
              <w:rPr>
                <w:rFonts w:cs="Arial"/>
                <w:b/>
                <w:color w:val="auto"/>
                <w:spacing w:val="0"/>
                <w:sz w:val="20"/>
                <w:szCs w:val="20"/>
                <w:lang w:val="en-ZA" w:eastAsia="en-US"/>
              </w:rPr>
            </w:pPr>
            <w:r w:rsidRPr="00335764">
              <w:rPr>
                <w:rFonts w:cs="Arial"/>
                <w:b/>
                <w:color w:val="auto"/>
                <w:spacing w:val="0"/>
                <w:sz w:val="20"/>
                <w:szCs w:val="20"/>
                <w:lang w:val="en-ZA" w:eastAsia="en-US"/>
              </w:rPr>
              <w:t>MITIGATION</w:t>
            </w:r>
          </w:p>
        </w:tc>
      </w:tr>
      <w:tr w:rsidR="0065114D" w:rsidRPr="00335764" w:rsidTr="000F1A1B">
        <w:tc>
          <w:tcPr>
            <w:tcW w:w="0" w:type="auto"/>
            <w:shd w:val="clear" w:color="auto" w:fill="FFFFFF" w:themeFill="background1"/>
          </w:tcPr>
          <w:p w:rsidR="0065114D" w:rsidRPr="00335764" w:rsidRDefault="0065114D" w:rsidP="00335764">
            <w:pPr>
              <w:spacing w:line="240" w:lineRule="auto"/>
              <w:jc w:val="left"/>
              <w:rPr>
                <w:rFonts w:cs="Arial"/>
                <w:color w:val="auto"/>
                <w:spacing w:val="0"/>
                <w:sz w:val="20"/>
                <w:szCs w:val="20"/>
                <w:lang w:val="en-ZA" w:eastAsia="en-US"/>
              </w:rPr>
            </w:pPr>
            <w:r w:rsidRPr="00335764">
              <w:rPr>
                <w:rFonts w:cs="Arial"/>
                <w:color w:val="auto"/>
                <w:spacing w:val="0"/>
                <w:sz w:val="20"/>
                <w:szCs w:val="20"/>
                <w:lang w:val="en-ZA" w:eastAsia="en-US"/>
              </w:rPr>
              <w:t>Inability to provide adequate protection of investigators and</w:t>
            </w:r>
            <w:r w:rsidR="000F1A1B" w:rsidRPr="00335764">
              <w:rPr>
                <w:rFonts w:cs="Arial"/>
                <w:color w:val="auto"/>
                <w:spacing w:val="0"/>
                <w:sz w:val="20"/>
                <w:szCs w:val="20"/>
                <w:lang w:val="en-ZA" w:eastAsia="en-US"/>
              </w:rPr>
              <w:t xml:space="preserve"> </w:t>
            </w:r>
            <w:r w:rsidRPr="00335764">
              <w:rPr>
                <w:rFonts w:cs="Arial"/>
                <w:color w:val="auto"/>
                <w:spacing w:val="0"/>
                <w:sz w:val="20"/>
                <w:szCs w:val="20"/>
                <w:lang w:val="en-ZA" w:eastAsia="en-US"/>
              </w:rPr>
              <w:t>whistle blowers against intimidation and threats emanating from SIU investigations.</w:t>
            </w:r>
          </w:p>
        </w:tc>
        <w:tc>
          <w:tcPr>
            <w:tcW w:w="0" w:type="auto"/>
            <w:shd w:val="clear" w:color="auto" w:fill="FFFFFF" w:themeFill="background1"/>
          </w:tcPr>
          <w:p w:rsidR="000F1A1B" w:rsidRPr="00335764" w:rsidRDefault="0065114D" w:rsidP="00335764">
            <w:pPr>
              <w:numPr>
                <w:ilvl w:val="0"/>
                <w:numId w:val="10"/>
              </w:numPr>
              <w:spacing w:line="240" w:lineRule="auto"/>
              <w:ind w:left="375" w:hanging="375"/>
              <w:jc w:val="left"/>
              <w:rPr>
                <w:rFonts w:cs="Arial"/>
                <w:color w:val="auto"/>
                <w:spacing w:val="0"/>
                <w:sz w:val="20"/>
                <w:szCs w:val="20"/>
                <w:lang w:val="en-ZA" w:eastAsia="en-US"/>
              </w:rPr>
            </w:pPr>
            <w:r w:rsidRPr="00335764">
              <w:rPr>
                <w:rFonts w:cs="Arial"/>
                <w:color w:val="auto"/>
                <w:spacing w:val="0"/>
                <w:sz w:val="20"/>
                <w:szCs w:val="20"/>
                <w:lang w:val="en-ZA" w:eastAsia="en-US"/>
              </w:rPr>
              <w:t>Protracted process to conduct and complete Threat Risk Assessments (TRAs) by SAPS.</w:t>
            </w:r>
          </w:p>
          <w:p w:rsidR="000F1A1B" w:rsidRPr="00335764" w:rsidRDefault="0065114D" w:rsidP="00335764">
            <w:pPr>
              <w:numPr>
                <w:ilvl w:val="0"/>
                <w:numId w:val="10"/>
              </w:numPr>
              <w:spacing w:line="240" w:lineRule="auto"/>
              <w:ind w:left="375" w:hanging="375"/>
              <w:jc w:val="left"/>
              <w:rPr>
                <w:rFonts w:cs="Arial"/>
                <w:color w:val="auto"/>
                <w:spacing w:val="0"/>
                <w:sz w:val="20"/>
                <w:szCs w:val="20"/>
                <w:lang w:val="en-ZA" w:eastAsia="en-US"/>
              </w:rPr>
            </w:pPr>
            <w:r w:rsidRPr="00335764">
              <w:rPr>
                <w:rFonts w:cs="Arial"/>
                <w:color w:val="auto"/>
                <w:spacing w:val="0"/>
                <w:sz w:val="20"/>
                <w:szCs w:val="20"/>
                <w:lang w:val="en-ZA" w:eastAsia="en-US"/>
              </w:rPr>
              <w:t>Inadequate internal capacity to</w:t>
            </w:r>
            <w:r w:rsidR="000F1A1B" w:rsidRPr="00335764">
              <w:rPr>
                <w:rFonts w:cs="Arial"/>
                <w:color w:val="auto"/>
                <w:spacing w:val="0"/>
                <w:sz w:val="20"/>
                <w:szCs w:val="20"/>
                <w:lang w:val="en-ZA" w:eastAsia="en-US"/>
              </w:rPr>
              <w:t xml:space="preserve"> respond immediately to threats.</w:t>
            </w:r>
          </w:p>
          <w:p w:rsidR="000F1A1B" w:rsidRPr="00335764" w:rsidRDefault="0065114D" w:rsidP="00335764">
            <w:pPr>
              <w:numPr>
                <w:ilvl w:val="0"/>
                <w:numId w:val="10"/>
              </w:numPr>
              <w:spacing w:line="240" w:lineRule="auto"/>
              <w:ind w:left="375" w:hanging="375"/>
              <w:jc w:val="left"/>
              <w:rPr>
                <w:rFonts w:cs="Arial"/>
                <w:color w:val="auto"/>
                <w:spacing w:val="0"/>
                <w:sz w:val="20"/>
                <w:szCs w:val="20"/>
                <w:lang w:val="en-ZA" w:eastAsia="en-US"/>
              </w:rPr>
            </w:pPr>
            <w:r w:rsidRPr="00335764">
              <w:rPr>
                <w:rFonts w:cs="Arial"/>
                <w:color w:val="auto"/>
                <w:spacing w:val="0"/>
                <w:sz w:val="20"/>
                <w:szCs w:val="20"/>
                <w:lang w:val="en-ZA" w:eastAsia="en-US"/>
              </w:rPr>
              <w:t>Inadequate whistle blowing protection advocacy and awareness program</w:t>
            </w:r>
            <w:r w:rsidR="000F1A1B" w:rsidRPr="00335764">
              <w:rPr>
                <w:rFonts w:cs="Arial"/>
                <w:color w:val="auto"/>
                <w:spacing w:val="0"/>
                <w:sz w:val="20"/>
                <w:szCs w:val="20"/>
                <w:lang w:val="en-ZA" w:eastAsia="en-US"/>
              </w:rPr>
              <w:t>me.</w:t>
            </w:r>
          </w:p>
          <w:p w:rsidR="0065114D" w:rsidRPr="00335764" w:rsidRDefault="0065114D" w:rsidP="00335764">
            <w:pPr>
              <w:numPr>
                <w:ilvl w:val="0"/>
                <w:numId w:val="10"/>
              </w:numPr>
              <w:spacing w:line="240" w:lineRule="auto"/>
              <w:ind w:left="375" w:hanging="375"/>
              <w:jc w:val="left"/>
              <w:rPr>
                <w:rFonts w:cs="Arial"/>
                <w:color w:val="auto"/>
                <w:spacing w:val="0"/>
                <w:sz w:val="20"/>
                <w:szCs w:val="20"/>
                <w:lang w:val="en-ZA" w:eastAsia="en-US"/>
              </w:rPr>
            </w:pPr>
            <w:r w:rsidRPr="00335764">
              <w:rPr>
                <w:rFonts w:cs="Arial"/>
                <w:color w:val="auto"/>
                <w:spacing w:val="0"/>
                <w:sz w:val="20"/>
                <w:szCs w:val="20"/>
                <w:lang w:val="en-ZA" w:eastAsia="en-US"/>
              </w:rPr>
              <w:t>Occupational detriment and/or victimisation arising from blowing the whistle on corruption</w:t>
            </w:r>
            <w:r w:rsidR="000F1A1B" w:rsidRPr="00335764">
              <w:rPr>
                <w:rFonts w:cs="Arial"/>
                <w:color w:val="auto"/>
                <w:spacing w:val="0"/>
                <w:sz w:val="20"/>
                <w:szCs w:val="20"/>
                <w:lang w:val="en-ZA" w:eastAsia="en-US"/>
              </w:rPr>
              <w:t>.</w:t>
            </w:r>
          </w:p>
          <w:p w:rsidR="0065114D" w:rsidRPr="00335764" w:rsidRDefault="0065114D" w:rsidP="00335764">
            <w:pPr>
              <w:numPr>
                <w:ilvl w:val="0"/>
                <w:numId w:val="10"/>
              </w:numPr>
              <w:spacing w:line="240" w:lineRule="auto"/>
              <w:ind w:left="375" w:hanging="375"/>
              <w:jc w:val="left"/>
              <w:rPr>
                <w:rFonts w:cs="Arial"/>
                <w:color w:val="auto"/>
                <w:spacing w:val="0"/>
                <w:sz w:val="20"/>
                <w:szCs w:val="20"/>
                <w:lang w:val="en-ZA" w:eastAsia="en-US"/>
              </w:rPr>
            </w:pPr>
            <w:r w:rsidRPr="00335764">
              <w:rPr>
                <w:rFonts w:cs="Arial"/>
                <w:color w:val="auto"/>
                <w:spacing w:val="0"/>
                <w:sz w:val="20"/>
                <w:szCs w:val="20"/>
                <w:lang w:val="en-ZA" w:eastAsia="en-US"/>
              </w:rPr>
              <w:t>Failure to keep whistle-blowers’ identity anonymous due to unsecured reporting channels</w:t>
            </w:r>
            <w:r w:rsidR="000F1A1B" w:rsidRPr="00335764">
              <w:rPr>
                <w:rFonts w:cs="Arial"/>
                <w:color w:val="auto"/>
                <w:spacing w:val="0"/>
                <w:sz w:val="20"/>
                <w:szCs w:val="20"/>
                <w:lang w:val="en-ZA" w:eastAsia="en-US"/>
              </w:rPr>
              <w:t>.</w:t>
            </w:r>
          </w:p>
        </w:tc>
        <w:tc>
          <w:tcPr>
            <w:tcW w:w="0" w:type="auto"/>
            <w:shd w:val="clear" w:color="auto" w:fill="FFFFFF" w:themeFill="background1"/>
          </w:tcPr>
          <w:p w:rsidR="0065114D" w:rsidRPr="00335764" w:rsidRDefault="0065114D" w:rsidP="00335764">
            <w:pPr>
              <w:numPr>
                <w:ilvl w:val="0"/>
                <w:numId w:val="10"/>
              </w:numPr>
              <w:spacing w:line="240" w:lineRule="auto"/>
              <w:ind w:left="375" w:hanging="375"/>
              <w:jc w:val="left"/>
              <w:rPr>
                <w:rFonts w:cs="Arial"/>
                <w:color w:val="auto"/>
                <w:spacing w:val="0"/>
                <w:sz w:val="20"/>
                <w:szCs w:val="20"/>
                <w:lang w:val="en-ZA" w:eastAsia="en-US"/>
              </w:rPr>
            </w:pPr>
            <w:r w:rsidRPr="00335764">
              <w:rPr>
                <w:rFonts w:cs="Arial"/>
                <w:color w:val="auto"/>
                <w:spacing w:val="0"/>
                <w:sz w:val="20"/>
                <w:szCs w:val="20"/>
                <w:lang w:val="en-ZA" w:eastAsia="en-US"/>
              </w:rPr>
              <w:t>Continuous follow up with SAPS on the progress made regarding conclusion of TRAs.</w:t>
            </w:r>
          </w:p>
          <w:p w:rsidR="0065114D" w:rsidRPr="00335764" w:rsidRDefault="0065114D" w:rsidP="00335764">
            <w:pPr>
              <w:numPr>
                <w:ilvl w:val="0"/>
                <w:numId w:val="10"/>
              </w:numPr>
              <w:spacing w:line="240" w:lineRule="auto"/>
              <w:ind w:left="375" w:hanging="375"/>
              <w:jc w:val="left"/>
              <w:rPr>
                <w:rFonts w:cs="Arial"/>
                <w:color w:val="auto"/>
                <w:spacing w:val="0"/>
                <w:sz w:val="20"/>
                <w:szCs w:val="20"/>
                <w:lang w:val="en-ZA" w:eastAsia="en-US"/>
              </w:rPr>
            </w:pPr>
            <w:r w:rsidRPr="00335764">
              <w:rPr>
                <w:rFonts w:cs="Arial"/>
                <w:color w:val="auto"/>
                <w:spacing w:val="0"/>
                <w:sz w:val="20"/>
                <w:szCs w:val="20"/>
                <w:lang w:val="en-ZA" w:eastAsia="en-US"/>
              </w:rPr>
              <w:t>Appoint the Panel of Security Experts to provide protection for SIU investigators who are intimidated and threatened</w:t>
            </w:r>
            <w:r w:rsidR="000F1A1B" w:rsidRPr="00335764">
              <w:rPr>
                <w:rFonts w:cs="Arial"/>
                <w:color w:val="auto"/>
                <w:spacing w:val="0"/>
                <w:sz w:val="20"/>
                <w:szCs w:val="20"/>
                <w:lang w:val="en-ZA" w:eastAsia="en-US"/>
              </w:rPr>
              <w:t>.</w:t>
            </w:r>
          </w:p>
          <w:p w:rsidR="0065114D" w:rsidRPr="00335764" w:rsidRDefault="0065114D" w:rsidP="00335764">
            <w:pPr>
              <w:numPr>
                <w:ilvl w:val="0"/>
                <w:numId w:val="10"/>
              </w:numPr>
              <w:spacing w:line="240" w:lineRule="auto"/>
              <w:ind w:left="375" w:hanging="375"/>
              <w:jc w:val="left"/>
              <w:rPr>
                <w:rFonts w:cs="Arial"/>
                <w:color w:val="auto"/>
                <w:spacing w:val="0"/>
                <w:sz w:val="20"/>
                <w:szCs w:val="20"/>
                <w:lang w:val="en-ZA" w:eastAsia="en-US"/>
              </w:rPr>
            </w:pPr>
            <w:r w:rsidRPr="00335764">
              <w:rPr>
                <w:rFonts w:cs="Arial"/>
                <w:color w:val="auto"/>
                <w:spacing w:val="0"/>
                <w:sz w:val="20"/>
                <w:szCs w:val="20"/>
                <w:lang w:val="en-ZA" w:eastAsia="en-US"/>
              </w:rPr>
              <w:t>Continuous engagement with whistle blowers that are being victimised to advise them of whistle blowing protection measures.</w:t>
            </w:r>
          </w:p>
          <w:p w:rsidR="0065114D" w:rsidRPr="00335764" w:rsidRDefault="0065114D" w:rsidP="00335764">
            <w:pPr>
              <w:numPr>
                <w:ilvl w:val="0"/>
                <w:numId w:val="10"/>
              </w:numPr>
              <w:spacing w:line="240" w:lineRule="auto"/>
              <w:ind w:left="375" w:hanging="375"/>
              <w:jc w:val="left"/>
              <w:rPr>
                <w:rFonts w:cs="Arial"/>
                <w:color w:val="auto"/>
                <w:spacing w:val="0"/>
                <w:sz w:val="20"/>
                <w:szCs w:val="20"/>
                <w:lang w:val="en-ZA" w:eastAsia="en-US"/>
              </w:rPr>
            </w:pPr>
            <w:r w:rsidRPr="00335764">
              <w:rPr>
                <w:rFonts w:cs="Arial"/>
                <w:color w:val="auto"/>
                <w:spacing w:val="0"/>
                <w:sz w:val="20"/>
                <w:szCs w:val="20"/>
                <w:lang w:val="en-ZA" w:eastAsia="en-US"/>
              </w:rPr>
              <w:t>Continuous engagement with accounting officers bringing the victimisation of whistle-blowers in the state departments to their attention</w:t>
            </w:r>
            <w:r w:rsidR="000F1A1B" w:rsidRPr="00335764">
              <w:rPr>
                <w:rFonts w:cs="Arial"/>
                <w:color w:val="auto"/>
                <w:spacing w:val="0"/>
                <w:sz w:val="20"/>
                <w:szCs w:val="20"/>
                <w:lang w:val="en-ZA" w:eastAsia="en-US"/>
              </w:rPr>
              <w:t>.</w:t>
            </w:r>
            <w:r w:rsidRPr="00335764">
              <w:rPr>
                <w:rFonts w:cs="Arial"/>
                <w:color w:val="auto"/>
                <w:spacing w:val="0"/>
                <w:sz w:val="20"/>
                <w:szCs w:val="20"/>
                <w:lang w:val="en-ZA" w:eastAsia="en-US"/>
              </w:rPr>
              <w:t xml:space="preserve"> </w:t>
            </w:r>
          </w:p>
          <w:p w:rsidR="0065114D" w:rsidRPr="00335764" w:rsidRDefault="0065114D" w:rsidP="00335764">
            <w:pPr>
              <w:numPr>
                <w:ilvl w:val="0"/>
                <w:numId w:val="10"/>
              </w:numPr>
              <w:spacing w:line="240" w:lineRule="auto"/>
              <w:ind w:left="375" w:hanging="375"/>
              <w:jc w:val="left"/>
              <w:rPr>
                <w:rFonts w:cs="Arial"/>
                <w:color w:val="auto"/>
                <w:spacing w:val="0"/>
                <w:sz w:val="20"/>
                <w:szCs w:val="20"/>
                <w:lang w:val="en-ZA" w:eastAsia="en-US"/>
              </w:rPr>
            </w:pPr>
            <w:r w:rsidRPr="00335764">
              <w:rPr>
                <w:rFonts w:cs="Arial"/>
                <w:color w:val="auto"/>
                <w:spacing w:val="0"/>
                <w:sz w:val="20"/>
                <w:szCs w:val="20"/>
                <w:lang w:val="en-ZA" w:eastAsia="en-US"/>
              </w:rPr>
              <w:t>Whistle-blowers are continuously encouraged to report allegations via the SIU’s whistle-blowing hotline that is managed by an independent service provider</w:t>
            </w:r>
            <w:r w:rsidR="000F1A1B" w:rsidRPr="00335764">
              <w:rPr>
                <w:rFonts w:cs="Arial"/>
                <w:color w:val="auto"/>
                <w:spacing w:val="0"/>
                <w:sz w:val="20"/>
                <w:szCs w:val="20"/>
                <w:lang w:val="en-ZA" w:eastAsia="en-US"/>
              </w:rPr>
              <w:t>.</w:t>
            </w:r>
          </w:p>
          <w:p w:rsidR="0065114D" w:rsidRPr="00335764" w:rsidRDefault="0065114D" w:rsidP="00335764">
            <w:pPr>
              <w:numPr>
                <w:ilvl w:val="0"/>
                <w:numId w:val="10"/>
              </w:numPr>
              <w:spacing w:line="240" w:lineRule="auto"/>
              <w:ind w:left="375" w:hanging="375"/>
              <w:jc w:val="left"/>
              <w:rPr>
                <w:rFonts w:cs="Arial"/>
                <w:color w:val="auto"/>
                <w:spacing w:val="0"/>
                <w:sz w:val="20"/>
                <w:szCs w:val="20"/>
                <w:lang w:val="en-ZA" w:eastAsia="en-US"/>
              </w:rPr>
            </w:pPr>
            <w:r w:rsidRPr="00335764">
              <w:rPr>
                <w:rFonts w:cs="Arial"/>
                <w:color w:val="auto"/>
                <w:spacing w:val="0"/>
                <w:sz w:val="20"/>
                <w:szCs w:val="20"/>
                <w:lang w:val="en-ZA" w:eastAsia="en-US"/>
              </w:rPr>
              <w:t xml:space="preserve">Identify whistle-blowers and witnesses involved in sensitive investigations and conduct one-on-one awareness training with them on </w:t>
            </w:r>
            <w:r w:rsidR="001E3C09" w:rsidRPr="00335764">
              <w:rPr>
                <w:rFonts w:cs="Arial"/>
                <w:color w:val="auto"/>
                <w:spacing w:val="0"/>
                <w:sz w:val="20"/>
                <w:szCs w:val="20"/>
                <w:lang w:val="en-ZA" w:eastAsia="en-US"/>
              </w:rPr>
              <w:t>whistleblowing</w:t>
            </w:r>
            <w:r w:rsidRPr="00335764">
              <w:rPr>
                <w:rFonts w:cs="Arial"/>
                <w:color w:val="auto"/>
                <w:spacing w:val="0"/>
                <w:sz w:val="20"/>
                <w:szCs w:val="20"/>
                <w:lang w:val="en-ZA" w:eastAsia="en-US"/>
              </w:rPr>
              <w:t xml:space="preserve"> and witness protection</w:t>
            </w:r>
            <w:r w:rsidR="000F1A1B" w:rsidRPr="00335764">
              <w:rPr>
                <w:rFonts w:cs="Arial"/>
                <w:color w:val="auto"/>
                <w:spacing w:val="0"/>
                <w:sz w:val="20"/>
                <w:szCs w:val="20"/>
                <w:lang w:val="en-ZA" w:eastAsia="en-US"/>
              </w:rPr>
              <w:t>.</w:t>
            </w:r>
          </w:p>
        </w:tc>
      </w:tr>
    </w:tbl>
    <w:p w:rsidR="000F1A1B" w:rsidRPr="00335764" w:rsidRDefault="000F1A1B" w:rsidP="00335764">
      <w:pPr>
        <w:pStyle w:val="ListParagraph"/>
        <w:spacing w:line="240" w:lineRule="auto"/>
        <w:ind w:left="851"/>
        <w:jc w:val="left"/>
        <w:rPr>
          <w:rFonts w:cs="Arial"/>
          <w:sz w:val="20"/>
          <w:szCs w:val="20"/>
        </w:rPr>
      </w:pPr>
    </w:p>
    <w:p w:rsidR="001935EC" w:rsidRPr="00335764" w:rsidRDefault="001935EC" w:rsidP="00335764">
      <w:pPr>
        <w:pStyle w:val="ListParagraph"/>
        <w:numPr>
          <w:ilvl w:val="1"/>
          <w:numId w:val="1"/>
        </w:numPr>
        <w:spacing w:line="240" w:lineRule="auto"/>
        <w:ind w:left="851" w:hanging="851"/>
        <w:jc w:val="left"/>
        <w:rPr>
          <w:rFonts w:cs="Arial"/>
          <w:sz w:val="20"/>
          <w:szCs w:val="20"/>
        </w:rPr>
      </w:pPr>
      <w:r w:rsidRPr="00335764">
        <w:rPr>
          <w:rFonts w:cs="Arial"/>
          <w:sz w:val="20"/>
          <w:szCs w:val="20"/>
        </w:rPr>
        <w:t>The SIU continues to have three programmes:</w:t>
      </w:r>
    </w:p>
    <w:p w:rsidR="001935EC" w:rsidRPr="00335764" w:rsidRDefault="001935EC" w:rsidP="00335764">
      <w:pPr>
        <w:pStyle w:val="ListParagraph"/>
        <w:spacing w:line="240" w:lineRule="auto"/>
        <w:jc w:val="left"/>
        <w:rPr>
          <w:rFonts w:cs="Arial"/>
          <w:sz w:val="20"/>
          <w:szCs w:val="20"/>
        </w:rPr>
      </w:pPr>
    </w:p>
    <w:tbl>
      <w:tblPr>
        <w:tblStyle w:val="TableGrid"/>
        <w:tblW w:w="5000" w:type="pct"/>
        <w:tblLook w:val="04A0"/>
      </w:tblPr>
      <w:tblGrid>
        <w:gridCol w:w="4785"/>
        <w:gridCol w:w="4843"/>
      </w:tblGrid>
      <w:tr w:rsidR="001935EC" w:rsidRPr="00335764" w:rsidTr="008B5F6A">
        <w:tc>
          <w:tcPr>
            <w:tcW w:w="2485" w:type="pct"/>
            <w:shd w:val="clear" w:color="auto" w:fill="D9D9D9" w:themeFill="background1" w:themeFillShade="D9"/>
          </w:tcPr>
          <w:p w:rsidR="001935EC" w:rsidRPr="00335764" w:rsidRDefault="001935EC" w:rsidP="00335764">
            <w:pPr>
              <w:pStyle w:val="ListParagraph"/>
              <w:spacing w:line="240" w:lineRule="auto"/>
              <w:ind w:left="0"/>
              <w:jc w:val="left"/>
              <w:rPr>
                <w:rFonts w:cs="Arial"/>
                <w:b/>
                <w:caps/>
                <w:color w:val="auto"/>
                <w:spacing w:val="0"/>
                <w:sz w:val="20"/>
                <w:szCs w:val="20"/>
                <w:lang w:val="en-ZA" w:eastAsia="en-ZA"/>
              </w:rPr>
            </w:pPr>
            <w:r w:rsidRPr="00335764">
              <w:rPr>
                <w:rFonts w:cs="Arial"/>
                <w:b/>
                <w:caps/>
                <w:color w:val="auto"/>
                <w:spacing w:val="0"/>
                <w:sz w:val="20"/>
                <w:szCs w:val="20"/>
                <w:lang w:val="en-ZA" w:eastAsia="en-ZA"/>
              </w:rPr>
              <w:t>Programme</w:t>
            </w:r>
          </w:p>
        </w:tc>
        <w:tc>
          <w:tcPr>
            <w:tcW w:w="2515" w:type="pct"/>
            <w:shd w:val="clear" w:color="auto" w:fill="D9D9D9" w:themeFill="background1" w:themeFillShade="D9"/>
          </w:tcPr>
          <w:p w:rsidR="001935EC" w:rsidRPr="00335764" w:rsidRDefault="001935EC" w:rsidP="00335764">
            <w:pPr>
              <w:pStyle w:val="ListParagraph"/>
              <w:spacing w:line="240" w:lineRule="auto"/>
              <w:ind w:left="0"/>
              <w:jc w:val="left"/>
              <w:rPr>
                <w:rFonts w:cs="Arial"/>
                <w:b/>
                <w:caps/>
                <w:color w:val="auto"/>
                <w:spacing w:val="0"/>
                <w:sz w:val="20"/>
                <w:szCs w:val="20"/>
                <w:lang w:val="en-ZA" w:eastAsia="en-ZA"/>
              </w:rPr>
            </w:pPr>
            <w:r w:rsidRPr="00335764">
              <w:rPr>
                <w:rFonts w:cs="Arial"/>
                <w:b/>
                <w:caps/>
                <w:color w:val="auto"/>
                <w:spacing w:val="0"/>
                <w:sz w:val="20"/>
                <w:szCs w:val="20"/>
                <w:lang w:val="en-ZA" w:eastAsia="en-ZA"/>
              </w:rPr>
              <w:t>Responsibility</w:t>
            </w:r>
          </w:p>
        </w:tc>
      </w:tr>
      <w:tr w:rsidR="001935EC" w:rsidRPr="00335764" w:rsidTr="008B5F6A">
        <w:tc>
          <w:tcPr>
            <w:tcW w:w="2485" w:type="pct"/>
          </w:tcPr>
          <w:p w:rsidR="001935EC" w:rsidRPr="00335764" w:rsidRDefault="001935EC" w:rsidP="00335764">
            <w:pPr>
              <w:pStyle w:val="ListParagraph"/>
              <w:spacing w:line="240" w:lineRule="auto"/>
              <w:ind w:left="0"/>
              <w:jc w:val="left"/>
              <w:rPr>
                <w:rFonts w:cs="Arial"/>
                <w:color w:val="auto"/>
                <w:spacing w:val="0"/>
                <w:sz w:val="20"/>
                <w:szCs w:val="20"/>
                <w:lang w:val="en-ZA" w:eastAsia="en-ZA"/>
              </w:rPr>
            </w:pPr>
            <w:r w:rsidRPr="00335764">
              <w:rPr>
                <w:rFonts w:cs="Arial"/>
                <w:sz w:val="20"/>
                <w:szCs w:val="20"/>
              </w:rPr>
              <w:t>Administration</w:t>
            </w:r>
          </w:p>
        </w:tc>
        <w:tc>
          <w:tcPr>
            <w:tcW w:w="2515" w:type="pct"/>
          </w:tcPr>
          <w:p w:rsidR="001935EC" w:rsidRPr="00335764" w:rsidRDefault="001935EC" w:rsidP="00335764">
            <w:pPr>
              <w:pStyle w:val="ListParagraph"/>
              <w:spacing w:line="240" w:lineRule="auto"/>
              <w:ind w:left="0"/>
              <w:jc w:val="left"/>
              <w:rPr>
                <w:rFonts w:cs="Arial"/>
                <w:color w:val="auto"/>
                <w:spacing w:val="0"/>
                <w:sz w:val="20"/>
                <w:szCs w:val="20"/>
                <w:lang w:val="en-ZA" w:eastAsia="en-ZA"/>
              </w:rPr>
            </w:pPr>
            <w:r w:rsidRPr="00335764">
              <w:rPr>
                <w:rFonts w:cs="Arial"/>
                <w:sz w:val="20"/>
                <w:szCs w:val="20"/>
              </w:rPr>
              <w:t>Responsible for the provision of business oversight and enablement services to the core business units of the SIU.</w:t>
            </w:r>
          </w:p>
        </w:tc>
      </w:tr>
      <w:tr w:rsidR="001935EC" w:rsidRPr="00335764" w:rsidTr="008B5F6A">
        <w:tc>
          <w:tcPr>
            <w:tcW w:w="2485" w:type="pct"/>
          </w:tcPr>
          <w:p w:rsidR="001935EC" w:rsidRPr="00335764" w:rsidRDefault="001935EC" w:rsidP="00335764">
            <w:pPr>
              <w:pStyle w:val="ListParagraph"/>
              <w:spacing w:line="240" w:lineRule="auto"/>
              <w:ind w:left="0"/>
              <w:jc w:val="left"/>
              <w:rPr>
                <w:rFonts w:cs="Arial"/>
                <w:color w:val="auto"/>
                <w:spacing w:val="0"/>
                <w:sz w:val="20"/>
                <w:szCs w:val="20"/>
                <w:lang w:val="en-ZA" w:eastAsia="en-ZA"/>
              </w:rPr>
            </w:pPr>
            <w:r w:rsidRPr="00335764">
              <w:rPr>
                <w:rFonts w:cs="Arial"/>
                <w:sz w:val="20"/>
                <w:szCs w:val="20"/>
              </w:rPr>
              <w:t>Investigations and Legal Counsel Programme</w:t>
            </w:r>
          </w:p>
        </w:tc>
        <w:tc>
          <w:tcPr>
            <w:tcW w:w="2515" w:type="pct"/>
          </w:tcPr>
          <w:p w:rsidR="001935EC" w:rsidRPr="00335764" w:rsidRDefault="001935EC" w:rsidP="00335764">
            <w:pPr>
              <w:pStyle w:val="ListParagraph"/>
              <w:spacing w:line="240" w:lineRule="auto"/>
              <w:ind w:left="0"/>
              <w:jc w:val="left"/>
              <w:rPr>
                <w:rFonts w:cs="Arial"/>
                <w:color w:val="auto"/>
                <w:spacing w:val="0"/>
                <w:sz w:val="20"/>
                <w:szCs w:val="20"/>
                <w:lang w:val="en-ZA" w:eastAsia="en-ZA"/>
              </w:rPr>
            </w:pPr>
            <w:r w:rsidRPr="00335764">
              <w:rPr>
                <w:rFonts w:cs="Arial"/>
                <w:sz w:val="20"/>
                <w:szCs w:val="20"/>
              </w:rPr>
              <w:t>Responsible for ensuring the adequate execution of the mandated service delivery of the SIU.</w:t>
            </w:r>
          </w:p>
        </w:tc>
      </w:tr>
      <w:tr w:rsidR="001935EC" w:rsidRPr="00335764" w:rsidTr="008B5F6A">
        <w:tc>
          <w:tcPr>
            <w:tcW w:w="2485" w:type="pct"/>
          </w:tcPr>
          <w:p w:rsidR="001935EC" w:rsidRPr="00335764" w:rsidRDefault="001935EC" w:rsidP="00335764">
            <w:pPr>
              <w:pStyle w:val="ListParagraph"/>
              <w:spacing w:line="240" w:lineRule="auto"/>
              <w:ind w:left="0"/>
              <w:jc w:val="left"/>
              <w:rPr>
                <w:rFonts w:cs="Arial"/>
                <w:color w:val="auto"/>
                <w:spacing w:val="0"/>
                <w:sz w:val="20"/>
                <w:szCs w:val="20"/>
                <w:lang w:val="en-ZA" w:eastAsia="en-ZA"/>
              </w:rPr>
            </w:pPr>
            <w:r w:rsidRPr="00335764">
              <w:rPr>
                <w:rFonts w:cs="Arial"/>
                <w:sz w:val="20"/>
                <w:szCs w:val="20"/>
              </w:rPr>
              <w:t>Market Data Analytics and Prevention</w:t>
            </w:r>
          </w:p>
        </w:tc>
        <w:tc>
          <w:tcPr>
            <w:tcW w:w="2515" w:type="pct"/>
          </w:tcPr>
          <w:p w:rsidR="001935EC" w:rsidRPr="00335764" w:rsidRDefault="001935EC" w:rsidP="00335764">
            <w:pPr>
              <w:pStyle w:val="ListParagraph"/>
              <w:spacing w:line="240" w:lineRule="auto"/>
              <w:ind w:left="0"/>
              <w:jc w:val="left"/>
              <w:rPr>
                <w:rFonts w:cs="Arial"/>
                <w:color w:val="auto"/>
                <w:spacing w:val="0"/>
                <w:sz w:val="20"/>
                <w:szCs w:val="20"/>
                <w:lang w:val="en-ZA" w:eastAsia="en-ZA"/>
              </w:rPr>
            </w:pPr>
            <w:r w:rsidRPr="00335764">
              <w:rPr>
                <w:rFonts w:cs="Arial"/>
                <w:sz w:val="20"/>
                <w:szCs w:val="20"/>
              </w:rPr>
              <w:t xml:space="preserve">Responsible for the implementation of relevant and proactive initiatives to prevent the reoccurrence of fraud and corruption cases </w:t>
            </w:r>
            <w:r w:rsidR="00905AF0" w:rsidRPr="00335764">
              <w:rPr>
                <w:rFonts w:cs="Arial"/>
                <w:sz w:val="20"/>
                <w:szCs w:val="20"/>
              </w:rPr>
              <w:t>because of</w:t>
            </w:r>
            <w:r w:rsidRPr="00335764">
              <w:rPr>
                <w:rFonts w:cs="Arial"/>
                <w:sz w:val="20"/>
                <w:szCs w:val="20"/>
              </w:rPr>
              <w:t xml:space="preserve"> systemic weaknesses in the public sector and to positively influence the behaviour of South African citizens</w:t>
            </w:r>
          </w:p>
        </w:tc>
      </w:tr>
    </w:tbl>
    <w:p w:rsidR="00F65E19" w:rsidRPr="00335764" w:rsidRDefault="00F65E19" w:rsidP="00335764">
      <w:pPr>
        <w:autoSpaceDE w:val="0"/>
        <w:autoSpaceDN w:val="0"/>
        <w:adjustRightInd w:val="0"/>
        <w:spacing w:line="240" w:lineRule="auto"/>
        <w:ind w:left="851"/>
        <w:jc w:val="left"/>
        <w:rPr>
          <w:rFonts w:eastAsia="Calibri" w:cs="Arial"/>
          <w:spacing w:val="0"/>
          <w:sz w:val="20"/>
          <w:szCs w:val="20"/>
        </w:rPr>
      </w:pPr>
    </w:p>
    <w:p w:rsidR="0065114D" w:rsidRPr="00335764" w:rsidRDefault="0065114D" w:rsidP="00335764">
      <w:pPr>
        <w:pStyle w:val="ListParagraph"/>
        <w:numPr>
          <w:ilvl w:val="1"/>
          <w:numId w:val="1"/>
        </w:numPr>
        <w:spacing w:line="240" w:lineRule="auto"/>
        <w:ind w:left="851" w:hanging="851"/>
        <w:jc w:val="left"/>
        <w:rPr>
          <w:rFonts w:eastAsia="Calibri" w:cs="Arial"/>
          <w:spacing w:val="0"/>
          <w:sz w:val="20"/>
          <w:szCs w:val="20"/>
        </w:rPr>
      </w:pPr>
      <w:r w:rsidRPr="00335764">
        <w:rPr>
          <w:rFonts w:cs="Arial"/>
          <w:sz w:val="20"/>
          <w:szCs w:val="20"/>
        </w:rPr>
        <w:t xml:space="preserve">Administration has </w:t>
      </w:r>
      <w:r w:rsidRPr="00335764">
        <w:rPr>
          <w:rFonts w:eastAsia="Calibri" w:cs="Arial"/>
          <w:spacing w:val="0"/>
          <w:sz w:val="20"/>
          <w:szCs w:val="20"/>
        </w:rPr>
        <w:t xml:space="preserve">five sub-programmes; Financial Management; Human Resource Management; Information Communication and Technology (ICT); Enablement Services; and Assurance. </w:t>
      </w:r>
    </w:p>
    <w:p w:rsidR="0065114D" w:rsidRPr="00335764" w:rsidRDefault="0065114D" w:rsidP="00335764">
      <w:pPr>
        <w:pStyle w:val="ListParagraph"/>
        <w:spacing w:line="240" w:lineRule="auto"/>
        <w:ind w:left="851"/>
        <w:jc w:val="left"/>
        <w:rPr>
          <w:rFonts w:eastAsia="Calibri" w:cs="Arial"/>
          <w:spacing w:val="0"/>
          <w:sz w:val="20"/>
          <w:szCs w:val="20"/>
        </w:rPr>
      </w:pPr>
    </w:p>
    <w:p w:rsidR="0065114D" w:rsidRPr="00335764" w:rsidRDefault="0065114D" w:rsidP="00335764">
      <w:pPr>
        <w:pStyle w:val="ListParagraph"/>
        <w:numPr>
          <w:ilvl w:val="2"/>
          <w:numId w:val="1"/>
        </w:numPr>
        <w:spacing w:line="240" w:lineRule="auto"/>
        <w:ind w:hanging="862"/>
        <w:jc w:val="left"/>
        <w:rPr>
          <w:rFonts w:eastAsia="Calibri" w:cs="Arial"/>
          <w:spacing w:val="0"/>
          <w:sz w:val="20"/>
          <w:szCs w:val="20"/>
        </w:rPr>
      </w:pPr>
      <w:r w:rsidRPr="00335764">
        <w:rPr>
          <w:rFonts w:eastAsia="Calibri" w:cs="Arial"/>
          <w:spacing w:val="0"/>
          <w:sz w:val="20"/>
          <w:szCs w:val="20"/>
        </w:rPr>
        <w:t>The programme is allocated R411.7 million in 2023/24, increasing in real terms by 29.14</w:t>
      </w:r>
      <w:r w:rsidR="005F32E5" w:rsidRPr="00335764">
        <w:rPr>
          <w:rFonts w:eastAsia="Calibri" w:cs="Arial"/>
          <w:spacing w:val="0"/>
          <w:sz w:val="20"/>
          <w:szCs w:val="20"/>
        </w:rPr>
        <w:t xml:space="preserve"> %</w:t>
      </w:r>
      <w:r w:rsidRPr="00335764">
        <w:rPr>
          <w:rFonts w:eastAsia="Calibri" w:cs="Arial"/>
          <w:spacing w:val="0"/>
          <w:sz w:val="20"/>
          <w:szCs w:val="20"/>
        </w:rPr>
        <w:t xml:space="preserve"> (R88.6 million) when compared to the previous financial year. The increase in capital expenditure over the MTEF is mainly due to the planned acquisition of ICT systems, in line with the SIU’s business strategy. This investment is made with the aim to achieve organisational efficiency after the rollout of ICT enterprise architecture and supporting ICT systems, including an automated case management solution.</w:t>
      </w:r>
    </w:p>
    <w:p w:rsidR="0065114D" w:rsidRPr="00335764" w:rsidRDefault="0065114D" w:rsidP="00335764">
      <w:pPr>
        <w:pStyle w:val="ListParagraph"/>
        <w:spacing w:line="240" w:lineRule="auto"/>
        <w:ind w:left="862"/>
        <w:jc w:val="left"/>
        <w:rPr>
          <w:rFonts w:eastAsia="Calibri" w:cs="Arial"/>
          <w:spacing w:val="0"/>
          <w:sz w:val="20"/>
          <w:szCs w:val="20"/>
        </w:rPr>
      </w:pPr>
    </w:p>
    <w:p w:rsidR="0065114D" w:rsidRPr="00335764" w:rsidRDefault="0065114D" w:rsidP="00335764">
      <w:pPr>
        <w:pStyle w:val="ListParagraph"/>
        <w:numPr>
          <w:ilvl w:val="2"/>
          <w:numId w:val="1"/>
        </w:numPr>
        <w:spacing w:line="240" w:lineRule="auto"/>
        <w:ind w:hanging="862"/>
        <w:jc w:val="left"/>
        <w:rPr>
          <w:rFonts w:eastAsia="Calibri" w:cs="Arial"/>
          <w:spacing w:val="0"/>
          <w:sz w:val="20"/>
          <w:szCs w:val="20"/>
        </w:rPr>
      </w:pPr>
      <w:r w:rsidRPr="00335764">
        <w:rPr>
          <w:rFonts w:eastAsia="Calibri" w:cs="Arial"/>
          <w:spacing w:val="0"/>
          <w:sz w:val="20"/>
          <w:szCs w:val="20"/>
        </w:rPr>
        <w:t>In 2023/24, the Administration programme has retained the indicator: ‘Maintaining an unqualified audit’; removed the indicator ‘Implementation</w:t>
      </w:r>
      <w:r w:rsidR="005F32E5" w:rsidRPr="00335764">
        <w:rPr>
          <w:rFonts w:eastAsia="Calibri" w:cs="Arial"/>
          <w:spacing w:val="0"/>
          <w:sz w:val="20"/>
          <w:szCs w:val="20"/>
        </w:rPr>
        <w:t xml:space="preserve"> of Data Analytics milestones (P</w:t>
      </w:r>
      <w:r w:rsidRPr="00335764">
        <w:rPr>
          <w:rFonts w:eastAsia="Calibri" w:cs="Arial"/>
          <w:spacing w:val="0"/>
          <w:sz w:val="20"/>
          <w:szCs w:val="20"/>
        </w:rPr>
        <w:t>hase 2)’; revised an indicator addressing stakeholder engagements to include stakeholder engagements and the conducting of public awareness campaigns. (The target has been increased from 5 in 2022/23 to 8 in 2023/24 and over the medium term); and introduced a new indicator: ‘Employee turnover rate’ (the institution has set a target of 4% over the medium term)</w:t>
      </w:r>
    </w:p>
    <w:p w:rsidR="0065114D" w:rsidRPr="00335764" w:rsidRDefault="0065114D" w:rsidP="00335764">
      <w:pPr>
        <w:pStyle w:val="ListParagraph"/>
        <w:spacing w:line="240" w:lineRule="auto"/>
        <w:ind w:left="851"/>
        <w:jc w:val="left"/>
        <w:rPr>
          <w:rFonts w:eastAsia="Calibri" w:cs="Arial"/>
          <w:spacing w:val="0"/>
          <w:sz w:val="20"/>
          <w:szCs w:val="20"/>
        </w:rPr>
      </w:pPr>
    </w:p>
    <w:p w:rsidR="000F1A1B" w:rsidRPr="00335764" w:rsidRDefault="000F1A1B" w:rsidP="00335764">
      <w:pPr>
        <w:pStyle w:val="ListParagraph"/>
        <w:numPr>
          <w:ilvl w:val="1"/>
          <w:numId w:val="1"/>
        </w:numPr>
        <w:spacing w:line="240" w:lineRule="auto"/>
        <w:ind w:left="851" w:hanging="851"/>
        <w:jc w:val="left"/>
        <w:rPr>
          <w:rFonts w:eastAsia="Calibri" w:cs="Arial"/>
          <w:spacing w:val="0"/>
          <w:sz w:val="20"/>
          <w:szCs w:val="20"/>
        </w:rPr>
      </w:pPr>
      <w:r w:rsidRPr="00335764">
        <w:rPr>
          <w:rFonts w:eastAsia="Calibri" w:cs="Arial"/>
          <w:spacing w:val="0"/>
          <w:sz w:val="20"/>
          <w:szCs w:val="20"/>
        </w:rPr>
        <w:t>Investigations and Legal Counsel programme.</w:t>
      </w:r>
    </w:p>
    <w:p w:rsidR="000F1A1B" w:rsidRPr="00335764" w:rsidRDefault="000F1A1B" w:rsidP="00335764">
      <w:pPr>
        <w:shd w:val="clear" w:color="auto" w:fill="FFFFFF"/>
        <w:spacing w:line="240" w:lineRule="auto"/>
        <w:jc w:val="left"/>
        <w:rPr>
          <w:rFonts w:cs="Arial"/>
          <w:color w:val="000000" w:themeColor="text1"/>
          <w:sz w:val="20"/>
          <w:szCs w:val="20"/>
          <w:lang w:eastAsia="en-ZA"/>
        </w:rPr>
      </w:pPr>
    </w:p>
    <w:p w:rsidR="000F1A1B" w:rsidRPr="00335764" w:rsidRDefault="00F65E19" w:rsidP="00335764">
      <w:pPr>
        <w:pStyle w:val="ListParagraph"/>
        <w:numPr>
          <w:ilvl w:val="2"/>
          <w:numId w:val="1"/>
        </w:numPr>
        <w:shd w:val="clear" w:color="auto" w:fill="FFFFFF" w:themeFill="background1"/>
        <w:spacing w:line="240" w:lineRule="auto"/>
        <w:ind w:hanging="862"/>
        <w:jc w:val="left"/>
        <w:rPr>
          <w:rFonts w:eastAsia="Calibri" w:cs="Arial"/>
          <w:spacing w:val="0"/>
          <w:sz w:val="20"/>
          <w:szCs w:val="20"/>
        </w:rPr>
      </w:pPr>
      <w:r w:rsidRPr="00335764">
        <w:rPr>
          <w:rFonts w:eastAsia="Calibri" w:cs="Arial"/>
          <w:spacing w:val="0"/>
          <w:sz w:val="20"/>
          <w:szCs w:val="20"/>
        </w:rPr>
        <w:t xml:space="preserve">There are no new indicators for the Investigations and Legal Counsel sub-programme. </w:t>
      </w:r>
      <w:r w:rsidR="000F1A1B" w:rsidRPr="00335764">
        <w:rPr>
          <w:rFonts w:eastAsia="Calibri" w:cs="Arial"/>
          <w:spacing w:val="0"/>
          <w:sz w:val="20"/>
          <w:szCs w:val="20"/>
        </w:rPr>
        <w:t>Howe</w:t>
      </w:r>
      <w:r w:rsidR="005F32E5" w:rsidRPr="00335764">
        <w:rPr>
          <w:rFonts w:eastAsia="Calibri" w:cs="Arial"/>
          <w:spacing w:val="0"/>
          <w:sz w:val="20"/>
          <w:szCs w:val="20"/>
        </w:rPr>
        <w:t>ver, provision is made for year-on-</w:t>
      </w:r>
      <w:r w:rsidR="000F1A1B" w:rsidRPr="00335764">
        <w:rPr>
          <w:rFonts w:eastAsia="Calibri" w:cs="Arial"/>
          <w:spacing w:val="0"/>
          <w:sz w:val="20"/>
          <w:szCs w:val="20"/>
        </w:rPr>
        <w:t xml:space="preserve">year increases in the targets. Selected indicators </w:t>
      </w:r>
      <w:r w:rsidR="00F00DA9" w:rsidRPr="00335764">
        <w:rPr>
          <w:rFonts w:eastAsia="Calibri" w:cs="Arial"/>
          <w:spacing w:val="0"/>
          <w:sz w:val="20"/>
          <w:szCs w:val="20"/>
        </w:rPr>
        <w:t xml:space="preserve">are </w:t>
      </w:r>
      <w:r w:rsidR="000F1A1B" w:rsidRPr="00335764">
        <w:rPr>
          <w:rFonts w:eastAsia="Calibri" w:cs="Arial"/>
          <w:spacing w:val="0"/>
          <w:sz w:val="20"/>
          <w:szCs w:val="20"/>
        </w:rPr>
        <w:t>as follows:</w:t>
      </w:r>
    </w:p>
    <w:p w:rsidR="000F1A1B" w:rsidRPr="00335764" w:rsidRDefault="000F1A1B" w:rsidP="00335764">
      <w:pPr>
        <w:shd w:val="clear" w:color="auto" w:fill="FFFFFF" w:themeFill="background1"/>
        <w:spacing w:line="240" w:lineRule="auto"/>
        <w:jc w:val="left"/>
        <w:rPr>
          <w:rFonts w:eastAsia="Calibri" w:cs="Arial"/>
          <w:spacing w:val="0"/>
          <w:sz w:val="20"/>
          <w:szCs w:val="20"/>
        </w:rPr>
      </w:pPr>
    </w:p>
    <w:tbl>
      <w:tblPr>
        <w:tblStyle w:val="TableGrid"/>
        <w:tblW w:w="0" w:type="auto"/>
        <w:shd w:val="clear" w:color="auto" w:fill="FFFFFF" w:themeFill="background1"/>
        <w:tblLook w:val="04A0"/>
      </w:tblPr>
      <w:tblGrid>
        <w:gridCol w:w="3256"/>
        <w:gridCol w:w="1984"/>
        <w:gridCol w:w="1985"/>
        <w:gridCol w:w="1791"/>
      </w:tblGrid>
      <w:tr w:rsidR="000F1A1B" w:rsidRPr="00335764" w:rsidTr="009F2784">
        <w:trPr>
          <w:tblHeader/>
        </w:trPr>
        <w:tc>
          <w:tcPr>
            <w:tcW w:w="3256" w:type="dxa"/>
            <w:vMerge w:val="restart"/>
            <w:shd w:val="clear" w:color="auto" w:fill="D9D9D9" w:themeFill="background1" w:themeFillShade="D9"/>
          </w:tcPr>
          <w:p w:rsidR="000F1A1B" w:rsidRPr="00335764" w:rsidRDefault="000F1A1B" w:rsidP="00335764">
            <w:pPr>
              <w:shd w:val="clear" w:color="auto" w:fill="FFFFFF" w:themeFill="background1"/>
              <w:spacing w:line="240" w:lineRule="auto"/>
              <w:jc w:val="left"/>
              <w:rPr>
                <w:rFonts w:eastAsia="Calibri" w:cs="Arial"/>
                <w:b/>
                <w:spacing w:val="0"/>
                <w:sz w:val="20"/>
                <w:szCs w:val="20"/>
              </w:rPr>
            </w:pPr>
            <w:r w:rsidRPr="00335764">
              <w:rPr>
                <w:rFonts w:eastAsia="Calibri" w:cs="Arial"/>
                <w:b/>
                <w:spacing w:val="0"/>
                <w:sz w:val="20"/>
                <w:szCs w:val="20"/>
              </w:rPr>
              <w:t>OUTPUT INDICATORS</w:t>
            </w:r>
          </w:p>
        </w:tc>
        <w:tc>
          <w:tcPr>
            <w:tcW w:w="5760" w:type="dxa"/>
            <w:gridSpan w:val="3"/>
            <w:shd w:val="clear" w:color="auto" w:fill="D9D9D9" w:themeFill="background1" w:themeFillShade="D9"/>
          </w:tcPr>
          <w:p w:rsidR="000F1A1B" w:rsidRPr="00335764" w:rsidRDefault="000F1A1B" w:rsidP="00335764">
            <w:pPr>
              <w:shd w:val="clear" w:color="auto" w:fill="FFFFFF" w:themeFill="background1"/>
              <w:spacing w:line="240" w:lineRule="auto"/>
              <w:jc w:val="left"/>
              <w:rPr>
                <w:rFonts w:eastAsia="Calibri" w:cs="Arial"/>
                <w:b/>
                <w:spacing w:val="0"/>
                <w:sz w:val="20"/>
                <w:szCs w:val="20"/>
              </w:rPr>
            </w:pPr>
            <w:r w:rsidRPr="00335764">
              <w:rPr>
                <w:rFonts w:eastAsia="Calibri" w:cs="Arial"/>
                <w:b/>
                <w:spacing w:val="0"/>
                <w:sz w:val="20"/>
                <w:szCs w:val="20"/>
              </w:rPr>
              <w:t>TARGETS</w:t>
            </w:r>
          </w:p>
        </w:tc>
      </w:tr>
      <w:tr w:rsidR="000F1A1B" w:rsidRPr="00335764" w:rsidTr="009F2784">
        <w:trPr>
          <w:tblHeader/>
        </w:trPr>
        <w:tc>
          <w:tcPr>
            <w:tcW w:w="3256" w:type="dxa"/>
            <w:vMerge/>
            <w:shd w:val="clear" w:color="auto" w:fill="D9D9D9" w:themeFill="background1" w:themeFillShade="D9"/>
          </w:tcPr>
          <w:p w:rsidR="000F1A1B" w:rsidRPr="00335764" w:rsidRDefault="000F1A1B" w:rsidP="00335764">
            <w:pPr>
              <w:shd w:val="clear" w:color="auto" w:fill="FFFFFF" w:themeFill="background1"/>
              <w:spacing w:line="240" w:lineRule="auto"/>
              <w:jc w:val="left"/>
              <w:rPr>
                <w:rFonts w:eastAsia="Calibri" w:cs="Arial"/>
                <w:b/>
                <w:spacing w:val="0"/>
                <w:sz w:val="20"/>
                <w:szCs w:val="20"/>
              </w:rPr>
            </w:pPr>
          </w:p>
        </w:tc>
        <w:tc>
          <w:tcPr>
            <w:tcW w:w="1984" w:type="dxa"/>
            <w:shd w:val="clear" w:color="auto" w:fill="D9D9D9" w:themeFill="background1" w:themeFillShade="D9"/>
          </w:tcPr>
          <w:p w:rsidR="000F1A1B" w:rsidRPr="00335764" w:rsidRDefault="000F1A1B" w:rsidP="00335764">
            <w:pPr>
              <w:shd w:val="clear" w:color="auto" w:fill="FFFFFF" w:themeFill="background1"/>
              <w:spacing w:line="240" w:lineRule="auto"/>
              <w:jc w:val="left"/>
              <w:rPr>
                <w:rFonts w:eastAsia="Calibri" w:cs="Arial"/>
                <w:b/>
                <w:spacing w:val="0"/>
                <w:sz w:val="20"/>
                <w:szCs w:val="20"/>
              </w:rPr>
            </w:pPr>
            <w:r w:rsidRPr="00335764">
              <w:rPr>
                <w:rFonts w:eastAsia="Calibri" w:cs="Arial"/>
                <w:b/>
                <w:spacing w:val="0"/>
                <w:sz w:val="20"/>
                <w:szCs w:val="20"/>
              </w:rPr>
              <w:t>2022/23</w:t>
            </w:r>
          </w:p>
        </w:tc>
        <w:tc>
          <w:tcPr>
            <w:tcW w:w="1985" w:type="dxa"/>
            <w:shd w:val="clear" w:color="auto" w:fill="D9D9D9" w:themeFill="background1" w:themeFillShade="D9"/>
          </w:tcPr>
          <w:p w:rsidR="000F1A1B" w:rsidRPr="00335764" w:rsidRDefault="000F1A1B" w:rsidP="00335764">
            <w:pPr>
              <w:shd w:val="clear" w:color="auto" w:fill="FFFFFF" w:themeFill="background1"/>
              <w:spacing w:line="240" w:lineRule="auto"/>
              <w:jc w:val="left"/>
              <w:rPr>
                <w:rFonts w:eastAsia="Calibri" w:cs="Arial"/>
                <w:b/>
                <w:spacing w:val="0"/>
                <w:sz w:val="20"/>
                <w:szCs w:val="20"/>
              </w:rPr>
            </w:pPr>
            <w:r w:rsidRPr="00335764">
              <w:rPr>
                <w:rFonts w:eastAsia="Calibri" w:cs="Arial"/>
                <w:b/>
                <w:spacing w:val="0"/>
                <w:sz w:val="20"/>
                <w:szCs w:val="20"/>
              </w:rPr>
              <w:t>2023/24</w:t>
            </w:r>
          </w:p>
        </w:tc>
        <w:tc>
          <w:tcPr>
            <w:tcW w:w="1791" w:type="dxa"/>
            <w:shd w:val="clear" w:color="auto" w:fill="D9D9D9" w:themeFill="background1" w:themeFillShade="D9"/>
          </w:tcPr>
          <w:p w:rsidR="000F1A1B" w:rsidRPr="00335764" w:rsidRDefault="000F1A1B" w:rsidP="00335764">
            <w:pPr>
              <w:shd w:val="clear" w:color="auto" w:fill="FFFFFF" w:themeFill="background1"/>
              <w:spacing w:line="240" w:lineRule="auto"/>
              <w:jc w:val="left"/>
              <w:rPr>
                <w:rFonts w:eastAsia="Calibri" w:cs="Arial"/>
                <w:b/>
                <w:spacing w:val="0"/>
                <w:sz w:val="20"/>
                <w:szCs w:val="20"/>
              </w:rPr>
            </w:pPr>
            <w:r w:rsidRPr="00335764">
              <w:rPr>
                <w:rFonts w:eastAsia="Calibri" w:cs="Arial"/>
                <w:b/>
                <w:spacing w:val="0"/>
                <w:sz w:val="20"/>
                <w:szCs w:val="20"/>
              </w:rPr>
              <w:t>2024/25</w:t>
            </w:r>
          </w:p>
        </w:tc>
      </w:tr>
      <w:tr w:rsidR="000F1A1B" w:rsidRPr="00335764" w:rsidTr="00F00DA9">
        <w:tc>
          <w:tcPr>
            <w:tcW w:w="3256"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Rand value of potential cash and/or assets to be recovered</w:t>
            </w:r>
          </w:p>
        </w:tc>
        <w:tc>
          <w:tcPr>
            <w:tcW w:w="1984"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R350 million</w:t>
            </w:r>
          </w:p>
        </w:tc>
        <w:tc>
          <w:tcPr>
            <w:tcW w:w="1985"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R400 million</w:t>
            </w:r>
          </w:p>
        </w:tc>
        <w:tc>
          <w:tcPr>
            <w:tcW w:w="1791"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R450 million</w:t>
            </w:r>
          </w:p>
        </w:tc>
      </w:tr>
      <w:tr w:rsidR="000F1A1B" w:rsidRPr="00335764" w:rsidTr="00F00DA9">
        <w:tc>
          <w:tcPr>
            <w:tcW w:w="3256"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Rand value of actual cash and/or assets recovered</w:t>
            </w:r>
          </w:p>
        </w:tc>
        <w:tc>
          <w:tcPr>
            <w:tcW w:w="1984"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R275 million</w:t>
            </w:r>
          </w:p>
        </w:tc>
        <w:tc>
          <w:tcPr>
            <w:tcW w:w="1985"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R300 million</w:t>
            </w:r>
          </w:p>
        </w:tc>
        <w:tc>
          <w:tcPr>
            <w:tcW w:w="1791"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R325 million</w:t>
            </w:r>
          </w:p>
        </w:tc>
      </w:tr>
      <w:tr w:rsidR="000F1A1B" w:rsidRPr="00335764" w:rsidTr="00F00DA9">
        <w:tc>
          <w:tcPr>
            <w:tcW w:w="3256"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Number of referrals for disciplinary action against officials and or executives</w:t>
            </w:r>
          </w:p>
        </w:tc>
        <w:tc>
          <w:tcPr>
            <w:tcW w:w="1984"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180</w:t>
            </w:r>
          </w:p>
        </w:tc>
        <w:tc>
          <w:tcPr>
            <w:tcW w:w="1985"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185</w:t>
            </w:r>
          </w:p>
        </w:tc>
        <w:tc>
          <w:tcPr>
            <w:tcW w:w="1791"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190</w:t>
            </w:r>
          </w:p>
        </w:tc>
      </w:tr>
      <w:tr w:rsidR="000F1A1B" w:rsidRPr="00335764" w:rsidTr="00F00DA9">
        <w:tc>
          <w:tcPr>
            <w:tcW w:w="3256"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Number of referrals made for administrative action</w:t>
            </w:r>
          </w:p>
        </w:tc>
        <w:tc>
          <w:tcPr>
            <w:tcW w:w="1984"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120</w:t>
            </w:r>
          </w:p>
        </w:tc>
        <w:tc>
          <w:tcPr>
            <w:tcW w:w="1985"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125</w:t>
            </w:r>
          </w:p>
        </w:tc>
        <w:tc>
          <w:tcPr>
            <w:tcW w:w="1791"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130</w:t>
            </w:r>
          </w:p>
        </w:tc>
      </w:tr>
      <w:tr w:rsidR="000F1A1B" w:rsidRPr="00335764" w:rsidTr="00F00DA9">
        <w:tc>
          <w:tcPr>
            <w:tcW w:w="3256"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Number of referrals made to the NPA</w:t>
            </w:r>
          </w:p>
        </w:tc>
        <w:tc>
          <w:tcPr>
            <w:tcW w:w="1984"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250</w:t>
            </w:r>
          </w:p>
        </w:tc>
        <w:tc>
          <w:tcPr>
            <w:tcW w:w="1985"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260</w:t>
            </w:r>
          </w:p>
        </w:tc>
        <w:tc>
          <w:tcPr>
            <w:tcW w:w="1791"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270</w:t>
            </w:r>
          </w:p>
        </w:tc>
      </w:tr>
      <w:tr w:rsidR="000F1A1B" w:rsidRPr="00335764" w:rsidTr="00F00DA9">
        <w:tc>
          <w:tcPr>
            <w:tcW w:w="3256"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Number of investigations closed out under a published proclamation</w:t>
            </w:r>
          </w:p>
        </w:tc>
        <w:tc>
          <w:tcPr>
            <w:tcW w:w="1984"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250</w:t>
            </w:r>
          </w:p>
        </w:tc>
        <w:tc>
          <w:tcPr>
            <w:tcW w:w="1985"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260</w:t>
            </w:r>
          </w:p>
        </w:tc>
        <w:tc>
          <w:tcPr>
            <w:tcW w:w="1791"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270</w:t>
            </w:r>
          </w:p>
        </w:tc>
      </w:tr>
      <w:tr w:rsidR="000F1A1B" w:rsidRPr="00335764" w:rsidTr="00F00DA9">
        <w:tc>
          <w:tcPr>
            <w:tcW w:w="3256"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 xml:space="preserve">Rand value of matters in respect of which evidence was referred for the institution or </w:t>
            </w:r>
            <w:r w:rsidRPr="00335764">
              <w:rPr>
                <w:rFonts w:eastAsia="Calibri" w:cs="Arial"/>
                <w:spacing w:val="0"/>
                <w:sz w:val="20"/>
                <w:szCs w:val="20"/>
              </w:rPr>
              <w:lastRenderedPageBreak/>
              <w:t>defence/opposition of civil proceedings</w:t>
            </w:r>
          </w:p>
        </w:tc>
        <w:tc>
          <w:tcPr>
            <w:tcW w:w="1984"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lastRenderedPageBreak/>
              <w:t>1</w:t>
            </w:r>
            <w:r w:rsidR="00FC27E4" w:rsidRPr="00335764">
              <w:rPr>
                <w:rFonts w:eastAsia="Calibri" w:cs="Arial"/>
                <w:spacing w:val="0"/>
                <w:sz w:val="20"/>
                <w:szCs w:val="20"/>
              </w:rPr>
              <w:t xml:space="preserve"> </w:t>
            </w:r>
            <w:r w:rsidRPr="00335764">
              <w:rPr>
                <w:rFonts w:eastAsia="Calibri" w:cs="Arial"/>
                <w:spacing w:val="0"/>
                <w:sz w:val="20"/>
                <w:szCs w:val="20"/>
              </w:rPr>
              <w:t>450</w:t>
            </w:r>
          </w:p>
        </w:tc>
        <w:tc>
          <w:tcPr>
            <w:tcW w:w="1985"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1</w:t>
            </w:r>
            <w:r w:rsidR="00FC27E4" w:rsidRPr="00335764">
              <w:rPr>
                <w:rFonts w:eastAsia="Calibri" w:cs="Arial"/>
                <w:spacing w:val="0"/>
                <w:sz w:val="20"/>
                <w:szCs w:val="20"/>
              </w:rPr>
              <w:t xml:space="preserve"> </w:t>
            </w:r>
            <w:r w:rsidRPr="00335764">
              <w:rPr>
                <w:rFonts w:eastAsia="Calibri" w:cs="Arial"/>
                <w:spacing w:val="0"/>
                <w:sz w:val="20"/>
                <w:szCs w:val="20"/>
              </w:rPr>
              <w:t>550</w:t>
            </w:r>
          </w:p>
        </w:tc>
        <w:tc>
          <w:tcPr>
            <w:tcW w:w="1791"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1</w:t>
            </w:r>
            <w:r w:rsidR="00FC27E4" w:rsidRPr="00335764">
              <w:rPr>
                <w:rFonts w:eastAsia="Calibri" w:cs="Arial"/>
                <w:spacing w:val="0"/>
                <w:sz w:val="20"/>
                <w:szCs w:val="20"/>
              </w:rPr>
              <w:t xml:space="preserve"> </w:t>
            </w:r>
            <w:r w:rsidRPr="00335764">
              <w:rPr>
                <w:rFonts w:eastAsia="Calibri" w:cs="Arial"/>
                <w:spacing w:val="0"/>
                <w:sz w:val="20"/>
                <w:szCs w:val="20"/>
              </w:rPr>
              <w:t>600</w:t>
            </w:r>
          </w:p>
        </w:tc>
      </w:tr>
      <w:tr w:rsidR="000F1A1B" w:rsidRPr="00335764" w:rsidTr="00F00DA9">
        <w:tc>
          <w:tcPr>
            <w:tcW w:w="3256"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lastRenderedPageBreak/>
              <w:t>Number of cases in the Special Tribunal</w:t>
            </w:r>
          </w:p>
        </w:tc>
        <w:tc>
          <w:tcPr>
            <w:tcW w:w="1984"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R2 billion</w:t>
            </w:r>
          </w:p>
        </w:tc>
        <w:tc>
          <w:tcPr>
            <w:tcW w:w="1985"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R2.3 billion</w:t>
            </w:r>
          </w:p>
        </w:tc>
        <w:tc>
          <w:tcPr>
            <w:tcW w:w="1791"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R2.6 billion</w:t>
            </w:r>
          </w:p>
        </w:tc>
      </w:tr>
      <w:tr w:rsidR="000F1A1B" w:rsidRPr="00335764" w:rsidTr="00F00DA9">
        <w:tc>
          <w:tcPr>
            <w:tcW w:w="3256"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Rand value of contract and or administrative decisions and or actions set aside or deemed invalid</w:t>
            </w:r>
          </w:p>
        </w:tc>
        <w:tc>
          <w:tcPr>
            <w:tcW w:w="1984"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R1.6 billion</w:t>
            </w:r>
          </w:p>
        </w:tc>
        <w:tc>
          <w:tcPr>
            <w:tcW w:w="1985"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R1.9 billion</w:t>
            </w:r>
          </w:p>
        </w:tc>
        <w:tc>
          <w:tcPr>
            <w:tcW w:w="1791" w:type="dxa"/>
            <w:shd w:val="clear" w:color="auto" w:fill="FFFFFF" w:themeFill="background1"/>
          </w:tcPr>
          <w:p w:rsidR="000F1A1B" w:rsidRPr="00335764" w:rsidRDefault="000F1A1B" w:rsidP="00335764">
            <w:pPr>
              <w:shd w:val="clear" w:color="auto" w:fill="FFFFFF" w:themeFill="background1"/>
              <w:spacing w:line="240" w:lineRule="auto"/>
              <w:jc w:val="left"/>
              <w:rPr>
                <w:rFonts w:eastAsia="Calibri" w:cs="Arial"/>
                <w:spacing w:val="0"/>
                <w:sz w:val="20"/>
                <w:szCs w:val="20"/>
              </w:rPr>
            </w:pPr>
            <w:r w:rsidRPr="00335764">
              <w:rPr>
                <w:rFonts w:eastAsia="Calibri" w:cs="Arial"/>
                <w:spacing w:val="0"/>
                <w:sz w:val="20"/>
                <w:szCs w:val="20"/>
              </w:rPr>
              <w:t>R2.2 billion</w:t>
            </w:r>
          </w:p>
        </w:tc>
      </w:tr>
    </w:tbl>
    <w:p w:rsidR="000F1A1B" w:rsidRPr="00335764" w:rsidRDefault="000F1A1B" w:rsidP="00335764">
      <w:pPr>
        <w:shd w:val="clear" w:color="auto" w:fill="FFFFFF" w:themeFill="background1"/>
        <w:spacing w:line="240" w:lineRule="auto"/>
        <w:jc w:val="left"/>
        <w:rPr>
          <w:rFonts w:eastAsia="Calibri" w:cs="Arial"/>
          <w:spacing w:val="0"/>
          <w:sz w:val="20"/>
          <w:szCs w:val="20"/>
        </w:rPr>
      </w:pPr>
    </w:p>
    <w:p w:rsidR="000F1A1B" w:rsidRPr="00335764" w:rsidRDefault="000F1A1B" w:rsidP="00335764">
      <w:pPr>
        <w:pStyle w:val="ListParagraph"/>
        <w:numPr>
          <w:ilvl w:val="2"/>
          <w:numId w:val="1"/>
        </w:numPr>
        <w:shd w:val="clear" w:color="auto" w:fill="FFFFFF" w:themeFill="background1"/>
        <w:spacing w:line="240" w:lineRule="auto"/>
        <w:ind w:hanging="862"/>
        <w:jc w:val="left"/>
        <w:rPr>
          <w:rFonts w:eastAsia="Calibri" w:cs="Arial"/>
          <w:spacing w:val="0"/>
          <w:sz w:val="20"/>
          <w:szCs w:val="20"/>
        </w:rPr>
      </w:pPr>
      <w:r w:rsidRPr="00335764">
        <w:rPr>
          <w:rFonts w:eastAsia="Calibri" w:cs="Arial"/>
          <w:spacing w:val="0"/>
          <w:sz w:val="20"/>
          <w:szCs w:val="20"/>
        </w:rPr>
        <w:t>The SIU reports that to speed up the investigation of referrals from SIU to the NPA, it has signed a combined MOU with the NPA, the D</w:t>
      </w:r>
      <w:r w:rsidR="00AD1A4B" w:rsidRPr="00335764">
        <w:rPr>
          <w:rFonts w:eastAsia="Calibri" w:cs="Arial"/>
          <w:spacing w:val="0"/>
          <w:sz w:val="20"/>
          <w:szCs w:val="20"/>
        </w:rPr>
        <w:t xml:space="preserve">irectorate for </w:t>
      </w:r>
      <w:r w:rsidRPr="00335764">
        <w:rPr>
          <w:rFonts w:eastAsia="Calibri" w:cs="Arial"/>
          <w:spacing w:val="0"/>
          <w:sz w:val="20"/>
          <w:szCs w:val="20"/>
        </w:rPr>
        <w:t>P</w:t>
      </w:r>
      <w:r w:rsidR="00AD1A4B" w:rsidRPr="00335764">
        <w:rPr>
          <w:rFonts w:eastAsia="Calibri" w:cs="Arial"/>
          <w:spacing w:val="0"/>
          <w:sz w:val="20"/>
          <w:szCs w:val="20"/>
        </w:rPr>
        <w:t xml:space="preserve">riority </w:t>
      </w:r>
      <w:r w:rsidRPr="00335764">
        <w:rPr>
          <w:rFonts w:eastAsia="Calibri" w:cs="Arial"/>
          <w:spacing w:val="0"/>
          <w:sz w:val="20"/>
          <w:szCs w:val="20"/>
        </w:rPr>
        <w:t>C</w:t>
      </w:r>
      <w:r w:rsidR="00AD1A4B" w:rsidRPr="00335764">
        <w:rPr>
          <w:rFonts w:eastAsia="Calibri" w:cs="Arial"/>
          <w:spacing w:val="0"/>
          <w:sz w:val="20"/>
          <w:szCs w:val="20"/>
        </w:rPr>
        <w:t xml:space="preserve">rime </w:t>
      </w:r>
      <w:r w:rsidRPr="00335764">
        <w:rPr>
          <w:rFonts w:eastAsia="Calibri" w:cs="Arial"/>
          <w:spacing w:val="0"/>
          <w:sz w:val="20"/>
          <w:szCs w:val="20"/>
        </w:rPr>
        <w:t>I</w:t>
      </w:r>
      <w:r w:rsidR="00AD1A4B" w:rsidRPr="00335764">
        <w:rPr>
          <w:rFonts w:eastAsia="Calibri" w:cs="Arial"/>
          <w:spacing w:val="0"/>
          <w:sz w:val="20"/>
          <w:szCs w:val="20"/>
        </w:rPr>
        <w:t>nvestigation (DPCI)</w:t>
      </w:r>
      <w:r w:rsidRPr="00335764">
        <w:rPr>
          <w:rFonts w:eastAsia="Calibri" w:cs="Arial"/>
          <w:spacing w:val="0"/>
          <w:sz w:val="20"/>
          <w:szCs w:val="20"/>
        </w:rPr>
        <w:t xml:space="preserve"> and the SAPS. The purpose of the MOU is to:</w:t>
      </w:r>
    </w:p>
    <w:p w:rsidR="000F1A1B" w:rsidRPr="00335764" w:rsidRDefault="000F1A1B"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Establish a working methodology in connection with the cases referred by the SIU</w:t>
      </w:r>
      <w:r w:rsidR="002B1CA8" w:rsidRPr="00335764">
        <w:rPr>
          <w:rFonts w:eastAsia="Calibri" w:cs="Arial"/>
          <w:spacing w:val="0"/>
          <w:sz w:val="20"/>
          <w:szCs w:val="20"/>
        </w:rPr>
        <w:t xml:space="preserve"> </w:t>
      </w:r>
      <w:r w:rsidRPr="00335764">
        <w:rPr>
          <w:rFonts w:eastAsia="Calibri" w:cs="Arial"/>
          <w:spacing w:val="0"/>
          <w:sz w:val="20"/>
          <w:szCs w:val="20"/>
        </w:rPr>
        <w:t>to the NPA, which are in turn referred by the NPA to the SAPS/ DPCI.</w:t>
      </w:r>
    </w:p>
    <w:p w:rsidR="000F1A1B" w:rsidRPr="00335764" w:rsidRDefault="000F1A1B"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Adopt and implement reporting mechanisms in respect of the cases.</w:t>
      </w:r>
    </w:p>
    <w:p w:rsidR="000F1A1B" w:rsidRPr="00335764" w:rsidRDefault="000F1A1B"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Ensure that the cases referred by the SIU to the NPA, and further referred by the</w:t>
      </w:r>
      <w:r w:rsidR="002B1CA8" w:rsidRPr="00335764">
        <w:rPr>
          <w:rFonts w:eastAsia="Calibri" w:cs="Arial"/>
          <w:spacing w:val="0"/>
          <w:sz w:val="20"/>
          <w:szCs w:val="20"/>
        </w:rPr>
        <w:t xml:space="preserve"> </w:t>
      </w:r>
      <w:r w:rsidRPr="00335764">
        <w:rPr>
          <w:rFonts w:eastAsia="Calibri" w:cs="Arial"/>
          <w:spacing w:val="0"/>
          <w:sz w:val="20"/>
          <w:szCs w:val="20"/>
        </w:rPr>
        <w:t>NPA to the SAPS/ DPCI, are investigated.</w:t>
      </w:r>
    </w:p>
    <w:p w:rsidR="000F1A1B" w:rsidRPr="00335764" w:rsidRDefault="000F1A1B"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Require the development of a common database in respect of all SIU matters,</w:t>
      </w:r>
      <w:r w:rsidR="002B1CA8" w:rsidRPr="00335764">
        <w:rPr>
          <w:rFonts w:eastAsia="Calibri" w:cs="Arial"/>
          <w:spacing w:val="0"/>
          <w:sz w:val="20"/>
          <w:szCs w:val="20"/>
        </w:rPr>
        <w:t xml:space="preserve"> </w:t>
      </w:r>
      <w:r w:rsidRPr="00335764">
        <w:rPr>
          <w:rFonts w:eastAsia="Calibri" w:cs="Arial"/>
          <w:spacing w:val="0"/>
          <w:sz w:val="20"/>
          <w:szCs w:val="20"/>
        </w:rPr>
        <w:t>and include the status of each matter, progress in respect of its investigations and the outcome in respect of its finalisation.</w:t>
      </w:r>
    </w:p>
    <w:p w:rsidR="00DB0812" w:rsidRPr="00335764" w:rsidRDefault="00DB0812" w:rsidP="00335764">
      <w:pPr>
        <w:autoSpaceDE w:val="0"/>
        <w:autoSpaceDN w:val="0"/>
        <w:adjustRightInd w:val="0"/>
        <w:spacing w:line="240" w:lineRule="auto"/>
        <w:ind w:left="1353"/>
        <w:jc w:val="left"/>
        <w:rPr>
          <w:rFonts w:eastAsia="Calibri" w:cs="Arial"/>
          <w:spacing w:val="0"/>
          <w:sz w:val="20"/>
          <w:szCs w:val="20"/>
        </w:rPr>
      </w:pPr>
    </w:p>
    <w:p w:rsidR="00DB0812" w:rsidRPr="00335764" w:rsidRDefault="00DB0812" w:rsidP="00335764">
      <w:pPr>
        <w:pStyle w:val="ListParagraph"/>
        <w:numPr>
          <w:ilvl w:val="2"/>
          <w:numId w:val="1"/>
        </w:numPr>
        <w:shd w:val="clear" w:color="auto" w:fill="FFFFFF" w:themeFill="background1"/>
        <w:spacing w:line="240" w:lineRule="auto"/>
        <w:ind w:hanging="862"/>
        <w:jc w:val="left"/>
        <w:rPr>
          <w:rFonts w:eastAsia="Calibri" w:cs="Arial"/>
          <w:spacing w:val="0"/>
          <w:sz w:val="20"/>
          <w:szCs w:val="20"/>
        </w:rPr>
      </w:pPr>
      <w:r w:rsidRPr="00335764">
        <w:rPr>
          <w:rFonts w:eastAsia="Calibri" w:cs="Arial"/>
          <w:spacing w:val="0"/>
          <w:sz w:val="20"/>
          <w:szCs w:val="20"/>
        </w:rPr>
        <w:t xml:space="preserve">The programme is allocated R706.3 million in 2023/24, which </w:t>
      </w:r>
      <w:r w:rsidR="002B1CA8" w:rsidRPr="00335764">
        <w:rPr>
          <w:rFonts w:eastAsia="Calibri" w:cs="Arial"/>
          <w:spacing w:val="0"/>
          <w:sz w:val="20"/>
          <w:szCs w:val="20"/>
        </w:rPr>
        <w:t>represents 69</w:t>
      </w:r>
      <w:r w:rsidRPr="00335764">
        <w:rPr>
          <w:rFonts w:eastAsia="Calibri" w:cs="Arial"/>
          <w:spacing w:val="0"/>
          <w:sz w:val="20"/>
          <w:szCs w:val="20"/>
        </w:rPr>
        <w:t xml:space="preserve">% of the total budget allocation to the SIU. The allocation experiences a real increase of 23.86% from the previous financial year. </w:t>
      </w:r>
    </w:p>
    <w:p w:rsidR="000F1A1B" w:rsidRPr="00335764" w:rsidRDefault="000F1A1B" w:rsidP="00335764">
      <w:pPr>
        <w:shd w:val="clear" w:color="auto" w:fill="FFFFFF" w:themeFill="background1"/>
        <w:spacing w:line="240" w:lineRule="auto"/>
        <w:jc w:val="left"/>
        <w:rPr>
          <w:rFonts w:eastAsia="Calibri" w:cs="Arial"/>
          <w:spacing w:val="0"/>
          <w:sz w:val="20"/>
          <w:szCs w:val="20"/>
        </w:rPr>
      </w:pPr>
    </w:p>
    <w:p w:rsidR="00F00DA9" w:rsidRPr="00335764" w:rsidRDefault="00F00DA9" w:rsidP="00335764">
      <w:pPr>
        <w:pStyle w:val="ListParagraph"/>
        <w:numPr>
          <w:ilvl w:val="1"/>
          <w:numId w:val="1"/>
        </w:numPr>
        <w:spacing w:line="240" w:lineRule="auto"/>
        <w:ind w:left="851" w:hanging="851"/>
        <w:jc w:val="left"/>
        <w:rPr>
          <w:rFonts w:eastAsia="Calibri" w:cs="Arial"/>
          <w:spacing w:val="0"/>
          <w:sz w:val="20"/>
          <w:szCs w:val="20"/>
        </w:rPr>
      </w:pPr>
      <w:r w:rsidRPr="00335764">
        <w:rPr>
          <w:rFonts w:eastAsia="Calibri" w:cs="Arial"/>
          <w:spacing w:val="0"/>
          <w:sz w:val="20"/>
          <w:szCs w:val="20"/>
        </w:rPr>
        <w:t>Market Data Analytics and Prevention</w:t>
      </w:r>
    </w:p>
    <w:p w:rsidR="00F00DA9" w:rsidRPr="00335764" w:rsidRDefault="00F00DA9" w:rsidP="00335764">
      <w:pPr>
        <w:pStyle w:val="ListParagraph"/>
        <w:spacing w:line="240" w:lineRule="auto"/>
        <w:ind w:left="851"/>
        <w:jc w:val="left"/>
        <w:rPr>
          <w:rFonts w:eastAsia="Calibri" w:cs="Arial"/>
          <w:spacing w:val="0"/>
          <w:sz w:val="20"/>
          <w:szCs w:val="20"/>
        </w:rPr>
      </w:pPr>
    </w:p>
    <w:p w:rsidR="00F00DA9" w:rsidRPr="00335764" w:rsidRDefault="00F00DA9" w:rsidP="00335764">
      <w:pPr>
        <w:pStyle w:val="ListParagraph"/>
        <w:numPr>
          <w:ilvl w:val="2"/>
          <w:numId w:val="1"/>
        </w:numPr>
        <w:shd w:val="clear" w:color="auto" w:fill="FFFFFF" w:themeFill="background1"/>
        <w:spacing w:line="240" w:lineRule="auto"/>
        <w:ind w:hanging="862"/>
        <w:jc w:val="left"/>
        <w:rPr>
          <w:rFonts w:eastAsia="Calibri" w:cs="Arial"/>
          <w:spacing w:val="0"/>
          <w:sz w:val="20"/>
          <w:szCs w:val="20"/>
        </w:rPr>
      </w:pPr>
      <w:r w:rsidRPr="00335764">
        <w:rPr>
          <w:rFonts w:eastAsia="Calibri" w:cs="Arial"/>
          <w:spacing w:val="0"/>
          <w:sz w:val="20"/>
          <w:szCs w:val="20"/>
        </w:rPr>
        <w:t>This programme receives the smallest allocation of all the programmes, at R48.6 million, with a real increase of 93% (or R22 million when compared to the previous financial year. The cost driver is that this is a new programme which needs to be capacitated to ensure that it meets its objectives. The compensation of employee’s budget jumps from R9 million in 2022/23 to R32.5 million in 2023/24.</w:t>
      </w:r>
    </w:p>
    <w:p w:rsidR="005C16A7" w:rsidRPr="00335764" w:rsidRDefault="005C16A7" w:rsidP="00335764">
      <w:pPr>
        <w:pStyle w:val="ListParagraph"/>
        <w:shd w:val="clear" w:color="auto" w:fill="FFFFFF" w:themeFill="background1"/>
        <w:spacing w:line="240" w:lineRule="auto"/>
        <w:ind w:left="862"/>
        <w:jc w:val="left"/>
        <w:rPr>
          <w:rFonts w:eastAsia="Calibri" w:cs="Arial"/>
          <w:spacing w:val="0"/>
          <w:sz w:val="20"/>
          <w:szCs w:val="20"/>
        </w:rPr>
      </w:pPr>
    </w:p>
    <w:p w:rsidR="00F00DA9" w:rsidRPr="00335764" w:rsidRDefault="00DB0812" w:rsidP="00335764">
      <w:pPr>
        <w:pStyle w:val="ListParagraph"/>
        <w:numPr>
          <w:ilvl w:val="2"/>
          <w:numId w:val="1"/>
        </w:numPr>
        <w:shd w:val="clear" w:color="auto" w:fill="FFFFFF" w:themeFill="background1"/>
        <w:spacing w:line="240" w:lineRule="auto"/>
        <w:ind w:hanging="862"/>
        <w:jc w:val="left"/>
        <w:rPr>
          <w:rFonts w:cs="Arial"/>
          <w:color w:val="000000" w:themeColor="text1"/>
          <w:sz w:val="20"/>
          <w:szCs w:val="20"/>
          <w:lang w:eastAsia="en-ZA"/>
        </w:rPr>
      </w:pPr>
      <w:r w:rsidRPr="00335764">
        <w:rPr>
          <w:rFonts w:eastAsia="Calibri" w:cs="Arial"/>
          <w:spacing w:val="0"/>
          <w:sz w:val="20"/>
          <w:szCs w:val="20"/>
        </w:rPr>
        <w:t xml:space="preserve">In 2023/24, Market Data Analytics and Prevention </w:t>
      </w:r>
      <w:r w:rsidR="00F00DA9" w:rsidRPr="00335764">
        <w:rPr>
          <w:rFonts w:eastAsia="Calibri" w:cs="Arial"/>
          <w:spacing w:val="0"/>
          <w:sz w:val="20"/>
          <w:szCs w:val="20"/>
        </w:rPr>
        <w:t>has three new indicators:</w:t>
      </w:r>
      <w:r w:rsidR="00F00DA9" w:rsidRPr="00335764">
        <w:rPr>
          <w:rFonts w:cs="Arial"/>
          <w:color w:val="000000" w:themeColor="text1"/>
          <w:sz w:val="20"/>
          <w:szCs w:val="20"/>
          <w:lang w:eastAsia="en-ZA"/>
        </w:rPr>
        <w:t xml:space="preserve"> </w:t>
      </w:r>
    </w:p>
    <w:p w:rsidR="00F00DA9" w:rsidRPr="00335764" w:rsidRDefault="00F00DA9"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Number of anti</w:t>
      </w:r>
      <w:r w:rsidR="005C16A7" w:rsidRPr="00335764">
        <w:rPr>
          <w:rFonts w:eastAsia="Calibri" w:cs="Arial"/>
          <w:spacing w:val="0"/>
          <w:sz w:val="20"/>
          <w:szCs w:val="20"/>
        </w:rPr>
        <w:t>-</w:t>
      </w:r>
      <w:r w:rsidRPr="00335764">
        <w:rPr>
          <w:rFonts w:eastAsia="Calibri" w:cs="Arial"/>
          <w:spacing w:val="0"/>
          <w:sz w:val="20"/>
          <w:szCs w:val="20"/>
        </w:rPr>
        <w:t>corruption forum meetings convened for vulnerable sectors (six to be convened by 31 March 2024)</w:t>
      </w:r>
      <w:r w:rsidR="005C16A7" w:rsidRPr="00335764">
        <w:rPr>
          <w:rFonts w:eastAsia="Calibri" w:cs="Arial"/>
          <w:spacing w:val="0"/>
          <w:sz w:val="20"/>
          <w:szCs w:val="20"/>
        </w:rPr>
        <w:t>.</w:t>
      </w:r>
    </w:p>
    <w:p w:rsidR="00F00DA9" w:rsidRPr="00335764" w:rsidRDefault="00F00DA9"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Lifestyle audits conducted as per request received from state institutions</w:t>
      </w:r>
      <w:r w:rsidR="005C16A7" w:rsidRPr="00335764">
        <w:rPr>
          <w:rFonts w:eastAsia="Calibri" w:cs="Arial"/>
          <w:spacing w:val="0"/>
          <w:sz w:val="20"/>
          <w:szCs w:val="20"/>
        </w:rPr>
        <w:t>.</w:t>
      </w:r>
    </w:p>
    <w:p w:rsidR="00F00DA9" w:rsidRPr="00335764" w:rsidRDefault="00F00DA9" w:rsidP="00335764">
      <w:pPr>
        <w:numPr>
          <w:ilvl w:val="0"/>
          <w:numId w:val="2"/>
        </w:numPr>
        <w:autoSpaceDE w:val="0"/>
        <w:autoSpaceDN w:val="0"/>
        <w:adjustRightInd w:val="0"/>
        <w:spacing w:line="240" w:lineRule="auto"/>
        <w:ind w:hanging="502"/>
        <w:jc w:val="left"/>
        <w:rPr>
          <w:rFonts w:eastAsia="Calibri" w:cs="Arial"/>
          <w:spacing w:val="0"/>
          <w:sz w:val="20"/>
          <w:szCs w:val="20"/>
        </w:rPr>
      </w:pPr>
      <w:r w:rsidRPr="00335764">
        <w:rPr>
          <w:rFonts w:eastAsia="Calibri" w:cs="Arial"/>
          <w:spacing w:val="0"/>
          <w:sz w:val="20"/>
          <w:szCs w:val="20"/>
        </w:rPr>
        <w:t>Implementation of the data analytics capability phases (Implementation of Phase 3 of the data analytics milestones planned)</w:t>
      </w:r>
      <w:r w:rsidR="005C16A7" w:rsidRPr="00335764">
        <w:rPr>
          <w:rFonts w:eastAsia="Calibri" w:cs="Arial"/>
          <w:spacing w:val="0"/>
          <w:sz w:val="20"/>
          <w:szCs w:val="20"/>
        </w:rPr>
        <w:t>.</w:t>
      </w:r>
    </w:p>
    <w:p w:rsidR="00736E84" w:rsidRPr="00335764" w:rsidRDefault="00736E84" w:rsidP="00335764">
      <w:pPr>
        <w:pStyle w:val="ListParagraph"/>
        <w:spacing w:line="240" w:lineRule="auto"/>
        <w:ind w:left="851"/>
        <w:jc w:val="left"/>
        <w:rPr>
          <w:rFonts w:eastAsia="Calibri" w:cs="Arial"/>
          <w:spacing w:val="0"/>
          <w:sz w:val="20"/>
          <w:szCs w:val="20"/>
        </w:rPr>
      </w:pPr>
    </w:p>
    <w:p w:rsidR="004337F1" w:rsidRPr="00335764" w:rsidRDefault="00736E84" w:rsidP="00335764">
      <w:pPr>
        <w:autoSpaceDE w:val="0"/>
        <w:autoSpaceDN w:val="0"/>
        <w:adjustRightInd w:val="0"/>
        <w:spacing w:line="240" w:lineRule="auto"/>
        <w:jc w:val="left"/>
        <w:rPr>
          <w:rFonts w:cs="Arial"/>
          <w:i/>
          <w:sz w:val="20"/>
          <w:szCs w:val="20"/>
          <w:lang w:val="en-ZA" w:eastAsia="en-ZA"/>
        </w:rPr>
      </w:pPr>
      <w:r w:rsidRPr="00335764">
        <w:rPr>
          <w:rFonts w:cs="Arial"/>
          <w:i/>
          <w:sz w:val="20"/>
          <w:szCs w:val="20"/>
          <w:lang w:val="en-ZA" w:eastAsia="en-ZA"/>
        </w:rPr>
        <w:t>Budget</w:t>
      </w:r>
    </w:p>
    <w:p w:rsidR="002B1CA8" w:rsidRPr="00335764" w:rsidRDefault="00374804" w:rsidP="00335764">
      <w:pPr>
        <w:pStyle w:val="ListParagraph"/>
        <w:numPr>
          <w:ilvl w:val="1"/>
          <w:numId w:val="1"/>
        </w:numPr>
        <w:spacing w:line="240" w:lineRule="auto"/>
        <w:ind w:left="851" w:hanging="851"/>
        <w:jc w:val="left"/>
        <w:rPr>
          <w:rFonts w:cs="Arial"/>
          <w:sz w:val="20"/>
          <w:szCs w:val="20"/>
          <w:lang w:val="en-ZA" w:eastAsia="en-ZA"/>
        </w:rPr>
      </w:pPr>
      <w:r w:rsidRPr="00335764">
        <w:rPr>
          <w:rFonts w:cs="Arial"/>
          <w:sz w:val="20"/>
          <w:szCs w:val="20"/>
        </w:rPr>
        <w:t>The</w:t>
      </w:r>
      <w:r w:rsidRPr="00335764">
        <w:rPr>
          <w:rFonts w:eastAsia="Calibri" w:cs="Arial"/>
          <w:spacing w:val="0"/>
          <w:sz w:val="20"/>
          <w:szCs w:val="20"/>
        </w:rPr>
        <w:t xml:space="preserve"> SIU has a mixed funding model that derives income</w:t>
      </w:r>
      <w:r w:rsidR="00A00B55" w:rsidRPr="00335764">
        <w:rPr>
          <w:rFonts w:eastAsia="Calibri" w:cs="Arial"/>
          <w:spacing w:val="0"/>
          <w:sz w:val="20"/>
          <w:szCs w:val="20"/>
        </w:rPr>
        <w:t xml:space="preserve"> from a National Treasury grant and </w:t>
      </w:r>
      <w:r w:rsidR="009E38D3" w:rsidRPr="00335764">
        <w:rPr>
          <w:rFonts w:eastAsia="Calibri" w:cs="Arial"/>
          <w:spacing w:val="0"/>
          <w:sz w:val="20"/>
          <w:szCs w:val="20"/>
        </w:rPr>
        <w:t xml:space="preserve">from </w:t>
      </w:r>
      <w:r w:rsidRPr="00335764">
        <w:rPr>
          <w:rFonts w:eastAsia="Calibri" w:cs="Arial"/>
          <w:spacing w:val="0"/>
          <w:sz w:val="20"/>
          <w:szCs w:val="20"/>
        </w:rPr>
        <w:t xml:space="preserve">work done for </w:t>
      </w:r>
      <w:r w:rsidR="00461FB2" w:rsidRPr="00335764">
        <w:rPr>
          <w:rFonts w:eastAsia="Calibri" w:cs="Arial"/>
          <w:spacing w:val="0"/>
          <w:sz w:val="20"/>
          <w:szCs w:val="20"/>
        </w:rPr>
        <w:t>s</w:t>
      </w:r>
      <w:r w:rsidRPr="00335764">
        <w:rPr>
          <w:rFonts w:eastAsia="Calibri" w:cs="Arial"/>
          <w:spacing w:val="0"/>
          <w:sz w:val="20"/>
          <w:szCs w:val="20"/>
        </w:rPr>
        <w:t xml:space="preserve">tate departments. </w:t>
      </w:r>
    </w:p>
    <w:p w:rsidR="002B1CA8" w:rsidRPr="00335764" w:rsidRDefault="002B1CA8" w:rsidP="00335764">
      <w:pPr>
        <w:pStyle w:val="ListParagraph"/>
        <w:spacing w:line="240" w:lineRule="auto"/>
        <w:ind w:left="851"/>
        <w:jc w:val="left"/>
        <w:rPr>
          <w:rFonts w:cs="Arial"/>
          <w:sz w:val="20"/>
          <w:szCs w:val="20"/>
          <w:lang w:val="en-ZA" w:eastAsia="en-ZA"/>
        </w:rPr>
      </w:pPr>
    </w:p>
    <w:p w:rsidR="002B1CA8" w:rsidRPr="00335764" w:rsidRDefault="002B1CA8" w:rsidP="00335764">
      <w:pPr>
        <w:pStyle w:val="ListParagraph"/>
        <w:numPr>
          <w:ilvl w:val="1"/>
          <w:numId w:val="1"/>
        </w:numPr>
        <w:spacing w:line="240" w:lineRule="auto"/>
        <w:ind w:left="851" w:hanging="851"/>
        <w:jc w:val="left"/>
        <w:rPr>
          <w:rFonts w:eastAsia="Calibri" w:cs="Arial"/>
          <w:spacing w:val="0"/>
          <w:sz w:val="20"/>
          <w:szCs w:val="20"/>
        </w:rPr>
      </w:pPr>
      <w:r w:rsidRPr="00335764">
        <w:rPr>
          <w:rFonts w:eastAsia="Calibri" w:cs="Arial"/>
          <w:spacing w:val="0"/>
          <w:sz w:val="20"/>
          <w:szCs w:val="20"/>
        </w:rPr>
        <w:t>The SIU is allocated an additional R100 million over the MTEF (R50 million in 2023/24, R30 million in 2024/25 and R20 million in 2025/2).</w:t>
      </w:r>
    </w:p>
    <w:p w:rsidR="002B1CA8" w:rsidRPr="00335764" w:rsidRDefault="002B1CA8" w:rsidP="00335764">
      <w:pPr>
        <w:pStyle w:val="ListParagraph"/>
        <w:spacing w:line="240" w:lineRule="auto"/>
        <w:ind w:left="851"/>
        <w:jc w:val="left"/>
        <w:rPr>
          <w:rFonts w:eastAsia="Calibri" w:cs="Arial"/>
          <w:spacing w:val="0"/>
          <w:sz w:val="20"/>
          <w:szCs w:val="20"/>
        </w:rPr>
      </w:pPr>
    </w:p>
    <w:p w:rsidR="004A3FF8" w:rsidRPr="00335764" w:rsidRDefault="004A3FF8" w:rsidP="00335764">
      <w:pPr>
        <w:pStyle w:val="ListParagraph"/>
        <w:numPr>
          <w:ilvl w:val="1"/>
          <w:numId w:val="1"/>
        </w:numPr>
        <w:spacing w:line="240" w:lineRule="auto"/>
        <w:ind w:left="851" w:hanging="851"/>
        <w:jc w:val="left"/>
        <w:rPr>
          <w:rFonts w:eastAsia="Calibri" w:cs="Arial"/>
          <w:spacing w:val="0"/>
          <w:sz w:val="20"/>
          <w:szCs w:val="20"/>
        </w:rPr>
      </w:pPr>
      <w:r w:rsidRPr="00335764">
        <w:rPr>
          <w:rFonts w:cs="Arial"/>
          <w:sz w:val="20"/>
          <w:szCs w:val="20"/>
        </w:rPr>
        <w:t xml:space="preserve">The SIU has a budget for 2023/24 of R1.08 billion, which consists of a projected R504.8 million from the national fiscus and R576.1 </w:t>
      </w:r>
      <w:r w:rsidR="005F32E5" w:rsidRPr="00335764">
        <w:rPr>
          <w:rFonts w:cs="Arial"/>
          <w:sz w:val="20"/>
          <w:szCs w:val="20"/>
        </w:rPr>
        <w:t xml:space="preserve">million </w:t>
      </w:r>
      <w:r w:rsidRPr="00335764">
        <w:rPr>
          <w:rFonts w:cs="Arial"/>
          <w:sz w:val="20"/>
          <w:szCs w:val="20"/>
        </w:rPr>
        <w:t>in revenue from fees charged. Overall, the budget increases in real terms compared with 2022/23.</w:t>
      </w:r>
      <w:r w:rsidR="002B1CA8" w:rsidRPr="00335764">
        <w:rPr>
          <w:rFonts w:cs="Arial"/>
          <w:sz w:val="20"/>
          <w:szCs w:val="20"/>
        </w:rPr>
        <w:t xml:space="preserve"> In addition, the SIU reports</w:t>
      </w:r>
      <w:r w:rsidRPr="00335764">
        <w:rPr>
          <w:rFonts w:cs="Arial"/>
          <w:sz w:val="20"/>
          <w:szCs w:val="20"/>
        </w:rPr>
        <w:t xml:space="preserve"> a surplus amount of R85.7 million</w:t>
      </w:r>
      <w:r w:rsidR="002B1CA8" w:rsidRPr="00335764">
        <w:rPr>
          <w:rFonts w:cs="Arial"/>
          <w:sz w:val="20"/>
          <w:szCs w:val="20"/>
        </w:rPr>
        <w:t xml:space="preserve"> rolled over from previous years</w:t>
      </w:r>
      <w:r w:rsidRPr="00335764">
        <w:rPr>
          <w:rFonts w:cs="Arial"/>
          <w:sz w:val="20"/>
          <w:szCs w:val="20"/>
        </w:rPr>
        <w:t xml:space="preserve">, which brings the total budget for </w:t>
      </w:r>
      <w:r w:rsidR="002B1CA8" w:rsidRPr="00335764">
        <w:rPr>
          <w:rFonts w:cs="Arial"/>
          <w:sz w:val="20"/>
          <w:szCs w:val="20"/>
        </w:rPr>
        <w:t>2023/23</w:t>
      </w:r>
      <w:r w:rsidR="005F32E5" w:rsidRPr="00335764">
        <w:rPr>
          <w:rFonts w:cs="Arial"/>
          <w:sz w:val="20"/>
          <w:szCs w:val="20"/>
        </w:rPr>
        <w:t xml:space="preserve"> to R1.16 billion. </w:t>
      </w:r>
      <w:r w:rsidR="002B1CA8" w:rsidRPr="00335764">
        <w:rPr>
          <w:rFonts w:cs="Arial"/>
          <w:sz w:val="20"/>
          <w:szCs w:val="20"/>
        </w:rPr>
        <w:t xml:space="preserve">The rolled over funds are for </w:t>
      </w:r>
      <w:r w:rsidRPr="00335764">
        <w:rPr>
          <w:rFonts w:cs="Arial"/>
          <w:sz w:val="20"/>
          <w:szCs w:val="20"/>
        </w:rPr>
        <w:t xml:space="preserve">projects that include procuring an office building for its Pretoria/ Head-Office Region. </w:t>
      </w:r>
    </w:p>
    <w:p w:rsidR="00580FB0" w:rsidRPr="00335764" w:rsidRDefault="00580FB0" w:rsidP="00335764">
      <w:pPr>
        <w:pStyle w:val="ListParagraph"/>
        <w:spacing w:line="240" w:lineRule="auto"/>
        <w:ind w:left="851"/>
        <w:jc w:val="left"/>
        <w:rPr>
          <w:rFonts w:cs="Arial"/>
          <w:sz w:val="20"/>
          <w:szCs w:val="20"/>
          <w:lang w:val="en-ZA" w:eastAsia="en-ZA"/>
        </w:rPr>
      </w:pPr>
    </w:p>
    <w:p w:rsidR="005F245D" w:rsidRPr="00335764" w:rsidRDefault="005F245D" w:rsidP="00335764">
      <w:pPr>
        <w:spacing w:line="240" w:lineRule="auto"/>
        <w:jc w:val="left"/>
        <w:rPr>
          <w:rFonts w:cs="Arial"/>
          <w:b/>
          <w:sz w:val="20"/>
          <w:szCs w:val="20"/>
          <w:lang w:val="en-ZA" w:eastAsia="en-ZA"/>
        </w:rPr>
      </w:pPr>
      <w:r w:rsidRPr="00335764">
        <w:rPr>
          <w:rFonts w:cs="Arial"/>
          <w:b/>
          <w:sz w:val="20"/>
          <w:szCs w:val="20"/>
          <w:lang w:val="en-ZA" w:eastAsia="en-ZA"/>
        </w:rPr>
        <w:t xml:space="preserve">SIU </w:t>
      </w:r>
      <w:r w:rsidR="004A3FF8" w:rsidRPr="00335764">
        <w:rPr>
          <w:rFonts w:cs="Arial"/>
          <w:b/>
          <w:sz w:val="20"/>
          <w:szCs w:val="20"/>
          <w:lang w:val="en-ZA" w:eastAsia="en-ZA"/>
        </w:rPr>
        <w:t>revenue 2023</w:t>
      </w:r>
      <w:r w:rsidRPr="00335764">
        <w:rPr>
          <w:rFonts w:cs="Arial"/>
          <w:b/>
          <w:sz w:val="20"/>
          <w:szCs w:val="20"/>
          <w:lang w:val="en-ZA" w:eastAsia="en-ZA"/>
        </w:rPr>
        <w:t xml:space="preserve"> MTEF</w:t>
      </w:r>
    </w:p>
    <w:tbl>
      <w:tblPr>
        <w:tblW w:w="5000" w:type="pct"/>
        <w:jc w:val="center"/>
        <w:tblCellMar>
          <w:left w:w="0" w:type="dxa"/>
          <w:right w:w="0" w:type="dxa"/>
        </w:tblCellMar>
        <w:tblLook w:val="04A0"/>
      </w:tblPr>
      <w:tblGrid>
        <w:gridCol w:w="4336"/>
        <w:gridCol w:w="1338"/>
        <w:gridCol w:w="1414"/>
        <w:gridCol w:w="1222"/>
        <w:gridCol w:w="1220"/>
      </w:tblGrid>
      <w:tr w:rsidR="00736E84" w:rsidRPr="00335764" w:rsidTr="009F2784">
        <w:trPr>
          <w:trHeight w:val="678"/>
          <w:tblHeader/>
          <w:jc w:val="center"/>
        </w:trPr>
        <w:tc>
          <w:tcPr>
            <w:tcW w:w="2275"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tcPr>
          <w:p w:rsidR="00736E84" w:rsidRPr="00335764" w:rsidRDefault="00736E84" w:rsidP="00335764">
            <w:pPr>
              <w:shd w:val="clear" w:color="auto" w:fill="FFFFFF"/>
              <w:autoSpaceDE w:val="0"/>
              <w:autoSpaceDN w:val="0"/>
              <w:adjustRightInd w:val="0"/>
              <w:spacing w:line="240" w:lineRule="auto"/>
              <w:jc w:val="left"/>
              <w:rPr>
                <w:rFonts w:cs="Arial"/>
                <w:b/>
                <w:sz w:val="20"/>
                <w:szCs w:val="20"/>
                <w:lang w:val="en-ZA" w:eastAsia="en-ZA"/>
              </w:rPr>
            </w:pPr>
            <w:r w:rsidRPr="00335764">
              <w:rPr>
                <w:rFonts w:cs="Arial"/>
                <w:b/>
                <w:sz w:val="20"/>
                <w:szCs w:val="20"/>
                <w:lang w:val="en-ZA" w:eastAsia="en-ZA"/>
              </w:rPr>
              <w:lastRenderedPageBreak/>
              <w:t>Revenue</w:t>
            </w:r>
          </w:p>
          <w:p w:rsidR="00736E84" w:rsidRPr="00335764" w:rsidRDefault="00736E84" w:rsidP="00335764">
            <w:pPr>
              <w:shd w:val="clear" w:color="auto" w:fill="FFFFFF"/>
              <w:autoSpaceDE w:val="0"/>
              <w:autoSpaceDN w:val="0"/>
              <w:adjustRightInd w:val="0"/>
              <w:spacing w:line="240" w:lineRule="auto"/>
              <w:jc w:val="left"/>
              <w:rPr>
                <w:rFonts w:cs="Arial"/>
                <w:b/>
                <w:sz w:val="20"/>
                <w:szCs w:val="20"/>
                <w:lang w:val="en-ZA" w:eastAsia="en-ZA"/>
              </w:rPr>
            </w:pPr>
          </w:p>
          <w:p w:rsidR="00736E84" w:rsidRPr="00335764" w:rsidRDefault="00736E84" w:rsidP="00335764">
            <w:pPr>
              <w:shd w:val="clear" w:color="auto" w:fill="FFFFFF"/>
              <w:autoSpaceDE w:val="0"/>
              <w:autoSpaceDN w:val="0"/>
              <w:adjustRightInd w:val="0"/>
              <w:spacing w:line="240" w:lineRule="auto"/>
              <w:jc w:val="left"/>
              <w:rPr>
                <w:rFonts w:cs="Arial"/>
                <w:b/>
                <w:sz w:val="20"/>
                <w:szCs w:val="20"/>
                <w:lang w:val="en-ZA" w:eastAsia="en-ZA"/>
              </w:rPr>
            </w:pPr>
            <w:r w:rsidRPr="00335764">
              <w:rPr>
                <w:rFonts w:cs="Arial"/>
                <w:b/>
                <w:sz w:val="20"/>
                <w:szCs w:val="20"/>
                <w:lang w:val="en-ZA" w:eastAsia="en-ZA"/>
              </w:rPr>
              <w:t>R’</w:t>
            </w:r>
            <w:r w:rsidR="006E2BED" w:rsidRPr="00335764">
              <w:rPr>
                <w:rFonts w:cs="Arial"/>
                <w:b/>
                <w:sz w:val="20"/>
                <w:szCs w:val="20"/>
                <w:lang w:val="en-ZA" w:eastAsia="en-ZA"/>
              </w:rPr>
              <w:t>thousand</w:t>
            </w:r>
          </w:p>
        </w:tc>
        <w:tc>
          <w:tcPr>
            <w:tcW w:w="702"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736E84" w:rsidRPr="00335764" w:rsidRDefault="00736E84" w:rsidP="00335764">
            <w:pPr>
              <w:pStyle w:val="NormalWeb"/>
              <w:spacing w:before="0" w:after="0"/>
              <w:jc w:val="left"/>
              <w:rPr>
                <w:rFonts w:ascii="Arial" w:hAnsi="Arial" w:cs="Arial"/>
                <w:b/>
                <w:color w:val="000000"/>
                <w:spacing w:val="6"/>
                <w:sz w:val="20"/>
                <w:szCs w:val="20"/>
                <w:lang w:val="en-ZA" w:eastAsia="en-ZA"/>
              </w:rPr>
            </w:pPr>
            <w:r w:rsidRPr="00335764">
              <w:rPr>
                <w:rFonts w:ascii="Arial" w:hAnsi="Arial" w:cs="Arial"/>
                <w:b/>
                <w:color w:val="000000"/>
                <w:spacing w:val="6"/>
                <w:sz w:val="20"/>
                <w:szCs w:val="20"/>
                <w:lang w:val="en-ZA" w:eastAsia="en-ZA"/>
              </w:rPr>
              <w:t>202</w:t>
            </w:r>
            <w:r w:rsidR="004A3FF8" w:rsidRPr="00335764">
              <w:rPr>
                <w:rFonts w:ascii="Arial" w:hAnsi="Arial" w:cs="Arial"/>
                <w:b/>
                <w:color w:val="000000"/>
                <w:spacing w:val="6"/>
                <w:sz w:val="20"/>
                <w:szCs w:val="20"/>
                <w:lang w:val="en-ZA" w:eastAsia="en-ZA"/>
              </w:rPr>
              <w:t>2/23</w:t>
            </w:r>
          </w:p>
        </w:tc>
        <w:tc>
          <w:tcPr>
            <w:tcW w:w="742"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736E84" w:rsidRPr="00335764" w:rsidRDefault="00736E84" w:rsidP="00335764">
            <w:pPr>
              <w:pStyle w:val="NormalWeb"/>
              <w:spacing w:before="0" w:after="0"/>
              <w:jc w:val="left"/>
              <w:rPr>
                <w:rFonts w:ascii="Arial" w:hAnsi="Arial" w:cs="Arial"/>
                <w:b/>
                <w:color w:val="000000"/>
                <w:spacing w:val="6"/>
                <w:sz w:val="20"/>
                <w:szCs w:val="20"/>
                <w:lang w:val="en-ZA" w:eastAsia="en-ZA"/>
              </w:rPr>
            </w:pPr>
            <w:r w:rsidRPr="00335764">
              <w:rPr>
                <w:rFonts w:ascii="Arial" w:hAnsi="Arial" w:cs="Arial"/>
                <w:b/>
                <w:color w:val="000000"/>
                <w:spacing w:val="6"/>
                <w:sz w:val="20"/>
                <w:szCs w:val="20"/>
                <w:lang w:val="en-ZA" w:eastAsia="en-ZA"/>
              </w:rPr>
              <w:t>202</w:t>
            </w:r>
            <w:r w:rsidR="004A3FF8" w:rsidRPr="00335764">
              <w:rPr>
                <w:rFonts w:ascii="Arial" w:hAnsi="Arial" w:cs="Arial"/>
                <w:b/>
                <w:color w:val="000000"/>
                <w:spacing w:val="6"/>
                <w:sz w:val="20"/>
                <w:szCs w:val="20"/>
                <w:lang w:val="en-ZA" w:eastAsia="en-ZA"/>
              </w:rPr>
              <w:t>3</w:t>
            </w:r>
            <w:r w:rsidRPr="00335764">
              <w:rPr>
                <w:rFonts w:ascii="Arial" w:hAnsi="Arial" w:cs="Arial"/>
                <w:b/>
                <w:color w:val="000000"/>
                <w:spacing w:val="6"/>
                <w:sz w:val="20"/>
                <w:szCs w:val="20"/>
                <w:lang w:val="en-ZA" w:eastAsia="en-ZA"/>
              </w:rPr>
              <w:t>/2</w:t>
            </w:r>
            <w:r w:rsidR="004A3FF8" w:rsidRPr="00335764">
              <w:rPr>
                <w:rFonts w:ascii="Arial" w:hAnsi="Arial" w:cs="Arial"/>
                <w:b/>
                <w:color w:val="000000"/>
                <w:spacing w:val="6"/>
                <w:sz w:val="20"/>
                <w:szCs w:val="20"/>
                <w:lang w:val="en-ZA" w:eastAsia="en-ZA"/>
              </w:rPr>
              <w:t>4</w:t>
            </w:r>
          </w:p>
        </w:tc>
        <w:tc>
          <w:tcPr>
            <w:tcW w:w="64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736E84" w:rsidRPr="00335764" w:rsidRDefault="00736E84" w:rsidP="00335764">
            <w:pPr>
              <w:pStyle w:val="NormalWeb"/>
              <w:spacing w:before="0" w:after="0"/>
              <w:jc w:val="left"/>
              <w:rPr>
                <w:rFonts w:ascii="Arial" w:hAnsi="Arial" w:cs="Arial"/>
                <w:b/>
                <w:color w:val="000000"/>
                <w:spacing w:val="6"/>
                <w:sz w:val="20"/>
                <w:szCs w:val="20"/>
                <w:lang w:val="en-ZA" w:eastAsia="en-ZA"/>
              </w:rPr>
            </w:pPr>
            <w:r w:rsidRPr="00335764">
              <w:rPr>
                <w:rFonts w:ascii="Arial" w:hAnsi="Arial" w:cs="Arial"/>
                <w:b/>
                <w:color w:val="000000"/>
                <w:spacing w:val="6"/>
                <w:sz w:val="20"/>
                <w:szCs w:val="20"/>
                <w:lang w:val="en-ZA" w:eastAsia="en-ZA"/>
              </w:rPr>
              <w:t>202</w:t>
            </w:r>
            <w:r w:rsidR="004A3FF8" w:rsidRPr="00335764">
              <w:rPr>
                <w:rFonts w:ascii="Arial" w:hAnsi="Arial" w:cs="Arial"/>
                <w:b/>
                <w:color w:val="000000"/>
                <w:spacing w:val="6"/>
                <w:sz w:val="20"/>
                <w:szCs w:val="20"/>
                <w:lang w:val="en-ZA" w:eastAsia="en-ZA"/>
              </w:rPr>
              <w:t>4</w:t>
            </w:r>
            <w:r w:rsidRPr="00335764">
              <w:rPr>
                <w:rFonts w:ascii="Arial" w:hAnsi="Arial" w:cs="Arial"/>
                <w:b/>
                <w:color w:val="000000"/>
                <w:spacing w:val="6"/>
                <w:sz w:val="20"/>
                <w:szCs w:val="20"/>
                <w:lang w:val="en-ZA" w:eastAsia="en-ZA"/>
              </w:rPr>
              <w:t>/2</w:t>
            </w:r>
            <w:r w:rsidR="004A3FF8" w:rsidRPr="00335764">
              <w:rPr>
                <w:rFonts w:ascii="Arial" w:hAnsi="Arial" w:cs="Arial"/>
                <w:b/>
                <w:color w:val="000000"/>
                <w:spacing w:val="6"/>
                <w:sz w:val="20"/>
                <w:szCs w:val="20"/>
                <w:lang w:val="en-ZA" w:eastAsia="en-ZA"/>
              </w:rPr>
              <w:t>5</w:t>
            </w:r>
          </w:p>
        </w:tc>
        <w:tc>
          <w:tcPr>
            <w:tcW w:w="64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736E84" w:rsidRPr="00335764" w:rsidRDefault="00736E84" w:rsidP="00335764">
            <w:pPr>
              <w:pStyle w:val="NormalWeb"/>
              <w:spacing w:before="0" w:after="0"/>
              <w:jc w:val="left"/>
              <w:rPr>
                <w:rFonts w:ascii="Arial" w:hAnsi="Arial" w:cs="Arial"/>
                <w:b/>
                <w:color w:val="000000"/>
                <w:spacing w:val="6"/>
                <w:sz w:val="20"/>
                <w:szCs w:val="20"/>
                <w:lang w:val="en-ZA" w:eastAsia="en-ZA"/>
              </w:rPr>
            </w:pPr>
            <w:r w:rsidRPr="00335764">
              <w:rPr>
                <w:rFonts w:ascii="Arial" w:hAnsi="Arial" w:cs="Arial"/>
                <w:b/>
                <w:color w:val="000000"/>
                <w:spacing w:val="6"/>
                <w:sz w:val="20"/>
                <w:szCs w:val="20"/>
                <w:lang w:val="en-ZA" w:eastAsia="en-ZA"/>
              </w:rPr>
              <w:t>2</w:t>
            </w:r>
            <w:r w:rsidR="004A3FF8" w:rsidRPr="00335764">
              <w:rPr>
                <w:rFonts w:ascii="Arial" w:hAnsi="Arial" w:cs="Arial"/>
                <w:b/>
                <w:color w:val="000000"/>
                <w:spacing w:val="6"/>
                <w:sz w:val="20"/>
                <w:szCs w:val="20"/>
                <w:lang w:val="en-ZA" w:eastAsia="en-ZA"/>
              </w:rPr>
              <w:t>025</w:t>
            </w:r>
            <w:r w:rsidRPr="00335764">
              <w:rPr>
                <w:rFonts w:ascii="Arial" w:hAnsi="Arial" w:cs="Arial"/>
                <w:b/>
                <w:color w:val="000000"/>
                <w:spacing w:val="6"/>
                <w:sz w:val="20"/>
                <w:szCs w:val="20"/>
                <w:lang w:val="en-ZA" w:eastAsia="en-ZA"/>
              </w:rPr>
              <w:t>/2</w:t>
            </w:r>
            <w:r w:rsidR="004A3FF8" w:rsidRPr="00335764">
              <w:rPr>
                <w:rFonts w:ascii="Arial" w:hAnsi="Arial" w:cs="Arial"/>
                <w:b/>
                <w:color w:val="000000"/>
                <w:spacing w:val="6"/>
                <w:sz w:val="20"/>
                <w:szCs w:val="20"/>
                <w:lang w:val="en-ZA" w:eastAsia="en-ZA"/>
              </w:rPr>
              <w:t>6</w:t>
            </w:r>
          </w:p>
        </w:tc>
      </w:tr>
      <w:tr w:rsidR="004337F1" w:rsidRPr="00335764" w:rsidTr="00B16A2F">
        <w:trPr>
          <w:trHeight w:val="678"/>
          <w:jc w:val="center"/>
        </w:trPr>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37F1" w:rsidRPr="00335764" w:rsidRDefault="006E2BED" w:rsidP="00335764">
            <w:pPr>
              <w:shd w:val="clear" w:color="auto" w:fill="FFFFFF"/>
              <w:autoSpaceDE w:val="0"/>
              <w:autoSpaceDN w:val="0"/>
              <w:adjustRightInd w:val="0"/>
              <w:spacing w:line="240" w:lineRule="auto"/>
              <w:jc w:val="left"/>
              <w:rPr>
                <w:rFonts w:cs="Arial"/>
                <w:sz w:val="20"/>
                <w:szCs w:val="20"/>
                <w:lang w:val="en-ZA" w:eastAsia="en-ZA"/>
              </w:rPr>
            </w:pPr>
            <w:r w:rsidRPr="00335764">
              <w:rPr>
                <w:rFonts w:cs="Arial"/>
                <w:sz w:val="20"/>
                <w:szCs w:val="20"/>
                <w:lang w:val="en-ZA" w:eastAsia="en-ZA"/>
              </w:rPr>
              <w:t xml:space="preserve">Administration </w:t>
            </w:r>
          </w:p>
        </w:tc>
        <w:tc>
          <w:tcPr>
            <w:tcW w:w="702" w:type="pct"/>
            <w:tcBorders>
              <w:top w:val="single" w:sz="8" w:space="0" w:color="000000"/>
              <w:left w:val="single" w:sz="8" w:space="0" w:color="000000"/>
              <w:bottom w:val="single" w:sz="8" w:space="0" w:color="000000"/>
              <w:right w:val="single" w:sz="8" w:space="0" w:color="000000"/>
            </w:tcBorders>
            <w:shd w:val="clear" w:color="auto" w:fill="auto"/>
          </w:tcPr>
          <w:p w:rsidR="004337F1" w:rsidRPr="00335764" w:rsidRDefault="006E2BED" w:rsidP="00335764">
            <w:pPr>
              <w:pStyle w:val="NormalWeb"/>
              <w:spacing w:before="0" w:after="0"/>
              <w:jc w:val="left"/>
              <w:rPr>
                <w:rFonts w:ascii="Arial" w:hAnsi="Arial" w:cs="Arial"/>
                <w:color w:val="000000"/>
                <w:spacing w:val="6"/>
                <w:sz w:val="20"/>
                <w:szCs w:val="20"/>
                <w:lang w:val="en-ZA" w:eastAsia="en-ZA"/>
              </w:rPr>
            </w:pPr>
            <w:r w:rsidRPr="00335764">
              <w:rPr>
                <w:rFonts w:ascii="Arial" w:hAnsi="Arial" w:cs="Arial"/>
                <w:color w:val="000000"/>
                <w:spacing w:val="6"/>
                <w:sz w:val="20"/>
                <w:szCs w:val="20"/>
                <w:lang w:val="en-ZA" w:eastAsia="en-ZA"/>
              </w:rPr>
              <w:t>303 903</w:t>
            </w:r>
          </w:p>
        </w:tc>
        <w:tc>
          <w:tcPr>
            <w:tcW w:w="742"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4337F1" w:rsidRPr="00335764" w:rsidRDefault="006E2BED" w:rsidP="00335764">
            <w:pPr>
              <w:pStyle w:val="NormalWeb"/>
              <w:spacing w:before="0" w:after="0"/>
              <w:jc w:val="left"/>
              <w:rPr>
                <w:rFonts w:ascii="Arial" w:hAnsi="Arial" w:cs="Arial"/>
                <w:color w:val="000000"/>
                <w:spacing w:val="6"/>
                <w:sz w:val="20"/>
                <w:szCs w:val="20"/>
                <w:lang w:val="en-ZA" w:eastAsia="en-ZA"/>
              </w:rPr>
            </w:pPr>
            <w:r w:rsidRPr="00335764">
              <w:rPr>
                <w:rFonts w:ascii="Arial" w:hAnsi="Arial" w:cs="Arial"/>
                <w:color w:val="000000"/>
                <w:spacing w:val="6"/>
                <w:sz w:val="20"/>
                <w:szCs w:val="20"/>
                <w:lang w:val="en-ZA" w:eastAsia="en-ZA"/>
              </w:rPr>
              <w:t>411 692</w:t>
            </w:r>
          </w:p>
        </w:tc>
        <w:tc>
          <w:tcPr>
            <w:tcW w:w="641" w:type="pct"/>
            <w:tcBorders>
              <w:top w:val="single" w:sz="8" w:space="0" w:color="000000"/>
              <w:left w:val="single" w:sz="8" w:space="0" w:color="000000"/>
              <w:bottom w:val="single" w:sz="8" w:space="0" w:color="000000"/>
              <w:right w:val="single" w:sz="8" w:space="0" w:color="000000"/>
            </w:tcBorders>
            <w:shd w:val="clear" w:color="auto" w:fill="auto"/>
          </w:tcPr>
          <w:p w:rsidR="004337F1" w:rsidRPr="00335764" w:rsidRDefault="006E2BED" w:rsidP="00335764">
            <w:pPr>
              <w:pStyle w:val="NormalWeb"/>
              <w:spacing w:before="0" w:after="0"/>
              <w:jc w:val="left"/>
              <w:rPr>
                <w:rFonts w:ascii="Arial" w:hAnsi="Arial" w:cs="Arial"/>
                <w:color w:val="000000"/>
                <w:spacing w:val="6"/>
                <w:sz w:val="20"/>
                <w:szCs w:val="20"/>
                <w:lang w:val="en-ZA" w:eastAsia="en-ZA"/>
              </w:rPr>
            </w:pPr>
            <w:r w:rsidRPr="00335764">
              <w:rPr>
                <w:rFonts w:ascii="Arial" w:hAnsi="Arial" w:cs="Arial"/>
                <w:color w:val="000000"/>
                <w:spacing w:val="6"/>
                <w:sz w:val="20"/>
                <w:szCs w:val="20"/>
                <w:lang w:val="en-ZA" w:eastAsia="en-ZA"/>
              </w:rPr>
              <w:t>452 985</w:t>
            </w:r>
          </w:p>
        </w:tc>
        <w:tc>
          <w:tcPr>
            <w:tcW w:w="641" w:type="pct"/>
            <w:tcBorders>
              <w:top w:val="single" w:sz="8" w:space="0" w:color="000000"/>
              <w:left w:val="single" w:sz="8" w:space="0" w:color="000000"/>
              <w:bottom w:val="single" w:sz="8" w:space="0" w:color="000000"/>
              <w:right w:val="single" w:sz="8" w:space="0" w:color="000000"/>
            </w:tcBorders>
            <w:shd w:val="clear" w:color="auto" w:fill="auto"/>
          </w:tcPr>
          <w:p w:rsidR="004337F1" w:rsidRPr="00335764" w:rsidRDefault="006E2BED" w:rsidP="00335764">
            <w:pPr>
              <w:pStyle w:val="NormalWeb"/>
              <w:spacing w:before="0" w:after="0"/>
              <w:jc w:val="left"/>
              <w:rPr>
                <w:rFonts w:ascii="Arial" w:hAnsi="Arial" w:cs="Arial"/>
                <w:color w:val="000000"/>
                <w:spacing w:val="6"/>
                <w:sz w:val="20"/>
                <w:szCs w:val="20"/>
                <w:lang w:val="en-ZA" w:eastAsia="en-ZA"/>
              </w:rPr>
            </w:pPr>
            <w:r w:rsidRPr="00335764">
              <w:rPr>
                <w:rFonts w:ascii="Arial" w:hAnsi="Arial" w:cs="Arial"/>
                <w:color w:val="000000"/>
                <w:spacing w:val="6"/>
                <w:sz w:val="20"/>
                <w:szCs w:val="20"/>
                <w:lang w:val="en-ZA" w:eastAsia="en-ZA"/>
              </w:rPr>
              <w:t>516 118</w:t>
            </w:r>
          </w:p>
        </w:tc>
      </w:tr>
      <w:tr w:rsidR="004337F1" w:rsidRPr="00335764" w:rsidTr="00B16A2F">
        <w:trPr>
          <w:trHeight w:val="379"/>
          <w:jc w:val="center"/>
        </w:trPr>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37F1" w:rsidRPr="00335764" w:rsidRDefault="006E2BED" w:rsidP="00335764">
            <w:pPr>
              <w:shd w:val="clear" w:color="auto" w:fill="FFFFFF"/>
              <w:autoSpaceDE w:val="0"/>
              <w:autoSpaceDN w:val="0"/>
              <w:adjustRightInd w:val="0"/>
              <w:spacing w:line="240" w:lineRule="auto"/>
              <w:jc w:val="left"/>
              <w:rPr>
                <w:rFonts w:cs="Arial"/>
                <w:sz w:val="20"/>
                <w:szCs w:val="20"/>
                <w:lang w:val="en-ZA" w:eastAsia="en-ZA"/>
              </w:rPr>
            </w:pPr>
            <w:r w:rsidRPr="00335764">
              <w:rPr>
                <w:rFonts w:cs="Arial"/>
                <w:sz w:val="20"/>
                <w:szCs w:val="20"/>
                <w:lang w:val="en-ZA" w:eastAsia="en-ZA"/>
              </w:rPr>
              <w:t>Investigations and Legal Counsel</w:t>
            </w:r>
          </w:p>
        </w:tc>
        <w:tc>
          <w:tcPr>
            <w:tcW w:w="702" w:type="pct"/>
            <w:tcBorders>
              <w:top w:val="single" w:sz="8" w:space="0" w:color="000000"/>
              <w:left w:val="single" w:sz="8" w:space="0" w:color="000000"/>
              <w:bottom w:val="single" w:sz="8" w:space="0" w:color="000000"/>
              <w:right w:val="single" w:sz="8" w:space="0" w:color="000000"/>
            </w:tcBorders>
            <w:shd w:val="clear" w:color="auto" w:fill="auto"/>
          </w:tcPr>
          <w:p w:rsidR="004337F1" w:rsidRPr="00335764" w:rsidRDefault="006E2BED" w:rsidP="00335764">
            <w:pPr>
              <w:pStyle w:val="NormalWeb"/>
              <w:spacing w:before="0" w:after="0"/>
              <w:jc w:val="left"/>
              <w:rPr>
                <w:rFonts w:ascii="Arial" w:hAnsi="Arial" w:cs="Arial"/>
                <w:color w:val="000000"/>
                <w:spacing w:val="6"/>
                <w:sz w:val="20"/>
                <w:szCs w:val="20"/>
                <w:lang w:val="en-ZA" w:eastAsia="en-ZA"/>
              </w:rPr>
            </w:pPr>
            <w:r w:rsidRPr="00335764">
              <w:rPr>
                <w:rFonts w:ascii="Arial" w:hAnsi="Arial" w:cs="Arial"/>
                <w:color w:val="000000"/>
                <w:spacing w:val="6"/>
                <w:sz w:val="20"/>
                <w:szCs w:val="20"/>
                <w:lang w:val="en-ZA" w:eastAsia="en-ZA"/>
              </w:rPr>
              <w:t>543 579</w:t>
            </w:r>
          </w:p>
        </w:tc>
        <w:tc>
          <w:tcPr>
            <w:tcW w:w="742"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4337F1" w:rsidRPr="00335764" w:rsidRDefault="006E2BED" w:rsidP="00335764">
            <w:pPr>
              <w:pStyle w:val="NormalWeb"/>
              <w:spacing w:before="0" w:after="0"/>
              <w:jc w:val="left"/>
              <w:rPr>
                <w:rFonts w:ascii="Arial" w:hAnsi="Arial" w:cs="Arial"/>
                <w:color w:val="000000"/>
                <w:spacing w:val="6"/>
                <w:sz w:val="20"/>
                <w:szCs w:val="20"/>
                <w:lang w:val="en-ZA" w:eastAsia="en-ZA"/>
              </w:rPr>
            </w:pPr>
            <w:r w:rsidRPr="00335764">
              <w:rPr>
                <w:rFonts w:ascii="Arial" w:hAnsi="Arial" w:cs="Arial"/>
                <w:color w:val="000000"/>
                <w:spacing w:val="6"/>
                <w:sz w:val="20"/>
                <w:szCs w:val="20"/>
                <w:lang w:val="en-ZA" w:eastAsia="en-ZA"/>
              </w:rPr>
              <w:t>706 290</w:t>
            </w:r>
          </w:p>
        </w:tc>
        <w:tc>
          <w:tcPr>
            <w:tcW w:w="641" w:type="pct"/>
            <w:tcBorders>
              <w:top w:val="single" w:sz="8" w:space="0" w:color="000000"/>
              <w:left w:val="single" w:sz="8" w:space="0" w:color="000000"/>
              <w:bottom w:val="single" w:sz="8" w:space="0" w:color="000000"/>
              <w:right w:val="single" w:sz="8" w:space="0" w:color="000000"/>
            </w:tcBorders>
            <w:shd w:val="clear" w:color="auto" w:fill="auto"/>
          </w:tcPr>
          <w:p w:rsidR="004337F1" w:rsidRPr="00335764" w:rsidRDefault="006E2BED" w:rsidP="00335764">
            <w:pPr>
              <w:pStyle w:val="NormalWeb"/>
              <w:spacing w:before="0" w:after="0"/>
              <w:jc w:val="left"/>
              <w:rPr>
                <w:rFonts w:ascii="Arial" w:hAnsi="Arial" w:cs="Arial"/>
                <w:color w:val="000000"/>
                <w:spacing w:val="6"/>
                <w:sz w:val="20"/>
                <w:szCs w:val="20"/>
                <w:lang w:val="en-ZA" w:eastAsia="en-ZA"/>
              </w:rPr>
            </w:pPr>
            <w:r w:rsidRPr="00335764">
              <w:rPr>
                <w:rFonts w:ascii="Arial" w:hAnsi="Arial" w:cs="Arial"/>
                <w:color w:val="000000"/>
                <w:spacing w:val="6"/>
                <w:sz w:val="20"/>
                <w:szCs w:val="20"/>
                <w:lang w:val="en-ZA" w:eastAsia="en-ZA"/>
              </w:rPr>
              <w:t>823 565</w:t>
            </w:r>
          </w:p>
        </w:tc>
        <w:tc>
          <w:tcPr>
            <w:tcW w:w="641" w:type="pct"/>
            <w:tcBorders>
              <w:top w:val="single" w:sz="8" w:space="0" w:color="000000"/>
              <w:left w:val="single" w:sz="8" w:space="0" w:color="000000"/>
              <w:bottom w:val="single" w:sz="8" w:space="0" w:color="000000"/>
              <w:right w:val="single" w:sz="8" w:space="0" w:color="000000"/>
            </w:tcBorders>
            <w:shd w:val="clear" w:color="auto" w:fill="auto"/>
          </w:tcPr>
          <w:p w:rsidR="004337F1" w:rsidRPr="00335764" w:rsidRDefault="006E2BED" w:rsidP="00335764">
            <w:pPr>
              <w:pStyle w:val="NormalWeb"/>
              <w:spacing w:before="0" w:after="0"/>
              <w:jc w:val="left"/>
              <w:rPr>
                <w:rFonts w:ascii="Arial" w:hAnsi="Arial" w:cs="Arial"/>
                <w:color w:val="000000"/>
                <w:spacing w:val="6"/>
                <w:sz w:val="20"/>
                <w:szCs w:val="20"/>
                <w:lang w:val="en-ZA" w:eastAsia="en-ZA"/>
              </w:rPr>
            </w:pPr>
            <w:r w:rsidRPr="00335764">
              <w:rPr>
                <w:rFonts w:ascii="Arial" w:hAnsi="Arial" w:cs="Arial"/>
                <w:color w:val="000000"/>
                <w:spacing w:val="6"/>
                <w:sz w:val="20"/>
                <w:szCs w:val="20"/>
                <w:lang w:val="en-ZA" w:eastAsia="en-ZA"/>
              </w:rPr>
              <w:t>944 972</w:t>
            </w:r>
          </w:p>
        </w:tc>
      </w:tr>
      <w:tr w:rsidR="004337F1" w:rsidRPr="00335764" w:rsidTr="00B16A2F">
        <w:trPr>
          <w:trHeight w:val="379"/>
          <w:jc w:val="center"/>
        </w:trPr>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37F1" w:rsidRPr="00335764" w:rsidRDefault="006E2BED" w:rsidP="00335764">
            <w:pPr>
              <w:shd w:val="clear" w:color="auto" w:fill="FFFFFF"/>
              <w:autoSpaceDE w:val="0"/>
              <w:autoSpaceDN w:val="0"/>
              <w:adjustRightInd w:val="0"/>
              <w:spacing w:line="240" w:lineRule="auto"/>
              <w:jc w:val="left"/>
              <w:rPr>
                <w:rFonts w:cs="Arial"/>
                <w:sz w:val="20"/>
                <w:szCs w:val="20"/>
                <w:lang w:val="en-ZA" w:eastAsia="en-ZA"/>
              </w:rPr>
            </w:pPr>
            <w:r w:rsidRPr="00335764">
              <w:rPr>
                <w:rFonts w:cs="Arial"/>
                <w:sz w:val="20"/>
                <w:szCs w:val="20"/>
                <w:lang w:val="en-ZA" w:eastAsia="en-ZA"/>
              </w:rPr>
              <w:t>Market Data Analytics and Prevention</w:t>
            </w:r>
          </w:p>
        </w:tc>
        <w:tc>
          <w:tcPr>
            <w:tcW w:w="702" w:type="pct"/>
            <w:tcBorders>
              <w:top w:val="single" w:sz="8" w:space="0" w:color="000000"/>
              <w:left w:val="single" w:sz="8" w:space="0" w:color="000000"/>
              <w:bottom w:val="single" w:sz="8" w:space="0" w:color="000000"/>
              <w:right w:val="single" w:sz="8" w:space="0" w:color="000000"/>
            </w:tcBorders>
            <w:shd w:val="clear" w:color="auto" w:fill="auto"/>
          </w:tcPr>
          <w:p w:rsidR="004337F1" w:rsidRPr="00335764" w:rsidRDefault="006E2BED" w:rsidP="00335764">
            <w:pPr>
              <w:pStyle w:val="NormalWeb"/>
              <w:spacing w:before="0" w:after="0"/>
              <w:jc w:val="left"/>
              <w:rPr>
                <w:rFonts w:ascii="Arial" w:hAnsi="Arial" w:cs="Arial"/>
                <w:color w:val="000000"/>
                <w:spacing w:val="6"/>
                <w:sz w:val="20"/>
                <w:szCs w:val="20"/>
                <w:lang w:val="en-ZA" w:eastAsia="en-ZA"/>
              </w:rPr>
            </w:pPr>
            <w:r w:rsidRPr="00335764">
              <w:rPr>
                <w:rFonts w:ascii="Arial" w:hAnsi="Arial" w:cs="Arial"/>
                <w:color w:val="000000"/>
                <w:spacing w:val="6"/>
                <w:sz w:val="20"/>
                <w:szCs w:val="20"/>
                <w:lang w:val="en-ZA" w:eastAsia="en-ZA"/>
              </w:rPr>
              <w:t>24 000</w:t>
            </w:r>
          </w:p>
        </w:tc>
        <w:tc>
          <w:tcPr>
            <w:tcW w:w="742"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4337F1" w:rsidRPr="00335764" w:rsidRDefault="006E2BED" w:rsidP="00335764">
            <w:pPr>
              <w:pStyle w:val="NormalWeb"/>
              <w:spacing w:before="0" w:after="0"/>
              <w:jc w:val="left"/>
              <w:rPr>
                <w:rFonts w:ascii="Arial" w:hAnsi="Arial" w:cs="Arial"/>
                <w:color w:val="000000"/>
                <w:spacing w:val="6"/>
                <w:sz w:val="20"/>
                <w:szCs w:val="20"/>
                <w:lang w:val="en-ZA" w:eastAsia="en-ZA"/>
              </w:rPr>
            </w:pPr>
            <w:r w:rsidRPr="00335764">
              <w:rPr>
                <w:rFonts w:ascii="Arial" w:hAnsi="Arial" w:cs="Arial"/>
                <w:color w:val="000000"/>
                <w:spacing w:val="6"/>
                <w:sz w:val="20"/>
                <w:szCs w:val="20"/>
                <w:lang w:val="en-ZA" w:eastAsia="en-ZA"/>
              </w:rPr>
              <w:t>48 846</w:t>
            </w:r>
          </w:p>
        </w:tc>
        <w:tc>
          <w:tcPr>
            <w:tcW w:w="641" w:type="pct"/>
            <w:tcBorders>
              <w:top w:val="single" w:sz="8" w:space="0" w:color="000000"/>
              <w:left w:val="single" w:sz="8" w:space="0" w:color="000000"/>
              <w:bottom w:val="single" w:sz="8" w:space="0" w:color="000000"/>
              <w:right w:val="single" w:sz="8" w:space="0" w:color="000000"/>
            </w:tcBorders>
            <w:shd w:val="clear" w:color="auto" w:fill="auto"/>
          </w:tcPr>
          <w:p w:rsidR="004337F1" w:rsidRPr="00335764" w:rsidRDefault="006E2BED" w:rsidP="00335764">
            <w:pPr>
              <w:pStyle w:val="NormalWeb"/>
              <w:spacing w:before="0" w:after="0"/>
              <w:jc w:val="left"/>
              <w:rPr>
                <w:rFonts w:ascii="Arial" w:hAnsi="Arial" w:cs="Arial"/>
                <w:color w:val="000000"/>
                <w:spacing w:val="6"/>
                <w:sz w:val="20"/>
                <w:szCs w:val="20"/>
                <w:lang w:val="en-ZA" w:eastAsia="en-ZA"/>
              </w:rPr>
            </w:pPr>
            <w:r w:rsidRPr="00335764">
              <w:rPr>
                <w:rFonts w:ascii="Arial" w:hAnsi="Arial" w:cs="Arial"/>
                <w:color w:val="000000"/>
                <w:spacing w:val="6"/>
                <w:sz w:val="20"/>
                <w:szCs w:val="20"/>
                <w:lang w:val="en-ZA" w:eastAsia="en-ZA"/>
              </w:rPr>
              <w:t>52 686</w:t>
            </w:r>
          </w:p>
        </w:tc>
        <w:tc>
          <w:tcPr>
            <w:tcW w:w="641" w:type="pct"/>
            <w:tcBorders>
              <w:top w:val="single" w:sz="8" w:space="0" w:color="000000"/>
              <w:left w:val="single" w:sz="8" w:space="0" w:color="000000"/>
              <w:bottom w:val="single" w:sz="8" w:space="0" w:color="000000"/>
              <w:right w:val="single" w:sz="8" w:space="0" w:color="000000"/>
            </w:tcBorders>
            <w:shd w:val="clear" w:color="auto" w:fill="auto"/>
          </w:tcPr>
          <w:p w:rsidR="004337F1" w:rsidRPr="00335764" w:rsidRDefault="006E2BED" w:rsidP="00335764">
            <w:pPr>
              <w:pStyle w:val="NormalWeb"/>
              <w:spacing w:before="0" w:after="0"/>
              <w:jc w:val="left"/>
              <w:rPr>
                <w:rFonts w:ascii="Arial" w:hAnsi="Arial" w:cs="Arial"/>
                <w:color w:val="000000"/>
                <w:spacing w:val="6"/>
                <w:sz w:val="20"/>
                <w:szCs w:val="20"/>
                <w:lang w:val="en-ZA" w:eastAsia="en-ZA"/>
              </w:rPr>
            </w:pPr>
            <w:r w:rsidRPr="00335764">
              <w:rPr>
                <w:rFonts w:ascii="Arial" w:hAnsi="Arial" w:cs="Arial"/>
                <w:color w:val="000000"/>
                <w:spacing w:val="6"/>
                <w:sz w:val="20"/>
                <w:szCs w:val="20"/>
                <w:lang w:val="en-ZA" w:eastAsia="en-ZA"/>
              </w:rPr>
              <w:t>57 167</w:t>
            </w:r>
          </w:p>
        </w:tc>
      </w:tr>
      <w:tr w:rsidR="004337F1" w:rsidRPr="00335764" w:rsidTr="00B16A2F">
        <w:trPr>
          <w:trHeight w:val="379"/>
          <w:jc w:val="center"/>
        </w:trPr>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37F1" w:rsidRPr="00335764" w:rsidRDefault="004337F1" w:rsidP="00335764">
            <w:pPr>
              <w:shd w:val="clear" w:color="auto" w:fill="FFFFFF"/>
              <w:autoSpaceDE w:val="0"/>
              <w:autoSpaceDN w:val="0"/>
              <w:adjustRightInd w:val="0"/>
              <w:spacing w:line="240" w:lineRule="auto"/>
              <w:jc w:val="left"/>
              <w:rPr>
                <w:rFonts w:cs="Arial"/>
                <w:b/>
                <w:sz w:val="20"/>
                <w:szCs w:val="20"/>
                <w:lang w:val="en-ZA" w:eastAsia="en-ZA"/>
              </w:rPr>
            </w:pPr>
            <w:r w:rsidRPr="00335764">
              <w:rPr>
                <w:rFonts w:cs="Arial"/>
                <w:b/>
                <w:sz w:val="20"/>
                <w:szCs w:val="20"/>
                <w:lang w:val="en-ZA" w:eastAsia="en-ZA"/>
              </w:rPr>
              <w:t>Total revenue</w:t>
            </w:r>
          </w:p>
        </w:tc>
        <w:tc>
          <w:tcPr>
            <w:tcW w:w="702" w:type="pct"/>
            <w:tcBorders>
              <w:top w:val="single" w:sz="8" w:space="0" w:color="000000"/>
              <w:left w:val="single" w:sz="8" w:space="0" w:color="000000"/>
              <w:bottom w:val="single" w:sz="8" w:space="0" w:color="000000"/>
              <w:right w:val="single" w:sz="8" w:space="0" w:color="000000"/>
            </w:tcBorders>
            <w:shd w:val="clear" w:color="auto" w:fill="auto"/>
          </w:tcPr>
          <w:p w:rsidR="004337F1" w:rsidRPr="00335764" w:rsidRDefault="006E2BED" w:rsidP="00335764">
            <w:pPr>
              <w:pStyle w:val="NormalWeb"/>
              <w:spacing w:before="0" w:after="0"/>
              <w:jc w:val="left"/>
              <w:rPr>
                <w:rFonts w:ascii="Arial" w:hAnsi="Arial" w:cs="Arial"/>
                <w:b/>
                <w:color w:val="000000"/>
                <w:spacing w:val="6"/>
                <w:sz w:val="20"/>
                <w:szCs w:val="20"/>
                <w:lang w:val="en-ZA" w:eastAsia="en-ZA"/>
              </w:rPr>
            </w:pPr>
            <w:r w:rsidRPr="00335764">
              <w:rPr>
                <w:rFonts w:ascii="Arial" w:hAnsi="Arial" w:cs="Arial"/>
                <w:b/>
                <w:color w:val="000000"/>
                <w:spacing w:val="6"/>
                <w:sz w:val="20"/>
                <w:szCs w:val="20"/>
                <w:lang w:val="en-ZA" w:eastAsia="en-ZA"/>
              </w:rPr>
              <w:t>871 481</w:t>
            </w:r>
          </w:p>
        </w:tc>
        <w:tc>
          <w:tcPr>
            <w:tcW w:w="742"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4337F1" w:rsidRPr="00335764" w:rsidRDefault="006E2BED" w:rsidP="00335764">
            <w:pPr>
              <w:pStyle w:val="NormalWeb"/>
              <w:spacing w:before="0" w:after="0"/>
              <w:jc w:val="left"/>
              <w:rPr>
                <w:rFonts w:ascii="Arial" w:hAnsi="Arial" w:cs="Arial"/>
                <w:b/>
                <w:color w:val="000000"/>
                <w:spacing w:val="6"/>
                <w:sz w:val="20"/>
                <w:szCs w:val="20"/>
                <w:lang w:val="en-ZA" w:eastAsia="en-ZA"/>
              </w:rPr>
            </w:pPr>
            <w:r w:rsidRPr="00335764">
              <w:rPr>
                <w:rFonts w:ascii="Arial" w:hAnsi="Arial" w:cs="Arial"/>
                <w:b/>
                <w:color w:val="000000"/>
                <w:spacing w:val="6"/>
                <w:sz w:val="20"/>
                <w:szCs w:val="20"/>
                <w:lang w:val="en-ZA" w:eastAsia="en-ZA"/>
              </w:rPr>
              <w:t>1 166 628</w:t>
            </w:r>
          </w:p>
        </w:tc>
        <w:tc>
          <w:tcPr>
            <w:tcW w:w="641" w:type="pct"/>
            <w:tcBorders>
              <w:top w:val="single" w:sz="8" w:space="0" w:color="000000"/>
              <w:left w:val="single" w:sz="8" w:space="0" w:color="000000"/>
              <w:bottom w:val="single" w:sz="8" w:space="0" w:color="000000"/>
              <w:right w:val="single" w:sz="8" w:space="0" w:color="000000"/>
            </w:tcBorders>
            <w:shd w:val="clear" w:color="auto" w:fill="auto"/>
          </w:tcPr>
          <w:p w:rsidR="004337F1" w:rsidRPr="00335764" w:rsidRDefault="006E2BED" w:rsidP="00335764">
            <w:pPr>
              <w:pStyle w:val="NormalWeb"/>
              <w:spacing w:before="0" w:after="0"/>
              <w:jc w:val="left"/>
              <w:rPr>
                <w:rFonts w:ascii="Arial" w:hAnsi="Arial" w:cs="Arial"/>
                <w:b/>
                <w:color w:val="000000"/>
                <w:spacing w:val="6"/>
                <w:sz w:val="20"/>
                <w:szCs w:val="20"/>
                <w:lang w:val="en-ZA" w:eastAsia="en-ZA"/>
              </w:rPr>
            </w:pPr>
            <w:r w:rsidRPr="00335764">
              <w:rPr>
                <w:rFonts w:ascii="Arial" w:hAnsi="Arial" w:cs="Arial"/>
                <w:b/>
                <w:color w:val="000000"/>
                <w:spacing w:val="6"/>
                <w:sz w:val="20"/>
                <w:szCs w:val="20"/>
                <w:lang w:val="en-ZA" w:eastAsia="en-ZA"/>
              </w:rPr>
              <w:t>1 329 235</w:t>
            </w:r>
          </w:p>
        </w:tc>
        <w:tc>
          <w:tcPr>
            <w:tcW w:w="641" w:type="pct"/>
            <w:tcBorders>
              <w:top w:val="single" w:sz="8" w:space="0" w:color="000000"/>
              <w:left w:val="single" w:sz="8" w:space="0" w:color="000000"/>
              <w:bottom w:val="single" w:sz="8" w:space="0" w:color="000000"/>
              <w:right w:val="single" w:sz="8" w:space="0" w:color="000000"/>
            </w:tcBorders>
            <w:shd w:val="clear" w:color="auto" w:fill="auto"/>
          </w:tcPr>
          <w:p w:rsidR="004337F1" w:rsidRPr="00335764" w:rsidRDefault="006E2BED" w:rsidP="00335764">
            <w:pPr>
              <w:pStyle w:val="NormalWeb"/>
              <w:spacing w:before="0" w:after="0"/>
              <w:jc w:val="left"/>
              <w:rPr>
                <w:rFonts w:ascii="Arial" w:hAnsi="Arial" w:cs="Arial"/>
                <w:b/>
                <w:color w:val="000000"/>
                <w:spacing w:val="6"/>
                <w:sz w:val="20"/>
                <w:szCs w:val="20"/>
                <w:lang w:val="en-ZA" w:eastAsia="en-ZA"/>
              </w:rPr>
            </w:pPr>
            <w:r w:rsidRPr="00335764">
              <w:rPr>
                <w:rFonts w:ascii="Arial" w:hAnsi="Arial" w:cs="Arial"/>
                <w:b/>
                <w:color w:val="000000"/>
                <w:spacing w:val="6"/>
                <w:sz w:val="20"/>
                <w:szCs w:val="20"/>
                <w:lang w:val="en-ZA" w:eastAsia="en-ZA"/>
              </w:rPr>
              <w:t>1 518 256</w:t>
            </w:r>
          </w:p>
        </w:tc>
      </w:tr>
    </w:tbl>
    <w:p w:rsidR="00991C86" w:rsidRPr="00335764" w:rsidRDefault="00991C86" w:rsidP="00335764">
      <w:pPr>
        <w:autoSpaceDE w:val="0"/>
        <w:autoSpaceDN w:val="0"/>
        <w:adjustRightInd w:val="0"/>
        <w:spacing w:line="240" w:lineRule="auto"/>
        <w:jc w:val="left"/>
        <w:rPr>
          <w:rFonts w:cs="Arial"/>
          <w:sz w:val="20"/>
          <w:szCs w:val="20"/>
        </w:rPr>
      </w:pPr>
    </w:p>
    <w:p w:rsidR="00A74C93" w:rsidRPr="00335764" w:rsidRDefault="002B1CA8" w:rsidP="00335764">
      <w:pPr>
        <w:pStyle w:val="ListParagraph"/>
        <w:numPr>
          <w:ilvl w:val="1"/>
          <w:numId w:val="1"/>
        </w:numPr>
        <w:spacing w:line="240" w:lineRule="auto"/>
        <w:ind w:left="851" w:hanging="851"/>
        <w:jc w:val="left"/>
        <w:rPr>
          <w:rFonts w:cs="Arial"/>
          <w:sz w:val="20"/>
          <w:szCs w:val="20"/>
        </w:rPr>
      </w:pPr>
      <w:r w:rsidRPr="00335764">
        <w:rPr>
          <w:rFonts w:cs="Arial"/>
          <w:sz w:val="20"/>
          <w:szCs w:val="20"/>
        </w:rPr>
        <w:t xml:space="preserve">The </w:t>
      </w:r>
      <w:r w:rsidR="006E2BED" w:rsidRPr="00335764">
        <w:rPr>
          <w:rFonts w:cs="Arial"/>
          <w:sz w:val="20"/>
          <w:szCs w:val="20"/>
        </w:rPr>
        <w:t xml:space="preserve">SIU’s </w:t>
      </w:r>
      <w:r w:rsidRPr="00335764">
        <w:rPr>
          <w:rFonts w:cs="Arial"/>
          <w:sz w:val="20"/>
          <w:szCs w:val="20"/>
        </w:rPr>
        <w:t>key cost driver is compensation of employees</w:t>
      </w:r>
      <w:r w:rsidR="006E2BED" w:rsidRPr="00335764">
        <w:rPr>
          <w:rFonts w:cs="Arial"/>
          <w:sz w:val="20"/>
          <w:szCs w:val="20"/>
        </w:rPr>
        <w:t xml:space="preserve">, which is allocated </w:t>
      </w:r>
      <w:r w:rsidRPr="00335764">
        <w:rPr>
          <w:rFonts w:cs="Arial"/>
          <w:sz w:val="20"/>
          <w:szCs w:val="20"/>
        </w:rPr>
        <w:t xml:space="preserve">R815.9 million (69% of the total budget allocation). </w:t>
      </w:r>
      <w:r w:rsidR="00A74C93" w:rsidRPr="00335764">
        <w:rPr>
          <w:rFonts w:cs="Arial"/>
          <w:sz w:val="20"/>
          <w:szCs w:val="20"/>
        </w:rPr>
        <w:t>The SIU intends to increase its number of personnel to 800 in 2023/24.</w:t>
      </w:r>
    </w:p>
    <w:p w:rsidR="006E2BED" w:rsidRPr="00335764" w:rsidRDefault="006E2BED" w:rsidP="00335764">
      <w:pPr>
        <w:pStyle w:val="ListParagraph"/>
        <w:spacing w:line="240" w:lineRule="auto"/>
        <w:ind w:left="851"/>
        <w:jc w:val="left"/>
        <w:rPr>
          <w:rFonts w:cs="Arial"/>
          <w:sz w:val="20"/>
          <w:szCs w:val="20"/>
        </w:rPr>
      </w:pPr>
    </w:p>
    <w:p w:rsidR="00033FBF" w:rsidRPr="00335764" w:rsidRDefault="006E2BED" w:rsidP="00335764">
      <w:pPr>
        <w:pStyle w:val="ListParagraph"/>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 xml:space="preserve">Personnel. As </w:t>
      </w:r>
      <w:r w:rsidR="00261D2C" w:rsidRPr="00335764">
        <w:rPr>
          <w:rFonts w:cs="Arial"/>
          <w:sz w:val="20"/>
          <w:szCs w:val="20"/>
        </w:rPr>
        <w:t>of</w:t>
      </w:r>
      <w:r w:rsidRPr="00335764">
        <w:rPr>
          <w:rFonts w:cs="Arial"/>
          <w:sz w:val="20"/>
          <w:szCs w:val="20"/>
        </w:rPr>
        <w:t xml:space="preserve"> 31 March 2023, the SIU had a headcount of </w:t>
      </w:r>
      <w:r w:rsidR="00A74C93" w:rsidRPr="00335764">
        <w:rPr>
          <w:rFonts w:cs="Arial"/>
          <w:sz w:val="20"/>
          <w:szCs w:val="20"/>
        </w:rPr>
        <w:t>601</w:t>
      </w:r>
      <w:r w:rsidRPr="00335764">
        <w:rPr>
          <w:rFonts w:cs="Arial"/>
          <w:sz w:val="20"/>
          <w:szCs w:val="20"/>
        </w:rPr>
        <w:t xml:space="preserve"> employees, </w:t>
      </w:r>
      <w:r w:rsidR="00A74C93" w:rsidRPr="00335764">
        <w:rPr>
          <w:rFonts w:cs="Arial"/>
          <w:sz w:val="20"/>
          <w:szCs w:val="20"/>
        </w:rPr>
        <w:t xml:space="preserve">with a vacancy rate of 7.5%. </w:t>
      </w:r>
    </w:p>
    <w:p w:rsidR="00033FBF" w:rsidRPr="00335764" w:rsidRDefault="00033FBF" w:rsidP="00335764">
      <w:pPr>
        <w:autoSpaceDE w:val="0"/>
        <w:autoSpaceDN w:val="0"/>
        <w:adjustRightInd w:val="0"/>
        <w:spacing w:line="240" w:lineRule="auto"/>
        <w:jc w:val="left"/>
        <w:rPr>
          <w:rFonts w:cs="Arial"/>
          <w:sz w:val="20"/>
          <w:szCs w:val="20"/>
        </w:rPr>
      </w:pPr>
    </w:p>
    <w:p w:rsidR="00B37321" w:rsidRPr="00335764" w:rsidRDefault="00B37321" w:rsidP="00335764">
      <w:pPr>
        <w:numPr>
          <w:ilvl w:val="0"/>
          <w:numId w:val="1"/>
        </w:numPr>
        <w:tabs>
          <w:tab w:val="clear" w:pos="375"/>
        </w:tabs>
        <w:spacing w:line="240" w:lineRule="auto"/>
        <w:ind w:left="851" w:hanging="851"/>
        <w:jc w:val="left"/>
        <w:rPr>
          <w:rFonts w:cs="Arial"/>
          <w:b/>
          <w:sz w:val="20"/>
          <w:szCs w:val="20"/>
        </w:rPr>
      </w:pPr>
      <w:r w:rsidRPr="00335764">
        <w:rPr>
          <w:rFonts w:cs="Arial"/>
          <w:b/>
          <w:sz w:val="20"/>
          <w:szCs w:val="20"/>
        </w:rPr>
        <w:t xml:space="preserve">Public Protector </w:t>
      </w:r>
      <w:r w:rsidR="001761BE" w:rsidRPr="00335764">
        <w:rPr>
          <w:rFonts w:cs="Arial"/>
          <w:b/>
          <w:sz w:val="20"/>
          <w:szCs w:val="20"/>
        </w:rPr>
        <w:t>SA</w:t>
      </w:r>
    </w:p>
    <w:p w:rsidR="00B37321" w:rsidRPr="00335764" w:rsidRDefault="00B37321" w:rsidP="00335764">
      <w:pPr>
        <w:autoSpaceDE w:val="0"/>
        <w:autoSpaceDN w:val="0"/>
        <w:adjustRightInd w:val="0"/>
        <w:spacing w:line="240" w:lineRule="auto"/>
        <w:jc w:val="left"/>
        <w:rPr>
          <w:rFonts w:cs="Arial"/>
          <w:b/>
          <w:sz w:val="20"/>
          <w:szCs w:val="20"/>
        </w:rPr>
      </w:pPr>
    </w:p>
    <w:p w:rsidR="00B37321" w:rsidRPr="00335764" w:rsidRDefault="00B37321" w:rsidP="00335764">
      <w:pPr>
        <w:pStyle w:val="ListParagraph"/>
        <w:numPr>
          <w:ilvl w:val="1"/>
          <w:numId w:val="1"/>
        </w:numPr>
        <w:spacing w:line="240" w:lineRule="auto"/>
        <w:ind w:left="851" w:hanging="851"/>
        <w:jc w:val="left"/>
        <w:rPr>
          <w:rFonts w:cs="Arial"/>
          <w:sz w:val="20"/>
          <w:szCs w:val="20"/>
        </w:rPr>
      </w:pPr>
      <w:r w:rsidRPr="00335764">
        <w:rPr>
          <w:rFonts w:eastAsia="Calibri" w:cs="Arial"/>
          <w:spacing w:val="0"/>
          <w:sz w:val="20"/>
          <w:szCs w:val="20"/>
        </w:rPr>
        <w:t>The</w:t>
      </w:r>
      <w:r w:rsidRPr="00335764">
        <w:rPr>
          <w:rFonts w:cs="Arial"/>
          <w:bCs/>
          <w:sz w:val="20"/>
          <w:szCs w:val="20"/>
        </w:rPr>
        <w:t xml:space="preserve"> Public Protector </w:t>
      </w:r>
      <w:r w:rsidR="001761BE" w:rsidRPr="00335764">
        <w:rPr>
          <w:rFonts w:cs="Arial"/>
          <w:bCs/>
          <w:sz w:val="20"/>
          <w:szCs w:val="20"/>
        </w:rPr>
        <w:t xml:space="preserve">SA </w:t>
      </w:r>
      <w:r w:rsidR="00BB052E" w:rsidRPr="00335764">
        <w:rPr>
          <w:rFonts w:cs="Arial"/>
          <w:sz w:val="20"/>
          <w:szCs w:val="20"/>
        </w:rPr>
        <w:t xml:space="preserve">is an </w:t>
      </w:r>
      <w:r w:rsidR="00BB052E" w:rsidRPr="00335764">
        <w:rPr>
          <w:rFonts w:cs="Arial"/>
          <w:bCs/>
          <w:sz w:val="20"/>
          <w:szCs w:val="20"/>
        </w:rPr>
        <w:t xml:space="preserve">independent </w:t>
      </w:r>
      <w:r w:rsidR="00837141" w:rsidRPr="00335764">
        <w:rPr>
          <w:rFonts w:cs="Arial"/>
          <w:bCs/>
          <w:sz w:val="20"/>
          <w:szCs w:val="20"/>
        </w:rPr>
        <w:t>c</w:t>
      </w:r>
      <w:r w:rsidRPr="00335764">
        <w:rPr>
          <w:rFonts w:cs="Arial"/>
          <w:bCs/>
          <w:sz w:val="20"/>
          <w:szCs w:val="20"/>
        </w:rPr>
        <w:t>onstitutional institution whose</w:t>
      </w:r>
      <w:r w:rsidR="00BB052E" w:rsidRPr="00335764">
        <w:rPr>
          <w:rFonts w:cs="Arial"/>
          <w:bCs/>
          <w:sz w:val="20"/>
          <w:szCs w:val="20"/>
        </w:rPr>
        <w:t xml:space="preserve"> mandate</w:t>
      </w:r>
      <w:r w:rsidR="002A044D" w:rsidRPr="00335764">
        <w:rPr>
          <w:rFonts w:cs="Arial"/>
          <w:sz w:val="20"/>
          <w:szCs w:val="20"/>
        </w:rPr>
        <w:t>, broadly,</w:t>
      </w:r>
      <w:r w:rsidR="00BB052E" w:rsidRPr="00335764">
        <w:rPr>
          <w:rFonts w:cs="Arial"/>
          <w:sz w:val="20"/>
          <w:szCs w:val="20"/>
        </w:rPr>
        <w:t xml:space="preserve"> </w:t>
      </w:r>
      <w:r w:rsidR="009F5A5A" w:rsidRPr="00335764">
        <w:rPr>
          <w:rFonts w:cs="Arial"/>
          <w:sz w:val="20"/>
          <w:szCs w:val="20"/>
        </w:rPr>
        <w:t xml:space="preserve">is </w:t>
      </w:r>
      <w:r w:rsidR="00BB052E" w:rsidRPr="00335764">
        <w:rPr>
          <w:rFonts w:cs="Arial"/>
          <w:sz w:val="20"/>
          <w:szCs w:val="20"/>
        </w:rPr>
        <w:t>to suppor</w:t>
      </w:r>
      <w:r w:rsidRPr="00335764">
        <w:rPr>
          <w:rFonts w:cs="Arial"/>
          <w:sz w:val="20"/>
          <w:szCs w:val="20"/>
        </w:rPr>
        <w:t xml:space="preserve">t and strengthen constitutional </w:t>
      </w:r>
      <w:r w:rsidR="00BB052E" w:rsidRPr="00335764">
        <w:rPr>
          <w:rFonts w:cs="Arial"/>
          <w:sz w:val="20"/>
          <w:szCs w:val="20"/>
        </w:rPr>
        <w:t>democracy by investigating maladministration or improper conduct in state affairs</w:t>
      </w:r>
      <w:r w:rsidR="00573AB6" w:rsidRPr="00335764">
        <w:rPr>
          <w:rFonts w:cs="Arial"/>
          <w:sz w:val="20"/>
          <w:szCs w:val="20"/>
        </w:rPr>
        <w:t xml:space="preserve"> or the public administration in any sphere of government and to take appropriate remedial action</w:t>
      </w:r>
      <w:r w:rsidR="00BB052E" w:rsidRPr="00335764">
        <w:rPr>
          <w:rFonts w:cs="Arial"/>
          <w:sz w:val="20"/>
          <w:szCs w:val="20"/>
        </w:rPr>
        <w:t>.</w:t>
      </w:r>
      <w:r w:rsidR="00573AB6" w:rsidRPr="00335764">
        <w:rPr>
          <w:rFonts w:cs="Arial"/>
          <w:sz w:val="20"/>
          <w:szCs w:val="20"/>
        </w:rPr>
        <w:t xml:space="preserve"> The Constitution also states that the Public Protector must be accessible to all persons and communities.</w:t>
      </w:r>
    </w:p>
    <w:p w:rsidR="00B37321" w:rsidRPr="00335764" w:rsidRDefault="00B37321" w:rsidP="00335764">
      <w:pPr>
        <w:autoSpaceDE w:val="0"/>
        <w:autoSpaceDN w:val="0"/>
        <w:adjustRightInd w:val="0"/>
        <w:spacing w:line="240" w:lineRule="auto"/>
        <w:ind w:left="720"/>
        <w:jc w:val="left"/>
        <w:rPr>
          <w:rFonts w:cs="Arial"/>
          <w:sz w:val="20"/>
          <w:szCs w:val="20"/>
        </w:rPr>
      </w:pPr>
    </w:p>
    <w:p w:rsidR="008C18A0" w:rsidRPr="00335764" w:rsidRDefault="00670E30" w:rsidP="00335764">
      <w:pPr>
        <w:autoSpaceDE w:val="0"/>
        <w:autoSpaceDN w:val="0"/>
        <w:adjustRightInd w:val="0"/>
        <w:spacing w:line="240" w:lineRule="auto"/>
        <w:jc w:val="left"/>
        <w:rPr>
          <w:rFonts w:cs="Arial"/>
          <w:i/>
          <w:color w:val="auto"/>
          <w:sz w:val="20"/>
          <w:szCs w:val="20"/>
        </w:rPr>
      </w:pPr>
      <w:r w:rsidRPr="00335764">
        <w:rPr>
          <w:rFonts w:cs="Arial"/>
          <w:i/>
          <w:color w:val="auto"/>
          <w:sz w:val="20"/>
          <w:szCs w:val="20"/>
        </w:rPr>
        <w:t>Performance planning</w:t>
      </w:r>
    </w:p>
    <w:p w:rsidR="008C18A0" w:rsidRPr="00335764" w:rsidRDefault="008C18A0" w:rsidP="00335764">
      <w:pPr>
        <w:autoSpaceDE w:val="0"/>
        <w:autoSpaceDN w:val="0"/>
        <w:adjustRightInd w:val="0"/>
        <w:spacing w:line="240" w:lineRule="auto"/>
        <w:jc w:val="left"/>
        <w:rPr>
          <w:rFonts w:cs="Arial"/>
          <w:i/>
          <w:color w:val="auto"/>
          <w:sz w:val="20"/>
          <w:szCs w:val="20"/>
        </w:rPr>
      </w:pPr>
    </w:p>
    <w:p w:rsidR="00F31A6E" w:rsidRPr="00335764" w:rsidRDefault="008C18A0" w:rsidP="00335764">
      <w:pPr>
        <w:pStyle w:val="ListParagraph"/>
        <w:numPr>
          <w:ilvl w:val="1"/>
          <w:numId w:val="1"/>
        </w:numPr>
        <w:spacing w:line="240" w:lineRule="auto"/>
        <w:ind w:left="851" w:hanging="851"/>
        <w:jc w:val="left"/>
        <w:rPr>
          <w:rFonts w:cs="Arial"/>
          <w:color w:val="auto"/>
          <w:sz w:val="20"/>
          <w:szCs w:val="20"/>
          <w:lang w:val="en-ZA"/>
        </w:rPr>
      </w:pPr>
      <w:r w:rsidRPr="00335764">
        <w:rPr>
          <w:rFonts w:cs="Arial"/>
          <w:color w:val="auto"/>
          <w:sz w:val="20"/>
          <w:szCs w:val="20"/>
          <w:lang w:val="en-US"/>
        </w:rPr>
        <w:t>The PPSA has the following impact statement: ‘</w:t>
      </w:r>
      <w:r w:rsidR="00F31A6E" w:rsidRPr="00335764">
        <w:rPr>
          <w:rFonts w:cs="Arial"/>
          <w:color w:val="auto"/>
          <w:sz w:val="20"/>
          <w:szCs w:val="20"/>
          <w:lang w:val="en-US"/>
        </w:rPr>
        <w:t>Empower everyone at all levels of society to effectively engage organs of state about any injustice, service delivery failure or improper conduct and assist organs of state to establish and maintain efficient and effectiv</w:t>
      </w:r>
      <w:r w:rsidRPr="00335764">
        <w:rPr>
          <w:rFonts w:cs="Arial"/>
          <w:color w:val="auto"/>
          <w:sz w:val="20"/>
          <w:szCs w:val="20"/>
          <w:lang w:val="en-US"/>
        </w:rPr>
        <w:t>e governance and administration’.</w:t>
      </w:r>
    </w:p>
    <w:p w:rsidR="008C18A0" w:rsidRPr="00335764" w:rsidRDefault="008C18A0" w:rsidP="00335764">
      <w:pPr>
        <w:pStyle w:val="ListParagraph"/>
        <w:spacing w:line="240" w:lineRule="auto"/>
        <w:ind w:left="851"/>
        <w:jc w:val="left"/>
        <w:rPr>
          <w:rFonts w:cs="Arial"/>
          <w:color w:val="auto"/>
          <w:sz w:val="20"/>
          <w:szCs w:val="20"/>
          <w:lang w:val="en-ZA"/>
        </w:rPr>
      </w:pPr>
    </w:p>
    <w:p w:rsidR="008C18A0" w:rsidRPr="00335764" w:rsidRDefault="008C18A0" w:rsidP="00335764">
      <w:pPr>
        <w:pStyle w:val="ListParagraph"/>
        <w:numPr>
          <w:ilvl w:val="1"/>
          <w:numId w:val="1"/>
        </w:numPr>
        <w:spacing w:line="240" w:lineRule="auto"/>
        <w:ind w:left="851" w:hanging="851"/>
        <w:jc w:val="left"/>
        <w:rPr>
          <w:rFonts w:cs="Arial"/>
          <w:color w:val="auto"/>
          <w:sz w:val="20"/>
          <w:szCs w:val="20"/>
          <w:lang w:val="en-ZA"/>
        </w:rPr>
      </w:pPr>
      <w:r w:rsidRPr="00335764">
        <w:rPr>
          <w:rFonts w:cs="Arial"/>
          <w:color w:val="auto"/>
          <w:sz w:val="20"/>
          <w:szCs w:val="20"/>
          <w:lang w:val="en-US"/>
        </w:rPr>
        <w:t xml:space="preserve">The PPSA has identified the following as its intended outcomes: </w:t>
      </w:r>
    </w:p>
    <w:p w:rsidR="00572BA8" w:rsidRPr="00335764" w:rsidRDefault="00572BA8"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Clean audit achieved and maintained.</w:t>
      </w:r>
    </w:p>
    <w:p w:rsidR="00572BA8" w:rsidRPr="00335764" w:rsidRDefault="00572BA8"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Implementation of ICT systems to optimally support business objectives.</w:t>
      </w:r>
    </w:p>
    <w:p w:rsidR="00572BA8" w:rsidRPr="00335764" w:rsidRDefault="00572BA8"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Maintenance of the Business Continuity Plan.</w:t>
      </w:r>
    </w:p>
    <w:p w:rsidR="00572BA8" w:rsidRPr="00335764" w:rsidRDefault="00572BA8"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Resolution of complaints.</w:t>
      </w:r>
    </w:p>
    <w:p w:rsidR="00572BA8" w:rsidRPr="00335764" w:rsidRDefault="00572BA8"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Accessible PPSA services.</w:t>
      </w:r>
    </w:p>
    <w:p w:rsidR="008C18A0" w:rsidRPr="00335764" w:rsidRDefault="008C18A0" w:rsidP="00335764">
      <w:pPr>
        <w:pStyle w:val="ListParagraph"/>
        <w:spacing w:line="240" w:lineRule="auto"/>
        <w:ind w:left="851"/>
        <w:jc w:val="left"/>
        <w:rPr>
          <w:rFonts w:cs="Arial"/>
          <w:color w:val="auto"/>
          <w:sz w:val="20"/>
          <w:szCs w:val="20"/>
          <w:lang w:val="en-ZA"/>
        </w:rPr>
      </w:pPr>
    </w:p>
    <w:p w:rsidR="009C2808" w:rsidRPr="00335764" w:rsidRDefault="009C2808" w:rsidP="00335764">
      <w:pPr>
        <w:pStyle w:val="ListParagraph"/>
        <w:numPr>
          <w:ilvl w:val="1"/>
          <w:numId w:val="1"/>
        </w:numPr>
        <w:spacing w:line="240" w:lineRule="auto"/>
        <w:ind w:left="851" w:hanging="851"/>
        <w:jc w:val="left"/>
        <w:rPr>
          <w:rFonts w:cs="Arial"/>
          <w:color w:val="auto"/>
          <w:sz w:val="20"/>
          <w:szCs w:val="20"/>
        </w:rPr>
      </w:pPr>
      <w:r w:rsidRPr="00335764">
        <w:rPr>
          <w:rFonts w:cs="Arial"/>
          <w:color w:val="auto"/>
          <w:sz w:val="20"/>
          <w:szCs w:val="20"/>
        </w:rPr>
        <w:t>The PPSA continues to have three programmes:</w:t>
      </w:r>
      <w:r w:rsidR="00670E30" w:rsidRPr="00335764">
        <w:rPr>
          <w:rFonts w:cs="Arial"/>
          <w:color w:val="auto"/>
          <w:sz w:val="20"/>
          <w:szCs w:val="20"/>
        </w:rPr>
        <w:t xml:space="preserve"> Administration, Investigations and Stakeholder Engagement</w:t>
      </w:r>
      <w:r w:rsidR="008C18A0" w:rsidRPr="00335764">
        <w:rPr>
          <w:rFonts w:cs="Arial"/>
          <w:color w:val="auto"/>
          <w:sz w:val="20"/>
          <w:szCs w:val="20"/>
        </w:rPr>
        <w:t>.</w:t>
      </w:r>
    </w:p>
    <w:p w:rsidR="009B330F" w:rsidRPr="00335764" w:rsidRDefault="009B330F" w:rsidP="00335764">
      <w:pPr>
        <w:shd w:val="clear" w:color="auto" w:fill="FFFFFF"/>
        <w:autoSpaceDE w:val="0"/>
        <w:autoSpaceDN w:val="0"/>
        <w:adjustRightInd w:val="0"/>
        <w:spacing w:line="240" w:lineRule="auto"/>
        <w:ind w:left="720"/>
        <w:jc w:val="left"/>
        <w:rPr>
          <w:rFonts w:cs="Arial"/>
          <w:color w:val="auto"/>
          <w:sz w:val="20"/>
          <w:szCs w:val="20"/>
        </w:rPr>
      </w:pPr>
    </w:p>
    <w:p w:rsidR="00572BA8" w:rsidRPr="00335764" w:rsidRDefault="009C2808" w:rsidP="00335764">
      <w:pPr>
        <w:pStyle w:val="ListParagraph"/>
        <w:numPr>
          <w:ilvl w:val="1"/>
          <w:numId w:val="1"/>
        </w:numPr>
        <w:spacing w:line="240" w:lineRule="auto"/>
        <w:ind w:left="851" w:hanging="851"/>
        <w:jc w:val="left"/>
        <w:rPr>
          <w:rFonts w:cs="Arial"/>
          <w:color w:val="auto"/>
          <w:sz w:val="20"/>
          <w:szCs w:val="20"/>
        </w:rPr>
      </w:pPr>
      <w:r w:rsidRPr="00335764">
        <w:rPr>
          <w:rFonts w:cs="Arial"/>
          <w:color w:val="auto"/>
          <w:sz w:val="20"/>
          <w:szCs w:val="20"/>
        </w:rPr>
        <w:t xml:space="preserve">Administration: The programme </w:t>
      </w:r>
      <w:r w:rsidR="00572BA8" w:rsidRPr="00335764">
        <w:rPr>
          <w:rFonts w:cs="Arial"/>
          <w:color w:val="auto"/>
          <w:sz w:val="20"/>
          <w:szCs w:val="20"/>
        </w:rPr>
        <w:t>has identified four indicators:</w:t>
      </w:r>
      <w:r w:rsidRPr="00335764">
        <w:rPr>
          <w:rFonts w:cs="Arial"/>
          <w:color w:val="auto"/>
          <w:sz w:val="20"/>
          <w:szCs w:val="20"/>
        </w:rPr>
        <w:t xml:space="preserve"> </w:t>
      </w:r>
      <w:r w:rsidR="00B66152" w:rsidRPr="00335764">
        <w:rPr>
          <w:rFonts w:cs="Arial"/>
          <w:color w:val="auto"/>
          <w:sz w:val="20"/>
          <w:szCs w:val="20"/>
        </w:rPr>
        <w:t>‘A clean audit achieved annually’; ‘Implementation of ICT infrastructure’</w:t>
      </w:r>
      <w:r w:rsidR="00572BA8" w:rsidRPr="00335764">
        <w:rPr>
          <w:rFonts w:cs="Arial"/>
          <w:color w:val="auto"/>
          <w:sz w:val="20"/>
          <w:szCs w:val="20"/>
        </w:rPr>
        <w:t>; ‘Development of the ICT system’; and ‘Number of business continuity plan monitoring reports finalised’.</w:t>
      </w:r>
    </w:p>
    <w:p w:rsidR="00572BA8" w:rsidRPr="00335764" w:rsidRDefault="00572BA8"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 xml:space="preserve">The indicator ‘Development of ICT system’ is new, providing for the development of the ERP system by 2023/24 and implementation in 2024/25. This will ensure automated Finance, SCM and HRM business processes, with a view to managing all daily functions, and be able to produce accurate real time tracking, </w:t>
      </w:r>
      <w:r w:rsidR="001E3C09" w:rsidRPr="00335764">
        <w:rPr>
          <w:rFonts w:cs="Arial"/>
          <w:color w:val="auto"/>
          <w:sz w:val="20"/>
          <w:szCs w:val="20"/>
        </w:rPr>
        <w:t>tracking</w:t>
      </w:r>
      <w:r w:rsidRPr="00335764">
        <w:rPr>
          <w:rFonts w:cs="Arial"/>
          <w:color w:val="auto"/>
          <w:sz w:val="20"/>
          <w:szCs w:val="20"/>
        </w:rPr>
        <w:t xml:space="preserve"> and reporting.</w:t>
      </w:r>
    </w:p>
    <w:p w:rsidR="00572BA8" w:rsidRPr="00335764" w:rsidRDefault="00572BA8"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The other new indicator is ‘Number of Business Continuity Plan Monitoring Reports finalised’. The PPSA intends to monitor the implementation of the Business Continuity Plans quarterly to ensure that, should there be a disaster, PPSA services will continue with minim</w:t>
      </w:r>
      <w:r w:rsidR="004772EB" w:rsidRPr="00335764">
        <w:rPr>
          <w:rFonts w:cs="Arial"/>
          <w:color w:val="auto"/>
          <w:sz w:val="20"/>
          <w:szCs w:val="20"/>
        </w:rPr>
        <w:t>al</w:t>
      </w:r>
      <w:r w:rsidRPr="00335764">
        <w:rPr>
          <w:rFonts w:cs="Arial"/>
          <w:color w:val="auto"/>
          <w:sz w:val="20"/>
          <w:szCs w:val="20"/>
        </w:rPr>
        <w:t xml:space="preserve"> disruption. </w:t>
      </w:r>
    </w:p>
    <w:p w:rsidR="009B330F" w:rsidRPr="00335764" w:rsidRDefault="009B330F" w:rsidP="00335764">
      <w:pPr>
        <w:pStyle w:val="ListParagraph"/>
        <w:autoSpaceDE w:val="0"/>
        <w:autoSpaceDN w:val="0"/>
        <w:adjustRightInd w:val="0"/>
        <w:spacing w:line="240" w:lineRule="auto"/>
        <w:ind w:left="862"/>
        <w:jc w:val="left"/>
        <w:rPr>
          <w:rFonts w:cs="Arial"/>
          <w:color w:val="auto"/>
          <w:sz w:val="20"/>
          <w:szCs w:val="20"/>
        </w:rPr>
      </w:pPr>
    </w:p>
    <w:p w:rsidR="004772EB" w:rsidRPr="00335764" w:rsidRDefault="00C5501B" w:rsidP="00335764">
      <w:pPr>
        <w:pStyle w:val="ListParagraph"/>
        <w:numPr>
          <w:ilvl w:val="1"/>
          <w:numId w:val="1"/>
        </w:numPr>
        <w:spacing w:line="240" w:lineRule="auto"/>
        <w:ind w:left="851" w:hanging="851"/>
        <w:jc w:val="left"/>
        <w:rPr>
          <w:rFonts w:cs="Arial"/>
          <w:color w:val="auto"/>
          <w:sz w:val="20"/>
          <w:szCs w:val="20"/>
          <w:lang w:val="en-ZA"/>
        </w:rPr>
      </w:pPr>
      <w:r w:rsidRPr="00335764">
        <w:rPr>
          <w:rFonts w:cs="Arial"/>
          <w:color w:val="auto"/>
          <w:sz w:val="20"/>
          <w:szCs w:val="20"/>
        </w:rPr>
        <w:lastRenderedPageBreak/>
        <w:t xml:space="preserve">Investigations: The programme </w:t>
      </w:r>
      <w:r w:rsidR="004772EB" w:rsidRPr="00335764">
        <w:rPr>
          <w:rFonts w:cs="Arial"/>
          <w:color w:val="auto"/>
          <w:sz w:val="20"/>
          <w:szCs w:val="20"/>
        </w:rPr>
        <w:t xml:space="preserve">four indicators: ‘Number of cases finalised through investigation’; ‘Number of cases finalised by means of advice given and or assistance rendered’; </w:t>
      </w:r>
      <w:r w:rsidR="00770C78" w:rsidRPr="00335764">
        <w:rPr>
          <w:rFonts w:cs="Arial"/>
          <w:color w:val="auto"/>
          <w:sz w:val="20"/>
          <w:szCs w:val="20"/>
        </w:rPr>
        <w:t>‘</w:t>
      </w:r>
      <w:r w:rsidR="004772EB" w:rsidRPr="00335764">
        <w:rPr>
          <w:rFonts w:cs="Arial"/>
          <w:bCs/>
          <w:color w:val="auto"/>
          <w:sz w:val="20"/>
          <w:szCs w:val="20"/>
          <w:lang w:val="en-US"/>
        </w:rPr>
        <w:t>Percentage of adherence to turnaround times in finalisation of cases’; and ‘</w:t>
      </w:r>
      <w:r w:rsidR="004772EB" w:rsidRPr="00335764">
        <w:rPr>
          <w:rFonts w:cs="Arial"/>
          <w:color w:val="auto"/>
          <w:sz w:val="20"/>
          <w:szCs w:val="20"/>
          <w:lang w:val="en-US"/>
        </w:rPr>
        <w:t>Number of systemic investigations/ interventions finalised’.</w:t>
      </w:r>
    </w:p>
    <w:p w:rsidR="003B0D54" w:rsidRPr="00335764" w:rsidRDefault="003B0D54" w:rsidP="00335764">
      <w:pPr>
        <w:pStyle w:val="ListParagraph"/>
        <w:spacing w:line="240" w:lineRule="auto"/>
        <w:jc w:val="left"/>
        <w:rPr>
          <w:rFonts w:cs="Arial"/>
          <w:color w:val="auto"/>
          <w:sz w:val="20"/>
          <w:szCs w:val="20"/>
        </w:rPr>
      </w:pP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256"/>
        <w:gridCol w:w="5760"/>
      </w:tblGrid>
      <w:tr w:rsidR="003B0D54" w:rsidRPr="00335764" w:rsidTr="00BA5985">
        <w:trPr>
          <w:cnfStyle w:val="100000000000"/>
          <w:trHeight w:val="610"/>
          <w:tblHeader/>
        </w:trPr>
        <w:tc>
          <w:tcPr>
            <w:cnfStyle w:val="001000000000"/>
            <w:tcW w:w="325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3B0D54" w:rsidRPr="00335764" w:rsidRDefault="003B0D54" w:rsidP="00335764">
            <w:pPr>
              <w:spacing w:line="240" w:lineRule="auto"/>
              <w:jc w:val="left"/>
              <w:rPr>
                <w:rFonts w:cs="Arial"/>
                <w:sz w:val="20"/>
                <w:szCs w:val="20"/>
              </w:rPr>
            </w:pPr>
            <w:r w:rsidRPr="00335764">
              <w:rPr>
                <w:rFonts w:cs="Arial"/>
                <w:sz w:val="20"/>
                <w:szCs w:val="20"/>
              </w:rPr>
              <w:t>OUTPUT INDICATOR</w:t>
            </w:r>
          </w:p>
        </w:tc>
        <w:tc>
          <w:tcPr>
            <w:tcW w:w="576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3B0D54" w:rsidRPr="00335764" w:rsidRDefault="003B0D54" w:rsidP="00335764">
            <w:pPr>
              <w:spacing w:line="240" w:lineRule="auto"/>
              <w:jc w:val="left"/>
              <w:cnfStyle w:val="100000000000"/>
              <w:rPr>
                <w:rFonts w:cs="Arial"/>
                <w:sz w:val="20"/>
                <w:szCs w:val="20"/>
              </w:rPr>
            </w:pPr>
            <w:r w:rsidRPr="00335764">
              <w:rPr>
                <w:rFonts w:cs="Arial"/>
                <w:sz w:val="20"/>
                <w:szCs w:val="20"/>
              </w:rPr>
              <w:t>202</w:t>
            </w:r>
            <w:r w:rsidR="00770C78" w:rsidRPr="00335764">
              <w:rPr>
                <w:rFonts w:cs="Arial"/>
                <w:sz w:val="20"/>
                <w:szCs w:val="20"/>
              </w:rPr>
              <w:t>3/24</w:t>
            </w:r>
            <w:r w:rsidRPr="00335764">
              <w:rPr>
                <w:rFonts w:cs="Arial"/>
                <w:sz w:val="20"/>
                <w:szCs w:val="20"/>
              </w:rPr>
              <w:t xml:space="preserve"> APP</w:t>
            </w:r>
          </w:p>
          <w:p w:rsidR="003B0D54" w:rsidRPr="00335764" w:rsidRDefault="003B0D54" w:rsidP="00335764">
            <w:pPr>
              <w:spacing w:line="240" w:lineRule="auto"/>
              <w:jc w:val="left"/>
              <w:cnfStyle w:val="100000000000"/>
              <w:rPr>
                <w:rFonts w:cs="Arial"/>
                <w:sz w:val="20"/>
                <w:szCs w:val="20"/>
              </w:rPr>
            </w:pPr>
            <w:r w:rsidRPr="00335764">
              <w:rPr>
                <w:rFonts w:cs="Arial"/>
                <w:sz w:val="20"/>
                <w:szCs w:val="20"/>
              </w:rPr>
              <w:t>TARGETS</w:t>
            </w:r>
          </w:p>
        </w:tc>
      </w:tr>
      <w:tr w:rsidR="004772EB" w:rsidRPr="00335764" w:rsidTr="003B0D54">
        <w:trPr>
          <w:cnfStyle w:val="000000100000"/>
        </w:trPr>
        <w:tc>
          <w:tcPr>
            <w:cnfStyle w:val="001000000000"/>
            <w:tcW w:w="3256" w:type="dxa"/>
            <w:shd w:val="clear" w:color="auto" w:fill="FFFFFF" w:themeFill="background1"/>
          </w:tcPr>
          <w:p w:rsidR="004772EB" w:rsidRPr="00335764" w:rsidRDefault="00776D40" w:rsidP="00335764">
            <w:pPr>
              <w:spacing w:line="240" w:lineRule="auto"/>
              <w:jc w:val="left"/>
              <w:rPr>
                <w:rFonts w:cs="Arial"/>
                <w:b w:val="0"/>
                <w:sz w:val="20"/>
                <w:szCs w:val="20"/>
              </w:rPr>
            </w:pPr>
            <w:r w:rsidRPr="00335764">
              <w:rPr>
                <w:rFonts w:cs="Arial"/>
                <w:b w:val="0"/>
                <w:color w:val="auto"/>
                <w:sz w:val="20"/>
                <w:szCs w:val="20"/>
              </w:rPr>
              <w:t>Number of cases finalised through investigation</w:t>
            </w:r>
          </w:p>
        </w:tc>
        <w:tc>
          <w:tcPr>
            <w:tcW w:w="5760" w:type="dxa"/>
            <w:shd w:val="clear" w:color="auto" w:fill="FFFFFF" w:themeFill="background1"/>
          </w:tcPr>
          <w:p w:rsidR="004772EB" w:rsidRPr="00335764" w:rsidRDefault="00770C78" w:rsidP="00335764">
            <w:pPr>
              <w:spacing w:line="240" w:lineRule="auto"/>
              <w:jc w:val="left"/>
              <w:cnfStyle w:val="000000100000"/>
              <w:rPr>
                <w:rFonts w:cs="Arial"/>
                <w:sz w:val="20"/>
                <w:szCs w:val="20"/>
              </w:rPr>
            </w:pPr>
            <w:r w:rsidRPr="00335764">
              <w:rPr>
                <w:rFonts w:cs="Arial"/>
                <w:sz w:val="20"/>
                <w:szCs w:val="20"/>
                <w:lang w:val="en-US"/>
              </w:rPr>
              <w:t>Finalise 2000 cases through investigation by 31 March 2024</w:t>
            </w:r>
          </w:p>
        </w:tc>
      </w:tr>
      <w:tr w:rsidR="004772EB" w:rsidRPr="00335764" w:rsidTr="003B0D54">
        <w:tc>
          <w:tcPr>
            <w:cnfStyle w:val="001000000000"/>
            <w:tcW w:w="3256" w:type="dxa"/>
            <w:shd w:val="clear" w:color="auto" w:fill="FFFFFF" w:themeFill="background1"/>
          </w:tcPr>
          <w:p w:rsidR="004772EB" w:rsidRPr="00335764" w:rsidRDefault="00776D40" w:rsidP="00335764">
            <w:pPr>
              <w:spacing w:line="240" w:lineRule="auto"/>
              <w:jc w:val="left"/>
              <w:rPr>
                <w:rFonts w:cs="Arial"/>
                <w:b w:val="0"/>
                <w:sz w:val="20"/>
                <w:szCs w:val="20"/>
              </w:rPr>
            </w:pPr>
            <w:r w:rsidRPr="00335764">
              <w:rPr>
                <w:rFonts w:cs="Arial"/>
                <w:b w:val="0"/>
                <w:color w:val="auto"/>
                <w:sz w:val="20"/>
                <w:szCs w:val="20"/>
              </w:rPr>
              <w:t>Number of cases finalised by means of advice given and or assistance rendered</w:t>
            </w:r>
          </w:p>
        </w:tc>
        <w:tc>
          <w:tcPr>
            <w:tcW w:w="5760" w:type="dxa"/>
            <w:shd w:val="clear" w:color="auto" w:fill="FFFFFF" w:themeFill="background1"/>
          </w:tcPr>
          <w:p w:rsidR="004772EB" w:rsidRPr="00335764" w:rsidRDefault="00770C78" w:rsidP="00335764">
            <w:pPr>
              <w:spacing w:line="240" w:lineRule="auto"/>
              <w:jc w:val="left"/>
              <w:cnfStyle w:val="000000000000"/>
              <w:rPr>
                <w:rFonts w:cs="Arial"/>
                <w:sz w:val="20"/>
                <w:szCs w:val="20"/>
                <w:lang w:val="en-ZA"/>
              </w:rPr>
            </w:pPr>
            <w:r w:rsidRPr="00335764">
              <w:rPr>
                <w:rFonts w:cs="Arial"/>
                <w:sz w:val="20"/>
                <w:szCs w:val="20"/>
                <w:lang w:val="en-US"/>
              </w:rPr>
              <w:t>Finalise 500 cases by means of advice given and / or assistance rendered by 31 March 2024</w:t>
            </w:r>
          </w:p>
        </w:tc>
      </w:tr>
      <w:tr w:rsidR="003B0D54" w:rsidRPr="00335764" w:rsidTr="003B0D54">
        <w:trPr>
          <w:cnfStyle w:val="000000100000"/>
        </w:trPr>
        <w:tc>
          <w:tcPr>
            <w:cnfStyle w:val="001000000000"/>
            <w:tcW w:w="3256" w:type="dxa"/>
            <w:shd w:val="clear" w:color="auto" w:fill="FFFFFF" w:themeFill="background1"/>
          </w:tcPr>
          <w:p w:rsidR="003B0D54" w:rsidRPr="00335764" w:rsidRDefault="00770C78" w:rsidP="00335764">
            <w:pPr>
              <w:spacing w:line="240" w:lineRule="auto"/>
              <w:jc w:val="left"/>
              <w:rPr>
                <w:rFonts w:cs="Arial"/>
                <w:b w:val="0"/>
                <w:sz w:val="20"/>
                <w:szCs w:val="20"/>
              </w:rPr>
            </w:pPr>
            <w:r w:rsidRPr="00335764">
              <w:rPr>
                <w:rFonts w:cs="Arial"/>
                <w:b w:val="0"/>
                <w:color w:val="auto"/>
                <w:sz w:val="20"/>
                <w:szCs w:val="20"/>
                <w:lang w:val="en-US"/>
              </w:rPr>
              <w:t>Percentage of adherence to turnaround times in finalisation of cases</w:t>
            </w:r>
          </w:p>
        </w:tc>
        <w:tc>
          <w:tcPr>
            <w:tcW w:w="5760" w:type="dxa"/>
            <w:shd w:val="clear" w:color="auto" w:fill="FFFFFF" w:themeFill="background1"/>
          </w:tcPr>
          <w:p w:rsidR="00770C78" w:rsidRPr="00335764" w:rsidRDefault="00770C78" w:rsidP="00335764">
            <w:pPr>
              <w:spacing w:line="240" w:lineRule="auto"/>
              <w:jc w:val="left"/>
              <w:cnfStyle w:val="000000100000"/>
              <w:rPr>
                <w:rFonts w:cs="Arial"/>
                <w:sz w:val="20"/>
                <w:szCs w:val="20"/>
                <w:lang w:val="en-ZA"/>
              </w:rPr>
            </w:pPr>
            <w:r w:rsidRPr="00335764">
              <w:rPr>
                <w:rFonts w:cs="Arial"/>
                <w:sz w:val="20"/>
                <w:szCs w:val="20"/>
                <w:lang w:val="en-US"/>
              </w:rPr>
              <w:t>Finalise 80% of cases within the following turnaround</w:t>
            </w:r>
            <w:r w:rsidRPr="00335764">
              <w:rPr>
                <w:rFonts w:cs="Arial"/>
                <w:sz w:val="20"/>
                <w:szCs w:val="20"/>
                <w:lang w:val="en-ZA"/>
              </w:rPr>
              <w:t xml:space="preserve"> </w:t>
            </w:r>
            <w:r w:rsidRPr="00335764">
              <w:rPr>
                <w:rFonts w:cs="Arial"/>
                <w:sz w:val="20"/>
                <w:szCs w:val="20"/>
                <w:lang w:val="en-US"/>
              </w:rPr>
              <w:t>times:</w:t>
            </w:r>
          </w:p>
          <w:p w:rsidR="00770C78" w:rsidRPr="00335764" w:rsidRDefault="00770C78" w:rsidP="00335764">
            <w:pPr>
              <w:spacing w:line="240" w:lineRule="auto"/>
              <w:jc w:val="left"/>
              <w:cnfStyle w:val="000000100000"/>
              <w:rPr>
                <w:rFonts w:cs="Arial"/>
                <w:sz w:val="20"/>
                <w:szCs w:val="20"/>
                <w:lang w:val="en-ZA"/>
              </w:rPr>
            </w:pPr>
            <w:r w:rsidRPr="00335764">
              <w:rPr>
                <w:rFonts w:cs="Arial"/>
                <w:sz w:val="20"/>
                <w:szCs w:val="20"/>
                <w:lang w:val="en-US"/>
              </w:rPr>
              <w:t>ER: 6 months</w:t>
            </w:r>
          </w:p>
          <w:p w:rsidR="00770C78" w:rsidRPr="00335764" w:rsidRDefault="00770C78" w:rsidP="00335764">
            <w:pPr>
              <w:spacing w:line="240" w:lineRule="auto"/>
              <w:jc w:val="left"/>
              <w:cnfStyle w:val="000000100000"/>
              <w:rPr>
                <w:rFonts w:cs="Arial"/>
                <w:sz w:val="20"/>
                <w:szCs w:val="20"/>
                <w:lang w:val="en-US"/>
              </w:rPr>
            </w:pPr>
            <w:r w:rsidRPr="00335764">
              <w:rPr>
                <w:rFonts w:cs="Arial"/>
                <w:sz w:val="20"/>
                <w:szCs w:val="20"/>
                <w:lang w:val="en-US"/>
              </w:rPr>
              <w:t xml:space="preserve">SD: 12 months GGI: 24 months </w:t>
            </w:r>
          </w:p>
          <w:p w:rsidR="00770C78" w:rsidRPr="00335764" w:rsidRDefault="00770C78" w:rsidP="00335764">
            <w:pPr>
              <w:spacing w:line="240" w:lineRule="auto"/>
              <w:jc w:val="left"/>
              <w:cnfStyle w:val="000000100000"/>
              <w:rPr>
                <w:rFonts w:cs="Arial"/>
                <w:sz w:val="20"/>
                <w:szCs w:val="20"/>
                <w:lang w:val="en-US"/>
              </w:rPr>
            </w:pPr>
            <w:r w:rsidRPr="00335764">
              <w:rPr>
                <w:rFonts w:cs="Arial"/>
                <w:sz w:val="20"/>
                <w:szCs w:val="20"/>
                <w:lang w:val="en-US"/>
              </w:rPr>
              <w:t xml:space="preserve">GGI (Very complex): 36 months </w:t>
            </w:r>
          </w:p>
          <w:p w:rsidR="003B0D54" w:rsidRPr="00335764" w:rsidRDefault="00770C78" w:rsidP="00335764">
            <w:pPr>
              <w:spacing w:line="240" w:lineRule="auto"/>
              <w:jc w:val="left"/>
              <w:cnfStyle w:val="000000100000"/>
              <w:rPr>
                <w:rFonts w:cs="Arial"/>
                <w:sz w:val="20"/>
                <w:szCs w:val="20"/>
                <w:lang w:val="en-ZA"/>
              </w:rPr>
            </w:pPr>
            <w:r w:rsidRPr="00335764">
              <w:rPr>
                <w:rFonts w:cs="Arial"/>
                <w:sz w:val="20"/>
                <w:szCs w:val="20"/>
                <w:lang w:val="en-US"/>
              </w:rPr>
              <w:t>by 31 March 2024</w:t>
            </w:r>
          </w:p>
        </w:tc>
      </w:tr>
      <w:tr w:rsidR="003B0D54" w:rsidRPr="00335764" w:rsidTr="003B0D54">
        <w:tc>
          <w:tcPr>
            <w:cnfStyle w:val="001000000000"/>
            <w:tcW w:w="3256" w:type="dxa"/>
            <w:shd w:val="clear" w:color="auto" w:fill="FFFFFF" w:themeFill="background1"/>
          </w:tcPr>
          <w:p w:rsidR="003B0D54" w:rsidRPr="00335764" w:rsidRDefault="00770C78" w:rsidP="00335764">
            <w:pPr>
              <w:spacing w:line="240" w:lineRule="auto"/>
              <w:jc w:val="left"/>
              <w:rPr>
                <w:rFonts w:cs="Arial"/>
                <w:b w:val="0"/>
                <w:sz w:val="20"/>
                <w:szCs w:val="20"/>
              </w:rPr>
            </w:pPr>
            <w:r w:rsidRPr="00335764">
              <w:rPr>
                <w:rFonts w:cs="Arial"/>
                <w:b w:val="0"/>
                <w:sz w:val="20"/>
                <w:szCs w:val="20"/>
              </w:rPr>
              <w:t>Number of s</w:t>
            </w:r>
            <w:r w:rsidR="003B0D54" w:rsidRPr="00335764">
              <w:rPr>
                <w:rFonts w:cs="Arial"/>
                <w:b w:val="0"/>
                <w:sz w:val="20"/>
                <w:szCs w:val="20"/>
              </w:rPr>
              <w:t xml:space="preserve">ystemic investigations finalised </w:t>
            </w:r>
          </w:p>
        </w:tc>
        <w:tc>
          <w:tcPr>
            <w:tcW w:w="5760" w:type="dxa"/>
            <w:shd w:val="clear" w:color="auto" w:fill="FFFFFF" w:themeFill="background1"/>
          </w:tcPr>
          <w:p w:rsidR="003B0D54" w:rsidRPr="00335764" w:rsidRDefault="00770C78" w:rsidP="00335764">
            <w:pPr>
              <w:spacing w:line="240" w:lineRule="auto"/>
              <w:jc w:val="left"/>
              <w:cnfStyle w:val="000000000000"/>
              <w:rPr>
                <w:rFonts w:cs="Arial"/>
                <w:sz w:val="20"/>
                <w:szCs w:val="20"/>
              </w:rPr>
            </w:pPr>
            <w:r w:rsidRPr="00335764">
              <w:rPr>
                <w:rFonts w:cs="Arial"/>
                <w:sz w:val="20"/>
                <w:szCs w:val="20"/>
                <w:lang w:val="en-US"/>
              </w:rPr>
              <w:t xml:space="preserve">Finalise </w:t>
            </w:r>
            <w:r w:rsidR="001E3C09" w:rsidRPr="00335764">
              <w:rPr>
                <w:rFonts w:cs="Arial"/>
                <w:sz w:val="20"/>
                <w:szCs w:val="20"/>
                <w:lang w:val="en-US"/>
              </w:rPr>
              <w:t>two</w:t>
            </w:r>
            <w:r w:rsidRPr="00335764">
              <w:rPr>
                <w:rFonts w:cs="Arial"/>
                <w:sz w:val="20"/>
                <w:szCs w:val="20"/>
                <w:lang w:val="en-US"/>
              </w:rPr>
              <w:t xml:space="preserve"> systemic investigations and/or interventions by 31 March 2024 </w:t>
            </w:r>
          </w:p>
        </w:tc>
      </w:tr>
    </w:tbl>
    <w:p w:rsidR="009B330F" w:rsidRPr="00335764" w:rsidRDefault="009B330F" w:rsidP="00335764">
      <w:pPr>
        <w:pStyle w:val="ListParagraph"/>
        <w:spacing w:line="240" w:lineRule="auto"/>
        <w:jc w:val="left"/>
        <w:rPr>
          <w:rFonts w:cs="Arial"/>
          <w:color w:val="auto"/>
          <w:sz w:val="20"/>
          <w:szCs w:val="20"/>
        </w:rPr>
      </w:pPr>
    </w:p>
    <w:p w:rsidR="009C2808" w:rsidRPr="00335764" w:rsidRDefault="009B330F" w:rsidP="00335764">
      <w:pPr>
        <w:pStyle w:val="ListParagraph"/>
        <w:numPr>
          <w:ilvl w:val="2"/>
          <w:numId w:val="1"/>
        </w:numPr>
        <w:autoSpaceDE w:val="0"/>
        <w:autoSpaceDN w:val="0"/>
        <w:adjustRightInd w:val="0"/>
        <w:spacing w:line="240" w:lineRule="auto"/>
        <w:ind w:hanging="862"/>
        <w:jc w:val="left"/>
        <w:rPr>
          <w:rFonts w:cs="Arial"/>
          <w:color w:val="auto"/>
          <w:sz w:val="20"/>
          <w:szCs w:val="20"/>
        </w:rPr>
      </w:pPr>
      <w:r w:rsidRPr="00335764">
        <w:rPr>
          <w:rFonts w:cs="Arial"/>
          <w:color w:val="auto"/>
          <w:sz w:val="20"/>
          <w:szCs w:val="20"/>
        </w:rPr>
        <w:t>Stakeholder Engage</w:t>
      </w:r>
      <w:r w:rsidR="00BA5985" w:rsidRPr="00335764">
        <w:rPr>
          <w:rFonts w:cs="Arial"/>
          <w:color w:val="auto"/>
          <w:sz w:val="20"/>
          <w:szCs w:val="20"/>
        </w:rPr>
        <w:t>ment. The performance indicator</w:t>
      </w:r>
      <w:r w:rsidRPr="00335764">
        <w:rPr>
          <w:rFonts w:cs="Arial"/>
          <w:color w:val="auto"/>
          <w:sz w:val="20"/>
          <w:szCs w:val="20"/>
        </w:rPr>
        <w:t xml:space="preserve"> remain</w:t>
      </w:r>
      <w:r w:rsidR="00BA5985" w:rsidRPr="00335764">
        <w:rPr>
          <w:rFonts w:cs="Arial"/>
          <w:color w:val="auto"/>
          <w:sz w:val="20"/>
          <w:szCs w:val="20"/>
        </w:rPr>
        <w:t>s</w:t>
      </w:r>
      <w:r w:rsidRPr="00335764">
        <w:rPr>
          <w:rFonts w:cs="Arial"/>
          <w:color w:val="auto"/>
          <w:sz w:val="20"/>
          <w:szCs w:val="20"/>
        </w:rPr>
        <w:t xml:space="preserve"> the same</w:t>
      </w:r>
      <w:r w:rsidR="003563DD" w:rsidRPr="00335764">
        <w:rPr>
          <w:rFonts w:cs="Arial"/>
          <w:color w:val="auto"/>
          <w:sz w:val="20"/>
          <w:szCs w:val="20"/>
        </w:rPr>
        <w:t xml:space="preserve">: </w:t>
      </w:r>
      <w:r w:rsidR="00BA5985" w:rsidRPr="00335764">
        <w:rPr>
          <w:rFonts w:cs="Arial"/>
          <w:color w:val="auto"/>
          <w:sz w:val="20"/>
          <w:szCs w:val="20"/>
        </w:rPr>
        <w:t xml:space="preserve">‘Number of activities executed in the implementation of an Integrated Access and Stakeholder Management Strategy’ but the target of 117 </w:t>
      </w:r>
      <w:r w:rsidR="00770C78" w:rsidRPr="00335764">
        <w:rPr>
          <w:rFonts w:cs="Arial"/>
          <w:color w:val="auto"/>
          <w:sz w:val="20"/>
          <w:szCs w:val="20"/>
        </w:rPr>
        <w:t xml:space="preserve">activities </w:t>
      </w:r>
      <w:r w:rsidR="00BA5985" w:rsidRPr="00335764">
        <w:rPr>
          <w:rFonts w:cs="Arial"/>
          <w:color w:val="auto"/>
          <w:sz w:val="20"/>
          <w:szCs w:val="20"/>
        </w:rPr>
        <w:t xml:space="preserve">for 2022/23 </w:t>
      </w:r>
      <w:r w:rsidR="00770C78" w:rsidRPr="00335764">
        <w:rPr>
          <w:rFonts w:cs="Arial"/>
          <w:color w:val="auto"/>
          <w:sz w:val="20"/>
          <w:szCs w:val="20"/>
        </w:rPr>
        <w:t>is increased to 348 for 2023/24.</w:t>
      </w:r>
    </w:p>
    <w:p w:rsidR="008C18A0" w:rsidRPr="00335764" w:rsidRDefault="008C18A0" w:rsidP="00335764">
      <w:pPr>
        <w:pStyle w:val="ListParagraph"/>
        <w:autoSpaceDE w:val="0"/>
        <w:autoSpaceDN w:val="0"/>
        <w:adjustRightInd w:val="0"/>
        <w:spacing w:line="240" w:lineRule="auto"/>
        <w:ind w:left="862"/>
        <w:jc w:val="left"/>
        <w:rPr>
          <w:rFonts w:cs="Arial"/>
          <w:color w:val="auto"/>
          <w:sz w:val="20"/>
          <w:szCs w:val="20"/>
        </w:rPr>
      </w:pPr>
    </w:p>
    <w:p w:rsidR="00BA5985" w:rsidRPr="00335764" w:rsidRDefault="008C18A0" w:rsidP="00335764">
      <w:pPr>
        <w:autoSpaceDE w:val="0"/>
        <w:autoSpaceDN w:val="0"/>
        <w:adjustRightInd w:val="0"/>
        <w:spacing w:line="240" w:lineRule="auto"/>
        <w:jc w:val="left"/>
        <w:rPr>
          <w:rFonts w:cs="Arial"/>
          <w:i/>
          <w:color w:val="auto"/>
          <w:sz w:val="20"/>
          <w:szCs w:val="20"/>
        </w:rPr>
      </w:pPr>
      <w:r w:rsidRPr="00335764">
        <w:rPr>
          <w:rFonts w:cs="Arial"/>
          <w:i/>
          <w:color w:val="auto"/>
          <w:sz w:val="20"/>
          <w:szCs w:val="20"/>
        </w:rPr>
        <w:t>Budget</w:t>
      </w:r>
    </w:p>
    <w:p w:rsidR="00A22BD5" w:rsidRPr="00335764" w:rsidRDefault="00770C78" w:rsidP="00335764">
      <w:pPr>
        <w:numPr>
          <w:ilvl w:val="1"/>
          <w:numId w:val="1"/>
        </w:numPr>
        <w:autoSpaceDE w:val="0"/>
        <w:autoSpaceDN w:val="0"/>
        <w:adjustRightInd w:val="0"/>
        <w:spacing w:line="240" w:lineRule="auto"/>
        <w:jc w:val="left"/>
        <w:rPr>
          <w:rFonts w:cs="Arial"/>
          <w:color w:val="auto"/>
          <w:spacing w:val="0"/>
          <w:sz w:val="20"/>
          <w:szCs w:val="20"/>
          <w:lang w:val="en-ZA" w:eastAsia="en-US"/>
        </w:rPr>
      </w:pPr>
      <w:r w:rsidRPr="00335764">
        <w:rPr>
          <w:rFonts w:cs="Arial"/>
          <w:color w:val="auto"/>
          <w:sz w:val="20"/>
          <w:szCs w:val="20"/>
        </w:rPr>
        <w:t>The PPSA is allocated R3</w:t>
      </w:r>
      <w:r w:rsidR="004A73E9" w:rsidRPr="00335764">
        <w:rPr>
          <w:rFonts w:cs="Arial"/>
          <w:color w:val="auto"/>
          <w:sz w:val="20"/>
          <w:szCs w:val="20"/>
        </w:rPr>
        <w:t>57.3</w:t>
      </w:r>
      <w:r w:rsidRPr="00335764">
        <w:rPr>
          <w:rFonts w:cs="Arial"/>
          <w:color w:val="auto"/>
          <w:sz w:val="20"/>
          <w:szCs w:val="20"/>
        </w:rPr>
        <w:t xml:space="preserve"> million for the 2023/24 financial year</w:t>
      </w:r>
      <w:r w:rsidR="004A73E9" w:rsidRPr="00335764">
        <w:rPr>
          <w:rFonts w:cs="Arial"/>
          <w:color w:val="auto"/>
          <w:sz w:val="20"/>
          <w:szCs w:val="20"/>
        </w:rPr>
        <w:t xml:space="preserve"> by way of government grant. Interest and other income </w:t>
      </w:r>
      <w:r w:rsidR="00261D2C" w:rsidRPr="00335764">
        <w:rPr>
          <w:rFonts w:cs="Arial"/>
          <w:color w:val="auto"/>
          <w:sz w:val="20"/>
          <w:szCs w:val="20"/>
        </w:rPr>
        <w:t>increase</w:t>
      </w:r>
      <w:r w:rsidR="004A73E9" w:rsidRPr="00335764">
        <w:rPr>
          <w:rFonts w:cs="Arial"/>
          <w:color w:val="auto"/>
          <w:sz w:val="20"/>
          <w:szCs w:val="20"/>
        </w:rPr>
        <w:t xml:space="preserve"> the PPSA’s budget to R360.4 million. </w:t>
      </w:r>
      <w:r w:rsidRPr="00335764">
        <w:rPr>
          <w:rFonts w:cs="Arial"/>
          <w:color w:val="auto"/>
          <w:sz w:val="20"/>
          <w:szCs w:val="20"/>
        </w:rPr>
        <w:t>The allocation experiences a real decrease of -4.80% when compared to 2022/23.</w:t>
      </w:r>
    </w:p>
    <w:p w:rsidR="00A22BD5" w:rsidRPr="00335764" w:rsidRDefault="00A22BD5" w:rsidP="00335764">
      <w:pPr>
        <w:pStyle w:val="ListParagraph"/>
        <w:spacing w:line="240" w:lineRule="auto"/>
        <w:jc w:val="left"/>
        <w:rPr>
          <w:rFonts w:cs="Arial"/>
          <w:color w:val="auto"/>
          <w:sz w:val="20"/>
          <w:szCs w:val="20"/>
        </w:rPr>
      </w:pPr>
    </w:p>
    <w:p w:rsidR="00D77BA9" w:rsidRPr="00335764" w:rsidRDefault="00A22BD5" w:rsidP="00335764">
      <w:pPr>
        <w:pStyle w:val="ListParagraph"/>
        <w:spacing w:line="240" w:lineRule="auto"/>
        <w:ind w:left="0"/>
        <w:jc w:val="left"/>
        <w:rPr>
          <w:rFonts w:cs="Arial"/>
          <w:b/>
          <w:sz w:val="20"/>
          <w:szCs w:val="20"/>
        </w:rPr>
      </w:pPr>
      <w:r w:rsidRPr="00335764">
        <w:rPr>
          <w:rFonts w:cs="Arial"/>
          <w:b/>
          <w:sz w:val="20"/>
          <w:szCs w:val="20"/>
        </w:rPr>
        <w:t xml:space="preserve">Public Protector SA </w:t>
      </w:r>
      <w:r w:rsidR="004361D0" w:rsidRPr="00335764">
        <w:rPr>
          <w:rFonts w:cs="Arial"/>
          <w:b/>
          <w:sz w:val="20"/>
          <w:szCs w:val="20"/>
        </w:rPr>
        <w:t>Budget 202</w:t>
      </w:r>
      <w:r w:rsidR="00770C78" w:rsidRPr="00335764">
        <w:rPr>
          <w:rFonts w:cs="Arial"/>
          <w:b/>
          <w:sz w:val="20"/>
          <w:szCs w:val="20"/>
        </w:rPr>
        <w:t>3</w:t>
      </w:r>
      <w:r w:rsidRPr="00335764">
        <w:rPr>
          <w:rFonts w:cs="Arial"/>
          <w:b/>
          <w:sz w:val="20"/>
          <w:szCs w:val="20"/>
        </w:rPr>
        <w:t xml:space="preserve"> MTEF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4"/>
        <w:gridCol w:w="2032"/>
        <w:gridCol w:w="2032"/>
        <w:gridCol w:w="2030"/>
      </w:tblGrid>
      <w:tr w:rsidR="004A73E9" w:rsidRPr="00335764" w:rsidTr="004A73E9">
        <w:trPr>
          <w:tblHeader/>
        </w:trPr>
        <w:tc>
          <w:tcPr>
            <w:tcW w:w="1836" w:type="pct"/>
            <w:shd w:val="clear" w:color="auto" w:fill="D9D9D9" w:themeFill="background1" w:themeFillShade="D9"/>
          </w:tcPr>
          <w:p w:rsidR="004A73E9" w:rsidRPr="00335764" w:rsidRDefault="004A73E9" w:rsidP="00335764">
            <w:pPr>
              <w:autoSpaceDE w:val="0"/>
              <w:autoSpaceDN w:val="0"/>
              <w:adjustRightInd w:val="0"/>
              <w:spacing w:line="240" w:lineRule="auto"/>
              <w:jc w:val="left"/>
              <w:rPr>
                <w:rFonts w:cs="Arial"/>
                <w:b/>
                <w:caps/>
                <w:color w:val="000000" w:themeColor="text1"/>
                <w:spacing w:val="0"/>
                <w:sz w:val="20"/>
                <w:szCs w:val="20"/>
                <w:lang w:val="en-ZA" w:eastAsia="en-US"/>
              </w:rPr>
            </w:pPr>
            <w:r w:rsidRPr="00335764">
              <w:rPr>
                <w:rFonts w:cs="Arial"/>
                <w:b/>
                <w:caps/>
                <w:color w:val="000000" w:themeColor="text1"/>
                <w:spacing w:val="0"/>
                <w:sz w:val="20"/>
                <w:szCs w:val="20"/>
                <w:lang w:val="en-ZA" w:eastAsia="en-US"/>
              </w:rPr>
              <w:t>Programme</w:t>
            </w:r>
          </w:p>
        </w:tc>
        <w:tc>
          <w:tcPr>
            <w:tcW w:w="1055" w:type="pct"/>
            <w:shd w:val="clear" w:color="auto" w:fill="D9D9D9" w:themeFill="background1" w:themeFillShade="D9"/>
          </w:tcPr>
          <w:p w:rsidR="004A73E9" w:rsidRPr="00335764" w:rsidRDefault="004A73E9" w:rsidP="00335764">
            <w:pPr>
              <w:autoSpaceDE w:val="0"/>
              <w:autoSpaceDN w:val="0"/>
              <w:adjustRightInd w:val="0"/>
              <w:spacing w:line="240" w:lineRule="auto"/>
              <w:jc w:val="left"/>
              <w:rPr>
                <w:rFonts w:cs="Arial"/>
                <w:b/>
                <w:caps/>
                <w:color w:val="000000" w:themeColor="text1"/>
                <w:spacing w:val="0"/>
                <w:sz w:val="20"/>
                <w:szCs w:val="20"/>
                <w:lang w:val="en-ZA" w:eastAsia="en-US"/>
              </w:rPr>
            </w:pPr>
            <w:r w:rsidRPr="00335764">
              <w:rPr>
                <w:rFonts w:cs="Arial"/>
                <w:b/>
                <w:caps/>
                <w:color w:val="000000" w:themeColor="text1"/>
                <w:spacing w:val="0"/>
                <w:sz w:val="20"/>
                <w:szCs w:val="20"/>
                <w:lang w:val="en-ZA" w:eastAsia="en-US"/>
              </w:rPr>
              <w:t>2023/24</w:t>
            </w:r>
          </w:p>
        </w:tc>
        <w:tc>
          <w:tcPr>
            <w:tcW w:w="1055" w:type="pct"/>
            <w:shd w:val="clear" w:color="auto" w:fill="D9D9D9" w:themeFill="background1" w:themeFillShade="D9"/>
          </w:tcPr>
          <w:p w:rsidR="004A73E9" w:rsidRPr="00335764" w:rsidRDefault="004A73E9" w:rsidP="00335764">
            <w:pPr>
              <w:autoSpaceDE w:val="0"/>
              <w:autoSpaceDN w:val="0"/>
              <w:adjustRightInd w:val="0"/>
              <w:spacing w:line="240" w:lineRule="auto"/>
              <w:jc w:val="left"/>
              <w:rPr>
                <w:rFonts w:cs="Arial"/>
                <w:b/>
                <w:caps/>
                <w:color w:val="000000" w:themeColor="text1"/>
                <w:spacing w:val="0"/>
                <w:sz w:val="20"/>
                <w:szCs w:val="20"/>
                <w:lang w:val="en-ZA" w:eastAsia="en-US"/>
              </w:rPr>
            </w:pPr>
            <w:r w:rsidRPr="00335764">
              <w:rPr>
                <w:rFonts w:cs="Arial"/>
                <w:b/>
                <w:caps/>
                <w:color w:val="000000" w:themeColor="text1"/>
                <w:spacing w:val="0"/>
                <w:sz w:val="20"/>
                <w:szCs w:val="20"/>
                <w:lang w:val="en-ZA" w:eastAsia="en-US"/>
              </w:rPr>
              <w:t>2024/25</w:t>
            </w:r>
          </w:p>
        </w:tc>
        <w:tc>
          <w:tcPr>
            <w:tcW w:w="1055" w:type="pct"/>
            <w:shd w:val="clear" w:color="auto" w:fill="D9D9D9" w:themeFill="background1" w:themeFillShade="D9"/>
          </w:tcPr>
          <w:p w:rsidR="004A73E9" w:rsidRPr="00335764" w:rsidRDefault="004A73E9" w:rsidP="00335764">
            <w:pPr>
              <w:autoSpaceDE w:val="0"/>
              <w:autoSpaceDN w:val="0"/>
              <w:adjustRightInd w:val="0"/>
              <w:spacing w:line="240" w:lineRule="auto"/>
              <w:jc w:val="left"/>
              <w:rPr>
                <w:rFonts w:cs="Arial"/>
                <w:b/>
                <w:caps/>
                <w:color w:val="000000" w:themeColor="text1"/>
                <w:spacing w:val="0"/>
                <w:sz w:val="20"/>
                <w:szCs w:val="20"/>
                <w:lang w:val="en-ZA" w:eastAsia="en-US"/>
              </w:rPr>
            </w:pPr>
            <w:r w:rsidRPr="00335764">
              <w:rPr>
                <w:rFonts w:cs="Arial"/>
                <w:b/>
                <w:caps/>
                <w:color w:val="000000" w:themeColor="text1"/>
                <w:spacing w:val="0"/>
                <w:sz w:val="20"/>
                <w:szCs w:val="20"/>
                <w:lang w:val="en-ZA" w:eastAsia="en-US"/>
              </w:rPr>
              <w:t>2025/26</w:t>
            </w:r>
          </w:p>
        </w:tc>
      </w:tr>
      <w:tr w:rsidR="004A73E9" w:rsidRPr="00335764" w:rsidTr="004A73E9">
        <w:tc>
          <w:tcPr>
            <w:tcW w:w="1836" w:type="pct"/>
            <w:shd w:val="clear" w:color="auto" w:fill="auto"/>
          </w:tcPr>
          <w:p w:rsidR="004A73E9" w:rsidRPr="00335764" w:rsidRDefault="004A73E9" w:rsidP="00335764">
            <w:pPr>
              <w:autoSpaceDE w:val="0"/>
              <w:autoSpaceDN w:val="0"/>
              <w:adjustRightInd w:val="0"/>
              <w:spacing w:line="240" w:lineRule="auto"/>
              <w:jc w:val="left"/>
              <w:rPr>
                <w:rFonts w:cs="Arial"/>
                <w:color w:val="000000" w:themeColor="text1"/>
                <w:spacing w:val="0"/>
                <w:sz w:val="20"/>
                <w:szCs w:val="20"/>
                <w:lang w:val="en-ZA" w:eastAsia="en-US"/>
              </w:rPr>
            </w:pPr>
            <w:r w:rsidRPr="00335764">
              <w:rPr>
                <w:rFonts w:cs="Arial"/>
                <w:color w:val="000000" w:themeColor="text1"/>
                <w:spacing w:val="0"/>
                <w:sz w:val="20"/>
                <w:szCs w:val="20"/>
                <w:lang w:val="en-ZA" w:eastAsia="en-US"/>
              </w:rPr>
              <w:t>Administration</w:t>
            </w:r>
          </w:p>
        </w:tc>
        <w:tc>
          <w:tcPr>
            <w:tcW w:w="105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4A73E9" w:rsidRPr="00335764" w:rsidRDefault="004A73E9" w:rsidP="00335764">
            <w:pPr>
              <w:pStyle w:val="NormalWeb"/>
              <w:spacing w:before="0" w:after="0"/>
              <w:jc w:val="left"/>
              <w:textAlignment w:val="bottom"/>
              <w:rPr>
                <w:rFonts w:ascii="Arial" w:hAnsi="Arial" w:cs="Arial"/>
                <w:color w:val="000000"/>
                <w:spacing w:val="6"/>
                <w:sz w:val="20"/>
                <w:szCs w:val="20"/>
              </w:rPr>
            </w:pPr>
            <w:r w:rsidRPr="00335764">
              <w:rPr>
                <w:rFonts w:ascii="Arial" w:hAnsi="Arial" w:cs="Arial"/>
                <w:color w:val="000000"/>
                <w:spacing w:val="6"/>
                <w:sz w:val="20"/>
                <w:szCs w:val="20"/>
              </w:rPr>
              <w:t>144 301 281</w:t>
            </w:r>
          </w:p>
        </w:tc>
        <w:tc>
          <w:tcPr>
            <w:tcW w:w="1055" w:type="pct"/>
            <w:tcBorders>
              <w:top w:val="single" w:sz="4" w:space="0" w:color="000000"/>
              <w:left w:val="single" w:sz="4" w:space="0" w:color="000000"/>
              <w:bottom w:val="single" w:sz="4" w:space="0" w:color="000000"/>
              <w:right w:val="single" w:sz="4" w:space="0" w:color="000000"/>
            </w:tcBorders>
            <w:shd w:val="clear" w:color="auto" w:fill="auto"/>
            <w:vAlign w:val="bottom"/>
          </w:tcPr>
          <w:p w:rsidR="004A73E9" w:rsidRPr="00335764" w:rsidRDefault="004A73E9" w:rsidP="00335764">
            <w:pPr>
              <w:pStyle w:val="NormalWeb"/>
              <w:spacing w:before="0" w:after="0"/>
              <w:jc w:val="left"/>
              <w:textAlignment w:val="bottom"/>
              <w:rPr>
                <w:rFonts w:ascii="Arial" w:hAnsi="Arial" w:cs="Arial"/>
                <w:color w:val="000000"/>
                <w:spacing w:val="6"/>
                <w:sz w:val="20"/>
                <w:szCs w:val="20"/>
              </w:rPr>
            </w:pPr>
            <w:r w:rsidRPr="00335764">
              <w:rPr>
                <w:rFonts w:ascii="Arial" w:hAnsi="Arial" w:cs="Arial"/>
                <w:color w:val="000000"/>
                <w:spacing w:val="6"/>
                <w:sz w:val="20"/>
                <w:szCs w:val="20"/>
              </w:rPr>
              <w:t>153 301 997</w:t>
            </w:r>
          </w:p>
        </w:tc>
        <w:tc>
          <w:tcPr>
            <w:tcW w:w="1055" w:type="pct"/>
            <w:tcBorders>
              <w:top w:val="single" w:sz="4" w:space="0" w:color="000000"/>
              <w:left w:val="single" w:sz="4" w:space="0" w:color="000000"/>
              <w:bottom w:val="single" w:sz="4" w:space="0" w:color="000000"/>
              <w:right w:val="single" w:sz="8" w:space="0" w:color="000000"/>
            </w:tcBorders>
            <w:shd w:val="clear" w:color="auto" w:fill="auto"/>
            <w:vAlign w:val="bottom"/>
          </w:tcPr>
          <w:p w:rsidR="004A73E9" w:rsidRPr="00335764" w:rsidRDefault="004A73E9" w:rsidP="00335764">
            <w:pPr>
              <w:pStyle w:val="NormalWeb"/>
              <w:spacing w:before="0" w:after="0"/>
              <w:jc w:val="left"/>
              <w:textAlignment w:val="bottom"/>
              <w:rPr>
                <w:rFonts w:ascii="Arial" w:hAnsi="Arial" w:cs="Arial"/>
                <w:color w:val="000000"/>
                <w:spacing w:val="6"/>
                <w:sz w:val="20"/>
                <w:szCs w:val="20"/>
              </w:rPr>
            </w:pPr>
            <w:r w:rsidRPr="00335764">
              <w:rPr>
                <w:rFonts w:ascii="Arial" w:hAnsi="Arial" w:cs="Arial"/>
                <w:color w:val="000000"/>
                <w:spacing w:val="6"/>
                <w:sz w:val="20"/>
                <w:szCs w:val="20"/>
              </w:rPr>
              <w:t>160 169 927</w:t>
            </w:r>
          </w:p>
        </w:tc>
      </w:tr>
      <w:tr w:rsidR="004A73E9" w:rsidRPr="00335764" w:rsidTr="004A73E9">
        <w:tc>
          <w:tcPr>
            <w:tcW w:w="1836" w:type="pct"/>
            <w:shd w:val="clear" w:color="auto" w:fill="auto"/>
          </w:tcPr>
          <w:p w:rsidR="004A73E9" w:rsidRPr="00335764" w:rsidRDefault="004A73E9" w:rsidP="00335764">
            <w:pPr>
              <w:autoSpaceDE w:val="0"/>
              <w:autoSpaceDN w:val="0"/>
              <w:adjustRightInd w:val="0"/>
              <w:spacing w:line="240" w:lineRule="auto"/>
              <w:jc w:val="left"/>
              <w:rPr>
                <w:rFonts w:cs="Arial"/>
                <w:color w:val="000000" w:themeColor="text1"/>
                <w:spacing w:val="0"/>
                <w:sz w:val="20"/>
                <w:szCs w:val="20"/>
                <w:lang w:val="en-ZA" w:eastAsia="en-US"/>
              </w:rPr>
            </w:pPr>
            <w:r w:rsidRPr="00335764">
              <w:rPr>
                <w:rFonts w:cs="Arial"/>
                <w:color w:val="000000" w:themeColor="text1"/>
                <w:spacing w:val="0"/>
                <w:sz w:val="20"/>
                <w:szCs w:val="20"/>
                <w:lang w:val="en-ZA" w:eastAsia="en-US"/>
              </w:rPr>
              <w:t>Investigations</w:t>
            </w:r>
          </w:p>
        </w:tc>
        <w:tc>
          <w:tcPr>
            <w:tcW w:w="105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4A73E9" w:rsidRPr="00335764" w:rsidRDefault="004A73E9" w:rsidP="00335764">
            <w:pPr>
              <w:pStyle w:val="NormalWeb"/>
              <w:spacing w:before="0" w:after="0"/>
              <w:jc w:val="left"/>
              <w:textAlignment w:val="bottom"/>
              <w:rPr>
                <w:rFonts w:ascii="Arial" w:hAnsi="Arial" w:cs="Arial"/>
                <w:color w:val="000000"/>
                <w:spacing w:val="6"/>
                <w:sz w:val="20"/>
                <w:szCs w:val="20"/>
              </w:rPr>
            </w:pPr>
            <w:r w:rsidRPr="00335764">
              <w:rPr>
                <w:rFonts w:ascii="Arial" w:hAnsi="Arial" w:cs="Arial"/>
                <w:color w:val="000000"/>
                <w:spacing w:val="6"/>
                <w:sz w:val="20"/>
                <w:szCs w:val="20"/>
              </w:rPr>
              <w:t>201 120 462</w:t>
            </w:r>
          </w:p>
        </w:tc>
        <w:tc>
          <w:tcPr>
            <w:tcW w:w="1055" w:type="pct"/>
            <w:tcBorders>
              <w:top w:val="single" w:sz="4" w:space="0" w:color="000000"/>
              <w:left w:val="single" w:sz="4" w:space="0" w:color="000000"/>
              <w:bottom w:val="single" w:sz="4" w:space="0" w:color="000000"/>
              <w:right w:val="single" w:sz="4" w:space="0" w:color="000000"/>
            </w:tcBorders>
            <w:shd w:val="clear" w:color="auto" w:fill="auto"/>
            <w:vAlign w:val="bottom"/>
          </w:tcPr>
          <w:p w:rsidR="004A73E9" w:rsidRPr="00335764" w:rsidRDefault="004A73E9" w:rsidP="00335764">
            <w:pPr>
              <w:pStyle w:val="NormalWeb"/>
              <w:spacing w:before="0" w:after="0"/>
              <w:jc w:val="left"/>
              <w:textAlignment w:val="bottom"/>
              <w:rPr>
                <w:rFonts w:ascii="Arial" w:hAnsi="Arial" w:cs="Arial"/>
                <w:color w:val="000000"/>
                <w:spacing w:val="6"/>
                <w:sz w:val="20"/>
                <w:szCs w:val="20"/>
              </w:rPr>
            </w:pPr>
            <w:r w:rsidRPr="00335764">
              <w:rPr>
                <w:rFonts w:ascii="Arial" w:hAnsi="Arial" w:cs="Arial"/>
                <w:color w:val="000000"/>
                <w:spacing w:val="6"/>
                <w:sz w:val="20"/>
                <w:szCs w:val="20"/>
              </w:rPr>
              <w:t>208 470 588</w:t>
            </w:r>
          </w:p>
        </w:tc>
        <w:tc>
          <w:tcPr>
            <w:tcW w:w="1055" w:type="pct"/>
            <w:tcBorders>
              <w:top w:val="single" w:sz="4" w:space="0" w:color="000000"/>
              <w:left w:val="single" w:sz="4" w:space="0" w:color="000000"/>
              <w:bottom w:val="single" w:sz="4" w:space="0" w:color="000000"/>
              <w:right w:val="single" w:sz="8" w:space="0" w:color="000000"/>
            </w:tcBorders>
            <w:shd w:val="clear" w:color="auto" w:fill="auto"/>
            <w:vAlign w:val="bottom"/>
          </w:tcPr>
          <w:p w:rsidR="004A73E9" w:rsidRPr="00335764" w:rsidRDefault="004A73E9" w:rsidP="00335764">
            <w:pPr>
              <w:pStyle w:val="NormalWeb"/>
              <w:spacing w:before="0" w:after="0"/>
              <w:jc w:val="left"/>
              <w:textAlignment w:val="bottom"/>
              <w:rPr>
                <w:rFonts w:ascii="Arial" w:hAnsi="Arial" w:cs="Arial"/>
                <w:color w:val="000000"/>
                <w:spacing w:val="6"/>
                <w:sz w:val="20"/>
                <w:szCs w:val="20"/>
              </w:rPr>
            </w:pPr>
            <w:r w:rsidRPr="00335764">
              <w:rPr>
                <w:rFonts w:ascii="Arial" w:hAnsi="Arial" w:cs="Arial"/>
                <w:color w:val="000000"/>
                <w:spacing w:val="6"/>
                <w:sz w:val="20"/>
                <w:szCs w:val="20"/>
              </w:rPr>
              <w:t>217 810 070</w:t>
            </w:r>
          </w:p>
        </w:tc>
      </w:tr>
      <w:tr w:rsidR="004A73E9" w:rsidRPr="00335764" w:rsidTr="004A73E9">
        <w:tc>
          <w:tcPr>
            <w:tcW w:w="1836" w:type="pct"/>
            <w:shd w:val="clear" w:color="auto" w:fill="auto"/>
          </w:tcPr>
          <w:p w:rsidR="004A73E9" w:rsidRPr="00335764" w:rsidRDefault="004A73E9" w:rsidP="00335764">
            <w:pPr>
              <w:autoSpaceDE w:val="0"/>
              <w:autoSpaceDN w:val="0"/>
              <w:adjustRightInd w:val="0"/>
              <w:spacing w:line="240" w:lineRule="auto"/>
              <w:jc w:val="left"/>
              <w:rPr>
                <w:rFonts w:cs="Arial"/>
                <w:color w:val="000000" w:themeColor="text1"/>
                <w:spacing w:val="0"/>
                <w:sz w:val="20"/>
                <w:szCs w:val="20"/>
                <w:lang w:val="en-ZA" w:eastAsia="en-US"/>
              </w:rPr>
            </w:pPr>
            <w:r w:rsidRPr="00335764">
              <w:rPr>
                <w:rFonts w:cs="Arial"/>
                <w:color w:val="000000" w:themeColor="text1"/>
                <w:spacing w:val="0"/>
                <w:sz w:val="20"/>
                <w:szCs w:val="20"/>
                <w:lang w:val="en-ZA" w:eastAsia="en-US"/>
              </w:rPr>
              <w:t>Stakeholder engagement</w:t>
            </w:r>
          </w:p>
        </w:tc>
        <w:tc>
          <w:tcPr>
            <w:tcW w:w="1055" w:type="pct"/>
            <w:tcBorders>
              <w:top w:val="single" w:sz="4" w:space="0" w:color="000000"/>
              <w:left w:val="single" w:sz="4" w:space="0" w:color="000000"/>
              <w:bottom w:val="single" w:sz="8" w:space="0" w:color="000000"/>
              <w:right w:val="single" w:sz="4" w:space="0" w:color="000000"/>
            </w:tcBorders>
            <w:shd w:val="clear" w:color="auto" w:fill="D9D9D9" w:themeFill="background1" w:themeFillShade="D9"/>
            <w:vAlign w:val="bottom"/>
          </w:tcPr>
          <w:p w:rsidR="004A73E9" w:rsidRPr="00335764" w:rsidRDefault="004A73E9" w:rsidP="00335764">
            <w:pPr>
              <w:pStyle w:val="NormalWeb"/>
              <w:spacing w:before="0" w:after="0"/>
              <w:jc w:val="left"/>
              <w:textAlignment w:val="bottom"/>
              <w:rPr>
                <w:rFonts w:ascii="Arial" w:hAnsi="Arial" w:cs="Arial"/>
                <w:color w:val="000000"/>
                <w:spacing w:val="6"/>
                <w:sz w:val="20"/>
                <w:szCs w:val="20"/>
              </w:rPr>
            </w:pPr>
            <w:r w:rsidRPr="00335764">
              <w:rPr>
                <w:rFonts w:ascii="Arial" w:hAnsi="Arial" w:cs="Arial"/>
                <w:color w:val="000000"/>
                <w:spacing w:val="6"/>
                <w:sz w:val="20"/>
                <w:szCs w:val="20"/>
              </w:rPr>
              <w:t>14 964 256</w:t>
            </w:r>
          </w:p>
        </w:tc>
        <w:tc>
          <w:tcPr>
            <w:tcW w:w="1055" w:type="pct"/>
            <w:tcBorders>
              <w:top w:val="single" w:sz="4" w:space="0" w:color="000000"/>
              <w:left w:val="single" w:sz="4" w:space="0" w:color="000000"/>
              <w:bottom w:val="single" w:sz="8" w:space="0" w:color="000000"/>
              <w:right w:val="single" w:sz="4" w:space="0" w:color="000000"/>
            </w:tcBorders>
            <w:shd w:val="clear" w:color="auto" w:fill="auto"/>
            <w:vAlign w:val="bottom"/>
          </w:tcPr>
          <w:p w:rsidR="004A73E9" w:rsidRPr="00335764" w:rsidRDefault="004A73E9" w:rsidP="00335764">
            <w:pPr>
              <w:pStyle w:val="NormalWeb"/>
              <w:spacing w:before="0" w:after="0"/>
              <w:jc w:val="left"/>
              <w:textAlignment w:val="bottom"/>
              <w:rPr>
                <w:rFonts w:ascii="Arial" w:hAnsi="Arial" w:cs="Arial"/>
                <w:color w:val="000000"/>
                <w:spacing w:val="6"/>
                <w:sz w:val="20"/>
                <w:szCs w:val="20"/>
              </w:rPr>
            </w:pPr>
            <w:r w:rsidRPr="00335764">
              <w:rPr>
                <w:rFonts w:ascii="Arial" w:hAnsi="Arial" w:cs="Arial"/>
                <w:color w:val="000000"/>
                <w:spacing w:val="6"/>
                <w:sz w:val="20"/>
                <w:szCs w:val="20"/>
              </w:rPr>
              <w:t>15 516 256</w:t>
            </w:r>
          </w:p>
        </w:tc>
        <w:tc>
          <w:tcPr>
            <w:tcW w:w="1055" w:type="pct"/>
            <w:tcBorders>
              <w:top w:val="single" w:sz="4" w:space="0" w:color="000000"/>
              <w:left w:val="single" w:sz="4" w:space="0" w:color="000000"/>
              <w:bottom w:val="single" w:sz="8" w:space="0" w:color="000000"/>
              <w:right w:val="single" w:sz="8" w:space="0" w:color="000000"/>
            </w:tcBorders>
            <w:shd w:val="clear" w:color="auto" w:fill="auto"/>
            <w:vAlign w:val="bottom"/>
          </w:tcPr>
          <w:p w:rsidR="004A73E9" w:rsidRPr="00335764" w:rsidRDefault="004A73E9" w:rsidP="00335764">
            <w:pPr>
              <w:pStyle w:val="NormalWeb"/>
              <w:spacing w:before="0" w:after="0"/>
              <w:jc w:val="left"/>
              <w:textAlignment w:val="bottom"/>
              <w:rPr>
                <w:rFonts w:ascii="Arial" w:hAnsi="Arial" w:cs="Arial"/>
                <w:color w:val="000000"/>
                <w:spacing w:val="6"/>
                <w:sz w:val="20"/>
                <w:szCs w:val="20"/>
              </w:rPr>
            </w:pPr>
            <w:r w:rsidRPr="00335764">
              <w:rPr>
                <w:rFonts w:ascii="Arial" w:hAnsi="Arial" w:cs="Arial"/>
                <w:color w:val="000000"/>
                <w:spacing w:val="6"/>
                <w:sz w:val="20"/>
                <w:szCs w:val="20"/>
              </w:rPr>
              <w:t>16 211 385</w:t>
            </w:r>
          </w:p>
        </w:tc>
      </w:tr>
      <w:tr w:rsidR="004A73E9" w:rsidRPr="00335764" w:rsidTr="004A73E9">
        <w:tc>
          <w:tcPr>
            <w:tcW w:w="1836" w:type="pct"/>
            <w:shd w:val="clear" w:color="auto" w:fill="auto"/>
          </w:tcPr>
          <w:p w:rsidR="004A73E9" w:rsidRPr="00335764" w:rsidRDefault="004A73E9" w:rsidP="00335764">
            <w:pPr>
              <w:autoSpaceDE w:val="0"/>
              <w:autoSpaceDN w:val="0"/>
              <w:adjustRightInd w:val="0"/>
              <w:spacing w:line="240" w:lineRule="auto"/>
              <w:jc w:val="left"/>
              <w:rPr>
                <w:rFonts w:cs="Arial"/>
                <w:b/>
                <w:color w:val="000000" w:themeColor="text1"/>
                <w:spacing w:val="0"/>
                <w:sz w:val="20"/>
                <w:szCs w:val="20"/>
                <w:lang w:val="en-ZA" w:eastAsia="en-US"/>
              </w:rPr>
            </w:pPr>
            <w:r w:rsidRPr="00335764">
              <w:rPr>
                <w:rFonts w:cs="Arial"/>
                <w:b/>
                <w:color w:val="000000" w:themeColor="text1"/>
                <w:spacing w:val="0"/>
                <w:sz w:val="20"/>
                <w:szCs w:val="20"/>
                <w:lang w:val="en-ZA" w:eastAsia="en-US"/>
              </w:rPr>
              <w:t>Total</w:t>
            </w:r>
          </w:p>
        </w:tc>
        <w:tc>
          <w:tcPr>
            <w:tcW w:w="1055" w:type="pct"/>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bottom"/>
          </w:tcPr>
          <w:p w:rsidR="004A73E9" w:rsidRPr="00335764" w:rsidRDefault="004A73E9" w:rsidP="00335764">
            <w:pPr>
              <w:pStyle w:val="NormalWeb"/>
              <w:spacing w:before="0" w:after="0"/>
              <w:jc w:val="left"/>
              <w:textAlignment w:val="bottom"/>
              <w:rPr>
                <w:rFonts w:ascii="Arial" w:hAnsi="Arial" w:cs="Arial"/>
                <w:color w:val="000000"/>
                <w:spacing w:val="6"/>
                <w:sz w:val="20"/>
                <w:szCs w:val="20"/>
              </w:rPr>
            </w:pPr>
            <w:r w:rsidRPr="00335764">
              <w:rPr>
                <w:rFonts w:ascii="Arial" w:hAnsi="Arial" w:cs="Arial"/>
                <w:color w:val="000000"/>
                <w:spacing w:val="6"/>
                <w:sz w:val="20"/>
                <w:szCs w:val="20"/>
              </w:rPr>
              <w:t>360 386 000</w:t>
            </w:r>
          </w:p>
        </w:tc>
        <w:tc>
          <w:tcPr>
            <w:tcW w:w="1055" w:type="pct"/>
            <w:tcBorders>
              <w:top w:val="single" w:sz="8" w:space="0" w:color="000000"/>
              <w:left w:val="single" w:sz="4" w:space="0" w:color="000000"/>
              <w:bottom w:val="single" w:sz="8" w:space="0" w:color="000000"/>
              <w:right w:val="single" w:sz="4" w:space="0" w:color="000000"/>
            </w:tcBorders>
            <w:shd w:val="clear" w:color="auto" w:fill="auto"/>
            <w:vAlign w:val="bottom"/>
          </w:tcPr>
          <w:p w:rsidR="004A73E9" w:rsidRPr="00335764" w:rsidRDefault="004A73E9" w:rsidP="00335764">
            <w:pPr>
              <w:pStyle w:val="NormalWeb"/>
              <w:spacing w:before="0" w:after="0"/>
              <w:jc w:val="left"/>
              <w:textAlignment w:val="bottom"/>
              <w:rPr>
                <w:rFonts w:ascii="Arial" w:hAnsi="Arial" w:cs="Arial"/>
                <w:color w:val="000000"/>
                <w:spacing w:val="6"/>
                <w:sz w:val="20"/>
                <w:szCs w:val="20"/>
              </w:rPr>
            </w:pPr>
            <w:r w:rsidRPr="00335764">
              <w:rPr>
                <w:rFonts w:ascii="Arial" w:hAnsi="Arial" w:cs="Arial"/>
                <w:color w:val="000000"/>
                <w:spacing w:val="6"/>
                <w:sz w:val="20"/>
                <w:szCs w:val="20"/>
              </w:rPr>
              <w:t>377 288 842</w:t>
            </w:r>
          </w:p>
        </w:tc>
        <w:tc>
          <w:tcPr>
            <w:tcW w:w="1055" w:type="pct"/>
            <w:tcBorders>
              <w:top w:val="single" w:sz="8" w:space="0" w:color="000000"/>
              <w:left w:val="single" w:sz="4" w:space="0" w:color="000000"/>
              <w:bottom w:val="single" w:sz="8" w:space="0" w:color="000000"/>
              <w:right w:val="single" w:sz="8" w:space="0" w:color="000000"/>
            </w:tcBorders>
            <w:shd w:val="clear" w:color="auto" w:fill="auto"/>
            <w:vAlign w:val="bottom"/>
          </w:tcPr>
          <w:p w:rsidR="004A73E9" w:rsidRPr="00335764" w:rsidRDefault="004A73E9" w:rsidP="00335764">
            <w:pPr>
              <w:pStyle w:val="NormalWeb"/>
              <w:spacing w:before="0" w:after="0"/>
              <w:jc w:val="left"/>
              <w:textAlignment w:val="bottom"/>
              <w:rPr>
                <w:rFonts w:ascii="Arial" w:hAnsi="Arial" w:cs="Arial"/>
                <w:color w:val="000000"/>
                <w:spacing w:val="6"/>
                <w:sz w:val="20"/>
                <w:szCs w:val="20"/>
              </w:rPr>
            </w:pPr>
            <w:r w:rsidRPr="00335764">
              <w:rPr>
                <w:rFonts w:ascii="Arial" w:hAnsi="Arial" w:cs="Arial"/>
                <w:color w:val="000000"/>
                <w:spacing w:val="6"/>
                <w:sz w:val="20"/>
                <w:szCs w:val="20"/>
              </w:rPr>
              <w:t>394 191 383</w:t>
            </w:r>
          </w:p>
        </w:tc>
      </w:tr>
    </w:tbl>
    <w:p w:rsidR="00D06A04" w:rsidRPr="00335764" w:rsidRDefault="00D06A04" w:rsidP="00335764">
      <w:pPr>
        <w:autoSpaceDE w:val="0"/>
        <w:autoSpaceDN w:val="0"/>
        <w:adjustRightInd w:val="0"/>
        <w:spacing w:line="240" w:lineRule="auto"/>
        <w:jc w:val="left"/>
        <w:rPr>
          <w:rFonts w:cs="Arial"/>
          <w:sz w:val="20"/>
          <w:szCs w:val="20"/>
        </w:rPr>
      </w:pPr>
    </w:p>
    <w:p w:rsidR="00D06A04" w:rsidRPr="00335764" w:rsidRDefault="00D06A04" w:rsidP="00335764">
      <w:pPr>
        <w:numPr>
          <w:ilvl w:val="1"/>
          <w:numId w:val="1"/>
        </w:numPr>
        <w:autoSpaceDE w:val="0"/>
        <w:autoSpaceDN w:val="0"/>
        <w:adjustRightInd w:val="0"/>
        <w:spacing w:line="240" w:lineRule="auto"/>
        <w:ind w:left="851" w:hanging="851"/>
        <w:jc w:val="left"/>
        <w:rPr>
          <w:rFonts w:cs="Arial"/>
          <w:sz w:val="20"/>
          <w:szCs w:val="20"/>
          <w:lang w:val="en-ZA"/>
        </w:rPr>
      </w:pPr>
      <w:r w:rsidRPr="00335764">
        <w:rPr>
          <w:rFonts w:cs="Arial"/>
          <w:sz w:val="20"/>
          <w:szCs w:val="20"/>
        </w:rPr>
        <w:t>Spending on personnel costs in the 202</w:t>
      </w:r>
      <w:r w:rsidR="004A73E9" w:rsidRPr="00335764">
        <w:rPr>
          <w:rFonts w:cs="Arial"/>
          <w:sz w:val="20"/>
          <w:szCs w:val="20"/>
        </w:rPr>
        <w:t>3</w:t>
      </w:r>
      <w:r w:rsidRPr="00335764">
        <w:rPr>
          <w:rFonts w:cs="Arial"/>
          <w:sz w:val="20"/>
          <w:szCs w:val="20"/>
        </w:rPr>
        <w:t>/2</w:t>
      </w:r>
      <w:r w:rsidR="004A73E9" w:rsidRPr="00335764">
        <w:rPr>
          <w:rFonts w:cs="Arial"/>
          <w:sz w:val="20"/>
          <w:szCs w:val="20"/>
        </w:rPr>
        <w:t>4</w:t>
      </w:r>
      <w:r w:rsidRPr="00335764">
        <w:rPr>
          <w:rFonts w:cs="Arial"/>
          <w:sz w:val="20"/>
          <w:szCs w:val="20"/>
        </w:rPr>
        <w:t xml:space="preserve"> financial year will amount to R2</w:t>
      </w:r>
      <w:r w:rsidR="004A73E9" w:rsidRPr="00335764">
        <w:rPr>
          <w:rFonts w:cs="Arial"/>
          <w:sz w:val="20"/>
          <w:szCs w:val="20"/>
        </w:rPr>
        <w:t>76.1</w:t>
      </w:r>
      <w:r w:rsidRPr="00335764">
        <w:rPr>
          <w:rFonts w:cs="Arial"/>
          <w:sz w:val="20"/>
          <w:szCs w:val="20"/>
        </w:rPr>
        <w:t xml:space="preserve"> million, which represents 75% of the entire allocation. Spending on Goods and services amounts to R</w:t>
      </w:r>
      <w:r w:rsidR="004A73E9" w:rsidRPr="00335764">
        <w:rPr>
          <w:rFonts w:cs="Arial"/>
          <w:sz w:val="20"/>
          <w:szCs w:val="20"/>
        </w:rPr>
        <w:t xml:space="preserve">90.7 </w:t>
      </w:r>
      <w:r w:rsidRPr="00335764">
        <w:rPr>
          <w:rFonts w:cs="Arial"/>
          <w:sz w:val="20"/>
          <w:szCs w:val="20"/>
        </w:rPr>
        <w:t>million (2</w:t>
      </w:r>
      <w:r w:rsidR="004A73E9" w:rsidRPr="00335764">
        <w:rPr>
          <w:rFonts w:cs="Arial"/>
          <w:sz w:val="20"/>
          <w:szCs w:val="20"/>
        </w:rPr>
        <w:t>2</w:t>
      </w:r>
      <w:r w:rsidRPr="00335764">
        <w:rPr>
          <w:rFonts w:cs="Arial"/>
          <w:sz w:val="20"/>
          <w:szCs w:val="20"/>
        </w:rPr>
        <w:t>%</w:t>
      </w:r>
      <w:r w:rsidR="004A73E9" w:rsidRPr="00335764">
        <w:rPr>
          <w:rFonts w:cs="Arial"/>
          <w:sz w:val="20"/>
          <w:szCs w:val="20"/>
        </w:rPr>
        <w:t>).</w:t>
      </w:r>
    </w:p>
    <w:p w:rsidR="00D06A04" w:rsidRPr="00335764" w:rsidRDefault="00D06A04" w:rsidP="00335764">
      <w:pPr>
        <w:autoSpaceDE w:val="0"/>
        <w:autoSpaceDN w:val="0"/>
        <w:adjustRightInd w:val="0"/>
        <w:spacing w:line="240" w:lineRule="auto"/>
        <w:ind w:left="851"/>
        <w:jc w:val="left"/>
        <w:rPr>
          <w:rFonts w:cs="Arial"/>
          <w:sz w:val="20"/>
          <w:szCs w:val="20"/>
          <w:lang w:val="en-ZA"/>
        </w:rPr>
      </w:pPr>
    </w:p>
    <w:p w:rsidR="000C514A" w:rsidRPr="00335764" w:rsidRDefault="004A73E9"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T</w:t>
      </w:r>
      <w:r w:rsidR="000C514A" w:rsidRPr="00335764">
        <w:rPr>
          <w:rFonts w:cs="Arial"/>
          <w:sz w:val="20"/>
          <w:szCs w:val="20"/>
        </w:rPr>
        <w:t>he 2022 MTEF provide</w:t>
      </w:r>
      <w:r w:rsidRPr="00335764">
        <w:rPr>
          <w:rFonts w:cs="Arial"/>
          <w:sz w:val="20"/>
          <w:szCs w:val="20"/>
        </w:rPr>
        <w:t>d</w:t>
      </w:r>
      <w:r w:rsidR="000C514A" w:rsidRPr="00335764">
        <w:rPr>
          <w:rFonts w:cs="Arial"/>
          <w:sz w:val="20"/>
          <w:szCs w:val="20"/>
        </w:rPr>
        <w:t xml:space="preserve"> for additional funding over the medium term of </w:t>
      </w:r>
      <w:r w:rsidR="00D554BC" w:rsidRPr="00335764">
        <w:rPr>
          <w:rFonts w:cs="Arial"/>
          <w:sz w:val="20"/>
          <w:szCs w:val="20"/>
        </w:rPr>
        <w:t xml:space="preserve">R15.2 million in 2023/24 and R16.6 million in 2024/25, and funds were also allocated for the institution to invest in information and communication technology. </w:t>
      </w:r>
    </w:p>
    <w:p w:rsidR="00F80471" w:rsidRPr="00335764" w:rsidRDefault="00F80471" w:rsidP="00335764">
      <w:pPr>
        <w:autoSpaceDE w:val="0"/>
        <w:autoSpaceDN w:val="0"/>
        <w:adjustRightInd w:val="0"/>
        <w:spacing w:line="240" w:lineRule="auto"/>
        <w:ind w:left="851"/>
        <w:jc w:val="left"/>
        <w:rPr>
          <w:rFonts w:cs="Arial"/>
          <w:sz w:val="20"/>
          <w:szCs w:val="20"/>
        </w:rPr>
      </w:pPr>
    </w:p>
    <w:p w:rsidR="00D554BC" w:rsidRPr="00335764" w:rsidRDefault="00D554BC"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The PPSA reports the following funding needs:</w:t>
      </w:r>
    </w:p>
    <w:p w:rsidR="00D554BC" w:rsidRPr="00335764" w:rsidRDefault="00D554BC" w:rsidP="00335764">
      <w:pPr>
        <w:autoSpaceDE w:val="0"/>
        <w:autoSpaceDN w:val="0"/>
        <w:adjustRightInd w:val="0"/>
        <w:spacing w:line="240" w:lineRule="auto"/>
        <w:ind w:left="851"/>
        <w:jc w:val="left"/>
        <w:rPr>
          <w:rFonts w:cs="Arial"/>
          <w:color w:val="auto"/>
          <w:sz w:val="20"/>
          <w:szCs w:val="20"/>
        </w:rPr>
      </w:pPr>
    </w:p>
    <w:tbl>
      <w:tblPr>
        <w:tblW w:w="0" w:type="auto"/>
        <w:shd w:val="clear" w:color="auto" w:fill="FFFFFF" w:themeFill="background1"/>
        <w:tblCellMar>
          <w:left w:w="0" w:type="dxa"/>
          <w:right w:w="0" w:type="dxa"/>
        </w:tblCellMar>
        <w:tblLook w:val="0600"/>
      </w:tblPr>
      <w:tblGrid>
        <w:gridCol w:w="3357"/>
        <w:gridCol w:w="2025"/>
        <w:gridCol w:w="2025"/>
        <w:gridCol w:w="2025"/>
      </w:tblGrid>
      <w:tr w:rsidR="00D554BC" w:rsidRPr="00335764" w:rsidTr="009F2784">
        <w:trPr>
          <w:trHeight w:val="836"/>
          <w:tblHeader/>
        </w:trPr>
        <w:tc>
          <w:tcPr>
            <w:tcW w:w="0" w:type="auto"/>
            <w:tcBorders>
              <w:top w:val="single" w:sz="8" w:space="0" w:color="000000"/>
              <w:left w:val="single" w:sz="8" w:space="0" w:color="000000"/>
              <w:bottom w:val="single" w:sz="4" w:space="0" w:color="000000"/>
              <w:right w:val="single" w:sz="8" w:space="0" w:color="000000"/>
            </w:tcBorders>
            <w:shd w:val="clear" w:color="auto" w:fill="D9D9D9" w:themeFill="background1" w:themeFillShade="D9"/>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jc w:val="left"/>
              <w:rPr>
                <w:rFonts w:cs="Arial"/>
                <w:caps/>
                <w:color w:val="auto"/>
                <w:sz w:val="20"/>
                <w:szCs w:val="20"/>
                <w:lang w:val="en-ZA"/>
              </w:rPr>
            </w:pPr>
            <w:r w:rsidRPr="00335764">
              <w:rPr>
                <w:rFonts w:cs="Arial"/>
                <w:b/>
                <w:bCs/>
                <w:caps/>
                <w:color w:val="auto"/>
                <w:sz w:val="20"/>
                <w:szCs w:val="20"/>
                <w:lang w:val="en-ZA"/>
              </w:rPr>
              <w:t>Description</w:t>
            </w:r>
          </w:p>
        </w:tc>
        <w:tc>
          <w:tcPr>
            <w:tcW w:w="0" w:type="auto"/>
            <w:tcBorders>
              <w:top w:val="single" w:sz="8" w:space="0" w:color="000000"/>
              <w:left w:val="single" w:sz="8" w:space="0" w:color="000000"/>
              <w:bottom w:val="single" w:sz="4" w:space="0" w:color="000000"/>
              <w:right w:val="single" w:sz="8" w:space="0" w:color="000000"/>
            </w:tcBorders>
            <w:shd w:val="clear" w:color="auto" w:fill="D9D9D9" w:themeFill="background1" w:themeFillShade="D9"/>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ind w:left="851"/>
              <w:jc w:val="left"/>
              <w:rPr>
                <w:rFonts w:cs="Arial"/>
                <w:caps/>
                <w:color w:val="auto"/>
                <w:sz w:val="20"/>
                <w:szCs w:val="20"/>
                <w:lang w:val="en-ZA"/>
              </w:rPr>
            </w:pPr>
            <w:r w:rsidRPr="00335764">
              <w:rPr>
                <w:rFonts w:cs="Arial"/>
                <w:b/>
                <w:bCs/>
                <w:caps/>
                <w:color w:val="auto"/>
                <w:sz w:val="20"/>
                <w:szCs w:val="20"/>
                <w:lang w:val="en-ZA"/>
              </w:rPr>
              <w:t>Budget 2023/24</w:t>
            </w:r>
          </w:p>
        </w:tc>
        <w:tc>
          <w:tcPr>
            <w:tcW w:w="0" w:type="auto"/>
            <w:tcBorders>
              <w:top w:val="single" w:sz="8" w:space="0" w:color="000000"/>
              <w:left w:val="single" w:sz="8" w:space="0" w:color="000000"/>
              <w:bottom w:val="single" w:sz="4" w:space="0" w:color="000000"/>
              <w:right w:val="single" w:sz="8" w:space="0" w:color="000000"/>
            </w:tcBorders>
            <w:shd w:val="clear" w:color="auto" w:fill="D9D9D9" w:themeFill="background1" w:themeFillShade="D9"/>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ind w:left="851"/>
              <w:jc w:val="left"/>
              <w:rPr>
                <w:rFonts w:cs="Arial"/>
                <w:caps/>
                <w:color w:val="auto"/>
                <w:sz w:val="20"/>
                <w:szCs w:val="20"/>
                <w:lang w:val="en-ZA"/>
              </w:rPr>
            </w:pPr>
            <w:r w:rsidRPr="00335764">
              <w:rPr>
                <w:rFonts w:cs="Arial"/>
                <w:b/>
                <w:bCs/>
                <w:caps/>
                <w:color w:val="auto"/>
                <w:sz w:val="20"/>
                <w:szCs w:val="20"/>
                <w:lang w:val="en-ZA"/>
              </w:rPr>
              <w:t>Budget 2024/25</w:t>
            </w:r>
          </w:p>
        </w:tc>
        <w:tc>
          <w:tcPr>
            <w:tcW w:w="0" w:type="auto"/>
            <w:tcBorders>
              <w:top w:val="single" w:sz="8" w:space="0" w:color="000000"/>
              <w:left w:val="single" w:sz="8" w:space="0" w:color="000000"/>
              <w:bottom w:val="single" w:sz="4" w:space="0" w:color="000000"/>
              <w:right w:val="single" w:sz="8" w:space="0" w:color="000000"/>
            </w:tcBorders>
            <w:shd w:val="clear" w:color="auto" w:fill="D9D9D9" w:themeFill="background1" w:themeFillShade="D9"/>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ind w:left="851"/>
              <w:jc w:val="left"/>
              <w:rPr>
                <w:rFonts w:cs="Arial"/>
                <w:caps/>
                <w:color w:val="auto"/>
                <w:sz w:val="20"/>
                <w:szCs w:val="20"/>
                <w:lang w:val="en-ZA"/>
              </w:rPr>
            </w:pPr>
            <w:r w:rsidRPr="00335764">
              <w:rPr>
                <w:rFonts w:cs="Arial"/>
                <w:b/>
                <w:bCs/>
                <w:caps/>
                <w:color w:val="auto"/>
                <w:sz w:val="20"/>
                <w:szCs w:val="20"/>
                <w:lang w:val="en-ZA"/>
              </w:rPr>
              <w:t>Budget 2025/26</w:t>
            </w:r>
          </w:p>
        </w:tc>
      </w:tr>
      <w:tr w:rsidR="00D554BC" w:rsidRPr="00335764" w:rsidTr="00D554BC">
        <w:trPr>
          <w:trHeight w:val="836"/>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jc w:val="left"/>
              <w:rPr>
                <w:rFonts w:cs="Arial"/>
                <w:color w:val="auto"/>
                <w:sz w:val="20"/>
                <w:szCs w:val="20"/>
                <w:lang w:val="en-ZA"/>
              </w:rPr>
            </w:pPr>
            <w:r w:rsidRPr="00335764">
              <w:rPr>
                <w:rFonts w:cs="Arial"/>
                <w:color w:val="auto"/>
                <w:sz w:val="20"/>
                <w:szCs w:val="20"/>
                <w:lang w:val="en-ZA"/>
              </w:rPr>
              <w:t>Funding of critical positions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jc w:val="left"/>
              <w:rPr>
                <w:rFonts w:cs="Arial"/>
                <w:color w:val="auto"/>
                <w:sz w:val="20"/>
                <w:szCs w:val="20"/>
                <w:lang w:val="en-ZA"/>
              </w:rPr>
            </w:pPr>
            <w:r w:rsidRPr="00335764">
              <w:rPr>
                <w:rFonts w:cs="Arial"/>
                <w:color w:val="auto"/>
                <w:sz w:val="20"/>
                <w:szCs w:val="20"/>
                <w:lang w:val="en-ZA"/>
              </w:rPr>
              <w:t>15 153 073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jc w:val="left"/>
              <w:rPr>
                <w:rFonts w:cs="Arial"/>
                <w:color w:val="auto"/>
                <w:sz w:val="20"/>
                <w:szCs w:val="20"/>
                <w:lang w:val="en-ZA"/>
              </w:rPr>
            </w:pPr>
            <w:r w:rsidRPr="00335764">
              <w:rPr>
                <w:rFonts w:cs="Arial"/>
                <w:color w:val="auto"/>
                <w:sz w:val="20"/>
                <w:szCs w:val="20"/>
                <w:lang w:val="en-ZA"/>
              </w:rPr>
              <w:t>15 153 073</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jc w:val="left"/>
              <w:rPr>
                <w:rFonts w:cs="Arial"/>
                <w:color w:val="auto"/>
                <w:sz w:val="20"/>
                <w:szCs w:val="20"/>
                <w:lang w:val="en-ZA"/>
              </w:rPr>
            </w:pPr>
            <w:r w:rsidRPr="00335764">
              <w:rPr>
                <w:rFonts w:cs="Arial"/>
                <w:color w:val="auto"/>
                <w:sz w:val="20"/>
                <w:szCs w:val="20"/>
                <w:lang w:val="en-ZA"/>
              </w:rPr>
              <w:t>15 833 446</w:t>
            </w:r>
          </w:p>
        </w:tc>
      </w:tr>
      <w:tr w:rsidR="00D554BC" w:rsidRPr="00335764" w:rsidTr="00D554BC">
        <w:trPr>
          <w:trHeight w:val="836"/>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jc w:val="left"/>
              <w:rPr>
                <w:rFonts w:cs="Arial"/>
                <w:color w:val="auto"/>
                <w:sz w:val="20"/>
                <w:szCs w:val="20"/>
                <w:lang w:val="en-ZA"/>
              </w:rPr>
            </w:pPr>
            <w:r w:rsidRPr="00335764">
              <w:rPr>
                <w:rFonts w:cs="Arial"/>
                <w:color w:val="auto"/>
                <w:sz w:val="20"/>
                <w:szCs w:val="20"/>
                <w:lang w:val="en-ZA"/>
              </w:rPr>
              <w:lastRenderedPageBreak/>
              <w:t>Subject Matter Expects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jc w:val="left"/>
              <w:rPr>
                <w:rFonts w:cs="Arial"/>
                <w:color w:val="auto"/>
                <w:sz w:val="20"/>
                <w:szCs w:val="20"/>
                <w:lang w:val="en-ZA"/>
              </w:rPr>
            </w:pPr>
            <w:r w:rsidRPr="00335764">
              <w:rPr>
                <w:rFonts w:cs="Arial"/>
                <w:color w:val="auto"/>
                <w:sz w:val="20"/>
                <w:szCs w:val="20"/>
                <w:lang w:val="en-ZA"/>
              </w:rPr>
              <w:t>2 000 000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jc w:val="left"/>
              <w:rPr>
                <w:rFonts w:cs="Arial"/>
                <w:color w:val="auto"/>
                <w:sz w:val="20"/>
                <w:szCs w:val="20"/>
                <w:lang w:val="en-ZA"/>
              </w:rPr>
            </w:pPr>
            <w:r w:rsidRPr="00335764">
              <w:rPr>
                <w:rFonts w:cs="Arial"/>
                <w:color w:val="auto"/>
                <w:sz w:val="20"/>
                <w:szCs w:val="20"/>
                <w:lang w:val="en-ZA"/>
              </w:rPr>
              <w:t>1 000 000</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jc w:val="left"/>
              <w:rPr>
                <w:rFonts w:cs="Arial"/>
                <w:color w:val="auto"/>
                <w:sz w:val="20"/>
                <w:szCs w:val="20"/>
                <w:lang w:val="en-ZA"/>
              </w:rPr>
            </w:pPr>
            <w:r w:rsidRPr="00335764">
              <w:rPr>
                <w:rFonts w:cs="Arial"/>
                <w:color w:val="auto"/>
                <w:sz w:val="20"/>
                <w:szCs w:val="20"/>
                <w:lang w:val="en-ZA"/>
              </w:rPr>
              <w:t>1 000 000</w:t>
            </w:r>
          </w:p>
        </w:tc>
      </w:tr>
      <w:tr w:rsidR="00D554BC" w:rsidRPr="00335764" w:rsidTr="00D554BC">
        <w:trPr>
          <w:trHeight w:val="836"/>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jc w:val="left"/>
              <w:rPr>
                <w:rFonts w:cs="Arial"/>
                <w:color w:val="auto"/>
                <w:sz w:val="20"/>
                <w:szCs w:val="20"/>
                <w:lang w:val="en-ZA"/>
              </w:rPr>
            </w:pPr>
            <w:r w:rsidRPr="00335764">
              <w:rPr>
                <w:rFonts w:cs="Arial"/>
                <w:color w:val="auto"/>
                <w:sz w:val="20"/>
                <w:szCs w:val="20"/>
                <w:lang w:val="en-ZA"/>
              </w:rPr>
              <w:t>Learning and Development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jc w:val="left"/>
              <w:rPr>
                <w:rFonts w:cs="Arial"/>
                <w:color w:val="auto"/>
                <w:sz w:val="20"/>
                <w:szCs w:val="20"/>
                <w:lang w:val="en-ZA"/>
              </w:rPr>
            </w:pPr>
            <w:r w:rsidRPr="00335764">
              <w:rPr>
                <w:rFonts w:cs="Arial"/>
                <w:color w:val="auto"/>
                <w:sz w:val="20"/>
                <w:szCs w:val="20"/>
                <w:lang w:val="en-ZA"/>
              </w:rPr>
              <w:t>2 000 000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jc w:val="left"/>
              <w:rPr>
                <w:rFonts w:cs="Arial"/>
                <w:color w:val="auto"/>
                <w:sz w:val="20"/>
                <w:szCs w:val="20"/>
                <w:lang w:val="en-ZA"/>
              </w:rPr>
            </w:pPr>
            <w:r w:rsidRPr="00335764">
              <w:rPr>
                <w:rFonts w:cs="Arial"/>
                <w:color w:val="auto"/>
                <w:sz w:val="20"/>
                <w:szCs w:val="20"/>
                <w:lang w:val="en-ZA"/>
              </w:rPr>
              <w:t>2 090 000</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jc w:val="left"/>
              <w:rPr>
                <w:rFonts w:cs="Arial"/>
                <w:color w:val="auto"/>
                <w:sz w:val="20"/>
                <w:szCs w:val="20"/>
                <w:lang w:val="en-ZA"/>
              </w:rPr>
            </w:pPr>
            <w:r w:rsidRPr="00335764">
              <w:rPr>
                <w:rFonts w:cs="Arial"/>
                <w:color w:val="auto"/>
                <w:sz w:val="20"/>
                <w:szCs w:val="20"/>
                <w:lang w:val="en-ZA"/>
              </w:rPr>
              <w:t>2 184 050</w:t>
            </w:r>
          </w:p>
        </w:tc>
      </w:tr>
      <w:tr w:rsidR="00D554BC" w:rsidRPr="00335764" w:rsidTr="00D554BC">
        <w:trPr>
          <w:trHeight w:val="97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jc w:val="left"/>
              <w:rPr>
                <w:rFonts w:cs="Arial"/>
                <w:color w:val="auto"/>
                <w:sz w:val="20"/>
                <w:szCs w:val="20"/>
                <w:lang w:val="en-ZA"/>
              </w:rPr>
            </w:pPr>
            <w:r w:rsidRPr="00335764">
              <w:rPr>
                <w:rFonts w:cs="Arial"/>
                <w:color w:val="auto"/>
                <w:sz w:val="20"/>
                <w:szCs w:val="20"/>
                <w:lang w:val="en-ZA"/>
              </w:rPr>
              <w:t xml:space="preserve">Digitisation: E-library, CSM enhancement and Practise Management System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jc w:val="left"/>
              <w:rPr>
                <w:rFonts w:cs="Arial"/>
                <w:color w:val="auto"/>
                <w:sz w:val="20"/>
                <w:szCs w:val="20"/>
                <w:lang w:val="en-ZA"/>
              </w:rPr>
            </w:pPr>
            <w:r w:rsidRPr="00335764">
              <w:rPr>
                <w:rFonts w:cs="Arial"/>
                <w:color w:val="auto"/>
                <w:sz w:val="20"/>
                <w:szCs w:val="20"/>
                <w:lang w:val="en-ZA"/>
              </w:rPr>
              <w:t>3 000 000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jc w:val="left"/>
              <w:rPr>
                <w:rFonts w:cs="Arial"/>
                <w:color w:val="auto"/>
                <w:sz w:val="20"/>
                <w:szCs w:val="20"/>
                <w:lang w:val="en-ZA"/>
              </w:rPr>
            </w:pPr>
            <w:r w:rsidRPr="00335764">
              <w:rPr>
                <w:rFonts w:cs="Arial"/>
                <w:color w:val="auto"/>
                <w:sz w:val="20"/>
                <w:szCs w:val="20"/>
                <w:lang w:val="en-ZA"/>
              </w:rPr>
              <w:t>3 135 000</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jc w:val="left"/>
              <w:rPr>
                <w:rFonts w:cs="Arial"/>
                <w:color w:val="auto"/>
                <w:sz w:val="20"/>
                <w:szCs w:val="20"/>
                <w:lang w:val="en-ZA"/>
              </w:rPr>
            </w:pPr>
            <w:r w:rsidRPr="00335764">
              <w:rPr>
                <w:rFonts w:cs="Arial"/>
                <w:color w:val="auto"/>
                <w:sz w:val="20"/>
                <w:szCs w:val="20"/>
                <w:lang w:val="en-ZA"/>
              </w:rPr>
              <w:t>3 276 075</w:t>
            </w:r>
          </w:p>
        </w:tc>
      </w:tr>
      <w:tr w:rsidR="00D554BC" w:rsidRPr="00335764" w:rsidTr="00D554BC">
        <w:trPr>
          <w:trHeight w:val="863"/>
        </w:trPr>
        <w:tc>
          <w:tcPr>
            <w:tcW w:w="0" w:type="auto"/>
            <w:tcBorders>
              <w:top w:val="single" w:sz="4" w:space="0" w:color="000000"/>
              <w:left w:val="single" w:sz="8" w:space="0" w:color="000000"/>
              <w:bottom w:val="single" w:sz="8" w:space="0" w:color="000000"/>
              <w:right w:val="single" w:sz="4" w:space="0" w:color="000000"/>
            </w:tcBorders>
            <w:shd w:val="clear" w:color="auto" w:fill="FFFFFF" w:themeFill="background1"/>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jc w:val="left"/>
              <w:rPr>
                <w:rFonts w:cs="Arial"/>
                <w:color w:val="auto"/>
                <w:sz w:val="20"/>
                <w:szCs w:val="20"/>
                <w:lang w:val="en-ZA"/>
              </w:rPr>
            </w:pPr>
            <w:r w:rsidRPr="00335764">
              <w:rPr>
                <w:rFonts w:cs="Arial"/>
                <w:b/>
                <w:bCs/>
                <w:color w:val="auto"/>
                <w:sz w:val="20"/>
                <w:szCs w:val="20"/>
                <w:lang w:val="en-ZA"/>
              </w:rPr>
              <w:t>Total</w:t>
            </w:r>
          </w:p>
        </w:tc>
        <w:tc>
          <w:tcPr>
            <w:tcW w:w="0" w:type="auto"/>
            <w:tcBorders>
              <w:top w:val="single" w:sz="4" w:space="0" w:color="000000"/>
              <w:left w:val="single" w:sz="4" w:space="0" w:color="000000"/>
              <w:bottom w:val="single" w:sz="8" w:space="0" w:color="000000"/>
              <w:right w:val="single" w:sz="4" w:space="0" w:color="000000"/>
            </w:tcBorders>
            <w:shd w:val="clear" w:color="auto" w:fill="FFFFFF" w:themeFill="background1"/>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jc w:val="left"/>
              <w:rPr>
                <w:rFonts w:cs="Arial"/>
                <w:color w:val="auto"/>
                <w:sz w:val="20"/>
                <w:szCs w:val="20"/>
                <w:lang w:val="en-ZA"/>
              </w:rPr>
            </w:pPr>
            <w:r w:rsidRPr="00335764">
              <w:rPr>
                <w:rFonts w:cs="Arial"/>
                <w:b/>
                <w:bCs/>
                <w:color w:val="auto"/>
                <w:sz w:val="20"/>
                <w:szCs w:val="20"/>
                <w:lang w:val="en-ZA"/>
              </w:rPr>
              <w:t>22 153 073</w:t>
            </w:r>
          </w:p>
        </w:tc>
        <w:tc>
          <w:tcPr>
            <w:tcW w:w="0" w:type="auto"/>
            <w:tcBorders>
              <w:top w:val="single" w:sz="4" w:space="0" w:color="000000"/>
              <w:left w:val="single" w:sz="4" w:space="0" w:color="000000"/>
              <w:bottom w:val="single" w:sz="8" w:space="0" w:color="000000"/>
              <w:right w:val="single" w:sz="4" w:space="0" w:color="000000"/>
            </w:tcBorders>
            <w:shd w:val="clear" w:color="auto" w:fill="FFFFFF" w:themeFill="background1"/>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jc w:val="left"/>
              <w:rPr>
                <w:rFonts w:cs="Arial"/>
                <w:color w:val="auto"/>
                <w:sz w:val="20"/>
                <w:szCs w:val="20"/>
                <w:lang w:val="en-ZA"/>
              </w:rPr>
            </w:pPr>
            <w:r w:rsidRPr="00335764">
              <w:rPr>
                <w:rFonts w:cs="Arial"/>
                <w:b/>
                <w:bCs/>
                <w:color w:val="auto"/>
                <w:sz w:val="20"/>
                <w:szCs w:val="20"/>
                <w:lang w:val="en-ZA"/>
              </w:rPr>
              <w:t>21 378 073</w:t>
            </w:r>
          </w:p>
        </w:tc>
        <w:tc>
          <w:tcPr>
            <w:tcW w:w="0" w:type="auto"/>
            <w:tcBorders>
              <w:top w:val="single" w:sz="4" w:space="0" w:color="000000"/>
              <w:left w:val="single" w:sz="4" w:space="0" w:color="000000"/>
              <w:bottom w:val="single" w:sz="8" w:space="0" w:color="000000"/>
              <w:right w:val="single" w:sz="8" w:space="0" w:color="000000"/>
            </w:tcBorders>
            <w:shd w:val="clear" w:color="auto" w:fill="FFFFFF" w:themeFill="background1"/>
            <w:tcMar>
              <w:top w:w="10" w:type="dxa"/>
              <w:left w:w="10" w:type="dxa"/>
              <w:bottom w:w="0" w:type="dxa"/>
              <w:right w:w="10" w:type="dxa"/>
            </w:tcMar>
            <w:hideMark/>
          </w:tcPr>
          <w:p w:rsidR="00D554BC" w:rsidRPr="00335764" w:rsidRDefault="00D554BC" w:rsidP="00335764">
            <w:pPr>
              <w:autoSpaceDE w:val="0"/>
              <w:autoSpaceDN w:val="0"/>
              <w:adjustRightInd w:val="0"/>
              <w:spacing w:line="240" w:lineRule="auto"/>
              <w:jc w:val="left"/>
              <w:rPr>
                <w:rFonts w:cs="Arial"/>
                <w:color w:val="auto"/>
                <w:sz w:val="20"/>
                <w:szCs w:val="20"/>
                <w:lang w:val="en-ZA"/>
              </w:rPr>
            </w:pPr>
            <w:r w:rsidRPr="00335764">
              <w:rPr>
                <w:rFonts w:cs="Arial"/>
                <w:b/>
                <w:bCs/>
                <w:color w:val="auto"/>
                <w:sz w:val="20"/>
                <w:szCs w:val="20"/>
                <w:lang w:val="en-ZA"/>
              </w:rPr>
              <w:t>22 293 571</w:t>
            </w:r>
          </w:p>
        </w:tc>
      </w:tr>
    </w:tbl>
    <w:p w:rsidR="00D554BC" w:rsidRPr="00335764" w:rsidRDefault="00D554BC" w:rsidP="00335764">
      <w:pPr>
        <w:autoSpaceDE w:val="0"/>
        <w:autoSpaceDN w:val="0"/>
        <w:adjustRightInd w:val="0"/>
        <w:spacing w:line="240" w:lineRule="auto"/>
        <w:ind w:left="851"/>
        <w:jc w:val="left"/>
        <w:rPr>
          <w:rFonts w:cs="Arial"/>
          <w:color w:val="auto"/>
          <w:sz w:val="20"/>
          <w:szCs w:val="20"/>
        </w:rPr>
      </w:pPr>
    </w:p>
    <w:p w:rsidR="00321762" w:rsidRPr="00335764" w:rsidRDefault="00D554BC" w:rsidP="00335764">
      <w:pPr>
        <w:pStyle w:val="ListParagraph"/>
        <w:numPr>
          <w:ilvl w:val="2"/>
          <w:numId w:val="1"/>
        </w:numPr>
        <w:autoSpaceDE w:val="0"/>
        <w:autoSpaceDN w:val="0"/>
        <w:adjustRightInd w:val="0"/>
        <w:spacing w:line="240" w:lineRule="auto"/>
        <w:ind w:hanging="862"/>
        <w:jc w:val="left"/>
        <w:rPr>
          <w:rFonts w:cs="Arial"/>
          <w:sz w:val="20"/>
          <w:szCs w:val="20"/>
          <w:lang w:val="en-ZA"/>
        </w:rPr>
      </w:pPr>
      <w:r w:rsidRPr="00335764">
        <w:rPr>
          <w:rFonts w:cs="Arial"/>
          <w:bCs/>
          <w:i/>
          <w:sz w:val="20"/>
          <w:szCs w:val="20"/>
          <w:lang w:val="en-ZA"/>
        </w:rPr>
        <w:t>Funding of critical positions</w:t>
      </w:r>
      <w:r w:rsidRPr="00335764">
        <w:rPr>
          <w:rFonts w:cs="Arial"/>
          <w:bCs/>
          <w:sz w:val="20"/>
          <w:szCs w:val="20"/>
          <w:lang w:val="en-ZA"/>
        </w:rPr>
        <w:t xml:space="preserve">: </w:t>
      </w:r>
      <w:r w:rsidR="003D17B4" w:rsidRPr="00335764">
        <w:rPr>
          <w:rFonts w:cs="Arial"/>
          <w:sz w:val="20"/>
          <w:szCs w:val="20"/>
          <w:lang w:val="en-ZA"/>
        </w:rPr>
        <w:t xml:space="preserve">The Work study and skills audit has been finalised. The recommendation based on the administrative workload analysis, is to appoint more administrative staff proportionate </w:t>
      </w:r>
      <w:r w:rsidRPr="00335764">
        <w:rPr>
          <w:rFonts w:cs="Arial"/>
          <w:sz w:val="20"/>
          <w:szCs w:val="20"/>
          <w:lang w:val="en-ZA"/>
        </w:rPr>
        <w:t xml:space="preserve">to the investigation </w:t>
      </w:r>
      <w:r w:rsidR="00703E27" w:rsidRPr="00335764">
        <w:rPr>
          <w:rFonts w:cs="Arial"/>
          <w:sz w:val="20"/>
          <w:szCs w:val="20"/>
          <w:lang w:val="en-ZA"/>
        </w:rPr>
        <w:t>workload</w:t>
      </w:r>
      <w:r w:rsidRPr="00335764">
        <w:rPr>
          <w:rFonts w:cs="Arial"/>
          <w:sz w:val="20"/>
          <w:szCs w:val="20"/>
          <w:lang w:val="en-ZA"/>
        </w:rPr>
        <w:t xml:space="preserve">. </w:t>
      </w:r>
      <w:r w:rsidR="003D17B4" w:rsidRPr="00335764">
        <w:rPr>
          <w:rFonts w:cs="Arial"/>
          <w:sz w:val="20"/>
          <w:szCs w:val="20"/>
          <w:lang w:val="en-ZA"/>
        </w:rPr>
        <w:t xml:space="preserve">22 positions were prioritised for filling over the MTEF to the value of R15.1 </w:t>
      </w:r>
      <w:r w:rsidR="00703E27" w:rsidRPr="00335764">
        <w:rPr>
          <w:rFonts w:cs="Arial"/>
          <w:sz w:val="20"/>
          <w:szCs w:val="20"/>
          <w:lang w:val="en-ZA"/>
        </w:rPr>
        <w:t>million but</w:t>
      </w:r>
      <w:r w:rsidR="003D17B4" w:rsidRPr="00335764">
        <w:rPr>
          <w:rFonts w:cs="Arial"/>
          <w:sz w:val="20"/>
          <w:szCs w:val="20"/>
          <w:lang w:val="en-ZA"/>
        </w:rPr>
        <w:t xml:space="preserve"> could n</w:t>
      </w:r>
      <w:r w:rsidRPr="00335764">
        <w:rPr>
          <w:rFonts w:cs="Arial"/>
          <w:sz w:val="20"/>
          <w:szCs w:val="20"/>
          <w:lang w:val="en-ZA"/>
        </w:rPr>
        <w:t xml:space="preserve">ot be filled due to budget cuts. </w:t>
      </w:r>
      <w:r w:rsidR="003D17B4" w:rsidRPr="00335764">
        <w:rPr>
          <w:rFonts w:cs="Arial"/>
          <w:sz w:val="20"/>
          <w:szCs w:val="20"/>
          <w:lang w:val="en-ZA"/>
        </w:rPr>
        <w:t>The posts would have been funded by PPSA over the MTEF had the baseline</w:t>
      </w:r>
      <w:r w:rsidR="00F80471" w:rsidRPr="00335764">
        <w:rPr>
          <w:rFonts w:cs="Arial"/>
          <w:sz w:val="20"/>
          <w:szCs w:val="20"/>
          <w:lang w:val="en-ZA"/>
        </w:rPr>
        <w:t xml:space="preserve"> not been reduced in 2019/20.</w:t>
      </w:r>
    </w:p>
    <w:p w:rsidR="00F80471" w:rsidRPr="00335764" w:rsidRDefault="00F80471" w:rsidP="00335764">
      <w:pPr>
        <w:pStyle w:val="ListParagraph"/>
        <w:autoSpaceDE w:val="0"/>
        <w:autoSpaceDN w:val="0"/>
        <w:adjustRightInd w:val="0"/>
        <w:spacing w:line="240" w:lineRule="auto"/>
        <w:ind w:left="862"/>
        <w:jc w:val="left"/>
        <w:rPr>
          <w:rFonts w:cs="Arial"/>
          <w:sz w:val="20"/>
          <w:szCs w:val="20"/>
          <w:lang w:val="en-ZA"/>
        </w:rPr>
      </w:pPr>
    </w:p>
    <w:p w:rsidR="00321762" w:rsidRPr="00335764" w:rsidRDefault="00D554BC" w:rsidP="00335764">
      <w:pPr>
        <w:pStyle w:val="ListParagraph"/>
        <w:numPr>
          <w:ilvl w:val="2"/>
          <w:numId w:val="1"/>
        </w:numPr>
        <w:autoSpaceDE w:val="0"/>
        <w:autoSpaceDN w:val="0"/>
        <w:adjustRightInd w:val="0"/>
        <w:spacing w:line="240" w:lineRule="auto"/>
        <w:ind w:hanging="862"/>
        <w:jc w:val="left"/>
        <w:rPr>
          <w:rFonts w:cs="Arial"/>
          <w:sz w:val="20"/>
          <w:szCs w:val="20"/>
          <w:lang w:val="en-ZA"/>
        </w:rPr>
      </w:pPr>
      <w:r w:rsidRPr="00335764">
        <w:rPr>
          <w:rFonts w:cs="Arial"/>
          <w:bCs/>
          <w:i/>
          <w:sz w:val="20"/>
          <w:szCs w:val="20"/>
          <w:lang w:val="en-ZA"/>
        </w:rPr>
        <w:t>Subject Matter Experts</w:t>
      </w:r>
      <w:r w:rsidRPr="00335764">
        <w:rPr>
          <w:rFonts w:cs="Arial"/>
          <w:bCs/>
          <w:sz w:val="20"/>
          <w:szCs w:val="20"/>
          <w:lang w:val="en-ZA"/>
        </w:rPr>
        <w:t xml:space="preserve">: </w:t>
      </w:r>
      <w:r w:rsidR="003D17B4" w:rsidRPr="00335764">
        <w:rPr>
          <w:rFonts w:cs="Arial"/>
          <w:sz w:val="20"/>
          <w:szCs w:val="20"/>
        </w:rPr>
        <w:t>The skills audit outcome revealed critical competency and skills shortages on specialised knowledge areas</w:t>
      </w:r>
      <w:r w:rsidRPr="00335764">
        <w:rPr>
          <w:rFonts w:cs="Arial"/>
          <w:sz w:val="20"/>
          <w:szCs w:val="20"/>
        </w:rPr>
        <w:t>,</w:t>
      </w:r>
      <w:r w:rsidR="003D17B4" w:rsidRPr="00335764">
        <w:rPr>
          <w:rFonts w:cs="Arial"/>
          <w:sz w:val="20"/>
          <w:szCs w:val="20"/>
        </w:rPr>
        <w:t xml:space="preserve"> such as finance, management accounting, supply chain and procuremen</w:t>
      </w:r>
      <w:r w:rsidRPr="00335764">
        <w:rPr>
          <w:rFonts w:cs="Arial"/>
          <w:sz w:val="20"/>
          <w:szCs w:val="20"/>
        </w:rPr>
        <w:t xml:space="preserve">t as well as project management. </w:t>
      </w:r>
      <w:r w:rsidR="003D17B4" w:rsidRPr="00335764">
        <w:rPr>
          <w:rFonts w:cs="Arial"/>
          <w:sz w:val="20"/>
          <w:szCs w:val="20"/>
        </w:rPr>
        <w:t>Due to the lack of funding, the PPSA is unable to source skills in the following specialist areas:</w:t>
      </w:r>
      <w:r w:rsidRPr="00335764">
        <w:rPr>
          <w:rFonts w:cs="Arial"/>
          <w:sz w:val="20"/>
          <w:szCs w:val="20"/>
        </w:rPr>
        <w:t xml:space="preserve"> </w:t>
      </w:r>
      <w:r w:rsidR="00F80471" w:rsidRPr="00335764">
        <w:rPr>
          <w:rFonts w:cs="Arial"/>
          <w:sz w:val="20"/>
          <w:szCs w:val="20"/>
        </w:rPr>
        <w:t>forensic i</w:t>
      </w:r>
      <w:r w:rsidR="003D17B4" w:rsidRPr="00335764">
        <w:rPr>
          <w:rFonts w:cs="Arial"/>
          <w:sz w:val="20"/>
          <w:szCs w:val="20"/>
        </w:rPr>
        <w:t>nvestigation</w:t>
      </w:r>
      <w:r w:rsidRPr="00335764">
        <w:rPr>
          <w:rFonts w:cs="Arial"/>
          <w:sz w:val="20"/>
          <w:szCs w:val="20"/>
        </w:rPr>
        <w:t xml:space="preserve">; </w:t>
      </w:r>
      <w:r w:rsidR="00F80471" w:rsidRPr="00335764">
        <w:rPr>
          <w:rFonts w:cs="Arial"/>
          <w:sz w:val="20"/>
          <w:szCs w:val="20"/>
        </w:rPr>
        <w:t>forensic a</w:t>
      </w:r>
      <w:r w:rsidR="003D17B4" w:rsidRPr="00335764">
        <w:rPr>
          <w:rFonts w:cs="Arial"/>
          <w:sz w:val="20"/>
          <w:szCs w:val="20"/>
        </w:rPr>
        <w:t>ccounting</w:t>
      </w:r>
      <w:r w:rsidRPr="00335764">
        <w:rPr>
          <w:rFonts w:cs="Arial"/>
          <w:sz w:val="20"/>
          <w:szCs w:val="20"/>
        </w:rPr>
        <w:t xml:space="preserve">; </w:t>
      </w:r>
      <w:r w:rsidR="00F80471" w:rsidRPr="00335764">
        <w:rPr>
          <w:rFonts w:cs="Arial"/>
          <w:sz w:val="20"/>
          <w:szCs w:val="20"/>
        </w:rPr>
        <w:t>f</w:t>
      </w:r>
      <w:r w:rsidR="003D17B4" w:rsidRPr="00335764">
        <w:rPr>
          <w:rFonts w:cs="Arial"/>
          <w:sz w:val="20"/>
          <w:szCs w:val="20"/>
        </w:rPr>
        <w:t>ore</w:t>
      </w:r>
      <w:r w:rsidRPr="00335764">
        <w:rPr>
          <w:rFonts w:cs="Arial"/>
          <w:sz w:val="20"/>
          <w:szCs w:val="20"/>
        </w:rPr>
        <w:t xml:space="preserve">nsic </w:t>
      </w:r>
      <w:r w:rsidR="00F80471" w:rsidRPr="00335764">
        <w:rPr>
          <w:rFonts w:cs="Arial"/>
          <w:sz w:val="20"/>
          <w:szCs w:val="20"/>
        </w:rPr>
        <w:t>and investigative a</w:t>
      </w:r>
      <w:r w:rsidRPr="00335764">
        <w:rPr>
          <w:rFonts w:cs="Arial"/>
          <w:sz w:val="20"/>
          <w:szCs w:val="20"/>
        </w:rPr>
        <w:t xml:space="preserve">uditing; </w:t>
      </w:r>
      <w:r w:rsidR="00F80471" w:rsidRPr="00335764">
        <w:rPr>
          <w:rFonts w:cs="Arial"/>
          <w:sz w:val="20"/>
          <w:szCs w:val="20"/>
        </w:rPr>
        <w:t>p</w:t>
      </w:r>
      <w:r w:rsidR="003D17B4" w:rsidRPr="00335764">
        <w:rPr>
          <w:rFonts w:cs="Arial"/>
          <w:sz w:val="20"/>
          <w:szCs w:val="20"/>
        </w:rPr>
        <w:t>ublic procure</w:t>
      </w:r>
      <w:r w:rsidR="00F80471" w:rsidRPr="00335764">
        <w:rPr>
          <w:rFonts w:cs="Arial"/>
          <w:sz w:val="20"/>
          <w:szCs w:val="20"/>
        </w:rPr>
        <w:t>ment and s</w:t>
      </w:r>
      <w:r w:rsidRPr="00335764">
        <w:rPr>
          <w:rFonts w:cs="Arial"/>
          <w:sz w:val="20"/>
          <w:szCs w:val="20"/>
        </w:rPr>
        <w:t xml:space="preserve">upply </w:t>
      </w:r>
      <w:r w:rsidR="00F80471" w:rsidRPr="00335764">
        <w:rPr>
          <w:rFonts w:cs="Arial"/>
          <w:sz w:val="20"/>
          <w:szCs w:val="20"/>
        </w:rPr>
        <w:t xml:space="preserve">chain practices; </w:t>
      </w:r>
      <w:r w:rsidRPr="00335764">
        <w:rPr>
          <w:rFonts w:cs="Arial"/>
          <w:sz w:val="20"/>
          <w:szCs w:val="20"/>
        </w:rPr>
        <w:t xml:space="preserve">and </w:t>
      </w:r>
      <w:r w:rsidR="00F80471" w:rsidRPr="00335764">
        <w:rPr>
          <w:rFonts w:cs="Arial"/>
          <w:sz w:val="20"/>
          <w:szCs w:val="20"/>
        </w:rPr>
        <w:t>t</w:t>
      </w:r>
      <w:r w:rsidR="003D17B4" w:rsidRPr="00335764">
        <w:rPr>
          <w:rFonts w:cs="Arial"/>
          <w:sz w:val="20"/>
          <w:szCs w:val="20"/>
        </w:rPr>
        <w:t>echnical skills in the built environment</w:t>
      </w:r>
      <w:r w:rsidR="00F80471" w:rsidRPr="00335764">
        <w:rPr>
          <w:rFonts w:cs="Arial"/>
          <w:sz w:val="20"/>
          <w:szCs w:val="20"/>
        </w:rPr>
        <w:t xml:space="preserve">. </w:t>
      </w:r>
    </w:p>
    <w:p w:rsidR="00F80471" w:rsidRPr="00335764" w:rsidRDefault="00F80471" w:rsidP="00335764">
      <w:pPr>
        <w:pStyle w:val="ListParagraph"/>
        <w:autoSpaceDE w:val="0"/>
        <w:autoSpaceDN w:val="0"/>
        <w:adjustRightInd w:val="0"/>
        <w:spacing w:line="240" w:lineRule="auto"/>
        <w:ind w:left="862"/>
        <w:jc w:val="left"/>
        <w:rPr>
          <w:rFonts w:cs="Arial"/>
          <w:sz w:val="20"/>
          <w:szCs w:val="20"/>
          <w:lang w:val="en-ZA"/>
        </w:rPr>
      </w:pPr>
    </w:p>
    <w:p w:rsidR="00321762" w:rsidRPr="00335764" w:rsidRDefault="00F80471" w:rsidP="00335764">
      <w:pPr>
        <w:pStyle w:val="ListParagraph"/>
        <w:numPr>
          <w:ilvl w:val="2"/>
          <w:numId w:val="1"/>
        </w:numPr>
        <w:autoSpaceDE w:val="0"/>
        <w:autoSpaceDN w:val="0"/>
        <w:adjustRightInd w:val="0"/>
        <w:spacing w:line="240" w:lineRule="auto"/>
        <w:ind w:hanging="862"/>
        <w:jc w:val="left"/>
        <w:rPr>
          <w:rFonts w:cs="Arial"/>
          <w:sz w:val="20"/>
          <w:szCs w:val="20"/>
          <w:lang w:val="en-ZA"/>
        </w:rPr>
      </w:pPr>
      <w:r w:rsidRPr="00335764">
        <w:rPr>
          <w:rFonts w:cs="Arial"/>
          <w:bCs/>
          <w:i/>
          <w:sz w:val="20"/>
          <w:szCs w:val="20"/>
          <w:lang w:val="en-ZA"/>
        </w:rPr>
        <w:t>Learning and Development</w:t>
      </w:r>
      <w:r w:rsidRPr="00335764">
        <w:rPr>
          <w:rFonts w:cs="Arial"/>
          <w:bCs/>
          <w:sz w:val="20"/>
          <w:szCs w:val="20"/>
          <w:lang w:val="en-ZA"/>
        </w:rPr>
        <w:t xml:space="preserve">: </w:t>
      </w:r>
      <w:r w:rsidR="003D17B4" w:rsidRPr="00335764">
        <w:rPr>
          <w:rFonts w:cs="Arial"/>
          <w:sz w:val="20"/>
          <w:szCs w:val="20"/>
        </w:rPr>
        <w:t>There is a need to upskill and capacitate the current staff to respond to the current and emerging technological developments in the field of investigations.</w:t>
      </w:r>
    </w:p>
    <w:p w:rsidR="009F2784" w:rsidRPr="00335764" w:rsidRDefault="009F2784" w:rsidP="00335764">
      <w:pPr>
        <w:pStyle w:val="ListParagraph"/>
        <w:autoSpaceDE w:val="0"/>
        <w:autoSpaceDN w:val="0"/>
        <w:adjustRightInd w:val="0"/>
        <w:spacing w:line="240" w:lineRule="auto"/>
        <w:ind w:left="862"/>
        <w:jc w:val="left"/>
        <w:rPr>
          <w:rFonts w:cs="Arial"/>
          <w:sz w:val="20"/>
          <w:szCs w:val="20"/>
          <w:lang w:val="en-ZA"/>
        </w:rPr>
      </w:pPr>
    </w:p>
    <w:p w:rsidR="00F80471" w:rsidRPr="00335764" w:rsidRDefault="00F80471" w:rsidP="00335764">
      <w:pPr>
        <w:pStyle w:val="ListParagraph"/>
        <w:numPr>
          <w:ilvl w:val="2"/>
          <w:numId w:val="1"/>
        </w:numPr>
        <w:autoSpaceDE w:val="0"/>
        <w:autoSpaceDN w:val="0"/>
        <w:adjustRightInd w:val="0"/>
        <w:spacing w:line="240" w:lineRule="auto"/>
        <w:ind w:hanging="862"/>
        <w:jc w:val="left"/>
        <w:rPr>
          <w:rFonts w:cs="Arial"/>
          <w:sz w:val="20"/>
          <w:szCs w:val="20"/>
          <w:lang w:val="en-ZA"/>
        </w:rPr>
      </w:pPr>
      <w:r w:rsidRPr="00335764">
        <w:rPr>
          <w:rFonts w:cs="Arial"/>
          <w:bCs/>
          <w:sz w:val="20"/>
          <w:szCs w:val="20"/>
        </w:rPr>
        <w:t xml:space="preserve">Digitisation: </w:t>
      </w:r>
      <w:r w:rsidRPr="00335764">
        <w:rPr>
          <w:rFonts w:cs="Arial"/>
          <w:sz w:val="20"/>
          <w:szCs w:val="20"/>
        </w:rPr>
        <w:t xml:space="preserve">The move towards digitisation of processes and procedures </w:t>
      </w:r>
      <w:r w:rsidR="00703E27" w:rsidRPr="00335764">
        <w:rPr>
          <w:rFonts w:cs="Arial"/>
          <w:sz w:val="20"/>
          <w:szCs w:val="20"/>
        </w:rPr>
        <w:t>to</w:t>
      </w:r>
      <w:r w:rsidRPr="00335764">
        <w:rPr>
          <w:rFonts w:cs="Arial"/>
          <w:sz w:val="20"/>
          <w:szCs w:val="20"/>
        </w:rPr>
        <w:t xml:space="preserve"> standardise, improve efficiency and to deploy a simple and clear process for the benefit of all stakeholders.</w:t>
      </w:r>
    </w:p>
    <w:p w:rsidR="00D77BA9" w:rsidRPr="00335764" w:rsidRDefault="00D77BA9" w:rsidP="00335764">
      <w:pPr>
        <w:autoSpaceDE w:val="0"/>
        <w:autoSpaceDN w:val="0"/>
        <w:adjustRightInd w:val="0"/>
        <w:spacing w:line="240" w:lineRule="auto"/>
        <w:jc w:val="left"/>
        <w:rPr>
          <w:rFonts w:cs="Arial"/>
          <w:sz w:val="20"/>
          <w:szCs w:val="20"/>
          <w:lang w:val="en-ZA"/>
        </w:rPr>
      </w:pPr>
    </w:p>
    <w:p w:rsidR="000C514A" w:rsidRPr="00335764" w:rsidRDefault="000C514A" w:rsidP="00335764">
      <w:pPr>
        <w:autoSpaceDE w:val="0"/>
        <w:autoSpaceDN w:val="0"/>
        <w:adjustRightInd w:val="0"/>
        <w:spacing w:line="240" w:lineRule="auto"/>
        <w:jc w:val="left"/>
        <w:rPr>
          <w:rFonts w:cs="Arial"/>
          <w:sz w:val="20"/>
          <w:szCs w:val="20"/>
          <w:lang w:val="en-ZA"/>
        </w:rPr>
      </w:pPr>
    </w:p>
    <w:p w:rsidR="000B4BC6" w:rsidRPr="00335764" w:rsidRDefault="000B4BC6" w:rsidP="00335764">
      <w:pPr>
        <w:numPr>
          <w:ilvl w:val="0"/>
          <w:numId w:val="1"/>
        </w:numPr>
        <w:tabs>
          <w:tab w:val="clear" w:pos="375"/>
        </w:tabs>
        <w:spacing w:line="240" w:lineRule="auto"/>
        <w:ind w:left="851" w:hanging="851"/>
        <w:jc w:val="left"/>
        <w:rPr>
          <w:rFonts w:cs="Arial"/>
          <w:b/>
          <w:color w:val="auto"/>
          <w:sz w:val="20"/>
          <w:szCs w:val="20"/>
        </w:rPr>
      </w:pPr>
      <w:r w:rsidRPr="00335764">
        <w:rPr>
          <w:rFonts w:cs="Arial"/>
          <w:b/>
          <w:sz w:val="20"/>
          <w:szCs w:val="20"/>
        </w:rPr>
        <w:t>South</w:t>
      </w:r>
      <w:r w:rsidRPr="00335764">
        <w:rPr>
          <w:rFonts w:cs="Arial"/>
          <w:b/>
          <w:color w:val="auto"/>
          <w:sz w:val="20"/>
          <w:szCs w:val="20"/>
        </w:rPr>
        <w:t xml:space="preserve"> African Human Rights Commission</w:t>
      </w:r>
      <w:r w:rsidR="00526FB2" w:rsidRPr="00335764">
        <w:rPr>
          <w:rFonts w:cs="Arial"/>
          <w:b/>
          <w:color w:val="auto"/>
          <w:sz w:val="20"/>
          <w:szCs w:val="20"/>
        </w:rPr>
        <w:t xml:space="preserve"> (SAHRC)</w:t>
      </w:r>
    </w:p>
    <w:p w:rsidR="000B4BC6" w:rsidRPr="00335764" w:rsidRDefault="000B4BC6" w:rsidP="00335764">
      <w:pPr>
        <w:autoSpaceDE w:val="0"/>
        <w:autoSpaceDN w:val="0"/>
        <w:adjustRightInd w:val="0"/>
        <w:spacing w:line="240" w:lineRule="auto"/>
        <w:jc w:val="left"/>
        <w:rPr>
          <w:rFonts w:cs="Arial"/>
          <w:b/>
          <w:color w:val="auto"/>
          <w:sz w:val="20"/>
          <w:szCs w:val="20"/>
        </w:rPr>
      </w:pPr>
    </w:p>
    <w:p w:rsidR="00386A72" w:rsidRPr="00335764" w:rsidRDefault="00526FB2" w:rsidP="00335764">
      <w:pPr>
        <w:numPr>
          <w:ilvl w:val="1"/>
          <w:numId w:val="1"/>
        </w:numPr>
        <w:autoSpaceDE w:val="0"/>
        <w:autoSpaceDN w:val="0"/>
        <w:adjustRightInd w:val="0"/>
        <w:spacing w:line="240" w:lineRule="auto"/>
        <w:ind w:left="851" w:hanging="851"/>
        <w:jc w:val="left"/>
        <w:rPr>
          <w:rFonts w:cs="Arial"/>
          <w:sz w:val="20"/>
          <w:szCs w:val="20"/>
          <w:lang w:val="en-US"/>
        </w:rPr>
      </w:pPr>
      <w:r w:rsidRPr="00335764">
        <w:rPr>
          <w:rFonts w:cs="Arial"/>
          <w:sz w:val="20"/>
          <w:szCs w:val="20"/>
          <w:lang w:val="en-US"/>
        </w:rPr>
        <w:t xml:space="preserve">The SAHRC’s </w:t>
      </w:r>
      <w:r w:rsidR="00386A72" w:rsidRPr="00335764">
        <w:rPr>
          <w:rFonts w:cs="Arial"/>
          <w:sz w:val="20"/>
          <w:szCs w:val="20"/>
          <w:lang w:val="en-US"/>
        </w:rPr>
        <w:t xml:space="preserve">constitutional </w:t>
      </w:r>
      <w:r w:rsidRPr="00335764">
        <w:rPr>
          <w:rFonts w:cs="Arial"/>
          <w:sz w:val="20"/>
          <w:szCs w:val="20"/>
          <w:lang w:val="en-US"/>
        </w:rPr>
        <w:t xml:space="preserve">mandate is extremely </w:t>
      </w:r>
      <w:r w:rsidR="00386A72" w:rsidRPr="00335764">
        <w:rPr>
          <w:rFonts w:cs="Arial"/>
          <w:sz w:val="20"/>
          <w:szCs w:val="20"/>
          <w:lang w:val="en-US"/>
        </w:rPr>
        <w:t>wide</w:t>
      </w:r>
      <w:r w:rsidRPr="00335764">
        <w:rPr>
          <w:rFonts w:cs="Arial"/>
          <w:sz w:val="20"/>
          <w:szCs w:val="20"/>
          <w:lang w:val="en-US"/>
        </w:rPr>
        <w:t xml:space="preserve">, encompassing </w:t>
      </w:r>
      <w:r w:rsidR="00905AF0" w:rsidRPr="00335764">
        <w:rPr>
          <w:rFonts w:cs="Arial"/>
          <w:sz w:val="20"/>
          <w:szCs w:val="20"/>
          <w:lang w:val="en-US"/>
        </w:rPr>
        <w:t>every</w:t>
      </w:r>
      <w:r w:rsidRPr="00335764">
        <w:rPr>
          <w:rFonts w:cs="Arial"/>
          <w:sz w:val="20"/>
          <w:szCs w:val="20"/>
          <w:lang w:val="en-US"/>
        </w:rPr>
        <w:t xml:space="preserve"> aspect of civil, </w:t>
      </w:r>
      <w:r w:rsidR="001E3C09" w:rsidRPr="00335764">
        <w:rPr>
          <w:rFonts w:cs="Arial"/>
          <w:sz w:val="20"/>
          <w:szCs w:val="20"/>
          <w:lang w:val="en-US"/>
        </w:rPr>
        <w:t>political,</w:t>
      </w:r>
      <w:r w:rsidRPr="00335764">
        <w:rPr>
          <w:rFonts w:cs="Arial"/>
          <w:sz w:val="20"/>
          <w:szCs w:val="20"/>
          <w:lang w:val="en-US"/>
        </w:rPr>
        <w:t xml:space="preserve"> and economic rights. It must promote respect for human rights; promote the protection, </w:t>
      </w:r>
      <w:r w:rsidR="00261D2C" w:rsidRPr="00335764">
        <w:rPr>
          <w:rFonts w:cs="Arial"/>
          <w:sz w:val="20"/>
          <w:szCs w:val="20"/>
          <w:lang w:val="en-US"/>
        </w:rPr>
        <w:t>development,</w:t>
      </w:r>
      <w:r w:rsidRPr="00335764">
        <w:rPr>
          <w:rFonts w:cs="Arial"/>
          <w:sz w:val="20"/>
          <w:szCs w:val="20"/>
          <w:lang w:val="en-US"/>
        </w:rPr>
        <w:t xml:space="preserve"> and attainment of human rights; and monitor how well human rights are observed. The Constitution also provides that each year the Commission must require relevant organs of state to provide it with information on measures taken towards the realisation of the socio-economic rights contained in the Constitution. </w:t>
      </w:r>
    </w:p>
    <w:p w:rsidR="00386A72" w:rsidRPr="00335764" w:rsidRDefault="00386A72" w:rsidP="00335764">
      <w:pPr>
        <w:autoSpaceDE w:val="0"/>
        <w:autoSpaceDN w:val="0"/>
        <w:adjustRightInd w:val="0"/>
        <w:spacing w:line="240" w:lineRule="auto"/>
        <w:ind w:left="862"/>
        <w:jc w:val="left"/>
        <w:rPr>
          <w:rFonts w:cs="Arial"/>
          <w:sz w:val="20"/>
          <w:szCs w:val="20"/>
          <w:lang w:val="en-US"/>
        </w:rPr>
      </w:pPr>
    </w:p>
    <w:p w:rsidR="00386A72" w:rsidRPr="00335764" w:rsidRDefault="00526FB2" w:rsidP="00335764">
      <w:pPr>
        <w:numPr>
          <w:ilvl w:val="1"/>
          <w:numId w:val="1"/>
        </w:numPr>
        <w:autoSpaceDE w:val="0"/>
        <w:autoSpaceDN w:val="0"/>
        <w:adjustRightInd w:val="0"/>
        <w:spacing w:line="240" w:lineRule="auto"/>
        <w:ind w:left="851" w:hanging="851"/>
        <w:jc w:val="left"/>
        <w:rPr>
          <w:rFonts w:cs="Arial"/>
          <w:sz w:val="20"/>
          <w:szCs w:val="20"/>
          <w:lang w:val="en-US"/>
        </w:rPr>
      </w:pPr>
      <w:r w:rsidRPr="00335764">
        <w:rPr>
          <w:rFonts w:cs="Arial"/>
          <w:sz w:val="20"/>
          <w:szCs w:val="20"/>
          <w:lang w:val="en-US"/>
        </w:rPr>
        <w:t xml:space="preserve">The </w:t>
      </w:r>
      <w:r w:rsidR="0081514E" w:rsidRPr="00335764">
        <w:rPr>
          <w:rFonts w:cs="Arial"/>
          <w:sz w:val="20"/>
          <w:szCs w:val="20"/>
          <w:lang w:val="en-US"/>
        </w:rPr>
        <w:t xml:space="preserve">Commission has </w:t>
      </w:r>
      <w:r w:rsidR="00463B5E" w:rsidRPr="00335764">
        <w:rPr>
          <w:rFonts w:cs="Arial"/>
          <w:sz w:val="20"/>
          <w:szCs w:val="20"/>
          <w:lang w:val="en-US"/>
        </w:rPr>
        <w:t>other mandates</w:t>
      </w:r>
      <w:r w:rsidR="00386A72" w:rsidRPr="00335764">
        <w:rPr>
          <w:rFonts w:cs="Arial"/>
          <w:sz w:val="20"/>
          <w:szCs w:val="20"/>
          <w:lang w:val="en-US"/>
        </w:rPr>
        <w:t>, including:</w:t>
      </w:r>
    </w:p>
    <w:p w:rsidR="00386A72" w:rsidRPr="00335764" w:rsidRDefault="00386A72"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T</w:t>
      </w:r>
      <w:r w:rsidR="0081514E" w:rsidRPr="00335764">
        <w:rPr>
          <w:rFonts w:cs="Arial"/>
          <w:color w:val="auto"/>
          <w:sz w:val="20"/>
          <w:szCs w:val="20"/>
        </w:rPr>
        <w:t>he Promotion of Equality and Preventi</w:t>
      </w:r>
      <w:r w:rsidR="00AD16C0" w:rsidRPr="00335764">
        <w:rPr>
          <w:rFonts w:cs="Arial"/>
          <w:color w:val="auto"/>
          <w:sz w:val="20"/>
          <w:szCs w:val="20"/>
        </w:rPr>
        <w:t xml:space="preserve">on of Unfair Discrimination Act, </w:t>
      </w:r>
      <w:r w:rsidR="0081514E" w:rsidRPr="00335764">
        <w:rPr>
          <w:rFonts w:cs="Arial"/>
          <w:color w:val="auto"/>
          <w:sz w:val="20"/>
          <w:szCs w:val="20"/>
        </w:rPr>
        <w:t>2000 (PEPUDA</w:t>
      </w:r>
      <w:r w:rsidR="009F5A5A" w:rsidRPr="00335764">
        <w:rPr>
          <w:rFonts w:cs="Arial"/>
          <w:color w:val="auto"/>
          <w:sz w:val="20"/>
          <w:szCs w:val="20"/>
        </w:rPr>
        <w:t>)</w:t>
      </w:r>
      <w:r w:rsidR="0081514E" w:rsidRPr="00335764">
        <w:rPr>
          <w:rFonts w:cs="Arial"/>
          <w:color w:val="auto"/>
          <w:sz w:val="20"/>
          <w:szCs w:val="20"/>
        </w:rPr>
        <w:t xml:space="preserve">. </w:t>
      </w:r>
    </w:p>
    <w:p w:rsidR="00386A72" w:rsidRPr="00335764" w:rsidRDefault="00386A72"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 xml:space="preserve">The Promotion of Access to Information Act, 2000 (PAIA). </w:t>
      </w:r>
    </w:p>
    <w:p w:rsidR="00497006" w:rsidRPr="00335764" w:rsidRDefault="00497006"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Preventing torture through the National Preventive Mechanism (NPM)</w:t>
      </w:r>
      <w:r w:rsidR="00463B5E" w:rsidRPr="00335764">
        <w:rPr>
          <w:rFonts w:cs="Arial"/>
          <w:color w:val="auto"/>
          <w:sz w:val="20"/>
          <w:szCs w:val="20"/>
        </w:rPr>
        <w:t xml:space="preserve">, established in terms of the Optional </w:t>
      </w:r>
      <w:r w:rsidRPr="00335764">
        <w:rPr>
          <w:rFonts w:cs="Arial"/>
          <w:color w:val="auto"/>
          <w:sz w:val="20"/>
          <w:szCs w:val="20"/>
        </w:rPr>
        <w:t>Protocol to the Convention against Torture and Other Cruel, Inhuman or Degrading Treatment or Punishment (OPCAT)</w:t>
      </w:r>
      <w:r w:rsidR="00463B5E" w:rsidRPr="00335764">
        <w:rPr>
          <w:rFonts w:cs="Arial"/>
          <w:color w:val="auto"/>
          <w:sz w:val="20"/>
          <w:szCs w:val="20"/>
        </w:rPr>
        <w:t xml:space="preserve">. The </w:t>
      </w:r>
      <w:r w:rsidRPr="00335764">
        <w:rPr>
          <w:rFonts w:cs="Arial"/>
          <w:color w:val="auto"/>
          <w:sz w:val="20"/>
          <w:szCs w:val="20"/>
        </w:rPr>
        <w:t xml:space="preserve">Commission </w:t>
      </w:r>
      <w:r w:rsidR="00463B5E" w:rsidRPr="00335764">
        <w:rPr>
          <w:rFonts w:cs="Arial"/>
          <w:color w:val="auto"/>
          <w:sz w:val="20"/>
          <w:szCs w:val="20"/>
        </w:rPr>
        <w:t xml:space="preserve">is </w:t>
      </w:r>
      <w:r w:rsidR="00463B5E" w:rsidRPr="00335764">
        <w:rPr>
          <w:rFonts w:cs="Arial"/>
          <w:color w:val="auto"/>
          <w:sz w:val="20"/>
          <w:szCs w:val="20"/>
        </w:rPr>
        <w:lastRenderedPageBreak/>
        <w:t xml:space="preserve">designated </w:t>
      </w:r>
      <w:r w:rsidRPr="00335764">
        <w:rPr>
          <w:rFonts w:cs="Arial"/>
          <w:color w:val="auto"/>
          <w:sz w:val="20"/>
          <w:szCs w:val="20"/>
        </w:rPr>
        <w:t>as coordinator and functionary of a multi-body National Preventive Mechanism (NPM).</w:t>
      </w:r>
    </w:p>
    <w:p w:rsidR="00497006" w:rsidRPr="00335764" w:rsidRDefault="00497006"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Monitoring and Reporting on the Convention on the Rights of People with Disabilities (CRPD). The CRPD was ratified by South Africa in 2007. In September 2018, the United Nations recommended that South Africa should expedite the designation of an Independent Monitoring Mechanism (IMM). The Commission has been designated as the IMM under the CRPD. This places obligations on the Commission to fully establish and ensure the functionality of the IMM and monitor and report on compliance with the requirements of the CRPD to the United Nations Committee on the Rights of Persons with Disabilities.</w:t>
      </w:r>
    </w:p>
    <w:p w:rsidR="00497006" w:rsidRPr="00335764" w:rsidRDefault="00497006"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 xml:space="preserve">Convention on the Rights of the Child (CRC) and International Covenant on Economic, Social and Cultural Rights (ICESCR). </w:t>
      </w:r>
    </w:p>
    <w:p w:rsidR="00386A72" w:rsidRPr="00335764" w:rsidRDefault="00386A72" w:rsidP="00335764">
      <w:pPr>
        <w:autoSpaceDE w:val="0"/>
        <w:autoSpaceDN w:val="0"/>
        <w:adjustRightInd w:val="0"/>
        <w:spacing w:line="240" w:lineRule="auto"/>
        <w:jc w:val="left"/>
        <w:rPr>
          <w:rFonts w:cs="Arial"/>
          <w:sz w:val="20"/>
          <w:szCs w:val="20"/>
        </w:rPr>
      </w:pPr>
    </w:p>
    <w:p w:rsidR="00AB39B4" w:rsidRPr="00335764" w:rsidRDefault="00AB39B4"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T</w:t>
      </w:r>
      <w:r w:rsidR="008D695D" w:rsidRPr="00335764">
        <w:rPr>
          <w:rFonts w:cs="Arial"/>
          <w:sz w:val="20"/>
          <w:szCs w:val="20"/>
        </w:rPr>
        <w:t>he MTSF focuses strongly on mainstreaming crosscutting focus a</w:t>
      </w:r>
      <w:r w:rsidRPr="00335764">
        <w:rPr>
          <w:rFonts w:cs="Arial"/>
          <w:sz w:val="20"/>
          <w:szCs w:val="20"/>
        </w:rPr>
        <w:t>reas, specifically the empowerment and access to resources and opportunities w</w:t>
      </w:r>
      <w:r w:rsidR="008D695D" w:rsidRPr="00335764">
        <w:rPr>
          <w:rFonts w:cs="Arial"/>
          <w:sz w:val="20"/>
          <w:szCs w:val="20"/>
        </w:rPr>
        <w:t xml:space="preserve">omen, </w:t>
      </w:r>
      <w:r w:rsidRPr="00335764">
        <w:rPr>
          <w:rFonts w:cs="Arial"/>
          <w:sz w:val="20"/>
          <w:szCs w:val="20"/>
        </w:rPr>
        <w:t xml:space="preserve">the </w:t>
      </w:r>
      <w:r w:rsidR="001E3C09" w:rsidRPr="00335764">
        <w:rPr>
          <w:rFonts w:cs="Arial"/>
          <w:sz w:val="20"/>
          <w:szCs w:val="20"/>
        </w:rPr>
        <w:t>youth,</w:t>
      </w:r>
      <w:r w:rsidRPr="00335764">
        <w:rPr>
          <w:rFonts w:cs="Arial"/>
          <w:sz w:val="20"/>
          <w:szCs w:val="20"/>
        </w:rPr>
        <w:t xml:space="preserve"> and people with d</w:t>
      </w:r>
      <w:r w:rsidR="008D695D" w:rsidRPr="00335764">
        <w:rPr>
          <w:rFonts w:cs="Arial"/>
          <w:sz w:val="20"/>
          <w:szCs w:val="20"/>
        </w:rPr>
        <w:t xml:space="preserve">isabilities. </w:t>
      </w:r>
    </w:p>
    <w:p w:rsidR="00AB39B4" w:rsidRPr="00335764" w:rsidRDefault="00AB39B4" w:rsidP="00335764">
      <w:pPr>
        <w:pStyle w:val="ListParagraph"/>
        <w:autoSpaceDE w:val="0"/>
        <w:autoSpaceDN w:val="0"/>
        <w:adjustRightInd w:val="0"/>
        <w:spacing w:line="240" w:lineRule="auto"/>
        <w:jc w:val="left"/>
        <w:rPr>
          <w:rFonts w:cs="Arial"/>
          <w:sz w:val="20"/>
          <w:szCs w:val="20"/>
        </w:rPr>
      </w:pPr>
    </w:p>
    <w:p w:rsidR="00A508AF" w:rsidRPr="00335764" w:rsidRDefault="00AB39B4"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T</w:t>
      </w:r>
      <w:r w:rsidR="008D695D" w:rsidRPr="00335764">
        <w:rPr>
          <w:rFonts w:cs="Arial"/>
          <w:sz w:val="20"/>
          <w:szCs w:val="20"/>
        </w:rPr>
        <w:t xml:space="preserve">he MTSF </w:t>
      </w:r>
      <w:r w:rsidRPr="00335764">
        <w:rPr>
          <w:rFonts w:cs="Arial"/>
          <w:sz w:val="20"/>
          <w:szCs w:val="20"/>
        </w:rPr>
        <w:t xml:space="preserve">also </w:t>
      </w:r>
      <w:r w:rsidR="008D695D" w:rsidRPr="00335764">
        <w:rPr>
          <w:rFonts w:cs="Arial"/>
          <w:sz w:val="20"/>
          <w:szCs w:val="20"/>
        </w:rPr>
        <w:t xml:space="preserve">highlights the need for social cohesion and </w:t>
      </w:r>
      <w:r w:rsidRPr="00335764">
        <w:rPr>
          <w:rFonts w:cs="Arial"/>
          <w:sz w:val="20"/>
          <w:szCs w:val="20"/>
        </w:rPr>
        <w:t>a key outcome</w:t>
      </w:r>
      <w:r w:rsidR="008D695D" w:rsidRPr="00335764">
        <w:rPr>
          <w:rFonts w:cs="Arial"/>
          <w:sz w:val="20"/>
          <w:szCs w:val="20"/>
        </w:rPr>
        <w:t xml:space="preserve"> under </w:t>
      </w:r>
      <w:r w:rsidR="00A00B55" w:rsidRPr="00335764">
        <w:rPr>
          <w:rFonts w:cs="Arial"/>
          <w:sz w:val="20"/>
          <w:szCs w:val="20"/>
        </w:rPr>
        <w:t>the priority ‘Social Cohesion and S</w:t>
      </w:r>
      <w:r w:rsidR="00151797" w:rsidRPr="00335764">
        <w:rPr>
          <w:rFonts w:cs="Arial"/>
          <w:sz w:val="20"/>
          <w:szCs w:val="20"/>
        </w:rPr>
        <w:t>afe Communities</w:t>
      </w:r>
      <w:r w:rsidR="00A00B55" w:rsidRPr="00335764">
        <w:rPr>
          <w:rFonts w:cs="Arial"/>
          <w:sz w:val="20"/>
          <w:szCs w:val="20"/>
        </w:rPr>
        <w:t>’</w:t>
      </w:r>
      <w:r w:rsidR="00151797" w:rsidRPr="00335764">
        <w:rPr>
          <w:rFonts w:cs="Arial"/>
          <w:sz w:val="20"/>
          <w:szCs w:val="20"/>
        </w:rPr>
        <w:t xml:space="preserve"> </w:t>
      </w:r>
      <w:r w:rsidR="008D695D" w:rsidRPr="00335764">
        <w:rPr>
          <w:rFonts w:cs="Arial"/>
          <w:sz w:val="20"/>
          <w:szCs w:val="20"/>
        </w:rPr>
        <w:t xml:space="preserve">is the implementation of the National Action Plan to Combat Racism, Racial Discrimination, Xenophobia and Related Intolerance. </w:t>
      </w:r>
    </w:p>
    <w:p w:rsidR="00A508AF" w:rsidRPr="00335764" w:rsidRDefault="00A508AF" w:rsidP="00335764">
      <w:pPr>
        <w:pStyle w:val="ListParagraph"/>
        <w:spacing w:line="240" w:lineRule="auto"/>
        <w:jc w:val="left"/>
        <w:rPr>
          <w:rFonts w:cs="Arial"/>
          <w:sz w:val="20"/>
          <w:szCs w:val="20"/>
        </w:rPr>
      </w:pPr>
    </w:p>
    <w:p w:rsidR="008D695D" w:rsidRPr="00335764" w:rsidRDefault="008D695D"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In addition</w:t>
      </w:r>
      <w:r w:rsidR="00AB39B4" w:rsidRPr="00335764">
        <w:rPr>
          <w:rFonts w:cs="Arial"/>
          <w:sz w:val="20"/>
          <w:szCs w:val="20"/>
        </w:rPr>
        <w:t xml:space="preserve">, the </w:t>
      </w:r>
      <w:r w:rsidRPr="00335764">
        <w:rPr>
          <w:rFonts w:cs="Arial"/>
          <w:sz w:val="20"/>
          <w:szCs w:val="20"/>
        </w:rPr>
        <w:t xml:space="preserve">MTSF </w:t>
      </w:r>
      <w:r w:rsidR="00AB39B4" w:rsidRPr="00335764">
        <w:rPr>
          <w:rFonts w:cs="Arial"/>
          <w:sz w:val="20"/>
          <w:szCs w:val="20"/>
        </w:rPr>
        <w:t>identifies the C</w:t>
      </w:r>
      <w:r w:rsidRPr="00335764">
        <w:rPr>
          <w:rFonts w:cs="Arial"/>
          <w:sz w:val="20"/>
          <w:szCs w:val="20"/>
        </w:rPr>
        <w:t xml:space="preserve">ommission </w:t>
      </w:r>
      <w:r w:rsidR="00AB39B4" w:rsidRPr="00335764">
        <w:rPr>
          <w:rFonts w:cs="Arial"/>
          <w:sz w:val="20"/>
          <w:szCs w:val="20"/>
        </w:rPr>
        <w:t>as contributing to:</w:t>
      </w:r>
    </w:p>
    <w:p w:rsidR="008D695D" w:rsidRPr="00335764" w:rsidRDefault="008D695D"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The promotion of the Constitution and its values in schools, awareness campaigns, pub</w:t>
      </w:r>
      <w:r w:rsidR="00AB39B4" w:rsidRPr="00335764">
        <w:rPr>
          <w:rFonts w:cs="Arial"/>
          <w:sz w:val="20"/>
          <w:szCs w:val="20"/>
          <w:lang w:val="en-ZA"/>
        </w:rPr>
        <w:t xml:space="preserve">lic </w:t>
      </w:r>
      <w:r w:rsidR="001E3C09" w:rsidRPr="00335764">
        <w:rPr>
          <w:rFonts w:cs="Arial"/>
          <w:sz w:val="20"/>
          <w:szCs w:val="20"/>
          <w:lang w:val="en-ZA"/>
        </w:rPr>
        <w:t>engagements,</w:t>
      </w:r>
      <w:r w:rsidR="00AB39B4" w:rsidRPr="00335764">
        <w:rPr>
          <w:rFonts w:cs="Arial"/>
          <w:sz w:val="20"/>
          <w:szCs w:val="20"/>
          <w:lang w:val="en-ZA"/>
        </w:rPr>
        <w:t xml:space="preserve"> and dialogues.</w:t>
      </w:r>
    </w:p>
    <w:p w:rsidR="00AB39B4" w:rsidRPr="00335764" w:rsidRDefault="00AB39B4"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 xml:space="preserve">The development of </w:t>
      </w:r>
      <w:r w:rsidR="008D695D" w:rsidRPr="00335764">
        <w:rPr>
          <w:rFonts w:cs="Arial"/>
          <w:sz w:val="20"/>
          <w:szCs w:val="20"/>
          <w:lang w:val="en-ZA"/>
        </w:rPr>
        <w:t>a system to ensure consistent barrier free access for persons with disabilities to justice across the justice value chain</w:t>
      </w:r>
      <w:r w:rsidRPr="00335764">
        <w:rPr>
          <w:rFonts w:cs="Arial"/>
          <w:sz w:val="20"/>
          <w:szCs w:val="20"/>
          <w:lang w:val="en-ZA"/>
        </w:rPr>
        <w:t>.</w:t>
      </w:r>
    </w:p>
    <w:p w:rsidR="00492E4E" w:rsidRPr="00335764" w:rsidRDefault="008D695D" w:rsidP="00335764">
      <w:pPr>
        <w:numPr>
          <w:ilvl w:val="0"/>
          <w:numId w:val="2"/>
        </w:numPr>
        <w:autoSpaceDE w:val="0"/>
        <w:autoSpaceDN w:val="0"/>
        <w:adjustRightInd w:val="0"/>
        <w:spacing w:line="240" w:lineRule="auto"/>
        <w:ind w:left="1418" w:hanging="567"/>
        <w:jc w:val="left"/>
        <w:rPr>
          <w:rFonts w:cs="Arial"/>
          <w:sz w:val="20"/>
          <w:szCs w:val="20"/>
        </w:rPr>
      </w:pPr>
      <w:r w:rsidRPr="00335764">
        <w:rPr>
          <w:rFonts w:cs="Arial"/>
          <w:sz w:val="20"/>
          <w:szCs w:val="20"/>
          <w:lang w:val="en-ZA"/>
        </w:rPr>
        <w:t xml:space="preserve">Strengthening and expanding protection measures </w:t>
      </w:r>
      <w:r w:rsidR="00AB39B4" w:rsidRPr="00335764">
        <w:rPr>
          <w:rFonts w:cs="Arial"/>
          <w:sz w:val="20"/>
          <w:szCs w:val="20"/>
          <w:lang w:val="en-ZA"/>
        </w:rPr>
        <w:t xml:space="preserve">for </w:t>
      </w:r>
      <w:r w:rsidRPr="00335764">
        <w:rPr>
          <w:rFonts w:cs="Arial"/>
          <w:sz w:val="20"/>
          <w:szCs w:val="20"/>
          <w:lang w:val="en-ZA"/>
        </w:rPr>
        <w:t xml:space="preserve">children and </w:t>
      </w:r>
      <w:r w:rsidR="00A508AF" w:rsidRPr="00335764">
        <w:rPr>
          <w:rFonts w:cs="Arial"/>
          <w:sz w:val="20"/>
          <w:szCs w:val="20"/>
          <w:lang w:val="en-ZA"/>
        </w:rPr>
        <w:t xml:space="preserve">for </w:t>
      </w:r>
      <w:r w:rsidRPr="00335764">
        <w:rPr>
          <w:rFonts w:cs="Arial"/>
          <w:sz w:val="20"/>
          <w:szCs w:val="20"/>
          <w:lang w:val="en-ZA"/>
        </w:rPr>
        <w:t>adults with disabilities in institutionalised settings</w:t>
      </w:r>
      <w:r w:rsidR="00A508AF" w:rsidRPr="00335764">
        <w:rPr>
          <w:rFonts w:cs="Arial"/>
          <w:sz w:val="20"/>
          <w:szCs w:val="20"/>
          <w:lang w:val="en-ZA"/>
        </w:rPr>
        <w:t>,</w:t>
      </w:r>
      <w:r w:rsidRPr="00335764">
        <w:rPr>
          <w:rFonts w:cs="Arial"/>
          <w:sz w:val="20"/>
          <w:szCs w:val="20"/>
          <w:lang w:val="en-ZA"/>
        </w:rPr>
        <w:t xml:space="preserve"> such as special school boarding facilities, mental health care facilities and residential facil</w:t>
      </w:r>
      <w:r w:rsidRPr="00335764">
        <w:rPr>
          <w:rFonts w:cs="Arial"/>
          <w:sz w:val="20"/>
          <w:szCs w:val="20"/>
        </w:rPr>
        <w:t>itie</w:t>
      </w:r>
      <w:r w:rsidR="00A00B55" w:rsidRPr="00335764">
        <w:rPr>
          <w:rFonts w:cs="Arial"/>
          <w:sz w:val="20"/>
          <w:szCs w:val="20"/>
        </w:rPr>
        <w:t xml:space="preserve">s. </w:t>
      </w:r>
    </w:p>
    <w:p w:rsidR="00492E4E" w:rsidRPr="00335764" w:rsidRDefault="00492E4E" w:rsidP="00335764">
      <w:pPr>
        <w:autoSpaceDE w:val="0"/>
        <w:autoSpaceDN w:val="0"/>
        <w:adjustRightInd w:val="0"/>
        <w:spacing w:line="240" w:lineRule="auto"/>
        <w:jc w:val="left"/>
        <w:rPr>
          <w:rFonts w:cs="Arial"/>
          <w:sz w:val="20"/>
          <w:szCs w:val="20"/>
        </w:rPr>
      </w:pPr>
    </w:p>
    <w:p w:rsidR="008D695D" w:rsidRPr="00335764" w:rsidRDefault="00492E4E" w:rsidP="00335764">
      <w:pPr>
        <w:spacing w:line="240" w:lineRule="auto"/>
        <w:jc w:val="left"/>
        <w:rPr>
          <w:rFonts w:cs="Arial"/>
          <w:i/>
          <w:sz w:val="20"/>
          <w:szCs w:val="20"/>
        </w:rPr>
      </w:pPr>
      <w:r w:rsidRPr="00335764">
        <w:rPr>
          <w:rFonts w:cs="Arial"/>
          <w:i/>
          <w:sz w:val="20"/>
          <w:szCs w:val="20"/>
        </w:rPr>
        <w:t>Performance planning</w:t>
      </w:r>
    </w:p>
    <w:p w:rsidR="00492E4E" w:rsidRPr="00335764" w:rsidRDefault="00492E4E" w:rsidP="00335764">
      <w:pPr>
        <w:spacing w:line="240" w:lineRule="auto"/>
        <w:jc w:val="left"/>
        <w:rPr>
          <w:rFonts w:cs="Arial"/>
          <w:sz w:val="20"/>
          <w:szCs w:val="20"/>
        </w:rPr>
      </w:pPr>
    </w:p>
    <w:p w:rsidR="00505AB9" w:rsidRPr="00335764" w:rsidRDefault="00505AB9"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The SAHRC’s Strategic Plan 2020-25 provides for mandate-linked strategies:</w:t>
      </w:r>
    </w:p>
    <w:p w:rsidR="00505AB9" w:rsidRPr="00335764" w:rsidRDefault="00505AB9"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 xml:space="preserve">Promotion - Enhancing human rights advocacy, </w:t>
      </w:r>
      <w:r w:rsidR="001E3C09" w:rsidRPr="00335764">
        <w:rPr>
          <w:rFonts w:cs="Arial"/>
          <w:sz w:val="20"/>
          <w:szCs w:val="20"/>
          <w:lang w:val="en-ZA"/>
        </w:rPr>
        <w:t>visibility,</w:t>
      </w:r>
      <w:r w:rsidRPr="00335764">
        <w:rPr>
          <w:rFonts w:cs="Arial"/>
          <w:sz w:val="20"/>
          <w:szCs w:val="20"/>
          <w:lang w:val="en-ZA"/>
        </w:rPr>
        <w:t xml:space="preserve"> and awareness programmes by conducting high impact engagements to influence policy, legislation and its application; establishing strategic partnerships for capacity and collaboration; empowering communities and the public to proactively engage with human rights issues; and utilising media platforms to raise awareness and increase visibility.</w:t>
      </w:r>
    </w:p>
    <w:p w:rsidR="00505AB9" w:rsidRPr="00335764" w:rsidRDefault="00505AB9"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Protection – Increasingly using redress mechanisms to minimise human rights violations by instituting strategic impact litigation and proactively conducting investigative inquiries and hearings.</w:t>
      </w:r>
    </w:p>
    <w:p w:rsidR="00C87ED9" w:rsidRPr="00335764" w:rsidRDefault="00505AB9" w:rsidP="00335764">
      <w:pPr>
        <w:numPr>
          <w:ilvl w:val="0"/>
          <w:numId w:val="2"/>
        </w:numPr>
        <w:autoSpaceDE w:val="0"/>
        <w:autoSpaceDN w:val="0"/>
        <w:adjustRightInd w:val="0"/>
        <w:spacing w:line="240" w:lineRule="auto"/>
        <w:ind w:left="1418" w:hanging="567"/>
        <w:jc w:val="left"/>
        <w:rPr>
          <w:rFonts w:cs="Arial"/>
          <w:sz w:val="20"/>
          <w:szCs w:val="20"/>
        </w:rPr>
      </w:pPr>
      <w:r w:rsidRPr="00335764">
        <w:rPr>
          <w:rFonts w:cs="Arial"/>
          <w:sz w:val="20"/>
          <w:szCs w:val="20"/>
          <w:lang w:val="en-ZA"/>
        </w:rPr>
        <w:t>Monitoring – Comprehensive human rights monitoring and impact evaluation by strengthening and applying a comprehensive monitoring system to assess the state of human</w:t>
      </w:r>
      <w:r w:rsidRPr="00335764">
        <w:rPr>
          <w:rFonts w:cs="Arial"/>
          <w:sz w:val="20"/>
          <w:szCs w:val="20"/>
        </w:rPr>
        <w:t xml:space="preserve"> rights.</w:t>
      </w:r>
    </w:p>
    <w:p w:rsidR="008134BC" w:rsidRPr="00335764" w:rsidRDefault="008134BC" w:rsidP="00335764">
      <w:pPr>
        <w:autoSpaceDE w:val="0"/>
        <w:autoSpaceDN w:val="0"/>
        <w:adjustRightInd w:val="0"/>
        <w:spacing w:line="240" w:lineRule="auto"/>
        <w:ind w:left="1418"/>
        <w:jc w:val="left"/>
        <w:rPr>
          <w:rFonts w:cs="Arial"/>
          <w:sz w:val="20"/>
          <w:szCs w:val="20"/>
        </w:rPr>
      </w:pPr>
    </w:p>
    <w:p w:rsidR="00816D44" w:rsidRPr="00335764" w:rsidRDefault="008134BC"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The C</w:t>
      </w:r>
      <w:r w:rsidR="00816D44" w:rsidRPr="00335764">
        <w:rPr>
          <w:rFonts w:cs="Arial"/>
          <w:sz w:val="20"/>
          <w:szCs w:val="20"/>
        </w:rPr>
        <w:t xml:space="preserve">ommission’s planning for 2023/24 </w:t>
      </w:r>
      <w:r w:rsidR="00703E27" w:rsidRPr="00335764">
        <w:rPr>
          <w:rFonts w:cs="Arial"/>
          <w:sz w:val="20"/>
          <w:szCs w:val="20"/>
        </w:rPr>
        <w:t>considered</w:t>
      </w:r>
      <w:r w:rsidR="00816D44" w:rsidRPr="00335764">
        <w:rPr>
          <w:rFonts w:cs="Arial"/>
          <w:sz w:val="20"/>
          <w:szCs w:val="20"/>
        </w:rPr>
        <w:t xml:space="preserve"> the following:</w:t>
      </w:r>
    </w:p>
    <w:p w:rsidR="00816D44" w:rsidRPr="00335764" w:rsidRDefault="00816D44"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rPr>
        <w:tab/>
      </w:r>
      <w:r w:rsidRPr="00335764">
        <w:rPr>
          <w:rFonts w:cs="Arial"/>
          <w:sz w:val="20"/>
          <w:szCs w:val="20"/>
          <w:lang w:val="en-ZA"/>
        </w:rPr>
        <w:t xml:space="preserve">Lessons learnt from previous years’ planning. A lesson has been that while the targets progressively increased in successive versions of APPs, the achievement of related targets has declined. At the same time, there was no concurrent increase in the resources of the Commission to enable the achievement of increased targets. </w:t>
      </w:r>
    </w:p>
    <w:p w:rsidR="00816D44" w:rsidRPr="00335764" w:rsidRDefault="00816D44"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ab/>
        <w:t xml:space="preserve">The Commission encountered external challenges which included the onset of Covid-19 early in 2020 and unrest of July 2021 (mainly in KwaZulu-Natal (KZN) and Gauteng provinces). This was followed by the devastating floods in KZN, the Eastern Cape, the North-West provinces as well as in parts of the Western Cape.  </w:t>
      </w:r>
    </w:p>
    <w:p w:rsidR="00816D44" w:rsidRPr="00335764" w:rsidRDefault="00EF522E"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ab/>
        <w:t>Five of nine</w:t>
      </w:r>
      <w:r w:rsidR="00816D44" w:rsidRPr="00335764">
        <w:rPr>
          <w:rFonts w:cs="Arial"/>
          <w:sz w:val="20"/>
          <w:szCs w:val="20"/>
          <w:lang w:val="en-ZA"/>
        </w:rPr>
        <w:t xml:space="preserve"> Provincial Managers were lost to the Commission, four through resignations and one because of long C</w:t>
      </w:r>
      <w:r w:rsidRPr="00335764">
        <w:rPr>
          <w:rFonts w:cs="Arial"/>
          <w:sz w:val="20"/>
          <w:szCs w:val="20"/>
          <w:lang w:val="en-ZA"/>
        </w:rPr>
        <w:t>ovid-1</w:t>
      </w:r>
      <w:r w:rsidR="00816D44" w:rsidRPr="00335764">
        <w:rPr>
          <w:rFonts w:cs="Arial"/>
          <w:sz w:val="20"/>
          <w:szCs w:val="20"/>
          <w:lang w:val="en-ZA"/>
        </w:rPr>
        <w:t xml:space="preserve">9. </w:t>
      </w:r>
    </w:p>
    <w:p w:rsidR="00816D44" w:rsidRPr="00335764" w:rsidRDefault="00816D44"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ab/>
        <w:t xml:space="preserve">The end of term of </w:t>
      </w:r>
      <w:r w:rsidR="00EF522E" w:rsidRPr="00335764">
        <w:rPr>
          <w:rFonts w:cs="Arial"/>
          <w:sz w:val="20"/>
          <w:szCs w:val="20"/>
          <w:lang w:val="en-ZA"/>
        </w:rPr>
        <w:t xml:space="preserve">the </w:t>
      </w:r>
      <w:r w:rsidRPr="00335764">
        <w:rPr>
          <w:rFonts w:cs="Arial"/>
          <w:sz w:val="20"/>
          <w:szCs w:val="20"/>
          <w:lang w:val="en-ZA"/>
        </w:rPr>
        <w:t xml:space="preserve">Commissioners (five Commissioners) and the resignation of one Commissioner will impact the performance of the Commission during the </w:t>
      </w:r>
      <w:r w:rsidRPr="00335764">
        <w:rPr>
          <w:rFonts w:cs="Arial"/>
          <w:sz w:val="20"/>
          <w:szCs w:val="20"/>
          <w:lang w:val="en-ZA"/>
        </w:rPr>
        <w:lastRenderedPageBreak/>
        <w:t>2023/24 financial year. This factor has been included in determining the number of indicators and targets.</w:t>
      </w:r>
    </w:p>
    <w:p w:rsidR="00816D44" w:rsidRPr="00335764" w:rsidRDefault="00816D44" w:rsidP="00335764">
      <w:pPr>
        <w:autoSpaceDE w:val="0"/>
        <w:autoSpaceDN w:val="0"/>
        <w:adjustRightInd w:val="0"/>
        <w:spacing w:line="240" w:lineRule="auto"/>
        <w:ind w:left="851"/>
        <w:jc w:val="left"/>
        <w:rPr>
          <w:rFonts w:cs="Arial"/>
          <w:sz w:val="20"/>
          <w:szCs w:val="20"/>
        </w:rPr>
      </w:pPr>
    </w:p>
    <w:p w:rsidR="004C3830" w:rsidRPr="00335764" w:rsidRDefault="008134BC" w:rsidP="00335764">
      <w:pPr>
        <w:numPr>
          <w:ilvl w:val="1"/>
          <w:numId w:val="1"/>
        </w:numPr>
        <w:autoSpaceDE w:val="0"/>
        <w:autoSpaceDN w:val="0"/>
        <w:adjustRightInd w:val="0"/>
        <w:spacing w:line="240" w:lineRule="auto"/>
        <w:ind w:hanging="862"/>
        <w:jc w:val="left"/>
        <w:rPr>
          <w:rFonts w:cs="Arial"/>
          <w:sz w:val="20"/>
          <w:szCs w:val="20"/>
        </w:rPr>
      </w:pPr>
      <w:r w:rsidRPr="00335764">
        <w:rPr>
          <w:rFonts w:cs="Arial"/>
          <w:bCs/>
          <w:sz w:val="20"/>
          <w:szCs w:val="20"/>
        </w:rPr>
        <w:t xml:space="preserve"> </w:t>
      </w:r>
      <w:r w:rsidR="00505AB9" w:rsidRPr="00335764">
        <w:rPr>
          <w:rFonts w:cs="Arial"/>
          <w:bCs/>
          <w:sz w:val="20"/>
          <w:szCs w:val="20"/>
        </w:rPr>
        <w:t xml:space="preserve">The Commission has four programmes: Administration; </w:t>
      </w:r>
      <w:r w:rsidR="00C0306C" w:rsidRPr="00335764">
        <w:rPr>
          <w:rFonts w:cs="Arial"/>
          <w:bCs/>
          <w:sz w:val="20"/>
          <w:szCs w:val="20"/>
        </w:rPr>
        <w:t xml:space="preserve">Monitoring </w:t>
      </w:r>
      <w:r w:rsidR="00492E4E" w:rsidRPr="00335764">
        <w:rPr>
          <w:rFonts w:cs="Arial"/>
          <w:bCs/>
          <w:sz w:val="20"/>
          <w:szCs w:val="20"/>
        </w:rPr>
        <w:t xml:space="preserve">the </w:t>
      </w:r>
      <w:r w:rsidR="00C0306C" w:rsidRPr="00335764">
        <w:rPr>
          <w:rFonts w:cs="Arial"/>
          <w:bCs/>
          <w:sz w:val="20"/>
          <w:szCs w:val="20"/>
        </w:rPr>
        <w:t>observance of human rights; Promotion of human rights; and Protection of human rights.</w:t>
      </w:r>
      <w:r w:rsidR="00505AB9" w:rsidRPr="00335764">
        <w:rPr>
          <w:rFonts w:cs="Arial"/>
          <w:sz w:val="20"/>
          <w:szCs w:val="20"/>
          <w:lang w:val="en-ZA"/>
        </w:rPr>
        <w:t xml:space="preserve"> </w:t>
      </w:r>
    </w:p>
    <w:p w:rsidR="00505AB9" w:rsidRPr="00335764" w:rsidRDefault="00505AB9" w:rsidP="00335764">
      <w:pPr>
        <w:autoSpaceDE w:val="0"/>
        <w:autoSpaceDN w:val="0"/>
        <w:adjustRightInd w:val="0"/>
        <w:spacing w:line="240" w:lineRule="auto"/>
        <w:jc w:val="left"/>
        <w:rPr>
          <w:rFonts w:cs="Arial"/>
          <w:bCs/>
          <w:sz w:val="20"/>
          <w:szCs w:val="20"/>
        </w:rPr>
      </w:pPr>
    </w:p>
    <w:p w:rsidR="00335D9B" w:rsidRPr="00335764" w:rsidRDefault="00335D9B" w:rsidP="00335764">
      <w:pPr>
        <w:numPr>
          <w:ilvl w:val="1"/>
          <w:numId w:val="1"/>
        </w:numPr>
        <w:autoSpaceDE w:val="0"/>
        <w:autoSpaceDN w:val="0"/>
        <w:adjustRightInd w:val="0"/>
        <w:spacing w:line="240" w:lineRule="auto"/>
        <w:ind w:left="851" w:hanging="851"/>
        <w:jc w:val="left"/>
        <w:rPr>
          <w:rFonts w:cs="Arial"/>
          <w:bCs/>
          <w:sz w:val="20"/>
          <w:szCs w:val="20"/>
        </w:rPr>
      </w:pPr>
      <w:r w:rsidRPr="00335764">
        <w:rPr>
          <w:rFonts w:cs="Arial"/>
          <w:bCs/>
          <w:sz w:val="20"/>
          <w:szCs w:val="20"/>
        </w:rPr>
        <w:t xml:space="preserve">The </w:t>
      </w:r>
      <w:r w:rsidRPr="00335764">
        <w:rPr>
          <w:rFonts w:cs="Arial"/>
          <w:bCs/>
          <w:i/>
          <w:sz w:val="20"/>
          <w:szCs w:val="20"/>
        </w:rPr>
        <w:t>Administration</w:t>
      </w:r>
      <w:r w:rsidRPr="00335764">
        <w:rPr>
          <w:rFonts w:cs="Arial"/>
          <w:bCs/>
          <w:sz w:val="20"/>
          <w:szCs w:val="20"/>
        </w:rPr>
        <w:t xml:space="preserve"> programme has five sub-programmes: Finance; Corporate services; Internal audit; Strategic support; and Office of the Chief Executive Officer.</w:t>
      </w:r>
    </w:p>
    <w:p w:rsidR="00335D9B" w:rsidRPr="00335764" w:rsidRDefault="00335D9B" w:rsidP="00335764">
      <w:pPr>
        <w:autoSpaceDE w:val="0"/>
        <w:autoSpaceDN w:val="0"/>
        <w:adjustRightInd w:val="0"/>
        <w:spacing w:line="240" w:lineRule="auto"/>
        <w:jc w:val="left"/>
        <w:rPr>
          <w:rFonts w:cs="Arial"/>
          <w:bCs/>
          <w:sz w:val="20"/>
          <w:szCs w:val="20"/>
        </w:rPr>
      </w:pPr>
    </w:p>
    <w:p w:rsidR="00335D9B" w:rsidRPr="00335764" w:rsidRDefault="00463B5E" w:rsidP="00335764">
      <w:pPr>
        <w:pStyle w:val="ListParagraph"/>
        <w:numPr>
          <w:ilvl w:val="2"/>
          <w:numId w:val="1"/>
        </w:numPr>
        <w:autoSpaceDE w:val="0"/>
        <w:autoSpaceDN w:val="0"/>
        <w:adjustRightInd w:val="0"/>
        <w:spacing w:line="240" w:lineRule="auto"/>
        <w:ind w:hanging="862"/>
        <w:jc w:val="left"/>
        <w:rPr>
          <w:rFonts w:cs="Arial"/>
          <w:bCs/>
          <w:sz w:val="20"/>
          <w:szCs w:val="20"/>
        </w:rPr>
      </w:pPr>
      <w:r w:rsidRPr="00335764">
        <w:rPr>
          <w:rFonts w:cs="Arial"/>
          <w:bCs/>
          <w:sz w:val="20"/>
          <w:szCs w:val="20"/>
        </w:rPr>
        <w:t>Under the Administration programme, t</w:t>
      </w:r>
      <w:r w:rsidR="00335D9B" w:rsidRPr="00335764">
        <w:rPr>
          <w:rFonts w:cs="Arial"/>
          <w:bCs/>
          <w:sz w:val="20"/>
          <w:szCs w:val="20"/>
        </w:rPr>
        <w:t>he Commission has</w:t>
      </w:r>
      <w:r w:rsidR="00816D44" w:rsidRPr="00335764">
        <w:rPr>
          <w:rFonts w:cs="Arial"/>
          <w:bCs/>
          <w:sz w:val="20"/>
          <w:szCs w:val="20"/>
        </w:rPr>
        <w:t xml:space="preserve"> the following indicators and targets: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6351"/>
        <w:gridCol w:w="2089"/>
      </w:tblGrid>
      <w:tr w:rsidR="00EF522E" w:rsidRPr="00335764" w:rsidTr="00674945">
        <w:trPr>
          <w:trHeight w:val="660"/>
          <w:tblHeader/>
        </w:trPr>
        <w:tc>
          <w:tcPr>
            <w:tcW w:w="0" w:type="auto"/>
            <w:gridSpan w:val="2"/>
            <w:shd w:val="clear" w:color="auto" w:fill="D9D9D9" w:themeFill="background1" w:themeFillShade="D9"/>
            <w:tcMar>
              <w:top w:w="72" w:type="dxa"/>
              <w:left w:w="144" w:type="dxa"/>
              <w:bottom w:w="72" w:type="dxa"/>
              <w:right w:w="144" w:type="dxa"/>
            </w:tcMar>
          </w:tcPr>
          <w:p w:rsidR="00EF522E" w:rsidRPr="00335764" w:rsidRDefault="00EF522E" w:rsidP="00335764">
            <w:pPr>
              <w:spacing w:line="240" w:lineRule="auto"/>
              <w:jc w:val="left"/>
              <w:rPr>
                <w:rFonts w:cs="Arial"/>
                <w:bCs/>
                <w:sz w:val="20"/>
                <w:szCs w:val="20"/>
              </w:rPr>
            </w:pPr>
            <w:r w:rsidRPr="00335764">
              <w:rPr>
                <w:rFonts w:cs="Arial"/>
                <w:b/>
                <w:bCs/>
                <w:sz w:val="20"/>
                <w:szCs w:val="20"/>
                <w:lang w:val="en-ZA"/>
              </w:rPr>
              <w:t xml:space="preserve">OUTCOME: </w:t>
            </w:r>
            <w:r w:rsidRPr="00335764">
              <w:rPr>
                <w:rFonts w:cs="Arial"/>
                <w:b/>
                <w:bCs/>
                <w:i/>
                <w:sz w:val="20"/>
                <w:szCs w:val="20"/>
              </w:rPr>
              <w:t>Effective and efficient delivery on the mandate</w:t>
            </w:r>
          </w:p>
        </w:tc>
      </w:tr>
      <w:tr w:rsidR="00674945" w:rsidRPr="00335764" w:rsidTr="00674945">
        <w:trPr>
          <w:trHeight w:val="660"/>
          <w:tblHeader/>
        </w:trPr>
        <w:tc>
          <w:tcPr>
            <w:tcW w:w="0" w:type="auto"/>
            <w:shd w:val="clear" w:color="auto" w:fill="D9D9D9" w:themeFill="background1" w:themeFillShade="D9"/>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bCs/>
                <w:sz w:val="20"/>
                <w:szCs w:val="20"/>
                <w:lang w:val="en-ZA"/>
              </w:rPr>
            </w:pPr>
            <w:r w:rsidRPr="00335764">
              <w:rPr>
                <w:rFonts w:cs="Arial"/>
                <w:b/>
                <w:bCs/>
                <w:sz w:val="20"/>
                <w:szCs w:val="20"/>
                <w:lang w:val="en-ZA"/>
              </w:rPr>
              <w:t>INDICATOR</w:t>
            </w:r>
          </w:p>
        </w:tc>
        <w:tc>
          <w:tcPr>
            <w:tcW w:w="0" w:type="auto"/>
            <w:shd w:val="clear" w:color="auto" w:fill="D9D9D9" w:themeFill="background1" w:themeFillShade="D9"/>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bCs/>
                <w:sz w:val="20"/>
                <w:szCs w:val="20"/>
                <w:lang w:val="en-ZA"/>
              </w:rPr>
            </w:pPr>
            <w:r w:rsidRPr="00335764">
              <w:rPr>
                <w:rFonts w:cs="Arial"/>
                <w:b/>
                <w:bCs/>
                <w:sz w:val="20"/>
                <w:szCs w:val="20"/>
                <w:lang w:val="en-ZA"/>
              </w:rPr>
              <w:t>ANNUAL TARGET</w:t>
            </w:r>
          </w:p>
        </w:tc>
      </w:tr>
      <w:tr w:rsidR="00816D44" w:rsidRPr="00335764" w:rsidTr="00816D44">
        <w:trPr>
          <w:trHeight w:val="475"/>
        </w:trPr>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bCs/>
                <w:sz w:val="20"/>
                <w:szCs w:val="20"/>
                <w:lang w:val="en-ZA"/>
              </w:rPr>
            </w:pPr>
            <w:r w:rsidRPr="00335764">
              <w:rPr>
                <w:rFonts w:cs="Arial"/>
                <w:bCs/>
                <w:sz w:val="20"/>
                <w:szCs w:val="20"/>
                <w:lang w:val="en-ZA"/>
              </w:rPr>
              <w:t>Percentage implementation of Strategic Risks Treatment Plan</w:t>
            </w:r>
          </w:p>
        </w:tc>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bCs/>
                <w:sz w:val="20"/>
                <w:szCs w:val="20"/>
                <w:lang w:val="en-ZA"/>
              </w:rPr>
            </w:pPr>
            <w:r w:rsidRPr="00335764">
              <w:rPr>
                <w:rFonts w:cs="Arial"/>
                <w:bCs/>
                <w:sz w:val="20"/>
                <w:szCs w:val="20"/>
                <w:lang w:val="en-ZA"/>
              </w:rPr>
              <w:t>100%</w:t>
            </w:r>
          </w:p>
        </w:tc>
      </w:tr>
      <w:tr w:rsidR="00816D44" w:rsidRPr="00335764" w:rsidTr="00816D44">
        <w:trPr>
          <w:trHeight w:val="413"/>
        </w:trPr>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bCs/>
                <w:sz w:val="20"/>
                <w:szCs w:val="20"/>
                <w:lang w:val="en-ZA"/>
              </w:rPr>
            </w:pPr>
            <w:r w:rsidRPr="00335764">
              <w:rPr>
                <w:rFonts w:cs="Arial"/>
                <w:bCs/>
                <w:sz w:val="20"/>
                <w:szCs w:val="20"/>
                <w:lang w:val="en-ZA"/>
              </w:rPr>
              <w:t xml:space="preserve">Percentage implementation of Human Capital Management Plan </w:t>
            </w:r>
          </w:p>
        </w:tc>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bCs/>
                <w:sz w:val="20"/>
                <w:szCs w:val="20"/>
                <w:lang w:val="en-ZA"/>
              </w:rPr>
            </w:pPr>
            <w:r w:rsidRPr="00335764">
              <w:rPr>
                <w:rFonts w:cs="Arial"/>
                <w:bCs/>
                <w:sz w:val="20"/>
                <w:szCs w:val="20"/>
                <w:lang w:val="en-ZA"/>
              </w:rPr>
              <w:t>90%</w:t>
            </w:r>
          </w:p>
        </w:tc>
      </w:tr>
      <w:tr w:rsidR="00816D44" w:rsidRPr="00335764" w:rsidTr="00816D44">
        <w:trPr>
          <w:trHeight w:val="265"/>
        </w:trPr>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bCs/>
                <w:sz w:val="20"/>
                <w:szCs w:val="20"/>
                <w:lang w:val="en-ZA"/>
              </w:rPr>
            </w:pPr>
            <w:r w:rsidRPr="00335764">
              <w:rPr>
                <w:rFonts w:cs="Arial"/>
                <w:bCs/>
                <w:sz w:val="20"/>
                <w:szCs w:val="20"/>
                <w:lang w:val="en-ZA"/>
              </w:rPr>
              <w:t>Percentage implementation of Information Management Plans</w:t>
            </w:r>
          </w:p>
        </w:tc>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bCs/>
                <w:sz w:val="20"/>
                <w:szCs w:val="20"/>
                <w:lang w:val="en-ZA"/>
              </w:rPr>
            </w:pPr>
            <w:r w:rsidRPr="00335764">
              <w:rPr>
                <w:rFonts w:cs="Arial"/>
                <w:bCs/>
                <w:sz w:val="20"/>
                <w:szCs w:val="20"/>
                <w:lang w:val="en-ZA"/>
              </w:rPr>
              <w:t>100%</w:t>
            </w:r>
          </w:p>
        </w:tc>
      </w:tr>
      <w:tr w:rsidR="00816D44" w:rsidRPr="00335764" w:rsidTr="00816D44">
        <w:trPr>
          <w:trHeight w:val="401"/>
        </w:trPr>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bCs/>
                <w:sz w:val="20"/>
                <w:szCs w:val="20"/>
                <w:lang w:val="en-ZA"/>
              </w:rPr>
            </w:pPr>
            <w:r w:rsidRPr="00335764">
              <w:rPr>
                <w:rFonts w:cs="Arial"/>
                <w:bCs/>
                <w:sz w:val="20"/>
                <w:szCs w:val="20"/>
                <w:lang w:val="en-ZA"/>
              </w:rPr>
              <w:t>Percentage implementation of Internal Audit Plan</w:t>
            </w:r>
          </w:p>
        </w:tc>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bCs/>
                <w:sz w:val="20"/>
                <w:szCs w:val="20"/>
                <w:lang w:val="en-ZA"/>
              </w:rPr>
            </w:pPr>
            <w:r w:rsidRPr="00335764">
              <w:rPr>
                <w:rFonts w:cs="Arial"/>
                <w:bCs/>
                <w:sz w:val="20"/>
                <w:szCs w:val="20"/>
                <w:lang w:val="en-ZA"/>
              </w:rPr>
              <w:t>100%</w:t>
            </w:r>
          </w:p>
        </w:tc>
      </w:tr>
    </w:tbl>
    <w:p w:rsidR="00335D9B" w:rsidRPr="00335764" w:rsidRDefault="00335D9B" w:rsidP="00335764">
      <w:pPr>
        <w:autoSpaceDE w:val="0"/>
        <w:autoSpaceDN w:val="0"/>
        <w:adjustRightInd w:val="0"/>
        <w:spacing w:line="240" w:lineRule="auto"/>
        <w:jc w:val="left"/>
        <w:rPr>
          <w:rFonts w:cs="Arial"/>
          <w:bCs/>
          <w:sz w:val="20"/>
          <w:szCs w:val="20"/>
        </w:rPr>
      </w:pPr>
    </w:p>
    <w:p w:rsidR="00335D9B" w:rsidRPr="00335764" w:rsidRDefault="00335D9B" w:rsidP="00335764">
      <w:pPr>
        <w:numPr>
          <w:ilvl w:val="1"/>
          <w:numId w:val="1"/>
        </w:numPr>
        <w:autoSpaceDE w:val="0"/>
        <w:autoSpaceDN w:val="0"/>
        <w:adjustRightInd w:val="0"/>
        <w:spacing w:line="240" w:lineRule="auto"/>
        <w:ind w:left="851" w:hanging="851"/>
        <w:jc w:val="left"/>
        <w:rPr>
          <w:rFonts w:cs="Arial"/>
          <w:bCs/>
          <w:sz w:val="20"/>
          <w:szCs w:val="20"/>
        </w:rPr>
      </w:pPr>
      <w:r w:rsidRPr="00335764">
        <w:rPr>
          <w:rFonts w:cs="Arial"/>
          <w:bCs/>
          <w:sz w:val="20"/>
          <w:szCs w:val="20"/>
        </w:rPr>
        <w:t xml:space="preserve">The </w:t>
      </w:r>
      <w:r w:rsidRPr="00335764">
        <w:rPr>
          <w:rFonts w:cs="Arial"/>
          <w:bCs/>
          <w:i/>
          <w:sz w:val="20"/>
          <w:szCs w:val="20"/>
        </w:rPr>
        <w:t>Promotion of human rights</w:t>
      </w:r>
      <w:r w:rsidRPr="00335764">
        <w:rPr>
          <w:rFonts w:cs="Arial"/>
          <w:bCs/>
          <w:sz w:val="20"/>
          <w:szCs w:val="20"/>
        </w:rPr>
        <w:t xml:space="preserve"> programme </w:t>
      </w:r>
      <w:r w:rsidR="00463B5E" w:rsidRPr="00335764">
        <w:rPr>
          <w:rFonts w:cs="Arial"/>
          <w:bCs/>
          <w:sz w:val="20"/>
          <w:szCs w:val="20"/>
        </w:rPr>
        <w:t xml:space="preserve">is responsible for the promotional aspects of the Commission’s work and </w:t>
      </w:r>
      <w:r w:rsidRPr="00335764">
        <w:rPr>
          <w:rFonts w:cs="Arial"/>
          <w:bCs/>
          <w:sz w:val="20"/>
          <w:szCs w:val="20"/>
        </w:rPr>
        <w:t>seeks to:</w:t>
      </w:r>
    </w:p>
    <w:p w:rsidR="00335D9B" w:rsidRPr="00335764" w:rsidRDefault="00335D9B"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 xml:space="preserve">Conduct high impact engagements to influence policy, </w:t>
      </w:r>
      <w:r w:rsidR="001E3C09" w:rsidRPr="00335764">
        <w:rPr>
          <w:rFonts w:cs="Arial"/>
          <w:sz w:val="20"/>
          <w:szCs w:val="20"/>
          <w:lang w:val="en-ZA"/>
        </w:rPr>
        <w:t>legislation,</w:t>
      </w:r>
      <w:r w:rsidRPr="00335764">
        <w:rPr>
          <w:rFonts w:cs="Arial"/>
          <w:sz w:val="20"/>
          <w:szCs w:val="20"/>
          <w:lang w:val="en-ZA"/>
        </w:rPr>
        <w:t xml:space="preserve"> and </w:t>
      </w:r>
      <w:r w:rsidR="00E03E20" w:rsidRPr="00335764">
        <w:rPr>
          <w:rFonts w:cs="Arial"/>
          <w:sz w:val="20"/>
          <w:szCs w:val="20"/>
          <w:lang w:val="en-ZA"/>
        </w:rPr>
        <w:t>its application.</w:t>
      </w:r>
    </w:p>
    <w:p w:rsidR="00335D9B" w:rsidRPr="00335764" w:rsidRDefault="00335D9B"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Establish strategic partnerships fo</w:t>
      </w:r>
      <w:r w:rsidR="00E03E20" w:rsidRPr="00335764">
        <w:rPr>
          <w:rFonts w:cs="Arial"/>
          <w:sz w:val="20"/>
          <w:szCs w:val="20"/>
          <w:lang w:val="en-ZA"/>
        </w:rPr>
        <w:t>r capacity and collaboration.</w:t>
      </w:r>
    </w:p>
    <w:p w:rsidR="00335D9B" w:rsidRPr="00335764" w:rsidRDefault="00335D9B"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Empower communities and the public to proactively enga</w:t>
      </w:r>
      <w:r w:rsidR="00E03E20" w:rsidRPr="00335764">
        <w:rPr>
          <w:rFonts w:cs="Arial"/>
          <w:sz w:val="20"/>
          <w:szCs w:val="20"/>
          <w:lang w:val="en-ZA"/>
        </w:rPr>
        <w:t>ge with human rights issues.</w:t>
      </w:r>
    </w:p>
    <w:p w:rsidR="00335D9B" w:rsidRPr="00335764" w:rsidRDefault="00335D9B" w:rsidP="00335764">
      <w:pPr>
        <w:numPr>
          <w:ilvl w:val="0"/>
          <w:numId w:val="2"/>
        </w:numPr>
        <w:autoSpaceDE w:val="0"/>
        <w:autoSpaceDN w:val="0"/>
        <w:adjustRightInd w:val="0"/>
        <w:spacing w:line="240" w:lineRule="auto"/>
        <w:ind w:left="1418" w:hanging="567"/>
        <w:jc w:val="left"/>
        <w:rPr>
          <w:rFonts w:cs="Arial"/>
          <w:b/>
          <w:bCs/>
          <w:sz w:val="20"/>
          <w:szCs w:val="20"/>
        </w:rPr>
      </w:pPr>
      <w:r w:rsidRPr="00335764">
        <w:rPr>
          <w:rFonts w:cs="Arial"/>
          <w:sz w:val="20"/>
          <w:szCs w:val="20"/>
          <w:lang w:val="en-ZA"/>
        </w:rPr>
        <w:t>Utilise media platforms to raise awareness and increase visibility</w:t>
      </w:r>
      <w:r w:rsidRPr="00335764">
        <w:rPr>
          <w:rFonts w:cs="Arial"/>
          <w:sz w:val="20"/>
          <w:szCs w:val="20"/>
        </w:rPr>
        <w:t>.</w:t>
      </w:r>
    </w:p>
    <w:p w:rsidR="00D636EF" w:rsidRPr="00335764" w:rsidRDefault="00D636EF" w:rsidP="00335764">
      <w:pPr>
        <w:autoSpaceDE w:val="0"/>
        <w:autoSpaceDN w:val="0"/>
        <w:adjustRightInd w:val="0"/>
        <w:spacing w:line="240" w:lineRule="auto"/>
        <w:jc w:val="left"/>
        <w:rPr>
          <w:rFonts w:cs="Arial"/>
          <w:b/>
          <w:bCs/>
          <w:sz w:val="20"/>
          <w:szCs w:val="20"/>
        </w:rPr>
      </w:pPr>
    </w:p>
    <w:p w:rsidR="00335D9B" w:rsidRPr="00335764" w:rsidRDefault="00335D9B" w:rsidP="00335764">
      <w:pPr>
        <w:pStyle w:val="ListParagraph"/>
        <w:numPr>
          <w:ilvl w:val="2"/>
          <w:numId w:val="1"/>
        </w:numPr>
        <w:autoSpaceDE w:val="0"/>
        <w:autoSpaceDN w:val="0"/>
        <w:adjustRightInd w:val="0"/>
        <w:spacing w:line="240" w:lineRule="auto"/>
        <w:ind w:hanging="862"/>
        <w:jc w:val="left"/>
        <w:rPr>
          <w:rFonts w:cs="Arial"/>
          <w:sz w:val="20"/>
          <w:szCs w:val="20"/>
          <w:lang w:val="en-ZA"/>
        </w:rPr>
      </w:pPr>
      <w:r w:rsidRPr="00335764">
        <w:rPr>
          <w:rFonts w:cs="Arial"/>
          <w:sz w:val="20"/>
          <w:szCs w:val="20"/>
          <w:lang w:val="en-ZA"/>
        </w:rPr>
        <w:t>The programme has three sub</w:t>
      </w:r>
      <w:r w:rsidR="00E03E20" w:rsidRPr="00335764">
        <w:rPr>
          <w:rFonts w:cs="Arial"/>
          <w:sz w:val="20"/>
          <w:szCs w:val="20"/>
          <w:lang w:val="en-ZA"/>
        </w:rPr>
        <w:t>-</w:t>
      </w:r>
      <w:r w:rsidRPr="00335764">
        <w:rPr>
          <w:rFonts w:cs="Arial"/>
          <w:sz w:val="20"/>
          <w:szCs w:val="20"/>
          <w:lang w:val="en-ZA"/>
        </w:rPr>
        <w:t xml:space="preserve">programmes: Commissioners programme; Advocacy and Communications; and Provincial Offices. </w:t>
      </w:r>
    </w:p>
    <w:p w:rsidR="00335D9B" w:rsidRPr="00335764" w:rsidRDefault="00335D9B" w:rsidP="00335764">
      <w:pPr>
        <w:spacing w:line="240" w:lineRule="auto"/>
        <w:jc w:val="left"/>
        <w:rPr>
          <w:rFonts w:cs="Arial"/>
          <w:sz w:val="20"/>
          <w:szCs w:val="20"/>
          <w:lang w:val="en-ZA"/>
        </w:rPr>
      </w:pPr>
    </w:p>
    <w:p w:rsidR="00335D9B" w:rsidRPr="00335764" w:rsidRDefault="00335D9B" w:rsidP="00335764">
      <w:pPr>
        <w:pStyle w:val="ListParagraph"/>
        <w:numPr>
          <w:ilvl w:val="2"/>
          <w:numId w:val="1"/>
        </w:numPr>
        <w:autoSpaceDE w:val="0"/>
        <w:autoSpaceDN w:val="0"/>
        <w:adjustRightInd w:val="0"/>
        <w:spacing w:line="240" w:lineRule="auto"/>
        <w:ind w:hanging="862"/>
        <w:jc w:val="left"/>
        <w:rPr>
          <w:rFonts w:cs="Arial"/>
          <w:sz w:val="20"/>
          <w:szCs w:val="20"/>
          <w:lang w:val="en-ZA"/>
        </w:rPr>
      </w:pPr>
      <w:r w:rsidRPr="00335764">
        <w:rPr>
          <w:rFonts w:cs="Arial"/>
          <w:sz w:val="20"/>
          <w:szCs w:val="20"/>
          <w:lang w:val="en-ZA"/>
        </w:rPr>
        <w:t xml:space="preserve">Under this programme, the Commission has </w:t>
      </w:r>
      <w:r w:rsidR="00E03E20" w:rsidRPr="00335764">
        <w:rPr>
          <w:rFonts w:cs="Arial"/>
          <w:sz w:val="20"/>
          <w:szCs w:val="20"/>
          <w:lang w:val="en-ZA"/>
        </w:rPr>
        <w:t>the following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6300"/>
        <w:gridCol w:w="3400"/>
      </w:tblGrid>
      <w:tr w:rsidR="00EF522E" w:rsidRPr="00335764" w:rsidTr="00AC69F1">
        <w:trPr>
          <w:trHeight w:val="664"/>
          <w:tblHeader/>
        </w:trPr>
        <w:tc>
          <w:tcPr>
            <w:tcW w:w="0" w:type="auto"/>
            <w:gridSpan w:val="2"/>
            <w:shd w:val="clear" w:color="auto" w:fill="D9D9D9" w:themeFill="background1" w:themeFillShade="D9"/>
            <w:tcMar>
              <w:top w:w="72" w:type="dxa"/>
              <w:left w:w="144" w:type="dxa"/>
              <w:bottom w:w="72" w:type="dxa"/>
              <w:right w:w="144" w:type="dxa"/>
            </w:tcMar>
          </w:tcPr>
          <w:p w:rsidR="00EF522E" w:rsidRPr="00335764" w:rsidRDefault="00EF522E" w:rsidP="00335764">
            <w:pPr>
              <w:autoSpaceDE w:val="0"/>
              <w:autoSpaceDN w:val="0"/>
              <w:adjustRightInd w:val="0"/>
              <w:spacing w:line="240" w:lineRule="auto"/>
              <w:jc w:val="left"/>
              <w:rPr>
                <w:rFonts w:cs="Arial"/>
                <w:b/>
                <w:bCs/>
                <w:caps/>
                <w:sz w:val="20"/>
                <w:szCs w:val="20"/>
                <w:lang w:val="en-ZA"/>
              </w:rPr>
            </w:pPr>
            <w:r w:rsidRPr="00335764">
              <w:rPr>
                <w:rFonts w:cs="Arial"/>
                <w:b/>
                <w:bCs/>
                <w:caps/>
                <w:sz w:val="20"/>
                <w:szCs w:val="20"/>
                <w:lang w:val="en-ZA"/>
              </w:rPr>
              <w:t xml:space="preserve">OUTCOME: </w:t>
            </w:r>
            <w:r w:rsidRPr="00335764">
              <w:rPr>
                <w:rFonts w:cs="Arial"/>
                <w:b/>
                <w:i/>
                <w:sz w:val="20"/>
                <w:szCs w:val="20"/>
                <w:lang w:val="en-ZA"/>
              </w:rPr>
              <w:t>Increased reach and visibility of the Commission through promotional mechanisms</w:t>
            </w:r>
          </w:p>
        </w:tc>
      </w:tr>
      <w:tr w:rsidR="00816D44" w:rsidRPr="00335764" w:rsidTr="00AC69F1">
        <w:trPr>
          <w:trHeight w:val="830"/>
          <w:tblHeader/>
        </w:trPr>
        <w:tc>
          <w:tcPr>
            <w:tcW w:w="0" w:type="auto"/>
            <w:shd w:val="clear" w:color="auto" w:fill="D9D9D9" w:themeFill="background1" w:themeFillShade="D9"/>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caps/>
                <w:sz w:val="20"/>
                <w:szCs w:val="20"/>
                <w:lang w:val="en-ZA"/>
              </w:rPr>
            </w:pPr>
            <w:r w:rsidRPr="00335764">
              <w:rPr>
                <w:rFonts w:cs="Arial"/>
                <w:b/>
                <w:bCs/>
                <w:caps/>
                <w:sz w:val="20"/>
                <w:szCs w:val="20"/>
                <w:lang w:val="en-ZA"/>
              </w:rPr>
              <w:t>Indicator</w:t>
            </w:r>
          </w:p>
        </w:tc>
        <w:tc>
          <w:tcPr>
            <w:tcW w:w="0" w:type="auto"/>
            <w:shd w:val="clear" w:color="auto" w:fill="D9D9D9" w:themeFill="background1" w:themeFillShade="D9"/>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ind w:left="1418"/>
              <w:jc w:val="left"/>
              <w:rPr>
                <w:rFonts w:cs="Arial"/>
                <w:caps/>
                <w:sz w:val="20"/>
                <w:szCs w:val="20"/>
                <w:lang w:val="en-ZA"/>
              </w:rPr>
            </w:pPr>
            <w:r w:rsidRPr="00335764">
              <w:rPr>
                <w:rFonts w:cs="Arial"/>
                <w:b/>
                <w:bCs/>
                <w:caps/>
                <w:sz w:val="20"/>
                <w:szCs w:val="20"/>
                <w:lang w:val="en-ZA"/>
              </w:rPr>
              <w:t xml:space="preserve">Annual Target </w:t>
            </w:r>
          </w:p>
        </w:tc>
      </w:tr>
      <w:tr w:rsidR="00EF522E" w:rsidRPr="00335764" w:rsidTr="00816D44">
        <w:trPr>
          <w:trHeight w:val="662"/>
        </w:trPr>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sz w:val="20"/>
                <w:szCs w:val="20"/>
                <w:lang w:val="en-ZA"/>
              </w:rPr>
            </w:pPr>
            <w:r w:rsidRPr="00335764">
              <w:rPr>
                <w:rFonts w:cs="Arial"/>
                <w:sz w:val="20"/>
                <w:szCs w:val="20"/>
                <w:lang w:val="en-ZA"/>
              </w:rPr>
              <w:t xml:space="preserve">Number of Strategic Stakeholder engagements conducted </w:t>
            </w:r>
          </w:p>
        </w:tc>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ind w:left="1418"/>
              <w:jc w:val="left"/>
              <w:rPr>
                <w:rFonts w:cs="Arial"/>
                <w:sz w:val="20"/>
                <w:szCs w:val="20"/>
                <w:lang w:val="en-ZA"/>
              </w:rPr>
            </w:pPr>
            <w:r w:rsidRPr="00335764">
              <w:rPr>
                <w:rFonts w:cs="Arial"/>
                <w:sz w:val="20"/>
                <w:szCs w:val="20"/>
                <w:lang w:val="en-ZA"/>
              </w:rPr>
              <w:t>264</w:t>
            </w:r>
          </w:p>
        </w:tc>
      </w:tr>
      <w:tr w:rsidR="00EF522E" w:rsidRPr="00335764" w:rsidTr="00816D44">
        <w:trPr>
          <w:trHeight w:val="662"/>
        </w:trPr>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sz w:val="20"/>
                <w:szCs w:val="20"/>
                <w:lang w:val="en-ZA"/>
              </w:rPr>
            </w:pPr>
            <w:r w:rsidRPr="00335764">
              <w:rPr>
                <w:rFonts w:cs="Arial"/>
                <w:sz w:val="20"/>
                <w:szCs w:val="20"/>
                <w:lang w:val="en-ZA"/>
              </w:rPr>
              <w:t xml:space="preserve">Number of human rights initiatives completed </w:t>
            </w:r>
          </w:p>
        </w:tc>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ind w:left="1418"/>
              <w:jc w:val="left"/>
              <w:rPr>
                <w:rFonts w:cs="Arial"/>
                <w:sz w:val="20"/>
                <w:szCs w:val="20"/>
                <w:lang w:val="en-ZA"/>
              </w:rPr>
            </w:pPr>
            <w:r w:rsidRPr="00335764">
              <w:rPr>
                <w:rFonts w:cs="Arial"/>
                <w:sz w:val="20"/>
                <w:szCs w:val="20"/>
                <w:lang w:val="en-ZA"/>
              </w:rPr>
              <w:t>37</w:t>
            </w:r>
          </w:p>
        </w:tc>
      </w:tr>
      <w:tr w:rsidR="00EF522E" w:rsidRPr="00335764" w:rsidTr="00816D44">
        <w:trPr>
          <w:trHeight w:val="662"/>
        </w:trPr>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sz w:val="20"/>
                <w:szCs w:val="20"/>
                <w:lang w:val="en-ZA"/>
              </w:rPr>
            </w:pPr>
            <w:r w:rsidRPr="00335764">
              <w:rPr>
                <w:rFonts w:cs="Arial"/>
                <w:sz w:val="20"/>
                <w:szCs w:val="20"/>
                <w:lang w:val="en-ZA"/>
              </w:rPr>
              <w:lastRenderedPageBreak/>
              <w:t>Number of Human Rights Educational material developed</w:t>
            </w:r>
          </w:p>
        </w:tc>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ind w:left="1418"/>
              <w:jc w:val="left"/>
              <w:rPr>
                <w:rFonts w:cs="Arial"/>
                <w:sz w:val="20"/>
                <w:szCs w:val="20"/>
                <w:lang w:val="en-ZA"/>
              </w:rPr>
            </w:pPr>
            <w:r w:rsidRPr="00335764">
              <w:rPr>
                <w:rFonts w:cs="Arial"/>
                <w:sz w:val="20"/>
                <w:szCs w:val="20"/>
                <w:lang w:val="en-ZA"/>
              </w:rPr>
              <w:t>2</w:t>
            </w:r>
          </w:p>
        </w:tc>
      </w:tr>
      <w:tr w:rsidR="00EF522E" w:rsidRPr="00335764" w:rsidTr="00816D44">
        <w:trPr>
          <w:trHeight w:val="1143"/>
        </w:trPr>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sz w:val="20"/>
                <w:szCs w:val="20"/>
                <w:lang w:val="en-ZA"/>
              </w:rPr>
            </w:pPr>
            <w:r w:rsidRPr="00335764">
              <w:rPr>
                <w:rFonts w:cs="Arial"/>
                <w:sz w:val="20"/>
                <w:szCs w:val="20"/>
                <w:lang w:val="en-ZA"/>
              </w:rPr>
              <w:t>Percentage implementation of Annual Media and Communication Plan</w:t>
            </w:r>
          </w:p>
        </w:tc>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ind w:left="1418"/>
              <w:jc w:val="left"/>
              <w:rPr>
                <w:rFonts w:cs="Arial"/>
                <w:sz w:val="20"/>
                <w:szCs w:val="20"/>
                <w:lang w:val="en-ZA"/>
              </w:rPr>
            </w:pPr>
            <w:r w:rsidRPr="00335764">
              <w:rPr>
                <w:rFonts w:cs="Arial"/>
                <w:sz w:val="20"/>
                <w:szCs w:val="20"/>
                <w:lang w:val="en-ZA"/>
              </w:rPr>
              <w:t>100%</w:t>
            </w:r>
          </w:p>
        </w:tc>
      </w:tr>
      <w:tr w:rsidR="00EF522E" w:rsidRPr="00335764" w:rsidTr="00816D44">
        <w:trPr>
          <w:trHeight w:val="662"/>
        </w:trPr>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sz w:val="20"/>
                <w:szCs w:val="20"/>
                <w:lang w:val="en-ZA"/>
              </w:rPr>
            </w:pPr>
            <w:r w:rsidRPr="00335764">
              <w:rPr>
                <w:rFonts w:cs="Arial"/>
                <w:sz w:val="20"/>
                <w:szCs w:val="20"/>
                <w:lang w:val="en-ZA"/>
              </w:rPr>
              <w:t>Number of National Schools Moot Court Programme hosted</w:t>
            </w:r>
          </w:p>
        </w:tc>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ind w:left="1418"/>
              <w:jc w:val="left"/>
              <w:rPr>
                <w:rFonts w:cs="Arial"/>
                <w:sz w:val="20"/>
                <w:szCs w:val="20"/>
                <w:lang w:val="en-ZA"/>
              </w:rPr>
            </w:pPr>
            <w:r w:rsidRPr="00335764">
              <w:rPr>
                <w:rFonts w:cs="Arial"/>
                <w:sz w:val="20"/>
                <w:szCs w:val="20"/>
                <w:lang w:val="en-ZA"/>
              </w:rPr>
              <w:t>1</w:t>
            </w:r>
          </w:p>
        </w:tc>
      </w:tr>
      <w:tr w:rsidR="00EF522E" w:rsidRPr="00335764" w:rsidTr="00816D44">
        <w:trPr>
          <w:trHeight w:val="662"/>
        </w:trPr>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sz w:val="20"/>
                <w:szCs w:val="20"/>
                <w:lang w:val="en-ZA"/>
              </w:rPr>
            </w:pPr>
            <w:r w:rsidRPr="00335764">
              <w:rPr>
                <w:rFonts w:cs="Arial"/>
                <w:sz w:val="20"/>
                <w:szCs w:val="20"/>
                <w:lang w:val="en-ZA"/>
              </w:rPr>
              <w:t>Percentage implementation of Annual SHiNE plan</w:t>
            </w:r>
          </w:p>
        </w:tc>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ind w:left="1418"/>
              <w:jc w:val="left"/>
              <w:rPr>
                <w:rFonts w:cs="Arial"/>
                <w:sz w:val="20"/>
                <w:szCs w:val="20"/>
                <w:lang w:val="en-ZA"/>
              </w:rPr>
            </w:pPr>
            <w:r w:rsidRPr="00335764">
              <w:rPr>
                <w:rFonts w:cs="Arial"/>
                <w:sz w:val="20"/>
                <w:szCs w:val="20"/>
                <w:lang w:val="en-ZA"/>
              </w:rPr>
              <w:t>80%</w:t>
            </w:r>
          </w:p>
        </w:tc>
      </w:tr>
    </w:tbl>
    <w:p w:rsidR="00335D9B" w:rsidRPr="00335764" w:rsidRDefault="00335D9B" w:rsidP="00335764">
      <w:pPr>
        <w:autoSpaceDE w:val="0"/>
        <w:autoSpaceDN w:val="0"/>
        <w:adjustRightInd w:val="0"/>
        <w:spacing w:line="240" w:lineRule="auto"/>
        <w:ind w:left="1418"/>
        <w:jc w:val="left"/>
        <w:rPr>
          <w:rFonts w:cs="Arial"/>
          <w:sz w:val="20"/>
          <w:szCs w:val="20"/>
          <w:lang w:val="en-ZA"/>
        </w:rPr>
      </w:pPr>
    </w:p>
    <w:p w:rsidR="00463B5E" w:rsidRPr="00335764" w:rsidRDefault="00463B5E" w:rsidP="00335764">
      <w:pPr>
        <w:numPr>
          <w:ilvl w:val="1"/>
          <w:numId w:val="1"/>
        </w:numPr>
        <w:autoSpaceDE w:val="0"/>
        <w:autoSpaceDN w:val="0"/>
        <w:adjustRightInd w:val="0"/>
        <w:spacing w:line="240" w:lineRule="auto"/>
        <w:ind w:left="851" w:hanging="851"/>
        <w:jc w:val="left"/>
        <w:rPr>
          <w:rFonts w:cs="Arial"/>
          <w:sz w:val="20"/>
          <w:szCs w:val="20"/>
          <w:lang w:val="en-ZA"/>
        </w:rPr>
      </w:pPr>
      <w:r w:rsidRPr="00335764">
        <w:rPr>
          <w:rFonts w:cs="Arial"/>
          <w:sz w:val="20"/>
          <w:szCs w:val="20"/>
          <w:lang w:val="en-ZA"/>
        </w:rPr>
        <w:t xml:space="preserve">The </w:t>
      </w:r>
      <w:r w:rsidRPr="00335764">
        <w:rPr>
          <w:rFonts w:cs="Arial"/>
          <w:i/>
          <w:sz w:val="20"/>
          <w:szCs w:val="20"/>
          <w:lang w:val="en-ZA"/>
        </w:rPr>
        <w:t>Protection of Human Rights</w:t>
      </w:r>
      <w:r w:rsidRPr="00335764">
        <w:rPr>
          <w:rFonts w:cs="Arial"/>
          <w:sz w:val="20"/>
          <w:szCs w:val="20"/>
          <w:lang w:val="en-ZA"/>
        </w:rPr>
        <w:t xml:space="preserve"> Programme is responsible for carrying out the protective component of the Commission’s constitutional mandate and contains the Legal Services Unit and Office of the Chief Operations Officer</w:t>
      </w:r>
      <w:r w:rsidR="00E03E20" w:rsidRPr="00335764">
        <w:rPr>
          <w:rFonts w:cs="Arial"/>
          <w:sz w:val="20"/>
          <w:szCs w:val="20"/>
          <w:lang w:val="en-ZA"/>
        </w:rPr>
        <w:t xml:space="preserve"> sub-programmes</w:t>
      </w:r>
      <w:r w:rsidRPr="00335764">
        <w:rPr>
          <w:rFonts w:cs="Arial"/>
          <w:sz w:val="20"/>
          <w:szCs w:val="20"/>
          <w:lang w:val="en-ZA"/>
        </w:rPr>
        <w:t xml:space="preserve">. </w:t>
      </w:r>
    </w:p>
    <w:p w:rsidR="00463B5E" w:rsidRPr="00335764" w:rsidRDefault="00463B5E" w:rsidP="00335764">
      <w:pPr>
        <w:spacing w:line="240" w:lineRule="auto"/>
        <w:jc w:val="left"/>
        <w:rPr>
          <w:rFonts w:cs="Arial"/>
          <w:sz w:val="20"/>
          <w:szCs w:val="20"/>
          <w:lang w:val="en-ZA"/>
        </w:rPr>
      </w:pPr>
    </w:p>
    <w:p w:rsidR="00463B5E" w:rsidRPr="00335764" w:rsidRDefault="00E03E20" w:rsidP="00335764">
      <w:pPr>
        <w:pStyle w:val="ListParagraph"/>
        <w:numPr>
          <w:ilvl w:val="2"/>
          <w:numId w:val="1"/>
        </w:numPr>
        <w:autoSpaceDE w:val="0"/>
        <w:autoSpaceDN w:val="0"/>
        <w:adjustRightInd w:val="0"/>
        <w:spacing w:line="240" w:lineRule="auto"/>
        <w:ind w:hanging="862"/>
        <w:jc w:val="left"/>
        <w:rPr>
          <w:rFonts w:cs="Arial"/>
          <w:sz w:val="20"/>
          <w:szCs w:val="20"/>
          <w:lang w:val="en-ZA"/>
        </w:rPr>
      </w:pPr>
      <w:r w:rsidRPr="00335764">
        <w:rPr>
          <w:rFonts w:cs="Arial"/>
          <w:sz w:val="20"/>
          <w:szCs w:val="20"/>
          <w:lang w:val="en-ZA"/>
        </w:rPr>
        <w:t>Through its Protection p</w:t>
      </w:r>
      <w:r w:rsidR="00463B5E" w:rsidRPr="00335764">
        <w:rPr>
          <w:rFonts w:cs="Arial"/>
          <w:sz w:val="20"/>
          <w:szCs w:val="20"/>
          <w:lang w:val="en-ZA"/>
        </w:rPr>
        <w:t xml:space="preserve">rogramme the Commission seeks to: </w:t>
      </w:r>
    </w:p>
    <w:p w:rsidR="00463B5E" w:rsidRPr="00335764" w:rsidRDefault="00463B5E"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Institute strategic impact litigation</w:t>
      </w:r>
      <w:r w:rsidR="00E03E20" w:rsidRPr="00335764">
        <w:rPr>
          <w:rFonts w:cs="Arial"/>
          <w:sz w:val="20"/>
          <w:szCs w:val="20"/>
          <w:lang w:val="en-ZA"/>
        </w:rPr>
        <w:t>.</w:t>
      </w:r>
    </w:p>
    <w:p w:rsidR="00463B5E" w:rsidRPr="00335764" w:rsidRDefault="00463B5E"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Proactively conduct inves</w:t>
      </w:r>
      <w:r w:rsidR="00E03E20" w:rsidRPr="00335764">
        <w:rPr>
          <w:rFonts w:cs="Arial"/>
          <w:sz w:val="20"/>
          <w:szCs w:val="20"/>
          <w:lang w:val="en-ZA"/>
        </w:rPr>
        <w:t>tigative inquiries and hearings.</w:t>
      </w:r>
    </w:p>
    <w:p w:rsidR="00463B5E" w:rsidRPr="00335764" w:rsidRDefault="00463B5E"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Utilise alternative dispute resolution and mediation</w:t>
      </w:r>
      <w:r w:rsidR="00E03E20" w:rsidRPr="00335764">
        <w:rPr>
          <w:rFonts w:cs="Arial"/>
          <w:sz w:val="20"/>
          <w:szCs w:val="20"/>
          <w:lang w:val="en-ZA"/>
        </w:rPr>
        <w:t>.</w:t>
      </w:r>
    </w:p>
    <w:p w:rsidR="00463B5E" w:rsidRPr="00335764" w:rsidRDefault="00463B5E" w:rsidP="00335764">
      <w:pPr>
        <w:spacing w:line="240" w:lineRule="auto"/>
        <w:jc w:val="left"/>
        <w:rPr>
          <w:rFonts w:cs="Arial"/>
          <w:sz w:val="20"/>
          <w:szCs w:val="20"/>
          <w:lang w:val="en-ZA"/>
        </w:rPr>
      </w:pPr>
    </w:p>
    <w:p w:rsidR="00E03E20" w:rsidRPr="00335764" w:rsidRDefault="00463B5E" w:rsidP="00335764">
      <w:pPr>
        <w:pStyle w:val="ListParagraph"/>
        <w:numPr>
          <w:ilvl w:val="2"/>
          <w:numId w:val="1"/>
        </w:numPr>
        <w:autoSpaceDE w:val="0"/>
        <w:autoSpaceDN w:val="0"/>
        <w:adjustRightInd w:val="0"/>
        <w:spacing w:line="240" w:lineRule="auto"/>
        <w:ind w:hanging="862"/>
        <w:jc w:val="left"/>
        <w:rPr>
          <w:rFonts w:cs="Arial"/>
          <w:sz w:val="20"/>
          <w:szCs w:val="20"/>
          <w:lang w:val="en-ZA"/>
        </w:rPr>
      </w:pPr>
      <w:r w:rsidRPr="00335764">
        <w:rPr>
          <w:rFonts w:cs="Arial"/>
          <w:sz w:val="20"/>
          <w:szCs w:val="20"/>
          <w:lang w:val="en-ZA"/>
        </w:rPr>
        <w:t>Under this programme, the Commission has</w:t>
      </w:r>
      <w:r w:rsidR="00816D44" w:rsidRPr="00335764">
        <w:rPr>
          <w:rFonts w:cs="Arial"/>
          <w:sz w:val="20"/>
          <w:szCs w:val="20"/>
          <w:lang w:val="en-ZA"/>
        </w:rPr>
        <w:t xml:space="preserve"> the following targets</w:t>
      </w:r>
      <w:r w:rsidR="00492E4E" w:rsidRPr="00335764">
        <w:rPr>
          <w:rFonts w:cs="Arial"/>
          <w:sz w:val="20"/>
          <w:szCs w:val="20"/>
          <w:lang w:val="en-ZA"/>
        </w:rPr>
        <w:t>:</w:t>
      </w:r>
      <w:r w:rsidRPr="00335764">
        <w:rPr>
          <w:rFonts w:cs="Arial"/>
          <w:sz w:val="20"/>
          <w:szCs w:val="20"/>
          <w:lang w:val="en-Z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7567"/>
        <w:gridCol w:w="2133"/>
      </w:tblGrid>
      <w:tr w:rsidR="00EF522E" w:rsidRPr="00335764" w:rsidTr="00674945">
        <w:trPr>
          <w:trHeight w:val="660"/>
          <w:tblHeader/>
        </w:trPr>
        <w:tc>
          <w:tcPr>
            <w:tcW w:w="0" w:type="auto"/>
            <w:gridSpan w:val="2"/>
            <w:shd w:val="clear" w:color="auto" w:fill="D9D9D9" w:themeFill="background1" w:themeFillShade="D9"/>
            <w:tcMar>
              <w:top w:w="72" w:type="dxa"/>
              <w:left w:w="144" w:type="dxa"/>
              <w:bottom w:w="72" w:type="dxa"/>
              <w:right w:w="144" w:type="dxa"/>
            </w:tcMar>
          </w:tcPr>
          <w:p w:rsidR="00EF522E" w:rsidRPr="00335764" w:rsidRDefault="00EF522E" w:rsidP="00335764">
            <w:pPr>
              <w:autoSpaceDE w:val="0"/>
              <w:autoSpaceDN w:val="0"/>
              <w:adjustRightInd w:val="0"/>
              <w:spacing w:line="240" w:lineRule="auto"/>
              <w:jc w:val="left"/>
              <w:rPr>
                <w:rFonts w:cs="Arial"/>
                <w:b/>
                <w:bCs/>
                <w:sz w:val="20"/>
                <w:szCs w:val="20"/>
                <w:lang w:val="en-ZA"/>
              </w:rPr>
            </w:pPr>
            <w:r w:rsidRPr="00335764">
              <w:rPr>
                <w:rFonts w:cs="Arial"/>
                <w:b/>
                <w:bCs/>
                <w:sz w:val="20"/>
                <w:szCs w:val="20"/>
                <w:lang w:val="en-ZA"/>
              </w:rPr>
              <w:t xml:space="preserve">OUTCOME: </w:t>
            </w:r>
            <w:r w:rsidRPr="00335764">
              <w:rPr>
                <w:rFonts w:cs="Arial"/>
                <w:b/>
                <w:i/>
                <w:sz w:val="20"/>
                <w:szCs w:val="20"/>
                <w:lang w:val="en-ZA"/>
              </w:rPr>
              <w:t>Redress mechanisms provided where human rights have been violated or threatened</w:t>
            </w:r>
          </w:p>
        </w:tc>
      </w:tr>
      <w:tr w:rsidR="00816D44" w:rsidRPr="00335764" w:rsidTr="00816D44">
        <w:trPr>
          <w:trHeight w:val="660"/>
        </w:trPr>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sz w:val="20"/>
                <w:szCs w:val="20"/>
                <w:lang w:val="en-ZA"/>
              </w:rPr>
            </w:pPr>
            <w:r w:rsidRPr="00335764">
              <w:rPr>
                <w:rFonts w:cs="Arial"/>
                <w:b/>
                <w:bCs/>
                <w:sz w:val="20"/>
                <w:szCs w:val="20"/>
                <w:lang w:val="en-ZA"/>
              </w:rPr>
              <w:t>INDICATOR</w:t>
            </w:r>
          </w:p>
        </w:tc>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sz w:val="20"/>
                <w:szCs w:val="20"/>
                <w:lang w:val="en-ZA"/>
              </w:rPr>
            </w:pPr>
            <w:r w:rsidRPr="00335764">
              <w:rPr>
                <w:rFonts w:cs="Arial"/>
                <w:b/>
                <w:bCs/>
                <w:sz w:val="20"/>
                <w:szCs w:val="20"/>
                <w:lang w:val="en-ZA"/>
              </w:rPr>
              <w:t>ANNUAL TARGET</w:t>
            </w:r>
          </w:p>
        </w:tc>
      </w:tr>
      <w:tr w:rsidR="00816D44" w:rsidRPr="00335764" w:rsidTr="00816D44">
        <w:trPr>
          <w:trHeight w:val="358"/>
        </w:trPr>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sz w:val="20"/>
                <w:szCs w:val="20"/>
                <w:lang w:val="en-ZA"/>
              </w:rPr>
            </w:pPr>
            <w:r w:rsidRPr="00335764">
              <w:rPr>
                <w:rFonts w:cs="Arial"/>
                <w:sz w:val="20"/>
                <w:szCs w:val="20"/>
                <w:lang w:val="en-ZA"/>
              </w:rPr>
              <w:t>Number of complaints and enquiries finalised</w:t>
            </w:r>
          </w:p>
        </w:tc>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sz w:val="20"/>
                <w:szCs w:val="20"/>
                <w:lang w:val="en-ZA"/>
              </w:rPr>
            </w:pPr>
            <w:r w:rsidRPr="00335764">
              <w:rPr>
                <w:rFonts w:cs="Arial"/>
                <w:sz w:val="20"/>
                <w:szCs w:val="20"/>
                <w:lang w:val="en-ZA"/>
              </w:rPr>
              <w:t>6803</w:t>
            </w:r>
          </w:p>
        </w:tc>
      </w:tr>
      <w:tr w:rsidR="00816D44" w:rsidRPr="00335764" w:rsidTr="00816D44">
        <w:trPr>
          <w:trHeight w:val="776"/>
        </w:trPr>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sz w:val="20"/>
                <w:szCs w:val="20"/>
                <w:lang w:val="en-ZA"/>
              </w:rPr>
            </w:pPr>
            <w:r w:rsidRPr="00335764">
              <w:rPr>
                <w:rFonts w:cs="Arial"/>
                <w:sz w:val="20"/>
                <w:szCs w:val="20"/>
                <w:lang w:val="en-ZA"/>
              </w:rPr>
              <w:t>Number of initiatives undertaken to address systemic human rights violations</w:t>
            </w:r>
          </w:p>
        </w:tc>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sz w:val="20"/>
                <w:szCs w:val="20"/>
                <w:lang w:val="en-ZA"/>
              </w:rPr>
            </w:pPr>
            <w:r w:rsidRPr="00335764">
              <w:rPr>
                <w:rFonts w:cs="Arial"/>
                <w:sz w:val="20"/>
                <w:szCs w:val="20"/>
                <w:lang w:val="en-ZA"/>
              </w:rPr>
              <w:t>120</w:t>
            </w:r>
          </w:p>
        </w:tc>
      </w:tr>
      <w:tr w:rsidR="00816D44" w:rsidRPr="00335764" w:rsidTr="00816D44">
        <w:trPr>
          <w:trHeight w:val="506"/>
        </w:trPr>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sz w:val="20"/>
                <w:szCs w:val="20"/>
                <w:lang w:val="en-ZA"/>
              </w:rPr>
            </w:pPr>
            <w:r w:rsidRPr="00335764">
              <w:rPr>
                <w:rFonts w:cs="Arial"/>
                <w:sz w:val="20"/>
                <w:szCs w:val="20"/>
                <w:lang w:val="en-ZA"/>
              </w:rPr>
              <w:t xml:space="preserve">Number of High court matters instituted </w:t>
            </w:r>
          </w:p>
        </w:tc>
        <w:tc>
          <w:tcPr>
            <w:tcW w:w="0" w:type="auto"/>
            <w:shd w:val="clear" w:color="auto" w:fill="auto"/>
            <w:tcMar>
              <w:top w:w="72" w:type="dxa"/>
              <w:left w:w="144" w:type="dxa"/>
              <w:bottom w:w="72" w:type="dxa"/>
              <w:right w:w="144" w:type="dxa"/>
            </w:tcMar>
            <w:hideMark/>
          </w:tcPr>
          <w:p w:rsidR="00816D44" w:rsidRPr="00335764" w:rsidRDefault="00816D44" w:rsidP="00335764">
            <w:pPr>
              <w:autoSpaceDE w:val="0"/>
              <w:autoSpaceDN w:val="0"/>
              <w:adjustRightInd w:val="0"/>
              <w:spacing w:line="240" w:lineRule="auto"/>
              <w:jc w:val="left"/>
              <w:rPr>
                <w:rFonts w:cs="Arial"/>
                <w:sz w:val="20"/>
                <w:szCs w:val="20"/>
                <w:lang w:val="en-ZA"/>
              </w:rPr>
            </w:pPr>
            <w:r w:rsidRPr="00335764">
              <w:rPr>
                <w:rFonts w:cs="Arial"/>
                <w:sz w:val="20"/>
                <w:szCs w:val="20"/>
                <w:lang w:val="en-ZA"/>
              </w:rPr>
              <w:t>15</w:t>
            </w:r>
          </w:p>
        </w:tc>
      </w:tr>
    </w:tbl>
    <w:p w:rsidR="00463B5E" w:rsidRPr="00335764" w:rsidRDefault="00463B5E" w:rsidP="00335764">
      <w:pPr>
        <w:autoSpaceDE w:val="0"/>
        <w:autoSpaceDN w:val="0"/>
        <w:adjustRightInd w:val="0"/>
        <w:spacing w:line="240" w:lineRule="auto"/>
        <w:jc w:val="left"/>
        <w:rPr>
          <w:rFonts w:cs="Arial"/>
          <w:sz w:val="20"/>
          <w:szCs w:val="20"/>
          <w:lang w:val="en-ZA"/>
        </w:rPr>
      </w:pPr>
    </w:p>
    <w:p w:rsidR="00EF522E" w:rsidRPr="00335764" w:rsidRDefault="00EF522E" w:rsidP="00335764">
      <w:pPr>
        <w:numPr>
          <w:ilvl w:val="1"/>
          <w:numId w:val="1"/>
        </w:numPr>
        <w:autoSpaceDE w:val="0"/>
        <w:autoSpaceDN w:val="0"/>
        <w:adjustRightInd w:val="0"/>
        <w:spacing w:line="240" w:lineRule="auto"/>
        <w:ind w:hanging="862"/>
        <w:jc w:val="left"/>
        <w:rPr>
          <w:rFonts w:cs="Arial"/>
          <w:sz w:val="20"/>
          <w:szCs w:val="20"/>
          <w:lang w:val="en-ZA"/>
        </w:rPr>
      </w:pPr>
      <w:r w:rsidRPr="00335764">
        <w:rPr>
          <w:rFonts w:cs="Arial"/>
          <w:bCs/>
          <w:sz w:val="20"/>
          <w:szCs w:val="20"/>
        </w:rPr>
        <w:t xml:space="preserve">The </w:t>
      </w:r>
      <w:r w:rsidRPr="00335764">
        <w:rPr>
          <w:rFonts w:cs="Arial"/>
          <w:bCs/>
          <w:i/>
          <w:sz w:val="20"/>
          <w:szCs w:val="20"/>
        </w:rPr>
        <w:t>Monitoring the observance of human rights</w:t>
      </w:r>
      <w:r w:rsidRPr="00335764">
        <w:rPr>
          <w:rFonts w:cs="Arial"/>
          <w:bCs/>
          <w:sz w:val="20"/>
          <w:szCs w:val="20"/>
        </w:rPr>
        <w:t xml:space="preserve"> programme is responsible for the Commission’s constitutional monitoring and reporting mandate and contains one sub-programme - research.</w:t>
      </w:r>
    </w:p>
    <w:p w:rsidR="00261D2C" w:rsidRPr="00335764" w:rsidRDefault="00261D2C" w:rsidP="00335764">
      <w:pPr>
        <w:autoSpaceDE w:val="0"/>
        <w:autoSpaceDN w:val="0"/>
        <w:adjustRightInd w:val="0"/>
        <w:spacing w:line="240" w:lineRule="auto"/>
        <w:ind w:left="862"/>
        <w:jc w:val="left"/>
        <w:rPr>
          <w:rFonts w:cs="Arial"/>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tblPr>
      <w:tblGrid>
        <w:gridCol w:w="7419"/>
        <w:gridCol w:w="2281"/>
      </w:tblGrid>
      <w:tr w:rsidR="00674945" w:rsidRPr="00335764" w:rsidTr="00674945">
        <w:trPr>
          <w:trHeight w:val="629"/>
          <w:tblHeader/>
        </w:trPr>
        <w:tc>
          <w:tcPr>
            <w:tcW w:w="0" w:type="auto"/>
            <w:gridSpan w:val="2"/>
            <w:shd w:val="clear" w:color="auto" w:fill="D9D9D9" w:themeFill="background1" w:themeFillShade="D9"/>
            <w:tcMar>
              <w:top w:w="72" w:type="dxa"/>
              <w:left w:w="144" w:type="dxa"/>
              <w:bottom w:w="72" w:type="dxa"/>
              <w:right w:w="144" w:type="dxa"/>
            </w:tcMar>
          </w:tcPr>
          <w:p w:rsidR="00674945" w:rsidRPr="00335764" w:rsidRDefault="00674945" w:rsidP="00335764">
            <w:pPr>
              <w:autoSpaceDE w:val="0"/>
              <w:autoSpaceDN w:val="0"/>
              <w:adjustRightInd w:val="0"/>
              <w:spacing w:line="240" w:lineRule="auto"/>
              <w:jc w:val="left"/>
              <w:rPr>
                <w:rFonts w:cs="Arial"/>
                <w:b/>
                <w:bCs/>
                <w:sz w:val="20"/>
                <w:szCs w:val="20"/>
                <w:lang w:val="en-ZA"/>
              </w:rPr>
            </w:pPr>
            <w:r w:rsidRPr="00335764">
              <w:rPr>
                <w:rFonts w:cs="Arial"/>
                <w:b/>
                <w:bCs/>
                <w:sz w:val="20"/>
                <w:szCs w:val="20"/>
                <w:lang w:val="en-ZA"/>
              </w:rPr>
              <w:t xml:space="preserve">OUTCOME: </w:t>
            </w:r>
            <w:r w:rsidRPr="00335764">
              <w:rPr>
                <w:rFonts w:cs="Arial"/>
                <w:b/>
                <w:bCs/>
                <w:i/>
                <w:iCs/>
                <w:sz w:val="20"/>
                <w:szCs w:val="20"/>
              </w:rPr>
              <w:t>Recommendations and directives made to improve the state of human rights in the country</w:t>
            </w:r>
          </w:p>
        </w:tc>
      </w:tr>
      <w:tr w:rsidR="00EF522E" w:rsidRPr="00335764" w:rsidTr="00674945">
        <w:trPr>
          <w:trHeight w:val="608"/>
          <w:tblHeader/>
        </w:trPr>
        <w:tc>
          <w:tcPr>
            <w:tcW w:w="0" w:type="auto"/>
            <w:shd w:val="clear" w:color="auto" w:fill="D9D9D9" w:themeFill="background1" w:themeFillShade="D9"/>
            <w:tcMar>
              <w:top w:w="72" w:type="dxa"/>
              <w:left w:w="144" w:type="dxa"/>
              <w:bottom w:w="72" w:type="dxa"/>
              <w:right w:w="144" w:type="dxa"/>
            </w:tcMar>
            <w:hideMark/>
          </w:tcPr>
          <w:p w:rsidR="00EF522E" w:rsidRPr="00335764" w:rsidRDefault="00EF522E" w:rsidP="00335764">
            <w:pPr>
              <w:autoSpaceDE w:val="0"/>
              <w:autoSpaceDN w:val="0"/>
              <w:adjustRightInd w:val="0"/>
              <w:spacing w:line="240" w:lineRule="auto"/>
              <w:jc w:val="left"/>
              <w:rPr>
                <w:rFonts w:cs="Arial"/>
                <w:sz w:val="20"/>
                <w:szCs w:val="20"/>
                <w:lang w:val="en-ZA"/>
              </w:rPr>
            </w:pPr>
            <w:r w:rsidRPr="00335764">
              <w:rPr>
                <w:rFonts w:cs="Arial"/>
                <w:b/>
                <w:bCs/>
                <w:sz w:val="20"/>
                <w:szCs w:val="20"/>
                <w:lang w:val="en-ZA"/>
              </w:rPr>
              <w:lastRenderedPageBreak/>
              <w:t>INDICATOR</w:t>
            </w:r>
          </w:p>
        </w:tc>
        <w:tc>
          <w:tcPr>
            <w:tcW w:w="0" w:type="auto"/>
            <w:shd w:val="clear" w:color="auto" w:fill="D9D9D9" w:themeFill="background1" w:themeFillShade="D9"/>
            <w:tcMar>
              <w:top w:w="72" w:type="dxa"/>
              <w:left w:w="144" w:type="dxa"/>
              <w:bottom w:w="72" w:type="dxa"/>
              <w:right w:w="144" w:type="dxa"/>
            </w:tcMar>
            <w:hideMark/>
          </w:tcPr>
          <w:p w:rsidR="00EF522E" w:rsidRPr="00335764" w:rsidRDefault="00EF522E" w:rsidP="00335764">
            <w:pPr>
              <w:autoSpaceDE w:val="0"/>
              <w:autoSpaceDN w:val="0"/>
              <w:adjustRightInd w:val="0"/>
              <w:spacing w:line="240" w:lineRule="auto"/>
              <w:jc w:val="left"/>
              <w:rPr>
                <w:rFonts w:cs="Arial"/>
                <w:sz w:val="20"/>
                <w:szCs w:val="20"/>
                <w:lang w:val="en-ZA"/>
              </w:rPr>
            </w:pPr>
            <w:r w:rsidRPr="00335764">
              <w:rPr>
                <w:rFonts w:cs="Arial"/>
                <w:b/>
                <w:bCs/>
                <w:sz w:val="20"/>
                <w:szCs w:val="20"/>
                <w:lang w:val="en-ZA"/>
              </w:rPr>
              <w:t>ANNUAL TARGET</w:t>
            </w:r>
          </w:p>
        </w:tc>
      </w:tr>
      <w:tr w:rsidR="00EF522E" w:rsidRPr="00335764" w:rsidTr="00674945">
        <w:trPr>
          <w:trHeight w:val="481"/>
        </w:trPr>
        <w:tc>
          <w:tcPr>
            <w:tcW w:w="0" w:type="auto"/>
            <w:shd w:val="clear" w:color="auto" w:fill="FFFFFF" w:themeFill="background1"/>
            <w:tcMar>
              <w:top w:w="72" w:type="dxa"/>
              <w:left w:w="144" w:type="dxa"/>
              <w:bottom w:w="72" w:type="dxa"/>
              <w:right w:w="144" w:type="dxa"/>
            </w:tcMar>
            <w:hideMark/>
          </w:tcPr>
          <w:p w:rsidR="00EF522E" w:rsidRPr="00335764" w:rsidRDefault="00EF522E" w:rsidP="00335764">
            <w:pPr>
              <w:autoSpaceDE w:val="0"/>
              <w:autoSpaceDN w:val="0"/>
              <w:adjustRightInd w:val="0"/>
              <w:spacing w:line="240" w:lineRule="auto"/>
              <w:jc w:val="left"/>
              <w:rPr>
                <w:rFonts w:cs="Arial"/>
                <w:sz w:val="20"/>
                <w:szCs w:val="20"/>
                <w:lang w:val="en-ZA"/>
              </w:rPr>
            </w:pPr>
            <w:r w:rsidRPr="00335764">
              <w:rPr>
                <w:rFonts w:cs="Arial"/>
                <w:sz w:val="20"/>
                <w:szCs w:val="20"/>
                <w:lang w:val="en-ZA"/>
              </w:rPr>
              <w:t xml:space="preserve">Number of State of human rights in South Africa report completed </w:t>
            </w:r>
          </w:p>
        </w:tc>
        <w:tc>
          <w:tcPr>
            <w:tcW w:w="0" w:type="auto"/>
            <w:shd w:val="clear" w:color="auto" w:fill="FFFFFF" w:themeFill="background1"/>
            <w:tcMar>
              <w:top w:w="72" w:type="dxa"/>
              <w:left w:w="144" w:type="dxa"/>
              <w:bottom w:w="72" w:type="dxa"/>
              <w:right w:w="144" w:type="dxa"/>
            </w:tcMar>
            <w:hideMark/>
          </w:tcPr>
          <w:p w:rsidR="00EF522E" w:rsidRPr="00335764" w:rsidRDefault="00EF522E" w:rsidP="00335764">
            <w:pPr>
              <w:autoSpaceDE w:val="0"/>
              <w:autoSpaceDN w:val="0"/>
              <w:adjustRightInd w:val="0"/>
              <w:spacing w:line="240" w:lineRule="auto"/>
              <w:jc w:val="left"/>
              <w:rPr>
                <w:rFonts w:cs="Arial"/>
                <w:sz w:val="20"/>
                <w:szCs w:val="20"/>
                <w:lang w:val="en-ZA"/>
              </w:rPr>
            </w:pPr>
            <w:r w:rsidRPr="00335764">
              <w:rPr>
                <w:rFonts w:cs="Arial"/>
                <w:sz w:val="20"/>
                <w:szCs w:val="20"/>
                <w:lang w:val="en-ZA"/>
              </w:rPr>
              <w:t>1</w:t>
            </w:r>
          </w:p>
        </w:tc>
      </w:tr>
      <w:tr w:rsidR="00EF522E" w:rsidRPr="00335764" w:rsidTr="00674945">
        <w:trPr>
          <w:trHeight w:val="830"/>
        </w:trPr>
        <w:tc>
          <w:tcPr>
            <w:tcW w:w="0" w:type="auto"/>
            <w:shd w:val="clear" w:color="auto" w:fill="FFFFFF" w:themeFill="background1"/>
            <w:tcMar>
              <w:top w:w="72" w:type="dxa"/>
              <w:left w:w="144" w:type="dxa"/>
              <w:bottom w:w="72" w:type="dxa"/>
              <w:right w:w="144" w:type="dxa"/>
            </w:tcMar>
            <w:hideMark/>
          </w:tcPr>
          <w:p w:rsidR="00EF522E" w:rsidRPr="00335764" w:rsidRDefault="00EF522E" w:rsidP="00335764">
            <w:pPr>
              <w:autoSpaceDE w:val="0"/>
              <w:autoSpaceDN w:val="0"/>
              <w:adjustRightInd w:val="0"/>
              <w:spacing w:line="240" w:lineRule="auto"/>
              <w:jc w:val="left"/>
              <w:rPr>
                <w:rFonts w:cs="Arial"/>
                <w:sz w:val="20"/>
                <w:szCs w:val="20"/>
                <w:lang w:val="en-ZA"/>
              </w:rPr>
            </w:pPr>
            <w:r w:rsidRPr="00335764">
              <w:rPr>
                <w:rFonts w:cs="Arial"/>
                <w:sz w:val="20"/>
                <w:szCs w:val="20"/>
                <w:lang w:val="en-ZA"/>
              </w:rPr>
              <w:t xml:space="preserve">Number of International and Regional Human Rights Reports completed </w:t>
            </w:r>
          </w:p>
        </w:tc>
        <w:tc>
          <w:tcPr>
            <w:tcW w:w="0" w:type="auto"/>
            <w:shd w:val="clear" w:color="auto" w:fill="FFFFFF" w:themeFill="background1"/>
            <w:tcMar>
              <w:top w:w="72" w:type="dxa"/>
              <w:left w:w="144" w:type="dxa"/>
              <w:bottom w:w="72" w:type="dxa"/>
              <w:right w:w="144" w:type="dxa"/>
            </w:tcMar>
            <w:hideMark/>
          </w:tcPr>
          <w:p w:rsidR="00EF522E" w:rsidRPr="00335764" w:rsidRDefault="00EF522E" w:rsidP="00335764">
            <w:pPr>
              <w:autoSpaceDE w:val="0"/>
              <w:autoSpaceDN w:val="0"/>
              <w:adjustRightInd w:val="0"/>
              <w:spacing w:line="240" w:lineRule="auto"/>
              <w:jc w:val="left"/>
              <w:rPr>
                <w:rFonts w:cs="Arial"/>
                <w:sz w:val="20"/>
                <w:szCs w:val="20"/>
                <w:lang w:val="en-ZA"/>
              </w:rPr>
            </w:pPr>
            <w:r w:rsidRPr="00335764">
              <w:rPr>
                <w:rFonts w:cs="Arial"/>
                <w:sz w:val="20"/>
                <w:szCs w:val="20"/>
                <w:lang w:val="en-ZA"/>
              </w:rPr>
              <w:t>1</w:t>
            </w:r>
          </w:p>
        </w:tc>
      </w:tr>
      <w:tr w:rsidR="00EF522E" w:rsidRPr="00335764" w:rsidTr="00674945">
        <w:trPr>
          <w:trHeight w:val="913"/>
        </w:trPr>
        <w:tc>
          <w:tcPr>
            <w:tcW w:w="0" w:type="auto"/>
            <w:shd w:val="clear" w:color="auto" w:fill="FFFFFF" w:themeFill="background1"/>
            <w:tcMar>
              <w:top w:w="72" w:type="dxa"/>
              <w:left w:w="144" w:type="dxa"/>
              <w:bottom w:w="72" w:type="dxa"/>
              <w:right w:w="144" w:type="dxa"/>
            </w:tcMar>
            <w:hideMark/>
          </w:tcPr>
          <w:p w:rsidR="00EF522E" w:rsidRPr="00335764" w:rsidRDefault="00EF522E" w:rsidP="00335764">
            <w:pPr>
              <w:autoSpaceDE w:val="0"/>
              <w:autoSpaceDN w:val="0"/>
              <w:adjustRightInd w:val="0"/>
              <w:spacing w:line="240" w:lineRule="auto"/>
              <w:jc w:val="left"/>
              <w:rPr>
                <w:rFonts w:cs="Arial"/>
                <w:sz w:val="20"/>
                <w:szCs w:val="20"/>
                <w:lang w:val="en-ZA"/>
              </w:rPr>
            </w:pPr>
            <w:r w:rsidRPr="00335764">
              <w:rPr>
                <w:rFonts w:cs="Arial"/>
                <w:sz w:val="20"/>
                <w:szCs w:val="20"/>
                <w:lang w:val="en-ZA"/>
              </w:rPr>
              <w:t xml:space="preserve">Percentage submission of identified NHRI reports </w:t>
            </w:r>
          </w:p>
        </w:tc>
        <w:tc>
          <w:tcPr>
            <w:tcW w:w="0" w:type="auto"/>
            <w:shd w:val="clear" w:color="auto" w:fill="FFFFFF" w:themeFill="background1"/>
            <w:tcMar>
              <w:top w:w="72" w:type="dxa"/>
              <w:left w:w="144" w:type="dxa"/>
              <w:bottom w:w="72" w:type="dxa"/>
              <w:right w:w="144" w:type="dxa"/>
            </w:tcMar>
            <w:hideMark/>
          </w:tcPr>
          <w:p w:rsidR="00EF522E" w:rsidRPr="00335764" w:rsidRDefault="00EF522E" w:rsidP="00335764">
            <w:pPr>
              <w:autoSpaceDE w:val="0"/>
              <w:autoSpaceDN w:val="0"/>
              <w:adjustRightInd w:val="0"/>
              <w:spacing w:line="240" w:lineRule="auto"/>
              <w:jc w:val="left"/>
              <w:rPr>
                <w:rFonts w:cs="Arial"/>
                <w:sz w:val="20"/>
                <w:szCs w:val="20"/>
                <w:lang w:val="en-ZA"/>
              </w:rPr>
            </w:pPr>
            <w:r w:rsidRPr="00335764">
              <w:rPr>
                <w:rFonts w:cs="Arial"/>
                <w:sz w:val="20"/>
                <w:szCs w:val="20"/>
                <w:lang w:val="en-ZA"/>
              </w:rPr>
              <w:t>100%</w:t>
            </w:r>
          </w:p>
        </w:tc>
      </w:tr>
      <w:tr w:rsidR="00EF522E" w:rsidRPr="00335764" w:rsidTr="00674945">
        <w:trPr>
          <w:trHeight w:val="627"/>
        </w:trPr>
        <w:tc>
          <w:tcPr>
            <w:tcW w:w="0" w:type="auto"/>
            <w:shd w:val="clear" w:color="auto" w:fill="FFFFFF" w:themeFill="background1"/>
            <w:tcMar>
              <w:top w:w="72" w:type="dxa"/>
              <w:left w:w="144" w:type="dxa"/>
              <w:bottom w:w="72" w:type="dxa"/>
              <w:right w:w="144" w:type="dxa"/>
            </w:tcMar>
            <w:hideMark/>
          </w:tcPr>
          <w:p w:rsidR="00EF522E" w:rsidRPr="00335764" w:rsidRDefault="00EF522E" w:rsidP="00335764">
            <w:pPr>
              <w:autoSpaceDE w:val="0"/>
              <w:autoSpaceDN w:val="0"/>
              <w:adjustRightInd w:val="0"/>
              <w:spacing w:line="240" w:lineRule="auto"/>
              <w:jc w:val="left"/>
              <w:rPr>
                <w:rFonts w:cs="Arial"/>
                <w:sz w:val="20"/>
                <w:szCs w:val="20"/>
                <w:lang w:val="en-ZA"/>
              </w:rPr>
            </w:pPr>
            <w:r w:rsidRPr="00335764">
              <w:rPr>
                <w:rFonts w:cs="Arial"/>
                <w:sz w:val="20"/>
                <w:szCs w:val="20"/>
                <w:lang w:val="en-ZA"/>
              </w:rPr>
              <w:t>Percentage submission</w:t>
            </w:r>
            <w:r w:rsidR="00674945" w:rsidRPr="00335764">
              <w:rPr>
                <w:rFonts w:cs="Arial"/>
                <w:sz w:val="20"/>
                <w:szCs w:val="20"/>
                <w:lang w:val="en-ZA"/>
              </w:rPr>
              <w:t>s</w:t>
            </w:r>
            <w:r w:rsidRPr="00335764">
              <w:rPr>
                <w:rFonts w:cs="Arial"/>
                <w:sz w:val="20"/>
                <w:szCs w:val="20"/>
                <w:lang w:val="en-ZA"/>
              </w:rPr>
              <w:t xml:space="preserve"> on identified legislation</w:t>
            </w:r>
          </w:p>
        </w:tc>
        <w:tc>
          <w:tcPr>
            <w:tcW w:w="0" w:type="auto"/>
            <w:shd w:val="clear" w:color="auto" w:fill="FFFFFF" w:themeFill="background1"/>
            <w:tcMar>
              <w:top w:w="72" w:type="dxa"/>
              <w:left w:w="144" w:type="dxa"/>
              <w:bottom w:w="72" w:type="dxa"/>
              <w:right w:w="144" w:type="dxa"/>
            </w:tcMar>
            <w:hideMark/>
          </w:tcPr>
          <w:p w:rsidR="00EF522E" w:rsidRPr="00335764" w:rsidRDefault="00EF522E" w:rsidP="00335764">
            <w:pPr>
              <w:autoSpaceDE w:val="0"/>
              <w:autoSpaceDN w:val="0"/>
              <w:adjustRightInd w:val="0"/>
              <w:spacing w:line="240" w:lineRule="auto"/>
              <w:jc w:val="left"/>
              <w:rPr>
                <w:rFonts w:cs="Arial"/>
                <w:sz w:val="20"/>
                <w:szCs w:val="20"/>
                <w:lang w:val="en-ZA"/>
              </w:rPr>
            </w:pPr>
            <w:r w:rsidRPr="00335764">
              <w:rPr>
                <w:rFonts w:cs="Arial"/>
                <w:sz w:val="20"/>
                <w:szCs w:val="20"/>
                <w:lang w:val="en-ZA"/>
              </w:rPr>
              <w:t>100%</w:t>
            </w:r>
          </w:p>
        </w:tc>
      </w:tr>
    </w:tbl>
    <w:p w:rsidR="00EF522E" w:rsidRPr="00335764" w:rsidRDefault="00EF522E" w:rsidP="00335764">
      <w:pPr>
        <w:autoSpaceDE w:val="0"/>
        <w:autoSpaceDN w:val="0"/>
        <w:adjustRightInd w:val="0"/>
        <w:spacing w:line="240" w:lineRule="auto"/>
        <w:jc w:val="left"/>
        <w:rPr>
          <w:rFonts w:cs="Arial"/>
          <w:sz w:val="20"/>
          <w:szCs w:val="20"/>
          <w:lang w:val="en-ZA"/>
        </w:rPr>
      </w:pPr>
    </w:p>
    <w:p w:rsidR="00497006" w:rsidRPr="00335764" w:rsidRDefault="00492E4E" w:rsidP="00335764">
      <w:pPr>
        <w:spacing w:line="240" w:lineRule="auto"/>
        <w:jc w:val="left"/>
        <w:rPr>
          <w:rFonts w:cs="Arial"/>
          <w:bCs/>
          <w:i/>
          <w:sz w:val="20"/>
          <w:szCs w:val="20"/>
        </w:rPr>
      </w:pPr>
      <w:r w:rsidRPr="00335764">
        <w:rPr>
          <w:rFonts w:cs="Arial"/>
          <w:bCs/>
          <w:i/>
          <w:sz w:val="20"/>
          <w:szCs w:val="20"/>
        </w:rPr>
        <w:t>Budget</w:t>
      </w:r>
    </w:p>
    <w:p w:rsidR="00492E4E" w:rsidRPr="00335764" w:rsidRDefault="00492E4E" w:rsidP="00335764">
      <w:pPr>
        <w:spacing w:line="240" w:lineRule="auto"/>
        <w:jc w:val="left"/>
        <w:rPr>
          <w:rFonts w:cs="Arial"/>
          <w:bCs/>
          <w:i/>
          <w:sz w:val="20"/>
          <w:szCs w:val="20"/>
        </w:rPr>
      </w:pPr>
    </w:p>
    <w:p w:rsidR="00C0306C" w:rsidRPr="00335764" w:rsidRDefault="0099312A" w:rsidP="00335764">
      <w:pPr>
        <w:numPr>
          <w:ilvl w:val="1"/>
          <w:numId w:val="1"/>
        </w:numPr>
        <w:autoSpaceDE w:val="0"/>
        <w:autoSpaceDN w:val="0"/>
        <w:adjustRightInd w:val="0"/>
        <w:spacing w:line="240" w:lineRule="auto"/>
        <w:ind w:left="851" w:hanging="851"/>
        <w:jc w:val="left"/>
        <w:rPr>
          <w:rFonts w:cs="Arial"/>
          <w:bCs/>
          <w:sz w:val="20"/>
          <w:szCs w:val="20"/>
        </w:rPr>
      </w:pPr>
      <w:r w:rsidRPr="00335764">
        <w:rPr>
          <w:rFonts w:cs="Arial"/>
          <w:bCs/>
          <w:sz w:val="20"/>
          <w:szCs w:val="20"/>
        </w:rPr>
        <w:t xml:space="preserve">The Commission </w:t>
      </w:r>
      <w:r w:rsidR="00CD1D51" w:rsidRPr="00335764">
        <w:rPr>
          <w:rFonts w:cs="Arial"/>
          <w:bCs/>
          <w:sz w:val="20"/>
          <w:szCs w:val="20"/>
        </w:rPr>
        <w:t>is allocated R209.8</w:t>
      </w:r>
      <w:r w:rsidR="00827254" w:rsidRPr="00335764">
        <w:rPr>
          <w:rFonts w:cs="Arial"/>
          <w:bCs/>
          <w:sz w:val="20"/>
          <w:szCs w:val="20"/>
        </w:rPr>
        <w:t xml:space="preserve"> million for 202</w:t>
      </w:r>
      <w:r w:rsidR="00CD1D51" w:rsidRPr="00335764">
        <w:rPr>
          <w:rFonts w:cs="Arial"/>
          <w:bCs/>
          <w:sz w:val="20"/>
          <w:szCs w:val="20"/>
        </w:rPr>
        <w:t>3/24</w:t>
      </w:r>
      <w:r w:rsidR="00827254" w:rsidRPr="00335764">
        <w:rPr>
          <w:rFonts w:cs="Arial"/>
          <w:bCs/>
          <w:sz w:val="20"/>
          <w:szCs w:val="20"/>
        </w:rPr>
        <w:t xml:space="preserve">, </w:t>
      </w:r>
      <w:r w:rsidR="00CD1D51" w:rsidRPr="00335764">
        <w:rPr>
          <w:rFonts w:cs="Arial"/>
          <w:bCs/>
          <w:sz w:val="20"/>
          <w:szCs w:val="20"/>
        </w:rPr>
        <w:t xml:space="preserve">decreasing in </w:t>
      </w:r>
      <w:r w:rsidR="00827254" w:rsidRPr="00335764">
        <w:rPr>
          <w:rFonts w:cs="Arial"/>
          <w:bCs/>
          <w:sz w:val="20"/>
          <w:szCs w:val="20"/>
        </w:rPr>
        <w:t xml:space="preserve">real terms by </w:t>
      </w:r>
      <w:r w:rsidR="00CD1D51" w:rsidRPr="00335764">
        <w:rPr>
          <w:rFonts w:cs="Arial"/>
          <w:bCs/>
          <w:sz w:val="20"/>
          <w:szCs w:val="20"/>
        </w:rPr>
        <w:t>-7.8% from 2022/23.</w:t>
      </w:r>
      <w:r w:rsidR="00827254" w:rsidRPr="00335764">
        <w:rPr>
          <w:rFonts w:cs="Arial"/>
          <w:bCs/>
          <w:sz w:val="20"/>
          <w:szCs w:val="20"/>
        </w:rPr>
        <w:t xml:space="preserve"> </w:t>
      </w:r>
    </w:p>
    <w:p w:rsidR="00CD1D51" w:rsidRPr="00335764" w:rsidRDefault="00CD1D51" w:rsidP="00335764">
      <w:pPr>
        <w:autoSpaceDE w:val="0"/>
        <w:autoSpaceDN w:val="0"/>
        <w:adjustRightInd w:val="0"/>
        <w:spacing w:line="240" w:lineRule="auto"/>
        <w:ind w:left="851"/>
        <w:jc w:val="left"/>
        <w:rPr>
          <w:rFonts w:cs="Arial"/>
          <w:bCs/>
          <w:sz w:val="20"/>
          <w:szCs w:val="20"/>
        </w:rPr>
      </w:pPr>
    </w:p>
    <w:p w:rsidR="00492E4E" w:rsidRPr="00335764" w:rsidRDefault="00492E4E" w:rsidP="00335764">
      <w:pPr>
        <w:autoSpaceDE w:val="0"/>
        <w:autoSpaceDN w:val="0"/>
        <w:adjustRightInd w:val="0"/>
        <w:spacing w:line="240" w:lineRule="auto"/>
        <w:jc w:val="left"/>
        <w:rPr>
          <w:rFonts w:cs="Arial"/>
          <w:b/>
          <w:sz w:val="20"/>
          <w:szCs w:val="20"/>
        </w:rPr>
      </w:pPr>
      <w:r w:rsidRPr="00335764">
        <w:rPr>
          <w:rFonts w:cs="Arial"/>
          <w:b/>
          <w:sz w:val="20"/>
          <w:szCs w:val="20"/>
        </w:rPr>
        <w:t>S</w:t>
      </w:r>
      <w:r w:rsidR="00CD1D51" w:rsidRPr="00335764">
        <w:rPr>
          <w:rFonts w:cs="Arial"/>
          <w:b/>
          <w:sz w:val="20"/>
          <w:szCs w:val="20"/>
        </w:rPr>
        <w:t>AHRC – Budget 2023</w:t>
      </w:r>
      <w:r w:rsidRPr="00335764">
        <w:rPr>
          <w:rFonts w:cs="Arial"/>
          <w:b/>
          <w:sz w:val="20"/>
          <w:szCs w:val="20"/>
        </w:rPr>
        <w:t xml:space="preserve"> MTEF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8"/>
        <w:gridCol w:w="1419"/>
        <w:gridCol w:w="1109"/>
        <w:gridCol w:w="2542"/>
      </w:tblGrid>
      <w:tr w:rsidR="00674945" w:rsidRPr="00335764" w:rsidTr="00261D2C">
        <w:trPr>
          <w:tblHeader/>
        </w:trPr>
        <w:tc>
          <w:tcPr>
            <w:tcW w:w="2367" w:type="pct"/>
            <w:shd w:val="clear" w:color="auto" w:fill="D9D9D9" w:themeFill="background1" w:themeFillShade="D9"/>
          </w:tcPr>
          <w:p w:rsidR="00674945" w:rsidRPr="00335764" w:rsidRDefault="00674945" w:rsidP="00335764">
            <w:pPr>
              <w:autoSpaceDE w:val="0"/>
              <w:autoSpaceDN w:val="0"/>
              <w:adjustRightInd w:val="0"/>
              <w:spacing w:line="240" w:lineRule="auto"/>
              <w:jc w:val="left"/>
              <w:rPr>
                <w:rFonts w:cs="Arial"/>
                <w:b/>
                <w:caps/>
                <w:color w:val="000000" w:themeColor="text1"/>
                <w:spacing w:val="0"/>
                <w:sz w:val="20"/>
                <w:szCs w:val="20"/>
                <w:lang w:val="en-ZA" w:eastAsia="en-US"/>
              </w:rPr>
            </w:pPr>
            <w:r w:rsidRPr="00335764">
              <w:rPr>
                <w:rFonts w:cs="Arial"/>
                <w:b/>
                <w:caps/>
                <w:color w:val="000000" w:themeColor="text1"/>
                <w:spacing w:val="0"/>
                <w:sz w:val="20"/>
                <w:szCs w:val="20"/>
                <w:lang w:val="en-ZA" w:eastAsia="en-US"/>
              </w:rPr>
              <w:t>Programme</w:t>
            </w:r>
          </w:p>
          <w:p w:rsidR="00674945" w:rsidRPr="00335764" w:rsidRDefault="00674945" w:rsidP="00335764">
            <w:pPr>
              <w:autoSpaceDE w:val="0"/>
              <w:autoSpaceDN w:val="0"/>
              <w:adjustRightInd w:val="0"/>
              <w:spacing w:line="240" w:lineRule="auto"/>
              <w:jc w:val="left"/>
              <w:rPr>
                <w:rFonts w:cs="Arial"/>
                <w:b/>
                <w:color w:val="000000" w:themeColor="text1"/>
                <w:spacing w:val="0"/>
                <w:sz w:val="20"/>
                <w:szCs w:val="20"/>
                <w:lang w:val="en-ZA" w:eastAsia="en-US"/>
              </w:rPr>
            </w:pPr>
            <w:r w:rsidRPr="00335764">
              <w:rPr>
                <w:rFonts w:cs="Arial"/>
                <w:b/>
                <w:color w:val="000000" w:themeColor="text1"/>
                <w:spacing w:val="0"/>
                <w:sz w:val="20"/>
                <w:szCs w:val="20"/>
                <w:lang w:val="en-ZA" w:eastAsia="en-US"/>
              </w:rPr>
              <w:t>(R’million)</w:t>
            </w:r>
          </w:p>
        </w:tc>
        <w:tc>
          <w:tcPr>
            <w:tcW w:w="737" w:type="pct"/>
            <w:shd w:val="clear" w:color="auto" w:fill="D9D9D9" w:themeFill="background1" w:themeFillShade="D9"/>
          </w:tcPr>
          <w:p w:rsidR="00674945" w:rsidRPr="00335764" w:rsidRDefault="00674945" w:rsidP="00335764">
            <w:pPr>
              <w:autoSpaceDE w:val="0"/>
              <w:autoSpaceDN w:val="0"/>
              <w:adjustRightInd w:val="0"/>
              <w:spacing w:line="240" w:lineRule="auto"/>
              <w:jc w:val="left"/>
              <w:rPr>
                <w:rFonts w:cs="Arial"/>
                <w:b/>
                <w:caps/>
                <w:color w:val="000000" w:themeColor="text1"/>
                <w:spacing w:val="0"/>
                <w:sz w:val="20"/>
                <w:szCs w:val="20"/>
                <w:lang w:val="en-ZA" w:eastAsia="en-US"/>
              </w:rPr>
            </w:pPr>
            <w:r w:rsidRPr="00335764">
              <w:rPr>
                <w:rFonts w:cs="Arial"/>
                <w:b/>
                <w:caps/>
                <w:color w:val="000000" w:themeColor="text1"/>
                <w:spacing w:val="0"/>
                <w:sz w:val="20"/>
                <w:szCs w:val="20"/>
                <w:lang w:val="en-ZA" w:eastAsia="en-US"/>
              </w:rPr>
              <w:t>2022/23</w:t>
            </w:r>
          </w:p>
          <w:p w:rsidR="00674945" w:rsidRPr="00335764" w:rsidRDefault="00674945" w:rsidP="00335764">
            <w:pPr>
              <w:autoSpaceDE w:val="0"/>
              <w:autoSpaceDN w:val="0"/>
              <w:adjustRightInd w:val="0"/>
              <w:spacing w:line="240" w:lineRule="auto"/>
              <w:jc w:val="left"/>
              <w:rPr>
                <w:rFonts w:cs="Arial"/>
                <w:b/>
                <w:caps/>
                <w:color w:val="000000" w:themeColor="text1"/>
                <w:spacing w:val="0"/>
                <w:sz w:val="20"/>
                <w:szCs w:val="20"/>
                <w:lang w:val="en-ZA" w:eastAsia="en-US"/>
              </w:rPr>
            </w:pPr>
            <w:r w:rsidRPr="00335764">
              <w:rPr>
                <w:rFonts w:cs="Arial"/>
                <w:b/>
                <w:caps/>
                <w:color w:val="000000" w:themeColor="text1"/>
                <w:spacing w:val="0"/>
                <w:sz w:val="20"/>
                <w:szCs w:val="20"/>
                <w:lang w:val="en-ZA" w:eastAsia="en-US"/>
              </w:rPr>
              <w:t>Revised</w:t>
            </w:r>
          </w:p>
        </w:tc>
        <w:tc>
          <w:tcPr>
            <w:tcW w:w="576" w:type="pct"/>
            <w:shd w:val="clear" w:color="auto" w:fill="D9D9D9" w:themeFill="background1" w:themeFillShade="D9"/>
          </w:tcPr>
          <w:p w:rsidR="00674945" w:rsidRPr="00335764" w:rsidRDefault="00674945" w:rsidP="00335764">
            <w:pPr>
              <w:autoSpaceDE w:val="0"/>
              <w:autoSpaceDN w:val="0"/>
              <w:adjustRightInd w:val="0"/>
              <w:spacing w:line="240" w:lineRule="auto"/>
              <w:jc w:val="left"/>
              <w:rPr>
                <w:rFonts w:cs="Arial"/>
                <w:b/>
                <w:caps/>
                <w:color w:val="000000" w:themeColor="text1"/>
                <w:spacing w:val="0"/>
                <w:sz w:val="20"/>
                <w:szCs w:val="20"/>
                <w:lang w:val="en-ZA" w:eastAsia="en-US"/>
              </w:rPr>
            </w:pPr>
            <w:r w:rsidRPr="00335764">
              <w:rPr>
                <w:rFonts w:cs="Arial"/>
                <w:b/>
                <w:caps/>
                <w:color w:val="000000" w:themeColor="text1"/>
                <w:spacing w:val="0"/>
                <w:sz w:val="20"/>
                <w:szCs w:val="20"/>
                <w:lang w:val="en-ZA" w:eastAsia="en-US"/>
              </w:rPr>
              <w:t>2023/24</w:t>
            </w:r>
          </w:p>
        </w:tc>
        <w:tc>
          <w:tcPr>
            <w:tcW w:w="1320" w:type="pct"/>
            <w:shd w:val="clear" w:color="auto" w:fill="D9D9D9" w:themeFill="background1" w:themeFillShade="D9"/>
          </w:tcPr>
          <w:p w:rsidR="00674945" w:rsidRPr="00335764" w:rsidRDefault="00674945" w:rsidP="00335764">
            <w:pPr>
              <w:autoSpaceDE w:val="0"/>
              <w:autoSpaceDN w:val="0"/>
              <w:adjustRightInd w:val="0"/>
              <w:spacing w:line="240" w:lineRule="auto"/>
              <w:jc w:val="left"/>
              <w:rPr>
                <w:rFonts w:cs="Arial"/>
                <w:b/>
                <w:caps/>
                <w:color w:val="000000" w:themeColor="text1"/>
                <w:spacing w:val="0"/>
                <w:sz w:val="20"/>
                <w:szCs w:val="20"/>
                <w:lang w:val="en-ZA" w:eastAsia="en-US"/>
              </w:rPr>
            </w:pPr>
            <w:r w:rsidRPr="00335764">
              <w:rPr>
                <w:rFonts w:cs="Arial"/>
                <w:b/>
                <w:caps/>
                <w:color w:val="000000" w:themeColor="text1"/>
                <w:spacing w:val="0"/>
                <w:sz w:val="20"/>
                <w:szCs w:val="20"/>
                <w:lang w:val="en-ZA" w:eastAsia="en-US"/>
              </w:rPr>
              <w:t>Real % change</w:t>
            </w:r>
          </w:p>
        </w:tc>
      </w:tr>
      <w:tr w:rsidR="00674945" w:rsidRPr="00335764" w:rsidTr="00261D2C">
        <w:tc>
          <w:tcPr>
            <w:tcW w:w="2367" w:type="pct"/>
            <w:shd w:val="clear" w:color="auto" w:fill="auto"/>
          </w:tcPr>
          <w:p w:rsidR="00674945" w:rsidRPr="00335764" w:rsidRDefault="00674945" w:rsidP="00335764">
            <w:pPr>
              <w:autoSpaceDE w:val="0"/>
              <w:autoSpaceDN w:val="0"/>
              <w:adjustRightInd w:val="0"/>
              <w:spacing w:line="240" w:lineRule="auto"/>
              <w:jc w:val="left"/>
              <w:rPr>
                <w:rFonts w:cs="Arial"/>
                <w:color w:val="000000" w:themeColor="text1"/>
                <w:spacing w:val="0"/>
                <w:sz w:val="20"/>
                <w:szCs w:val="20"/>
                <w:lang w:val="en-ZA" w:eastAsia="en-US"/>
              </w:rPr>
            </w:pPr>
            <w:r w:rsidRPr="00335764">
              <w:rPr>
                <w:rFonts w:cs="Arial"/>
                <w:color w:val="000000" w:themeColor="text1"/>
                <w:spacing w:val="0"/>
                <w:sz w:val="20"/>
                <w:szCs w:val="20"/>
                <w:lang w:val="en-ZA" w:eastAsia="en-US"/>
              </w:rPr>
              <w:t>Administration</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674945" w:rsidRPr="00335764" w:rsidRDefault="00674945" w:rsidP="00335764">
            <w:pPr>
              <w:spacing w:line="240" w:lineRule="auto"/>
              <w:jc w:val="left"/>
              <w:rPr>
                <w:rFonts w:cs="Arial"/>
                <w:color w:val="000000" w:themeColor="text1"/>
                <w:sz w:val="20"/>
                <w:szCs w:val="20"/>
              </w:rPr>
            </w:pPr>
            <w:r w:rsidRPr="00335764">
              <w:rPr>
                <w:rFonts w:cs="Arial"/>
                <w:color w:val="000000" w:themeColor="text1"/>
                <w:sz w:val="20"/>
                <w:szCs w:val="20"/>
              </w:rPr>
              <w:t xml:space="preserve">72.5 </w:t>
            </w:r>
          </w:p>
        </w:tc>
        <w:tc>
          <w:tcPr>
            <w:tcW w:w="57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4945" w:rsidRPr="00335764" w:rsidRDefault="00674945" w:rsidP="00335764">
            <w:pPr>
              <w:spacing w:line="240" w:lineRule="auto"/>
              <w:jc w:val="left"/>
              <w:rPr>
                <w:rFonts w:cs="Arial"/>
                <w:b/>
                <w:color w:val="000000" w:themeColor="text1"/>
                <w:sz w:val="20"/>
                <w:szCs w:val="20"/>
              </w:rPr>
            </w:pPr>
            <w:r w:rsidRPr="00335764">
              <w:rPr>
                <w:rFonts w:cs="Arial"/>
                <w:b/>
                <w:color w:val="000000" w:themeColor="text1"/>
                <w:sz w:val="20"/>
                <w:szCs w:val="20"/>
              </w:rPr>
              <w:t>70.7</w:t>
            </w:r>
          </w:p>
        </w:tc>
        <w:tc>
          <w:tcPr>
            <w:tcW w:w="1320" w:type="pct"/>
            <w:tcBorders>
              <w:top w:val="single" w:sz="4" w:space="0" w:color="000000"/>
              <w:left w:val="single" w:sz="4" w:space="0" w:color="000000"/>
              <w:bottom w:val="single" w:sz="4" w:space="0" w:color="000000"/>
              <w:right w:val="single" w:sz="4" w:space="0" w:color="000000"/>
            </w:tcBorders>
            <w:shd w:val="clear" w:color="auto" w:fill="auto"/>
          </w:tcPr>
          <w:p w:rsidR="00674945" w:rsidRPr="00335764" w:rsidRDefault="00674945" w:rsidP="00335764">
            <w:pPr>
              <w:spacing w:line="240" w:lineRule="auto"/>
              <w:jc w:val="left"/>
              <w:rPr>
                <w:rFonts w:cs="Arial"/>
                <w:color w:val="000000" w:themeColor="text1"/>
                <w:sz w:val="20"/>
                <w:szCs w:val="20"/>
              </w:rPr>
            </w:pPr>
            <w:r w:rsidRPr="00335764">
              <w:rPr>
                <w:rFonts w:cs="Arial"/>
                <w:color w:val="000000" w:themeColor="text1"/>
                <w:sz w:val="20"/>
                <w:szCs w:val="20"/>
              </w:rPr>
              <w:t xml:space="preserve">-7.04 </w:t>
            </w:r>
            <w:r w:rsidR="005F32E5" w:rsidRPr="00335764">
              <w:rPr>
                <w:rFonts w:cs="Arial"/>
                <w:color w:val="000000" w:themeColor="text1"/>
                <w:sz w:val="20"/>
                <w:szCs w:val="20"/>
              </w:rPr>
              <w:t>%</w:t>
            </w:r>
          </w:p>
        </w:tc>
      </w:tr>
      <w:tr w:rsidR="00674945" w:rsidRPr="00335764" w:rsidTr="00261D2C">
        <w:tc>
          <w:tcPr>
            <w:tcW w:w="2367" w:type="pct"/>
            <w:shd w:val="clear" w:color="auto" w:fill="auto"/>
          </w:tcPr>
          <w:p w:rsidR="00674945" w:rsidRPr="00335764" w:rsidRDefault="00674945" w:rsidP="00335764">
            <w:pPr>
              <w:autoSpaceDE w:val="0"/>
              <w:autoSpaceDN w:val="0"/>
              <w:adjustRightInd w:val="0"/>
              <w:spacing w:line="240" w:lineRule="auto"/>
              <w:jc w:val="left"/>
              <w:rPr>
                <w:rFonts w:cs="Arial"/>
                <w:color w:val="000000" w:themeColor="text1"/>
                <w:spacing w:val="0"/>
                <w:sz w:val="20"/>
                <w:szCs w:val="20"/>
                <w:lang w:val="en-ZA" w:eastAsia="en-US"/>
              </w:rPr>
            </w:pPr>
            <w:r w:rsidRPr="00335764">
              <w:rPr>
                <w:rFonts w:cs="Arial"/>
                <w:color w:val="000000" w:themeColor="text1"/>
                <w:spacing w:val="0"/>
                <w:sz w:val="20"/>
                <w:szCs w:val="20"/>
                <w:lang w:val="en-ZA" w:eastAsia="en-US"/>
              </w:rPr>
              <w:t xml:space="preserve">Monitoring observance </w:t>
            </w:r>
            <w:r w:rsidRPr="00335764">
              <w:rPr>
                <w:rFonts w:cs="Arial"/>
                <w:bCs/>
                <w:sz w:val="20"/>
                <w:szCs w:val="20"/>
              </w:rPr>
              <w:t>of human rights</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674945" w:rsidRPr="00335764" w:rsidRDefault="00674945" w:rsidP="00335764">
            <w:pPr>
              <w:spacing w:line="240" w:lineRule="auto"/>
              <w:jc w:val="left"/>
              <w:rPr>
                <w:rFonts w:cs="Arial"/>
                <w:color w:val="000000" w:themeColor="text1"/>
                <w:sz w:val="20"/>
                <w:szCs w:val="20"/>
              </w:rPr>
            </w:pPr>
            <w:r w:rsidRPr="00335764">
              <w:rPr>
                <w:rFonts w:cs="Arial"/>
                <w:color w:val="000000" w:themeColor="text1"/>
                <w:sz w:val="20"/>
                <w:szCs w:val="20"/>
              </w:rPr>
              <w:t>17.5</w:t>
            </w:r>
          </w:p>
        </w:tc>
        <w:tc>
          <w:tcPr>
            <w:tcW w:w="57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4945" w:rsidRPr="00335764" w:rsidRDefault="00674945" w:rsidP="00335764">
            <w:pPr>
              <w:spacing w:line="240" w:lineRule="auto"/>
              <w:jc w:val="left"/>
              <w:rPr>
                <w:rFonts w:cs="Arial"/>
                <w:b/>
                <w:color w:val="000000" w:themeColor="text1"/>
                <w:sz w:val="20"/>
                <w:szCs w:val="20"/>
              </w:rPr>
            </w:pPr>
            <w:r w:rsidRPr="00335764">
              <w:rPr>
                <w:rFonts w:cs="Arial"/>
                <w:b/>
                <w:color w:val="000000" w:themeColor="text1"/>
                <w:sz w:val="20"/>
                <w:szCs w:val="20"/>
              </w:rPr>
              <w:t>10.2</w:t>
            </w:r>
          </w:p>
        </w:tc>
        <w:tc>
          <w:tcPr>
            <w:tcW w:w="1320" w:type="pct"/>
            <w:tcBorders>
              <w:top w:val="single" w:sz="4" w:space="0" w:color="000000"/>
              <w:left w:val="single" w:sz="4" w:space="0" w:color="000000"/>
              <w:bottom w:val="single" w:sz="4" w:space="0" w:color="000000"/>
              <w:right w:val="single" w:sz="4" w:space="0" w:color="000000"/>
            </w:tcBorders>
            <w:shd w:val="clear" w:color="auto" w:fill="auto"/>
          </w:tcPr>
          <w:p w:rsidR="00674945" w:rsidRPr="00335764" w:rsidRDefault="00674945" w:rsidP="00335764">
            <w:pPr>
              <w:spacing w:line="240" w:lineRule="auto"/>
              <w:jc w:val="left"/>
              <w:rPr>
                <w:rFonts w:cs="Arial"/>
                <w:color w:val="000000" w:themeColor="text1"/>
                <w:sz w:val="20"/>
                <w:szCs w:val="20"/>
              </w:rPr>
            </w:pPr>
            <w:r w:rsidRPr="00335764">
              <w:rPr>
                <w:rFonts w:cs="Arial"/>
                <w:color w:val="000000" w:themeColor="text1"/>
                <w:sz w:val="20"/>
                <w:szCs w:val="20"/>
              </w:rPr>
              <w:t xml:space="preserve">-44.44 </w:t>
            </w:r>
            <w:r w:rsidR="005F32E5" w:rsidRPr="00335764">
              <w:rPr>
                <w:rFonts w:cs="Arial"/>
                <w:color w:val="000000" w:themeColor="text1"/>
                <w:sz w:val="20"/>
                <w:szCs w:val="20"/>
              </w:rPr>
              <w:t>%</w:t>
            </w:r>
          </w:p>
        </w:tc>
      </w:tr>
      <w:tr w:rsidR="00674945" w:rsidRPr="00335764" w:rsidTr="00261D2C">
        <w:tc>
          <w:tcPr>
            <w:tcW w:w="2367" w:type="pct"/>
            <w:shd w:val="clear" w:color="auto" w:fill="auto"/>
          </w:tcPr>
          <w:p w:rsidR="00674945" w:rsidRPr="00335764" w:rsidRDefault="00674945" w:rsidP="00335764">
            <w:pPr>
              <w:autoSpaceDE w:val="0"/>
              <w:autoSpaceDN w:val="0"/>
              <w:adjustRightInd w:val="0"/>
              <w:spacing w:line="240" w:lineRule="auto"/>
              <w:jc w:val="left"/>
              <w:rPr>
                <w:rFonts w:cs="Arial"/>
                <w:color w:val="000000" w:themeColor="text1"/>
                <w:spacing w:val="0"/>
                <w:sz w:val="20"/>
                <w:szCs w:val="20"/>
                <w:lang w:val="en-ZA" w:eastAsia="en-US"/>
              </w:rPr>
            </w:pPr>
            <w:r w:rsidRPr="00335764">
              <w:rPr>
                <w:rFonts w:cs="Arial"/>
                <w:color w:val="000000" w:themeColor="text1"/>
                <w:spacing w:val="0"/>
                <w:sz w:val="20"/>
                <w:szCs w:val="20"/>
                <w:lang w:val="en-ZA" w:eastAsia="en-US"/>
              </w:rPr>
              <w:t xml:space="preserve">Promotion </w:t>
            </w:r>
            <w:r w:rsidRPr="00335764">
              <w:rPr>
                <w:rFonts w:cs="Arial"/>
                <w:bCs/>
                <w:sz w:val="20"/>
                <w:szCs w:val="20"/>
              </w:rPr>
              <w:t>of human rights</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674945" w:rsidRPr="00335764" w:rsidRDefault="00674945" w:rsidP="00335764">
            <w:pPr>
              <w:spacing w:line="240" w:lineRule="auto"/>
              <w:jc w:val="left"/>
              <w:rPr>
                <w:rFonts w:cs="Arial"/>
                <w:color w:val="000000" w:themeColor="text1"/>
                <w:sz w:val="20"/>
                <w:szCs w:val="20"/>
              </w:rPr>
            </w:pPr>
            <w:r w:rsidRPr="00335764">
              <w:rPr>
                <w:rFonts w:cs="Arial"/>
                <w:color w:val="000000" w:themeColor="text1"/>
                <w:sz w:val="20"/>
                <w:szCs w:val="20"/>
              </w:rPr>
              <w:t>114.1</w:t>
            </w:r>
          </w:p>
        </w:tc>
        <w:tc>
          <w:tcPr>
            <w:tcW w:w="57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4945" w:rsidRPr="00335764" w:rsidRDefault="00674945" w:rsidP="00335764">
            <w:pPr>
              <w:spacing w:line="240" w:lineRule="auto"/>
              <w:jc w:val="left"/>
              <w:rPr>
                <w:rFonts w:cs="Arial"/>
                <w:b/>
                <w:color w:val="000000" w:themeColor="text1"/>
                <w:sz w:val="20"/>
                <w:szCs w:val="20"/>
              </w:rPr>
            </w:pPr>
            <w:r w:rsidRPr="00335764">
              <w:rPr>
                <w:rFonts w:cs="Arial"/>
                <w:b/>
                <w:color w:val="000000" w:themeColor="text1"/>
                <w:sz w:val="20"/>
                <w:szCs w:val="20"/>
              </w:rPr>
              <w:t>117.7</w:t>
            </w:r>
          </w:p>
        </w:tc>
        <w:tc>
          <w:tcPr>
            <w:tcW w:w="1320" w:type="pct"/>
            <w:tcBorders>
              <w:top w:val="single" w:sz="4" w:space="0" w:color="000000"/>
              <w:left w:val="single" w:sz="4" w:space="0" w:color="000000"/>
              <w:bottom w:val="single" w:sz="4" w:space="0" w:color="000000"/>
              <w:right w:val="single" w:sz="4" w:space="0" w:color="000000"/>
            </w:tcBorders>
            <w:shd w:val="clear" w:color="auto" w:fill="auto"/>
          </w:tcPr>
          <w:p w:rsidR="00674945" w:rsidRPr="00335764" w:rsidRDefault="005F32E5" w:rsidP="00335764">
            <w:pPr>
              <w:spacing w:line="240" w:lineRule="auto"/>
              <w:jc w:val="left"/>
              <w:rPr>
                <w:rFonts w:cs="Arial"/>
                <w:color w:val="000000" w:themeColor="text1"/>
                <w:sz w:val="20"/>
                <w:szCs w:val="20"/>
              </w:rPr>
            </w:pPr>
            <w:r w:rsidRPr="00335764">
              <w:rPr>
                <w:rFonts w:cs="Arial"/>
                <w:color w:val="000000" w:themeColor="text1"/>
                <w:sz w:val="20"/>
                <w:szCs w:val="20"/>
              </w:rPr>
              <w:t>-1.</w:t>
            </w:r>
            <w:r w:rsidR="00674945" w:rsidRPr="00335764">
              <w:rPr>
                <w:rFonts w:cs="Arial"/>
                <w:color w:val="000000" w:themeColor="text1"/>
                <w:sz w:val="20"/>
                <w:szCs w:val="20"/>
              </w:rPr>
              <w:t xml:space="preserve">66 </w:t>
            </w:r>
            <w:r w:rsidRPr="00335764">
              <w:rPr>
                <w:rFonts w:cs="Arial"/>
                <w:color w:val="000000" w:themeColor="text1"/>
                <w:sz w:val="20"/>
                <w:szCs w:val="20"/>
              </w:rPr>
              <w:t>%</w:t>
            </w:r>
          </w:p>
        </w:tc>
      </w:tr>
      <w:tr w:rsidR="00674945" w:rsidRPr="00335764" w:rsidTr="00261D2C">
        <w:tc>
          <w:tcPr>
            <w:tcW w:w="2367" w:type="pct"/>
            <w:shd w:val="clear" w:color="auto" w:fill="auto"/>
          </w:tcPr>
          <w:p w:rsidR="00674945" w:rsidRPr="00335764" w:rsidRDefault="00674945" w:rsidP="00335764">
            <w:pPr>
              <w:autoSpaceDE w:val="0"/>
              <w:autoSpaceDN w:val="0"/>
              <w:adjustRightInd w:val="0"/>
              <w:spacing w:line="240" w:lineRule="auto"/>
              <w:jc w:val="left"/>
              <w:rPr>
                <w:rFonts w:cs="Arial"/>
                <w:color w:val="000000" w:themeColor="text1"/>
                <w:spacing w:val="0"/>
                <w:sz w:val="20"/>
                <w:szCs w:val="20"/>
                <w:lang w:val="en-ZA" w:eastAsia="en-US"/>
              </w:rPr>
            </w:pPr>
            <w:r w:rsidRPr="00335764">
              <w:rPr>
                <w:rFonts w:cs="Arial"/>
                <w:color w:val="000000" w:themeColor="text1"/>
                <w:spacing w:val="0"/>
                <w:sz w:val="20"/>
                <w:szCs w:val="20"/>
                <w:lang w:val="en-ZA" w:eastAsia="en-US"/>
              </w:rPr>
              <w:t xml:space="preserve">Protection </w:t>
            </w:r>
            <w:r w:rsidRPr="00335764">
              <w:rPr>
                <w:rFonts w:cs="Arial"/>
                <w:bCs/>
                <w:sz w:val="20"/>
                <w:szCs w:val="20"/>
              </w:rPr>
              <w:t>of human rights</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674945" w:rsidRPr="00335764" w:rsidRDefault="00674945" w:rsidP="00335764">
            <w:pPr>
              <w:spacing w:line="240" w:lineRule="auto"/>
              <w:jc w:val="left"/>
              <w:rPr>
                <w:rFonts w:cs="Arial"/>
                <w:color w:val="000000" w:themeColor="text1"/>
                <w:sz w:val="20"/>
                <w:szCs w:val="20"/>
              </w:rPr>
            </w:pPr>
            <w:r w:rsidRPr="00335764">
              <w:rPr>
                <w:rFonts w:cs="Arial"/>
                <w:color w:val="000000" w:themeColor="text1"/>
                <w:sz w:val="20"/>
                <w:szCs w:val="20"/>
              </w:rPr>
              <w:t>12.8</w:t>
            </w:r>
          </w:p>
        </w:tc>
        <w:tc>
          <w:tcPr>
            <w:tcW w:w="57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4945" w:rsidRPr="00335764" w:rsidRDefault="00674945" w:rsidP="00335764">
            <w:pPr>
              <w:spacing w:line="240" w:lineRule="auto"/>
              <w:jc w:val="left"/>
              <w:rPr>
                <w:rFonts w:cs="Arial"/>
                <w:b/>
                <w:color w:val="000000" w:themeColor="text1"/>
                <w:sz w:val="20"/>
                <w:szCs w:val="20"/>
              </w:rPr>
            </w:pPr>
            <w:r w:rsidRPr="00335764">
              <w:rPr>
                <w:rFonts w:cs="Arial"/>
                <w:b/>
                <w:color w:val="000000" w:themeColor="text1"/>
                <w:sz w:val="20"/>
                <w:szCs w:val="20"/>
              </w:rPr>
              <w:t>11.3</w:t>
            </w:r>
          </w:p>
        </w:tc>
        <w:tc>
          <w:tcPr>
            <w:tcW w:w="1320" w:type="pct"/>
            <w:tcBorders>
              <w:top w:val="single" w:sz="4" w:space="0" w:color="000000"/>
              <w:left w:val="single" w:sz="4" w:space="0" w:color="000000"/>
              <w:bottom w:val="single" w:sz="4" w:space="0" w:color="000000"/>
              <w:right w:val="single" w:sz="4" w:space="0" w:color="000000"/>
            </w:tcBorders>
            <w:shd w:val="clear" w:color="auto" w:fill="auto"/>
          </w:tcPr>
          <w:p w:rsidR="00674945" w:rsidRPr="00335764" w:rsidRDefault="00674945" w:rsidP="00335764">
            <w:pPr>
              <w:spacing w:line="240" w:lineRule="auto"/>
              <w:jc w:val="left"/>
              <w:rPr>
                <w:rFonts w:cs="Arial"/>
                <w:color w:val="000000" w:themeColor="text1"/>
                <w:sz w:val="20"/>
                <w:szCs w:val="20"/>
              </w:rPr>
            </w:pPr>
            <w:r w:rsidRPr="00335764">
              <w:rPr>
                <w:rFonts w:cs="Arial"/>
                <w:color w:val="000000" w:themeColor="text1"/>
                <w:sz w:val="20"/>
                <w:szCs w:val="20"/>
              </w:rPr>
              <w:t xml:space="preserve">-15.84 </w:t>
            </w:r>
            <w:r w:rsidR="005F32E5" w:rsidRPr="00335764">
              <w:rPr>
                <w:rFonts w:cs="Arial"/>
                <w:color w:val="000000" w:themeColor="text1"/>
                <w:sz w:val="20"/>
                <w:szCs w:val="20"/>
              </w:rPr>
              <w:t>%</w:t>
            </w:r>
          </w:p>
        </w:tc>
      </w:tr>
      <w:tr w:rsidR="00674945" w:rsidRPr="00335764" w:rsidTr="00261D2C">
        <w:tc>
          <w:tcPr>
            <w:tcW w:w="2367" w:type="pct"/>
            <w:shd w:val="clear" w:color="auto" w:fill="auto"/>
          </w:tcPr>
          <w:p w:rsidR="00674945" w:rsidRPr="00335764" w:rsidRDefault="00674945" w:rsidP="00335764">
            <w:pPr>
              <w:autoSpaceDE w:val="0"/>
              <w:autoSpaceDN w:val="0"/>
              <w:adjustRightInd w:val="0"/>
              <w:spacing w:line="240" w:lineRule="auto"/>
              <w:jc w:val="left"/>
              <w:rPr>
                <w:rFonts w:cs="Arial"/>
                <w:b/>
                <w:color w:val="000000" w:themeColor="text1"/>
                <w:spacing w:val="0"/>
                <w:sz w:val="20"/>
                <w:szCs w:val="20"/>
                <w:lang w:val="en-ZA" w:eastAsia="en-US"/>
              </w:rPr>
            </w:pPr>
            <w:r w:rsidRPr="00335764">
              <w:rPr>
                <w:rFonts w:cs="Arial"/>
                <w:b/>
                <w:color w:val="000000" w:themeColor="text1"/>
                <w:spacing w:val="0"/>
                <w:sz w:val="20"/>
                <w:szCs w:val="20"/>
                <w:lang w:val="en-ZA" w:eastAsia="en-US"/>
              </w:rPr>
              <w:t>Total</w:t>
            </w:r>
          </w:p>
        </w:tc>
        <w:tc>
          <w:tcPr>
            <w:tcW w:w="737" w:type="pct"/>
            <w:tcBorders>
              <w:top w:val="single" w:sz="8" w:space="0" w:color="000000"/>
              <w:left w:val="single" w:sz="4" w:space="0" w:color="000000"/>
              <w:bottom w:val="single" w:sz="8" w:space="0" w:color="000000"/>
              <w:right w:val="single" w:sz="4" w:space="0" w:color="000000"/>
            </w:tcBorders>
            <w:shd w:val="clear" w:color="auto" w:fill="auto"/>
          </w:tcPr>
          <w:p w:rsidR="00674945" w:rsidRPr="00335764" w:rsidRDefault="00674945" w:rsidP="00335764">
            <w:pPr>
              <w:spacing w:line="240" w:lineRule="auto"/>
              <w:jc w:val="left"/>
              <w:rPr>
                <w:rFonts w:cs="Arial"/>
                <w:color w:val="000000" w:themeColor="text1"/>
                <w:sz w:val="20"/>
                <w:szCs w:val="20"/>
              </w:rPr>
            </w:pPr>
            <w:r w:rsidRPr="00335764">
              <w:rPr>
                <w:rFonts w:cs="Arial"/>
                <w:color w:val="000000" w:themeColor="text1"/>
                <w:sz w:val="20"/>
                <w:szCs w:val="20"/>
              </w:rPr>
              <w:t>216.9</w:t>
            </w:r>
          </w:p>
        </w:tc>
        <w:tc>
          <w:tcPr>
            <w:tcW w:w="576" w:type="pct"/>
            <w:tcBorders>
              <w:top w:val="single" w:sz="8" w:space="0" w:color="000000"/>
              <w:left w:val="single" w:sz="4" w:space="0" w:color="000000"/>
              <w:bottom w:val="single" w:sz="8" w:space="0" w:color="000000"/>
              <w:right w:val="single" w:sz="4" w:space="0" w:color="000000"/>
            </w:tcBorders>
            <w:shd w:val="clear" w:color="auto" w:fill="D9D9D9" w:themeFill="background1" w:themeFillShade="D9"/>
          </w:tcPr>
          <w:p w:rsidR="00674945" w:rsidRPr="00335764" w:rsidRDefault="00674945" w:rsidP="00335764">
            <w:pPr>
              <w:spacing w:line="240" w:lineRule="auto"/>
              <w:jc w:val="left"/>
              <w:rPr>
                <w:rFonts w:cs="Arial"/>
                <w:b/>
                <w:color w:val="000000" w:themeColor="text1"/>
                <w:sz w:val="20"/>
                <w:szCs w:val="20"/>
              </w:rPr>
            </w:pPr>
            <w:r w:rsidRPr="00335764">
              <w:rPr>
                <w:rFonts w:cs="Arial"/>
                <w:b/>
                <w:color w:val="000000" w:themeColor="text1"/>
                <w:sz w:val="20"/>
                <w:szCs w:val="20"/>
              </w:rPr>
              <w:t>209.8</w:t>
            </w:r>
          </w:p>
        </w:tc>
        <w:tc>
          <w:tcPr>
            <w:tcW w:w="1320" w:type="pct"/>
            <w:tcBorders>
              <w:top w:val="single" w:sz="8" w:space="0" w:color="000000"/>
              <w:left w:val="single" w:sz="4" w:space="0" w:color="000000"/>
              <w:bottom w:val="single" w:sz="8" w:space="0" w:color="000000"/>
              <w:right w:val="single" w:sz="4" w:space="0" w:color="000000"/>
            </w:tcBorders>
            <w:shd w:val="clear" w:color="auto" w:fill="auto"/>
          </w:tcPr>
          <w:p w:rsidR="00674945" w:rsidRPr="00335764" w:rsidRDefault="00674945" w:rsidP="00335764">
            <w:pPr>
              <w:spacing w:line="240" w:lineRule="auto"/>
              <w:jc w:val="left"/>
              <w:rPr>
                <w:rFonts w:cs="Arial"/>
                <w:color w:val="000000" w:themeColor="text1"/>
                <w:sz w:val="20"/>
                <w:szCs w:val="20"/>
              </w:rPr>
            </w:pPr>
            <w:r w:rsidRPr="00335764">
              <w:rPr>
                <w:rFonts w:cs="Arial"/>
                <w:color w:val="000000" w:themeColor="text1"/>
                <w:sz w:val="20"/>
                <w:szCs w:val="20"/>
              </w:rPr>
              <w:t xml:space="preserve">-7.79 </w:t>
            </w:r>
            <w:r w:rsidR="005F32E5" w:rsidRPr="00335764">
              <w:rPr>
                <w:rFonts w:cs="Arial"/>
                <w:color w:val="000000" w:themeColor="text1"/>
                <w:sz w:val="20"/>
                <w:szCs w:val="20"/>
              </w:rPr>
              <w:t>%</w:t>
            </w:r>
          </w:p>
        </w:tc>
      </w:tr>
    </w:tbl>
    <w:p w:rsidR="00492E4E" w:rsidRPr="00335764" w:rsidRDefault="00492E4E" w:rsidP="00335764">
      <w:pPr>
        <w:autoSpaceDE w:val="0"/>
        <w:autoSpaceDN w:val="0"/>
        <w:adjustRightInd w:val="0"/>
        <w:spacing w:line="240" w:lineRule="auto"/>
        <w:ind w:left="851"/>
        <w:jc w:val="left"/>
        <w:rPr>
          <w:rFonts w:cs="Arial"/>
          <w:bCs/>
          <w:sz w:val="20"/>
          <w:szCs w:val="20"/>
        </w:rPr>
      </w:pPr>
    </w:p>
    <w:p w:rsidR="00C0306C" w:rsidRPr="00335764" w:rsidRDefault="00492E4E" w:rsidP="00335764">
      <w:pPr>
        <w:numPr>
          <w:ilvl w:val="1"/>
          <w:numId w:val="1"/>
        </w:numPr>
        <w:autoSpaceDE w:val="0"/>
        <w:autoSpaceDN w:val="0"/>
        <w:adjustRightInd w:val="0"/>
        <w:spacing w:line="240" w:lineRule="auto"/>
        <w:ind w:left="851" w:hanging="851"/>
        <w:jc w:val="left"/>
        <w:rPr>
          <w:rFonts w:cs="Arial"/>
          <w:bCs/>
          <w:sz w:val="20"/>
          <w:szCs w:val="20"/>
        </w:rPr>
      </w:pPr>
      <w:r w:rsidRPr="00335764">
        <w:rPr>
          <w:rFonts w:cs="Arial"/>
          <w:bCs/>
          <w:sz w:val="20"/>
          <w:szCs w:val="20"/>
        </w:rPr>
        <w:t xml:space="preserve">Compensation of employees remains the largest </w:t>
      </w:r>
      <w:r w:rsidR="00C0306C" w:rsidRPr="00335764">
        <w:rPr>
          <w:rFonts w:cs="Arial"/>
          <w:bCs/>
          <w:sz w:val="20"/>
          <w:szCs w:val="20"/>
        </w:rPr>
        <w:t>cost driver</w:t>
      </w:r>
      <w:r w:rsidRPr="00335764">
        <w:rPr>
          <w:rFonts w:cs="Arial"/>
          <w:bCs/>
          <w:sz w:val="20"/>
          <w:szCs w:val="20"/>
        </w:rPr>
        <w:t xml:space="preserve">, </w:t>
      </w:r>
      <w:r w:rsidR="00C0306C" w:rsidRPr="00335764">
        <w:rPr>
          <w:rFonts w:cs="Arial"/>
          <w:bCs/>
          <w:sz w:val="20"/>
          <w:szCs w:val="20"/>
        </w:rPr>
        <w:t xml:space="preserve">accounting for 66% of the budget. </w:t>
      </w:r>
    </w:p>
    <w:p w:rsidR="00C0306C" w:rsidRPr="00335764" w:rsidRDefault="00C0306C" w:rsidP="00335764">
      <w:pPr>
        <w:pStyle w:val="ListParagraph"/>
        <w:spacing w:line="240" w:lineRule="auto"/>
        <w:jc w:val="left"/>
        <w:rPr>
          <w:rFonts w:cs="Arial"/>
          <w:bCs/>
          <w:sz w:val="20"/>
          <w:szCs w:val="20"/>
        </w:rPr>
      </w:pPr>
    </w:p>
    <w:p w:rsidR="00C0306C" w:rsidRPr="00335764" w:rsidRDefault="00C0306C" w:rsidP="00335764">
      <w:pPr>
        <w:numPr>
          <w:ilvl w:val="1"/>
          <w:numId w:val="1"/>
        </w:numPr>
        <w:autoSpaceDE w:val="0"/>
        <w:autoSpaceDN w:val="0"/>
        <w:adjustRightInd w:val="0"/>
        <w:spacing w:line="240" w:lineRule="auto"/>
        <w:ind w:left="851" w:hanging="851"/>
        <w:jc w:val="left"/>
        <w:rPr>
          <w:rFonts w:cs="Arial"/>
          <w:bCs/>
          <w:sz w:val="20"/>
          <w:szCs w:val="20"/>
        </w:rPr>
      </w:pPr>
      <w:r w:rsidRPr="00335764">
        <w:rPr>
          <w:rFonts w:cs="Arial"/>
          <w:bCs/>
          <w:sz w:val="20"/>
          <w:szCs w:val="20"/>
        </w:rPr>
        <w:t xml:space="preserve">In previous budgets, the Commission </w:t>
      </w:r>
      <w:r w:rsidR="00492E4E" w:rsidRPr="00335764">
        <w:rPr>
          <w:rFonts w:cs="Arial"/>
          <w:bCs/>
          <w:sz w:val="20"/>
          <w:szCs w:val="20"/>
        </w:rPr>
        <w:t xml:space="preserve">has been </w:t>
      </w:r>
      <w:r w:rsidRPr="00335764">
        <w:rPr>
          <w:rFonts w:cs="Arial"/>
          <w:bCs/>
          <w:sz w:val="20"/>
          <w:szCs w:val="20"/>
        </w:rPr>
        <w:t xml:space="preserve">affected by baseline reductions. However, </w:t>
      </w:r>
      <w:r w:rsidR="000A2B8C" w:rsidRPr="00335764">
        <w:rPr>
          <w:rFonts w:cs="Arial"/>
          <w:bCs/>
          <w:sz w:val="20"/>
          <w:szCs w:val="20"/>
        </w:rPr>
        <w:t>in 2022/23, the Commission received additional funding</w:t>
      </w:r>
      <w:r w:rsidRPr="00335764">
        <w:rPr>
          <w:rFonts w:cs="Arial"/>
          <w:bCs/>
          <w:sz w:val="20"/>
          <w:szCs w:val="20"/>
        </w:rPr>
        <w:t>, as follows:</w:t>
      </w:r>
    </w:p>
    <w:p w:rsidR="00C0306C" w:rsidRPr="00335764" w:rsidRDefault="00C0306C"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A one‐off allocation of R5 million in 2022/23 for ICT infrastructure. (R36 million is reprioritised in 2022/23 to invest in information and communication technology in the Office of the Chief Justice, Investigating Directorate, Public Protector of South Africa, South African Human Rights Commission and Financial Intelligence Centre.)</w:t>
      </w:r>
    </w:p>
    <w:p w:rsidR="00DE5CF6" w:rsidRPr="00335764" w:rsidRDefault="00C0306C"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Additional allocations amounting to R17 million over the MTEF (R8 million in 2022/23, R4 million in 2023/23 and R5 million in 2024/25) to fulfil the Commission’s commitments to the United Nations Optional Protocol to the Convention Against Torture.</w:t>
      </w:r>
    </w:p>
    <w:p w:rsidR="000A2B8C" w:rsidRPr="00335764" w:rsidRDefault="000A2B8C" w:rsidP="00335764">
      <w:pPr>
        <w:autoSpaceDE w:val="0"/>
        <w:autoSpaceDN w:val="0"/>
        <w:adjustRightInd w:val="0"/>
        <w:spacing w:line="240" w:lineRule="auto"/>
        <w:ind w:left="1418"/>
        <w:jc w:val="left"/>
        <w:rPr>
          <w:rFonts w:cs="Arial"/>
          <w:sz w:val="20"/>
          <w:szCs w:val="20"/>
          <w:lang w:val="en-ZA"/>
        </w:rPr>
      </w:pPr>
    </w:p>
    <w:p w:rsidR="008A6580" w:rsidRPr="00335764" w:rsidRDefault="000A2B8C" w:rsidP="00335764">
      <w:pPr>
        <w:numPr>
          <w:ilvl w:val="1"/>
          <w:numId w:val="1"/>
        </w:numPr>
        <w:autoSpaceDE w:val="0"/>
        <w:autoSpaceDN w:val="0"/>
        <w:adjustRightInd w:val="0"/>
        <w:spacing w:line="240" w:lineRule="auto"/>
        <w:ind w:left="851" w:hanging="851"/>
        <w:jc w:val="left"/>
        <w:rPr>
          <w:rFonts w:cs="Arial"/>
          <w:bCs/>
          <w:sz w:val="20"/>
          <w:szCs w:val="20"/>
        </w:rPr>
      </w:pPr>
      <w:r w:rsidRPr="00335764">
        <w:rPr>
          <w:rFonts w:cs="Arial"/>
          <w:bCs/>
          <w:sz w:val="20"/>
          <w:szCs w:val="20"/>
        </w:rPr>
        <w:t>No additional funding is allocated in 2023/24.</w:t>
      </w:r>
      <w:r w:rsidR="008A6580" w:rsidRPr="00335764">
        <w:rPr>
          <w:rFonts w:cs="Arial"/>
          <w:bCs/>
          <w:sz w:val="20"/>
          <w:szCs w:val="20"/>
        </w:rPr>
        <w:t xml:space="preserve"> The Commission reports that the Department of Public Works and Infrastructure ended payment of office rental for three (3) provincial offices: Western Cape, Kwa Zulu </w:t>
      </w:r>
      <w:r w:rsidR="001E3C09" w:rsidRPr="00335764">
        <w:rPr>
          <w:rFonts w:cs="Arial"/>
          <w:bCs/>
          <w:sz w:val="20"/>
          <w:szCs w:val="20"/>
        </w:rPr>
        <w:t>Natal,</w:t>
      </w:r>
      <w:r w:rsidR="008A6580" w:rsidRPr="00335764">
        <w:rPr>
          <w:rFonts w:cs="Arial"/>
          <w:bCs/>
          <w:sz w:val="20"/>
          <w:szCs w:val="20"/>
        </w:rPr>
        <w:t xml:space="preserve"> and Northern Cape. This will cost the Commission an additional R1.8 million in rental costs for the three (3) provincial offices and will affect the Commission’s operational budget. The Public Sector Coordinating Bargaining Council agreement of a 7.5% increase </w:t>
      </w:r>
      <w:r w:rsidR="00191212" w:rsidRPr="00335764">
        <w:rPr>
          <w:rFonts w:cs="Arial"/>
          <w:bCs/>
          <w:sz w:val="20"/>
          <w:szCs w:val="20"/>
        </w:rPr>
        <w:t xml:space="preserve">was also not </w:t>
      </w:r>
      <w:r w:rsidR="008A6580" w:rsidRPr="00335764">
        <w:rPr>
          <w:rFonts w:cs="Arial"/>
          <w:bCs/>
          <w:sz w:val="20"/>
          <w:szCs w:val="20"/>
        </w:rPr>
        <w:t xml:space="preserve">budgeted for. </w:t>
      </w:r>
    </w:p>
    <w:p w:rsidR="00AD1A4B" w:rsidRPr="00335764" w:rsidRDefault="00AD1A4B" w:rsidP="00335764">
      <w:pPr>
        <w:autoSpaceDE w:val="0"/>
        <w:autoSpaceDN w:val="0"/>
        <w:adjustRightInd w:val="0"/>
        <w:spacing w:line="240" w:lineRule="auto"/>
        <w:ind w:left="851"/>
        <w:jc w:val="left"/>
        <w:rPr>
          <w:rFonts w:cs="Arial"/>
          <w:bCs/>
          <w:sz w:val="20"/>
          <w:szCs w:val="20"/>
        </w:rPr>
      </w:pPr>
    </w:p>
    <w:p w:rsidR="00505AB9" w:rsidRPr="00335764" w:rsidRDefault="008134BC"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 xml:space="preserve">Rationalisation measures impact </w:t>
      </w:r>
      <w:r w:rsidR="00191212" w:rsidRPr="00335764">
        <w:rPr>
          <w:rFonts w:cs="Arial"/>
          <w:sz w:val="20"/>
          <w:szCs w:val="20"/>
        </w:rPr>
        <w:t>as follows:</w:t>
      </w:r>
    </w:p>
    <w:tbl>
      <w:tblPr>
        <w:tblStyle w:val="TableGrid"/>
        <w:tblW w:w="0" w:type="auto"/>
        <w:tblLook w:val="04A0"/>
      </w:tblPr>
      <w:tblGrid>
        <w:gridCol w:w="1712"/>
        <w:gridCol w:w="3939"/>
        <w:gridCol w:w="3977"/>
      </w:tblGrid>
      <w:tr w:rsidR="008134BC" w:rsidRPr="00335764" w:rsidTr="005F32E5">
        <w:tc>
          <w:tcPr>
            <w:tcW w:w="0" w:type="auto"/>
            <w:vMerge w:val="restart"/>
          </w:tcPr>
          <w:p w:rsidR="008134BC" w:rsidRPr="00335764" w:rsidRDefault="008134BC" w:rsidP="00335764">
            <w:pPr>
              <w:autoSpaceDE w:val="0"/>
              <w:autoSpaceDN w:val="0"/>
              <w:adjustRightInd w:val="0"/>
              <w:spacing w:line="240" w:lineRule="auto"/>
              <w:jc w:val="left"/>
              <w:rPr>
                <w:rFonts w:cs="Arial"/>
                <w:b/>
                <w:sz w:val="20"/>
                <w:szCs w:val="20"/>
              </w:rPr>
            </w:pPr>
            <w:r w:rsidRPr="00335764">
              <w:rPr>
                <w:rFonts w:cs="Arial"/>
                <w:b/>
                <w:sz w:val="20"/>
                <w:szCs w:val="20"/>
              </w:rPr>
              <w:t xml:space="preserve">Administration </w:t>
            </w:r>
          </w:p>
        </w:tc>
        <w:tc>
          <w:tcPr>
            <w:tcW w:w="0" w:type="auto"/>
          </w:tcPr>
          <w:p w:rsidR="008134BC" w:rsidRPr="00335764" w:rsidRDefault="008134BC" w:rsidP="00335764">
            <w:pPr>
              <w:spacing w:line="240" w:lineRule="auto"/>
              <w:jc w:val="left"/>
              <w:rPr>
                <w:rFonts w:cs="Arial"/>
                <w:sz w:val="20"/>
                <w:szCs w:val="20"/>
              </w:rPr>
            </w:pPr>
            <w:r w:rsidRPr="00335764">
              <w:rPr>
                <w:rFonts w:cs="Arial"/>
                <w:sz w:val="20"/>
                <w:szCs w:val="20"/>
              </w:rPr>
              <w:t>Capital expenditure to procure motor vehicles for R3 200 000 to be delayed.</w:t>
            </w:r>
          </w:p>
        </w:tc>
        <w:tc>
          <w:tcPr>
            <w:tcW w:w="0" w:type="auto"/>
          </w:tcPr>
          <w:p w:rsidR="008134BC" w:rsidRPr="00335764" w:rsidRDefault="008134BC" w:rsidP="00335764">
            <w:pPr>
              <w:autoSpaceDE w:val="0"/>
              <w:autoSpaceDN w:val="0"/>
              <w:adjustRightInd w:val="0"/>
              <w:spacing w:line="240" w:lineRule="auto"/>
              <w:jc w:val="left"/>
              <w:rPr>
                <w:rFonts w:cs="Arial"/>
                <w:sz w:val="20"/>
                <w:szCs w:val="20"/>
              </w:rPr>
            </w:pPr>
            <w:r w:rsidRPr="00335764">
              <w:rPr>
                <w:rFonts w:cs="Arial"/>
                <w:sz w:val="20"/>
                <w:szCs w:val="20"/>
              </w:rPr>
              <w:t>Impacts on advocacy work to be undertaken by provincial offices</w:t>
            </w:r>
          </w:p>
        </w:tc>
      </w:tr>
      <w:tr w:rsidR="008134BC" w:rsidRPr="00335764" w:rsidTr="005F32E5">
        <w:tc>
          <w:tcPr>
            <w:tcW w:w="0" w:type="auto"/>
            <w:vMerge/>
          </w:tcPr>
          <w:p w:rsidR="008134BC" w:rsidRPr="00335764" w:rsidRDefault="008134BC" w:rsidP="00335764">
            <w:pPr>
              <w:autoSpaceDE w:val="0"/>
              <w:autoSpaceDN w:val="0"/>
              <w:adjustRightInd w:val="0"/>
              <w:spacing w:line="240" w:lineRule="auto"/>
              <w:jc w:val="left"/>
              <w:rPr>
                <w:rFonts w:cs="Arial"/>
                <w:b/>
                <w:sz w:val="20"/>
                <w:szCs w:val="20"/>
              </w:rPr>
            </w:pPr>
          </w:p>
        </w:tc>
        <w:tc>
          <w:tcPr>
            <w:tcW w:w="0" w:type="auto"/>
          </w:tcPr>
          <w:p w:rsidR="008134BC" w:rsidRPr="00335764" w:rsidRDefault="008134BC" w:rsidP="00335764">
            <w:pPr>
              <w:spacing w:line="240" w:lineRule="auto"/>
              <w:jc w:val="left"/>
              <w:rPr>
                <w:rFonts w:cs="Arial"/>
                <w:sz w:val="20"/>
                <w:szCs w:val="20"/>
              </w:rPr>
            </w:pPr>
            <w:r w:rsidRPr="00335764">
              <w:rPr>
                <w:rFonts w:cs="Arial"/>
                <w:sz w:val="20"/>
                <w:szCs w:val="20"/>
              </w:rPr>
              <w:t xml:space="preserve">Impact Evaluation Study reduced by R </w:t>
            </w:r>
            <w:r w:rsidRPr="00335764">
              <w:rPr>
                <w:rFonts w:cs="Arial"/>
                <w:sz w:val="20"/>
                <w:szCs w:val="20"/>
              </w:rPr>
              <w:lastRenderedPageBreak/>
              <w:t xml:space="preserve">650,000. </w:t>
            </w:r>
          </w:p>
        </w:tc>
        <w:tc>
          <w:tcPr>
            <w:tcW w:w="0" w:type="auto"/>
          </w:tcPr>
          <w:p w:rsidR="008134BC" w:rsidRPr="00335764" w:rsidRDefault="008134BC" w:rsidP="00335764">
            <w:pPr>
              <w:autoSpaceDE w:val="0"/>
              <w:autoSpaceDN w:val="0"/>
              <w:adjustRightInd w:val="0"/>
              <w:spacing w:line="240" w:lineRule="auto"/>
              <w:jc w:val="left"/>
              <w:rPr>
                <w:rFonts w:cs="Arial"/>
                <w:sz w:val="20"/>
                <w:szCs w:val="20"/>
              </w:rPr>
            </w:pPr>
            <w:r w:rsidRPr="00335764">
              <w:rPr>
                <w:rFonts w:cs="Arial"/>
                <w:sz w:val="20"/>
                <w:szCs w:val="20"/>
              </w:rPr>
              <w:lastRenderedPageBreak/>
              <w:t xml:space="preserve">Impacts on ability to improve </w:t>
            </w:r>
            <w:r w:rsidRPr="00335764">
              <w:rPr>
                <w:rFonts w:cs="Arial"/>
                <w:sz w:val="20"/>
                <w:szCs w:val="20"/>
              </w:rPr>
              <w:lastRenderedPageBreak/>
              <w:t>institutional efficiency</w:t>
            </w:r>
          </w:p>
        </w:tc>
      </w:tr>
      <w:tr w:rsidR="00191212" w:rsidRPr="00335764" w:rsidTr="005F32E5">
        <w:tc>
          <w:tcPr>
            <w:tcW w:w="0" w:type="auto"/>
          </w:tcPr>
          <w:p w:rsidR="00191212" w:rsidRPr="00335764" w:rsidRDefault="00191212" w:rsidP="00335764">
            <w:pPr>
              <w:autoSpaceDE w:val="0"/>
              <w:autoSpaceDN w:val="0"/>
              <w:adjustRightInd w:val="0"/>
              <w:spacing w:line="240" w:lineRule="auto"/>
              <w:jc w:val="left"/>
              <w:rPr>
                <w:rFonts w:cs="Arial"/>
                <w:b/>
                <w:sz w:val="20"/>
                <w:szCs w:val="20"/>
              </w:rPr>
            </w:pPr>
            <w:r w:rsidRPr="00335764">
              <w:rPr>
                <w:rFonts w:cs="Arial"/>
                <w:b/>
                <w:sz w:val="20"/>
                <w:szCs w:val="20"/>
              </w:rPr>
              <w:lastRenderedPageBreak/>
              <w:t>Promotion</w:t>
            </w:r>
          </w:p>
        </w:tc>
        <w:tc>
          <w:tcPr>
            <w:tcW w:w="0" w:type="auto"/>
          </w:tcPr>
          <w:p w:rsidR="00191212" w:rsidRPr="00335764" w:rsidRDefault="00191212" w:rsidP="00335764">
            <w:pPr>
              <w:autoSpaceDE w:val="0"/>
              <w:autoSpaceDN w:val="0"/>
              <w:adjustRightInd w:val="0"/>
              <w:spacing w:line="240" w:lineRule="auto"/>
              <w:jc w:val="left"/>
              <w:rPr>
                <w:rFonts w:cs="Arial"/>
                <w:sz w:val="20"/>
                <w:szCs w:val="20"/>
              </w:rPr>
            </w:pPr>
            <w:r w:rsidRPr="00335764">
              <w:rPr>
                <w:rFonts w:cs="Arial"/>
                <w:sz w:val="20"/>
                <w:szCs w:val="20"/>
              </w:rPr>
              <w:t>A hosted conference by Advocacy reduced by R200 000.</w:t>
            </w:r>
          </w:p>
        </w:tc>
        <w:tc>
          <w:tcPr>
            <w:tcW w:w="0" w:type="auto"/>
          </w:tcPr>
          <w:p w:rsidR="00191212" w:rsidRPr="00335764" w:rsidRDefault="00191212" w:rsidP="00335764">
            <w:pPr>
              <w:autoSpaceDE w:val="0"/>
              <w:autoSpaceDN w:val="0"/>
              <w:adjustRightInd w:val="0"/>
              <w:spacing w:line="240" w:lineRule="auto"/>
              <w:jc w:val="left"/>
              <w:rPr>
                <w:rFonts w:cs="Arial"/>
                <w:sz w:val="20"/>
                <w:szCs w:val="20"/>
              </w:rPr>
            </w:pPr>
            <w:r w:rsidRPr="00335764">
              <w:rPr>
                <w:rFonts w:cs="Arial"/>
                <w:sz w:val="20"/>
                <w:szCs w:val="20"/>
              </w:rPr>
              <w:t>Impacts on mandate to advance human rights</w:t>
            </w:r>
          </w:p>
        </w:tc>
      </w:tr>
      <w:tr w:rsidR="00191212" w:rsidRPr="00335764" w:rsidTr="005F32E5">
        <w:tc>
          <w:tcPr>
            <w:tcW w:w="0" w:type="auto"/>
          </w:tcPr>
          <w:p w:rsidR="00191212" w:rsidRPr="00335764" w:rsidRDefault="00191212" w:rsidP="00335764">
            <w:pPr>
              <w:autoSpaceDE w:val="0"/>
              <w:autoSpaceDN w:val="0"/>
              <w:adjustRightInd w:val="0"/>
              <w:spacing w:line="240" w:lineRule="auto"/>
              <w:jc w:val="left"/>
              <w:rPr>
                <w:rFonts w:cs="Arial"/>
                <w:b/>
                <w:sz w:val="20"/>
                <w:szCs w:val="20"/>
              </w:rPr>
            </w:pPr>
            <w:r w:rsidRPr="00335764">
              <w:rPr>
                <w:rFonts w:cs="Arial"/>
                <w:b/>
                <w:sz w:val="20"/>
                <w:szCs w:val="20"/>
              </w:rPr>
              <w:t>Monitoring</w:t>
            </w:r>
          </w:p>
        </w:tc>
        <w:tc>
          <w:tcPr>
            <w:tcW w:w="0" w:type="auto"/>
          </w:tcPr>
          <w:p w:rsidR="00191212" w:rsidRPr="00335764" w:rsidRDefault="00191212" w:rsidP="00335764">
            <w:pPr>
              <w:autoSpaceDE w:val="0"/>
              <w:autoSpaceDN w:val="0"/>
              <w:adjustRightInd w:val="0"/>
              <w:spacing w:line="240" w:lineRule="auto"/>
              <w:jc w:val="left"/>
              <w:rPr>
                <w:rFonts w:cs="Arial"/>
                <w:sz w:val="20"/>
                <w:szCs w:val="20"/>
              </w:rPr>
            </w:pPr>
            <w:r w:rsidRPr="00335764">
              <w:rPr>
                <w:rFonts w:cs="Arial"/>
                <w:sz w:val="20"/>
                <w:szCs w:val="20"/>
              </w:rPr>
              <w:t xml:space="preserve">NPM international engagements reduced by R200 000. </w:t>
            </w:r>
          </w:p>
        </w:tc>
        <w:tc>
          <w:tcPr>
            <w:tcW w:w="0" w:type="auto"/>
          </w:tcPr>
          <w:p w:rsidR="00191212" w:rsidRPr="00335764" w:rsidRDefault="00191212" w:rsidP="00335764">
            <w:pPr>
              <w:autoSpaceDE w:val="0"/>
              <w:autoSpaceDN w:val="0"/>
              <w:adjustRightInd w:val="0"/>
              <w:spacing w:line="240" w:lineRule="auto"/>
              <w:jc w:val="left"/>
              <w:rPr>
                <w:rFonts w:cs="Arial"/>
                <w:sz w:val="20"/>
                <w:szCs w:val="20"/>
              </w:rPr>
            </w:pPr>
            <w:r w:rsidRPr="00335764">
              <w:rPr>
                <w:rFonts w:cs="Arial"/>
                <w:sz w:val="20"/>
                <w:szCs w:val="20"/>
              </w:rPr>
              <w:t>Impacts on ability to fulfil international obligations</w:t>
            </w:r>
          </w:p>
        </w:tc>
      </w:tr>
      <w:tr w:rsidR="008134BC" w:rsidRPr="00335764" w:rsidTr="005F32E5">
        <w:tc>
          <w:tcPr>
            <w:tcW w:w="0" w:type="auto"/>
            <w:vMerge w:val="restart"/>
          </w:tcPr>
          <w:p w:rsidR="008134BC" w:rsidRPr="00335764" w:rsidRDefault="008134BC" w:rsidP="00335764">
            <w:pPr>
              <w:autoSpaceDE w:val="0"/>
              <w:autoSpaceDN w:val="0"/>
              <w:adjustRightInd w:val="0"/>
              <w:spacing w:line="240" w:lineRule="auto"/>
              <w:jc w:val="left"/>
              <w:rPr>
                <w:rFonts w:cs="Arial"/>
                <w:b/>
                <w:sz w:val="20"/>
                <w:szCs w:val="20"/>
              </w:rPr>
            </w:pPr>
            <w:r w:rsidRPr="00335764">
              <w:rPr>
                <w:rFonts w:cs="Arial"/>
                <w:b/>
                <w:sz w:val="20"/>
                <w:szCs w:val="20"/>
              </w:rPr>
              <w:t>Personnel</w:t>
            </w:r>
          </w:p>
        </w:tc>
        <w:tc>
          <w:tcPr>
            <w:tcW w:w="0" w:type="auto"/>
          </w:tcPr>
          <w:p w:rsidR="008134BC" w:rsidRPr="00335764" w:rsidRDefault="008134BC" w:rsidP="00335764">
            <w:pPr>
              <w:tabs>
                <w:tab w:val="num" w:pos="720"/>
              </w:tabs>
              <w:autoSpaceDE w:val="0"/>
              <w:autoSpaceDN w:val="0"/>
              <w:adjustRightInd w:val="0"/>
              <w:spacing w:line="240" w:lineRule="auto"/>
              <w:jc w:val="left"/>
              <w:rPr>
                <w:rFonts w:cs="Arial"/>
                <w:sz w:val="20"/>
                <w:szCs w:val="20"/>
              </w:rPr>
            </w:pPr>
            <w:r w:rsidRPr="00335764">
              <w:rPr>
                <w:rFonts w:cs="Arial"/>
                <w:sz w:val="20"/>
                <w:szCs w:val="20"/>
              </w:rPr>
              <w:t xml:space="preserve">Contract of Research Associate not extended R 800,000. The contract of PAIA </w:t>
            </w:r>
          </w:p>
        </w:tc>
        <w:tc>
          <w:tcPr>
            <w:tcW w:w="0" w:type="auto"/>
          </w:tcPr>
          <w:p w:rsidR="008134BC" w:rsidRPr="00335764" w:rsidRDefault="008134BC" w:rsidP="00335764">
            <w:pPr>
              <w:autoSpaceDE w:val="0"/>
              <w:autoSpaceDN w:val="0"/>
              <w:adjustRightInd w:val="0"/>
              <w:spacing w:line="240" w:lineRule="auto"/>
              <w:jc w:val="left"/>
              <w:rPr>
                <w:rFonts w:cs="Arial"/>
                <w:sz w:val="20"/>
                <w:szCs w:val="20"/>
              </w:rPr>
            </w:pPr>
            <w:r w:rsidRPr="00335764">
              <w:rPr>
                <w:rFonts w:cs="Arial"/>
                <w:sz w:val="20"/>
                <w:szCs w:val="20"/>
              </w:rPr>
              <w:t>Impacts on monitoring of rights of persons with disabilities.</w:t>
            </w:r>
          </w:p>
        </w:tc>
      </w:tr>
      <w:tr w:rsidR="008134BC" w:rsidRPr="00335764" w:rsidTr="005F32E5">
        <w:tc>
          <w:tcPr>
            <w:tcW w:w="0" w:type="auto"/>
            <w:vMerge/>
          </w:tcPr>
          <w:p w:rsidR="008134BC" w:rsidRPr="00335764" w:rsidRDefault="008134BC" w:rsidP="00335764">
            <w:pPr>
              <w:autoSpaceDE w:val="0"/>
              <w:autoSpaceDN w:val="0"/>
              <w:adjustRightInd w:val="0"/>
              <w:spacing w:line="240" w:lineRule="auto"/>
              <w:jc w:val="left"/>
              <w:rPr>
                <w:rFonts w:cs="Arial"/>
                <w:sz w:val="20"/>
                <w:szCs w:val="20"/>
              </w:rPr>
            </w:pPr>
          </w:p>
        </w:tc>
        <w:tc>
          <w:tcPr>
            <w:tcW w:w="0" w:type="auto"/>
          </w:tcPr>
          <w:p w:rsidR="008134BC" w:rsidRPr="00335764" w:rsidRDefault="008134BC" w:rsidP="00335764">
            <w:pPr>
              <w:autoSpaceDE w:val="0"/>
              <w:autoSpaceDN w:val="0"/>
              <w:adjustRightInd w:val="0"/>
              <w:spacing w:line="240" w:lineRule="auto"/>
              <w:jc w:val="left"/>
              <w:rPr>
                <w:rFonts w:cs="Arial"/>
                <w:sz w:val="20"/>
                <w:szCs w:val="20"/>
              </w:rPr>
            </w:pPr>
            <w:r w:rsidRPr="00335764">
              <w:rPr>
                <w:rFonts w:cs="Arial"/>
                <w:sz w:val="20"/>
                <w:szCs w:val="20"/>
              </w:rPr>
              <w:t xml:space="preserve">Information Officer not renewed for R 800,000. </w:t>
            </w:r>
          </w:p>
        </w:tc>
        <w:tc>
          <w:tcPr>
            <w:tcW w:w="0" w:type="auto"/>
          </w:tcPr>
          <w:p w:rsidR="008134BC" w:rsidRPr="00335764" w:rsidRDefault="008134BC" w:rsidP="00335764">
            <w:pPr>
              <w:autoSpaceDE w:val="0"/>
              <w:autoSpaceDN w:val="0"/>
              <w:adjustRightInd w:val="0"/>
              <w:spacing w:line="240" w:lineRule="auto"/>
              <w:jc w:val="left"/>
              <w:rPr>
                <w:rFonts w:cs="Arial"/>
                <w:sz w:val="20"/>
                <w:szCs w:val="20"/>
              </w:rPr>
            </w:pPr>
            <w:r w:rsidRPr="00335764">
              <w:rPr>
                <w:rFonts w:cs="Arial"/>
                <w:sz w:val="20"/>
                <w:szCs w:val="20"/>
              </w:rPr>
              <w:t>Impacts on legislative mandate in terms of the Promotion of Access to Information Act.</w:t>
            </w:r>
          </w:p>
        </w:tc>
      </w:tr>
      <w:tr w:rsidR="008134BC" w:rsidRPr="00335764" w:rsidTr="005F32E5">
        <w:tc>
          <w:tcPr>
            <w:tcW w:w="0" w:type="auto"/>
            <w:vMerge/>
          </w:tcPr>
          <w:p w:rsidR="008134BC" w:rsidRPr="00335764" w:rsidRDefault="008134BC" w:rsidP="00335764">
            <w:pPr>
              <w:autoSpaceDE w:val="0"/>
              <w:autoSpaceDN w:val="0"/>
              <w:adjustRightInd w:val="0"/>
              <w:spacing w:line="240" w:lineRule="auto"/>
              <w:jc w:val="left"/>
              <w:rPr>
                <w:rFonts w:cs="Arial"/>
                <w:sz w:val="20"/>
                <w:szCs w:val="20"/>
              </w:rPr>
            </w:pPr>
          </w:p>
        </w:tc>
        <w:tc>
          <w:tcPr>
            <w:tcW w:w="0" w:type="auto"/>
          </w:tcPr>
          <w:p w:rsidR="008134BC" w:rsidRPr="00335764" w:rsidRDefault="008134BC" w:rsidP="00335764">
            <w:pPr>
              <w:autoSpaceDE w:val="0"/>
              <w:autoSpaceDN w:val="0"/>
              <w:adjustRightInd w:val="0"/>
              <w:spacing w:line="240" w:lineRule="auto"/>
              <w:jc w:val="left"/>
              <w:rPr>
                <w:rFonts w:cs="Arial"/>
                <w:sz w:val="20"/>
                <w:szCs w:val="20"/>
              </w:rPr>
            </w:pPr>
            <w:r w:rsidRPr="00335764">
              <w:rPr>
                <w:rFonts w:cs="Arial"/>
                <w:sz w:val="20"/>
                <w:szCs w:val="20"/>
              </w:rPr>
              <w:t xml:space="preserve">Human Resources Internship project proposal costing R1 900 000 not able to be implemented. </w:t>
            </w:r>
          </w:p>
        </w:tc>
        <w:tc>
          <w:tcPr>
            <w:tcW w:w="0" w:type="auto"/>
          </w:tcPr>
          <w:p w:rsidR="008134BC" w:rsidRPr="00335764" w:rsidRDefault="008134BC" w:rsidP="00335764">
            <w:pPr>
              <w:autoSpaceDE w:val="0"/>
              <w:autoSpaceDN w:val="0"/>
              <w:adjustRightInd w:val="0"/>
              <w:spacing w:line="240" w:lineRule="auto"/>
              <w:jc w:val="left"/>
              <w:rPr>
                <w:rFonts w:cs="Arial"/>
                <w:sz w:val="20"/>
                <w:szCs w:val="20"/>
              </w:rPr>
            </w:pPr>
            <w:r w:rsidRPr="00335764">
              <w:rPr>
                <w:rFonts w:cs="Arial"/>
                <w:sz w:val="20"/>
                <w:szCs w:val="20"/>
              </w:rPr>
              <w:t>Impacts on the Commission’s contribution to Government’s plan to support youth development.</w:t>
            </w:r>
          </w:p>
        </w:tc>
      </w:tr>
    </w:tbl>
    <w:p w:rsidR="000A2B8C" w:rsidRPr="00335764" w:rsidRDefault="000A2B8C" w:rsidP="00335764">
      <w:pPr>
        <w:autoSpaceDE w:val="0"/>
        <w:autoSpaceDN w:val="0"/>
        <w:adjustRightInd w:val="0"/>
        <w:spacing w:line="240" w:lineRule="auto"/>
        <w:jc w:val="left"/>
        <w:rPr>
          <w:rFonts w:cs="Arial"/>
          <w:sz w:val="20"/>
          <w:szCs w:val="20"/>
        </w:rPr>
      </w:pPr>
    </w:p>
    <w:p w:rsidR="008134BC" w:rsidRPr="00335764" w:rsidRDefault="008134BC"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i/>
          <w:sz w:val="20"/>
          <w:szCs w:val="20"/>
        </w:rPr>
        <w:t>Personnel</w:t>
      </w:r>
      <w:r w:rsidRPr="00335764">
        <w:rPr>
          <w:rFonts w:cs="Arial"/>
          <w:sz w:val="20"/>
          <w:szCs w:val="20"/>
        </w:rPr>
        <w:t>. The Commission has 183 staff members, of which 140 are permanent employees and 40 are employed on contract.</w:t>
      </w:r>
    </w:p>
    <w:p w:rsidR="008134BC" w:rsidRPr="00335764" w:rsidRDefault="008134BC" w:rsidP="00335764">
      <w:pPr>
        <w:autoSpaceDE w:val="0"/>
        <w:autoSpaceDN w:val="0"/>
        <w:adjustRightInd w:val="0"/>
        <w:spacing w:line="240" w:lineRule="auto"/>
        <w:jc w:val="left"/>
        <w:rPr>
          <w:rFonts w:cs="Arial"/>
          <w:sz w:val="20"/>
          <w:szCs w:val="20"/>
        </w:rPr>
      </w:pPr>
    </w:p>
    <w:p w:rsidR="004A1641" w:rsidRPr="00335764" w:rsidRDefault="004A1641" w:rsidP="00335764">
      <w:pPr>
        <w:numPr>
          <w:ilvl w:val="0"/>
          <w:numId w:val="1"/>
        </w:numPr>
        <w:tabs>
          <w:tab w:val="clear" w:pos="375"/>
        </w:tabs>
        <w:spacing w:line="240" w:lineRule="auto"/>
        <w:ind w:left="851" w:hanging="851"/>
        <w:jc w:val="left"/>
        <w:rPr>
          <w:rFonts w:cs="Arial"/>
          <w:b/>
          <w:i/>
          <w:sz w:val="20"/>
          <w:szCs w:val="20"/>
        </w:rPr>
      </w:pPr>
      <w:r w:rsidRPr="00335764">
        <w:rPr>
          <w:rFonts w:cs="Arial"/>
          <w:b/>
          <w:sz w:val="20"/>
          <w:szCs w:val="20"/>
        </w:rPr>
        <w:t>Information Regulator</w:t>
      </w:r>
    </w:p>
    <w:p w:rsidR="004A1641" w:rsidRPr="00335764" w:rsidRDefault="004A1641" w:rsidP="00335764">
      <w:pPr>
        <w:pStyle w:val="BodySingle"/>
        <w:spacing w:line="240" w:lineRule="auto"/>
        <w:ind w:left="540"/>
        <w:jc w:val="left"/>
        <w:rPr>
          <w:rFonts w:cs="Arial"/>
          <w:b/>
          <w:i w:val="0"/>
          <w:noProof w:val="0"/>
          <w:lang w:val="en-GB" w:eastAsia="en-GB"/>
        </w:rPr>
      </w:pPr>
    </w:p>
    <w:p w:rsidR="004A1641" w:rsidRPr="00335764" w:rsidRDefault="004A1641"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lang w:val="en-US"/>
        </w:rPr>
        <w:t>The</w:t>
      </w:r>
      <w:r w:rsidRPr="00335764">
        <w:rPr>
          <w:rFonts w:cs="Arial"/>
          <w:sz w:val="20"/>
          <w:szCs w:val="20"/>
        </w:rPr>
        <w:t xml:space="preserve"> Protection of Personal Information Act, 2013 (POPIA)</w:t>
      </w:r>
      <w:r w:rsidR="000F5FB8" w:rsidRPr="00335764">
        <w:rPr>
          <w:rFonts w:cs="Arial"/>
          <w:sz w:val="20"/>
          <w:szCs w:val="20"/>
        </w:rPr>
        <w:t>,</w:t>
      </w:r>
      <w:r w:rsidRPr="00335764">
        <w:rPr>
          <w:rFonts w:cs="Arial"/>
          <w:sz w:val="20"/>
          <w:szCs w:val="20"/>
        </w:rPr>
        <w:t xml:space="preserve"> regulates the processing of personal information by providing a framework that sets out the minimum standards that responsible parties must comply with when processing personal information. The Act applies to public and private bodies, including juristic persons, and aims to achieve a balance between the </w:t>
      </w:r>
      <w:r w:rsidR="00261D2C" w:rsidRPr="00335764">
        <w:rPr>
          <w:rFonts w:cs="Arial"/>
          <w:sz w:val="20"/>
          <w:szCs w:val="20"/>
        </w:rPr>
        <w:t>free flow</w:t>
      </w:r>
      <w:r w:rsidRPr="00335764">
        <w:rPr>
          <w:rFonts w:cs="Arial"/>
          <w:sz w:val="20"/>
          <w:szCs w:val="20"/>
        </w:rPr>
        <w:t xml:space="preserve"> of information and the right to privacy. </w:t>
      </w:r>
    </w:p>
    <w:p w:rsidR="004A1641" w:rsidRPr="00335764" w:rsidRDefault="004A1641" w:rsidP="00335764">
      <w:pPr>
        <w:pStyle w:val="ListParagraph"/>
        <w:spacing w:line="240" w:lineRule="auto"/>
        <w:jc w:val="left"/>
        <w:rPr>
          <w:rFonts w:cs="Arial"/>
          <w:sz w:val="20"/>
          <w:szCs w:val="20"/>
        </w:rPr>
      </w:pPr>
    </w:p>
    <w:p w:rsidR="004A1641" w:rsidRPr="00335764" w:rsidRDefault="004A1641"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The Information Regulator is established in terms of section 39 of POPIA and has wide range of powers and functions relating to promoting and enforcing the right to privacy. POPIA also transfers certain key responsibilities concerning the Promotion of Access to Information Act, 2000, (PAIA) to the Information Regulator. These include the handling of complaints, conducting investigations, and making assessments about compliance by public and private bodies.</w:t>
      </w:r>
    </w:p>
    <w:p w:rsidR="00121B7A" w:rsidRPr="00335764" w:rsidRDefault="00121B7A" w:rsidP="00335764">
      <w:pPr>
        <w:autoSpaceDE w:val="0"/>
        <w:autoSpaceDN w:val="0"/>
        <w:adjustRightInd w:val="0"/>
        <w:spacing w:line="240" w:lineRule="auto"/>
        <w:jc w:val="left"/>
        <w:rPr>
          <w:rFonts w:cs="Arial"/>
          <w:i/>
          <w:color w:val="auto"/>
          <w:sz w:val="20"/>
          <w:szCs w:val="20"/>
        </w:rPr>
      </w:pPr>
    </w:p>
    <w:p w:rsidR="00121B7A" w:rsidRPr="00335764" w:rsidRDefault="00121B7A" w:rsidP="00335764">
      <w:pPr>
        <w:autoSpaceDE w:val="0"/>
        <w:autoSpaceDN w:val="0"/>
        <w:adjustRightInd w:val="0"/>
        <w:spacing w:line="240" w:lineRule="auto"/>
        <w:jc w:val="left"/>
        <w:rPr>
          <w:rFonts w:cs="Arial"/>
          <w:i/>
          <w:color w:val="auto"/>
          <w:sz w:val="20"/>
          <w:szCs w:val="20"/>
        </w:rPr>
      </w:pPr>
      <w:r w:rsidRPr="00335764">
        <w:rPr>
          <w:rFonts w:cs="Arial"/>
          <w:i/>
          <w:color w:val="auto"/>
          <w:sz w:val="20"/>
          <w:szCs w:val="20"/>
        </w:rPr>
        <w:t>Performance planning</w:t>
      </w:r>
    </w:p>
    <w:p w:rsidR="001F0507" w:rsidRPr="00335764" w:rsidRDefault="00920F4C"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 xml:space="preserve">The </w:t>
      </w:r>
      <w:r w:rsidR="00CD1D51" w:rsidRPr="00335764">
        <w:rPr>
          <w:rFonts w:cs="Arial"/>
          <w:sz w:val="20"/>
          <w:szCs w:val="20"/>
        </w:rPr>
        <w:t xml:space="preserve">Information </w:t>
      </w:r>
      <w:r w:rsidRPr="00335764">
        <w:rPr>
          <w:rFonts w:cs="Arial"/>
          <w:sz w:val="20"/>
          <w:szCs w:val="20"/>
        </w:rPr>
        <w:t xml:space="preserve">Regulator has </w:t>
      </w:r>
      <w:r w:rsidR="00A74C93" w:rsidRPr="00335764">
        <w:rPr>
          <w:rFonts w:cs="Arial"/>
          <w:sz w:val="20"/>
          <w:szCs w:val="20"/>
        </w:rPr>
        <w:t xml:space="preserve">updated </w:t>
      </w:r>
      <w:r w:rsidR="001F0507" w:rsidRPr="00335764">
        <w:rPr>
          <w:rFonts w:cs="Arial"/>
          <w:sz w:val="20"/>
          <w:szCs w:val="20"/>
        </w:rPr>
        <w:t xml:space="preserve">its </w:t>
      </w:r>
      <w:r w:rsidRPr="00335764">
        <w:rPr>
          <w:rFonts w:cs="Arial"/>
          <w:sz w:val="20"/>
          <w:szCs w:val="20"/>
        </w:rPr>
        <w:t xml:space="preserve">strategic vision for </w:t>
      </w:r>
      <w:r w:rsidR="001F0507" w:rsidRPr="00335764">
        <w:rPr>
          <w:rFonts w:cs="Arial"/>
          <w:sz w:val="20"/>
          <w:szCs w:val="20"/>
        </w:rPr>
        <w:t xml:space="preserve">the period </w:t>
      </w:r>
      <w:r w:rsidRPr="00335764">
        <w:rPr>
          <w:rFonts w:cs="Arial"/>
          <w:sz w:val="20"/>
          <w:szCs w:val="20"/>
        </w:rPr>
        <w:t>2022/23-2026/27</w:t>
      </w:r>
      <w:r w:rsidR="00AD1A4B" w:rsidRPr="00335764">
        <w:rPr>
          <w:rFonts w:cs="Arial"/>
          <w:sz w:val="20"/>
          <w:szCs w:val="20"/>
        </w:rPr>
        <w:t xml:space="preserve">, adding </w:t>
      </w:r>
      <w:r w:rsidR="001F0507" w:rsidRPr="00335764">
        <w:rPr>
          <w:rFonts w:cs="Arial"/>
          <w:sz w:val="20"/>
          <w:szCs w:val="20"/>
        </w:rPr>
        <w:t>new outcomes and output indicators in the 2023/24 Annual Performance Plan.</w:t>
      </w:r>
    </w:p>
    <w:p w:rsidR="00BE369C" w:rsidRPr="00335764" w:rsidRDefault="00BE369C" w:rsidP="00335764">
      <w:pPr>
        <w:autoSpaceDE w:val="0"/>
        <w:autoSpaceDN w:val="0"/>
        <w:adjustRightInd w:val="0"/>
        <w:spacing w:line="240" w:lineRule="auto"/>
        <w:ind w:left="851"/>
        <w:jc w:val="left"/>
        <w:rPr>
          <w:rFonts w:cs="Arial"/>
          <w:sz w:val="20"/>
          <w:szCs w:val="20"/>
        </w:rPr>
      </w:pPr>
    </w:p>
    <w:p w:rsidR="00920F4C" w:rsidRPr="00335764" w:rsidRDefault="00920F4C"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Key risks and mitigation actions identified by the Regulator in its strategic planning documents include:</w:t>
      </w:r>
    </w:p>
    <w:p w:rsidR="00920F4C" w:rsidRPr="00335764" w:rsidRDefault="00920F4C" w:rsidP="00335764">
      <w:pPr>
        <w:spacing w:line="240" w:lineRule="auto"/>
        <w:jc w:val="left"/>
        <w:rPr>
          <w:rFonts w:cs="Arial"/>
          <w:sz w:val="20"/>
          <w:szCs w:val="20"/>
        </w:rPr>
      </w:pPr>
    </w:p>
    <w:tbl>
      <w:tblPr>
        <w:tblStyle w:val="TableGrid"/>
        <w:tblW w:w="0" w:type="auto"/>
        <w:shd w:val="clear" w:color="auto" w:fill="FFFFFF" w:themeFill="background1"/>
        <w:tblLook w:val="04A0"/>
      </w:tblPr>
      <w:tblGrid>
        <w:gridCol w:w="3930"/>
        <w:gridCol w:w="5698"/>
      </w:tblGrid>
      <w:tr w:rsidR="00920F4C" w:rsidRPr="00335764" w:rsidTr="00BE369C">
        <w:tc>
          <w:tcPr>
            <w:tcW w:w="0" w:type="auto"/>
            <w:shd w:val="clear" w:color="auto" w:fill="D9D9D9" w:themeFill="background1" w:themeFillShade="D9"/>
          </w:tcPr>
          <w:p w:rsidR="00920F4C" w:rsidRPr="00335764" w:rsidRDefault="00920F4C" w:rsidP="00335764">
            <w:pPr>
              <w:spacing w:line="240" w:lineRule="auto"/>
              <w:jc w:val="left"/>
              <w:rPr>
                <w:rFonts w:cs="Arial"/>
                <w:b/>
                <w:sz w:val="20"/>
                <w:szCs w:val="20"/>
              </w:rPr>
            </w:pPr>
            <w:r w:rsidRPr="00335764">
              <w:rPr>
                <w:rFonts w:cs="Arial"/>
                <w:b/>
                <w:sz w:val="20"/>
                <w:szCs w:val="20"/>
              </w:rPr>
              <w:t>RISKS</w:t>
            </w:r>
          </w:p>
        </w:tc>
        <w:tc>
          <w:tcPr>
            <w:tcW w:w="0" w:type="auto"/>
            <w:shd w:val="clear" w:color="auto" w:fill="D9D9D9" w:themeFill="background1" w:themeFillShade="D9"/>
          </w:tcPr>
          <w:p w:rsidR="00920F4C" w:rsidRPr="00335764" w:rsidRDefault="00920F4C" w:rsidP="00335764">
            <w:pPr>
              <w:spacing w:line="240" w:lineRule="auto"/>
              <w:jc w:val="left"/>
              <w:rPr>
                <w:rFonts w:cs="Arial"/>
                <w:b/>
                <w:sz w:val="20"/>
                <w:szCs w:val="20"/>
              </w:rPr>
            </w:pPr>
            <w:r w:rsidRPr="00335764">
              <w:rPr>
                <w:rFonts w:cs="Arial"/>
                <w:b/>
                <w:sz w:val="20"/>
                <w:szCs w:val="20"/>
              </w:rPr>
              <w:t>MITIGATION</w:t>
            </w:r>
          </w:p>
        </w:tc>
      </w:tr>
      <w:tr w:rsidR="00920F4C" w:rsidRPr="00335764" w:rsidTr="00BE369C">
        <w:tc>
          <w:tcPr>
            <w:tcW w:w="0" w:type="auto"/>
            <w:shd w:val="clear" w:color="auto" w:fill="FFFFFF" w:themeFill="background1"/>
          </w:tcPr>
          <w:p w:rsidR="00920F4C" w:rsidRPr="00335764" w:rsidRDefault="00920F4C" w:rsidP="00335764">
            <w:pPr>
              <w:spacing w:line="240" w:lineRule="auto"/>
              <w:jc w:val="left"/>
              <w:rPr>
                <w:rFonts w:cs="Arial"/>
                <w:sz w:val="20"/>
                <w:szCs w:val="20"/>
              </w:rPr>
            </w:pPr>
            <w:r w:rsidRPr="00335764">
              <w:rPr>
                <w:rFonts w:cs="Arial"/>
                <w:sz w:val="20"/>
                <w:szCs w:val="20"/>
              </w:rPr>
              <w:t>Inadequate enforcement powers</w:t>
            </w:r>
          </w:p>
        </w:tc>
        <w:tc>
          <w:tcPr>
            <w:tcW w:w="0" w:type="auto"/>
            <w:shd w:val="clear" w:color="auto" w:fill="FFFFFF" w:themeFill="background1"/>
          </w:tcPr>
          <w:p w:rsidR="00920F4C" w:rsidRPr="00335764" w:rsidRDefault="00920F4C" w:rsidP="00335764">
            <w:pPr>
              <w:spacing w:line="240" w:lineRule="auto"/>
              <w:jc w:val="left"/>
              <w:rPr>
                <w:rFonts w:cs="Arial"/>
                <w:sz w:val="20"/>
                <w:szCs w:val="20"/>
              </w:rPr>
            </w:pPr>
            <w:r w:rsidRPr="00335764">
              <w:rPr>
                <w:rFonts w:cs="Arial"/>
                <w:sz w:val="20"/>
                <w:szCs w:val="20"/>
              </w:rPr>
              <w:t xml:space="preserve">Full establishment of an enforcement committee and approval of rules of procedure relating to the </w:t>
            </w:r>
            <w:r w:rsidR="00261D2C" w:rsidRPr="00335764">
              <w:rPr>
                <w:rFonts w:cs="Arial"/>
                <w:sz w:val="20"/>
                <w:szCs w:val="20"/>
              </w:rPr>
              <w:t>way</w:t>
            </w:r>
            <w:r w:rsidRPr="00335764">
              <w:rPr>
                <w:rFonts w:cs="Arial"/>
                <w:sz w:val="20"/>
                <w:szCs w:val="20"/>
              </w:rPr>
              <w:t xml:space="preserve"> a complaint may be referred to the enforcement committee. </w:t>
            </w:r>
          </w:p>
        </w:tc>
      </w:tr>
      <w:tr w:rsidR="00920F4C" w:rsidRPr="00335764" w:rsidTr="00BE369C">
        <w:tc>
          <w:tcPr>
            <w:tcW w:w="0" w:type="auto"/>
            <w:shd w:val="clear" w:color="auto" w:fill="FFFFFF" w:themeFill="background1"/>
          </w:tcPr>
          <w:p w:rsidR="00920F4C" w:rsidRPr="00335764" w:rsidRDefault="00920F4C" w:rsidP="00335764">
            <w:pPr>
              <w:spacing w:line="240" w:lineRule="auto"/>
              <w:jc w:val="left"/>
              <w:rPr>
                <w:rFonts w:cs="Arial"/>
                <w:sz w:val="20"/>
                <w:szCs w:val="20"/>
              </w:rPr>
            </w:pPr>
            <w:r w:rsidRPr="00335764">
              <w:rPr>
                <w:rFonts w:cs="Arial"/>
                <w:sz w:val="20"/>
                <w:szCs w:val="20"/>
              </w:rPr>
              <w:t>Backlog of complaints</w:t>
            </w:r>
          </w:p>
        </w:tc>
        <w:tc>
          <w:tcPr>
            <w:tcW w:w="0" w:type="auto"/>
            <w:shd w:val="clear" w:color="auto" w:fill="FFFFFF" w:themeFill="background1"/>
          </w:tcPr>
          <w:p w:rsidR="00920F4C" w:rsidRPr="00335764" w:rsidRDefault="00920F4C" w:rsidP="00335764">
            <w:pPr>
              <w:spacing w:line="240" w:lineRule="auto"/>
              <w:jc w:val="left"/>
              <w:rPr>
                <w:rFonts w:cs="Arial"/>
                <w:sz w:val="20"/>
                <w:szCs w:val="20"/>
              </w:rPr>
            </w:pPr>
            <w:r w:rsidRPr="00335764">
              <w:rPr>
                <w:rFonts w:cs="Arial"/>
                <w:sz w:val="20"/>
                <w:szCs w:val="20"/>
              </w:rPr>
              <w:t>Funding from Treasury to fill prioritised positions.</w:t>
            </w:r>
          </w:p>
        </w:tc>
      </w:tr>
      <w:tr w:rsidR="00920F4C" w:rsidRPr="00335764" w:rsidTr="00BE369C">
        <w:tc>
          <w:tcPr>
            <w:tcW w:w="0" w:type="auto"/>
            <w:shd w:val="clear" w:color="auto" w:fill="FFFFFF" w:themeFill="background1"/>
          </w:tcPr>
          <w:p w:rsidR="00920F4C" w:rsidRPr="00335764" w:rsidRDefault="00920F4C" w:rsidP="00335764">
            <w:pPr>
              <w:spacing w:line="240" w:lineRule="auto"/>
              <w:jc w:val="left"/>
              <w:rPr>
                <w:rFonts w:cs="Arial"/>
                <w:sz w:val="20"/>
                <w:szCs w:val="20"/>
              </w:rPr>
            </w:pPr>
            <w:r w:rsidRPr="00335764">
              <w:rPr>
                <w:rFonts w:cs="Arial"/>
                <w:sz w:val="20"/>
                <w:szCs w:val="20"/>
              </w:rPr>
              <w:t>Ineffective education and awareness</w:t>
            </w:r>
          </w:p>
        </w:tc>
        <w:tc>
          <w:tcPr>
            <w:tcW w:w="0" w:type="auto"/>
            <w:shd w:val="clear" w:color="auto" w:fill="FFFFFF" w:themeFill="background1"/>
          </w:tcPr>
          <w:p w:rsidR="00920F4C" w:rsidRPr="00335764" w:rsidRDefault="00920F4C" w:rsidP="00335764">
            <w:pPr>
              <w:spacing w:line="240" w:lineRule="auto"/>
              <w:jc w:val="left"/>
              <w:rPr>
                <w:rFonts w:cs="Arial"/>
                <w:sz w:val="20"/>
                <w:szCs w:val="20"/>
              </w:rPr>
            </w:pPr>
            <w:r w:rsidRPr="00335764">
              <w:rPr>
                <w:rFonts w:cs="Arial"/>
                <w:sz w:val="20"/>
                <w:szCs w:val="20"/>
              </w:rPr>
              <w:t>Conclusion of partnership agreements with other public agencies and training service providers on the delivery of education awareness programmes.</w:t>
            </w:r>
          </w:p>
        </w:tc>
      </w:tr>
      <w:tr w:rsidR="001F0507" w:rsidRPr="00335764" w:rsidTr="00BE369C">
        <w:tc>
          <w:tcPr>
            <w:tcW w:w="0" w:type="auto"/>
            <w:shd w:val="clear" w:color="auto" w:fill="FFFFFF" w:themeFill="background1"/>
          </w:tcPr>
          <w:p w:rsidR="001F0507" w:rsidRPr="00335764" w:rsidRDefault="004922C6" w:rsidP="00335764">
            <w:pPr>
              <w:spacing w:line="240" w:lineRule="auto"/>
              <w:jc w:val="left"/>
              <w:rPr>
                <w:rFonts w:cs="Arial"/>
                <w:sz w:val="20"/>
                <w:szCs w:val="20"/>
              </w:rPr>
            </w:pPr>
            <w:r w:rsidRPr="00335764">
              <w:rPr>
                <w:rFonts w:cs="Arial"/>
                <w:sz w:val="20"/>
                <w:szCs w:val="20"/>
              </w:rPr>
              <w:t>Inadequate processes and Standard Operating Procedures</w:t>
            </w:r>
          </w:p>
        </w:tc>
        <w:tc>
          <w:tcPr>
            <w:tcW w:w="0" w:type="auto"/>
            <w:shd w:val="clear" w:color="auto" w:fill="FFFFFF" w:themeFill="background1"/>
          </w:tcPr>
          <w:p w:rsidR="001F0507" w:rsidRPr="00335764" w:rsidRDefault="00BE369C" w:rsidP="00335764">
            <w:pPr>
              <w:spacing w:line="240" w:lineRule="auto"/>
              <w:jc w:val="left"/>
              <w:rPr>
                <w:rFonts w:cs="Arial"/>
                <w:sz w:val="20"/>
                <w:szCs w:val="20"/>
              </w:rPr>
            </w:pPr>
            <w:r w:rsidRPr="00335764">
              <w:rPr>
                <w:rFonts w:cs="Arial"/>
                <w:sz w:val="20"/>
                <w:szCs w:val="20"/>
              </w:rPr>
              <w:t>Processes and Standard Operating Procedure Manuals to be developed for each Division</w:t>
            </w:r>
          </w:p>
        </w:tc>
      </w:tr>
      <w:tr w:rsidR="004922C6" w:rsidRPr="00335764" w:rsidTr="00BE369C">
        <w:tc>
          <w:tcPr>
            <w:tcW w:w="0" w:type="auto"/>
            <w:shd w:val="clear" w:color="auto" w:fill="FFFFFF" w:themeFill="background1"/>
          </w:tcPr>
          <w:p w:rsidR="004922C6" w:rsidRPr="00335764" w:rsidRDefault="00B756A3" w:rsidP="00335764">
            <w:pPr>
              <w:spacing w:line="240" w:lineRule="auto"/>
              <w:jc w:val="left"/>
              <w:rPr>
                <w:rFonts w:cs="Arial"/>
                <w:sz w:val="20"/>
                <w:szCs w:val="20"/>
              </w:rPr>
            </w:pPr>
            <w:r w:rsidRPr="00335764">
              <w:rPr>
                <w:rFonts w:cs="Arial"/>
                <w:sz w:val="20"/>
                <w:szCs w:val="20"/>
              </w:rPr>
              <w:t>Inadequate compliance with the communication protocol (when imparting Information to the public)</w:t>
            </w:r>
          </w:p>
        </w:tc>
        <w:tc>
          <w:tcPr>
            <w:tcW w:w="0" w:type="auto"/>
            <w:shd w:val="clear" w:color="auto" w:fill="FFFFFF" w:themeFill="background1"/>
          </w:tcPr>
          <w:p w:rsidR="004922C6" w:rsidRPr="00335764" w:rsidRDefault="00BE369C" w:rsidP="00335764">
            <w:pPr>
              <w:pStyle w:val="Default"/>
              <w:spacing w:line="240" w:lineRule="auto"/>
              <w:jc w:val="left"/>
              <w:rPr>
                <w:rFonts w:eastAsia="Times New Roman"/>
                <w:spacing w:val="6"/>
                <w:sz w:val="20"/>
                <w:szCs w:val="20"/>
              </w:rPr>
            </w:pPr>
            <w:r w:rsidRPr="00335764">
              <w:rPr>
                <w:rFonts w:eastAsia="Times New Roman"/>
                <w:spacing w:val="6"/>
                <w:sz w:val="20"/>
                <w:szCs w:val="20"/>
              </w:rPr>
              <w:t>Implementation of approved Standard Operating Procedures</w:t>
            </w:r>
          </w:p>
        </w:tc>
      </w:tr>
      <w:tr w:rsidR="001F0507" w:rsidRPr="00335764" w:rsidTr="00BE369C">
        <w:tc>
          <w:tcPr>
            <w:tcW w:w="0" w:type="auto"/>
            <w:shd w:val="clear" w:color="auto" w:fill="FFFFFF" w:themeFill="background1"/>
          </w:tcPr>
          <w:p w:rsidR="001F0507" w:rsidRPr="00335764" w:rsidRDefault="00B756A3" w:rsidP="00335764">
            <w:pPr>
              <w:spacing w:line="240" w:lineRule="auto"/>
              <w:jc w:val="left"/>
              <w:rPr>
                <w:rFonts w:cs="Arial"/>
                <w:sz w:val="20"/>
                <w:szCs w:val="20"/>
              </w:rPr>
            </w:pPr>
            <w:r w:rsidRPr="00335764">
              <w:rPr>
                <w:rFonts w:cs="Arial"/>
                <w:sz w:val="20"/>
                <w:szCs w:val="20"/>
              </w:rPr>
              <w:t>Governance failures</w:t>
            </w:r>
          </w:p>
        </w:tc>
        <w:tc>
          <w:tcPr>
            <w:tcW w:w="0" w:type="auto"/>
            <w:shd w:val="clear" w:color="auto" w:fill="FFFFFF" w:themeFill="background1"/>
          </w:tcPr>
          <w:p w:rsidR="001F0507" w:rsidRPr="00335764" w:rsidRDefault="00BE369C" w:rsidP="00335764">
            <w:pPr>
              <w:spacing w:line="240" w:lineRule="auto"/>
              <w:jc w:val="left"/>
              <w:rPr>
                <w:rFonts w:cs="Arial"/>
                <w:sz w:val="20"/>
                <w:szCs w:val="20"/>
              </w:rPr>
            </w:pPr>
            <w:r w:rsidRPr="00335764">
              <w:rPr>
                <w:rFonts w:cs="Arial"/>
                <w:sz w:val="20"/>
                <w:szCs w:val="20"/>
              </w:rPr>
              <w:t>To develop and approve the governance guides.</w:t>
            </w:r>
          </w:p>
        </w:tc>
      </w:tr>
    </w:tbl>
    <w:p w:rsidR="00BE369C" w:rsidRPr="00335764" w:rsidRDefault="00BE369C" w:rsidP="00335764">
      <w:pPr>
        <w:autoSpaceDE w:val="0"/>
        <w:autoSpaceDN w:val="0"/>
        <w:adjustRightInd w:val="0"/>
        <w:spacing w:line="240" w:lineRule="auto"/>
        <w:jc w:val="left"/>
        <w:rPr>
          <w:rFonts w:cs="Arial"/>
          <w:b/>
          <w:i/>
          <w:sz w:val="20"/>
          <w:szCs w:val="20"/>
        </w:rPr>
      </w:pPr>
      <w:bookmarkStart w:id="0" w:name="_Toc134426310"/>
    </w:p>
    <w:p w:rsidR="00452B48" w:rsidRPr="00335764" w:rsidRDefault="00BE369C"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i/>
          <w:sz w:val="20"/>
          <w:szCs w:val="20"/>
        </w:rPr>
        <w:t>Programmes</w:t>
      </w:r>
      <w:bookmarkEnd w:id="0"/>
      <w:r w:rsidR="00CD1D51" w:rsidRPr="00335764">
        <w:rPr>
          <w:rFonts w:cs="Arial"/>
          <w:i/>
          <w:sz w:val="20"/>
          <w:szCs w:val="20"/>
        </w:rPr>
        <w:t>.</w:t>
      </w:r>
      <w:r w:rsidR="00CD1D51" w:rsidRPr="00335764">
        <w:rPr>
          <w:rFonts w:cs="Arial"/>
          <w:b/>
          <w:i/>
          <w:sz w:val="20"/>
          <w:szCs w:val="20"/>
        </w:rPr>
        <w:t xml:space="preserve"> </w:t>
      </w:r>
      <w:r w:rsidR="00920F4C" w:rsidRPr="00335764">
        <w:rPr>
          <w:rFonts w:cs="Arial"/>
          <w:sz w:val="20"/>
          <w:szCs w:val="20"/>
        </w:rPr>
        <w:t>The Regulator has five programmes</w:t>
      </w:r>
      <w:r w:rsidR="00452B48" w:rsidRPr="00335764">
        <w:rPr>
          <w:rFonts w:cs="Arial"/>
          <w:sz w:val="20"/>
          <w:szCs w:val="20"/>
        </w:rPr>
        <w:t xml:space="preserve">, namely ‘Protection of Personal Information’; ‘Promotion of Access to Information’; </w:t>
      </w:r>
      <w:r w:rsidR="00B76AB3" w:rsidRPr="00335764">
        <w:rPr>
          <w:rFonts w:cs="Arial"/>
          <w:sz w:val="20"/>
          <w:szCs w:val="20"/>
        </w:rPr>
        <w:t xml:space="preserve">‘Education and Communication’; </w:t>
      </w:r>
      <w:r w:rsidR="0039447C" w:rsidRPr="00335764">
        <w:rPr>
          <w:rFonts w:cs="Arial"/>
          <w:sz w:val="20"/>
          <w:szCs w:val="20"/>
        </w:rPr>
        <w:t>Legal, Policy, Research and Information Technology Analysis’ and ‘Administration’.</w:t>
      </w:r>
    </w:p>
    <w:p w:rsidR="00452B48" w:rsidRPr="00335764" w:rsidRDefault="00452B48" w:rsidP="00335764">
      <w:pPr>
        <w:spacing w:line="240" w:lineRule="auto"/>
        <w:jc w:val="left"/>
        <w:rPr>
          <w:rFonts w:cs="Arial"/>
          <w:sz w:val="20"/>
          <w:szCs w:val="20"/>
        </w:rPr>
      </w:pPr>
    </w:p>
    <w:p w:rsidR="00B756A3" w:rsidRPr="00335764" w:rsidRDefault="0039447C" w:rsidP="00335764">
      <w:pPr>
        <w:numPr>
          <w:ilvl w:val="2"/>
          <w:numId w:val="1"/>
        </w:numPr>
        <w:autoSpaceDE w:val="0"/>
        <w:autoSpaceDN w:val="0"/>
        <w:adjustRightInd w:val="0"/>
        <w:spacing w:line="240" w:lineRule="auto"/>
        <w:ind w:hanging="862"/>
        <w:jc w:val="left"/>
        <w:rPr>
          <w:rFonts w:cs="Arial"/>
          <w:sz w:val="20"/>
          <w:szCs w:val="20"/>
        </w:rPr>
      </w:pPr>
      <w:r w:rsidRPr="00335764">
        <w:rPr>
          <w:rFonts w:cs="Arial"/>
          <w:sz w:val="20"/>
          <w:szCs w:val="20"/>
        </w:rPr>
        <w:lastRenderedPageBreak/>
        <w:t xml:space="preserve">The </w:t>
      </w:r>
      <w:r w:rsidR="00920F4C" w:rsidRPr="00335764">
        <w:rPr>
          <w:rFonts w:cs="Arial"/>
          <w:i/>
          <w:sz w:val="20"/>
          <w:szCs w:val="20"/>
        </w:rPr>
        <w:t>Protection of Personal Information</w:t>
      </w:r>
      <w:r w:rsidR="00452B48" w:rsidRPr="00335764">
        <w:rPr>
          <w:rFonts w:cs="Arial"/>
          <w:sz w:val="20"/>
          <w:szCs w:val="20"/>
        </w:rPr>
        <w:t xml:space="preserve"> </w:t>
      </w:r>
      <w:r w:rsidRPr="00335764">
        <w:rPr>
          <w:rFonts w:cs="Arial"/>
          <w:sz w:val="20"/>
          <w:szCs w:val="20"/>
        </w:rPr>
        <w:t xml:space="preserve">programme </w:t>
      </w:r>
      <w:r w:rsidR="00920F4C" w:rsidRPr="00335764">
        <w:rPr>
          <w:rFonts w:cs="Arial"/>
          <w:sz w:val="20"/>
          <w:szCs w:val="20"/>
        </w:rPr>
        <w:t>seeks to ensure the promotion and protection of personal information processed by public and private bodies. It has t</w:t>
      </w:r>
      <w:r w:rsidR="00B756A3" w:rsidRPr="00335764">
        <w:rPr>
          <w:rFonts w:cs="Arial"/>
          <w:sz w:val="20"/>
          <w:szCs w:val="20"/>
        </w:rPr>
        <w:t xml:space="preserve">hree </w:t>
      </w:r>
      <w:r w:rsidR="00920F4C" w:rsidRPr="00335764">
        <w:rPr>
          <w:rFonts w:cs="Arial"/>
          <w:sz w:val="20"/>
          <w:szCs w:val="20"/>
        </w:rPr>
        <w:t xml:space="preserve">subprogrammes: </w:t>
      </w:r>
      <w:r w:rsidR="00452B48" w:rsidRPr="00335764">
        <w:rPr>
          <w:rFonts w:cs="Arial"/>
          <w:sz w:val="20"/>
          <w:szCs w:val="20"/>
        </w:rPr>
        <w:t>‘</w:t>
      </w:r>
      <w:r w:rsidR="00920F4C" w:rsidRPr="00335764">
        <w:rPr>
          <w:rFonts w:cs="Arial"/>
          <w:sz w:val="20"/>
          <w:szCs w:val="20"/>
        </w:rPr>
        <w:t>Compliance and Monitoring</w:t>
      </w:r>
      <w:r w:rsidR="00452B48" w:rsidRPr="00335764">
        <w:rPr>
          <w:rFonts w:cs="Arial"/>
          <w:sz w:val="20"/>
          <w:szCs w:val="20"/>
        </w:rPr>
        <w:t>’</w:t>
      </w:r>
      <w:r w:rsidR="00920F4C" w:rsidRPr="00335764">
        <w:rPr>
          <w:rFonts w:cs="Arial"/>
          <w:sz w:val="20"/>
          <w:szCs w:val="20"/>
        </w:rPr>
        <w:t xml:space="preserve"> and </w:t>
      </w:r>
      <w:r w:rsidR="00452B48" w:rsidRPr="00335764">
        <w:rPr>
          <w:rFonts w:cs="Arial"/>
          <w:sz w:val="20"/>
          <w:szCs w:val="20"/>
        </w:rPr>
        <w:t>‘</w:t>
      </w:r>
      <w:r w:rsidR="00920F4C" w:rsidRPr="00335764">
        <w:rPr>
          <w:rFonts w:cs="Arial"/>
          <w:sz w:val="20"/>
          <w:szCs w:val="20"/>
        </w:rPr>
        <w:t>Complaints and I</w:t>
      </w:r>
      <w:r w:rsidR="00452B48" w:rsidRPr="00335764">
        <w:rPr>
          <w:rFonts w:cs="Arial"/>
          <w:sz w:val="20"/>
          <w:szCs w:val="20"/>
        </w:rPr>
        <w:t>nvestigation</w:t>
      </w:r>
      <w:r w:rsidR="00920F4C" w:rsidRPr="00335764">
        <w:rPr>
          <w:rFonts w:cs="Arial"/>
          <w:sz w:val="20"/>
          <w:szCs w:val="20"/>
        </w:rPr>
        <w:t>s</w:t>
      </w:r>
      <w:r w:rsidR="00452B48" w:rsidRPr="00335764">
        <w:rPr>
          <w:rFonts w:cs="Arial"/>
          <w:sz w:val="20"/>
          <w:szCs w:val="20"/>
        </w:rPr>
        <w:t>’</w:t>
      </w:r>
      <w:r w:rsidR="00B756A3" w:rsidRPr="00335764">
        <w:rPr>
          <w:rFonts w:cs="Arial"/>
          <w:sz w:val="20"/>
          <w:szCs w:val="20"/>
        </w:rPr>
        <w:t xml:space="preserve"> and ‘Security Compromises’, which is a new sub-programme that aims to monitor and enforce compliance; assess security compromise notifications</w:t>
      </w:r>
      <w:r w:rsidR="00BE369C" w:rsidRPr="00335764">
        <w:rPr>
          <w:rFonts w:cs="Arial"/>
          <w:sz w:val="20"/>
          <w:szCs w:val="20"/>
        </w:rPr>
        <w:t>;</w:t>
      </w:r>
      <w:r w:rsidR="00B756A3" w:rsidRPr="00335764">
        <w:rPr>
          <w:rFonts w:cs="Arial"/>
          <w:sz w:val="20"/>
          <w:szCs w:val="20"/>
        </w:rPr>
        <w:t xml:space="preserve"> and oversee and conduct its own initiative assessments </w:t>
      </w:r>
      <w:r w:rsidR="00261D2C" w:rsidRPr="00335764">
        <w:rPr>
          <w:rFonts w:cs="Arial"/>
          <w:sz w:val="20"/>
          <w:szCs w:val="20"/>
        </w:rPr>
        <w:t>because of</w:t>
      </w:r>
      <w:r w:rsidR="00B756A3" w:rsidRPr="00335764">
        <w:rPr>
          <w:rFonts w:cs="Arial"/>
          <w:sz w:val="20"/>
          <w:szCs w:val="20"/>
        </w:rPr>
        <w:t xml:space="preserve"> security compromises.</w:t>
      </w:r>
    </w:p>
    <w:p w:rsidR="00BE369C" w:rsidRPr="00335764" w:rsidRDefault="00BE369C" w:rsidP="00335764">
      <w:pPr>
        <w:pStyle w:val="ListParagraph"/>
        <w:spacing w:line="240" w:lineRule="auto"/>
        <w:ind w:left="862"/>
        <w:contextualSpacing/>
        <w:jc w:val="left"/>
        <w:rPr>
          <w:rFonts w:cs="Arial"/>
          <w:sz w:val="20"/>
          <w:szCs w:val="20"/>
        </w:rPr>
      </w:pPr>
    </w:p>
    <w:p w:rsidR="00920F4C" w:rsidRPr="00335764" w:rsidRDefault="00121B7A" w:rsidP="00335764">
      <w:pPr>
        <w:pStyle w:val="ListParagraph"/>
        <w:numPr>
          <w:ilvl w:val="2"/>
          <w:numId w:val="1"/>
        </w:numPr>
        <w:spacing w:line="240" w:lineRule="auto"/>
        <w:ind w:hanging="862"/>
        <w:contextualSpacing/>
        <w:jc w:val="left"/>
        <w:rPr>
          <w:rFonts w:cs="Arial"/>
          <w:sz w:val="20"/>
          <w:szCs w:val="20"/>
        </w:rPr>
      </w:pPr>
      <w:r w:rsidRPr="00335764">
        <w:rPr>
          <w:rFonts w:cs="Arial"/>
          <w:sz w:val="20"/>
          <w:szCs w:val="20"/>
        </w:rPr>
        <w:t xml:space="preserve">Under this programme, </w:t>
      </w:r>
      <w:r w:rsidR="00920F4C" w:rsidRPr="00335764">
        <w:rPr>
          <w:rFonts w:cs="Arial"/>
          <w:sz w:val="20"/>
          <w:szCs w:val="20"/>
        </w:rPr>
        <w:t>the following indicators</w:t>
      </w:r>
      <w:r w:rsidR="0039447C" w:rsidRPr="00335764">
        <w:rPr>
          <w:rFonts w:cs="Arial"/>
          <w:sz w:val="20"/>
          <w:szCs w:val="20"/>
        </w:rPr>
        <w:t xml:space="preserve"> are removed:</w:t>
      </w:r>
    </w:p>
    <w:p w:rsidR="00B756A3" w:rsidRPr="00335764" w:rsidRDefault="00B756A3"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POPIA compliance monitoring and enforcement framework approved.</w:t>
      </w:r>
    </w:p>
    <w:p w:rsidR="00B756A3" w:rsidRPr="00335764" w:rsidRDefault="00B756A3"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Application for codes of conduct finalised within the prescribed timeframe.</w:t>
      </w:r>
    </w:p>
    <w:p w:rsidR="00B756A3" w:rsidRPr="00335764" w:rsidRDefault="00B756A3"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Percentage of applications for exemptions from POPIA processed.</w:t>
      </w:r>
    </w:p>
    <w:p w:rsidR="00B756A3" w:rsidRPr="00335764" w:rsidRDefault="00B756A3"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Percentage of Information Officers and Deputy Information Officers registered as prescribed.</w:t>
      </w:r>
    </w:p>
    <w:p w:rsidR="00920F4C" w:rsidRPr="00335764" w:rsidRDefault="00B756A3"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 xml:space="preserve">Approved and implemented the rules of procedure relating to the </w:t>
      </w:r>
      <w:r w:rsidR="00703E27" w:rsidRPr="00335764">
        <w:rPr>
          <w:rFonts w:cs="Arial"/>
          <w:sz w:val="20"/>
          <w:szCs w:val="20"/>
          <w:lang w:val="en-ZA"/>
        </w:rPr>
        <w:t>way</w:t>
      </w:r>
      <w:r w:rsidRPr="00335764">
        <w:rPr>
          <w:rFonts w:cs="Arial"/>
          <w:sz w:val="20"/>
          <w:szCs w:val="20"/>
          <w:lang w:val="en-ZA"/>
        </w:rPr>
        <w:t xml:space="preserve"> any POPIA matters or complaints must be referred and handled by the enforcement committee. </w:t>
      </w:r>
    </w:p>
    <w:p w:rsidR="0039447C" w:rsidRPr="00335764" w:rsidRDefault="0039447C" w:rsidP="00335764">
      <w:pPr>
        <w:numPr>
          <w:ilvl w:val="0"/>
          <w:numId w:val="2"/>
        </w:numPr>
        <w:autoSpaceDE w:val="0"/>
        <w:autoSpaceDN w:val="0"/>
        <w:adjustRightInd w:val="0"/>
        <w:spacing w:line="240" w:lineRule="auto"/>
        <w:ind w:left="1418" w:hanging="567"/>
        <w:jc w:val="left"/>
        <w:rPr>
          <w:rFonts w:cs="Arial"/>
          <w:sz w:val="20"/>
          <w:szCs w:val="20"/>
          <w:lang w:val="en-ZA"/>
        </w:rPr>
      </w:pPr>
    </w:p>
    <w:p w:rsidR="00920F4C" w:rsidRPr="00335764" w:rsidRDefault="0039447C" w:rsidP="00335764">
      <w:pPr>
        <w:pStyle w:val="ListParagraph"/>
        <w:numPr>
          <w:ilvl w:val="2"/>
          <w:numId w:val="1"/>
        </w:numPr>
        <w:spacing w:line="240" w:lineRule="auto"/>
        <w:ind w:hanging="862"/>
        <w:contextualSpacing/>
        <w:jc w:val="left"/>
        <w:rPr>
          <w:rFonts w:cs="Arial"/>
          <w:sz w:val="20"/>
          <w:szCs w:val="20"/>
        </w:rPr>
      </w:pPr>
      <w:r w:rsidRPr="00335764">
        <w:rPr>
          <w:rFonts w:cs="Arial"/>
          <w:sz w:val="20"/>
          <w:szCs w:val="20"/>
        </w:rPr>
        <w:t>The following</w:t>
      </w:r>
      <w:r w:rsidR="00920F4C" w:rsidRPr="00335764">
        <w:rPr>
          <w:rFonts w:cs="Arial"/>
          <w:sz w:val="20"/>
          <w:szCs w:val="20"/>
        </w:rPr>
        <w:t xml:space="preserve"> new indicators with associated targets</w:t>
      </w:r>
      <w:r w:rsidR="00121B7A" w:rsidRPr="00335764">
        <w:rPr>
          <w:rFonts w:cs="Arial"/>
          <w:sz w:val="20"/>
          <w:szCs w:val="20"/>
        </w:rPr>
        <w:t xml:space="preserve"> are introduced</w:t>
      </w:r>
      <w:r w:rsidR="00920F4C" w:rsidRPr="00335764">
        <w:rPr>
          <w:rFonts w:cs="Arial"/>
          <w:sz w:val="20"/>
          <w:szCs w:val="20"/>
        </w:rPr>
        <w:t xml:space="preserve">: </w:t>
      </w:r>
    </w:p>
    <w:tbl>
      <w:tblPr>
        <w:tblStyle w:val="TableGrid"/>
        <w:tblW w:w="5000" w:type="pct"/>
        <w:shd w:val="clear" w:color="auto" w:fill="FFFFFF" w:themeFill="background1"/>
        <w:tblLook w:val="04A0"/>
      </w:tblPr>
      <w:tblGrid>
        <w:gridCol w:w="4991"/>
        <w:gridCol w:w="4637"/>
      </w:tblGrid>
      <w:tr w:rsidR="00920F4C" w:rsidRPr="00335764" w:rsidTr="00B76AB3">
        <w:tc>
          <w:tcPr>
            <w:tcW w:w="2592" w:type="pct"/>
            <w:shd w:val="clear" w:color="auto" w:fill="D9D9D9" w:themeFill="background1" w:themeFillShade="D9"/>
          </w:tcPr>
          <w:p w:rsidR="00920F4C" w:rsidRPr="00335764" w:rsidRDefault="00920F4C" w:rsidP="00335764">
            <w:pPr>
              <w:spacing w:line="240" w:lineRule="auto"/>
              <w:jc w:val="left"/>
              <w:rPr>
                <w:rFonts w:cs="Arial"/>
                <w:b/>
                <w:sz w:val="20"/>
                <w:szCs w:val="20"/>
              </w:rPr>
            </w:pPr>
            <w:r w:rsidRPr="00335764">
              <w:rPr>
                <w:rFonts w:cs="Arial"/>
                <w:b/>
                <w:sz w:val="20"/>
                <w:szCs w:val="20"/>
              </w:rPr>
              <w:t>OUTPUT INDICATORS</w:t>
            </w:r>
          </w:p>
        </w:tc>
        <w:tc>
          <w:tcPr>
            <w:tcW w:w="2408" w:type="pct"/>
            <w:shd w:val="clear" w:color="auto" w:fill="D9D9D9" w:themeFill="background1" w:themeFillShade="D9"/>
          </w:tcPr>
          <w:p w:rsidR="00920F4C" w:rsidRPr="00335764" w:rsidRDefault="00BE369C" w:rsidP="00335764">
            <w:pPr>
              <w:spacing w:line="240" w:lineRule="auto"/>
              <w:jc w:val="left"/>
              <w:rPr>
                <w:rFonts w:cs="Arial"/>
                <w:b/>
                <w:sz w:val="20"/>
                <w:szCs w:val="20"/>
              </w:rPr>
            </w:pPr>
            <w:r w:rsidRPr="00335764">
              <w:rPr>
                <w:rFonts w:cs="Arial"/>
                <w:b/>
                <w:sz w:val="20"/>
                <w:szCs w:val="20"/>
              </w:rPr>
              <w:t>2023/24</w:t>
            </w:r>
            <w:r w:rsidR="00920F4C" w:rsidRPr="00335764">
              <w:rPr>
                <w:rFonts w:cs="Arial"/>
                <w:b/>
                <w:sz w:val="20"/>
                <w:szCs w:val="20"/>
              </w:rPr>
              <w:t xml:space="preserve"> TARGETS</w:t>
            </w:r>
          </w:p>
        </w:tc>
      </w:tr>
      <w:tr w:rsidR="00BE369C" w:rsidRPr="00335764" w:rsidTr="00B76AB3">
        <w:tc>
          <w:tcPr>
            <w:tcW w:w="2592" w:type="pct"/>
            <w:shd w:val="clear" w:color="auto" w:fill="FFFFFF" w:themeFill="background1"/>
          </w:tcPr>
          <w:p w:rsidR="00BE369C" w:rsidRPr="00335764" w:rsidRDefault="00BE369C" w:rsidP="00335764">
            <w:pPr>
              <w:spacing w:line="240" w:lineRule="auto"/>
              <w:jc w:val="left"/>
              <w:rPr>
                <w:rFonts w:cs="Arial"/>
                <w:sz w:val="20"/>
                <w:szCs w:val="20"/>
              </w:rPr>
            </w:pPr>
            <w:r w:rsidRPr="00335764">
              <w:rPr>
                <w:rFonts w:cs="Arial"/>
                <w:sz w:val="20"/>
                <w:szCs w:val="20"/>
              </w:rPr>
              <w:t>Percentage of responsible parties assessed upon request within the prescribed period</w:t>
            </w:r>
          </w:p>
        </w:tc>
        <w:tc>
          <w:tcPr>
            <w:tcW w:w="2408" w:type="pct"/>
            <w:shd w:val="clear" w:color="auto" w:fill="FFFFFF" w:themeFill="background1"/>
          </w:tcPr>
          <w:p w:rsidR="00BE369C" w:rsidRPr="00335764" w:rsidRDefault="00BE369C" w:rsidP="00335764">
            <w:pPr>
              <w:spacing w:line="240" w:lineRule="auto"/>
              <w:jc w:val="left"/>
              <w:rPr>
                <w:rFonts w:cs="Arial"/>
                <w:sz w:val="20"/>
                <w:szCs w:val="20"/>
              </w:rPr>
            </w:pPr>
            <w:r w:rsidRPr="00335764">
              <w:rPr>
                <w:rFonts w:cs="Arial"/>
                <w:sz w:val="20"/>
                <w:szCs w:val="20"/>
              </w:rPr>
              <w:t>50%</w:t>
            </w:r>
          </w:p>
        </w:tc>
      </w:tr>
      <w:tr w:rsidR="00BE369C" w:rsidRPr="00335764" w:rsidTr="00B76AB3">
        <w:tc>
          <w:tcPr>
            <w:tcW w:w="2592" w:type="pct"/>
            <w:shd w:val="clear" w:color="auto" w:fill="FFFFFF" w:themeFill="background1"/>
          </w:tcPr>
          <w:p w:rsidR="00BE369C" w:rsidRPr="00335764" w:rsidRDefault="00BE369C" w:rsidP="00335764">
            <w:pPr>
              <w:spacing w:line="240" w:lineRule="auto"/>
              <w:jc w:val="left"/>
              <w:rPr>
                <w:rFonts w:cs="Arial"/>
                <w:sz w:val="20"/>
                <w:szCs w:val="20"/>
              </w:rPr>
            </w:pPr>
            <w:r w:rsidRPr="00335764">
              <w:rPr>
                <w:rFonts w:cs="Arial"/>
                <w:sz w:val="20"/>
                <w:szCs w:val="20"/>
              </w:rPr>
              <w:t>Number of Guidance Notes on Direct Marketing developed and approved.</w:t>
            </w:r>
          </w:p>
        </w:tc>
        <w:tc>
          <w:tcPr>
            <w:tcW w:w="2408" w:type="pct"/>
            <w:shd w:val="clear" w:color="auto" w:fill="FFFFFF" w:themeFill="background1"/>
          </w:tcPr>
          <w:p w:rsidR="00BE369C" w:rsidRPr="00335764" w:rsidRDefault="00BE369C" w:rsidP="00335764">
            <w:pPr>
              <w:spacing w:line="240" w:lineRule="auto"/>
              <w:jc w:val="left"/>
              <w:rPr>
                <w:rFonts w:cs="Arial"/>
                <w:sz w:val="20"/>
                <w:szCs w:val="20"/>
              </w:rPr>
            </w:pPr>
            <w:r w:rsidRPr="00335764">
              <w:rPr>
                <w:rFonts w:cs="Arial"/>
                <w:sz w:val="20"/>
                <w:szCs w:val="20"/>
              </w:rPr>
              <w:t>1</w:t>
            </w:r>
          </w:p>
        </w:tc>
      </w:tr>
    </w:tbl>
    <w:p w:rsidR="004A1641" w:rsidRPr="00335764" w:rsidRDefault="004A1641" w:rsidP="00335764">
      <w:pPr>
        <w:pStyle w:val="ListParagraph"/>
        <w:spacing w:line="240" w:lineRule="auto"/>
        <w:jc w:val="left"/>
        <w:rPr>
          <w:rFonts w:cs="Arial"/>
          <w:sz w:val="20"/>
          <w:szCs w:val="20"/>
        </w:rPr>
      </w:pPr>
    </w:p>
    <w:p w:rsidR="00452B48" w:rsidRPr="00335764" w:rsidRDefault="00452B48"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 xml:space="preserve">The </w:t>
      </w:r>
      <w:r w:rsidRPr="00335764">
        <w:rPr>
          <w:rFonts w:cs="Arial"/>
          <w:i/>
          <w:sz w:val="20"/>
          <w:szCs w:val="20"/>
        </w:rPr>
        <w:t>Promotion of Access to Information</w:t>
      </w:r>
      <w:r w:rsidRPr="00335764">
        <w:rPr>
          <w:rFonts w:cs="Arial"/>
          <w:sz w:val="20"/>
          <w:szCs w:val="20"/>
        </w:rPr>
        <w:t xml:space="preserve"> programme seeks to ensure the effective promotion, protection, </w:t>
      </w:r>
      <w:r w:rsidR="00261D2C" w:rsidRPr="00335764">
        <w:rPr>
          <w:rFonts w:cs="Arial"/>
          <w:sz w:val="20"/>
          <w:szCs w:val="20"/>
        </w:rPr>
        <w:t>monitoring,</w:t>
      </w:r>
      <w:r w:rsidRPr="00335764">
        <w:rPr>
          <w:rFonts w:cs="Arial"/>
          <w:sz w:val="20"/>
          <w:szCs w:val="20"/>
        </w:rPr>
        <w:t xml:space="preserve"> and implementation of the constitutional right of access to any information held by the State and any information that is held by another person and that is required for the exercise or protection of any rights. It has two subprogrammes: </w:t>
      </w:r>
      <w:r w:rsidR="00B76AB3" w:rsidRPr="00335764">
        <w:rPr>
          <w:rFonts w:cs="Arial"/>
          <w:sz w:val="20"/>
          <w:szCs w:val="20"/>
        </w:rPr>
        <w:t>‘</w:t>
      </w:r>
      <w:r w:rsidRPr="00335764">
        <w:rPr>
          <w:rFonts w:cs="Arial"/>
          <w:sz w:val="20"/>
          <w:szCs w:val="20"/>
        </w:rPr>
        <w:t>Compliance and Monitoring</w:t>
      </w:r>
      <w:r w:rsidR="00B76AB3" w:rsidRPr="00335764">
        <w:rPr>
          <w:rFonts w:cs="Arial"/>
          <w:sz w:val="20"/>
          <w:szCs w:val="20"/>
        </w:rPr>
        <w:t xml:space="preserve">’ </w:t>
      </w:r>
      <w:r w:rsidRPr="00335764">
        <w:rPr>
          <w:rFonts w:cs="Arial"/>
          <w:sz w:val="20"/>
          <w:szCs w:val="20"/>
        </w:rPr>
        <w:t xml:space="preserve">and </w:t>
      </w:r>
      <w:r w:rsidR="00B76AB3" w:rsidRPr="00335764">
        <w:rPr>
          <w:rFonts w:cs="Arial"/>
          <w:sz w:val="20"/>
          <w:szCs w:val="20"/>
        </w:rPr>
        <w:t>‘</w:t>
      </w:r>
      <w:r w:rsidRPr="00335764">
        <w:rPr>
          <w:rFonts w:cs="Arial"/>
          <w:sz w:val="20"/>
          <w:szCs w:val="20"/>
        </w:rPr>
        <w:t>Complaints and Investigation</w:t>
      </w:r>
      <w:r w:rsidR="00B76AB3" w:rsidRPr="00335764">
        <w:rPr>
          <w:rFonts w:cs="Arial"/>
          <w:sz w:val="20"/>
          <w:szCs w:val="20"/>
        </w:rPr>
        <w:t>s’.</w:t>
      </w:r>
    </w:p>
    <w:p w:rsidR="00452B48" w:rsidRPr="00335764" w:rsidRDefault="00452B48" w:rsidP="00335764">
      <w:pPr>
        <w:spacing w:line="240" w:lineRule="auto"/>
        <w:jc w:val="left"/>
        <w:rPr>
          <w:rFonts w:cs="Arial"/>
          <w:sz w:val="20"/>
          <w:szCs w:val="20"/>
        </w:rPr>
      </w:pPr>
    </w:p>
    <w:p w:rsidR="0007467D" w:rsidRPr="00335764" w:rsidRDefault="00121B7A" w:rsidP="00335764">
      <w:pPr>
        <w:numPr>
          <w:ilvl w:val="1"/>
          <w:numId w:val="1"/>
        </w:numPr>
        <w:autoSpaceDE w:val="0"/>
        <w:autoSpaceDN w:val="0"/>
        <w:adjustRightInd w:val="0"/>
        <w:spacing w:line="240" w:lineRule="auto"/>
        <w:ind w:left="851" w:hanging="851"/>
        <w:jc w:val="left"/>
        <w:rPr>
          <w:rFonts w:cs="Arial"/>
          <w:sz w:val="20"/>
          <w:szCs w:val="20"/>
          <w:lang w:val="en-ZA"/>
        </w:rPr>
      </w:pPr>
      <w:r w:rsidRPr="00335764">
        <w:rPr>
          <w:rFonts w:cs="Arial"/>
          <w:sz w:val="20"/>
          <w:szCs w:val="20"/>
        </w:rPr>
        <w:t>Under this programme, t</w:t>
      </w:r>
      <w:r w:rsidR="00452B48" w:rsidRPr="00335764">
        <w:rPr>
          <w:rFonts w:cs="Arial"/>
          <w:sz w:val="20"/>
          <w:szCs w:val="20"/>
        </w:rPr>
        <w:t>he following indicator</w:t>
      </w:r>
      <w:r w:rsidR="0007467D" w:rsidRPr="00335764">
        <w:rPr>
          <w:rFonts w:cs="Arial"/>
          <w:sz w:val="20"/>
          <w:szCs w:val="20"/>
        </w:rPr>
        <w:t xml:space="preserve"> was</w:t>
      </w:r>
      <w:r w:rsidR="00452B48" w:rsidRPr="00335764">
        <w:rPr>
          <w:rFonts w:cs="Arial"/>
          <w:sz w:val="20"/>
          <w:szCs w:val="20"/>
        </w:rPr>
        <w:t xml:space="preserve"> removed:</w:t>
      </w:r>
      <w:r w:rsidR="00CD1D51" w:rsidRPr="00335764">
        <w:rPr>
          <w:rFonts w:cs="Arial"/>
          <w:sz w:val="20"/>
          <w:szCs w:val="20"/>
        </w:rPr>
        <w:t xml:space="preserve"> ‘</w:t>
      </w:r>
      <w:r w:rsidR="0007467D" w:rsidRPr="00335764">
        <w:rPr>
          <w:rFonts w:cs="Arial"/>
          <w:sz w:val="20"/>
          <w:szCs w:val="20"/>
          <w:lang w:val="en-ZA"/>
        </w:rPr>
        <w:t>Approved and implemented the rules of procedure relating to the manner in which any POPIA matters or complaints must be referred and handled by the enforcement committee</w:t>
      </w:r>
      <w:r w:rsidR="00CD1D51" w:rsidRPr="00335764">
        <w:rPr>
          <w:rFonts w:cs="Arial"/>
          <w:sz w:val="20"/>
          <w:szCs w:val="20"/>
          <w:lang w:val="en-ZA"/>
        </w:rPr>
        <w:t>’</w:t>
      </w:r>
      <w:r w:rsidR="0007467D" w:rsidRPr="00335764">
        <w:rPr>
          <w:rFonts w:cs="Arial"/>
          <w:sz w:val="20"/>
          <w:szCs w:val="20"/>
          <w:lang w:val="en-ZA"/>
        </w:rPr>
        <w:t xml:space="preserve">. </w:t>
      </w:r>
    </w:p>
    <w:p w:rsidR="00452B48" w:rsidRPr="00335764" w:rsidRDefault="00452B48" w:rsidP="00335764">
      <w:pPr>
        <w:spacing w:line="240" w:lineRule="auto"/>
        <w:jc w:val="left"/>
        <w:rPr>
          <w:rFonts w:cs="Arial"/>
          <w:sz w:val="20"/>
          <w:szCs w:val="20"/>
        </w:rPr>
      </w:pPr>
    </w:p>
    <w:p w:rsidR="00452B48" w:rsidRPr="00335764" w:rsidRDefault="00452B48" w:rsidP="00335764">
      <w:pPr>
        <w:pStyle w:val="ListParagraph"/>
        <w:numPr>
          <w:ilvl w:val="2"/>
          <w:numId w:val="1"/>
        </w:numPr>
        <w:spacing w:line="240" w:lineRule="auto"/>
        <w:ind w:hanging="862"/>
        <w:jc w:val="left"/>
        <w:rPr>
          <w:rFonts w:cs="Arial"/>
          <w:sz w:val="20"/>
          <w:szCs w:val="20"/>
        </w:rPr>
      </w:pPr>
      <w:r w:rsidRPr="00335764">
        <w:rPr>
          <w:rFonts w:cs="Arial"/>
          <w:sz w:val="20"/>
          <w:szCs w:val="20"/>
        </w:rPr>
        <w:t>The 202</w:t>
      </w:r>
      <w:r w:rsidR="0007467D" w:rsidRPr="00335764">
        <w:rPr>
          <w:rFonts w:cs="Arial"/>
          <w:sz w:val="20"/>
          <w:szCs w:val="20"/>
        </w:rPr>
        <w:t>3/24</w:t>
      </w:r>
      <w:r w:rsidRPr="00335764">
        <w:rPr>
          <w:rFonts w:cs="Arial"/>
          <w:sz w:val="20"/>
          <w:szCs w:val="20"/>
        </w:rPr>
        <w:t xml:space="preserve"> APP introdu</w:t>
      </w:r>
      <w:r w:rsidR="0007467D" w:rsidRPr="00335764">
        <w:rPr>
          <w:rFonts w:cs="Arial"/>
          <w:sz w:val="20"/>
          <w:szCs w:val="20"/>
        </w:rPr>
        <w:t>ces the following new indicator</w:t>
      </w:r>
      <w:r w:rsidRPr="00335764">
        <w:rPr>
          <w:rFonts w:cs="Arial"/>
          <w:sz w:val="20"/>
          <w:szCs w:val="20"/>
        </w:rPr>
        <w:t>:</w:t>
      </w:r>
    </w:p>
    <w:tbl>
      <w:tblPr>
        <w:tblStyle w:val="TableGrid"/>
        <w:tblW w:w="5000" w:type="pct"/>
        <w:shd w:val="clear" w:color="auto" w:fill="FFFFFF" w:themeFill="background1"/>
        <w:tblLook w:val="04A0"/>
      </w:tblPr>
      <w:tblGrid>
        <w:gridCol w:w="4689"/>
        <w:gridCol w:w="4939"/>
      </w:tblGrid>
      <w:tr w:rsidR="00452B48" w:rsidRPr="00335764" w:rsidTr="00B76AB3">
        <w:tc>
          <w:tcPr>
            <w:tcW w:w="2435" w:type="pct"/>
            <w:shd w:val="clear" w:color="auto" w:fill="D9D9D9" w:themeFill="background1" w:themeFillShade="D9"/>
          </w:tcPr>
          <w:p w:rsidR="00452B48" w:rsidRPr="00335764" w:rsidRDefault="00452B48" w:rsidP="00335764">
            <w:pPr>
              <w:spacing w:line="240" w:lineRule="auto"/>
              <w:jc w:val="left"/>
              <w:rPr>
                <w:rFonts w:cs="Arial"/>
                <w:b/>
                <w:sz w:val="20"/>
                <w:szCs w:val="20"/>
              </w:rPr>
            </w:pPr>
            <w:r w:rsidRPr="00335764">
              <w:rPr>
                <w:rFonts w:cs="Arial"/>
                <w:b/>
                <w:sz w:val="20"/>
                <w:szCs w:val="20"/>
              </w:rPr>
              <w:t>OUTPUT INDICATOR</w:t>
            </w:r>
          </w:p>
        </w:tc>
        <w:tc>
          <w:tcPr>
            <w:tcW w:w="2565" w:type="pct"/>
            <w:shd w:val="clear" w:color="auto" w:fill="D9D9D9" w:themeFill="background1" w:themeFillShade="D9"/>
          </w:tcPr>
          <w:p w:rsidR="00452B48" w:rsidRPr="00335764" w:rsidRDefault="00CD1D51" w:rsidP="00335764">
            <w:pPr>
              <w:spacing w:line="240" w:lineRule="auto"/>
              <w:jc w:val="left"/>
              <w:rPr>
                <w:rFonts w:cs="Arial"/>
                <w:b/>
                <w:sz w:val="20"/>
                <w:szCs w:val="20"/>
              </w:rPr>
            </w:pPr>
            <w:r w:rsidRPr="00335764">
              <w:rPr>
                <w:rFonts w:cs="Arial"/>
                <w:b/>
                <w:sz w:val="20"/>
                <w:szCs w:val="20"/>
              </w:rPr>
              <w:t xml:space="preserve">TARGET </w:t>
            </w:r>
            <w:r w:rsidR="00452B48" w:rsidRPr="00335764">
              <w:rPr>
                <w:rFonts w:cs="Arial"/>
                <w:b/>
                <w:sz w:val="20"/>
                <w:szCs w:val="20"/>
              </w:rPr>
              <w:t>202</w:t>
            </w:r>
            <w:r w:rsidR="0007467D" w:rsidRPr="00335764">
              <w:rPr>
                <w:rFonts w:cs="Arial"/>
                <w:b/>
                <w:sz w:val="20"/>
                <w:szCs w:val="20"/>
              </w:rPr>
              <w:t>3/24</w:t>
            </w:r>
          </w:p>
        </w:tc>
      </w:tr>
      <w:tr w:rsidR="0007467D" w:rsidRPr="00335764" w:rsidTr="00B76AB3">
        <w:tc>
          <w:tcPr>
            <w:tcW w:w="2435" w:type="pct"/>
            <w:shd w:val="clear" w:color="auto" w:fill="FFFFFF" w:themeFill="background1"/>
          </w:tcPr>
          <w:p w:rsidR="0007467D" w:rsidRPr="00335764" w:rsidRDefault="0007467D" w:rsidP="00335764">
            <w:pPr>
              <w:spacing w:line="240" w:lineRule="auto"/>
              <w:jc w:val="left"/>
              <w:rPr>
                <w:rFonts w:cs="Arial"/>
                <w:sz w:val="20"/>
                <w:szCs w:val="20"/>
                <w:lang w:val="en-ZA"/>
              </w:rPr>
            </w:pPr>
            <w:r w:rsidRPr="00335764">
              <w:rPr>
                <w:rFonts w:cs="Arial"/>
                <w:sz w:val="20"/>
                <w:szCs w:val="20"/>
                <w:lang w:val="en-ZA"/>
              </w:rPr>
              <w:t>Percentage of public and private bodies assessed upon request within the prescribed period</w:t>
            </w:r>
          </w:p>
        </w:tc>
        <w:tc>
          <w:tcPr>
            <w:tcW w:w="2565" w:type="pct"/>
            <w:shd w:val="clear" w:color="auto" w:fill="FFFFFF" w:themeFill="background1"/>
          </w:tcPr>
          <w:p w:rsidR="0007467D" w:rsidRPr="00335764" w:rsidRDefault="0007467D" w:rsidP="00335764">
            <w:pPr>
              <w:spacing w:line="240" w:lineRule="auto"/>
              <w:jc w:val="left"/>
              <w:rPr>
                <w:rFonts w:cs="Arial"/>
                <w:sz w:val="20"/>
                <w:szCs w:val="20"/>
                <w:lang w:val="en-ZA"/>
              </w:rPr>
            </w:pPr>
            <w:r w:rsidRPr="00335764">
              <w:rPr>
                <w:rFonts w:cs="Arial"/>
                <w:sz w:val="20"/>
                <w:szCs w:val="20"/>
                <w:lang w:val="en-ZA"/>
              </w:rPr>
              <w:t>50% of public and private bodies assessed upon request</w:t>
            </w:r>
          </w:p>
        </w:tc>
      </w:tr>
    </w:tbl>
    <w:p w:rsidR="00452B48" w:rsidRPr="00335764" w:rsidRDefault="00452B48" w:rsidP="00335764">
      <w:pPr>
        <w:autoSpaceDE w:val="0"/>
        <w:autoSpaceDN w:val="0"/>
        <w:adjustRightInd w:val="0"/>
        <w:spacing w:line="240" w:lineRule="auto"/>
        <w:ind w:left="851"/>
        <w:jc w:val="left"/>
        <w:rPr>
          <w:rFonts w:cs="Arial"/>
          <w:sz w:val="20"/>
          <w:szCs w:val="20"/>
        </w:rPr>
      </w:pPr>
    </w:p>
    <w:p w:rsidR="00452B48" w:rsidRPr="00335764" w:rsidRDefault="00452B48"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 xml:space="preserve">The </w:t>
      </w:r>
      <w:r w:rsidRPr="00335764">
        <w:rPr>
          <w:rFonts w:cs="Arial"/>
          <w:i/>
          <w:sz w:val="20"/>
          <w:szCs w:val="20"/>
        </w:rPr>
        <w:t>Education and Communication</w:t>
      </w:r>
      <w:r w:rsidRPr="00335764">
        <w:rPr>
          <w:rFonts w:cs="Arial"/>
          <w:sz w:val="20"/>
          <w:szCs w:val="20"/>
        </w:rPr>
        <w:t xml:space="preserve"> programme provides strategic direction for the provision of Education and Communication and has two sub</w:t>
      </w:r>
      <w:r w:rsidR="00B76AB3" w:rsidRPr="00335764">
        <w:rPr>
          <w:rFonts w:cs="Arial"/>
          <w:sz w:val="20"/>
          <w:szCs w:val="20"/>
        </w:rPr>
        <w:t>-</w:t>
      </w:r>
      <w:r w:rsidRPr="00335764">
        <w:rPr>
          <w:rFonts w:cs="Arial"/>
          <w:sz w:val="20"/>
          <w:szCs w:val="20"/>
        </w:rPr>
        <w:t>programmes ‘Education and Public Awareness’ and ‘Communication and Media Relations’.</w:t>
      </w:r>
    </w:p>
    <w:p w:rsidR="00B76AB3" w:rsidRPr="00335764" w:rsidRDefault="00B76AB3" w:rsidP="00335764">
      <w:pPr>
        <w:spacing w:line="240" w:lineRule="auto"/>
        <w:jc w:val="left"/>
        <w:rPr>
          <w:rFonts w:cs="Arial"/>
          <w:sz w:val="20"/>
          <w:szCs w:val="20"/>
        </w:rPr>
      </w:pPr>
    </w:p>
    <w:p w:rsidR="00B76AB3" w:rsidRPr="00335764" w:rsidRDefault="00121B7A" w:rsidP="00335764">
      <w:pPr>
        <w:pStyle w:val="ListParagraph"/>
        <w:numPr>
          <w:ilvl w:val="2"/>
          <w:numId w:val="1"/>
        </w:numPr>
        <w:spacing w:line="240" w:lineRule="auto"/>
        <w:ind w:hanging="862"/>
        <w:jc w:val="left"/>
        <w:rPr>
          <w:rFonts w:cs="Arial"/>
          <w:sz w:val="20"/>
          <w:szCs w:val="20"/>
        </w:rPr>
      </w:pPr>
      <w:r w:rsidRPr="00335764">
        <w:rPr>
          <w:rFonts w:cs="Arial"/>
          <w:sz w:val="20"/>
          <w:szCs w:val="20"/>
        </w:rPr>
        <w:t>Under this programme, t</w:t>
      </w:r>
      <w:r w:rsidR="00B76AB3" w:rsidRPr="00335764">
        <w:rPr>
          <w:rFonts w:cs="Arial"/>
          <w:sz w:val="20"/>
          <w:szCs w:val="20"/>
        </w:rPr>
        <w:t>he following indicators</w:t>
      </w:r>
      <w:r w:rsidR="0039447C" w:rsidRPr="00335764">
        <w:rPr>
          <w:rFonts w:cs="Arial"/>
          <w:sz w:val="20"/>
          <w:szCs w:val="20"/>
        </w:rPr>
        <w:t xml:space="preserve"> are removed</w:t>
      </w:r>
      <w:r w:rsidR="00B76AB3" w:rsidRPr="00335764">
        <w:rPr>
          <w:rFonts w:cs="Arial"/>
          <w:sz w:val="20"/>
          <w:szCs w:val="20"/>
        </w:rPr>
        <w:t>:</w:t>
      </w:r>
    </w:p>
    <w:p w:rsidR="0007467D" w:rsidRPr="00335764" w:rsidRDefault="0007467D"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Number of stakeholder engagement sessions conducted according to cluster.</w:t>
      </w:r>
    </w:p>
    <w:p w:rsidR="0007467D" w:rsidRPr="00335764" w:rsidRDefault="0007467D"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Number of research reports (on personal information and access to information) finalised.</w:t>
      </w:r>
    </w:p>
    <w:p w:rsidR="0007467D" w:rsidRPr="00335764" w:rsidRDefault="0007467D"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Number of international cooperation programmes conducted.</w:t>
      </w:r>
    </w:p>
    <w:p w:rsidR="00B76AB3" w:rsidRPr="00335764" w:rsidRDefault="00B76AB3" w:rsidP="00335764">
      <w:pPr>
        <w:spacing w:line="240" w:lineRule="auto"/>
        <w:jc w:val="left"/>
        <w:rPr>
          <w:rFonts w:cs="Arial"/>
          <w:sz w:val="20"/>
          <w:szCs w:val="20"/>
        </w:rPr>
      </w:pPr>
    </w:p>
    <w:p w:rsidR="00B76AB3" w:rsidRPr="00335764" w:rsidRDefault="00B76AB3"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 xml:space="preserve">The </w:t>
      </w:r>
      <w:r w:rsidRPr="00335764">
        <w:rPr>
          <w:rFonts w:cs="Arial"/>
          <w:i/>
          <w:sz w:val="20"/>
          <w:szCs w:val="20"/>
        </w:rPr>
        <w:t>Legal, Policy, Research and Information Technology Analysis</w:t>
      </w:r>
      <w:r w:rsidRPr="00335764">
        <w:rPr>
          <w:rFonts w:cs="Arial"/>
          <w:sz w:val="20"/>
          <w:szCs w:val="20"/>
        </w:rPr>
        <w:t xml:space="preserve"> programme provides for the rendering of legal services.</w:t>
      </w:r>
    </w:p>
    <w:p w:rsidR="00121B7A" w:rsidRPr="00335764" w:rsidRDefault="00121B7A" w:rsidP="00335764">
      <w:pPr>
        <w:autoSpaceDE w:val="0"/>
        <w:autoSpaceDN w:val="0"/>
        <w:adjustRightInd w:val="0"/>
        <w:spacing w:line="240" w:lineRule="auto"/>
        <w:ind w:left="851"/>
        <w:jc w:val="left"/>
        <w:rPr>
          <w:rFonts w:cs="Arial"/>
          <w:sz w:val="20"/>
          <w:szCs w:val="20"/>
        </w:rPr>
      </w:pPr>
    </w:p>
    <w:p w:rsidR="00B76AB3" w:rsidRPr="00335764" w:rsidRDefault="00121B7A" w:rsidP="00335764">
      <w:pPr>
        <w:pStyle w:val="ListParagraph"/>
        <w:numPr>
          <w:ilvl w:val="2"/>
          <w:numId w:val="1"/>
        </w:numPr>
        <w:spacing w:line="240" w:lineRule="auto"/>
        <w:ind w:hanging="862"/>
        <w:jc w:val="left"/>
        <w:rPr>
          <w:rFonts w:cs="Arial"/>
          <w:sz w:val="20"/>
          <w:szCs w:val="20"/>
        </w:rPr>
      </w:pPr>
      <w:r w:rsidRPr="00335764">
        <w:rPr>
          <w:rFonts w:cs="Arial"/>
          <w:sz w:val="20"/>
          <w:szCs w:val="20"/>
        </w:rPr>
        <w:t>Under this programme, t</w:t>
      </w:r>
      <w:r w:rsidR="00B76AB3" w:rsidRPr="00335764">
        <w:rPr>
          <w:rFonts w:cs="Arial"/>
          <w:sz w:val="20"/>
          <w:szCs w:val="20"/>
        </w:rPr>
        <w:t>he following indicators</w:t>
      </w:r>
      <w:r w:rsidRPr="00335764">
        <w:rPr>
          <w:rFonts w:cs="Arial"/>
          <w:sz w:val="20"/>
          <w:szCs w:val="20"/>
        </w:rPr>
        <w:t xml:space="preserve"> are removed:</w:t>
      </w:r>
    </w:p>
    <w:p w:rsidR="0007467D" w:rsidRPr="00335764" w:rsidRDefault="0007467D"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Percentage of legal opinions rendered and finalised.</w:t>
      </w:r>
    </w:p>
    <w:p w:rsidR="0007467D" w:rsidRPr="00335764" w:rsidRDefault="0007467D"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Percentage of contracts vetted and drafted.</w:t>
      </w:r>
    </w:p>
    <w:p w:rsidR="0007467D" w:rsidRPr="00335764" w:rsidRDefault="0007467D"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Percentage of litigation matters successfully managed.</w:t>
      </w:r>
    </w:p>
    <w:p w:rsidR="0007467D" w:rsidRPr="00335764" w:rsidRDefault="0007467D" w:rsidP="00335764">
      <w:pPr>
        <w:pStyle w:val="ListParagraph"/>
        <w:autoSpaceDE w:val="0"/>
        <w:autoSpaceDN w:val="0"/>
        <w:adjustRightInd w:val="0"/>
        <w:spacing w:line="240" w:lineRule="auto"/>
        <w:jc w:val="left"/>
        <w:rPr>
          <w:rFonts w:cs="Arial"/>
          <w:color w:val="auto"/>
          <w:sz w:val="20"/>
          <w:szCs w:val="20"/>
        </w:rPr>
      </w:pPr>
    </w:p>
    <w:p w:rsidR="00B76AB3" w:rsidRPr="00335764" w:rsidRDefault="00121B7A" w:rsidP="00335764">
      <w:pPr>
        <w:pStyle w:val="ListParagraph"/>
        <w:numPr>
          <w:ilvl w:val="2"/>
          <w:numId w:val="1"/>
        </w:numPr>
        <w:spacing w:line="240" w:lineRule="auto"/>
        <w:ind w:hanging="862"/>
        <w:jc w:val="left"/>
        <w:rPr>
          <w:rFonts w:cs="Arial"/>
          <w:sz w:val="20"/>
          <w:szCs w:val="20"/>
        </w:rPr>
      </w:pPr>
      <w:r w:rsidRPr="00335764">
        <w:rPr>
          <w:rFonts w:cs="Arial"/>
          <w:sz w:val="20"/>
          <w:szCs w:val="20"/>
        </w:rPr>
        <w:lastRenderedPageBreak/>
        <w:t>T</w:t>
      </w:r>
      <w:r w:rsidR="00B76AB3" w:rsidRPr="00335764">
        <w:rPr>
          <w:rFonts w:cs="Arial"/>
          <w:sz w:val="20"/>
          <w:szCs w:val="20"/>
        </w:rPr>
        <w:t>he following new indicator</w:t>
      </w:r>
      <w:r w:rsidR="00CD1D51" w:rsidRPr="00335764">
        <w:rPr>
          <w:rFonts w:cs="Arial"/>
          <w:sz w:val="20"/>
          <w:szCs w:val="20"/>
        </w:rPr>
        <w:t xml:space="preserve"> is</w:t>
      </w:r>
      <w:r w:rsidR="00B76AB3" w:rsidRPr="00335764">
        <w:rPr>
          <w:rFonts w:cs="Arial"/>
          <w:sz w:val="20"/>
          <w:szCs w:val="20"/>
        </w:rPr>
        <w:t xml:space="preserve"> introduced:</w:t>
      </w:r>
    </w:p>
    <w:tbl>
      <w:tblPr>
        <w:tblStyle w:val="TableGrid"/>
        <w:tblW w:w="0" w:type="auto"/>
        <w:shd w:val="clear" w:color="auto" w:fill="FFFFFF" w:themeFill="background1"/>
        <w:tblLook w:val="04A0"/>
      </w:tblPr>
      <w:tblGrid>
        <w:gridCol w:w="4467"/>
        <w:gridCol w:w="5161"/>
      </w:tblGrid>
      <w:tr w:rsidR="00B76AB3" w:rsidRPr="00335764" w:rsidTr="0007467D">
        <w:tc>
          <w:tcPr>
            <w:tcW w:w="0" w:type="auto"/>
            <w:shd w:val="clear" w:color="auto" w:fill="D9D9D9" w:themeFill="background1" w:themeFillShade="D9"/>
          </w:tcPr>
          <w:p w:rsidR="00B76AB3" w:rsidRPr="00335764" w:rsidRDefault="00B76AB3" w:rsidP="00335764">
            <w:pPr>
              <w:spacing w:line="240" w:lineRule="auto"/>
              <w:jc w:val="left"/>
              <w:rPr>
                <w:rFonts w:cs="Arial"/>
                <w:b/>
                <w:sz w:val="20"/>
                <w:szCs w:val="20"/>
              </w:rPr>
            </w:pPr>
            <w:r w:rsidRPr="00335764">
              <w:rPr>
                <w:rFonts w:cs="Arial"/>
                <w:b/>
                <w:sz w:val="20"/>
                <w:szCs w:val="20"/>
              </w:rPr>
              <w:t>OUTPUT INDICATORS</w:t>
            </w:r>
          </w:p>
        </w:tc>
        <w:tc>
          <w:tcPr>
            <w:tcW w:w="0" w:type="auto"/>
            <w:shd w:val="clear" w:color="auto" w:fill="D9D9D9" w:themeFill="background1" w:themeFillShade="D9"/>
          </w:tcPr>
          <w:p w:rsidR="00B76AB3" w:rsidRPr="00335764" w:rsidRDefault="00B76AB3" w:rsidP="00335764">
            <w:pPr>
              <w:spacing w:line="240" w:lineRule="auto"/>
              <w:jc w:val="left"/>
              <w:rPr>
                <w:rFonts w:cs="Arial"/>
                <w:b/>
                <w:sz w:val="20"/>
                <w:szCs w:val="20"/>
              </w:rPr>
            </w:pPr>
            <w:r w:rsidRPr="00335764">
              <w:rPr>
                <w:rFonts w:cs="Arial"/>
                <w:b/>
                <w:sz w:val="20"/>
                <w:szCs w:val="20"/>
              </w:rPr>
              <w:t>TARGETS</w:t>
            </w:r>
          </w:p>
        </w:tc>
      </w:tr>
      <w:tr w:rsidR="0007467D" w:rsidRPr="00335764" w:rsidTr="0007467D">
        <w:tc>
          <w:tcPr>
            <w:tcW w:w="0" w:type="auto"/>
            <w:shd w:val="clear" w:color="auto" w:fill="FFFFFF" w:themeFill="background1"/>
          </w:tcPr>
          <w:p w:rsidR="0007467D" w:rsidRPr="00335764" w:rsidRDefault="0007467D" w:rsidP="00335764">
            <w:pPr>
              <w:spacing w:line="240" w:lineRule="auto"/>
              <w:jc w:val="left"/>
              <w:rPr>
                <w:rFonts w:cs="Arial"/>
                <w:sz w:val="20"/>
                <w:szCs w:val="20"/>
              </w:rPr>
            </w:pPr>
            <w:r w:rsidRPr="00335764">
              <w:rPr>
                <w:rFonts w:cs="Arial"/>
                <w:sz w:val="20"/>
                <w:szCs w:val="20"/>
              </w:rPr>
              <w:t xml:space="preserve">Rules concerning the application of section 32 (1)(b) and (f) of POPIA. </w:t>
            </w:r>
          </w:p>
        </w:tc>
        <w:tc>
          <w:tcPr>
            <w:tcW w:w="0" w:type="auto"/>
            <w:shd w:val="clear" w:color="auto" w:fill="FFFFFF" w:themeFill="background1"/>
          </w:tcPr>
          <w:p w:rsidR="0007467D" w:rsidRPr="00335764" w:rsidRDefault="0007467D" w:rsidP="00335764">
            <w:pPr>
              <w:autoSpaceDE w:val="0"/>
              <w:autoSpaceDN w:val="0"/>
              <w:adjustRightInd w:val="0"/>
              <w:spacing w:line="240" w:lineRule="auto"/>
              <w:jc w:val="left"/>
              <w:rPr>
                <w:rFonts w:cs="Arial"/>
                <w:sz w:val="20"/>
                <w:szCs w:val="20"/>
              </w:rPr>
            </w:pPr>
            <w:r w:rsidRPr="00335764">
              <w:rPr>
                <w:rFonts w:cs="Arial"/>
                <w:sz w:val="20"/>
                <w:szCs w:val="20"/>
              </w:rPr>
              <w:t>Draft Rules concerning the application of section 32 (1)(b) and (f) of POPIA approved.</w:t>
            </w:r>
          </w:p>
        </w:tc>
      </w:tr>
    </w:tbl>
    <w:p w:rsidR="00B76AB3" w:rsidRPr="00335764" w:rsidRDefault="00B76AB3" w:rsidP="00335764">
      <w:pPr>
        <w:spacing w:line="240" w:lineRule="auto"/>
        <w:jc w:val="left"/>
        <w:rPr>
          <w:rFonts w:cs="Arial"/>
          <w:sz w:val="20"/>
          <w:szCs w:val="20"/>
        </w:rPr>
      </w:pPr>
    </w:p>
    <w:p w:rsidR="00B76AB3" w:rsidRPr="00335764" w:rsidRDefault="00B76AB3"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 xml:space="preserve">The </w:t>
      </w:r>
      <w:r w:rsidRPr="00335764">
        <w:rPr>
          <w:rFonts w:cs="Arial"/>
          <w:i/>
          <w:sz w:val="20"/>
          <w:szCs w:val="20"/>
        </w:rPr>
        <w:t xml:space="preserve">Administration </w:t>
      </w:r>
      <w:r w:rsidRPr="00335764">
        <w:rPr>
          <w:rFonts w:cs="Arial"/>
          <w:sz w:val="20"/>
          <w:szCs w:val="20"/>
        </w:rPr>
        <w:t xml:space="preserve">programme provides effective and efficient leadership, corporate and financial support services to the Information Regulator. </w:t>
      </w:r>
      <w:r w:rsidR="0039447C" w:rsidRPr="00335764">
        <w:rPr>
          <w:rFonts w:cs="Arial"/>
          <w:sz w:val="20"/>
          <w:szCs w:val="20"/>
        </w:rPr>
        <w:t xml:space="preserve">The programme consists of the </w:t>
      </w:r>
      <w:r w:rsidRPr="00335764">
        <w:rPr>
          <w:rFonts w:cs="Arial"/>
          <w:sz w:val="20"/>
          <w:szCs w:val="20"/>
        </w:rPr>
        <w:t xml:space="preserve">Office of the Chief Executive </w:t>
      </w:r>
      <w:r w:rsidR="001E3C09" w:rsidRPr="00335764">
        <w:rPr>
          <w:rFonts w:cs="Arial"/>
          <w:sz w:val="20"/>
          <w:szCs w:val="20"/>
        </w:rPr>
        <w:t>Officer,</w:t>
      </w:r>
      <w:r w:rsidRPr="00335764">
        <w:rPr>
          <w:rFonts w:cs="Arial"/>
          <w:sz w:val="20"/>
          <w:szCs w:val="20"/>
        </w:rPr>
        <w:t xml:space="preserve"> Corporate Services and Finance</w:t>
      </w:r>
      <w:r w:rsidR="0039447C" w:rsidRPr="00335764">
        <w:rPr>
          <w:rFonts w:cs="Arial"/>
          <w:sz w:val="20"/>
          <w:szCs w:val="20"/>
        </w:rPr>
        <w:t xml:space="preserve"> sub-programmes.</w:t>
      </w:r>
    </w:p>
    <w:p w:rsidR="00B76AB3" w:rsidRPr="00335764" w:rsidRDefault="00B76AB3" w:rsidP="00335764">
      <w:pPr>
        <w:spacing w:line="240" w:lineRule="auto"/>
        <w:jc w:val="left"/>
        <w:rPr>
          <w:rFonts w:cs="Arial"/>
          <w:sz w:val="20"/>
          <w:szCs w:val="20"/>
        </w:rPr>
      </w:pPr>
    </w:p>
    <w:p w:rsidR="00B76AB3" w:rsidRPr="00335764" w:rsidRDefault="00121B7A" w:rsidP="00335764">
      <w:pPr>
        <w:pStyle w:val="ListParagraph"/>
        <w:numPr>
          <w:ilvl w:val="2"/>
          <w:numId w:val="1"/>
        </w:numPr>
        <w:spacing w:line="240" w:lineRule="auto"/>
        <w:ind w:hanging="862"/>
        <w:jc w:val="left"/>
        <w:rPr>
          <w:rFonts w:cs="Arial"/>
          <w:sz w:val="20"/>
          <w:szCs w:val="20"/>
        </w:rPr>
      </w:pPr>
      <w:r w:rsidRPr="00335764">
        <w:rPr>
          <w:rFonts w:cs="Arial"/>
          <w:sz w:val="20"/>
          <w:szCs w:val="20"/>
        </w:rPr>
        <w:t>In 202</w:t>
      </w:r>
      <w:r w:rsidR="0007467D" w:rsidRPr="00335764">
        <w:rPr>
          <w:rFonts w:cs="Arial"/>
          <w:sz w:val="20"/>
          <w:szCs w:val="20"/>
        </w:rPr>
        <w:t>3/24</w:t>
      </w:r>
      <w:r w:rsidRPr="00335764">
        <w:rPr>
          <w:rFonts w:cs="Arial"/>
          <w:sz w:val="20"/>
          <w:szCs w:val="20"/>
        </w:rPr>
        <w:t>, t</w:t>
      </w:r>
      <w:r w:rsidR="00B76AB3" w:rsidRPr="00335764">
        <w:rPr>
          <w:rFonts w:cs="Arial"/>
          <w:sz w:val="20"/>
          <w:szCs w:val="20"/>
        </w:rPr>
        <w:t>he following indicators are removed:</w:t>
      </w:r>
    </w:p>
    <w:p w:rsidR="0007467D" w:rsidRPr="00335764" w:rsidRDefault="0007467D"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Percentage implementation of the HR Plan achieved.</w:t>
      </w:r>
    </w:p>
    <w:p w:rsidR="0007467D" w:rsidRPr="00335764" w:rsidRDefault="0007467D"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Percentage implementation of ICT Plan.</w:t>
      </w:r>
    </w:p>
    <w:p w:rsidR="0007467D" w:rsidRPr="00335764" w:rsidRDefault="0007467D"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Number of activities in Records Management Plan implemented.</w:t>
      </w:r>
    </w:p>
    <w:p w:rsidR="0007467D" w:rsidRPr="00335764" w:rsidRDefault="0007467D" w:rsidP="00335764">
      <w:pPr>
        <w:pStyle w:val="ListParagraph"/>
        <w:numPr>
          <w:ilvl w:val="0"/>
          <w:numId w:val="6"/>
        </w:numPr>
        <w:autoSpaceDE w:val="0"/>
        <w:autoSpaceDN w:val="0"/>
        <w:adjustRightInd w:val="0"/>
        <w:spacing w:line="240" w:lineRule="auto"/>
        <w:ind w:left="1418" w:hanging="567"/>
        <w:jc w:val="left"/>
        <w:rPr>
          <w:rFonts w:cs="Arial"/>
          <w:color w:val="auto"/>
          <w:sz w:val="20"/>
          <w:szCs w:val="20"/>
        </w:rPr>
      </w:pPr>
      <w:r w:rsidRPr="00335764">
        <w:rPr>
          <w:rFonts w:cs="Arial"/>
          <w:color w:val="auto"/>
          <w:sz w:val="20"/>
          <w:szCs w:val="20"/>
        </w:rPr>
        <w:t>Facilities Management Plan approved.</w:t>
      </w:r>
    </w:p>
    <w:p w:rsidR="00B76AB3" w:rsidRPr="00335764" w:rsidRDefault="00B76AB3" w:rsidP="00335764">
      <w:pPr>
        <w:spacing w:line="240" w:lineRule="auto"/>
        <w:jc w:val="left"/>
        <w:rPr>
          <w:rFonts w:cs="Arial"/>
          <w:sz w:val="20"/>
          <w:szCs w:val="20"/>
        </w:rPr>
      </w:pPr>
    </w:p>
    <w:p w:rsidR="00B76AB3" w:rsidRPr="00335764" w:rsidRDefault="00121B7A" w:rsidP="00335764">
      <w:pPr>
        <w:pStyle w:val="ListParagraph"/>
        <w:numPr>
          <w:ilvl w:val="2"/>
          <w:numId w:val="1"/>
        </w:numPr>
        <w:spacing w:line="240" w:lineRule="auto"/>
        <w:ind w:hanging="862"/>
        <w:jc w:val="left"/>
        <w:rPr>
          <w:rFonts w:cs="Arial"/>
          <w:sz w:val="20"/>
          <w:szCs w:val="20"/>
        </w:rPr>
      </w:pPr>
      <w:r w:rsidRPr="00335764">
        <w:rPr>
          <w:rFonts w:cs="Arial"/>
          <w:sz w:val="20"/>
          <w:szCs w:val="20"/>
        </w:rPr>
        <w:t>In 202</w:t>
      </w:r>
      <w:r w:rsidR="0007467D" w:rsidRPr="00335764">
        <w:rPr>
          <w:rFonts w:cs="Arial"/>
          <w:sz w:val="20"/>
          <w:szCs w:val="20"/>
        </w:rPr>
        <w:t>3/24</w:t>
      </w:r>
      <w:r w:rsidRPr="00335764">
        <w:rPr>
          <w:rFonts w:cs="Arial"/>
          <w:sz w:val="20"/>
          <w:szCs w:val="20"/>
        </w:rPr>
        <w:t xml:space="preserve">, the </w:t>
      </w:r>
      <w:r w:rsidR="00B76AB3" w:rsidRPr="00335764">
        <w:rPr>
          <w:rFonts w:cs="Arial"/>
          <w:sz w:val="20"/>
          <w:szCs w:val="20"/>
        </w:rPr>
        <w:t>following new indicator</w:t>
      </w:r>
      <w:r w:rsidR="00CD1D51" w:rsidRPr="00335764">
        <w:rPr>
          <w:rFonts w:cs="Arial"/>
          <w:sz w:val="20"/>
          <w:szCs w:val="20"/>
        </w:rPr>
        <w:t xml:space="preserve"> is</w:t>
      </w:r>
      <w:r w:rsidRPr="00335764">
        <w:rPr>
          <w:rFonts w:cs="Arial"/>
          <w:sz w:val="20"/>
          <w:szCs w:val="20"/>
        </w:rPr>
        <w:t xml:space="preserve"> introduced:</w:t>
      </w:r>
    </w:p>
    <w:tbl>
      <w:tblPr>
        <w:tblStyle w:val="TableGrid"/>
        <w:tblW w:w="0" w:type="auto"/>
        <w:shd w:val="clear" w:color="auto" w:fill="FFFFFF" w:themeFill="background1"/>
        <w:tblLook w:val="04A0"/>
      </w:tblPr>
      <w:tblGrid>
        <w:gridCol w:w="4918"/>
        <w:gridCol w:w="4710"/>
      </w:tblGrid>
      <w:tr w:rsidR="00B76AB3" w:rsidRPr="00335764" w:rsidTr="0039447C">
        <w:tc>
          <w:tcPr>
            <w:tcW w:w="0" w:type="auto"/>
            <w:shd w:val="clear" w:color="auto" w:fill="D9D9D9" w:themeFill="background1" w:themeFillShade="D9"/>
          </w:tcPr>
          <w:p w:rsidR="00B76AB3" w:rsidRPr="00335764" w:rsidRDefault="00B76AB3" w:rsidP="00335764">
            <w:pPr>
              <w:spacing w:line="240" w:lineRule="auto"/>
              <w:jc w:val="left"/>
              <w:rPr>
                <w:rFonts w:cs="Arial"/>
                <w:b/>
                <w:sz w:val="20"/>
                <w:szCs w:val="20"/>
              </w:rPr>
            </w:pPr>
            <w:r w:rsidRPr="00335764">
              <w:rPr>
                <w:rFonts w:cs="Arial"/>
                <w:b/>
                <w:sz w:val="20"/>
                <w:szCs w:val="20"/>
              </w:rPr>
              <w:t>OUTPUT INDICATORS</w:t>
            </w:r>
          </w:p>
        </w:tc>
        <w:tc>
          <w:tcPr>
            <w:tcW w:w="0" w:type="auto"/>
            <w:shd w:val="clear" w:color="auto" w:fill="D9D9D9" w:themeFill="background1" w:themeFillShade="D9"/>
          </w:tcPr>
          <w:p w:rsidR="00B76AB3" w:rsidRPr="00335764" w:rsidRDefault="0007467D" w:rsidP="00335764">
            <w:pPr>
              <w:spacing w:line="240" w:lineRule="auto"/>
              <w:jc w:val="left"/>
              <w:rPr>
                <w:rFonts w:cs="Arial"/>
                <w:b/>
                <w:sz w:val="20"/>
                <w:szCs w:val="20"/>
              </w:rPr>
            </w:pPr>
            <w:r w:rsidRPr="00335764">
              <w:rPr>
                <w:rFonts w:cs="Arial"/>
                <w:b/>
                <w:sz w:val="20"/>
                <w:szCs w:val="20"/>
              </w:rPr>
              <w:t>2023/24</w:t>
            </w:r>
            <w:r w:rsidR="00B76AB3" w:rsidRPr="00335764">
              <w:rPr>
                <w:rFonts w:cs="Arial"/>
                <w:b/>
                <w:sz w:val="20"/>
                <w:szCs w:val="20"/>
              </w:rPr>
              <w:t xml:space="preserve"> TARGETS</w:t>
            </w:r>
          </w:p>
        </w:tc>
      </w:tr>
      <w:tr w:rsidR="0007467D" w:rsidRPr="00335764" w:rsidTr="0039447C">
        <w:tc>
          <w:tcPr>
            <w:tcW w:w="0" w:type="auto"/>
            <w:shd w:val="clear" w:color="auto" w:fill="FFFFFF" w:themeFill="background1"/>
          </w:tcPr>
          <w:p w:rsidR="0007467D" w:rsidRPr="00335764" w:rsidRDefault="0007467D" w:rsidP="00335764">
            <w:pPr>
              <w:spacing w:line="240" w:lineRule="auto"/>
              <w:jc w:val="left"/>
              <w:rPr>
                <w:rFonts w:cs="Arial"/>
                <w:sz w:val="20"/>
                <w:szCs w:val="20"/>
              </w:rPr>
            </w:pPr>
            <w:r w:rsidRPr="00335764">
              <w:rPr>
                <w:rFonts w:cs="Arial"/>
                <w:sz w:val="20"/>
                <w:szCs w:val="20"/>
              </w:rPr>
              <w:t>Percentage of recommendations and findings of the Enforcement Committee considered and finalised.</w:t>
            </w:r>
          </w:p>
        </w:tc>
        <w:tc>
          <w:tcPr>
            <w:tcW w:w="0" w:type="auto"/>
            <w:shd w:val="clear" w:color="auto" w:fill="FFFFFF" w:themeFill="background1"/>
          </w:tcPr>
          <w:p w:rsidR="0007467D" w:rsidRPr="00335764" w:rsidRDefault="0007467D" w:rsidP="00335764">
            <w:pPr>
              <w:spacing w:line="240" w:lineRule="auto"/>
              <w:jc w:val="left"/>
              <w:rPr>
                <w:rFonts w:cs="Arial"/>
                <w:sz w:val="20"/>
                <w:szCs w:val="20"/>
              </w:rPr>
            </w:pPr>
            <w:r w:rsidRPr="00335764">
              <w:rPr>
                <w:rFonts w:cs="Arial"/>
                <w:sz w:val="20"/>
                <w:szCs w:val="20"/>
              </w:rPr>
              <w:t>100% of recommendations and findings of the Enforcement Committee considered and finalised.</w:t>
            </w:r>
          </w:p>
        </w:tc>
      </w:tr>
    </w:tbl>
    <w:p w:rsidR="00B76AB3" w:rsidRPr="00335764" w:rsidRDefault="00B76AB3" w:rsidP="00335764">
      <w:pPr>
        <w:spacing w:line="240" w:lineRule="auto"/>
        <w:jc w:val="left"/>
        <w:rPr>
          <w:rFonts w:cs="Arial"/>
          <w:sz w:val="20"/>
          <w:szCs w:val="20"/>
        </w:rPr>
      </w:pPr>
    </w:p>
    <w:p w:rsidR="00920F4C" w:rsidRPr="00335764" w:rsidRDefault="00920F4C" w:rsidP="00335764">
      <w:pPr>
        <w:spacing w:line="240" w:lineRule="auto"/>
        <w:jc w:val="left"/>
        <w:rPr>
          <w:rFonts w:cs="Arial"/>
          <w:i/>
          <w:sz w:val="20"/>
          <w:szCs w:val="20"/>
        </w:rPr>
      </w:pPr>
      <w:r w:rsidRPr="00335764">
        <w:rPr>
          <w:rFonts w:cs="Arial"/>
          <w:i/>
          <w:sz w:val="20"/>
          <w:szCs w:val="20"/>
        </w:rPr>
        <w:t>Budget</w:t>
      </w:r>
    </w:p>
    <w:p w:rsidR="0069237C" w:rsidRPr="00335764" w:rsidRDefault="0069237C"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 xml:space="preserve">An amount of R109.3 million is allocated to the Information Regulator for 2023/24, which is a real increase of 3.57% from 2022/23. </w:t>
      </w:r>
    </w:p>
    <w:p w:rsidR="00C21A46" w:rsidRPr="00335764" w:rsidRDefault="00C21A46" w:rsidP="00335764">
      <w:pPr>
        <w:autoSpaceDE w:val="0"/>
        <w:autoSpaceDN w:val="0"/>
        <w:adjustRightInd w:val="0"/>
        <w:spacing w:line="240" w:lineRule="auto"/>
        <w:jc w:val="left"/>
        <w:rPr>
          <w:rFonts w:cs="Arial"/>
          <w:bCs/>
          <w:color w:val="auto"/>
          <w:sz w:val="20"/>
          <w:szCs w:val="20"/>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266"/>
        <w:gridCol w:w="981"/>
        <w:gridCol w:w="981"/>
        <w:gridCol w:w="981"/>
        <w:gridCol w:w="981"/>
        <w:gridCol w:w="2298"/>
      </w:tblGrid>
      <w:tr w:rsidR="0069237C" w:rsidRPr="00335764" w:rsidTr="00920F4C">
        <w:trPr>
          <w:cnfStyle w:val="100000000000"/>
          <w:trHeight w:val="765"/>
        </w:trPr>
        <w:tc>
          <w:tcPr>
            <w:cnfStyle w:val="001000000000"/>
            <w:tcW w:w="0" w:type="auto"/>
            <w:vMerge w:val="restart"/>
            <w:tcBorders>
              <w:top w:val="single" w:sz="4" w:space="0" w:color="auto"/>
              <w:left w:val="single" w:sz="4" w:space="0" w:color="auto"/>
              <w:right w:val="single" w:sz="4" w:space="0" w:color="auto"/>
            </w:tcBorders>
            <w:shd w:val="clear" w:color="auto" w:fill="D9D9D9" w:themeFill="background1" w:themeFillShade="D9"/>
            <w:noWrap/>
            <w:hideMark/>
          </w:tcPr>
          <w:p w:rsidR="0069237C" w:rsidRPr="00335764" w:rsidRDefault="0069237C" w:rsidP="00335764">
            <w:pPr>
              <w:spacing w:line="240" w:lineRule="auto"/>
              <w:jc w:val="left"/>
              <w:rPr>
                <w:rFonts w:eastAsia="Times New Roman" w:cs="Arial"/>
                <w:bCs w:val="0"/>
                <w:sz w:val="20"/>
                <w:szCs w:val="20"/>
              </w:rPr>
            </w:pPr>
            <w:r w:rsidRPr="00335764">
              <w:rPr>
                <w:rFonts w:eastAsia="Times New Roman" w:cs="Arial"/>
                <w:bCs w:val="0"/>
                <w:sz w:val="20"/>
                <w:szCs w:val="20"/>
              </w:rPr>
              <w:t>Programme</w:t>
            </w:r>
          </w:p>
          <w:p w:rsidR="0069237C" w:rsidRPr="00335764" w:rsidRDefault="0069237C" w:rsidP="00335764">
            <w:pPr>
              <w:spacing w:line="240" w:lineRule="auto"/>
              <w:jc w:val="left"/>
              <w:rPr>
                <w:rFonts w:eastAsia="Times New Roman" w:cs="Arial"/>
                <w:bCs w:val="0"/>
                <w:sz w:val="20"/>
                <w:szCs w:val="20"/>
              </w:rPr>
            </w:pPr>
          </w:p>
          <w:p w:rsidR="0069237C" w:rsidRPr="00335764" w:rsidRDefault="0069237C" w:rsidP="00335764">
            <w:pPr>
              <w:spacing w:line="240" w:lineRule="auto"/>
              <w:jc w:val="left"/>
              <w:rPr>
                <w:rFonts w:eastAsia="Times New Roman" w:cs="Arial"/>
                <w:bCs w:val="0"/>
                <w:sz w:val="20"/>
                <w:szCs w:val="20"/>
              </w:rPr>
            </w:pPr>
            <w:r w:rsidRPr="00335764">
              <w:rPr>
                <w:rFonts w:eastAsia="Times New Roman" w:cs="Arial"/>
                <w:bCs w:val="0"/>
                <w:sz w:val="20"/>
                <w:szCs w:val="20"/>
              </w:rPr>
              <w:t>R’millon</w:t>
            </w:r>
          </w:p>
        </w:tc>
        <w:tc>
          <w:tcPr>
            <w:tcW w:w="0" w:type="auto"/>
            <w:gridSpan w:val="4"/>
            <w:tcBorders>
              <w:top w:val="single" w:sz="4" w:space="0" w:color="auto"/>
              <w:left w:val="single" w:sz="4" w:space="0" w:color="auto"/>
              <w:right w:val="single" w:sz="4" w:space="0" w:color="auto"/>
            </w:tcBorders>
            <w:shd w:val="clear" w:color="auto" w:fill="D9D9D9" w:themeFill="background1" w:themeFillShade="D9"/>
            <w:hideMark/>
          </w:tcPr>
          <w:p w:rsidR="0069237C" w:rsidRPr="00335764" w:rsidRDefault="0069237C" w:rsidP="00335764">
            <w:pPr>
              <w:spacing w:line="240" w:lineRule="auto"/>
              <w:jc w:val="left"/>
              <w:cnfStyle w:val="100000000000"/>
              <w:rPr>
                <w:rFonts w:eastAsia="Times New Roman" w:cs="Arial"/>
                <w:bCs w:val="0"/>
                <w:sz w:val="20"/>
                <w:szCs w:val="20"/>
              </w:rPr>
            </w:pPr>
            <w:r w:rsidRPr="00335764">
              <w:rPr>
                <w:rFonts w:eastAsia="Times New Roman" w:cs="Arial"/>
                <w:bCs w:val="0"/>
                <w:sz w:val="20"/>
                <w:szCs w:val="20"/>
              </w:rPr>
              <w:t>Budget</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hideMark/>
          </w:tcPr>
          <w:p w:rsidR="0069237C" w:rsidRPr="00335764" w:rsidRDefault="0069237C" w:rsidP="00335764">
            <w:pPr>
              <w:spacing w:line="240" w:lineRule="auto"/>
              <w:jc w:val="left"/>
              <w:cnfStyle w:val="100000000000"/>
              <w:rPr>
                <w:rFonts w:eastAsia="Times New Roman" w:cs="Arial"/>
                <w:bCs w:val="0"/>
                <w:sz w:val="20"/>
                <w:szCs w:val="20"/>
              </w:rPr>
            </w:pPr>
            <w:r w:rsidRPr="00335764">
              <w:rPr>
                <w:rFonts w:eastAsia="Times New Roman" w:cs="Arial"/>
                <w:bCs w:val="0"/>
                <w:sz w:val="20"/>
                <w:szCs w:val="20"/>
              </w:rPr>
              <w:t>Real Percent change</w:t>
            </w:r>
          </w:p>
          <w:p w:rsidR="0069237C" w:rsidRPr="00335764" w:rsidRDefault="0069237C" w:rsidP="00335764">
            <w:pPr>
              <w:spacing w:line="240" w:lineRule="auto"/>
              <w:jc w:val="left"/>
              <w:cnfStyle w:val="100000000000"/>
              <w:rPr>
                <w:rFonts w:eastAsia="Times New Roman" w:cs="Arial"/>
                <w:bCs w:val="0"/>
                <w:sz w:val="20"/>
                <w:szCs w:val="20"/>
              </w:rPr>
            </w:pPr>
          </w:p>
        </w:tc>
      </w:tr>
      <w:tr w:rsidR="0069237C" w:rsidRPr="00335764" w:rsidTr="00920F4C">
        <w:trPr>
          <w:cnfStyle w:val="000000100000"/>
          <w:trHeight w:val="264"/>
        </w:trPr>
        <w:tc>
          <w:tcPr>
            <w:cnfStyle w:val="001000000000"/>
            <w:tcW w:w="0" w:type="auto"/>
            <w:vMerge/>
            <w:tcBorders>
              <w:left w:val="single" w:sz="4" w:space="0" w:color="auto"/>
            </w:tcBorders>
            <w:shd w:val="clear" w:color="auto" w:fill="D9D9D9" w:themeFill="background1" w:themeFillShade="D9"/>
            <w:noWrap/>
            <w:hideMark/>
          </w:tcPr>
          <w:p w:rsidR="0069237C" w:rsidRPr="00335764" w:rsidRDefault="0069237C" w:rsidP="00335764">
            <w:pPr>
              <w:spacing w:line="240" w:lineRule="auto"/>
              <w:jc w:val="left"/>
              <w:rPr>
                <w:rFonts w:eastAsia="Times New Roman" w:cs="Arial"/>
                <w:bCs w:val="0"/>
                <w:sz w:val="20"/>
                <w:szCs w:val="20"/>
              </w:rPr>
            </w:pPr>
          </w:p>
        </w:tc>
        <w:tc>
          <w:tcPr>
            <w:tcW w:w="0" w:type="auto"/>
            <w:shd w:val="clear" w:color="auto" w:fill="D9D9D9" w:themeFill="background1" w:themeFillShade="D9"/>
            <w:noWrap/>
            <w:hideMark/>
          </w:tcPr>
          <w:p w:rsidR="0069237C" w:rsidRPr="00335764" w:rsidRDefault="0069237C" w:rsidP="00335764">
            <w:pPr>
              <w:spacing w:line="240" w:lineRule="auto"/>
              <w:jc w:val="left"/>
              <w:cnfStyle w:val="000000100000"/>
              <w:rPr>
                <w:rFonts w:eastAsia="Times New Roman" w:cs="Arial"/>
                <w:b/>
                <w:sz w:val="20"/>
                <w:szCs w:val="20"/>
              </w:rPr>
            </w:pPr>
            <w:r w:rsidRPr="00335764">
              <w:rPr>
                <w:rFonts w:eastAsia="Times New Roman" w:cs="Arial"/>
                <w:b/>
                <w:sz w:val="20"/>
                <w:szCs w:val="20"/>
              </w:rPr>
              <w:t>2022/23</w:t>
            </w:r>
          </w:p>
        </w:tc>
        <w:tc>
          <w:tcPr>
            <w:tcW w:w="0" w:type="auto"/>
            <w:shd w:val="clear" w:color="auto" w:fill="D9D9D9" w:themeFill="background1" w:themeFillShade="D9"/>
            <w:noWrap/>
            <w:hideMark/>
          </w:tcPr>
          <w:p w:rsidR="0069237C" w:rsidRPr="00335764" w:rsidRDefault="0069237C" w:rsidP="00335764">
            <w:pPr>
              <w:spacing w:line="240" w:lineRule="auto"/>
              <w:jc w:val="left"/>
              <w:cnfStyle w:val="000000100000"/>
              <w:rPr>
                <w:rFonts w:eastAsia="Times New Roman" w:cs="Arial"/>
                <w:b/>
                <w:sz w:val="20"/>
                <w:szCs w:val="20"/>
              </w:rPr>
            </w:pPr>
            <w:r w:rsidRPr="00335764">
              <w:rPr>
                <w:rFonts w:eastAsia="Times New Roman" w:cs="Arial"/>
                <w:b/>
                <w:sz w:val="20"/>
                <w:szCs w:val="20"/>
              </w:rPr>
              <w:t>2023/24</w:t>
            </w:r>
          </w:p>
        </w:tc>
        <w:tc>
          <w:tcPr>
            <w:tcW w:w="0" w:type="auto"/>
            <w:shd w:val="clear" w:color="auto" w:fill="D9D9D9" w:themeFill="background1" w:themeFillShade="D9"/>
          </w:tcPr>
          <w:p w:rsidR="0069237C" w:rsidRPr="00335764" w:rsidRDefault="0069237C" w:rsidP="00335764">
            <w:pPr>
              <w:spacing w:line="240" w:lineRule="auto"/>
              <w:jc w:val="left"/>
              <w:cnfStyle w:val="000000100000"/>
              <w:rPr>
                <w:rFonts w:eastAsia="Times New Roman" w:cs="Arial"/>
                <w:b/>
                <w:sz w:val="20"/>
                <w:szCs w:val="20"/>
              </w:rPr>
            </w:pPr>
            <w:r w:rsidRPr="00335764">
              <w:rPr>
                <w:rFonts w:eastAsia="Times New Roman" w:cs="Arial"/>
                <w:b/>
                <w:sz w:val="20"/>
                <w:szCs w:val="20"/>
              </w:rPr>
              <w:t>2024/25</w:t>
            </w:r>
          </w:p>
        </w:tc>
        <w:tc>
          <w:tcPr>
            <w:tcW w:w="0" w:type="auto"/>
            <w:shd w:val="clear" w:color="auto" w:fill="D9D9D9" w:themeFill="background1" w:themeFillShade="D9"/>
          </w:tcPr>
          <w:p w:rsidR="0069237C" w:rsidRPr="00335764" w:rsidRDefault="0069237C" w:rsidP="00335764">
            <w:pPr>
              <w:spacing w:line="240" w:lineRule="auto"/>
              <w:jc w:val="left"/>
              <w:cnfStyle w:val="000000100000"/>
              <w:rPr>
                <w:rFonts w:eastAsia="Times New Roman" w:cs="Arial"/>
                <w:b/>
                <w:sz w:val="20"/>
                <w:szCs w:val="20"/>
              </w:rPr>
            </w:pPr>
            <w:r w:rsidRPr="00335764">
              <w:rPr>
                <w:rFonts w:eastAsia="Times New Roman" w:cs="Arial"/>
                <w:b/>
                <w:sz w:val="20"/>
                <w:szCs w:val="20"/>
              </w:rPr>
              <w:t>2025/26</w:t>
            </w:r>
          </w:p>
        </w:tc>
        <w:tc>
          <w:tcPr>
            <w:tcW w:w="0" w:type="auto"/>
            <w:vMerge/>
            <w:shd w:val="clear" w:color="auto" w:fill="D9D9D9" w:themeFill="background1" w:themeFillShade="D9"/>
            <w:hideMark/>
          </w:tcPr>
          <w:p w:rsidR="0069237C" w:rsidRPr="00335764" w:rsidRDefault="0069237C" w:rsidP="00335764">
            <w:pPr>
              <w:spacing w:line="240" w:lineRule="auto"/>
              <w:jc w:val="left"/>
              <w:cnfStyle w:val="000000100000"/>
              <w:rPr>
                <w:rFonts w:eastAsia="Times New Roman" w:cs="Arial"/>
                <w:b/>
                <w:sz w:val="20"/>
                <w:szCs w:val="20"/>
              </w:rPr>
            </w:pPr>
          </w:p>
        </w:tc>
      </w:tr>
      <w:tr w:rsidR="0069237C" w:rsidRPr="00335764" w:rsidTr="008B5A4F">
        <w:trPr>
          <w:trHeight w:val="480"/>
        </w:trPr>
        <w:tc>
          <w:tcPr>
            <w:cnfStyle w:val="001000000000"/>
            <w:tcW w:w="0" w:type="auto"/>
            <w:tcBorders>
              <w:left w:val="single" w:sz="4" w:space="0" w:color="auto"/>
              <w:bottom w:val="single" w:sz="4" w:space="0" w:color="auto"/>
            </w:tcBorders>
            <w:shd w:val="clear" w:color="auto" w:fill="FFFFFF" w:themeFill="background1"/>
            <w:noWrap/>
            <w:hideMark/>
          </w:tcPr>
          <w:p w:rsidR="0069237C" w:rsidRPr="00335764" w:rsidRDefault="0069237C" w:rsidP="00335764">
            <w:pPr>
              <w:spacing w:line="240" w:lineRule="auto"/>
              <w:jc w:val="left"/>
              <w:rPr>
                <w:rFonts w:eastAsia="Times New Roman" w:cs="Arial"/>
                <w:b w:val="0"/>
                <w:bCs w:val="0"/>
                <w:sz w:val="20"/>
                <w:szCs w:val="20"/>
              </w:rPr>
            </w:pPr>
            <w:r w:rsidRPr="00335764">
              <w:rPr>
                <w:rFonts w:eastAsia="Times New Roman" w:cs="Arial"/>
                <w:b w:val="0"/>
                <w:bCs w:val="0"/>
                <w:sz w:val="20"/>
                <w:szCs w:val="20"/>
              </w:rPr>
              <w:t>Information Regulator</w:t>
            </w:r>
          </w:p>
        </w:tc>
        <w:tc>
          <w:tcPr>
            <w:tcW w:w="0" w:type="auto"/>
            <w:shd w:val="clear" w:color="auto" w:fill="FFFFFF" w:themeFill="background1"/>
            <w:noWrap/>
            <w:hideMark/>
          </w:tcPr>
          <w:p w:rsidR="0069237C" w:rsidRPr="00335764" w:rsidRDefault="0069237C" w:rsidP="00335764">
            <w:pPr>
              <w:spacing w:line="240" w:lineRule="auto"/>
              <w:jc w:val="left"/>
              <w:cnfStyle w:val="000000000000"/>
              <w:rPr>
                <w:rFonts w:eastAsia="Times New Roman" w:cs="Arial"/>
                <w:sz w:val="20"/>
                <w:szCs w:val="20"/>
              </w:rPr>
            </w:pPr>
            <w:r w:rsidRPr="00335764">
              <w:rPr>
                <w:rFonts w:eastAsia="Times New Roman" w:cs="Arial"/>
                <w:sz w:val="20"/>
                <w:szCs w:val="20"/>
              </w:rPr>
              <w:t>100.6</w:t>
            </w:r>
          </w:p>
        </w:tc>
        <w:tc>
          <w:tcPr>
            <w:tcW w:w="0" w:type="auto"/>
            <w:shd w:val="clear" w:color="auto" w:fill="D9D9D9" w:themeFill="background1" w:themeFillShade="D9"/>
            <w:noWrap/>
            <w:hideMark/>
          </w:tcPr>
          <w:p w:rsidR="0069237C" w:rsidRPr="00335764" w:rsidRDefault="0069237C" w:rsidP="00335764">
            <w:pPr>
              <w:spacing w:line="240" w:lineRule="auto"/>
              <w:jc w:val="left"/>
              <w:cnfStyle w:val="000000000000"/>
              <w:rPr>
                <w:rFonts w:eastAsia="Times New Roman" w:cs="Arial"/>
                <w:sz w:val="20"/>
                <w:szCs w:val="20"/>
              </w:rPr>
            </w:pPr>
            <w:r w:rsidRPr="00335764">
              <w:rPr>
                <w:rFonts w:eastAsia="Times New Roman" w:cs="Arial"/>
                <w:sz w:val="20"/>
                <w:szCs w:val="20"/>
              </w:rPr>
              <w:t>109.3</w:t>
            </w:r>
          </w:p>
        </w:tc>
        <w:tc>
          <w:tcPr>
            <w:tcW w:w="0" w:type="auto"/>
            <w:shd w:val="clear" w:color="auto" w:fill="FFFFFF" w:themeFill="background1"/>
          </w:tcPr>
          <w:p w:rsidR="0069237C" w:rsidRPr="00335764" w:rsidRDefault="0069237C" w:rsidP="00335764">
            <w:pPr>
              <w:spacing w:line="240" w:lineRule="auto"/>
              <w:jc w:val="left"/>
              <w:cnfStyle w:val="000000000000"/>
              <w:rPr>
                <w:rFonts w:eastAsia="Times New Roman" w:cs="Arial"/>
                <w:sz w:val="20"/>
                <w:szCs w:val="20"/>
              </w:rPr>
            </w:pPr>
            <w:r w:rsidRPr="00335764">
              <w:rPr>
                <w:rFonts w:eastAsia="Times New Roman" w:cs="Arial"/>
                <w:sz w:val="20"/>
                <w:szCs w:val="20"/>
              </w:rPr>
              <w:t>106.5</w:t>
            </w:r>
          </w:p>
        </w:tc>
        <w:tc>
          <w:tcPr>
            <w:tcW w:w="0" w:type="auto"/>
            <w:shd w:val="clear" w:color="auto" w:fill="FFFFFF" w:themeFill="background1"/>
          </w:tcPr>
          <w:p w:rsidR="0069237C" w:rsidRPr="00335764" w:rsidRDefault="0069237C" w:rsidP="00335764">
            <w:pPr>
              <w:spacing w:line="240" w:lineRule="auto"/>
              <w:jc w:val="left"/>
              <w:cnfStyle w:val="000000000000"/>
              <w:rPr>
                <w:rFonts w:eastAsia="Times New Roman" w:cs="Arial"/>
                <w:sz w:val="20"/>
                <w:szCs w:val="20"/>
              </w:rPr>
            </w:pPr>
            <w:r w:rsidRPr="00335764">
              <w:rPr>
                <w:rFonts w:eastAsia="Times New Roman" w:cs="Arial"/>
                <w:sz w:val="20"/>
                <w:szCs w:val="20"/>
              </w:rPr>
              <w:t>111.3</w:t>
            </w:r>
          </w:p>
        </w:tc>
        <w:tc>
          <w:tcPr>
            <w:tcW w:w="0" w:type="auto"/>
            <w:shd w:val="clear" w:color="auto" w:fill="FFFFFF" w:themeFill="background1"/>
            <w:noWrap/>
            <w:hideMark/>
          </w:tcPr>
          <w:p w:rsidR="0069237C" w:rsidRPr="00335764" w:rsidRDefault="0069237C" w:rsidP="00335764">
            <w:pPr>
              <w:spacing w:line="240" w:lineRule="auto"/>
              <w:jc w:val="left"/>
              <w:cnfStyle w:val="000000000000"/>
              <w:rPr>
                <w:rFonts w:eastAsia="Times New Roman" w:cs="Arial"/>
                <w:sz w:val="20"/>
                <w:szCs w:val="20"/>
              </w:rPr>
            </w:pPr>
            <w:r w:rsidRPr="00335764">
              <w:rPr>
                <w:rFonts w:eastAsia="Times New Roman" w:cs="Arial"/>
                <w:sz w:val="20"/>
                <w:szCs w:val="20"/>
              </w:rPr>
              <w:t>3.57%</w:t>
            </w:r>
          </w:p>
        </w:tc>
      </w:tr>
    </w:tbl>
    <w:p w:rsidR="000F54AB" w:rsidRPr="00335764" w:rsidRDefault="000F54AB" w:rsidP="00335764">
      <w:pPr>
        <w:autoSpaceDE w:val="0"/>
        <w:autoSpaceDN w:val="0"/>
        <w:adjustRightInd w:val="0"/>
        <w:spacing w:line="240" w:lineRule="auto"/>
        <w:jc w:val="left"/>
        <w:rPr>
          <w:rFonts w:cs="Arial"/>
          <w:sz w:val="20"/>
          <w:szCs w:val="20"/>
        </w:rPr>
      </w:pPr>
    </w:p>
    <w:p w:rsidR="00CD1D51" w:rsidRPr="00335764" w:rsidRDefault="0069237C"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sz w:val="20"/>
          <w:szCs w:val="20"/>
        </w:rPr>
        <w:t xml:space="preserve">The biggest cost driver continues to be compensation of employees, which at R78.08 million, consumes 73.5% of the budget allocation. </w:t>
      </w:r>
    </w:p>
    <w:p w:rsidR="00CD1D51" w:rsidRPr="00335764" w:rsidRDefault="00CD1D51" w:rsidP="00335764">
      <w:pPr>
        <w:autoSpaceDE w:val="0"/>
        <w:autoSpaceDN w:val="0"/>
        <w:adjustRightInd w:val="0"/>
        <w:spacing w:line="240" w:lineRule="auto"/>
        <w:ind w:left="851"/>
        <w:jc w:val="left"/>
        <w:rPr>
          <w:rFonts w:cs="Arial"/>
          <w:sz w:val="20"/>
          <w:szCs w:val="20"/>
        </w:rPr>
      </w:pPr>
    </w:p>
    <w:p w:rsidR="0069237C" w:rsidRPr="00335764" w:rsidRDefault="00CD1D51" w:rsidP="00335764">
      <w:pPr>
        <w:numPr>
          <w:ilvl w:val="1"/>
          <w:numId w:val="1"/>
        </w:numPr>
        <w:autoSpaceDE w:val="0"/>
        <w:autoSpaceDN w:val="0"/>
        <w:adjustRightInd w:val="0"/>
        <w:spacing w:line="240" w:lineRule="auto"/>
        <w:ind w:left="851" w:hanging="851"/>
        <w:jc w:val="left"/>
        <w:rPr>
          <w:rFonts w:cs="Arial"/>
          <w:sz w:val="20"/>
          <w:szCs w:val="20"/>
        </w:rPr>
      </w:pPr>
      <w:r w:rsidRPr="00335764">
        <w:rPr>
          <w:rFonts w:cs="Arial"/>
          <w:i/>
          <w:sz w:val="20"/>
          <w:szCs w:val="20"/>
        </w:rPr>
        <w:t>Personnel.</w:t>
      </w:r>
      <w:r w:rsidRPr="00335764">
        <w:rPr>
          <w:rFonts w:cs="Arial"/>
          <w:sz w:val="20"/>
          <w:szCs w:val="20"/>
        </w:rPr>
        <w:t xml:space="preserve"> </w:t>
      </w:r>
      <w:r w:rsidR="0069237C" w:rsidRPr="00335764">
        <w:rPr>
          <w:rFonts w:cs="Arial"/>
          <w:sz w:val="20"/>
          <w:szCs w:val="20"/>
        </w:rPr>
        <w:t xml:space="preserve">As </w:t>
      </w:r>
      <w:r w:rsidR="001E3C09" w:rsidRPr="00335764">
        <w:rPr>
          <w:rFonts w:cs="Arial"/>
          <w:sz w:val="20"/>
          <w:szCs w:val="20"/>
        </w:rPr>
        <w:t>of</w:t>
      </w:r>
      <w:r w:rsidR="0069237C" w:rsidRPr="00335764">
        <w:rPr>
          <w:rFonts w:cs="Arial"/>
          <w:sz w:val="20"/>
          <w:szCs w:val="20"/>
        </w:rPr>
        <w:t xml:space="preserve"> </w:t>
      </w:r>
      <w:r w:rsidR="001E3C09" w:rsidRPr="00335764">
        <w:rPr>
          <w:rFonts w:cs="Arial"/>
          <w:sz w:val="20"/>
          <w:szCs w:val="20"/>
        </w:rPr>
        <w:t>February 2023,</w:t>
      </w:r>
      <w:r w:rsidR="0069237C" w:rsidRPr="00335764">
        <w:rPr>
          <w:rFonts w:cs="Arial"/>
          <w:sz w:val="20"/>
          <w:szCs w:val="20"/>
        </w:rPr>
        <w:t xml:space="preserve"> the </w:t>
      </w:r>
      <w:r w:rsidRPr="00335764">
        <w:rPr>
          <w:rFonts w:cs="Arial"/>
          <w:sz w:val="20"/>
          <w:szCs w:val="20"/>
        </w:rPr>
        <w:t xml:space="preserve">Information </w:t>
      </w:r>
      <w:r w:rsidR="0069237C" w:rsidRPr="00335764">
        <w:rPr>
          <w:rFonts w:cs="Arial"/>
          <w:sz w:val="20"/>
          <w:szCs w:val="20"/>
        </w:rPr>
        <w:t>Regulator had 100 staff members.</w:t>
      </w:r>
    </w:p>
    <w:p w:rsidR="0069237C" w:rsidRPr="00335764" w:rsidRDefault="0069237C" w:rsidP="00335764">
      <w:pPr>
        <w:autoSpaceDE w:val="0"/>
        <w:autoSpaceDN w:val="0"/>
        <w:adjustRightInd w:val="0"/>
        <w:spacing w:line="240" w:lineRule="auto"/>
        <w:jc w:val="left"/>
        <w:rPr>
          <w:rFonts w:cs="Arial"/>
          <w:sz w:val="20"/>
          <w:szCs w:val="20"/>
        </w:rPr>
      </w:pPr>
    </w:p>
    <w:p w:rsidR="00920F4C" w:rsidRPr="00335764" w:rsidRDefault="00920F4C" w:rsidP="00335764">
      <w:pPr>
        <w:autoSpaceDE w:val="0"/>
        <w:autoSpaceDN w:val="0"/>
        <w:adjustRightInd w:val="0"/>
        <w:spacing w:line="240" w:lineRule="auto"/>
        <w:jc w:val="left"/>
        <w:rPr>
          <w:rFonts w:cs="Arial"/>
          <w:sz w:val="20"/>
          <w:szCs w:val="20"/>
        </w:rPr>
      </w:pPr>
    </w:p>
    <w:p w:rsidR="00597BC8" w:rsidRPr="00335764" w:rsidRDefault="00FD21A8" w:rsidP="00335764">
      <w:pPr>
        <w:numPr>
          <w:ilvl w:val="0"/>
          <w:numId w:val="1"/>
        </w:numPr>
        <w:tabs>
          <w:tab w:val="clear" w:pos="375"/>
          <w:tab w:val="num" w:pos="851"/>
        </w:tabs>
        <w:autoSpaceDE w:val="0"/>
        <w:autoSpaceDN w:val="0"/>
        <w:adjustRightInd w:val="0"/>
        <w:spacing w:line="240" w:lineRule="auto"/>
        <w:ind w:left="851" w:hanging="851"/>
        <w:jc w:val="left"/>
        <w:rPr>
          <w:rFonts w:cs="Arial"/>
          <w:b/>
          <w:sz w:val="20"/>
          <w:szCs w:val="20"/>
        </w:rPr>
      </w:pPr>
      <w:r w:rsidRPr="00335764">
        <w:rPr>
          <w:rFonts w:cs="Arial"/>
          <w:b/>
          <w:sz w:val="20"/>
          <w:szCs w:val="20"/>
        </w:rPr>
        <w:t>Committee’s observations</w:t>
      </w:r>
    </w:p>
    <w:p w:rsidR="00745FF1" w:rsidRPr="00335764" w:rsidRDefault="00745FF1" w:rsidP="00335764">
      <w:pPr>
        <w:spacing w:line="240" w:lineRule="auto"/>
        <w:jc w:val="left"/>
        <w:rPr>
          <w:rFonts w:cs="Arial"/>
          <w:sz w:val="20"/>
          <w:szCs w:val="20"/>
          <w:lang w:val="en-ZA"/>
        </w:rPr>
      </w:pPr>
    </w:p>
    <w:p w:rsidR="00745FF1" w:rsidRPr="00335764" w:rsidRDefault="00745FF1" w:rsidP="00335764">
      <w:pPr>
        <w:numPr>
          <w:ilvl w:val="1"/>
          <w:numId w:val="1"/>
        </w:numPr>
        <w:tabs>
          <w:tab w:val="clear" w:pos="862"/>
          <w:tab w:val="num" w:pos="851"/>
        </w:tabs>
        <w:spacing w:line="240" w:lineRule="auto"/>
        <w:ind w:hanging="862"/>
        <w:jc w:val="left"/>
        <w:rPr>
          <w:rFonts w:cs="Arial"/>
          <w:sz w:val="20"/>
          <w:szCs w:val="20"/>
        </w:rPr>
      </w:pPr>
      <w:r w:rsidRPr="00335764">
        <w:rPr>
          <w:rFonts w:cs="Arial"/>
          <w:sz w:val="20"/>
          <w:szCs w:val="20"/>
        </w:rPr>
        <w:t xml:space="preserve">The Committee </w:t>
      </w:r>
      <w:r w:rsidR="00AD1A4B" w:rsidRPr="00335764">
        <w:rPr>
          <w:rFonts w:cs="Arial"/>
          <w:sz w:val="20"/>
          <w:szCs w:val="20"/>
        </w:rPr>
        <w:t xml:space="preserve">once more highlights </w:t>
      </w:r>
      <w:r w:rsidRPr="00335764">
        <w:rPr>
          <w:rFonts w:cs="Arial"/>
          <w:sz w:val="20"/>
          <w:szCs w:val="20"/>
        </w:rPr>
        <w:t>the constraints of the parliamentary programme</w:t>
      </w:r>
      <w:r w:rsidR="00AD1A4B" w:rsidRPr="00335764">
        <w:rPr>
          <w:rFonts w:cs="Arial"/>
          <w:sz w:val="20"/>
          <w:szCs w:val="20"/>
        </w:rPr>
        <w:t>, which</w:t>
      </w:r>
      <w:r w:rsidRPr="00335764">
        <w:rPr>
          <w:rFonts w:cs="Arial"/>
          <w:sz w:val="20"/>
          <w:szCs w:val="20"/>
        </w:rPr>
        <w:t xml:space="preserve"> limit</w:t>
      </w:r>
      <w:r w:rsidR="00FC27E4" w:rsidRPr="00335764">
        <w:rPr>
          <w:rFonts w:cs="Arial"/>
          <w:sz w:val="20"/>
          <w:szCs w:val="20"/>
        </w:rPr>
        <w:t>s</w:t>
      </w:r>
      <w:r w:rsidRPr="00335764">
        <w:rPr>
          <w:rFonts w:cs="Arial"/>
          <w:sz w:val="20"/>
          <w:szCs w:val="20"/>
        </w:rPr>
        <w:t xml:space="preserve"> the time available for</w:t>
      </w:r>
      <w:r w:rsidR="00B14DD5" w:rsidRPr="00335764">
        <w:rPr>
          <w:rFonts w:cs="Arial"/>
          <w:sz w:val="20"/>
          <w:szCs w:val="20"/>
        </w:rPr>
        <w:t xml:space="preserve"> oversight</w:t>
      </w:r>
      <w:r w:rsidRPr="00335764">
        <w:rPr>
          <w:rFonts w:cs="Arial"/>
          <w:sz w:val="20"/>
          <w:szCs w:val="20"/>
        </w:rPr>
        <w:t xml:space="preserve">. </w:t>
      </w:r>
      <w:r w:rsidR="00AD1A4B" w:rsidRPr="00335764">
        <w:rPr>
          <w:rFonts w:cs="Arial"/>
          <w:sz w:val="20"/>
          <w:szCs w:val="20"/>
        </w:rPr>
        <w:t xml:space="preserve">As a result, the </w:t>
      </w:r>
      <w:r w:rsidRPr="00335764">
        <w:rPr>
          <w:rFonts w:cs="Arial"/>
          <w:sz w:val="20"/>
          <w:szCs w:val="20"/>
        </w:rPr>
        <w:t xml:space="preserve">reporting requests </w:t>
      </w:r>
      <w:r w:rsidR="00AD1A4B" w:rsidRPr="00335764">
        <w:rPr>
          <w:rFonts w:cs="Arial"/>
          <w:sz w:val="20"/>
          <w:szCs w:val="20"/>
        </w:rPr>
        <w:t xml:space="preserve">in this report </w:t>
      </w:r>
      <w:r w:rsidR="00B14DD5" w:rsidRPr="00335764">
        <w:rPr>
          <w:rFonts w:cs="Arial"/>
          <w:sz w:val="20"/>
          <w:szCs w:val="20"/>
        </w:rPr>
        <w:t xml:space="preserve">and other reports </w:t>
      </w:r>
      <w:r w:rsidRPr="00335764">
        <w:rPr>
          <w:rFonts w:cs="Arial"/>
          <w:sz w:val="20"/>
          <w:szCs w:val="20"/>
        </w:rPr>
        <w:t xml:space="preserve">form </w:t>
      </w:r>
      <w:r w:rsidR="00AD1A4B" w:rsidRPr="00335764">
        <w:rPr>
          <w:rFonts w:cs="Arial"/>
          <w:sz w:val="20"/>
          <w:szCs w:val="20"/>
        </w:rPr>
        <w:t xml:space="preserve">a very important </w:t>
      </w:r>
      <w:r w:rsidRPr="00335764">
        <w:rPr>
          <w:rFonts w:cs="Arial"/>
          <w:sz w:val="20"/>
          <w:szCs w:val="20"/>
        </w:rPr>
        <w:t xml:space="preserve">part of </w:t>
      </w:r>
      <w:r w:rsidR="00AD1A4B" w:rsidRPr="00335764">
        <w:rPr>
          <w:rFonts w:cs="Arial"/>
          <w:sz w:val="20"/>
          <w:szCs w:val="20"/>
        </w:rPr>
        <w:t xml:space="preserve">the Committee’s </w:t>
      </w:r>
      <w:r w:rsidRPr="00335764">
        <w:rPr>
          <w:rFonts w:cs="Arial"/>
          <w:sz w:val="20"/>
          <w:szCs w:val="20"/>
        </w:rPr>
        <w:t>work method</w:t>
      </w:r>
      <w:r w:rsidR="00B14DD5" w:rsidRPr="00335764">
        <w:rPr>
          <w:rFonts w:cs="Arial"/>
          <w:sz w:val="20"/>
          <w:szCs w:val="20"/>
        </w:rPr>
        <w:t>,</w:t>
      </w:r>
      <w:r w:rsidRPr="00335764">
        <w:rPr>
          <w:rFonts w:cs="Arial"/>
          <w:sz w:val="20"/>
          <w:szCs w:val="20"/>
        </w:rPr>
        <w:t xml:space="preserve"> as they supplement our knowledge and assist us to track progress. </w:t>
      </w:r>
      <w:r w:rsidR="00BE2C04" w:rsidRPr="00335764">
        <w:rPr>
          <w:rFonts w:cs="Arial"/>
          <w:sz w:val="20"/>
          <w:szCs w:val="20"/>
        </w:rPr>
        <w:t>The Committee is</w:t>
      </w:r>
      <w:r w:rsidRPr="00335764">
        <w:rPr>
          <w:rFonts w:cs="Arial"/>
          <w:sz w:val="20"/>
          <w:szCs w:val="20"/>
        </w:rPr>
        <w:t>, therefore</w:t>
      </w:r>
      <w:r w:rsidR="009F5A1C" w:rsidRPr="00335764">
        <w:rPr>
          <w:rFonts w:cs="Arial"/>
          <w:sz w:val="20"/>
          <w:szCs w:val="20"/>
        </w:rPr>
        <w:t>,</w:t>
      </w:r>
      <w:r w:rsidRPr="00335764">
        <w:rPr>
          <w:rFonts w:cs="Arial"/>
          <w:sz w:val="20"/>
          <w:szCs w:val="20"/>
        </w:rPr>
        <w:t xml:space="preserve"> </w:t>
      </w:r>
      <w:r w:rsidR="0021761E" w:rsidRPr="00335764">
        <w:rPr>
          <w:rFonts w:cs="Arial"/>
          <w:sz w:val="20"/>
          <w:szCs w:val="20"/>
        </w:rPr>
        <w:t xml:space="preserve">not pleased </w:t>
      </w:r>
      <w:r w:rsidRPr="00335764">
        <w:rPr>
          <w:rFonts w:cs="Arial"/>
          <w:sz w:val="20"/>
          <w:szCs w:val="20"/>
        </w:rPr>
        <w:t xml:space="preserve">that the Department </w:t>
      </w:r>
      <w:r w:rsidR="0021761E" w:rsidRPr="00335764">
        <w:rPr>
          <w:rFonts w:cs="Arial"/>
          <w:sz w:val="20"/>
          <w:szCs w:val="20"/>
        </w:rPr>
        <w:t xml:space="preserve">only </w:t>
      </w:r>
      <w:r w:rsidRPr="00335764">
        <w:rPr>
          <w:rFonts w:cs="Arial"/>
          <w:sz w:val="20"/>
          <w:szCs w:val="20"/>
        </w:rPr>
        <w:t>table</w:t>
      </w:r>
      <w:r w:rsidR="0021761E" w:rsidRPr="00335764">
        <w:rPr>
          <w:rFonts w:cs="Arial"/>
          <w:sz w:val="20"/>
          <w:szCs w:val="20"/>
        </w:rPr>
        <w:t>d</w:t>
      </w:r>
      <w:r w:rsidRPr="00335764">
        <w:rPr>
          <w:rFonts w:cs="Arial"/>
          <w:sz w:val="20"/>
          <w:szCs w:val="20"/>
        </w:rPr>
        <w:t xml:space="preserve"> a report addressing the matters that we</w:t>
      </w:r>
      <w:r w:rsidR="00BE2C04" w:rsidRPr="00335764">
        <w:rPr>
          <w:rFonts w:cs="Arial"/>
          <w:sz w:val="20"/>
          <w:szCs w:val="20"/>
        </w:rPr>
        <w:t>re</w:t>
      </w:r>
      <w:r w:rsidRPr="00335764">
        <w:rPr>
          <w:rFonts w:cs="Arial"/>
          <w:sz w:val="20"/>
          <w:szCs w:val="20"/>
        </w:rPr>
        <w:t xml:space="preserve"> raised in </w:t>
      </w:r>
      <w:r w:rsidR="00BE2C04" w:rsidRPr="00335764">
        <w:rPr>
          <w:rFonts w:cs="Arial"/>
          <w:sz w:val="20"/>
          <w:szCs w:val="20"/>
        </w:rPr>
        <w:t xml:space="preserve">the </w:t>
      </w:r>
      <w:r w:rsidRPr="00335764">
        <w:rPr>
          <w:rFonts w:cs="Arial"/>
          <w:sz w:val="20"/>
          <w:szCs w:val="20"/>
        </w:rPr>
        <w:t>Budgetary Review and Recommendation Report</w:t>
      </w:r>
      <w:r w:rsidR="0021761E" w:rsidRPr="00335764">
        <w:rPr>
          <w:rFonts w:cs="Arial"/>
          <w:sz w:val="20"/>
          <w:szCs w:val="20"/>
        </w:rPr>
        <w:t xml:space="preserve"> on 27 April 2023, despite </w:t>
      </w:r>
      <w:r w:rsidR="00BE2C04" w:rsidRPr="00335764">
        <w:rPr>
          <w:rFonts w:cs="Arial"/>
          <w:sz w:val="20"/>
          <w:szCs w:val="20"/>
        </w:rPr>
        <w:t xml:space="preserve">the </w:t>
      </w:r>
      <w:r w:rsidR="00B14DD5" w:rsidRPr="00335764">
        <w:rPr>
          <w:rFonts w:cs="Arial"/>
          <w:sz w:val="20"/>
          <w:szCs w:val="20"/>
        </w:rPr>
        <w:t>request</w:t>
      </w:r>
      <w:r w:rsidR="0021761E" w:rsidRPr="00335764">
        <w:rPr>
          <w:rFonts w:cs="Arial"/>
          <w:sz w:val="20"/>
          <w:szCs w:val="20"/>
        </w:rPr>
        <w:t xml:space="preserve"> that the responses be provided by 31</w:t>
      </w:r>
      <w:r w:rsidR="00B14DD5" w:rsidRPr="00335764">
        <w:rPr>
          <w:rFonts w:cs="Arial"/>
          <w:sz w:val="20"/>
          <w:szCs w:val="20"/>
        </w:rPr>
        <w:t xml:space="preserve"> January 2023</w:t>
      </w:r>
      <w:r w:rsidRPr="00335764">
        <w:rPr>
          <w:rFonts w:cs="Arial"/>
          <w:sz w:val="20"/>
          <w:szCs w:val="20"/>
        </w:rPr>
        <w:t xml:space="preserve">. </w:t>
      </w:r>
      <w:r w:rsidR="00BE2C04" w:rsidRPr="00335764">
        <w:rPr>
          <w:rFonts w:cs="Arial"/>
          <w:sz w:val="20"/>
          <w:szCs w:val="20"/>
        </w:rPr>
        <w:t xml:space="preserve">The Committee believes </w:t>
      </w:r>
      <w:r w:rsidR="00B14DD5" w:rsidRPr="00335764">
        <w:rPr>
          <w:rFonts w:cs="Arial"/>
          <w:sz w:val="20"/>
          <w:szCs w:val="20"/>
        </w:rPr>
        <w:t>that t</w:t>
      </w:r>
      <w:r w:rsidRPr="00335764">
        <w:rPr>
          <w:rFonts w:cs="Arial"/>
          <w:sz w:val="20"/>
          <w:szCs w:val="20"/>
        </w:rPr>
        <w:t xml:space="preserve">he Department was given ample time to respond and the failure to do so </w:t>
      </w:r>
      <w:r w:rsidR="00B14DD5" w:rsidRPr="00335764">
        <w:rPr>
          <w:rFonts w:cs="Arial"/>
          <w:sz w:val="20"/>
          <w:szCs w:val="20"/>
        </w:rPr>
        <w:t xml:space="preserve">timeously </w:t>
      </w:r>
      <w:r w:rsidRPr="00335764">
        <w:rPr>
          <w:rFonts w:cs="Arial"/>
          <w:sz w:val="20"/>
          <w:szCs w:val="20"/>
        </w:rPr>
        <w:t>has not assisted us.</w:t>
      </w:r>
    </w:p>
    <w:p w:rsidR="00745FF1" w:rsidRPr="00335764" w:rsidRDefault="00745FF1" w:rsidP="00335764">
      <w:pPr>
        <w:spacing w:line="240" w:lineRule="auto"/>
        <w:jc w:val="left"/>
        <w:rPr>
          <w:rFonts w:cs="Arial"/>
          <w:sz w:val="20"/>
          <w:szCs w:val="20"/>
        </w:rPr>
      </w:pPr>
    </w:p>
    <w:p w:rsidR="00745FF1" w:rsidRPr="00335764" w:rsidRDefault="00745FF1" w:rsidP="00335764">
      <w:pPr>
        <w:spacing w:line="240" w:lineRule="auto"/>
        <w:jc w:val="left"/>
        <w:rPr>
          <w:rFonts w:cs="Arial"/>
          <w:b/>
          <w:sz w:val="20"/>
          <w:szCs w:val="20"/>
        </w:rPr>
      </w:pPr>
      <w:r w:rsidRPr="00335764">
        <w:rPr>
          <w:rFonts w:cs="Arial"/>
          <w:b/>
          <w:sz w:val="20"/>
          <w:szCs w:val="20"/>
        </w:rPr>
        <w:t xml:space="preserve">Department of Justice and Constitutional Development </w:t>
      </w:r>
    </w:p>
    <w:p w:rsidR="00745FF1" w:rsidRPr="00335764" w:rsidRDefault="00745FF1" w:rsidP="00335764">
      <w:pPr>
        <w:spacing w:line="240" w:lineRule="auto"/>
        <w:jc w:val="left"/>
        <w:rPr>
          <w:rFonts w:cs="Arial"/>
          <w:sz w:val="20"/>
          <w:szCs w:val="20"/>
        </w:rPr>
      </w:pPr>
    </w:p>
    <w:p w:rsidR="00745FF1" w:rsidRPr="00335764" w:rsidRDefault="00745FF1" w:rsidP="00335764">
      <w:pPr>
        <w:numPr>
          <w:ilvl w:val="1"/>
          <w:numId w:val="1"/>
        </w:numPr>
        <w:spacing w:line="240" w:lineRule="auto"/>
        <w:ind w:hanging="862"/>
        <w:jc w:val="left"/>
        <w:rPr>
          <w:rFonts w:cs="Arial"/>
          <w:bCs/>
          <w:sz w:val="20"/>
          <w:szCs w:val="20"/>
        </w:rPr>
      </w:pPr>
      <w:r w:rsidRPr="00335764">
        <w:rPr>
          <w:rFonts w:cs="Arial"/>
          <w:bCs/>
          <w:i/>
          <w:sz w:val="20"/>
          <w:szCs w:val="20"/>
        </w:rPr>
        <w:t>Performance planning</w:t>
      </w:r>
      <w:r w:rsidRPr="00335764">
        <w:rPr>
          <w:rFonts w:cs="Arial"/>
          <w:bCs/>
          <w:sz w:val="20"/>
          <w:szCs w:val="20"/>
        </w:rPr>
        <w:t xml:space="preserve">. </w:t>
      </w:r>
    </w:p>
    <w:p w:rsidR="00745FF1" w:rsidRPr="00335764" w:rsidRDefault="00745FF1" w:rsidP="00335764">
      <w:pPr>
        <w:spacing w:line="240" w:lineRule="auto"/>
        <w:jc w:val="left"/>
        <w:rPr>
          <w:rFonts w:cs="Arial"/>
          <w:bCs/>
          <w:sz w:val="20"/>
          <w:szCs w:val="20"/>
        </w:rPr>
      </w:pPr>
    </w:p>
    <w:p w:rsidR="009B64CD" w:rsidRPr="00335764" w:rsidRDefault="00D7053A" w:rsidP="00335764">
      <w:pPr>
        <w:pStyle w:val="ListParagraph"/>
        <w:numPr>
          <w:ilvl w:val="2"/>
          <w:numId w:val="1"/>
        </w:numPr>
        <w:spacing w:line="240" w:lineRule="auto"/>
        <w:ind w:hanging="862"/>
        <w:jc w:val="left"/>
        <w:rPr>
          <w:rFonts w:cs="Arial"/>
          <w:sz w:val="20"/>
          <w:szCs w:val="20"/>
        </w:rPr>
      </w:pPr>
      <w:r w:rsidRPr="00335764">
        <w:rPr>
          <w:rFonts w:cs="Arial"/>
          <w:sz w:val="20"/>
          <w:szCs w:val="20"/>
        </w:rPr>
        <w:t>Once again, t</w:t>
      </w:r>
      <w:r w:rsidR="00745FF1" w:rsidRPr="00335764">
        <w:rPr>
          <w:rFonts w:cs="Arial"/>
          <w:sz w:val="20"/>
          <w:szCs w:val="20"/>
        </w:rPr>
        <w:t xml:space="preserve">he Committee acknowledges how difficult it must be to plan in a context where there are so many </w:t>
      </w:r>
      <w:r w:rsidR="00261D2C" w:rsidRPr="00335764">
        <w:rPr>
          <w:rFonts w:cs="Arial"/>
          <w:sz w:val="20"/>
          <w:szCs w:val="20"/>
        </w:rPr>
        <w:t>priorities,</w:t>
      </w:r>
      <w:r w:rsidR="00745FF1" w:rsidRPr="00335764">
        <w:rPr>
          <w:rFonts w:cs="Arial"/>
          <w:sz w:val="20"/>
          <w:szCs w:val="20"/>
        </w:rPr>
        <w:t xml:space="preserve"> but resources are extremely tight. </w:t>
      </w:r>
      <w:r w:rsidR="00BE2C04" w:rsidRPr="00335764">
        <w:rPr>
          <w:rFonts w:cs="Arial"/>
          <w:sz w:val="20"/>
          <w:szCs w:val="20"/>
        </w:rPr>
        <w:t>The Committee also</w:t>
      </w:r>
      <w:r w:rsidRPr="00335764">
        <w:rPr>
          <w:rFonts w:cs="Arial"/>
          <w:sz w:val="20"/>
          <w:szCs w:val="20"/>
        </w:rPr>
        <w:t xml:space="preserve"> </w:t>
      </w:r>
      <w:r w:rsidR="009B64CD" w:rsidRPr="00335764">
        <w:rPr>
          <w:rFonts w:cs="Arial"/>
          <w:sz w:val="20"/>
          <w:szCs w:val="20"/>
        </w:rPr>
        <w:t>acknowledge</w:t>
      </w:r>
      <w:r w:rsidR="00BE2C04" w:rsidRPr="00335764">
        <w:rPr>
          <w:rFonts w:cs="Arial"/>
          <w:sz w:val="20"/>
          <w:szCs w:val="20"/>
        </w:rPr>
        <w:t>s</w:t>
      </w:r>
      <w:r w:rsidR="009B64CD" w:rsidRPr="00335764">
        <w:rPr>
          <w:rFonts w:cs="Arial"/>
          <w:sz w:val="20"/>
          <w:szCs w:val="20"/>
        </w:rPr>
        <w:t xml:space="preserve"> th</w:t>
      </w:r>
      <w:r w:rsidRPr="00335764">
        <w:rPr>
          <w:rFonts w:cs="Arial"/>
          <w:sz w:val="20"/>
          <w:szCs w:val="20"/>
        </w:rPr>
        <w:t>at the Department faces many challenges</w:t>
      </w:r>
      <w:r w:rsidR="009B64CD" w:rsidRPr="00335764">
        <w:rPr>
          <w:rFonts w:cs="Arial"/>
          <w:sz w:val="20"/>
          <w:szCs w:val="20"/>
        </w:rPr>
        <w:t>, inclu</w:t>
      </w:r>
      <w:r w:rsidRPr="00335764">
        <w:rPr>
          <w:rFonts w:cs="Arial"/>
          <w:sz w:val="20"/>
          <w:szCs w:val="20"/>
        </w:rPr>
        <w:t xml:space="preserve">ding dilapidated </w:t>
      </w:r>
      <w:r w:rsidRPr="00335764">
        <w:rPr>
          <w:rFonts w:cs="Arial"/>
          <w:sz w:val="20"/>
          <w:szCs w:val="20"/>
        </w:rPr>
        <w:lastRenderedPageBreak/>
        <w:t>infrastructure and</w:t>
      </w:r>
      <w:r w:rsidR="009B64CD" w:rsidRPr="00335764">
        <w:rPr>
          <w:rFonts w:cs="Arial"/>
          <w:sz w:val="20"/>
          <w:szCs w:val="20"/>
        </w:rPr>
        <w:t xml:space="preserve"> aging ICT </w:t>
      </w:r>
      <w:r w:rsidRPr="00335764">
        <w:rPr>
          <w:rFonts w:cs="Arial"/>
          <w:sz w:val="20"/>
          <w:szCs w:val="20"/>
        </w:rPr>
        <w:t>infrastructure</w:t>
      </w:r>
      <w:r w:rsidR="009B64CD" w:rsidRPr="00335764">
        <w:rPr>
          <w:rFonts w:cs="Arial"/>
          <w:sz w:val="20"/>
          <w:szCs w:val="20"/>
        </w:rPr>
        <w:t xml:space="preserve">. </w:t>
      </w:r>
      <w:r w:rsidR="00BE2C04" w:rsidRPr="00335764">
        <w:rPr>
          <w:rFonts w:cs="Arial"/>
          <w:sz w:val="20"/>
          <w:szCs w:val="20"/>
        </w:rPr>
        <w:t xml:space="preserve">The Committee is </w:t>
      </w:r>
      <w:r w:rsidR="009B64CD" w:rsidRPr="00335764">
        <w:rPr>
          <w:rFonts w:cs="Arial"/>
          <w:sz w:val="20"/>
          <w:szCs w:val="20"/>
        </w:rPr>
        <w:t xml:space="preserve">also aware that there are factors falling outside of the Department’s control that affect its operations, such as load-shedding. Reliance on other departments and agencies, such as with the Department of Public Works and Infrastructure and the State Information Technology Agency, </w:t>
      </w:r>
      <w:r w:rsidRPr="00335764">
        <w:rPr>
          <w:rFonts w:cs="Arial"/>
          <w:sz w:val="20"/>
          <w:szCs w:val="20"/>
        </w:rPr>
        <w:t xml:space="preserve">has also proven to </w:t>
      </w:r>
      <w:r w:rsidR="009B64CD" w:rsidRPr="00335764">
        <w:rPr>
          <w:rFonts w:cs="Arial"/>
          <w:sz w:val="20"/>
          <w:szCs w:val="20"/>
        </w:rPr>
        <w:t xml:space="preserve">be problematic. Nevertheless, </w:t>
      </w:r>
      <w:r w:rsidR="00BE2C04" w:rsidRPr="00335764">
        <w:rPr>
          <w:rFonts w:cs="Arial"/>
          <w:sz w:val="20"/>
          <w:szCs w:val="20"/>
        </w:rPr>
        <w:t xml:space="preserve">the Committee believes </w:t>
      </w:r>
      <w:r w:rsidR="009B64CD" w:rsidRPr="00335764">
        <w:rPr>
          <w:rFonts w:cs="Arial"/>
          <w:sz w:val="20"/>
          <w:szCs w:val="20"/>
        </w:rPr>
        <w:t>that m</w:t>
      </w:r>
      <w:r w:rsidRPr="00335764">
        <w:rPr>
          <w:rFonts w:cs="Arial"/>
          <w:sz w:val="20"/>
          <w:szCs w:val="20"/>
        </w:rPr>
        <w:t>uch</w:t>
      </w:r>
      <w:r w:rsidR="009B64CD" w:rsidRPr="00335764">
        <w:rPr>
          <w:rFonts w:cs="Arial"/>
          <w:sz w:val="20"/>
          <w:szCs w:val="20"/>
        </w:rPr>
        <w:t xml:space="preserve"> could be </w:t>
      </w:r>
      <w:r w:rsidRPr="00335764">
        <w:rPr>
          <w:rFonts w:cs="Arial"/>
          <w:sz w:val="20"/>
          <w:szCs w:val="20"/>
        </w:rPr>
        <w:t xml:space="preserve">done with </w:t>
      </w:r>
      <w:r w:rsidR="009B64CD" w:rsidRPr="00335764">
        <w:rPr>
          <w:rFonts w:cs="Arial"/>
          <w:sz w:val="20"/>
          <w:szCs w:val="20"/>
        </w:rPr>
        <w:t xml:space="preserve">better planning. </w:t>
      </w:r>
    </w:p>
    <w:p w:rsidR="009B64CD" w:rsidRPr="00335764" w:rsidRDefault="009B64CD" w:rsidP="00335764">
      <w:pPr>
        <w:pStyle w:val="ListParagraph"/>
        <w:spacing w:line="240" w:lineRule="auto"/>
        <w:ind w:left="862"/>
        <w:jc w:val="left"/>
        <w:rPr>
          <w:rFonts w:cs="Arial"/>
          <w:sz w:val="20"/>
          <w:szCs w:val="20"/>
        </w:rPr>
      </w:pPr>
    </w:p>
    <w:p w:rsidR="00631432" w:rsidRPr="00335764" w:rsidRDefault="00BE2C04" w:rsidP="00335764">
      <w:pPr>
        <w:pStyle w:val="ListParagraph"/>
        <w:spacing w:line="240" w:lineRule="auto"/>
        <w:ind w:left="862"/>
        <w:jc w:val="left"/>
        <w:rPr>
          <w:rFonts w:cs="Arial"/>
          <w:sz w:val="20"/>
          <w:szCs w:val="20"/>
        </w:rPr>
      </w:pPr>
      <w:r w:rsidRPr="00335764">
        <w:rPr>
          <w:rFonts w:cs="Arial"/>
          <w:sz w:val="20"/>
          <w:szCs w:val="20"/>
        </w:rPr>
        <w:t xml:space="preserve">The Committee notes </w:t>
      </w:r>
      <w:r w:rsidR="00C64A5C" w:rsidRPr="00335764">
        <w:rPr>
          <w:rFonts w:cs="Arial"/>
          <w:sz w:val="20"/>
          <w:szCs w:val="20"/>
        </w:rPr>
        <w:t>that t</w:t>
      </w:r>
      <w:r w:rsidR="009B64CD" w:rsidRPr="00335764">
        <w:rPr>
          <w:rFonts w:cs="Arial"/>
          <w:sz w:val="20"/>
          <w:szCs w:val="20"/>
        </w:rPr>
        <w:t xml:space="preserve">he Department tabled its 2023/24 Annual Performance Plan on 26 April 2023 - almost a month into the new financial year and shortly before the Department was due to present the Plan to us. </w:t>
      </w:r>
      <w:r w:rsidR="00D7053A" w:rsidRPr="00335764">
        <w:rPr>
          <w:rFonts w:cs="Arial"/>
          <w:sz w:val="20"/>
          <w:szCs w:val="20"/>
        </w:rPr>
        <w:t>T</w:t>
      </w:r>
      <w:r w:rsidR="009B64CD" w:rsidRPr="00335764">
        <w:rPr>
          <w:rFonts w:cs="Arial"/>
          <w:sz w:val="20"/>
          <w:szCs w:val="20"/>
        </w:rPr>
        <w:t>his is the fourth year</w:t>
      </w:r>
      <w:r w:rsidR="00D7053A" w:rsidRPr="00335764">
        <w:rPr>
          <w:rFonts w:cs="Arial"/>
          <w:sz w:val="20"/>
          <w:szCs w:val="20"/>
        </w:rPr>
        <w:t xml:space="preserve"> of the present strategic cycle:</w:t>
      </w:r>
      <w:r w:rsidR="009B64CD" w:rsidRPr="00335764">
        <w:rPr>
          <w:rFonts w:cs="Arial"/>
          <w:sz w:val="20"/>
          <w:szCs w:val="20"/>
        </w:rPr>
        <w:t xml:space="preserve"> </w:t>
      </w:r>
      <w:r w:rsidRPr="00335764">
        <w:rPr>
          <w:rFonts w:cs="Arial"/>
          <w:sz w:val="20"/>
          <w:szCs w:val="20"/>
        </w:rPr>
        <w:t xml:space="preserve">the Committee </w:t>
      </w:r>
      <w:r w:rsidR="009B64CD" w:rsidRPr="00335764">
        <w:rPr>
          <w:rFonts w:cs="Arial"/>
          <w:sz w:val="20"/>
          <w:szCs w:val="20"/>
        </w:rPr>
        <w:t xml:space="preserve">would not expect </w:t>
      </w:r>
      <w:r w:rsidR="00D7053A" w:rsidRPr="00335764">
        <w:rPr>
          <w:rFonts w:cs="Arial"/>
          <w:sz w:val="20"/>
          <w:szCs w:val="20"/>
        </w:rPr>
        <w:t xml:space="preserve">that </w:t>
      </w:r>
      <w:r w:rsidR="009B64CD" w:rsidRPr="00335764">
        <w:rPr>
          <w:rFonts w:cs="Arial"/>
          <w:sz w:val="20"/>
          <w:szCs w:val="20"/>
        </w:rPr>
        <w:t xml:space="preserve">the circumstances informing the Plan to </w:t>
      </w:r>
      <w:r w:rsidR="00D7053A" w:rsidRPr="00335764">
        <w:rPr>
          <w:rFonts w:cs="Arial"/>
          <w:sz w:val="20"/>
          <w:szCs w:val="20"/>
        </w:rPr>
        <w:t xml:space="preserve">be so altered </w:t>
      </w:r>
      <w:r w:rsidR="00703E27" w:rsidRPr="00335764">
        <w:rPr>
          <w:rFonts w:cs="Arial"/>
          <w:sz w:val="20"/>
          <w:szCs w:val="20"/>
        </w:rPr>
        <w:t>to</w:t>
      </w:r>
      <w:r w:rsidR="00D7053A" w:rsidRPr="00335764">
        <w:rPr>
          <w:rFonts w:cs="Arial"/>
          <w:sz w:val="20"/>
          <w:szCs w:val="20"/>
        </w:rPr>
        <w:t xml:space="preserve"> justify the </w:t>
      </w:r>
      <w:r w:rsidR="009B64CD" w:rsidRPr="00335764">
        <w:rPr>
          <w:rFonts w:cs="Arial"/>
          <w:sz w:val="20"/>
          <w:szCs w:val="20"/>
        </w:rPr>
        <w:t>late tabling</w:t>
      </w:r>
      <w:r w:rsidR="00D7053A" w:rsidRPr="00335764">
        <w:rPr>
          <w:rFonts w:cs="Arial"/>
          <w:sz w:val="20"/>
          <w:szCs w:val="20"/>
        </w:rPr>
        <w:t>.</w:t>
      </w:r>
      <w:r w:rsidR="009B64CD" w:rsidRPr="00335764">
        <w:rPr>
          <w:rFonts w:cs="Arial"/>
          <w:sz w:val="20"/>
          <w:szCs w:val="20"/>
        </w:rPr>
        <w:t xml:space="preserve"> When </w:t>
      </w:r>
      <w:r w:rsidR="000F2CFD" w:rsidRPr="00335764">
        <w:rPr>
          <w:rFonts w:cs="Arial"/>
          <w:sz w:val="20"/>
          <w:szCs w:val="20"/>
        </w:rPr>
        <w:t xml:space="preserve">the Committee </w:t>
      </w:r>
      <w:r w:rsidR="009B64CD" w:rsidRPr="00335764">
        <w:rPr>
          <w:rFonts w:cs="Arial"/>
          <w:sz w:val="20"/>
          <w:szCs w:val="20"/>
        </w:rPr>
        <w:t>asked</w:t>
      </w:r>
      <w:r w:rsidR="000F2CFD" w:rsidRPr="00335764">
        <w:rPr>
          <w:rFonts w:cs="Arial"/>
          <w:sz w:val="20"/>
          <w:szCs w:val="20"/>
        </w:rPr>
        <w:t xml:space="preserve"> why the Plan was tabled late</w:t>
      </w:r>
      <w:r w:rsidR="009B64CD" w:rsidRPr="00335764">
        <w:rPr>
          <w:rFonts w:cs="Arial"/>
          <w:sz w:val="20"/>
          <w:szCs w:val="20"/>
        </w:rPr>
        <w:t xml:space="preserve">, the </w:t>
      </w:r>
      <w:r w:rsidRPr="00335764">
        <w:rPr>
          <w:rFonts w:cs="Arial"/>
          <w:sz w:val="20"/>
          <w:szCs w:val="20"/>
        </w:rPr>
        <w:t xml:space="preserve">explanation </w:t>
      </w:r>
      <w:r w:rsidR="009B64CD" w:rsidRPr="00335764">
        <w:rPr>
          <w:rFonts w:cs="Arial"/>
          <w:sz w:val="20"/>
          <w:szCs w:val="20"/>
        </w:rPr>
        <w:t xml:space="preserve">was vague and unconvincing. Notably, in response to </w:t>
      </w:r>
      <w:r w:rsidR="000F2CFD" w:rsidRPr="00335764">
        <w:rPr>
          <w:rFonts w:cs="Arial"/>
          <w:sz w:val="20"/>
          <w:szCs w:val="20"/>
        </w:rPr>
        <w:t xml:space="preserve">the Committee’s </w:t>
      </w:r>
      <w:r w:rsidR="00D7053A" w:rsidRPr="00335764">
        <w:rPr>
          <w:rFonts w:cs="Arial"/>
          <w:sz w:val="20"/>
          <w:szCs w:val="20"/>
        </w:rPr>
        <w:t xml:space="preserve">difficulties </w:t>
      </w:r>
      <w:r w:rsidR="009B64CD" w:rsidRPr="00335764">
        <w:rPr>
          <w:rFonts w:cs="Arial"/>
          <w:sz w:val="20"/>
          <w:szCs w:val="20"/>
        </w:rPr>
        <w:t>regarding certain indicators and targets, the Minister withdrew the Plan</w:t>
      </w:r>
      <w:r w:rsidR="00261D2C" w:rsidRPr="00335764">
        <w:rPr>
          <w:rFonts w:cs="Arial"/>
          <w:sz w:val="20"/>
          <w:szCs w:val="20"/>
        </w:rPr>
        <w:t xml:space="preserve">, </w:t>
      </w:r>
      <w:r w:rsidR="009B64CD" w:rsidRPr="00335764">
        <w:rPr>
          <w:rFonts w:cs="Arial"/>
          <w:sz w:val="20"/>
          <w:szCs w:val="20"/>
        </w:rPr>
        <w:t>and, on 23 May 2</w:t>
      </w:r>
      <w:r w:rsidR="00D7053A" w:rsidRPr="00335764">
        <w:rPr>
          <w:rFonts w:cs="Arial"/>
          <w:sz w:val="20"/>
          <w:szCs w:val="20"/>
        </w:rPr>
        <w:t xml:space="preserve">023, a revised Plan was tabled. </w:t>
      </w:r>
      <w:r w:rsidR="000F2CFD" w:rsidRPr="00335764">
        <w:rPr>
          <w:rFonts w:cs="Arial"/>
          <w:sz w:val="20"/>
          <w:szCs w:val="20"/>
        </w:rPr>
        <w:t xml:space="preserve">The Committee notes </w:t>
      </w:r>
      <w:r w:rsidR="00C64A5C" w:rsidRPr="00335764">
        <w:rPr>
          <w:rFonts w:cs="Arial"/>
          <w:sz w:val="20"/>
          <w:szCs w:val="20"/>
        </w:rPr>
        <w:t xml:space="preserve">that the same pattern of tabling and re-tabling was followed last year. </w:t>
      </w:r>
    </w:p>
    <w:p w:rsidR="00CC19B5" w:rsidRPr="00335764" w:rsidRDefault="00CC19B5" w:rsidP="00335764">
      <w:pPr>
        <w:pStyle w:val="ListParagraph"/>
        <w:spacing w:line="240" w:lineRule="auto"/>
        <w:ind w:left="862"/>
        <w:jc w:val="left"/>
        <w:rPr>
          <w:rFonts w:cs="Arial"/>
          <w:sz w:val="20"/>
          <w:szCs w:val="20"/>
        </w:rPr>
      </w:pPr>
    </w:p>
    <w:p w:rsidR="00631432" w:rsidRPr="00335764" w:rsidRDefault="000F2CFD" w:rsidP="00335764">
      <w:pPr>
        <w:pStyle w:val="ListParagraph"/>
        <w:spacing w:line="240" w:lineRule="auto"/>
        <w:ind w:left="862"/>
        <w:jc w:val="left"/>
        <w:rPr>
          <w:rFonts w:cs="Arial"/>
          <w:sz w:val="20"/>
          <w:szCs w:val="20"/>
        </w:rPr>
      </w:pPr>
      <w:r w:rsidRPr="00335764">
        <w:rPr>
          <w:rFonts w:cs="Arial"/>
          <w:sz w:val="20"/>
          <w:szCs w:val="20"/>
        </w:rPr>
        <w:t xml:space="preserve">The Committee </w:t>
      </w:r>
      <w:r w:rsidR="00631432" w:rsidRPr="00335764">
        <w:rPr>
          <w:rFonts w:cs="Arial"/>
          <w:sz w:val="20"/>
          <w:szCs w:val="20"/>
        </w:rPr>
        <w:t>believe</w:t>
      </w:r>
      <w:r w:rsidRPr="00335764">
        <w:rPr>
          <w:rFonts w:cs="Arial"/>
          <w:sz w:val="20"/>
          <w:szCs w:val="20"/>
        </w:rPr>
        <w:t>s</w:t>
      </w:r>
      <w:r w:rsidR="00631432" w:rsidRPr="00335764">
        <w:rPr>
          <w:rFonts w:cs="Arial"/>
          <w:sz w:val="20"/>
          <w:szCs w:val="20"/>
        </w:rPr>
        <w:t xml:space="preserve"> that the Department’s risk assessment and mitigation strategy remains a concern. For instance, it is difficult to understand why in its risk assessment, the Department does not highlight its infrastructure, load-shedding </w:t>
      </w:r>
      <w:r w:rsidR="001E3C09" w:rsidRPr="00335764">
        <w:rPr>
          <w:rFonts w:cs="Arial"/>
          <w:sz w:val="20"/>
          <w:szCs w:val="20"/>
        </w:rPr>
        <w:t>challenges,</w:t>
      </w:r>
      <w:r w:rsidR="00631432" w:rsidRPr="00335764">
        <w:rPr>
          <w:rFonts w:cs="Arial"/>
          <w:sz w:val="20"/>
          <w:szCs w:val="20"/>
        </w:rPr>
        <w:t xml:space="preserve"> or the matter of case backlogs, given the negative impact of these on the functioning and efficacy of the justice system, in its risk assessment matrix in the APP. </w:t>
      </w:r>
      <w:r w:rsidR="00703E27" w:rsidRPr="00335764">
        <w:rPr>
          <w:rFonts w:cs="Arial"/>
          <w:sz w:val="20"/>
          <w:szCs w:val="20"/>
        </w:rPr>
        <w:t>Also,</w:t>
      </w:r>
      <w:r w:rsidR="00631432" w:rsidRPr="00335764">
        <w:rPr>
          <w:rFonts w:cs="Arial"/>
          <w:sz w:val="20"/>
          <w:szCs w:val="20"/>
        </w:rPr>
        <w:t xml:space="preserve"> its external opportunities and threats assessment was not updated.</w:t>
      </w:r>
    </w:p>
    <w:p w:rsidR="00631432" w:rsidRPr="00335764" w:rsidRDefault="00631432" w:rsidP="00335764">
      <w:pPr>
        <w:pStyle w:val="ListParagraph"/>
        <w:spacing w:line="240" w:lineRule="auto"/>
        <w:ind w:left="862"/>
        <w:jc w:val="left"/>
        <w:rPr>
          <w:rFonts w:cs="Arial"/>
          <w:sz w:val="20"/>
          <w:szCs w:val="20"/>
        </w:rPr>
      </w:pPr>
    </w:p>
    <w:p w:rsidR="00C64A5C" w:rsidRPr="00335764" w:rsidRDefault="00C64A5C" w:rsidP="00335764">
      <w:pPr>
        <w:pStyle w:val="ListParagraph"/>
        <w:spacing w:line="240" w:lineRule="auto"/>
        <w:ind w:left="862"/>
        <w:jc w:val="left"/>
        <w:rPr>
          <w:rFonts w:cs="Arial"/>
          <w:sz w:val="20"/>
          <w:szCs w:val="20"/>
        </w:rPr>
      </w:pPr>
      <w:r w:rsidRPr="00335764">
        <w:rPr>
          <w:rFonts w:cs="Arial"/>
          <w:sz w:val="20"/>
          <w:szCs w:val="20"/>
        </w:rPr>
        <w:t xml:space="preserve">In </w:t>
      </w:r>
      <w:r w:rsidR="000F2CFD" w:rsidRPr="00335764">
        <w:rPr>
          <w:rFonts w:cs="Arial"/>
          <w:sz w:val="20"/>
          <w:szCs w:val="20"/>
        </w:rPr>
        <w:t xml:space="preserve">the Committee’s </w:t>
      </w:r>
      <w:r w:rsidRPr="00335764">
        <w:rPr>
          <w:rFonts w:cs="Arial"/>
          <w:sz w:val="20"/>
          <w:szCs w:val="20"/>
        </w:rPr>
        <w:t xml:space="preserve">view, </w:t>
      </w:r>
      <w:r w:rsidR="00703E27" w:rsidRPr="00335764">
        <w:rPr>
          <w:rFonts w:cs="Arial"/>
          <w:sz w:val="20"/>
          <w:szCs w:val="20"/>
        </w:rPr>
        <w:t>all</w:t>
      </w:r>
      <w:r w:rsidR="00631432" w:rsidRPr="00335764">
        <w:rPr>
          <w:rFonts w:cs="Arial"/>
          <w:sz w:val="20"/>
          <w:szCs w:val="20"/>
        </w:rPr>
        <w:t xml:space="preserve"> the </w:t>
      </w:r>
      <w:r w:rsidRPr="00335764">
        <w:rPr>
          <w:rFonts w:cs="Arial"/>
          <w:sz w:val="20"/>
          <w:szCs w:val="20"/>
        </w:rPr>
        <w:t xml:space="preserve">above indicate that the Department’s planning abilities require considerable attention going forward. </w:t>
      </w:r>
    </w:p>
    <w:p w:rsidR="00745FF1" w:rsidRPr="00335764" w:rsidRDefault="00745FF1" w:rsidP="00335764">
      <w:pPr>
        <w:spacing w:line="240" w:lineRule="auto"/>
        <w:jc w:val="left"/>
        <w:rPr>
          <w:rFonts w:cs="Arial"/>
          <w:sz w:val="20"/>
          <w:szCs w:val="20"/>
        </w:rPr>
      </w:pPr>
    </w:p>
    <w:p w:rsidR="00745FF1" w:rsidRPr="00335764" w:rsidRDefault="000F2CFD" w:rsidP="00335764">
      <w:pPr>
        <w:numPr>
          <w:ilvl w:val="1"/>
          <w:numId w:val="1"/>
        </w:numPr>
        <w:spacing w:line="240" w:lineRule="auto"/>
        <w:ind w:hanging="862"/>
        <w:jc w:val="left"/>
        <w:rPr>
          <w:rFonts w:cs="Arial"/>
          <w:sz w:val="20"/>
          <w:szCs w:val="20"/>
        </w:rPr>
      </w:pPr>
      <w:r w:rsidRPr="00335764">
        <w:rPr>
          <w:rFonts w:cs="Arial"/>
          <w:sz w:val="20"/>
          <w:szCs w:val="20"/>
        </w:rPr>
        <w:t xml:space="preserve">The Committee </w:t>
      </w:r>
      <w:r w:rsidR="00745FF1" w:rsidRPr="00335764">
        <w:rPr>
          <w:rFonts w:cs="Arial"/>
          <w:sz w:val="20"/>
          <w:szCs w:val="20"/>
        </w:rPr>
        <w:t>note</w:t>
      </w:r>
      <w:r w:rsidRPr="00335764">
        <w:rPr>
          <w:rFonts w:cs="Arial"/>
          <w:sz w:val="20"/>
          <w:szCs w:val="20"/>
        </w:rPr>
        <w:t>s</w:t>
      </w:r>
      <w:r w:rsidR="00745FF1" w:rsidRPr="00335764">
        <w:rPr>
          <w:rFonts w:cs="Arial"/>
          <w:sz w:val="20"/>
          <w:szCs w:val="20"/>
        </w:rPr>
        <w:t xml:space="preserve"> the Department’s view that its performance in 2021/22 </w:t>
      </w:r>
      <w:r w:rsidR="00960153" w:rsidRPr="00335764">
        <w:rPr>
          <w:rFonts w:cs="Arial"/>
          <w:sz w:val="20"/>
          <w:szCs w:val="20"/>
        </w:rPr>
        <w:t xml:space="preserve">and 2022/23 </w:t>
      </w:r>
      <w:r w:rsidR="00745FF1" w:rsidRPr="00335764">
        <w:rPr>
          <w:rFonts w:cs="Arial"/>
          <w:sz w:val="20"/>
          <w:szCs w:val="20"/>
        </w:rPr>
        <w:t xml:space="preserve">has shown significant signs of recovery and upward trajectory and will engage with the Department’s annual report and audit report later this year. </w:t>
      </w:r>
      <w:r w:rsidR="00960153" w:rsidRPr="00335764">
        <w:rPr>
          <w:rFonts w:cs="Arial"/>
          <w:sz w:val="20"/>
          <w:szCs w:val="20"/>
        </w:rPr>
        <w:t xml:space="preserve">However, </w:t>
      </w:r>
      <w:r w:rsidRPr="00335764">
        <w:rPr>
          <w:rFonts w:cs="Arial"/>
          <w:sz w:val="20"/>
          <w:szCs w:val="20"/>
        </w:rPr>
        <w:t xml:space="preserve">the Committee </w:t>
      </w:r>
      <w:r w:rsidR="00960153" w:rsidRPr="00335764">
        <w:rPr>
          <w:rFonts w:cs="Arial"/>
          <w:sz w:val="20"/>
          <w:szCs w:val="20"/>
        </w:rPr>
        <w:t>continue</w:t>
      </w:r>
      <w:r w:rsidRPr="00335764">
        <w:rPr>
          <w:rFonts w:cs="Arial"/>
          <w:sz w:val="20"/>
          <w:szCs w:val="20"/>
        </w:rPr>
        <w:t>s</w:t>
      </w:r>
      <w:r w:rsidR="00960153" w:rsidRPr="00335764">
        <w:rPr>
          <w:rFonts w:cs="Arial"/>
          <w:sz w:val="20"/>
          <w:szCs w:val="20"/>
        </w:rPr>
        <w:t xml:space="preserve"> to observe </w:t>
      </w:r>
      <w:r w:rsidR="00745FF1" w:rsidRPr="00335764">
        <w:rPr>
          <w:rFonts w:cs="Arial"/>
          <w:sz w:val="20"/>
          <w:szCs w:val="20"/>
        </w:rPr>
        <w:t>considerable difference</w:t>
      </w:r>
      <w:r w:rsidR="00960153" w:rsidRPr="00335764">
        <w:rPr>
          <w:rFonts w:cs="Arial"/>
          <w:sz w:val="20"/>
          <w:szCs w:val="20"/>
        </w:rPr>
        <w:t>s</w:t>
      </w:r>
      <w:r w:rsidR="00745FF1" w:rsidRPr="00335764">
        <w:rPr>
          <w:rFonts w:cs="Arial"/>
          <w:sz w:val="20"/>
          <w:szCs w:val="20"/>
        </w:rPr>
        <w:t xml:space="preserve"> between what is presented at strategic meetings and what happe</w:t>
      </w:r>
      <w:r w:rsidR="00960153" w:rsidRPr="00335764">
        <w:rPr>
          <w:rFonts w:cs="Arial"/>
          <w:sz w:val="20"/>
          <w:szCs w:val="20"/>
        </w:rPr>
        <w:t xml:space="preserve">ns on the ground, which </w:t>
      </w:r>
      <w:r w:rsidRPr="00335764">
        <w:rPr>
          <w:rFonts w:cs="Arial"/>
          <w:sz w:val="20"/>
          <w:szCs w:val="20"/>
        </w:rPr>
        <w:t>it</w:t>
      </w:r>
      <w:r w:rsidR="00960153" w:rsidRPr="00335764">
        <w:rPr>
          <w:rFonts w:cs="Arial"/>
          <w:sz w:val="20"/>
          <w:szCs w:val="20"/>
        </w:rPr>
        <w:t xml:space="preserve"> find</w:t>
      </w:r>
      <w:r w:rsidRPr="00335764">
        <w:rPr>
          <w:rFonts w:cs="Arial"/>
          <w:sz w:val="20"/>
          <w:szCs w:val="20"/>
        </w:rPr>
        <w:t>s</w:t>
      </w:r>
      <w:r w:rsidR="00960153" w:rsidRPr="00335764">
        <w:rPr>
          <w:rFonts w:cs="Arial"/>
          <w:sz w:val="20"/>
          <w:szCs w:val="20"/>
        </w:rPr>
        <w:t xml:space="preserve"> </w:t>
      </w:r>
      <w:r w:rsidR="00745FF1" w:rsidRPr="00335764">
        <w:rPr>
          <w:rFonts w:cs="Arial"/>
          <w:sz w:val="20"/>
          <w:szCs w:val="20"/>
        </w:rPr>
        <w:t xml:space="preserve">deeply concerning. </w:t>
      </w:r>
    </w:p>
    <w:p w:rsidR="00745FF1" w:rsidRPr="00335764" w:rsidRDefault="00745FF1" w:rsidP="00335764">
      <w:pPr>
        <w:pStyle w:val="ListParagraph"/>
        <w:spacing w:line="240" w:lineRule="auto"/>
        <w:ind w:left="862"/>
        <w:jc w:val="left"/>
        <w:rPr>
          <w:rFonts w:cs="Arial"/>
          <w:sz w:val="20"/>
          <w:szCs w:val="20"/>
        </w:rPr>
      </w:pPr>
    </w:p>
    <w:p w:rsidR="00051AFD" w:rsidRPr="00335764" w:rsidRDefault="00051AFD" w:rsidP="00335764">
      <w:pPr>
        <w:numPr>
          <w:ilvl w:val="1"/>
          <w:numId w:val="1"/>
        </w:numPr>
        <w:spacing w:line="240" w:lineRule="auto"/>
        <w:ind w:hanging="862"/>
        <w:jc w:val="left"/>
        <w:rPr>
          <w:rFonts w:cs="Arial"/>
          <w:sz w:val="20"/>
          <w:szCs w:val="20"/>
        </w:rPr>
      </w:pPr>
      <w:r w:rsidRPr="00335764">
        <w:rPr>
          <w:rFonts w:cs="Arial"/>
          <w:i/>
          <w:iCs/>
          <w:sz w:val="20"/>
          <w:szCs w:val="20"/>
        </w:rPr>
        <w:t>Policy.</w:t>
      </w:r>
      <w:r w:rsidRPr="00335764">
        <w:rPr>
          <w:rFonts w:cs="Arial"/>
          <w:sz w:val="20"/>
          <w:szCs w:val="20"/>
        </w:rPr>
        <w:t xml:space="preserve"> The Committee notes</w:t>
      </w:r>
      <w:r w:rsidR="00CC19B5" w:rsidRPr="00335764">
        <w:rPr>
          <w:rFonts w:cs="Arial"/>
          <w:sz w:val="20"/>
          <w:szCs w:val="20"/>
        </w:rPr>
        <w:t xml:space="preserve"> that </w:t>
      </w:r>
      <w:r w:rsidRPr="00335764">
        <w:rPr>
          <w:rFonts w:cs="Arial"/>
          <w:sz w:val="20"/>
          <w:szCs w:val="20"/>
        </w:rPr>
        <w:t>the target date for submitting a discussion document to the President on the social compact between the Executive, Judiciary and Legislative tiers of government is 31 March 2024. Specifically, Quarters 1 and 2 of 2023/24 are set aside for consultation with the Judiciary and Legislature.</w:t>
      </w:r>
    </w:p>
    <w:p w:rsidR="00914288" w:rsidRPr="00335764" w:rsidRDefault="00914288" w:rsidP="00335764">
      <w:pPr>
        <w:spacing w:line="240" w:lineRule="auto"/>
        <w:ind w:left="862"/>
        <w:jc w:val="left"/>
        <w:rPr>
          <w:rFonts w:cs="Arial"/>
          <w:sz w:val="20"/>
          <w:szCs w:val="20"/>
        </w:rPr>
      </w:pPr>
    </w:p>
    <w:p w:rsidR="00914288" w:rsidRPr="00335764" w:rsidRDefault="00914288" w:rsidP="00335764">
      <w:pPr>
        <w:spacing w:line="240" w:lineRule="auto"/>
        <w:ind w:left="862"/>
        <w:jc w:val="left"/>
        <w:rPr>
          <w:rFonts w:cs="Arial"/>
          <w:sz w:val="20"/>
          <w:szCs w:val="20"/>
        </w:rPr>
      </w:pPr>
      <w:r w:rsidRPr="00335764">
        <w:rPr>
          <w:rFonts w:cs="Arial"/>
          <w:sz w:val="20"/>
          <w:szCs w:val="20"/>
        </w:rPr>
        <w:t>The Department also intends to</w:t>
      </w:r>
      <w:r w:rsidR="00777D55" w:rsidRPr="00335764">
        <w:rPr>
          <w:rFonts w:cs="Arial"/>
          <w:sz w:val="20"/>
          <w:szCs w:val="20"/>
        </w:rPr>
        <w:t xml:space="preserve"> develop several </w:t>
      </w:r>
      <w:r w:rsidRPr="00335764">
        <w:rPr>
          <w:rFonts w:cs="Arial"/>
          <w:sz w:val="20"/>
          <w:szCs w:val="20"/>
        </w:rPr>
        <w:t xml:space="preserve">institutional policies. </w:t>
      </w:r>
      <w:r w:rsidR="00777D55" w:rsidRPr="00335764">
        <w:rPr>
          <w:rFonts w:cs="Arial"/>
          <w:sz w:val="20"/>
          <w:szCs w:val="20"/>
        </w:rPr>
        <w:t xml:space="preserve">Regrettably, the APP does not include timeframes for </w:t>
      </w:r>
      <w:r w:rsidRPr="00335764">
        <w:rPr>
          <w:rFonts w:cs="Arial"/>
          <w:sz w:val="20"/>
          <w:szCs w:val="20"/>
        </w:rPr>
        <w:t>the finalisation of these policies</w:t>
      </w:r>
      <w:r w:rsidR="00777D55" w:rsidRPr="00335764">
        <w:rPr>
          <w:rFonts w:cs="Arial"/>
          <w:sz w:val="20"/>
          <w:szCs w:val="20"/>
        </w:rPr>
        <w:t xml:space="preserve">. These policies include the long-promised </w:t>
      </w:r>
      <w:r w:rsidRPr="00335764">
        <w:rPr>
          <w:rFonts w:cs="Arial"/>
          <w:sz w:val="20"/>
          <w:szCs w:val="20"/>
        </w:rPr>
        <w:t>Policy on Judicial Gover</w:t>
      </w:r>
      <w:r w:rsidR="00777D55" w:rsidRPr="00335764">
        <w:rPr>
          <w:rFonts w:cs="Arial"/>
          <w:sz w:val="20"/>
          <w:szCs w:val="20"/>
        </w:rPr>
        <w:t>nance and Court Administration, which according to the Minister is ready for consultation.</w:t>
      </w:r>
      <w:r w:rsidRPr="00335764">
        <w:rPr>
          <w:rFonts w:cs="Arial"/>
          <w:sz w:val="20"/>
          <w:szCs w:val="20"/>
        </w:rPr>
        <w:t xml:space="preserve"> </w:t>
      </w:r>
      <w:r w:rsidR="00CC19B5" w:rsidRPr="00335764">
        <w:rPr>
          <w:rFonts w:cs="Arial"/>
          <w:sz w:val="20"/>
          <w:szCs w:val="20"/>
        </w:rPr>
        <w:t>The Committee requests further information on these institutional policies, with associated deadline, before 30 June 2023.</w:t>
      </w:r>
    </w:p>
    <w:p w:rsidR="00914288" w:rsidRPr="00335764" w:rsidRDefault="00914288" w:rsidP="00335764">
      <w:pPr>
        <w:spacing w:line="240" w:lineRule="auto"/>
        <w:ind w:left="862"/>
        <w:jc w:val="left"/>
        <w:rPr>
          <w:rFonts w:cs="Arial"/>
          <w:sz w:val="20"/>
          <w:szCs w:val="20"/>
        </w:rPr>
      </w:pPr>
    </w:p>
    <w:p w:rsidR="00745FF1" w:rsidRPr="00335764" w:rsidRDefault="00960153" w:rsidP="00335764">
      <w:pPr>
        <w:numPr>
          <w:ilvl w:val="1"/>
          <w:numId w:val="1"/>
        </w:numPr>
        <w:spacing w:line="240" w:lineRule="auto"/>
        <w:ind w:hanging="862"/>
        <w:jc w:val="left"/>
        <w:rPr>
          <w:rFonts w:cs="Arial"/>
          <w:i/>
          <w:iCs/>
          <w:sz w:val="20"/>
          <w:szCs w:val="20"/>
        </w:rPr>
      </w:pPr>
      <w:r w:rsidRPr="00335764">
        <w:rPr>
          <w:rFonts w:cs="Arial"/>
          <w:i/>
          <w:iCs/>
          <w:sz w:val="20"/>
          <w:szCs w:val="20"/>
        </w:rPr>
        <w:t xml:space="preserve">Vacancies. </w:t>
      </w:r>
    </w:p>
    <w:p w:rsidR="00745FF1" w:rsidRPr="00335764" w:rsidRDefault="00745FF1" w:rsidP="00335764">
      <w:pPr>
        <w:pStyle w:val="ListParagraph"/>
        <w:spacing w:line="240" w:lineRule="auto"/>
        <w:jc w:val="left"/>
        <w:rPr>
          <w:rFonts w:cs="Arial"/>
          <w:sz w:val="20"/>
          <w:szCs w:val="20"/>
        </w:rPr>
      </w:pPr>
    </w:p>
    <w:p w:rsidR="00745FF1" w:rsidRPr="00335764" w:rsidRDefault="000F2CFD" w:rsidP="00335764">
      <w:pPr>
        <w:pStyle w:val="ListParagraph"/>
        <w:numPr>
          <w:ilvl w:val="2"/>
          <w:numId w:val="1"/>
        </w:numPr>
        <w:spacing w:line="240" w:lineRule="auto"/>
        <w:ind w:hanging="862"/>
        <w:jc w:val="left"/>
        <w:rPr>
          <w:rFonts w:cs="Arial"/>
          <w:sz w:val="20"/>
          <w:szCs w:val="20"/>
        </w:rPr>
      </w:pPr>
      <w:r w:rsidRPr="00335764">
        <w:rPr>
          <w:rFonts w:cs="Arial"/>
          <w:sz w:val="20"/>
          <w:szCs w:val="20"/>
        </w:rPr>
        <w:t>The Committee notes</w:t>
      </w:r>
      <w:r w:rsidR="00C64A5C" w:rsidRPr="00335764">
        <w:rPr>
          <w:rFonts w:cs="Arial"/>
          <w:sz w:val="20"/>
          <w:szCs w:val="20"/>
        </w:rPr>
        <w:t xml:space="preserve"> that the Department continues to struggle to fill </w:t>
      </w:r>
      <w:r w:rsidR="00703E27" w:rsidRPr="00335764">
        <w:rPr>
          <w:rFonts w:cs="Arial"/>
          <w:sz w:val="20"/>
          <w:szCs w:val="20"/>
        </w:rPr>
        <w:t>several</w:t>
      </w:r>
      <w:r w:rsidR="00C64A5C" w:rsidRPr="00335764">
        <w:rPr>
          <w:rFonts w:cs="Arial"/>
          <w:sz w:val="20"/>
          <w:szCs w:val="20"/>
        </w:rPr>
        <w:t xml:space="preserve"> critical SMS positions on a permanent basis, notably the positions of Chief Master, DDG: </w:t>
      </w:r>
      <w:r w:rsidR="00454B7D" w:rsidRPr="00335764">
        <w:rPr>
          <w:rFonts w:cs="Arial"/>
          <w:sz w:val="20"/>
          <w:szCs w:val="20"/>
        </w:rPr>
        <w:t>C</w:t>
      </w:r>
      <w:r w:rsidR="00C64A5C" w:rsidRPr="00335764">
        <w:rPr>
          <w:rFonts w:cs="Arial"/>
          <w:sz w:val="20"/>
          <w:szCs w:val="20"/>
        </w:rPr>
        <w:t xml:space="preserve">ourt Services, DDG: Constitutional Development and Head: Justice College. At present all these positions are filled in an acting capacity. Also, despite repeated requests to resolve the matter of a permanent appointment of a Solicitor-General, there has been limited progress. </w:t>
      </w:r>
      <w:r w:rsidRPr="00335764">
        <w:rPr>
          <w:rFonts w:cs="Arial"/>
          <w:sz w:val="20"/>
          <w:szCs w:val="20"/>
        </w:rPr>
        <w:t>The Committee</w:t>
      </w:r>
      <w:r w:rsidR="00631432" w:rsidRPr="00335764">
        <w:rPr>
          <w:rFonts w:cs="Arial"/>
          <w:sz w:val="20"/>
          <w:szCs w:val="20"/>
        </w:rPr>
        <w:t xml:space="preserve">, therefore, </w:t>
      </w:r>
      <w:r w:rsidR="00745FF1" w:rsidRPr="00335764">
        <w:rPr>
          <w:rFonts w:cs="Arial"/>
          <w:sz w:val="20"/>
          <w:szCs w:val="20"/>
        </w:rPr>
        <w:t xml:space="preserve">ask that </w:t>
      </w:r>
      <w:r w:rsidRPr="00335764">
        <w:rPr>
          <w:rFonts w:cs="Arial"/>
          <w:sz w:val="20"/>
          <w:szCs w:val="20"/>
        </w:rPr>
        <w:t>it</w:t>
      </w:r>
      <w:r w:rsidR="00576C61" w:rsidRPr="00335764">
        <w:rPr>
          <w:rFonts w:cs="Arial"/>
          <w:sz w:val="20"/>
          <w:szCs w:val="20"/>
        </w:rPr>
        <w:t xml:space="preserve"> be</w:t>
      </w:r>
      <w:r w:rsidR="00745FF1" w:rsidRPr="00335764">
        <w:rPr>
          <w:rFonts w:cs="Arial"/>
          <w:sz w:val="20"/>
          <w:szCs w:val="20"/>
        </w:rPr>
        <w:t xml:space="preserve"> provided with the following informati</w:t>
      </w:r>
      <w:r w:rsidR="009D4266" w:rsidRPr="00335764">
        <w:rPr>
          <w:rFonts w:cs="Arial"/>
          <w:sz w:val="20"/>
          <w:szCs w:val="20"/>
        </w:rPr>
        <w:t>on, in writing, b</w:t>
      </w:r>
      <w:r w:rsidR="004B2BB0" w:rsidRPr="00335764">
        <w:rPr>
          <w:rFonts w:cs="Arial"/>
          <w:sz w:val="20"/>
          <w:szCs w:val="20"/>
        </w:rPr>
        <w:t xml:space="preserve">efore </w:t>
      </w:r>
      <w:r w:rsidR="00960153" w:rsidRPr="00335764">
        <w:rPr>
          <w:rFonts w:cs="Arial"/>
          <w:sz w:val="20"/>
          <w:szCs w:val="20"/>
        </w:rPr>
        <w:t>30 June 2023</w:t>
      </w:r>
      <w:r w:rsidR="009D4266" w:rsidRPr="00335764">
        <w:rPr>
          <w:rFonts w:cs="Arial"/>
          <w:sz w:val="20"/>
          <w:szCs w:val="20"/>
        </w:rPr>
        <w:t>:</w:t>
      </w:r>
    </w:p>
    <w:p w:rsidR="00745FF1" w:rsidRPr="00335764" w:rsidRDefault="00DD367D" w:rsidP="00335764">
      <w:pPr>
        <w:numPr>
          <w:ilvl w:val="0"/>
          <w:numId w:val="8"/>
        </w:numPr>
        <w:tabs>
          <w:tab w:val="left" w:pos="1418"/>
        </w:tabs>
        <w:spacing w:line="240" w:lineRule="auto"/>
        <w:ind w:left="1418" w:hanging="567"/>
        <w:jc w:val="left"/>
        <w:rPr>
          <w:rFonts w:cs="Arial"/>
          <w:sz w:val="20"/>
          <w:szCs w:val="20"/>
        </w:rPr>
      </w:pPr>
      <w:r w:rsidRPr="00335764">
        <w:rPr>
          <w:rFonts w:cs="Arial"/>
          <w:sz w:val="20"/>
          <w:szCs w:val="20"/>
        </w:rPr>
        <w:t xml:space="preserve">Details </w:t>
      </w:r>
      <w:r w:rsidR="00745FF1" w:rsidRPr="00335764">
        <w:rPr>
          <w:rFonts w:cs="Arial"/>
          <w:sz w:val="20"/>
          <w:szCs w:val="20"/>
        </w:rPr>
        <w:t>of vacancies, particularly at SMS level, but also in critical positions</w:t>
      </w:r>
      <w:r w:rsidRPr="00335764">
        <w:rPr>
          <w:rFonts w:cs="Arial"/>
          <w:sz w:val="20"/>
          <w:szCs w:val="20"/>
        </w:rPr>
        <w:t>;</w:t>
      </w:r>
      <w:r w:rsidR="00745FF1" w:rsidRPr="00335764">
        <w:rPr>
          <w:rFonts w:cs="Arial"/>
          <w:sz w:val="20"/>
          <w:szCs w:val="20"/>
        </w:rPr>
        <w:t xml:space="preserve"> how long the positions have been vacant for</w:t>
      </w:r>
      <w:r w:rsidRPr="00335764">
        <w:rPr>
          <w:rFonts w:cs="Arial"/>
          <w:sz w:val="20"/>
          <w:szCs w:val="20"/>
        </w:rPr>
        <w:t>;</w:t>
      </w:r>
      <w:r w:rsidR="00745FF1" w:rsidRPr="00335764">
        <w:rPr>
          <w:rFonts w:cs="Arial"/>
          <w:sz w:val="20"/>
          <w:szCs w:val="20"/>
        </w:rPr>
        <w:t xml:space="preserve"> the related recruitment plan, with timeframes, as well as an explanation for any delay, if applicable.</w:t>
      </w:r>
    </w:p>
    <w:p w:rsidR="00745FF1" w:rsidRPr="00335764" w:rsidRDefault="00745FF1" w:rsidP="00335764">
      <w:pPr>
        <w:numPr>
          <w:ilvl w:val="0"/>
          <w:numId w:val="8"/>
        </w:numPr>
        <w:tabs>
          <w:tab w:val="left" w:pos="1418"/>
        </w:tabs>
        <w:spacing w:line="240" w:lineRule="auto"/>
        <w:ind w:left="1418" w:hanging="567"/>
        <w:jc w:val="left"/>
        <w:rPr>
          <w:rFonts w:cs="Arial"/>
          <w:sz w:val="20"/>
          <w:szCs w:val="20"/>
        </w:rPr>
      </w:pPr>
      <w:r w:rsidRPr="00335764">
        <w:rPr>
          <w:rFonts w:cs="Arial"/>
          <w:sz w:val="20"/>
          <w:szCs w:val="20"/>
        </w:rPr>
        <w:t xml:space="preserve">Details of the progress made to reposition and redefine Justice College, including related timeframes, </w:t>
      </w:r>
      <w:r w:rsidR="00261D2C" w:rsidRPr="00335764">
        <w:rPr>
          <w:rFonts w:cs="Arial"/>
          <w:sz w:val="20"/>
          <w:szCs w:val="20"/>
        </w:rPr>
        <w:t>challenges,</w:t>
      </w:r>
      <w:r w:rsidRPr="00335764">
        <w:rPr>
          <w:rFonts w:cs="Arial"/>
          <w:sz w:val="20"/>
          <w:szCs w:val="20"/>
        </w:rPr>
        <w:t xml:space="preserve"> and mitigation strategies. The report should also include information on the use of external service providers to provide training.</w:t>
      </w:r>
    </w:p>
    <w:p w:rsidR="00C64A5C" w:rsidRPr="00335764" w:rsidRDefault="00C64A5C" w:rsidP="00335764">
      <w:pPr>
        <w:pStyle w:val="ListParagraph"/>
        <w:spacing w:line="240" w:lineRule="auto"/>
        <w:ind w:left="862"/>
        <w:jc w:val="left"/>
        <w:rPr>
          <w:rFonts w:cs="Arial"/>
          <w:sz w:val="20"/>
          <w:szCs w:val="20"/>
        </w:rPr>
      </w:pPr>
    </w:p>
    <w:p w:rsidR="00960153" w:rsidRPr="00335764" w:rsidRDefault="00C64A5C" w:rsidP="00335764">
      <w:pPr>
        <w:pStyle w:val="ListParagraph"/>
        <w:numPr>
          <w:ilvl w:val="2"/>
          <w:numId w:val="1"/>
        </w:numPr>
        <w:spacing w:line="240" w:lineRule="auto"/>
        <w:ind w:hanging="862"/>
        <w:jc w:val="left"/>
        <w:rPr>
          <w:rFonts w:cs="Arial"/>
          <w:sz w:val="20"/>
          <w:szCs w:val="20"/>
        </w:rPr>
      </w:pPr>
      <w:r w:rsidRPr="00335764">
        <w:rPr>
          <w:rFonts w:cs="Arial"/>
          <w:sz w:val="20"/>
          <w:szCs w:val="20"/>
        </w:rPr>
        <w:t xml:space="preserve">On a positive note, </w:t>
      </w:r>
      <w:r w:rsidR="00051AFD" w:rsidRPr="00335764">
        <w:rPr>
          <w:rFonts w:cs="Arial"/>
          <w:sz w:val="20"/>
          <w:szCs w:val="20"/>
        </w:rPr>
        <w:t xml:space="preserve">the Committee </w:t>
      </w:r>
      <w:r w:rsidRPr="00335764">
        <w:rPr>
          <w:rFonts w:cs="Arial"/>
          <w:sz w:val="20"/>
          <w:szCs w:val="20"/>
        </w:rPr>
        <w:t>welcome</w:t>
      </w:r>
      <w:r w:rsidR="00051AFD" w:rsidRPr="00335764">
        <w:rPr>
          <w:rFonts w:cs="Arial"/>
          <w:sz w:val="20"/>
          <w:szCs w:val="20"/>
        </w:rPr>
        <w:t>s</w:t>
      </w:r>
      <w:r w:rsidRPr="00335764">
        <w:rPr>
          <w:rFonts w:cs="Arial"/>
          <w:sz w:val="20"/>
          <w:szCs w:val="20"/>
        </w:rPr>
        <w:t xml:space="preserve"> the appointment of Mr Jabulani Hlatshwayo to the position of DDG: Information and Communication Technology and wish him well in the position. The appointment is made as the Department seeks to reduce its dependence on outsourced contract ICT staff, strengthen its internal ICT infrastructure and capacity following a devastating cyberattack and ramp-up its modernisation programme.</w:t>
      </w:r>
    </w:p>
    <w:p w:rsidR="00631432" w:rsidRPr="00335764" w:rsidRDefault="00631432" w:rsidP="00335764">
      <w:pPr>
        <w:pStyle w:val="ListParagraph"/>
        <w:spacing w:line="240" w:lineRule="auto"/>
        <w:ind w:left="862"/>
        <w:jc w:val="left"/>
        <w:rPr>
          <w:rFonts w:cs="Arial"/>
          <w:sz w:val="20"/>
          <w:szCs w:val="20"/>
        </w:rPr>
      </w:pPr>
    </w:p>
    <w:p w:rsidR="00745FF1" w:rsidRPr="00335764" w:rsidRDefault="00745FF1" w:rsidP="00335764">
      <w:pPr>
        <w:numPr>
          <w:ilvl w:val="1"/>
          <w:numId w:val="1"/>
        </w:numPr>
        <w:spacing w:line="240" w:lineRule="auto"/>
        <w:ind w:hanging="862"/>
        <w:jc w:val="left"/>
        <w:rPr>
          <w:rFonts w:cs="Arial"/>
          <w:sz w:val="20"/>
          <w:szCs w:val="20"/>
        </w:rPr>
      </w:pPr>
      <w:r w:rsidRPr="00335764">
        <w:rPr>
          <w:rFonts w:cs="Arial"/>
          <w:i/>
          <w:sz w:val="20"/>
          <w:szCs w:val="20"/>
        </w:rPr>
        <w:t>Consequence management</w:t>
      </w:r>
      <w:r w:rsidRPr="00335764">
        <w:rPr>
          <w:rFonts w:cs="Arial"/>
          <w:sz w:val="20"/>
          <w:szCs w:val="20"/>
        </w:rPr>
        <w:t xml:space="preserve">. The Committee asks that it be </w:t>
      </w:r>
      <w:r w:rsidR="00631432" w:rsidRPr="00335764">
        <w:rPr>
          <w:rFonts w:cs="Arial"/>
          <w:sz w:val="20"/>
          <w:szCs w:val="20"/>
        </w:rPr>
        <w:t xml:space="preserve">provided with </w:t>
      </w:r>
      <w:r w:rsidRPr="00335764">
        <w:rPr>
          <w:rFonts w:cs="Arial"/>
          <w:sz w:val="20"/>
          <w:szCs w:val="20"/>
        </w:rPr>
        <w:t xml:space="preserve">a consolidated report of all outstanding disciplinary matters </w:t>
      </w:r>
      <w:r w:rsidR="009F5A1C" w:rsidRPr="00335764">
        <w:rPr>
          <w:rFonts w:cs="Arial"/>
          <w:sz w:val="20"/>
          <w:szCs w:val="20"/>
        </w:rPr>
        <w:t xml:space="preserve">so that it may </w:t>
      </w:r>
      <w:r w:rsidR="00960153" w:rsidRPr="00335764">
        <w:rPr>
          <w:rFonts w:cs="Arial"/>
          <w:sz w:val="20"/>
          <w:szCs w:val="20"/>
        </w:rPr>
        <w:t xml:space="preserve">continue to </w:t>
      </w:r>
      <w:r w:rsidR="009F5A1C" w:rsidRPr="00335764">
        <w:rPr>
          <w:rFonts w:cs="Arial"/>
          <w:sz w:val="20"/>
          <w:szCs w:val="20"/>
        </w:rPr>
        <w:t>track progress, before</w:t>
      </w:r>
      <w:r w:rsidRPr="00335764">
        <w:rPr>
          <w:rFonts w:cs="Arial"/>
          <w:sz w:val="20"/>
          <w:szCs w:val="20"/>
        </w:rPr>
        <w:t xml:space="preserve"> 30 June 202</w:t>
      </w:r>
      <w:r w:rsidR="00960153" w:rsidRPr="00335764">
        <w:rPr>
          <w:rFonts w:cs="Arial"/>
          <w:sz w:val="20"/>
          <w:szCs w:val="20"/>
        </w:rPr>
        <w:t>3</w:t>
      </w:r>
      <w:r w:rsidRPr="00335764">
        <w:rPr>
          <w:rFonts w:cs="Arial"/>
          <w:sz w:val="20"/>
          <w:szCs w:val="20"/>
        </w:rPr>
        <w:t>.</w:t>
      </w:r>
    </w:p>
    <w:p w:rsidR="00745FF1" w:rsidRPr="00335764" w:rsidRDefault="00745FF1" w:rsidP="00335764">
      <w:pPr>
        <w:spacing w:line="240" w:lineRule="auto"/>
        <w:jc w:val="left"/>
        <w:rPr>
          <w:rFonts w:cs="Arial"/>
          <w:sz w:val="20"/>
          <w:szCs w:val="20"/>
        </w:rPr>
      </w:pPr>
    </w:p>
    <w:p w:rsidR="00745FF1" w:rsidRPr="00335764" w:rsidRDefault="00745FF1" w:rsidP="00335764">
      <w:pPr>
        <w:numPr>
          <w:ilvl w:val="1"/>
          <w:numId w:val="1"/>
        </w:numPr>
        <w:spacing w:line="240" w:lineRule="auto"/>
        <w:ind w:hanging="862"/>
        <w:jc w:val="left"/>
        <w:rPr>
          <w:rFonts w:cs="Arial"/>
          <w:sz w:val="20"/>
          <w:szCs w:val="20"/>
        </w:rPr>
      </w:pPr>
      <w:r w:rsidRPr="00335764">
        <w:rPr>
          <w:rFonts w:cs="Arial"/>
          <w:i/>
          <w:sz w:val="20"/>
          <w:szCs w:val="20"/>
        </w:rPr>
        <w:t>Audit action plan</w:t>
      </w:r>
      <w:r w:rsidRPr="00335764">
        <w:rPr>
          <w:rFonts w:cs="Arial"/>
          <w:sz w:val="20"/>
          <w:szCs w:val="20"/>
        </w:rPr>
        <w:t xml:space="preserve">: </w:t>
      </w:r>
      <w:r w:rsidR="00C64A5C" w:rsidRPr="00335764">
        <w:rPr>
          <w:rFonts w:cs="Arial"/>
          <w:sz w:val="20"/>
          <w:szCs w:val="20"/>
        </w:rPr>
        <w:t xml:space="preserve">The Committee notes that the Department estimates that it will receive an unqualified audit opinion for 2022/23 and, if achieved, this would be a welcome outcome. In this regard, the Department has specifically committed to no longer being qualified </w:t>
      </w:r>
      <w:r w:rsidR="00905AF0" w:rsidRPr="00335764">
        <w:rPr>
          <w:rFonts w:cs="Arial"/>
          <w:sz w:val="20"/>
          <w:szCs w:val="20"/>
        </w:rPr>
        <w:t>based on</w:t>
      </w:r>
      <w:r w:rsidR="00C64A5C" w:rsidRPr="00335764">
        <w:rPr>
          <w:rFonts w:cs="Arial"/>
          <w:sz w:val="20"/>
          <w:szCs w:val="20"/>
        </w:rPr>
        <w:t xml:space="preserve"> contingent liabilities and </w:t>
      </w:r>
      <w:r w:rsidR="00631432" w:rsidRPr="00335764">
        <w:rPr>
          <w:rFonts w:cs="Arial"/>
          <w:sz w:val="20"/>
          <w:szCs w:val="20"/>
        </w:rPr>
        <w:t xml:space="preserve">to achieve this </w:t>
      </w:r>
      <w:r w:rsidR="00C64A5C" w:rsidRPr="00335764">
        <w:rPr>
          <w:rFonts w:cs="Arial"/>
          <w:sz w:val="20"/>
          <w:szCs w:val="20"/>
        </w:rPr>
        <w:t>developed a Contingent Liability Plan. Although the Department ha</w:t>
      </w:r>
      <w:r w:rsidR="00051AFD" w:rsidRPr="00335764">
        <w:rPr>
          <w:rFonts w:cs="Arial"/>
          <w:sz w:val="20"/>
          <w:szCs w:val="20"/>
        </w:rPr>
        <w:t>d initially</w:t>
      </w:r>
      <w:r w:rsidR="00C64A5C" w:rsidRPr="00335764">
        <w:rPr>
          <w:rFonts w:cs="Arial"/>
          <w:sz w:val="20"/>
          <w:szCs w:val="20"/>
        </w:rPr>
        <w:t xml:space="preserve"> removed the indicator ‘Percentage of audit improvement plans implemented’, it reports that it will continue to implement audit action plans developed </w:t>
      </w:r>
      <w:r w:rsidR="00905AF0" w:rsidRPr="00335764">
        <w:rPr>
          <w:rFonts w:cs="Arial"/>
          <w:sz w:val="20"/>
          <w:szCs w:val="20"/>
        </w:rPr>
        <w:t>based on</w:t>
      </w:r>
      <w:r w:rsidR="00C64A5C" w:rsidRPr="00335764">
        <w:rPr>
          <w:rFonts w:cs="Arial"/>
          <w:sz w:val="20"/>
          <w:szCs w:val="20"/>
        </w:rPr>
        <w:t xml:space="preserve"> the audit outcome. </w:t>
      </w:r>
      <w:r w:rsidR="00631432" w:rsidRPr="00335764">
        <w:rPr>
          <w:rFonts w:cs="Arial"/>
          <w:sz w:val="20"/>
          <w:szCs w:val="20"/>
        </w:rPr>
        <w:t>Nonetheless</w:t>
      </w:r>
      <w:r w:rsidR="00986430" w:rsidRPr="00335764">
        <w:rPr>
          <w:rFonts w:cs="Arial"/>
          <w:sz w:val="20"/>
          <w:szCs w:val="20"/>
        </w:rPr>
        <w:t xml:space="preserve">, </w:t>
      </w:r>
      <w:r w:rsidR="000F2CFD" w:rsidRPr="00335764">
        <w:rPr>
          <w:rFonts w:cs="Arial"/>
          <w:sz w:val="20"/>
          <w:szCs w:val="20"/>
        </w:rPr>
        <w:t>the Committee</w:t>
      </w:r>
      <w:r w:rsidR="00986430" w:rsidRPr="00335764">
        <w:rPr>
          <w:rFonts w:cs="Arial"/>
          <w:sz w:val="20"/>
          <w:szCs w:val="20"/>
        </w:rPr>
        <w:t xml:space="preserve"> ask</w:t>
      </w:r>
      <w:r w:rsidR="000F2CFD" w:rsidRPr="00335764">
        <w:rPr>
          <w:rFonts w:cs="Arial"/>
          <w:sz w:val="20"/>
          <w:szCs w:val="20"/>
        </w:rPr>
        <w:t>s</w:t>
      </w:r>
      <w:r w:rsidR="00986430" w:rsidRPr="00335764">
        <w:rPr>
          <w:rFonts w:cs="Arial"/>
          <w:sz w:val="20"/>
          <w:szCs w:val="20"/>
        </w:rPr>
        <w:t xml:space="preserve"> </w:t>
      </w:r>
      <w:r w:rsidR="00631432" w:rsidRPr="00335764">
        <w:rPr>
          <w:rFonts w:cs="Arial"/>
          <w:sz w:val="20"/>
          <w:szCs w:val="20"/>
        </w:rPr>
        <w:t xml:space="preserve">for </w:t>
      </w:r>
      <w:r w:rsidRPr="00335764">
        <w:rPr>
          <w:rFonts w:cs="Arial"/>
          <w:sz w:val="20"/>
          <w:szCs w:val="20"/>
        </w:rPr>
        <w:t xml:space="preserve">the details of the commitments made, the interventions planned, </w:t>
      </w:r>
      <w:r w:rsidR="00DD367D" w:rsidRPr="00335764">
        <w:rPr>
          <w:rFonts w:cs="Arial"/>
          <w:sz w:val="20"/>
          <w:szCs w:val="20"/>
        </w:rPr>
        <w:t xml:space="preserve">and </w:t>
      </w:r>
      <w:r w:rsidRPr="00335764">
        <w:rPr>
          <w:rFonts w:cs="Arial"/>
          <w:sz w:val="20"/>
          <w:szCs w:val="20"/>
        </w:rPr>
        <w:t xml:space="preserve">the progress </w:t>
      </w:r>
      <w:r w:rsidR="00DD367D" w:rsidRPr="00335764">
        <w:rPr>
          <w:rFonts w:cs="Arial"/>
          <w:sz w:val="20"/>
          <w:szCs w:val="20"/>
        </w:rPr>
        <w:t>made</w:t>
      </w:r>
      <w:r w:rsidRPr="00335764">
        <w:rPr>
          <w:rFonts w:cs="Arial"/>
          <w:sz w:val="20"/>
          <w:szCs w:val="20"/>
        </w:rPr>
        <w:t>, b</w:t>
      </w:r>
      <w:r w:rsidR="00986430" w:rsidRPr="00335764">
        <w:rPr>
          <w:rFonts w:cs="Arial"/>
          <w:sz w:val="20"/>
          <w:szCs w:val="20"/>
        </w:rPr>
        <w:t xml:space="preserve">efore </w:t>
      </w:r>
      <w:r w:rsidRPr="00335764">
        <w:rPr>
          <w:rFonts w:cs="Arial"/>
          <w:sz w:val="20"/>
          <w:szCs w:val="20"/>
        </w:rPr>
        <w:t>30 June 202</w:t>
      </w:r>
      <w:r w:rsidR="00C64A5C" w:rsidRPr="00335764">
        <w:rPr>
          <w:rFonts w:cs="Arial"/>
          <w:sz w:val="20"/>
          <w:szCs w:val="20"/>
        </w:rPr>
        <w:t>3</w:t>
      </w:r>
      <w:r w:rsidRPr="00335764">
        <w:rPr>
          <w:rFonts w:cs="Arial"/>
          <w:sz w:val="20"/>
          <w:szCs w:val="20"/>
        </w:rPr>
        <w:t>.</w:t>
      </w:r>
    </w:p>
    <w:p w:rsidR="00745FF1" w:rsidRPr="00335764" w:rsidRDefault="00745FF1" w:rsidP="00335764">
      <w:pPr>
        <w:spacing w:line="240" w:lineRule="auto"/>
        <w:jc w:val="left"/>
        <w:rPr>
          <w:rFonts w:cs="Arial"/>
          <w:sz w:val="20"/>
          <w:szCs w:val="20"/>
        </w:rPr>
      </w:pPr>
    </w:p>
    <w:p w:rsidR="00745FF1" w:rsidRPr="00335764" w:rsidRDefault="00745FF1" w:rsidP="00335764">
      <w:pPr>
        <w:numPr>
          <w:ilvl w:val="1"/>
          <w:numId w:val="1"/>
        </w:numPr>
        <w:spacing w:line="240" w:lineRule="auto"/>
        <w:ind w:hanging="862"/>
        <w:jc w:val="left"/>
        <w:rPr>
          <w:rFonts w:cs="Arial"/>
          <w:sz w:val="20"/>
          <w:szCs w:val="20"/>
        </w:rPr>
      </w:pPr>
      <w:r w:rsidRPr="00335764">
        <w:rPr>
          <w:rFonts w:cs="Arial"/>
          <w:i/>
          <w:sz w:val="20"/>
          <w:szCs w:val="20"/>
        </w:rPr>
        <w:t>Rebuilding the ICT infrastructure and building internal capacity</w:t>
      </w:r>
      <w:r w:rsidRPr="00335764">
        <w:rPr>
          <w:rFonts w:cs="Arial"/>
          <w:sz w:val="20"/>
          <w:szCs w:val="20"/>
        </w:rPr>
        <w:t xml:space="preserve">. </w:t>
      </w:r>
      <w:r w:rsidR="00CE6205" w:rsidRPr="00335764">
        <w:rPr>
          <w:rFonts w:cs="Arial"/>
          <w:sz w:val="20"/>
          <w:szCs w:val="20"/>
        </w:rPr>
        <w:t>F</w:t>
      </w:r>
      <w:r w:rsidRPr="00335764">
        <w:rPr>
          <w:rFonts w:cs="Arial"/>
          <w:sz w:val="20"/>
          <w:szCs w:val="20"/>
        </w:rPr>
        <w:t xml:space="preserve">ollowing the ransomware attack, the Department </w:t>
      </w:r>
      <w:r w:rsidR="00CE6205" w:rsidRPr="00335764">
        <w:rPr>
          <w:rFonts w:cs="Arial"/>
          <w:sz w:val="20"/>
          <w:szCs w:val="20"/>
        </w:rPr>
        <w:t xml:space="preserve">reports that it </w:t>
      </w:r>
      <w:r w:rsidRPr="00335764">
        <w:rPr>
          <w:rFonts w:cs="Arial"/>
          <w:sz w:val="20"/>
          <w:szCs w:val="20"/>
        </w:rPr>
        <w:t xml:space="preserve">is </w:t>
      </w:r>
      <w:r w:rsidR="00CE6205" w:rsidRPr="00335764">
        <w:rPr>
          <w:rFonts w:cs="Arial"/>
          <w:sz w:val="20"/>
          <w:szCs w:val="20"/>
        </w:rPr>
        <w:t xml:space="preserve">engaged in </w:t>
      </w:r>
      <w:r w:rsidRPr="00335764">
        <w:rPr>
          <w:rFonts w:cs="Arial"/>
          <w:sz w:val="20"/>
          <w:szCs w:val="20"/>
        </w:rPr>
        <w:t xml:space="preserve">rebuilding its ICT infrastructure from scratch. </w:t>
      </w:r>
      <w:r w:rsidR="000F2CFD" w:rsidRPr="00335764">
        <w:rPr>
          <w:rFonts w:cs="Arial"/>
          <w:sz w:val="20"/>
          <w:szCs w:val="20"/>
        </w:rPr>
        <w:t xml:space="preserve">The Committee asks </w:t>
      </w:r>
      <w:r w:rsidRPr="00335764">
        <w:rPr>
          <w:rFonts w:cs="Arial"/>
          <w:sz w:val="20"/>
          <w:szCs w:val="20"/>
        </w:rPr>
        <w:t xml:space="preserve">that the Department </w:t>
      </w:r>
      <w:r w:rsidR="00CE6205" w:rsidRPr="00335764">
        <w:rPr>
          <w:rFonts w:cs="Arial"/>
          <w:sz w:val="20"/>
          <w:szCs w:val="20"/>
        </w:rPr>
        <w:t xml:space="preserve">update </w:t>
      </w:r>
      <w:r w:rsidR="000F2CFD" w:rsidRPr="00335764">
        <w:rPr>
          <w:rFonts w:cs="Arial"/>
          <w:sz w:val="20"/>
          <w:szCs w:val="20"/>
        </w:rPr>
        <w:t>it</w:t>
      </w:r>
      <w:r w:rsidR="00CE6205" w:rsidRPr="00335764">
        <w:rPr>
          <w:rFonts w:cs="Arial"/>
          <w:sz w:val="20"/>
          <w:szCs w:val="20"/>
        </w:rPr>
        <w:t xml:space="preserve">, </w:t>
      </w:r>
      <w:r w:rsidRPr="00335764">
        <w:rPr>
          <w:rFonts w:cs="Arial"/>
          <w:sz w:val="20"/>
          <w:szCs w:val="20"/>
        </w:rPr>
        <w:t xml:space="preserve">in writing, </w:t>
      </w:r>
      <w:r w:rsidR="00CE6205" w:rsidRPr="00335764">
        <w:rPr>
          <w:rFonts w:cs="Arial"/>
          <w:sz w:val="20"/>
          <w:szCs w:val="20"/>
        </w:rPr>
        <w:t xml:space="preserve">before 30 June 2023 </w:t>
      </w:r>
      <w:r w:rsidRPr="00335764">
        <w:rPr>
          <w:rFonts w:cs="Arial"/>
          <w:sz w:val="20"/>
          <w:szCs w:val="20"/>
        </w:rPr>
        <w:t>on</w:t>
      </w:r>
      <w:r w:rsidR="00CE6205" w:rsidRPr="00335764">
        <w:rPr>
          <w:rFonts w:cs="Arial"/>
          <w:sz w:val="20"/>
          <w:szCs w:val="20"/>
        </w:rPr>
        <w:t xml:space="preserve"> the progress of its plans </w:t>
      </w:r>
      <w:r w:rsidRPr="00335764">
        <w:rPr>
          <w:rFonts w:cs="Arial"/>
          <w:sz w:val="20"/>
          <w:szCs w:val="20"/>
        </w:rPr>
        <w:t>to address the ICT infrastructure risk</w:t>
      </w:r>
      <w:r w:rsidR="00CE6205" w:rsidRPr="00335764">
        <w:rPr>
          <w:rFonts w:cs="Arial"/>
          <w:sz w:val="20"/>
          <w:szCs w:val="20"/>
        </w:rPr>
        <w:t xml:space="preserve">, including its plan to strengthen </w:t>
      </w:r>
      <w:r w:rsidRPr="00335764">
        <w:rPr>
          <w:rFonts w:cs="Arial"/>
          <w:sz w:val="20"/>
          <w:szCs w:val="20"/>
        </w:rPr>
        <w:t>internal capacity.</w:t>
      </w:r>
    </w:p>
    <w:p w:rsidR="00745FF1" w:rsidRPr="00335764" w:rsidRDefault="00745FF1" w:rsidP="00335764">
      <w:pPr>
        <w:spacing w:line="240" w:lineRule="auto"/>
        <w:jc w:val="left"/>
        <w:rPr>
          <w:rFonts w:cs="Arial"/>
          <w:sz w:val="20"/>
          <w:szCs w:val="20"/>
        </w:rPr>
      </w:pPr>
    </w:p>
    <w:p w:rsidR="00745FF1" w:rsidRPr="00335764" w:rsidRDefault="00745FF1" w:rsidP="00335764">
      <w:pPr>
        <w:numPr>
          <w:ilvl w:val="1"/>
          <w:numId w:val="1"/>
        </w:numPr>
        <w:spacing w:line="240" w:lineRule="auto"/>
        <w:ind w:hanging="862"/>
        <w:jc w:val="left"/>
        <w:rPr>
          <w:rFonts w:cs="Arial"/>
          <w:i/>
          <w:sz w:val="20"/>
          <w:szCs w:val="20"/>
        </w:rPr>
      </w:pPr>
      <w:r w:rsidRPr="00335764">
        <w:rPr>
          <w:rFonts w:cs="Arial"/>
          <w:i/>
          <w:sz w:val="20"/>
          <w:szCs w:val="20"/>
        </w:rPr>
        <w:t xml:space="preserve">Greater attention needed </w:t>
      </w:r>
      <w:r w:rsidR="001E3C09" w:rsidRPr="00335764">
        <w:rPr>
          <w:rFonts w:cs="Arial"/>
          <w:i/>
          <w:sz w:val="20"/>
          <w:szCs w:val="20"/>
        </w:rPr>
        <w:t xml:space="preserve">to </w:t>
      </w:r>
      <w:r w:rsidRPr="00335764">
        <w:rPr>
          <w:rFonts w:cs="Arial"/>
          <w:i/>
          <w:sz w:val="20"/>
          <w:szCs w:val="20"/>
        </w:rPr>
        <w:t xml:space="preserve">maintenance of infrastructure </w:t>
      </w:r>
    </w:p>
    <w:p w:rsidR="00745FF1" w:rsidRPr="00335764" w:rsidRDefault="00745FF1" w:rsidP="00335764">
      <w:pPr>
        <w:spacing w:line="240" w:lineRule="auto"/>
        <w:jc w:val="left"/>
        <w:rPr>
          <w:rFonts w:cs="Arial"/>
          <w:b/>
          <w:i/>
          <w:sz w:val="20"/>
          <w:szCs w:val="20"/>
        </w:rPr>
      </w:pPr>
    </w:p>
    <w:p w:rsidR="00CE6205" w:rsidRPr="00335764" w:rsidRDefault="00745FF1" w:rsidP="00335764">
      <w:pPr>
        <w:pStyle w:val="ListParagraph"/>
        <w:numPr>
          <w:ilvl w:val="2"/>
          <w:numId w:val="1"/>
        </w:numPr>
        <w:spacing w:line="240" w:lineRule="auto"/>
        <w:jc w:val="left"/>
        <w:rPr>
          <w:rFonts w:cs="Arial"/>
          <w:sz w:val="20"/>
          <w:szCs w:val="20"/>
        </w:rPr>
      </w:pPr>
      <w:r w:rsidRPr="00335764">
        <w:rPr>
          <w:rFonts w:cs="Arial"/>
          <w:sz w:val="20"/>
          <w:szCs w:val="20"/>
        </w:rPr>
        <w:t xml:space="preserve">The Committee’s recent visits to courts and buildings in several provinces </w:t>
      </w:r>
      <w:r w:rsidR="00CE6205" w:rsidRPr="00335764">
        <w:rPr>
          <w:rFonts w:cs="Arial"/>
          <w:sz w:val="20"/>
          <w:szCs w:val="20"/>
        </w:rPr>
        <w:t xml:space="preserve">continue to reveal </w:t>
      </w:r>
      <w:r w:rsidRPr="00335764">
        <w:rPr>
          <w:rFonts w:cs="Arial"/>
          <w:sz w:val="20"/>
          <w:szCs w:val="20"/>
        </w:rPr>
        <w:t xml:space="preserve">the deplorable, </w:t>
      </w:r>
      <w:r w:rsidR="00DD367D" w:rsidRPr="00335764">
        <w:rPr>
          <w:rFonts w:cs="Arial"/>
          <w:sz w:val="20"/>
          <w:szCs w:val="20"/>
        </w:rPr>
        <w:t xml:space="preserve">even </w:t>
      </w:r>
      <w:r w:rsidRPr="00335764">
        <w:rPr>
          <w:rFonts w:cs="Arial"/>
          <w:sz w:val="20"/>
          <w:szCs w:val="20"/>
        </w:rPr>
        <w:t xml:space="preserve">shocking, state of the Department’s </w:t>
      </w:r>
      <w:r w:rsidR="00CE6205" w:rsidRPr="00335764">
        <w:rPr>
          <w:rFonts w:cs="Arial"/>
          <w:sz w:val="20"/>
          <w:szCs w:val="20"/>
        </w:rPr>
        <w:t>buildings</w:t>
      </w:r>
      <w:r w:rsidRPr="00335764">
        <w:rPr>
          <w:rFonts w:cs="Arial"/>
          <w:sz w:val="20"/>
          <w:szCs w:val="20"/>
        </w:rPr>
        <w:t xml:space="preserve">. </w:t>
      </w:r>
      <w:r w:rsidR="000F2CFD" w:rsidRPr="00335764">
        <w:rPr>
          <w:rFonts w:cs="Arial"/>
          <w:sz w:val="20"/>
          <w:szCs w:val="20"/>
        </w:rPr>
        <w:t xml:space="preserve">The Committee has </w:t>
      </w:r>
      <w:r w:rsidR="00CE6205" w:rsidRPr="00335764">
        <w:rPr>
          <w:rFonts w:cs="Arial"/>
          <w:sz w:val="20"/>
          <w:szCs w:val="20"/>
        </w:rPr>
        <w:t xml:space="preserve">reported elsewhere in </w:t>
      </w:r>
      <w:r w:rsidR="00261D2C" w:rsidRPr="00335764">
        <w:rPr>
          <w:rFonts w:cs="Arial"/>
          <w:sz w:val="20"/>
          <w:szCs w:val="20"/>
        </w:rPr>
        <w:t>detail</w:t>
      </w:r>
      <w:r w:rsidR="00CE6205" w:rsidRPr="00335764">
        <w:rPr>
          <w:rFonts w:cs="Arial"/>
          <w:sz w:val="20"/>
          <w:szCs w:val="20"/>
        </w:rPr>
        <w:t xml:space="preserve"> </w:t>
      </w:r>
      <w:r w:rsidR="000F2CFD" w:rsidRPr="00335764">
        <w:rPr>
          <w:rFonts w:cs="Arial"/>
          <w:sz w:val="20"/>
          <w:szCs w:val="20"/>
        </w:rPr>
        <w:t xml:space="preserve">about its </w:t>
      </w:r>
      <w:r w:rsidR="00CE6205" w:rsidRPr="00335764">
        <w:rPr>
          <w:rFonts w:cs="Arial"/>
          <w:sz w:val="20"/>
          <w:szCs w:val="20"/>
        </w:rPr>
        <w:t xml:space="preserve">observations in this regard. Nonetheless, </w:t>
      </w:r>
      <w:r w:rsidR="000F2CFD" w:rsidRPr="00335764">
        <w:rPr>
          <w:rFonts w:cs="Arial"/>
          <w:sz w:val="20"/>
          <w:szCs w:val="20"/>
        </w:rPr>
        <w:t xml:space="preserve">the Committee </w:t>
      </w:r>
      <w:r w:rsidR="00CE6205" w:rsidRPr="00335764">
        <w:rPr>
          <w:rFonts w:cs="Arial"/>
          <w:sz w:val="20"/>
          <w:szCs w:val="20"/>
        </w:rPr>
        <w:t>wish</w:t>
      </w:r>
      <w:r w:rsidR="000F2CFD" w:rsidRPr="00335764">
        <w:rPr>
          <w:rFonts w:cs="Arial"/>
          <w:sz w:val="20"/>
          <w:szCs w:val="20"/>
        </w:rPr>
        <w:t>es</w:t>
      </w:r>
      <w:r w:rsidR="00CE6205" w:rsidRPr="00335764">
        <w:rPr>
          <w:rFonts w:cs="Arial"/>
          <w:sz w:val="20"/>
          <w:szCs w:val="20"/>
        </w:rPr>
        <w:t xml:space="preserve"> to highlight</w:t>
      </w:r>
      <w:r w:rsidR="005B6F00" w:rsidRPr="00335764">
        <w:rPr>
          <w:rFonts w:cs="Arial"/>
          <w:sz w:val="20"/>
          <w:szCs w:val="20"/>
        </w:rPr>
        <w:t xml:space="preserve"> </w:t>
      </w:r>
      <w:r w:rsidR="00CE6205" w:rsidRPr="00335764">
        <w:rPr>
          <w:rFonts w:cs="Arial"/>
          <w:sz w:val="20"/>
          <w:szCs w:val="20"/>
        </w:rPr>
        <w:t xml:space="preserve">the detrimental and ongoing impact on court operations of crumbling, even dangerous, infrastructure. </w:t>
      </w:r>
      <w:r w:rsidR="000F2CFD" w:rsidRPr="00335764">
        <w:rPr>
          <w:rFonts w:cs="Arial"/>
          <w:sz w:val="20"/>
          <w:szCs w:val="20"/>
        </w:rPr>
        <w:t xml:space="preserve">The Committee </w:t>
      </w:r>
      <w:r w:rsidR="00CE6205" w:rsidRPr="00335764">
        <w:rPr>
          <w:rFonts w:cs="Arial"/>
          <w:sz w:val="20"/>
          <w:szCs w:val="20"/>
        </w:rPr>
        <w:t>acknowledge</w:t>
      </w:r>
      <w:r w:rsidR="000F2CFD" w:rsidRPr="00335764">
        <w:rPr>
          <w:rFonts w:cs="Arial"/>
          <w:sz w:val="20"/>
          <w:szCs w:val="20"/>
        </w:rPr>
        <w:t>s</w:t>
      </w:r>
      <w:r w:rsidR="00CE6205" w:rsidRPr="00335764">
        <w:rPr>
          <w:rFonts w:cs="Arial"/>
          <w:sz w:val="20"/>
          <w:szCs w:val="20"/>
        </w:rPr>
        <w:t xml:space="preserve"> that the Department has attempted to address some of the challenges, for example, by engaging with the Department of Public Works and Infrastructure to raise the delegation for day-to-day maintenance delegation from R100 000 to R1 million per incident. However, it is disappointing that, while the Department has forwarded an Interdepartmental Service Level Agreement with the DPWI and Draft Guidelines for </w:t>
      </w:r>
      <w:r w:rsidR="00261D2C" w:rsidRPr="00335764">
        <w:rPr>
          <w:rFonts w:cs="Arial"/>
          <w:sz w:val="20"/>
          <w:szCs w:val="20"/>
        </w:rPr>
        <w:t>day-to-day</w:t>
      </w:r>
      <w:r w:rsidR="00CE6205" w:rsidRPr="00335764">
        <w:rPr>
          <w:rFonts w:cs="Arial"/>
          <w:sz w:val="20"/>
          <w:szCs w:val="20"/>
        </w:rPr>
        <w:t xml:space="preserve"> Maintenance and Minor Capital works (2022/2023) to the Committee, these are not yet signed. Although </w:t>
      </w:r>
      <w:r w:rsidR="000F2CFD" w:rsidRPr="00335764">
        <w:rPr>
          <w:rFonts w:cs="Arial"/>
          <w:sz w:val="20"/>
          <w:szCs w:val="20"/>
        </w:rPr>
        <w:t xml:space="preserve">the Committee </w:t>
      </w:r>
      <w:r w:rsidR="005B6F00" w:rsidRPr="00335764">
        <w:rPr>
          <w:rFonts w:cs="Arial"/>
          <w:sz w:val="20"/>
          <w:szCs w:val="20"/>
        </w:rPr>
        <w:t xml:space="preserve">welcome the steps </w:t>
      </w:r>
      <w:r w:rsidR="000F2CFD" w:rsidRPr="00335764">
        <w:rPr>
          <w:rFonts w:cs="Arial"/>
          <w:sz w:val="20"/>
          <w:szCs w:val="20"/>
        </w:rPr>
        <w:t xml:space="preserve">that </w:t>
      </w:r>
      <w:r w:rsidR="005B6F00" w:rsidRPr="00335764">
        <w:rPr>
          <w:rFonts w:cs="Arial"/>
          <w:sz w:val="20"/>
          <w:szCs w:val="20"/>
        </w:rPr>
        <w:t xml:space="preserve">have been taken to address the problems identified at the specific sites </w:t>
      </w:r>
      <w:r w:rsidR="000F2CFD" w:rsidRPr="00335764">
        <w:rPr>
          <w:rFonts w:cs="Arial"/>
          <w:sz w:val="20"/>
          <w:szCs w:val="20"/>
        </w:rPr>
        <w:t xml:space="preserve">it </w:t>
      </w:r>
      <w:r w:rsidR="005B6F00" w:rsidRPr="00335764">
        <w:rPr>
          <w:rFonts w:cs="Arial"/>
          <w:sz w:val="20"/>
          <w:szCs w:val="20"/>
        </w:rPr>
        <w:t xml:space="preserve">visited, these do not begin to address the systemic problems. In </w:t>
      </w:r>
      <w:r w:rsidR="000F2CFD" w:rsidRPr="00335764">
        <w:rPr>
          <w:rFonts w:cs="Arial"/>
          <w:sz w:val="20"/>
          <w:szCs w:val="20"/>
        </w:rPr>
        <w:t xml:space="preserve">the Committee’s </w:t>
      </w:r>
      <w:r w:rsidR="005B6F00" w:rsidRPr="00335764">
        <w:rPr>
          <w:rFonts w:cs="Arial"/>
          <w:sz w:val="20"/>
          <w:szCs w:val="20"/>
        </w:rPr>
        <w:t xml:space="preserve">view, this requires an extensive rethinking of the </w:t>
      </w:r>
      <w:r w:rsidR="00261D2C" w:rsidRPr="00335764">
        <w:rPr>
          <w:rFonts w:cs="Arial"/>
          <w:sz w:val="20"/>
          <w:szCs w:val="20"/>
        </w:rPr>
        <w:t>way</w:t>
      </w:r>
      <w:r w:rsidR="005B6F00" w:rsidRPr="00335764">
        <w:rPr>
          <w:rFonts w:cs="Arial"/>
          <w:sz w:val="20"/>
          <w:szCs w:val="20"/>
        </w:rPr>
        <w:t xml:space="preserve"> the State goes about seeing to the building of new infrastructure; repairing</w:t>
      </w:r>
      <w:r w:rsidR="003C1058" w:rsidRPr="00335764">
        <w:rPr>
          <w:rFonts w:cs="Arial"/>
          <w:sz w:val="20"/>
          <w:szCs w:val="20"/>
        </w:rPr>
        <w:t xml:space="preserve">, </w:t>
      </w:r>
      <w:r w:rsidR="005B6F00" w:rsidRPr="00335764">
        <w:rPr>
          <w:rFonts w:cs="Arial"/>
          <w:sz w:val="20"/>
          <w:szCs w:val="20"/>
        </w:rPr>
        <w:t>renovating, and maintaining its existing structures; and procuring rental accommodation.</w:t>
      </w:r>
    </w:p>
    <w:p w:rsidR="00745FF1" w:rsidRPr="00335764" w:rsidRDefault="00745FF1" w:rsidP="00335764">
      <w:pPr>
        <w:spacing w:line="240" w:lineRule="auto"/>
        <w:jc w:val="left"/>
        <w:rPr>
          <w:rFonts w:cs="Arial"/>
          <w:sz w:val="20"/>
          <w:szCs w:val="20"/>
        </w:rPr>
      </w:pPr>
    </w:p>
    <w:p w:rsidR="00745FF1" w:rsidRPr="00335764" w:rsidRDefault="00AA24A7" w:rsidP="00335764">
      <w:pPr>
        <w:pStyle w:val="ListParagraph"/>
        <w:numPr>
          <w:ilvl w:val="2"/>
          <w:numId w:val="1"/>
        </w:numPr>
        <w:spacing w:line="240" w:lineRule="auto"/>
        <w:ind w:hanging="862"/>
        <w:jc w:val="left"/>
        <w:rPr>
          <w:rFonts w:cs="Arial"/>
          <w:sz w:val="20"/>
          <w:szCs w:val="20"/>
        </w:rPr>
      </w:pPr>
      <w:r w:rsidRPr="00335764">
        <w:rPr>
          <w:rFonts w:cs="Arial"/>
          <w:sz w:val="20"/>
          <w:szCs w:val="20"/>
        </w:rPr>
        <w:t xml:space="preserve">The Committee notes that in 2023/24 the Department has targeted 70 court facilities for refurbishment and upgrading through minor capital works. </w:t>
      </w:r>
      <w:r w:rsidR="000F2CFD" w:rsidRPr="00335764">
        <w:rPr>
          <w:rFonts w:cs="Arial"/>
          <w:sz w:val="20"/>
          <w:szCs w:val="20"/>
        </w:rPr>
        <w:t xml:space="preserve">The Committee requests </w:t>
      </w:r>
      <w:r w:rsidR="00745FF1" w:rsidRPr="00335764">
        <w:rPr>
          <w:rFonts w:cs="Arial"/>
          <w:sz w:val="20"/>
          <w:szCs w:val="20"/>
          <w:lang w:val="en-ZA"/>
        </w:rPr>
        <w:t>the Department to provide a comprehensive progress report, b</w:t>
      </w:r>
      <w:r w:rsidR="004B2BB0" w:rsidRPr="00335764">
        <w:rPr>
          <w:rFonts w:cs="Arial"/>
          <w:sz w:val="20"/>
          <w:szCs w:val="20"/>
          <w:lang w:val="en-ZA"/>
        </w:rPr>
        <w:t>efore</w:t>
      </w:r>
      <w:r w:rsidR="003C1058" w:rsidRPr="00335764">
        <w:rPr>
          <w:rFonts w:cs="Arial"/>
          <w:sz w:val="20"/>
          <w:szCs w:val="20"/>
          <w:lang w:val="en-ZA"/>
        </w:rPr>
        <w:t xml:space="preserve"> 30 June 2023, on its infrastructure programme,</w:t>
      </w:r>
      <w:r w:rsidR="00745FF1" w:rsidRPr="00335764">
        <w:rPr>
          <w:rFonts w:cs="Arial"/>
          <w:sz w:val="20"/>
          <w:szCs w:val="20"/>
          <w:lang w:val="en-ZA"/>
        </w:rPr>
        <w:t xml:space="preserve"> and be prepared to report quarterly.</w:t>
      </w:r>
    </w:p>
    <w:p w:rsidR="00745FF1" w:rsidRPr="00335764" w:rsidRDefault="00745FF1" w:rsidP="00335764">
      <w:pPr>
        <w:spacing w:line="240" w:lineRule="auto"/>
        <w:jc w:val="left"/>
        <w:rPr>
          <w:rFonts w:cs="Arial"/>
          <w:sz w:val="20"/>
          <w:szCs w:val="20"/>
        </w:rPr>
      </w:pPr>
    </w:p>
    <w:p w:rsidR="00745FF1" w:rsidRPr="00335764" w:rsidRDefault="00745FF1" w:rsidP="00335764">
      <w:pPr>
        <w:numPr>
          <w:ilvl w:val="1"/>
          <w:numId w:val="1"/>
        </w:numPr>
        <w:spacing w:line="240" w:lineRule="auto"/>
        <w:ind w:hanging="862"/>
        <w:jc w:val="left"/>
        <w:rPr>
          <w:rFonts w:cs="Arial"/>
          <w:sz w:val="20"/>
          <w:szCs w:val="20"/>
        </w:rPr>
      </w:pPr>
      <w:r w:rsidRPr="00335764">
        <w:rPr>
          <w:rFonts w:cs="Arial"/>
          <w:i/>
          <w:sz w:val="20"/>
          <w:szCs w:val="20"/>
        </w:rPr>
        <w:t>Increased backlog cases</w:t>
      </w:r>
      <w:r w:rsidRPr="00335764">
        <w:rPr>
          <w:rFonts w:cs="Arial"/>
          <w:sz w:val="20"/>
          <w:szCs w:val="20"/>
        </w:rPr>
        <w:t xml:space="preserve">. </w:t>
      </w:r>
      <w:r w:rsidR="000F2CFD" w:rsidRPr="00335764">
        <w:rPr>
          <w:rFonts w:cs="Arial"/>
          <w:sz w:val="20"/>
          <w:szCs w:val="20"/>
        </w:rPr>
        <w:t xml:space="preserve">The Committee is </w:t>
      </w:r>
      <w:r w:rsidR="003C1058" w:rsidRPr="00335764">
        <w:rPr>
          <w:rFonts w:cs="Arial"/>
          <w:sz w:val="20"/>
          <w:szCs w:val="20"/>
        </w:rPr>
        <w:t xml:space="preserve">acutely aware of how important it is to address the problem of case backlogs, which have escalated and, in </w:t>
      </w:r>
      <w:r w:rsidR="00DC21D7" w:rsidRPr="00335764">
        <w:rPr>
          <w:rFonts w:cs="Arial"/>
          <w:sz w:val="20"/>
          <w:szCs w:val="20"/>
        </w:rPr>
        <w:t xml:space="preserve">its </w:t>
      </w:r>
      <w:r w:rsidR="003C1058" w:rsidRPr="00335764">
        <w:rPr>
          <w:rFonts w:cs="Arial"/>
          <w:sz w:val="20"/>
          <w:szCs w:val="20"/>
        </w:rPr>
        <w:t xml:space="preserve">view, put the entire justice system at risk. There are many reasons for the backlogs: load-shedding, water outages, delays in obtaining interpretation services, postponements for further police investigation, outstanding DNA reports, plea and trial, malfunctioning court equipment, dilapidated and collapsed court rooms, and other factors. </w:t>
      </w:r>
      <w:r w:rsidR="000F2CFD" w:rsidRPr="00335764">
        <w:rPr>
          <w:rFonts w:cs="Arial"/>
          <w:sz w:val="20"/>
          <w:szCs w:val="20"/>
        </w:rPr>
        <w:t xml:space="preserve">The Committee is </w:t>
      </w:r>
      <w:r w:rsidR="003C1058" w:rsidRPr="00335764">
        <w:rPr>
          <w:rFonts w:cs="Arial"/>
          <w:sz w:val="20"/>
          <w:szCs w:val="20"/>
        </w:rPr>
        <w:t xml:space="preserve">aware that the Department cannot be held responsible for all of these. In this regard, </w:t>
      </w:r>
      <w:r w:rsidR="000F2CFD" w:rsidRPr="00335764">
        <w:rPr>
          <w:rFonts w:cs="Arial"/>
          <w:sz w:val="20"/>
          <w:szCs w:val="20"/>
        </w:rPr>
        <w:t xml:space="preserve">the Committee notes </w:t>
      </w:r>
      <w:r w:rsidR="003C1058" w:rsidRPr="00335764">
        <w:rPr>
          <w:rFonts w:cs="Arial"/>
          <w:sz w:val="20"/>
          <w:szCs w:val="20"/>
        </w:rPr>
        <w:t xml:space="preserve">that the Department reports that it will continue to pay attention to </w:t>
      </w:r>
      <w:r w:rsidR="003C1058" w:rsidRPr="00335764">
        <w:rPr>
          <w:rFonts w:cs="Arial"/>
          <w:sz w:val="20"/>
          <w:szCs w:val="20"/>
        </w:rPr>
        <w:lastRenderedPageBreak/>
        <w:t xml:space="preserve">reducing case backlogs by working with all JCPS Cluster departments to sign Memoranda of Understanding that compel the inclusion of performance indicators, which support (criminal) case backlog reduction initiatives. Unfortunately, there are no timeframes attached to this </w:t>
      </w:r>
      <w:r w:rsidR="00261D2C" w:rsidRPr="00335764">
        <w:rPr>
          <w:rFonts w:cs="Arial"/>
          <w:sz w:val="20"/>
          <w:szCs w:val="20"/>
        </w:rPr>
        <w:t>initiative,</w:t>
      </w:r>
      <w:r w:rsidR="003C1058" w:rsidRPr="00335764">
        <w:rPr>
          <w:rFonts w:cs="Arial"/>
          <w:sz w:val="20"/>
          <w:szCs w:val="20"/>
        </w:rPr>
        <w:t xml:space="preserve"> but </w:t>
      </w:r>
      <w:r w:rsidR="000F2CFD" w:rsidRPr="00335764">
        <w:rPr>
          <w:rFonts w:cs="Arial"/>
          <w:sz w:val="20"/>
          <w:szCs w:val="20"/>
        </w:rPr>
        <w:t xml:space="preserve">the Committee </w:t>
      </w:r>
      <w:r w:rsidR="003C1058" w:rsidRPr="00335764">
        <w:rPr>
          <w:rFonts w:cs="Arial"/>
          <w:sz w:val="20"/>
          <w:szCs w:val="20"/>
        </w:rPr>
        <w:t>will be closely monitoring progress.</w:t>
      </w:r>
      <w:r w:rsidRPr="00335764">
        <w:rPr>
          <w:rFonts w:cs="Arial"/>
          <w:sz w:val="20"/>
          <w:szCs w:val="20"/>
        </w:rPr>
        <w:t xml:space="preserve"> </w:t>
      </w:r>
    </w:p>
    <w:p w:rsidR="0067382D" w:rsidRPr="00335764" w:rsidRDefault="0067382D" w:rsidP="00335764">
      <w:pPr>
        <w:spacing w:line="240" w:lineRule="auto"/>
        <w:ind w:left="862"/>
        <w:jc w:val="left"/>
        <w:rPr>
          <w:rFonts w:cs="Arial"/>
          <w:sz w:val="20"/>
          <w:szCs w:val="20"/>
        </w:rPr>
      </w:pPr>
    </w:p>
    <w:p w:rsidR="00777D55" w:rsidRPr="00335764" w:rsidRDefault="00777D55" w:rsidP="00335764">
      <w:pPr>
        <w:numPr>
          <w:ilvl w:val="1"/>
          <w:numId w:val="1"/>
        </w:numPr>
        <w:spacing w:line="240" w:lineRule="auto"/>
        <w:ind w:hanging="862"/>
        <w:jc w:val="left"/>
        <w:rPr>
          <w:rFonts w:cs="Arial"/>
          <w:sz w:val="20"/>
          <w:szCs w:val="20"/>
        </w:rPr>
      </w:pPr>
      <w:r w:rsidRPr="00335764">
        <w:rPr>
          <w:rFonts w:cs="Arial"/>
          <w:i/>
          <w:iCs/>
          <w:sz w:val="20"/>
          <w:szCs w:val="20"/>
        </w:rPr>
        <w:t>Family Advocate</w:t>
      </w:r>
      <w:r w:rsidRPr="00335764">
        <w:rPr>
          <w:rFonts w:cs="Arial"/>
          <w:sz w:val="20"/>
          <w:szCs w:val="20"/>
        </w:rPr>
        <w:t>. The Office of the Family Advocate (OFA) plays an important role in family litigation matters to promote and protect the best interests of children. The Department has reported previously that this Office in under-resourced and that the small footprint of the O</w:t>
      </w:r>
      <w:r w:rsidR="000F2CFD" w:rsidRPr="00335764">
        <w:rPr>
          <w:rFonts w:cs="Arial"/>
          <w:sz w:val="20"/>
          <w:szCs w:val="20"/>
        </w:rPr>
        <w:t>FA</w:t>
      </w:r>
      <w:r w:rsidRPr="00335764">
        <w:rPr>
          <w:rFonts w:cs="Arial"/>
          <w:sz w:val="20"/>
          <w:szCs w:val="20"/>
        </w:rPr>
        <w:t xml:space="preserve"> renders the services inaccessible </w:t>
      </w:r>
      <w:r w:rsidR="000F2CFD" w:rsidRPr="00335764">
        <w:rPr>
          <w:rFonts w:cs="Arial"/>
          <w:sz w:val="20"/>
          <w:szCs w:val="20"/>
        </w:rPr>
        <w:t xml:space="preserve">The Committee, therefore, is </w:t>
      </w:r>
      <w:r w:rsidRPr="00335764">
        <w:rPr>
          <w:rFonts w:cs="Arial"/>
          <w:sz w:val="20"/>
          <w:szCs w:val="20"/>
        </w:rPr>
        <w:t xml:space="preserve">most concerned that the allocation for the Family Advocate programme decreases in real terms once more. </w:t>
      </w:r>
      <w:r w:rsidR="000F2CFD" w:rsidRPr="00335764">
        <w:rPr>
          <w:rFonts w:cs="Arial"/>
          <w:sz w:val="20"/>
          <w:szCs w:val="20"/>
        </w:rPr>
        <w:t xml:space="preserve">The Committee notes </w:t>
      </w:r>
      <w:r w:rsidRPr="00335764">
        <w:rPr>
          <w:rFonts w:cs="Arial"/>
          <w:sz w:val="20"/>
          <w:szCs w:val="20"/>
        </w:rPr>
        <w:t xml:space="preserve">that the Department reports that due to limited funds, no new offices can be established and, therefore, to expand the footprint in all provinces, IT-based kiosks need to be set-up where OFA services can be rendered remotely. However, the Department does not provide any further information in the APP on </w:t>
      </w:r>
      <w:r w:rsidR="000F2CFD" w:rsidRPr="00335764">
        <w:rPr>
          <w:rFonts w:cs="Arial"/>
          <w:sz w:val="20"/>
          <w:szCs w:val="20"/>
        </w:rPr>
        <w:t xml:space="preserve">its </w:t>
      </w:r>
      <w:r w:rsidRPr="00335764">
        <w:rPr>
          <w:rFonts w:cs="Arial"/>
          <w:sz w:val="20"/>
          <w:szCs w:val="20"/>
        </w:rPr>
        <w:t>plans to expand OFA services remotely.</w:t>
      </w:r>
    </w:p>
    <w:p w:rsidR="00777D55" w:rsidRPr="00335764" w:rsidRDefault="00777D55" w:rsidP="00335764">
      <w:pPr>
        <w:spacing w:line="240" w:lineRule="auto"/>
        <w:ind w:left="862"/>
        <w:jc w:val="left"/>
        <w:rPr>
          <w:rFonts w:cs="Arial"/>
          <w:sz w:val="20"/>
          <w:szCs w:val="20"/>
        </w:rPr>
      </w:pPr>
    </w:p>
    <w:p w:rsidR="003C1058" w:rsidRPr="00335764" w:rsidRDefault="00745FF1" w:rsidP="00335764">
      <w:pPr>
        <w:numPr>
          <w:ilvl w:val="1"/>
          <w:numId w:val="1"/>
        </w:numPr>
        <w:spacing w:line="240" w:lineRule="auto"/>
        <w:ind w:hanging="862"/>
        <w:jc w:val="left"/>
        <w:rPr>
          <w:rFonts w:cs="Arial"/>
          <w:sz w:val="20"/>
          <w:szCs w:val="20"/>
        </w:rPr>
      </w:pPr>
      <w:r w:rsidRPr="00335764">
        <w:rPr>
          <w:rFonts w:cs="Arial"/>
          <w:i/>
          <w:sz w:val="20"/>
          <w:szCs w:val="20"/>
        </w:rPr>
        <w:t>Combatting Gender-based Violence (GBV) and Femicide</w:t>
      </w:r>
      <w:r w:rsidRPr="00335764">
        <w:rPr>
          <w:rFonts w:cs="Arial"/>
          <w:sz w:val="20"/>
          <w:szCs w:val="20"/>
        </w:rPr>
        <w:t xml:space="preserve">. </w:t>
      </w:r>
    </w:p>
    <w:p w:rsidR="003C1058" w:rsidRPr="00335764" w:rsidRDefault="003C1058" w:rsidP="00335764">
      <w:pPr>
        <w:spacing w:line="240" w:lineRule="auto"/>
        <w:ind w:left="862"/>
        <w:jc w:val="left"/>
        <w:rPr>
          <w:rFonts w:cs="Arial"/>
          <w:i/>
          <w:sz w:val="20"/>
          <w:szCs w:val="20"/>
        </w:rPr>
      </w:pPr>
    </w:p>
    <w:p w:rsidR="00745FF1" w:rsidRPr="00335764" w:rsidRDefault="00AA24A7" w:rsidP="00335764">
      <w:pPr>
        <w:pStyle w:val="ListParagraph"/>
        <w:numPr>
          <w:ilvl w:val="2"/>
          <w:numId w:val="1"/>
        </w:numPr>
        <w:spacing w:line="240" w:lineRule="auto"/>
        <w:ind w:hanging="862"/>
        <w:jc w:val="left"/>
        <w:rPr>
          <w:rFonts w:cs="Arial"/>
          <w:sz w:val="20"/>
          <w:szCs w:val="20"/>
        </w:rPr>
      </w:pPr>
      <w:r w:rsidRPr="00335764">
        <w:rPr>
          <w:rFonts w:cs="Arial"/>
          <w:sz w:val="20"/>
          <w:szCs w:val="20"/>
        </w:rPr>
        <w:t>The Committee welcomes the new directives in terms of the Domestic Violence Act, 2021, which commenced on 4 April 2023</w:t>
      </w:r>
      <w:r w:rsidR="006A276B" w:rsidRPr="00335764">
        <w:rPr>
          <w:rFonts w:cs="Arial"/>
          <w:sz w:val="20"/>
          <w:szCs w:val="20"/>
        </w:rPr>
        <w:t xml:space="preserve">, </w:t>
      </w:r>
      <w:r w:rsidR="00D12D81" w:rsidRPr="00335764">
        <w:rPr>
          <w:rFonts w:cs="Arial"/>
          <w:sz w:val="20"/>
          <w:szCs w:val="20"/>
        </w:rPr>
        <w:t xml:space="preserve">as being </w:t>
      </w:r>
      <w:r w:rsidR="006A276B" w:rsidRPr="00335764">
        <w:rPr>
          <w:rFonts w:cs="Arial"/>
          <w:sz w:val="20"/>
          <w:szCs w:val="20"/>
        </w:rPr>
        <w:t>progressive</w:t>
      </w:r>
      <w:r w:rsidRPr="00335764">
        <w:rPr>
          <w:rFonts w:cs="Arial"/>
          <w:sz w:val="20"/>
          <w:szCs w:val="20"/>
        </w:rPr>
        <w:t>. The Directives impose stricter duties on office managers, supervisors and clerks of the court when dealing with cases of domestic violence</w:t>
      </w:r>
      <w:r w:rsidR="006A276B" w:rsidRPr="00335764">
        <w:rPr>
          <w:rFonts w:cs="Arial"/>
          <w:sz w:val="20"/>
          <w:szCs w:val="20"/>
        </w:rPr>
        <w:t xml:space="preserve">. </w:t>
      </w:r>
      <w:r w:rsidRPr="00335764">
        <w:rPr>
          <w:rFonts w:cs="Arial"/>
          <w:sz w:val="20"/>
          <w:szCs w:val="20"/>
        </w:rPr>
        <w:t>If a</w:t>
      </w:r>
      <w:r w:rsidR="006A276B" w:rsidRPr="00335764">
        <w:rPr>
          <w:rFonts w:cs="Arial"/>
          <w:sz w:val="20"/>
          <w:szCs w:val="20"/>
        </w:rPr>
        <w:t>n official</w:t>
      </w:r>
      <w:r w:rsidRPr="00335764">
        <w:rPr>
          <w:rFonts w:cs="Arial"/>
          <w:sz w:val="20"/>
          <w:szCs w:val="20"/>
        </w:rPr>
        <w:t xml:space="preserve"> does not comply with the new directives, disciplinary action will take place against them.</w:t>
      </w:r>
    </w:p>
    <w:p w:rsidR="006A276B" w:rsidRPr="00335764" w:rsidRDefault="006A276B" w:rsidP="00335764">
      <w:pPr>
        <w:spacing w:line="240" w:lineRule="auto"/>
        <w:jc w:val="left"/>
        <w:rPr>
          <w:rFonts w:cs="Arial"/>
          <w:sz w:val="20"/>
          <w:szCs w:val="20"/>
        </w:rPr>
      </w:pPr>
    </w:p>
    <w:p w:rsidR="006A276B" w:rsidRPr="00335764" w:rsidRDefault="00914288" w:rsidP="00335764">
      <w:pPr>
        <w:pStyle w:val="ListParagraph"/>
        <w:numPr>
          <w:ilvl w:val="2"/>
          <w:numId w:val="1"/>
        </w:numPr>
        <w:spacing w:line="240" w:lineRule="auto"/>
        <w:ind w:hanging="862"/>
        <w:jc w:val="left"/>
        <w:rPr>
          <w:rFonts w:cs="Arial"/>
          <w:sz w:val="20"/>
          <w:szCs w:val="20"/>
        </w:rPr>
      </w:pPr>
      <w:r w:rsidRPr="00335764">
        <w:rPr>
          <w:rFonts w:cs="Arial"/>
          <w:sz w:val="20"/>
          <w:szCs w:val="20"/>
        </w:rPr>
        <w:t>The Committee also welcomes the inclusion of a new indicator ‘P</w:t>
      </w:r>
      <w:r w:rsidR="006A276B" w:rsidRPr="00335764">
        <w:rPr>
          <w:rFonts w:cs="Arial"/>
          <w:sz w:val="20"/>
          <w:szCs w:val="20"/>
        </w:rPr>
        <w:t>ercentage of domestic violence protection orders served by the Clerks of the Court on parties present at Court within 24 hours from the time the order is granted by the court</w:t>
      </w:r>
      <w:r w:rsidRPr="00335764">
        <w:rPr>
          <w:rFonts w:cs="Arial"/>
          <w:sz w:val="20"/>
          <w:szCs w:val="20"/>
        </w:rPr>
        <w:t xml:space="preserve">’, as an important step towards improving </w:t>
      </w:r>
      <w:r w:rsidR="006A276B" w:rsidRPr="00335764">
        <w:rPr>
          <w:rFonts w:cs="Arial"/>
          <w:sz w:val="20"/>
          <w:szCs w:val="20"/>
        </w:rPr>
        <w:t>the treatment of GBV victims</w:t>
      </w:r>
      <w:r w:rsidRPr="00335764">
        <w:rPr>
          <w:rFonts w:cs="Arial"/>
          <w:sz w:val="20"/>
          <w:szCs w:val="20"/>
        </w:rPr>
        <w:t>.</w:t>
      </w:r>
    </w:p>
    <w:p w:rsidR="006A276B" w:rsidRPr="00335764" w:rsidRDefault="006A276B" w:rsidP="00335764">
      <w:pPr>
        <w:spacing w:line="240" w:lineRule="auto"/>
        <w:jc w:val="left"/>
        <w:rPr>
          <w:rFonts w:cs="Arial"/>
          <w:sz w:val="20"/>
          <w:szCs w:val="20"/>
        </w:rPr>
      </w:pPr>
    </w:p>
    <w:p w:rsidR="00914288" w:rsidRPr="00335764" w:rsidRDefault="00914288" w:rsidP="00335764">
      <w:pPr>
        <w:pStyle w:val="ListParagraph"/>
        <w:numPr>
          <w:ilvl w:val="2"/>
          <w:numId w:val="1"/>
        </w:numPr>
        <w:spacing w:line="240" w:lineRule="auto"/>
        <w:ind w:hanging="862"/>
        <w:jc w:val="left"/>
        <w:rPr>
          <w:rFonts w:cs="Arial"/>
          <w:sz w:val="20"/>
          <w:szCs w:val="20"/>
        </w:rPr>
      </w:pPr>
      <w:r w:rsidRPr="00335764">
        <w:rPr>
          <w:rFonts w:cs="Arial"/>
          <w:sz w:val="20"/>
          <w:szCs w:val="20"/>
        </w:rPr>
        <w:t xml:space="preserve">The Committee notes that a new indicator ‘National strategy for domestic violence court-based support services approved by 31 March 2024’ has been included in the APP. </w:t>
      </w:r>
      <w:r w:rsidR="00777D55" w:rsidRPr="00335764">
        <w:rPr>
          <w:rFonts w:cs="Arial"/>
          <w:sz w:val="20"/>
          <w:szCs w:val="20"/>
        </w:rPr>
        <w:t xml:space="preserve">Another </w:t>
      </w:r>
      <w:r w:rsidRPr="00335764">
        <w:rPr>
          <w:rFonts w:cs="Arial"/>
          <w:sz w:val="20"/>
          <w:szCs w:val="20"/>
        </w:rPr>
        <w:t>new indicator, ‘Number of officials providing GBV services debriefed’</w:t>
      </w:r>
      <w:r w:rsidR="00777D55" w:rsidRPr="00335764">
        <w:rPr>
          <w:rFonts w:cs="Arial"/>
          <w:sz w:val="20"/>
          <w:szCs w:val="20"/>
        </w:rPr>
        <w:t xml:space="preserve"> is included in the APP</w:t>
      </w:r>
      <w:r w:rsidRPr="00335764">
        <w:rPr>
          <w:rFonts w:cs="Arial"/>
          <w:sz w:val="20"/>
          <w:szCs w:val="20"/>
        </w:rPr>
        <w:t xml:space="preserve">. </w:t>
      </w:r>
      <w:r w:rsidR="00D12D81" w:rsidRPr="00335764">
        <w:rPr>
          <w:rFonts w:cs="Arial"/>
          <w:sz w:val="20"/>
          <w:szCs w:val="20"/>
        </w:rPr>
        <w:t xml:space="preserve">The Committee has </w:t>
      </w:r>
      <w:r w:rsidRPr="00335764">
        <w:rPr>
          <w:rFonts w:cs="Arial"/>
          <w:sz w:val="20"/>
          <w:szCs w:val="20"/>
        </w:rPr>
        <w:t xml:space="preserve">remarked previously on the trauma that officials working with GBV matters experience and welcome this </w:t>
      </w:r>
      <w:r w:rsidR="00261D2C" w:rsidRPr="00335764">
        <w:rPr>
          <w:rFonts w:cs="Arial"/>
          <w:sz w:val="20"/>
          <w:szCs w:val="20"/>
        </w:rPr>
        <w:t>initiative.</w:t>
      </w:r>
      <w:r w:rsidRPr="00335764">
        <w:rPr>
          <w:rFonts w:cs="Arial"/>
          <w:sz w:val="20"/>
          <w:szCs w:val="20"/>
        </w:rPr>
        <w:t xml:space="preserve"> </w:t>
      </w:r>
    </w:p>
    <w:p w:rsidR="00914288" w:rsidRPr="00335764" w:rsidRDefault="00914288" w:rsidP="00335764">
      <w:pPr>
        <w:spacing w:line="240" w:lineRule="auto"/>
        <w:ind w:left="862"/>
        <w:jc w:val="left"/>
        <w:rPr>
          <w:rFonts w:cs="Arial"/>
          <w:bCs/>
          <w:sz w:val="20"/>
          <w:szCs w:val="20"/>
        </w:rPr>
      </w:pPr>
    </w:p>
    <w:p w:rsidR="00745FF1" w:rsidRPr="00335764" w:rsidRDefault="00745FF1" w:rsidP="00335764">
      <w:pPr>
        <w:numPr>
          <w:ilvl w:val="1"/>
          <w:numId w:val="1"/>
        </w:numPr>
        <w:spacing w:line="240" w:lineRule="auto"/>
        <w:ind w:hanging="862"/>
        <w:jc w:val="left"/>
        <w:rPr>
          <w:rFonts w:cs="Arial"/>
          <w:bCs/>
          <w:sz w:val="20"/>
          <w:szCs w:val="20"/>
        </w:rPr>
      </w:pPr>
      <w:r w:rsidRPr="00335764">
        <w:rPr>
          <w:rFonts w:cs="Arial"/>
          <w:i/>
          <w:sz w:val="20"/>
          <w:szCs w:val="20"/>
        </w:rPr>
        <w:t xml:space="preserve">Barrier-free Access to Justice for persons with disabilities. </w:t>
      </w:r>
      <w:r w:rsidR="00DC21D7" w:rsidRPr="00335764">
        <w:rPr>
          <w:rFonts w:cs="Arial"/>
          <w:iCs/>
          <w:sz w:val="20"/>
          <w:szCs w:val="20"/>
        </w:rPr>
        <w:t>The Committee’s</w:t>
      </w:r>
      <w:r w:rsidR="00DC21D7" w:rsidRPr="00335764">
        <w:rPr>
          <w:rFonts w:cs="Arial"/>
          <w:i/>
          <w:sz w:val="20"/>
          <w:szCs w:val="20"/>
        </w:rPr>
        <w:t xml:space="preserve"> </w:t>
      </w:r>
      <w:r w:rsidR="00DC21D7" w:rsidRPr="00335764">
        <w:rPr>
          <w:rFonts w:cs="Arial"/>
          <w:sz w:val="20"/>
          <w:szCs w:val="20"/>
        </w:rPr>
        <w:t>recent</w:t>
      </w:r>
      <w:r w:rsidR="0067382D" w:rsidRPr="00335764">
        <w:rPr>
          <w:rFonts w:cs="Arial"/>
          <w:sz w:val="20"/>
          <w:szCs w:val="20"/>
        </w:rPr>
        <w:t xml:space="preserve"> oversight visits highlighted how difficult it is for people with disabilities to access court buildings and service centres. </w:t>
      </w:r>
      <w:r w:rsidR="006A276B" w:rsidRPr="00335764">
        <w:rPr>
          <w:rFonts w:cs="Arial"/>
          <w:sz w:val="20"/>
          <w:szCs w:val="20"/>
        </w:rPr>
        <w:t xml:space="preserve">As such, the Committee notes that the </w:t>
      </w:r>
      <w:r w:rsidRPr="00335764">
        <w:rPr>
          <w:rFonts w:cs="Arial"/>
          <w:sz w:val="20"/>
          <w:szCs w:val="20"/>
        </w:rPr>
        <w:t xml:space="preserve">target for courts compliant with the </w:t>
      </w:r>
      <w:r w:rsidRPr="00335764">
        <w:rPr>
          <w:rFonts w:cs="Arial"/>
          <w:sz w:val="20"/>
          <w:szCs w:val="20"/>
          <w:lang w:val="en-ZA"/>
        </w:rPr>
        <w:t>strategy on universal access f</w:t>
      </w:r>
      <w:r w:rsidR="0067382D" w:rsidRPr="00335764">
        <w:rPr>
          <w:rFonts w:cs="Arial"/>
          <w:sz w:val="20"/>
          <w:szCs w:val="20"/>
          <w:lang w:val="en-ZA"/>
        </w:rPr>
        <w:t xml:space="preserve">or persons with disabilities </w:t>
      </w:r>
      <w:r w:rsidR="006A276B" w:rsidRPr="00335764">
        <w:rPr>
          <w:rFonts w:cs="Arial"/>
          <w:sz w:val="20"/>
          <w:szCs w:val="20"/>
          <w:lang w:val="en-ZA"/>
        </w:rPr>
        <w:t>is set at 65 for 2023/24.</w:t>
      </w:r>
      <w:r w:rsidRPr="00335764">
        <w:rPr>
          <w:rFonts w:cs="Arial"/>
          <w:sz w:val="20"/>
          <w:szCs w:val="20"/>
          <w:lang w:val="en-ZA"/>
        </w:rPr>
        <w:t xml:space="preserve"> </w:t>
      </w:r>
      <w:r w:rsidR="00D12D81" w:rsidRPr="00335764">
        <w:rPr>
          <w:rFonts w:cs="Arial"/>
          <w:sz w:val="20"/>
          <w:szCs w:val="20"/>
          <w:lang w:val="en-ZA"/>
        </w:rPr>
        <w:t xml:space="preserve">The Committee notes </w:t>
      </w:r>
      <w:r w:rsidR="006A276B" w:rsidRPr="00335764">
        <w:rPr>
          <w:rFonts w:cs="Arial"/>
          <w:sz w:val="20"/>
          <w:szCs w:val="20"/>
          <w:lang w:val="en-ZA"/>
        </w:rPr>
        <w:t xml:space="preserve">that 70 courts were made compliant in 2022/23 and </w:t>
      </w:r>
      <w:r w:rsidRPr="00335764">
        <w:rPr>
          <w:rFonts w:cs="Arial"/>
          <w:sz w:val="20"/>
          <w:szCs w:val="20"/>
          <w:lang w:val="en-ZA"/>
        </w:rPr>
        <w:t xml:space="preserve">ask for </w:t>
      </w:r>
      <w:r w:rsidR="006A276B" w:rsidRPr="00335764">
        <w:rPr>
          <w:rFonts w:cs="Arial"/>
          <w:sz w:val="20"/>
          <w:szCs w:val="20"/>
          <w:lang w:val="en-ZA"/>
        </w:rPr>
        <w:t xml:space="preserve">the details, </w:t>
      </w:r>
      <w:r w:rsidRPr="00335764">
        <w:rPr>
          <w:rFonts w:cs="Arial"/>
          <w:sz w:val="20"/>
          <w:szCs w:val="20"/>
          <w:lang w:val="en-ZA"/>
        </w:rPr>
        <w:t xml:space="preserve">as well as </w:t>
      </w:r>
      <w:r w:rsidR="006A276B" w:rsidRPr="00335764">
        <w:rPr>
          <w:rFonts w:cs="Arial"/>
          <w:sz w:val="20"/>
          <w:szCs w:val="20"/>
          <w:lang w:val="en-ZA"/>
        </w:rPr>
        <w:t xml:space="preserve">those of </w:t>
      </w:r>
      <w:r w:rsidRPr="00335764">
        <w:rPr>
          <w:rFonts w:cs="Arial"/>
          <w:sz w:val="20"/>
          <w:szCs w:val="20"/>
          <w:lang w:val="en-ZA"/>
        </w:rPr>
        <w:t xml:space="preserve">courts that will be made compliant in this financial year. </w:t>
      </w:r>
    </w:p>
    <w:p w:rsidR="00745FF1" w:rsidRPr="00335764" w:rsidRDefault="00745FF1" w:rsidP="00335764">
      <w:pPr>
        <w:spacing w:line="240" w:lineRule="auto"/>
        <w:jc w:val="left"/>
        <w:rPr>
          <w:rFonts w:cs="Arial"/>
          <w:bCs/>
          <w:sz w:val="20"/>
          <w:szCs w:val="20"/>
        </w:rPr>
      </w:pPr>
    </w:p>
    <w:p w:rsidR="00745FF1" w:rsidRPr="00335764" w:rsidRDefault="00745FF1" w:rsidP="00335764">
      <w:pPr>
        <w:numPr>
          <w:ilvl w:val="1"/>
          <w:numId w:val="1"/>
        </w:numPr>
        <w:spacing w:line="240" w:lineRule="auto"/>
        <w:jc w:val="left"/>
        <w:rPr>
          <w:rFonts w:cs="Arial"/>
          <w:sz w:val="20"/>
          <w:szCs w:val="20"/>
          <w:lang w:val="en-US"/>
        </w:rPr>
      </w:pPr>
      <w:r w:rsidRPr="00335764">
        <w:rPr>
          <w:rFonts w:cs="Arial"/>
          <w:i/>
          <w:sz w:val="20"/>
          <w:szCs w:val="20"/>
          <w:lang w:val="en-US"/>
        </w:rPr>
        <w:t>Master’s offices.</w:t>
      </w:r>
      <w:r w:rsidRPr="00335764">
        <w:rPr>
          <w:rFonts w:cs="Arial"/>
          <w:sz w:val="20"/>
          <w:szCs w:val="20"/>
          <w:lang w:val="en-US"/>
        </w:rPr>
        <w:t xml:space="preserve"> </w:t>
      </w:r>
      <w:r w:rsidR="00D12D81" w:rsidRPr="00335764">
        <w:rPr>
          <w:rFonts w:cs="Arial"/>
          <w:sz w:val="20"/>
          <w:szCs w:val="20"/>
          <w:lang w:val="en-US"/>
        </w:rPr>
        <w:t xml:space="preserve">The Committee has </w:t>
      </w:r>
      <w:r w:rsidR="001976DE" w:rsidRPr="00335764">
        <w:rPr>
          <w:rFonts w:cs="Arial"/>
          <w:sz w:val="20"/>
          <w:szCs w:val="20"/>
          <w:lang w:val="en-US"/>
        </w:rPr>
        <w:t xml:space="preserve">expressed </w:t>
      </w:r>
      <w:r w:rsidR="00D12D81" w:rsidRPr="00335764">
        <w:rPr>
          <w:rFonts w:cs="Arial"/>
          <w:sz w:val="20"/>
          <w:szCs w:val="20"/>
          <w:lang w:val="en-US"/>
        </w:rPr>
        <w:t xml:space="preserve">its </w:t>
      </w:r>
      <w:r w:rsidR="001976DE" w:rsidRPr="00335764">
        <w:rPr>
          <w:rFonts w:cs="Arial"/>
          <w:sz w:val="20"/>
          <w:szCs w:val="20"/>
          <w:lang w:val="en-US"/>
        </w:rPr>
        <w:t xml:space="preserve">concern about the deplorable state of the Master’s Office many times. In 2022/23, the Department committed to implementing a robust strategy to transform services rendered by the Master’s Office countrywide. However, the 2023/24 APP appears to focus only on three interventions aimed at modernisation of Master’s processes and </w:t>
      </w:r>
      <w:r w:rsidR="00703E27" w:rsidRPr="00335764">
        <w:rPr>
          <w:rFonts w:cs="Arial"/>
          <w:sz w:val="20"/>
          <w:szCs w:val="20"/>
          <w:lang w:val="en-US"/>
        </w:rPr>
        <w:t>does</w:t>
      </w:r>
      <w:r w:rsidR="001976DE" w:rsidRPr="00335764">
        <w:rPr>
          <w:rFonts w:cs="Arial"/>
          <w:sz w:val="20"/>
          <w:szCs w:val="20"/>
          <w:lang w:val="en-US"/>
        </w:rPr>
        <w:t xml:space="preserve"> not appear to address any of the other problems that the Master’s office has. Will these interventions resolve the backlog, which is significant, for example? Nor is any information </w:t>
      </w:r>
      <w:r w:rsidR="00703E27" w:rsidRPr="00335764">
        <w:rPr>
          <w:rFonts w:cs="Arial"/>
          <w:sz w:val="20"/>
          <w:szCs w:val="20"/>
          <w:lang w:val="en-US"/>
        </w:rPr>
        <w:t>provided</w:t>
      </w:r>
      <w:r w:rsidR="001976DE" w:rsidRPr="00335764">
        <w:rPr>
          <w:rFonts w:cs="Arial"/>
          <w:sz w:val="20"/>
          <w:szCs w:val="20"/>
          <w:lang w:val="en-US"/>
        </w:rPr>
        <w:t xml:space="preserve"> on digitalisation or record keeping projects in Masters</w:t>
      </w:r>
      <w:r w:rsidR="001E3C09" w:rsidRPr="00335764">
        <w:rPr>
          <w:rFonts w:cs="Arial"/>
          <w:sz w:val="20"/>
          <w:szCs w:val="20"/>
          <w:lang w:val="en-US"/>
        </w:rPr>
        <w:t>’</w:t>
      </w:r>
      <w:r w:rsidR="001976DE" w:rsidRPr="00335764">
        <w:rPr>
          <w:rFonts w:cs="Arial"/>
          <w:sz w:val="20"/>
          <w:szCs w:val="20"/>
          <w:lang w:val="en-US"/>
        </w:rPr>
        <w:t xml:space="preserve"> offices, given the significant challenges experienced by many Masters</w:t>
      </w:r>
      <w:r w:rsidR="001E3C09" w:rsidRPr="00335764">
        <w:rPr>
          <w:rFonts w:cs="Arial"/>
          <w:sz w:val="20"/>
          <w:szCs w:val="20"/>
          <w:lang w:val="en-US"/>
        </w:rPr>
        <w:t>’</w:t>
      </w:r>
      <w:r w:rsidR="001976DE" w:rsidRPr="00335764">
        <w:rPr>
          <w:rFonts w:cs="Arial"/>
          <w:sz w:val="20"/>
          <w:szCs w:val="20"/>
          <w:lang w:val="en-US"/>
        </w:rPr>
        <w:t xml:space="preserve"> offices with the storage of files. </w:t>
      </w:r>
      <w:r w:rsidR="00D12D81" w:rsidRPr="00335764">
        <w:rPr>
          <w:rFonts w:cs="Arial"/>
          <w:sz w:val="20"/>
          <w:szCs w:val="20"/>
          <w:lang w:val="en-US"/>
        </w:rPr>
        <w:t xml:space="preserve">The Committee, </w:t>
      </w:r>
      <w:r w:rsidRPr="00335764">
        <w:rPr>
          <w:rFonts w:cs="Arial"/>
          <w:sz w:val="20"/>
          <w:szCs w:val="20"/>
          <w:lang w:val="en-US"/>
        </w:rPr>
        <w:t>therefore, ask</w:t>
      </w:r>
      <w:r w:rsidR="00D12D81" w:rsidRPr="00335764">
        <w:rPr>
          <w:rFonts w:cs="Arial"/>
          <w:sz w:val="20"/>
          <w:szCs w:val="20"/>
          <w:lang w:val="en-US"/>
        </w:rPr>
        <w:t>s</w:t>
      </w:r>
      <w:r w:rsidRPr="00335764">
        <w:rPr>
          <w:rFonts w:cs="Arial"/>
          <w:sz w:val="20"/>
          <w:szCs w:val="20"/>
          <w:lang w:val="en-US"/>
        </w:rPr>
        <w:t xml:space="preserve"> for </w:t>
      </w:r>
      <w:r w:rsidR="0067382D" w:rsidRPr="00335764">
        <w:rPr>
          <w:rFonts w:cs="Arial"/>
          <w:sz w:val="20"/>
          <w:szCs w:val="20"/>
          <w:lang w:val="en-US"/>
        </w:rPr>
        <w:t>a report</w:t>
      </w:r>
      <w:r w:rsidR="001976DE" w:rsidRPr="00335764">
        <w:rPr>
          <w:rFonts w:cs="Arial"/>
          <w:sz w:val="20"/>
          <w:szCs w:val="20"/>
          <w:lang w:val="en-US"/>
        </w:rPr>
        <w:t xml:space="preserve"> providing details of progress made </w:t>
      </w:r>
      <w:r w:rsidR="00703E27" w:rsidRPr="00335764">
        <w:rPr>
          <w:rFonts w:cs="Arial"/>
          <w:sz w:val="20"/>
          <w:szCs w:val="20"/>
          <w:lang w:val="en-US"/>
        </w:rPr>
        <w:t>regarding</w:t>
      </w:r>
      <w:r w:rsidR="001976DE" w:rsidRPr="00335764">
        <w:rPr>
          <w:rFonts w:cs="Arial"/>
          <w:sz w:val="20"/>
          <w:szCs w:val="20"/>
          <w:lang w:val="en-US"/>
        </w:rPr>
        <w:t xml:space="preserve"> the strategy</w:t>
      </w:r>
      <w:r w:rsidRPr="00335764">
        <w:rPr>
          <w:rFonts w:cs="Arial"/>
          <w:sz w:val="20"/>
          <w:szCs w:val="20"/>
          <w:lang w:val="en-US"/>
        </w:rPr>
        <w:t>, in writing, b</w:t>
      </w:r>
      <w:r w:rsidR="004B2BB0" w:rsidRPr="00335764">
        <w:rPr>
          <w:rFonts w:cs="Arial"/>
          <w:sz w:val="20"/>
          <w:szCs w:val="20"/>
          <w:lang w:val="en-US"/>
        </w:rPr>
        <w:t>efore</w:t>
      </w:r>
      <w:r w:rsidR="001976DE" w:rsidRPr="00335764">
        <w:rPr>
          <w:rFonts w:cs="Arial"/>
          <w:sz w:val="20"/>
          <w:szCs w:val="20"/>
          <w:lang w:val="en-US"/>
        </w:rPr>
        <w:t xml:space="preserve"> 30 June 2023</w:t>
      </w:r>
      <w:r w:rsidRPr="00335764">
        <w:rPr>
          <w:rFonts w:cs="Arial"/>
          <w:sz w:val="20"/>
          <w:szCs w:val="20"/>
          <w:lang w:val="en-US"/>
        </w:rPr>
        <w:t>.</w:t>
      </w:r>
    </w:p>
    <w:p w:rsidR="00745FF1" w:rsidRPr="00335764" w:rsidRDefault="00745FF1" w:rsidP="00335764">
      <w:pPr>
        <w:spacing w:line="240" w:lineRule="auto"/>
        <w:jc w:val="left"/>
        <w:rPr>
          <w:rFonts w:cs="Arial"/>
          <w:i/>
          <w:sz w:val="20"/>
          <w:szCs w:val="20"/>
        </w:rPr>
      </w:pPr>
    </w:p>
    <w:p w:rsidR="00B86B44" w:rsidRPr="00335764" w:rsidRDefault="00745FF1" w:rsidP="00335764">
      <w:pPr>
        <w:numPr>
          <w:ilvl w:val="1"/>
          <w:numId w:val="1"/>
        </w:numPr>
        <w:spacing w:line="240" w:lineRule="auto"/>
        <w:ind w:hanging="862"/>
        <w:jc w:val="left"/>
        <w:rPr>
          <w:rFonts w:cs="Arial"/>
          <w:sz w:val="20"/>
          <w:szCs w:val="20"/>
        </w:rPr>
      </w:pPr>
      <w:r w:rsidRPr="00335764">
        <w:rPr>
          <w:rFonts w:cs="Arial"/>
          <w:i/>
          <w:sz w:val="20"/>
          <w:szCs w:val="20"/>
        </w:rPr>
        <w:t>State Attorneys</w:t>
      </w:r>
      <w:r w:rsidRPr="00335764">
        <w:rPr>
          <w:rFonts w:cs="Arial"/>
          <w:sz w:val="20"/>
          <w:szCs w:val="20"/>
        </w:rPr>
        <w:t xml:space="preserve">. </w:t>
      </w:r>
    </w:p>
    <w:p w:rsidR="00B86B44" w:rsidRPr="00335764" w:rsidRDefault="00B86B44" w:rsidP="00335764">
      <w:pPr>
        <w:spacing w:line="240" w:lineRule="auto"/>
        <w:ind w:left="862"/>
        <w:jc w:val="left"/>
        <w:rPr>
          <w:rFonts w:cs="Arial"/>
          <w:sz w:val="20"/>
          <w:szCs w:val="20"/>
        </w:rPr>
      </w:pPr>
    </w:p>
    <w:p w:rsidR="00745FF1" w:rsidRPr="00335764" w:rsidRDefault="00745FF1" w:rsidP="00335764">
      <w:pPr>
        <w:pStyle w:val="ListParagraph"/>
        <w:numPr>
          <w:ilvl w:val="2"/>
          <w:numId w:val="1"/>
        </w:numPr>
        <w:spacing w:line="240" w:lineRule="auto"/>
        <w:ind w:hanging="862"/>
        <w:jc w:val="left"/>
        <w:rPr>
          <w:rFonts w:cs="Arial"/>
          <w:sz w:val="20"/>
          <w:szCs w:val="20"/>
        </w:rPr>
      </w:pPr>
      <w:r w:rsidRPr="00335764">
        <w:rPr>
          <w:rFonts w:cs="Arial"/>
          <w:sz w:val="20"/>
          <w:szCs w:val="20"/>
        </w:rPr>
        <w:t>The appointment of an Acting Solicitor-General was made in 2020 for a period of two years as a temporary solution while the post u</w:t>
      </w:r>
      <w:r w:rsidR="0067382D" w:rsidRPr="00335764">
        <w:rPr>
          <w:rFonts w:cs="Arial"/>
          <w:sz w:val="20"/>
          <w:szCs w:val="20"/>
        </w:rPr>
        <w:t xml:space="preserve">nderwent an evaluation process. </w:t>
      </w:r>
      <w:r w:rsidR="001976DE" w:rsidRPr="00335764">
        <w:rPr>
          <w:rFonts w:cs="Arial"/>
          <w:sz w:val="20"/>
          <w:szCs w:val="20"/>
        </w:rPr>
        <w:t xml:space="preserve">Several years have </w:t>
      </w:r>
      <w:r w:rsidRPr="00335764">
        <w:rPr>
          <w:rFonts w:cs="Arial"/>
          <w:sz w:val="20"/>
          <w:szCs w:val="20"/>
        </w:rPr>
        <w:t>passed</w:t>
      </w:r>
      <w:r w:rsidR="0067382D" w:rsidRPr="00335764">
        <w:rPr>
          <w:rFonts w:cs="Arial"/>
          <w:sz w:val="20"/>
          <w:szCs w:val="20"/>
        </w:rPr>
        <w:t xml:space="preserve"> </w:t>
      </w:r>
      <w:r w:rsidR="001976DE" w:rsidRPr="00335764">
        <w:rPr>
          <w:rFonts w:cs="Arial"/>
          <w:sz w:val="20"/>
          <w:szCs w:val="20"/>
        </w:rPr>
        <w:t xml:space="preserve">now </w:t>
      </w:r>
      <w:r w:rsidR="0067382D" w:rsidRPr="00335764">
        <w:rPr>
          <w:rFonts w:cs="Arial"/>
          <w:sz w:val="20"/>
          <w:szCs w:val="20"/>
        </w:rPr>
        <w:t>but</w:t>
      </w:r>
      <w:r w:rsidRPr="00335764">
        <w:rPr>
          <w:rFonts w:cs="Arial"/>
          <w:sz w:val="20"/>
          <w:szCs w:val="20"/>
        </w:rPr>
        <w:t xml:space="preserve"> the post is still in the process of being finalised. </w:t>
      </w:r>
      <w:r w:rsidR="00D12D81" w:rsidRPr="00335764">
        <w:rPr>
          <w:rFonts w:cs="Arial"/>
          <w:sz w:val="20"/>
          <w:szCs w:val="20"/>
        </w:rPr>
        <w:t xml:space="preserve">The </w:t>
      </w:r>
      <w:r w:rsidR="00D12D81" w:rsidRPr="00335764">
        <w:rPr>
          <w:rFonts w:cs="Arial"/>
          <w:sz w:val="20"/>
          <w:szCs w:val="20"/>
        </w:rPr>
        <w:lastRenderedPageBreak/>
        <w:t>Committee</w:t>
      </w:r>
      <w:r w:rsidR="0067382D" w:rsidRPr="00335764">
        <w:rPr>
          <w:rFonts w:cs="Arial"/>
          <w:sz w:val="20"/>
          <w:szCs w:val="20"/>
        </w:rPr>
        <w:t>, therefore,</w:t>
      </w:r>
      <w:r w:rsidRPr="00335764">
        <w:rPr>
          <w:rFonts w:cs="Arial"/>
          <w:sz w:val="20"/>
          <w:szCs w:val="20"/>
        </w:rPr>
        <w:t xml:space="preserve"> urge</w:t>
      </w:r>
      <w:r w:rsidR="00D12D81" w:rsidRPr="00335764">
        <w:rPr>
          <w:rFonts w:cs="Arial"/>
          <w:sz w:val="20"/>
          <w:szCs w:val="20"/>
        </w:rPr>
        <w:t>s</w:t>
      </w:r>
      <w:r w:rsidRPr="00335764">
        <w:rPr>
          <w:rFonts w:cs="Arial"/>
          <w:sz w:val="20"/>
          <w:szCs w:val="20"/>
        </w:rPr>
        <w:t xml:space="preserve"> the Department to prioritise finalising the position so that a recruitment process can get underway.</w:t>
      </w:r>
    </w:p>
    <w:p w:rsidR="00176C56" w:rsidRPr="00335764" w:rsidRDefault="00176C56" w:rsidP="00335764">
      <w:pPr>
        <w:spacing w:line="240" w:lineRule="auto"/>
        <w:jc w:val="left"/>
        <w:rPr>
          <w:rFonts w:cs="Arial"/>
          <w:sz w:val="20"/>
          <w:szCs w:val="20"/>
        </w:rPr>
      </w:pPr>
    </w:p>
    <w:p w:rsidR="00B86B44" w:rsidRPr="00335764" w:rsidRDefault="00176C56" w:rsidP="00335764">
      <w:pPr>
        <w:pStyle w:val="ListParagraph"/>
        <w:numPr>
          <w:ilvl w:val="2"/>
          <w:numId w:val="1"/>
        </w:numPr>
        <w:spacing w:line="240" w:lineRule="auto"/>
        <w:ind w:hanging="862"/>
        <w:jc w:val="left"/>
        <w:rPr>
          <w:rFonts w:cs="Arial"/>
          <w:sz w:val="20"/>
          <w:szCs w:val="20"/>
        </w:rPr>
      </w:pPr>
      <w:r w:rsidRPr="00335764">
        <w:rPr>
          <w:rFonts w:cs="Arial"/>
          <w:sz w:val="20"/>
          <w:szCs w:val="20"/>
        </w:rPr>
        <w:t xml:space="preserve">The transformation of state legal services remains a key outcome of the Department. The state attorneys’ environment is beset by serious deficiencies. These include a lack of support </w:t>
      </w:r>
      <w:r w:rsidR="00B86B44" w:rsidRPr="00335764">
        <w:rPr>
          <w:rFonts w:cs="Arial"/>
          <w:sz w:val="20"/>
          <w:szCs w:val="20"/>
        </w:rPr>
        <w:t xml:space="preserve">from </w:t>
      </w:r>
      <w:r w:rsidRPr="00335764">
        <w:rPr>
          <w:rFonts w:cs="Arial"/>
          <w:sz w:val="20"/>
          <w:szCs w:val="20"/>
        </w:rPr>
        <w:t xml:space="preserve">both state organs and private legal practitioners and resistance to change relating to the implementation of state policies; inadequate resources (tools of trade); infrastructure; technology; and funding. </w:t>
      </w:r>
      <w:r w:rsidR="00B86B44" w:rsidRPr="00335764">
        <w:rPr>
          <w:rFonts w:cs="Arial"/>
          <w:sz w:val="20"/>
          <w:szCs w:val="20"/>
        </w:rPr>
        <w:t>T</w:t>
      </w:r>
      <w:r w:rsidRPr="00335764">
        <w:rPr>
          <w:rFonts w:cs="Arial"/>
          <w:sz w:val="20"/>
          <w:szCs w:val="20"/>
        </w:rPr>
        <w:t xml:space="preserve">he 2019/20 Annual Report reported that </w:t>
      </w:r>
      <w:r w:rsidR="00703E27" w:rsidRPr="00335764">
        <w:rPr>
          <w:rFonts w:cs="Arial"/>
          <w:sz w:val="20"/>
          <w:szCs w:val="20"/>
        </w:rPr>
        <w:t>several</w:t>
      </w:r>
      <w:r w:rsidRPr="00335764">
        <w:rPr>
          <w:rFonts w:cs="Arial"/>
          <w:sz w:val="20"/>
          <w:szCs w:val="20"/>
        </w:rPr>
        <w:t xml:space="preserve"> policies to address issues of effectiveness and efficiency within State Attorneys had been approved for submission to Parliament. However, the policies were never submitted to Parliament. </w:t>
      </w:r>
      <w:r w:rsidR="00B86B44" w:rsidRPr="00335764">
        <w:rPr>
          <w:rFonts w:cs="Arial"/>
          <w:sz w:val="20"/>
          <w:szCs w:val="20"/>
        </w:rPr>
        <w:t>However, w</w:t>
      </w:r>
      <w:r w:rsidRPr="00335764">
        <w:rPr>
          <w:rFonts w:cs="Arial"/>
          <w:sz w:val="20"/>
          <w:szCs w:val="20"/>
        </w:rPr>
        <w:t>ith the appointment of the Solicitor General in 2020</w:t>
      </w:r>
      <w:r w:rsidR="00B86B44" w:rsidRPr="00335764">
        <w:rPr>
          <w:rFonts w:cs="Arial"/>
          <w:sz w:val="20"/>
          <w:szCs w:val="20"/>
        </w:rPr>
        <w:t>, there has been progress. P</w:t>
      </w:r>
      <w:r w:rsidRPr="00335764">
        <w:rPr>
          <w:rFonts w:cs="Arial"/>
          <w:sz w:val="20"/>
          <w:szCs w:val="20"/>
        </w:rPr>
        <w:t>olicies on the Management of State Litigation; State Mediation; Briefing and Outsourcing of State legal work; Initiating, Defending and Opposing of matters; State Legal Representation; and State Litigation Contingent Liability</w:t>
      </w:r>
      <w:r w:rsidR="00B86B44" w:rsidRPr="00335764">
        <w:rPr>
          <w:rFonts w:cs="Arial"/>
          <w:sz w:val="20"/>
          <w:szCs w:val="20"/>
        </w:rPr>
        <w:t xml:space="preserve"> were approved </w:t>
      </w:r>
      <w:r w:rsidRPr="00335764">
        <w:rPr>
          <w:rFonts w:cs="Arial"/>
          <w:sz w:val="20"/>
          <w:szCs w:val="20"/>
        </w:rPr>
        <w:t xml:space="preserve">by Cabinet </w:t>
      </w:r>
      <w:r w:rsidR="00B86B44" w:rsidRPr="00335764">
        <w:rPr>
          <w:rFonts w:cs="Arial"/>
          <w:sz w:val="20"/>
          <w:szCs w:val="20"/>
        </w:rPr>
        <w:t xml:space="preserve">in 2022/23 </w:t>
      </w:r>
      <w:r w:rsidRPr="00335764">
        <w:rPr>
          <w:rFonts w:cs="Arial"/>
          <w:sz w:val="20"/>
          <w:szCs w:val="20"/>
        </w:rPr>
        <w:t xml:space="preserve">and tabled in Parliament for noting. </w:t>
      </w:r>
      <w:r w:rsidR="00B86B44" w:rsidRPr="00335764">
        <w:rPr>
          <w:rFonts w:cs="Arial"/>
          <w:sz w:val="20"/>
          <w:szCs w:val="20"/>
        </w:rPr>
        <w:t>T</w:t>
      </w:r>
      <w:r w:rsidRPr="00335764">
        <w:rPr>
          <w:rFonts w:cs="Arial"/>
          <w:sz w:val="20"/>
          <w:szCs w:val="20"/>
        </w:rPr>
        <w:t xml:space="preserve">hese policies </w:t>
      </w:r>
      <w:r w:rsidR="00B86B44" w:rsidRPr="00335764">
        <w:rPr>
          <w:rFonts w:cs="Arial"/>
          <w:sz w:val="20"/>
          <w:szCs w:val="20"/>
        </w:rPr>
        <w:t>are targeted for implementation in 2023/24.</w:t>
      </w:r>
      <w:r w:rsidRPr="00335764">
        <w:rPr>
          <w:rFonts w:cs="Arial"/>
          <w:sz w:val="20"/>
          <w:szCs w:val="20"/>
        </w:rPr>
        <w:t xml:space="preserve"> </w:t>
      </w:r>
    </w:p>
    <w:p w:rsidR="00B86B44" w:rsidRPr="00335764" w:rsidRDefault="00B86B44" w:rsidP="00335764">
      <w:pPr>
        <w:spacing w:line="240" w:lineRule="auto"/>
        <w:jc w:val="left"/>
        <w:rPr>
          <w:rFonts w:cs="Arial"/>
          <w:sz w:val="20"/>
          <w:szCs w:val="20"/>
        </w:rPr>
      </w:pPr>
    </w:p>
    <w:p w:rsidR="00176C56" w:rsidRPr="00335764" w:rsidRDefault="00176C56" w:rsidP="00335764">
      <w:pPr>
        <w:pStyle w:val="ListParagraph"/>
        <w:numPr>
          <w:ilvl w:val="2"/>
          <w:numId w:val="1"/>
        </w:numPr>
        <w:spacing w:line="240" w:lineRule="auto"/>
        <w:ind w:hanging="862"/>
        <w:jc w:val="left"/>
        <w:rPr>
          <w:rFonts w:cs="Arial"/>
          <w:sz w:val="20"/>
          <w:szCs w:val="20"/>
        </w:rPr>
      </w:pPr>
      <w:r w:rsidRPr="00335764">
        <w:rPr>
          <w:rFonts w:cs="Arial"/>
          <w:sz w:val="20"/>
          <w:szCs w:val="20"/>
        </w:rPr>
        <w:t>In addition, the O</w:t>
      </w:r>
      <w:r w:rsidR="00DF6272" w:rsidRPr="00335764">
        <w:rPr>
          <w:rFonts w:cs="Arial"/>
          <w:sz w:val="20"/>
          <w:szCs w:val="20"/>
        </w:rPr>
        <w:t xml:space="preserve">ffice of the </w:t>
      </w:r>
      <w:r w:rsidRPr="00335764">
        <w:rPr>
          <w:rFonts w:cs="Arial"/>
          <w:sz w:val="20"/>
          <w:szCs w:val="20"/>
        </w:rPr>
        <w:t>S</w:t>
      </w:r>
      <w:r w:rsidR="00DF6272" w:rsidRPr="00335764">
        <w:rPr>
          <w:rFonts w:cs="Arial"/>
          <w:sz w:val="20"/>
          <w:szCs w:val="20"/>
        </w:rPr>
        <w:t>olicitor-</w:t>
      </w:r>
      <w:r w:rsidRPr="00335764">
        <w:rPr>
          <w:rFonts w:cs="Arial"/>
          <w:sz w:val="20"/>
          <w:szCs w:val="20"/>
        </w:rPr>
        <w:t>G</w:t>
      </w:r>
      <w:r w:rsidR="00DF6272" w:rsidRPr="00335764">
        <w:rPr>
          <w:rFonts w:cs="Arial"/>
          <w:sz w:val="20"/>
          <w:szCs w:val="20"/>
        </w:rPr>
        <w:t>eneral</w:t>
      </w:r>
      <w:r w:rsidRPr="00335764">
        <w:rPr>
          <w:rFonts w:cs="Arial"/>
          <w:sz w:val="20"/>
          <w:szCs w:val="20"/>
        </w:rPr>
        <w:t xml:space="preserve"> established</w:t>
      </w:r>
      <w:r w:rsidR="00DF6272" w:rsidRPr="00335764">
        <w:rPr>
          <w:rFonts w:cs="Arial"/>
          <w:sz w:val="20"/>
          <w:szCs w:val="20"/>
        </w:rPr>
        <w:t xml:space="preserve"> a</w:t>
      </w:r>
      <w:r w:rsidRPr="00335764">
        <w:rPr>
          <w:rFonts w:cs="Arial"/>
          <w:sz w:val="20"/>
          <w:szCs w:val="20"/>
        </w:rPr>
        <w:t xml:space="preserve"> National Briefing Committee to monitor and assess the briefing patterns issued by State Attorney Offices across the country. Th</w:t>
      </w:r>
      <w:r w:rsidR="00B86B44" w:rsidRPr="00335764">
        <w:rPr>
          <w:rFonts w:cs="Arial"/>
          <w:sz w:val="20"/>
          <w:szCs w:val="20"/>
        </w:rPr>
        <w:t>is</w:t>
      </w:r>
      <w:r w:rsidRPr="00335764">
        <w:rPr>
          <w:rFonts w:cs="Arial"/>
          <w:sz w:val="20"/>
          <w:szCs w:val="20"/>
        </w:rPr>
        <w:t xml:space="preserve"> Committee will also provide guidelines on the criteria and processes to be followed on br</w:t>
      </w:r>
      <w:r w:rsidR="00B86B44" w:rsidRPr="00335764">
        <w:rPr>
          <w:rFonts w:cs="Arial"/>
          <w:sz w:val="20"/>
          <w:szCs w:val="20"/>
        </w:rPr>
        <w:t xml:space="preserve">iefing patterns and protocols. </w:t>
      </w:r>
      <w:r w:rsidR="00D12D81" w:rsidRPr="00335764">
        <w:rPr>
          <w:rFonts w:cs="Arial"/>
          <w:sz w:val="20"/>
          <w:szCs w:val="20"/>
        </w:rPr>
        <w:t xml:space="preserve">The Committee notes </w:t>
      </w:r>
      <w:r w:rsidR="00B86B44" w:rsidRPr="00335764">
        <w:rPr>
          <w:rFonts w:cs="Arial"/>
          <w:sz w:val="20"/>
          <w:szCs w:val="20"/>
        </w:rPr>
        <w:t xml:space="preserve">that the </w:t>
      </w:r>
      <w:r w:rsidRPr="00335764">
        <w:rPr>
          <w:rFonts w:cs="Arial"/>
          <w:sz w:val="20"/>
          <w:szCs w:val="20"/>
        </w:rPr>
        <w:t>Department has also committed to filling va</w:t>
      </w:r>
      <w:r w:rsidR="00B86B44" w:rsidRPr="00335764">
        <w:rPr>
          <w:rFonts w:cs="Arial"/>
          <w:sz w:val="20"/>
          <w:szCs w:val="20"/>
        </w:rPr>
        <w:t>cancies at the State Attorney in 2023/24</w:t>
      </w:r>
      <w:r w:rsidRPr="00335764">
        <w:rPr>
          <w:rFonts w:cs="Arial"/>
          <w:sz w:val="20"/>
          <w:szCs w:val="20"/>
        </w:rPr>
        <w:t>. The vacancies currently stand at approximately 43 attorneys, 13 deputies and</w:t>
      </w:r>
      <w:r w:rsidR="00B86B44" w:rsidRPr="00335764">
        <w:rPr>
          <w:rFonts w:cs="Arial"/>
          <w:sz w:val="20"/>
          <w:szCs w:val="20"/>
        </w:rPr>
        <w:t xml:space="preserve"> 5 heads of State Attorney. </w:t>
      </w:r>
    </w:p>
    <w:p w:rsidR="001976DE" w:rsidRPr="00335764" w:rsidRDefault="001976DE" w:rsidP="00335764">
      <w:pPr>
        <w:spacing w:line="240" w:lineRule="auto"/>
        <w:ind w:left="862"/>
        <w:jc w:val="left"/>
        <w:rPr>
          <w:rFonts w:cs="Arial"/>
          <w:sz w:val="20"/>
          <w:szCs w:val="20"/>
        </w:rPr>
      </w:pPr>
    </w:p>
    <w:p w:rsidR="00B86B44" w:rsidRPr="00335764" w:rsidRDefault="00B86B44" w:rsidP="00335764">
      <w:pPr>
        <w:numPr>
          <w:ilvl w:val="1"/>
          <w:numId w:val="1"/>
        </w:numPr>
        <w:spacing w:line="240" w:lineRule="auto"/>
        <w:jc w:val="left"/>
        <w:rPr>
          <w:rFonts w:cs="Arial"/>
          <w:sz w:val="20"/>
          <w:szCs w:val="20"/>
        </w:rPr>
      </w:pPr>
      <w:r w:rsidRPr="00335764">
        <w:rPr>
          <w:rFonts w:cs="Arial"/>
          <w:i/>
          <w:sz w:val="20"/>
          <w:szCs w:val="20"/>
        </w:rPr>
        <w:t>Money laundering</w:t>
      </w:r>
      <w:r w:rsidRPr="00335764">
        <w:rPr>
          <w:rFonts w:cs="Arial"/>
          <w:sz w:val="20"/>
          <w:szCs w:val="20"/>
        </w:rPr>
        <w:t>. South Africa is now under increased monitoring by the Financial Action Task Force (FATF) due to certain deficiencies in its anti-money laundering and combating the</w:t>
      </w:r>
      <w:r w:rsidR="00DF6272" w:rsidRPr="00335764">
        <w:rPr>
          <w:rFonts w:cs="Arial"/>
          <w:sz w:val="20"/>
          <w:szCs w:val="20"/>
        </w:rPr>
        <w:t xml:space="preserve"> financing of terrorism regime. The Committee, therefore, welcomes the insertion of </w:t>
      </w:r>
      <w:r w:rsidRPr="00335764">
        <w:rPr>
          <w:rFonts w:cs="Arial"/>
          <w:sz w:val="20"/>
          <w:szCs w:val="20"/>
        </w:rPr>
        <w:t xml:space="preserve">a new indicator which provides for the implementation of </w:t>
      </w:r>
      <w:r w:rsidR="001E3C09" w:rsidRPr="00335764">
        <w:rPr>
          <w:rFonts w:cs="Arial"/>
          <w:sz w:val="20"/>
          <w:szCs w:val="20"/>
        </w:rPr>
        <w:t>several</w:t>
      </w:r>
      <w:r w:rsidRPr="00335764">
        <w:rPr>
          <w:rFonts w:cs="Arial"/>
          <w:sz w:val="20"/>
          <w:szCs w:val="20"/>
        </w:rPr>
        <w:t xml:space="preserve"> activities of the </w:t>
      </w:r>
      <w:r w:rsidR="00703E27" w:rsidRPr="00335764">
        <w:rPr>
          <w:rFonts w:cs="Arial"/>
          <w:sz w:val="20"/>
          <w:szCs w:val="20"/>
        </w:rPr>
        <w:t>High-Level</w:t>
      </w:r>
      <w:r w:rsidRPr="00335764">
        <w:rPr>
          <w:rFonts w:cs="Arial"/>
          <w:sz w:val="20"/>
          <w:szCs w:val="20"/>
        </w:rPr>
        <w:t xml:space="preserve"> Action Plan to exit the grey list of FATF’. </w:t>
      </w:r>
      <w:r w:rsidR="00DF6272" w:rsidRPr="00335764">
        <w:rPr>
          <w:rFonts w:cs="Arial"/>
          <w:sz w:val="20"/>
          <w:szCs w:val="20"/>
        </w:rPr>
        <w:t>Specifically,</w:t>
      </w:r>
      <w:r w:rsidRPr="00335764">
        <w:rPr>
          <w:rFonts w:cs="Arial"/>
          <w:sz w:val="20"/>
          <w:szCs w:val="20"/>
        </w:rPr>
        <w:t xml:space="preserve"> the following actio</w:t>
      </w:r>
      <w:r w:rsidR="00DF6272" w:rsidRPr="00335764">
        <w:rPr>
          <w:rFonts w:cs="Arial"/>
          <w:sz w:val="20"/>
          <w:szCs w:val="20"/>
        </w:rPr>
        <w:t xml:space="preserve">n plan items must be achieved: </w:t>
      </w:r>
      <w:r w:rsidRPr="00335764">
        <w:rPr>
          <w:rFonts w:cs="Arial"/>
          <w:sz w:val="20"/>
          <w:szCs w:val="20"/>
        </w:rPr>
        <w:t>The IJS system to re</w:t>
      </w:r>
      <w:r w:rsidR="00DF6272" w:rsidRPr="00335764">
        <w:rPr>
          <w:rFonts w:cs="Arial"/>
          <w:sz w:val="20"/>
          <w:szCs w:val="20"/>
        </w:rPr>
        <w:t>cord and monitor timeliness of m</w:t>
      </w:r>
      <w:r w:rsidRPr="00335764">
        <w:rPr>
          <w:rFonts w:cs="Arial"/>
          <w:sz w:val="20"/>
          <w:szCs w:val="20"/>
        </w:rPr>
        <w:t xml:space="preserve">oney laundering/terrorism financing matters operationalised; </w:t>
      </w:r>
      <w:r w:rsidR="00DF6272" w:rsidRPr="00335764">
        <w:rPr>
          <w:rFonts w:cs="Arial"/>
          <w:sz w:val="20"/>
          <w:szCs w:val="20"/>
        </w:rPr>
        <w:t>t</w:t>
      </w:r>
      <w:r w:rsidRPr="00335764">
        <w:rPr>
          <w:rFonts w:cs="Arial"/>
          <w:sz w:val="20"/>
          <w:szCs w:val="20"/>
        </w:rPr>
        <w:t xml:space="preserve">he Master’s </w:t>
      </w:r>
      <w:r w:rsidR="00703E27" w:rsidRPr="00335764">
        <w:rPr>
          <w:rFonts w:cs="Arial"/>
          <w:sz w:val="20"/>
          <w:szCs w:val="20"/>
        </w:rPr>
        <w:t>O</w:t>
      </w:r>
      <w:r w:rsidRPr="00335764">
        <w:rPr>
          <w:rFonts w:cs="Arial"/>
          <w:sz w:val="20"/>
          <w:szCs w:val="20"/>
        </w:rPr>
        <w:t xml:space="preserve">ffice system for the recording </w:t>
      </w:r>
      <w:r w:rsidR="00DF6272" w:rsidRPr="00335764">
        <w:rPr>
          <w:rFonts w:cs="Arial"/>
          <w:sz w:val="20"/>
          <w:szCs w:val="20"/>
        </w:rPr>
        <w:t>of the beneficial ownership of t</w:t>
      </w:r>
      <w:r w:rsidRPr="00335764">
        <w:rPr>
          <w:rFonts w:cs="Arial"/>
          <w:sz w:val="20"/>
          <w:szCs w:val="20"/>
        </w:rPr>
        <w:t xml:space="preserve">rusts information operationalised; </w:t>
      </w:r>
      <w:r w:rsidR="00DF6272" w:rsidRPr="00335764">
        <w:rPr>
          <w:rFonts w:cs="Arial"/>
          <w:sz w:val="20"/>
          <w:szCs w:val="20"/>
        </w:rPr>
        <w:t>and the R</w:t>
      </w:r>
      <w:r w:rsidRPr="00335764">
        <w:rPr>
          <w:rFonts w:cs="Arial"/>
          <w:sz w:val="20"/>
          <w:szCs w:val="20"/>
        </w:rPr>
        <w:t>egister to record the number of enquiries and responses to FIC; DPCI, NPA and other relevant agencies, established and operational.</w:t>
      </w:r>
    </w:p>
    <w:p w:rsidR="00DF6272" w:rsidRPr="00335764" w:rsidRDefault="00DF6272" w:rsidP="00335764">
      <w:pPr>
        <w:spacing w:line="240" w:lineRule="auto"/>
        <w:ind w:left="862"/>
        <w:jc w:val="left"/>
        <w:rPr>
          <w:rFonts w:cs="Arial"/>
          <w:sz w:val="20"/>
          <w:szCs w:val="20"/>
        </w:rPr>
      </w:pPr>
    </w:p>
    <w:p w:rsidR="001976DE" w:rsidRPr="00335764" w:rsidRDefault="001976DE" w:rsidP="00335764">
      <w:pPr>
        <w:numPr>
          <w:ilvl w:val="1"/>
          <w:numId w:val="1"/>
        </w:numPr>
        <w:spacing w:line="240" w:lineRule="auto"/>
        <w:jc w:val="left"/>
        <w:rPr>
          <w:rFonts w:cs="Arial"/>
          <w:sz w:val="20"/>
          <w:szCs w:val="20"/>
        </w:rPr>
      </w:pPr>
      <w:r w:rsidRPr="00335764">
        <w:rPr>
          <w:rFonts w:cs="Arial"/>
          <w:i/>
          <w:sz w:val="20"/>
          <w:szCs w:val="20"/>
        </w:rPr>
        <w:t>Community Advice Offices</w:t>
      </w:r>
      <w:r w:rsidRPr="00335764">
        <w:rPr>
          <w:rFonts w:cs="Arial"/>
          <w:sz w:val="20"/>
          <w:szCs w:val="20"/>
        </w:rPr>
        <w:t xml:space="preserve">. </w:t>
      </w:r>
      <w:r w:rsidR="00D12D81" w:rsidRPr="00335764">
        <w:rPr>
          <w:rFonts w:cs="Arial"/>
          <w:sz w:val="20"/>
          <w:szCs w:val="20"/>
        </w:rPr>
        <w:t xml:space="preserve">The Committee </w:t>
      </w:r>
      <w:r w:rsidRPr="00335764">
        <w:rPr>
          <w:rFonts w:cs="Arial"/>
          <w:sz w:val="20"/>
          <w:szCs w:val="20"/>
        </w:rPr>
        <w:t>welcome</w:t>
      </w:r>
      <w:r w:rsidR="00D12D81" w:rsidRPr="00335764">
        <w:rPr>
          <w:rFonts w:cs="Arial"/>
          <w:sz w:val="20"/>
          <w:szCs w:val="20"/>
        </w:rPr>
        <w:t>s</w:t>
      </w:r>
      <w:r w:rsidRPr="00335764">
        <w:rPr>
          <w:rFonts w:cs="Arial"/>
          <w:sz w:val="20"/>
          <w:szCs w:val="20"/>
        </w:rPr>
        <w:t xml:space="preserve"> the implementation of a Programme for Legal Empowerment and Access to Justice (PLEAJ), which is a 36-month pilot project that is funded through National Treasury’s General Budget Support Programme. The programme will be implemented in a partnership with the Centre for the Advancement of Advice Community Offices of South Africa to provide financial support to Community Advice Offices (CAOs), while employing the lessons learnt from the funding programme to develop a policy for the sustainability of the sector. </w:t>
      </w:r>
      <w:r w:rsidR="00D12D81" w:rsidRPr="00335764">
        <w:rPr>
          <w:rFonts w:cs="Arial"/>
          <w:sz w:val="20"/>
          <w:szCs w:val="20"/>
        </w:rPr>
        <w:t>Th</w:t>
      </w:r>
      <w:r w:rsidRPr="00335764">
        <w:rPr>
          <w:rFonts w:cs="Arial"/>
          <w:sz w:val="20"/>
          <w:szCs w:val="20"/>
        </w:rPr>
        <w:t xml:space="preserve">e </w:t>
      </w:r>
      <w:r w:rsidR="00D12D81" w:rsidRPr="00335764">
        <w:rPr>
          <w:rFonts w:cs="Arial"/>
          <w:sz w:val="20"/>
          <w:szCs w:val="20"/>
        </w:rPr>
        <w:t xml:space="preserve">Committee </w:t>
      </w:r>
      <w:r w:rsidRPr="00335764">
        <w:rPr>
          <w:rFonts w:cs="Arial"/>
          <w:sz w:val="20"/>
          <w:szCs w:val="20"/>
        </w:rPr>
        <w:t>will monitor progress going forward.</w:t>
      </w:r>
    </w:p>
    <w:p w:rsidR="00745FF1" w:rsidRPr="00335764" w:rsidRDefault="00745FF1" w:rsidP="00335764">
      <w:pPr>
        <w:spacing w:line="240" w:lineRule="auto"/>
        <w:jc w:val="left"/>
        <w:rPr>
          <w:rFonts w:cs="Arial"/>
          <w:i/>
          <w:sz w:val="20"/>
          <w:szCs w:val="20"/>
        </w:rPr>
      </w:pPr>
    </w:p>
    <w:p w:rsidR="00745FF1" w:rsidRPr="00335764" w:rsidRDefault="00745FF1" w:rsidP="00335764">
      <w:pPr>
        <w:numPr>
          <w:ilvl w:val="1"/>
          <w:numId w:val="1"/>
        </w:numPr>
        <w:spacing w:line="240" w:lineRule="auto"/>
        <w:ind w:hanging="862"/>
        <w:jc w:val="left"/>
        <w:rPr>
          <w:rFonts w:cs="Arial"/>
          <w:sz w:val="20"/>
          <w:szCs w:val="20"/>
        </w:rPr>
      </w:pPr>
      <w:r w:rsidRPr="00335764">
        <w:rPr>
          <w:rFonts w:cs="Arial"/>
          <w:i/>
          <w:sz w:val="20"/>
          <w:szCs w:val="20"/>
        </w:rPr>
        <w:t>Justice Modernisation.</w:t>
      </w:r>
    </w:p>
    <w:p w:rsidR="00745FF1" w:rsidRPr="00335764" w:rsidRDefault="00745FF1" w:rsidP="00335764">
      <w:pPr>
        <w:spacing w:line="240" w:lineRule="auto"/>
        <w:jc w:val="left"/>
        <w:rPr>
          <w:rFonts w:cs="Arial"/>
          <w:i/>
          <w:sz w:val="20"/>
          <w:szCs w:val="20"/>
        </w:rPr>
      </w:pPr>
    </w:p>
    <w:p w:rsidR="00745FF1" w:rsidRPr="00335764" w:rsidRDefault="00745FF1" w:rsidP="00335764">
      <w:pPr>
        <w:pStyle w:val="ListParagraph"/>
        <w:numPr>
          <w:ilvl w:val="2"/>
          <w:numId w:val="1"/>
        </w:numPr>
        <w:spacing w:line="240" w:lineRule="auto"/>
        <w:ind w:hanging="862"/>
        <w:jc w:val="left"/>
        <w:rPr>
          <w:rFonts w:cs="Arial"/>
          <w:sz w:val="20"/>
          <w:szCs w:val="20"/>
        </w:rPr>
      </w:pPr>
      <w:r w:rsidRPr="00335764">
        <w:rPr>
          <w:rFonts w:cs="Arial"/>
          <w:i/>
          <w:sz w:val="20"/>
          <w:szCs w:val="20"/>
        </w:rPr>
        <w:t>ICT Mo</w:t>
      </w:r>
      <w:r w:rsidR="00A110D7" w:rsidRPr="00335764">
        <w:rPr>
          <w:rFonts w:cs="Arial"/>
          <w:i/>
          <w:sz w:val="20"/>
          <w:szCs w:val="20"/>
        </w:rPr>
        <w:t>dernisation and d</w:t>
      </w:r>
      <w:r w:rsidRPr="00335764">
        <w:rPr>
          <w:rFonts w:cs="Arial"/>
          <w:i/>
          <w:sz w:val="20"/>
          <w:szCs w:val="20"/>
        </w:rPr>
        <w:t>igitisation projects.</w:t>
      </w:r>
      <w:r w:rsidRPr="00335764">
        <w:rPr>
          <w:rFonts w:cs="Arial"/>
          <w:sz w:val="20"/>
          <w:szCs w:val="20"/>
        </w:rPr>
        <w:t xml:space="preserve"> The Committee notes th</w:t>
      </w:r>
      <w:r w:rsidR="0068386A" w:rsidRPr="00335764">
        <w:rPr>
          <w:rFonts w:cs="Arial"/>
          <w:sz w:val="20"/>
          <w:szCs w:val="20"/>
        </w:rPr>
        <w:t xml:space="preserve">at the </w:t>
      </w:r>
      <w:r w:rsidRPr="00335764">
        <w:rPr>
          <w:rFonts w:cs="Arial"/>
          <w:sz w:val="20"/>
          <w:szCs w:val="20"/>
        </w:rPr>
        <w:t xml:space="preserve">focus on modernisation by way of online solutions that </w:t>
      </w:r>
      <w:r w:rsidR="008A6C1A" w:rsidRPr="00335764">
        <w:rPr>
          <w:rFonts w:cs="Arial"/>
          <w:sz w:val="20"/>
          <w:szCs w:val="20"/>
        </w:rPr>
        <w:t xml:space="preserve">will </w:t>
      </w:r>
      <w:r w:rsidRPr="00335764">
        <w:rPr>
          <w:rFonts w:cs="Arial"/>
          <w:sz w:val="20"/>
          <w:szCs w:val="20"/>
        </w:rPr>
        <w:t>automate various justice-related processes</w:t>
      </w:r>
      <w:r w:rsidR="0068386A" w:rsidRPr="00335764">
        <w:rPr>
          <w:rFonts w:cs="Arial"/>
          <w:sz w:val="20"/>
          <w:szCs w:val="20"/>
        </w:rPr>
        <w:t xml:space="preserve"> continues in 2023/24</w:t>
      </w:r>
      <w:r w:rsidRPr="00335764">
        <w:rPr>
          <w:rFonts w:cs="Arial"/>
          <w:sz w:val="20"/>
          <w:szCs w:val="20"/>
        </w:rPr>
        <w:t xml:space="preserve">. While online solutions are intended to improve efficiency and to increase access to justice services, </w:t>
      </w:r>
      <w:r w:rsidR="00D12D81" w:rsidRPr="00335764">
        <w:rPr>
          <w:rFonts w:cs="Arial"/>
          <w:sz w:val="20"/>
          <w:szCs w:val="20"/>
        </w:rPr>
        <w:t xml:space="preserve">the Committee </w:t>
      </w:r>
      <w:r w:rsidR="0068386A" w:rsidRPr="00335764">
        <w:rPr>
          <w:rFonts w:cs="Arial"/>
          <w:sz w:val="20"/>
          <w:szCs w:val="20"/>
        </w:rPr>
        <w:t>remain</w:t>
      </w:r>
      <w:r w:rsidR="00D12D81" w:rsidRPr="00335764">
        <w:rPr>
          <w:rFonts w:cs="Arial"/>
          <w:sz w:val="20"/>
          <w:szCs w:val="20"/>
        </w:rPr>
        <w:t>s</w:t>
      </w:r>
      <w:r w:rsidR="0068386A" w:rsidRPr="00335764">
        <w:rPr>
          <w:rFonts w:cs="Arial"/>
          <w:sz w:val="20"/>
          <w:szCs w:val="20"/>
        </w:rPr>
        <w:t xml:space="preserve"> </w:t>
      </w:r>
      <w:r w:rsidRPr="00335764">
        <w:rPr>
          <w:rFonts w:cs="Arial"/>
          <w:sz w:val="20"/>
          <w:szCs w:val="20"/>
        </w:rPr>
        <w:t xml:space="preserve">concerned about their reliability, as connectivity is often a challenge and systems go down. The Committee intends to engage with the Department on the various aspects of its modernisation programme and will arrange a meeting as soon as the programme permits. In the meantime, </w:t>
      </w:r>
      <w:r w:rsidR="00D12D81" w:rsidRPr="00335764">
        <w:rPr>
          <w:rFonts w:cs="Arial"/>
          <w:sz w:val="20"/>
          <w:szCs w:val="20"/>
        </w:rPr>
        <w:t xml:space="preserve">the Committee asks </w:t>
      </w:r>
      <w:r w:rsidRPr="00335764">
        <w:rPr>
          <w:rFonts w:cs="Arial"/>
          <w:sz w:val="20"/>
          <w:szCs w:val="20"/>
        </w:rPr>
        <w:t>for a comprehensive report, in writing, b</w:t>
      </w:r>
      <w:r w:rsidR="004B2BB0" w:rsidRPr="00335764">
        <w:rPr>
          <w:rFonts w:cs="Arial"/>
          <w:sz w:val="20"/>
          <w:szCs w:val="20"/>
        </w:rPr>
        <w:t>efore</w:t>
      </w:r>
      <w:r w:rsidRPr="00335764">
        <w:rPr>
          <w:rFonts w:cs="Arial"/>
          <w:sz w:val="20"/>
          <w:szCs w:val="20"/>
        </w:rPr>
        <w:t xml:space="preserve"> 30 June 202</w:t>
      </w:r>
      <w:r w:rsidR="0068386A" w:rsidRPr="00335764">
        <w:rPr>
          <w:rFonts w:cs="Arial"/>
          <w:sz w:val="20"/>
          <w:szCs w:val="20"/>
        </w:rPr>
        <w:t>3</w:t>
      </w:r>
      <w:r w:rsidRPr="00335764">
        <w:rPr>
          <w:rFonts w:cs="Arial"/>
          <w:sz w:val="20"/>
          <w:szCs w:val="20"/>
        </w:rPr>
        <w:t xml:space="preserve">, on the progress of rolling out the planned online solutions, the related timeframes, </w:t>
      </w:r>
      <w:r w:rsidR="00986430" w:rsidRPr="00335764">
        <w:rPr>
          <w:rFonts w:cs="Arial"/>
          <w:sz w:val="20"/>
          <w:szCs w:val="20"/>
        </w:rPr>
        <w:t xml:space="preserve">and </w:t>
      </w:r>
      <w:r w:rsidRPr="00335764">
        <w:rPr>
          <w:rFonts w:cs="Arial"/>
          <w:sz w:val="20"/>
          <w:szCs w:val="20"/>
        </w:rPr>
        <w:t xml:space="preserve">challenges </w:t>
      </w:r>
      <w:r w:rsidR="00986430" w:rsidRPr="00335764">
        <w:rPr>
          <w:rFonts w:cs="Arial"/>
          <w:sz w:val="20"/>
          <w:szCs w:val="20"/>
        </w:rPr>
        <w:t xml:space="preserve">experienced, as well as </w:t>
      </w:r>
      <w:r w:rsidRPr="00335764">
        <w:rPr>
          <w:rFonts w:cs="Arial"/>
          <w:sz w:val="20"/>
          <w:szCs w:val="20"/>
        </w:rPr>
        <w:t>mitigation strategies.</w:t>
      </w:r>
    </w:p>
    <w:p w:rsidR="00745FF1" w:rsidRPr="00335764" w:rsidRDefault="00745FF1" w:rsidP="00335764">
      <w:pPr>
        <w:spacing w:line="240" w:lineRule="auto"/>
        <w:jc w:val="left"/>
        <w:rPr>
          <w:rFonts w:cs="Arial"/>
          <w:i/>
          <w:sz w:val="20"/>
          <w:szCs w:val="20"/>
        </w:rPr>
      </w:pPr>
    </w:p>
    <w:p w:rsidR="00A110D7" w:rsidRPr="00335764" w:rsidRDefault="00A110D7" w:rsidP="00335764">
      <w:pPr>
        <w:spacing w:line="240" w:lineRule="auto"/>
        <w:jc w:val="left"/>
        <w:rPr>
          <w:rFonts w:cs="Arial"/>
          <w:bCs/>
          <w:sz w:val="20"/>
          <w:szCs w:val="20"/>
        </w:rPr>
      </w:pPr>
    </w:p>
    <w:p w:rsidR="008A6C1A" w:rsidRPr="00335764" w:rsidRDefault="008A6C1A" w:rsidP="00335764">
      <w:pPr>
        <w:spacing w:line="240" w:lineRule="auto"/>
        <w:jc w:val="left"/>
        <w:rPr>
          <w:rFonts w:cs="Arial"/>
          <w:b/>
          <w:bCs/>
          <w:sz w:val="20"/>
          <w:szCs w:val="20"/>
        </w:rPr>
      </w:pPr>
      <w:r w:rsidRPr="00335764">
        <w:rPr>
          <w:rFonts w:cs="Arial"/>
          <w:b/>
          <w:bCs/>
          <w:sz w:val="20"/>
          <w:szCs w:val="20"/>
        </w:rPr>
        <w:t>National Prosecuting Authority</w:t>
      </w:r>
    </w:p>
    <w:p w:rsidR="00745FF1" w:rsidRPr="00335764" w:rsidRDefault="00745FF1" w:rsidP="00335764">
      <w:pPr>
        <w:spacing w:line="240" w:lineRule="auto"/>
        <w:jc w:val="left"/>
        <w:rPr>
          <w:rFonts w:cs="Arial"/>
          <w:bCs/>
          <w:sz w:val="20"/>
          <w:szCs w:val="20"/>
        </w:rPr>
      </w:pPr>
    </w:p>
    <w:p w:rsidR="007F2170" w:rsidRPr="00335764" w:rsidRDefault="00745FF1" w:rsidP="00335764">
      <w:pPr>
        <w:numPr>
          <w:ilvl w:val="1"/>
          <w:numId w:val="1"/>
        </w:numPr>
        <w:spacing w:line="240" w:lineRule="auto"/>
        <w:ind w:hanging="862"/>
        <w:jc w:val="left"/>
        <w:rPr>
          <w:rFonts w:cs="Arial"/>
          <w:sz w:val="20"/>
          <w:szCs w:val="20"/>
          <w:lang/>
        </w:rPr>
      </w:pPr>
      <w:r w:rsidRPr="00335764">
        <w:rPr>
          <w:rFonts w:cs="Arial"/>
          <w:sz w:val="20"/>
          <w:szCs w:val="20"/>
          <w:lang/>
        </w:rPr>
        <w:t xml:space="preserve">The NPA </w:t>
      </w:r>
      <w:r w:rsidR="00DF6272" w:rsidRPr="00335764">
        <w:rPr>
          <w:rFonts w:cs="Arial"/>
          <w:sz w:val="20"/>
          <w:szCs w:val="20"/>
          <w:lang/>
        </w:rPr>
        <w:t xml:space="preserve">continues to </w:t>
      </w:r>
      <w:r w:rsidR="008540E2" w:rsidRPr="00335764">
        <w:rPr>
          <w:rFonts w:cs="Arial"/>
          <w:sz w:val="20"/>
          <w:szCs w:val="20"/>
          <w:lang/>
        </w:rPr>
        <w:t xml:space="preserve">attract </w:t>
      </w:r>
      <w:r w:rsidR="007F2170" w:rsidRPr="00335764">
        <w:rPr>
          <w:rFonts w:cs="Arial"/>
          <w:sz w:val="20"/>
          <w:szCs w:val="20"/>
          <w:lang/>
        </w:rPr>
        <w:t xml:space="preserve">sharp </w:t>
      </w:r>
      <w:r w:rsidR="008540E2" w:rsidRPr="00335764">
        <w:rPr>
          <w:rFonts w:cs="Arial"/>
          <w:sz w:val="20"/>
          <w:szCs w:val="20"/>
          <w:lang/>
        </w:rPr>
        <w:t xml:space="preserve">criticism </w:t>
      </w:r>
      <w:r w:rsidRPr="00335764">
        <w:rPr>
          <w:rFonts w:cs="Arial"/>
          <w:sz w:val="20"/>
          <w:szCs w:val="20"/>
          <w:lang/>
        </w:rPr>
        <w:t>for its lack of progress in prosecuting high profile corruption matters</w:t>
      </w:r>
      <w:r w:rsidR="007F2170" w:rsidRPr="00335764">
        <w:rPr>
          <w:rFonts w:cs="Arial"/>
          <w:sz w:val="20"/>
          <w:szCs w:val="20"/>
          <w:lang/>
        </w:rPr>
        <w:t xml:space="preserve">, </w:t>
      </w:r>
      <w:r w:rsidR="00703E27" w:rsidRPr="00335764">
        <w:rPr>
          <w:rFonts w:cs="Arial"/>
          <w:sz w:val="20"/>
          <w:szCs w:val="20"/>
          <w:lang/>
        </w:rPr>
        <w:t>especially</w:t>
      </w:r>
      <w:r w:rsidR="007F2170" w:rsidRPr="00335764">
        <w:rPr>
          <w:rFonts w:cs="Arial"/>
          <w:sz w:val="20"/>
          <w:szCs w:val="20"/>
          <w:lang/>
        </w:rPr>
        <w:t xml:space="preserve"> following recent setbacks</w:t>
      </w:r>
      <w:r w:rsidRPr="00335764">
        <w:rPr>
          <w:rFonts w:cs="Arial"/>
          <w:sz w:val="20"/>
          <w:szCs w:val="20"/>
          <w:lang/>
        </w:rPr>
        <w:t>. The NPA strongly refutes this</w:t>
      </w:r>
      <w:r w:rsidR="007F2170" w:rsidRPr="00335764">
        <w:rPr>
          <w:rFonts w:cs="Arial"/>
          <w:sz w:val="20"/>
          <w:szCs w:val="20"/>
          <w:lang/>
        </w:rPr>
        <w:t xml:space="preserve">, among others, pointing to the successful enrolment of </w:t>
      </w:r>
      <w:r w:rsidR="003478AE" w:rsidRPr="00335764">
        <w:rPr>
          <w:rFonts w:cs="Arial"/>
          <w:sz w:val="20"/>
          <w:szCs w:val="20"/>
          <w:lang/>
        </w:rPr>
        <w:t>several sem</w:t>
      </w:r>
      <w:r w:rsidR="007F2170" w:rsidRPr="00335764">
        <w:rPr>
          <w:rFonts w:cs="Arial"/>
          <w:sz w:val="20"/>
          <w:szCs w:val="20"/>
          <w:lang/>
        </w:rPr>
        <w:t>inal matters</w:t>
      </w:r>
      <w:r w:rsidR="003478AE" w:rsidRPr="00335764">
        <w:rPr>
          <w:rFonts w:cs="Arial"/>
          <w:sz w:val="20"/>
          <w:szCs w:val="20"/>
          <w:lang/>
        </w:rPr>
        <w:t xml:space="preserve"> that</w:t>
      </w:r>
      <w:r w:rsidR="007F2170" w:rsidRPr="00335764">
        <w:rPr>
          <w:rFonts w:cs="Arial"/>
          <w:sz w:val="20"/>
          <w:szCs w:val="20"/>
          <w:lang/>
        </w:rPr>
        <w:t xml:space="preserve"> illustrate the workings of state capture, involving accused persons from both government and the private sector who allegedly played vital roles in repurposing state institutions, syphoning off public funds for private gain and committing the most damaging forms of high-level corruption, including crimes committed as par</w:t>
      </w:r>
      <w:r w:rsidR="003478AE" w:rsidRPr="00335764">
        <w:rPr>
          <w:rFonts w:cs="Arial"/>
          <w:sz w:val="20"/>
          <w:szCs w:val="20"/>
          <w:lang/>
        </w:rPr>
        <w:t xml:space="preserve">t of the state capture project. </w:t>
      </w:r>
      <w:r w:rsidR="00D12D81" w:rsidRPr="00335764">
        <w:rPr>
          <w:rFonts w:cs="Arial"/>
          <w:sz w:val="20"/>
          <w:szCs w:val="20"/>
          <w:lang/>
        </w:rPr>
        <w:t xml:space="preserve">The Committee also </w:t>
      </w:r>
      <w:r w:rsidR="00F778DD" w:rsidRPr="00335764">
        <w:rPr>
          <w:rFonts w:cs="Arial"/>
          <w:sz w:val="20"/>
          <w:szCs w:val="20"/>
          <w:lang/>
        </w:rPr>
        <w:t>acknowledge</w:t>
      </w:r>
      <w:r w:rsidR="00D12D81" w:rsidRPr="00335764">
        <w:rPr>
          <w:rFonts w:cs="Arial"/>
          <w:sz w:val="20"/>
          <w:szCs w:val="20"/>
          <w:lang/>
        </w:rPr>
        <w:t>s</w:t>
      </w:r>
      <w:r w:rsidR="00F778DD" w:rsidRPr="00335764">
        <w:rPr>
          <w:rFonts w:cs="Arial"/>
          <w:sz w:val="20"/>
          <w:szCs w:val="20"/>
          <w:lang/>
        </w:rPr>
        <w:t xml:space="preserve"> the NPA’s frankness regarding its in-house capacity challenges, which it is working hard to bolster. Regrettably, </w:t>
      </w:r>
      <w:r w:rsidR="001E3C09" w:rsidRPr="00335764">
        <w:rPr>
          <w:rFonts w:cs="Arial"/>
          <w:sz w:val="20"/>
          <w:szCs w:val="20"/>
          <w:lang/>
        </w:rPr>
        <w:t xml:space="preserve">prosecutorial </w:t>
      </w:r>
      <w:r w:rsidR="00F778DD" w:rsidRPr="00335764">
        <w:rPr>
          <w:rFonts w:cs="Arial"/>
          <w:sz w:val="20"/>
          <w:szCs w:val="20"/>
          <w:lang/>
        </w:rPr>
        <w:t>experience develops over time and, for this reason, the NPA requires external support.</w:t>
      </w:r>
    </w:p>
    <w:p w:rsidR="003D4830" w:rsidRPr="00335764" w:rsidRDefault="003D4830" w:rsidP="00335764">
      <w:pPr>
        <w:spacing w:line="240" w:lineRule="auto"/>
        <w:ind w:left="862"/>
        <w:jc w:val="left"/>
        <w:rPr>
          <w:rFonts w:cs="Arial"/>
          <w:sz w:val="20"/>
          <w:szCs w:val="20"/>
          <w:lang/>
        </w:rPr>
      </w:pPr>
    </w:p>
    <w:p w:rsidR="007F2170" w:rsidRPr="00335764" w:rsidRDefault="007F2170" w:rsidP="00335764">
      <w:pPr>
        <w:numPr>
          <w:ilvl w:val="1"/>
          <w:numId w:val="1"/>
        </w:numPr>
        <w:spacing w:line="240" w:lineRule="auto"/>
        <w:jc w:val="left"/>
        <w:rPr>
          <w:rFonts w:cs="Arial"/>
          <w:sz w:val="20"/>
          <w:szCs w:val="20"/>
          <w:lang/>
        </w:rPr>
      </w:pPr>
      <w:r w:rsidRPr="00335764">
        <w:rPr>
          <w:rFonts w:cs="Arial"/>
          <w:i/>
          <w:sz w:val="20"/>
          <w:szCs w:val="20"/>
          <w:lang/>
        </w:rPr>
        <w:t>Enrolment of state capture cases</w:t>
      </w:r>
      <w:r w:rsidRPr="00335764">
        <w:rPr>
          <w:rFonts w:cs="Arial"/>
          <w:sz w:val="20"/>
          <w:szCs w:val="20"/>
          <w:lang/>
        </w:rPr>
        <w:t xml:space="preserve">. </w:t>
      </w:r>
      <w:r w:rsidR="00D12D81" w:rsidRPr="00335764">
        <w:rPr>
          <w:rFonts w:cs="Arial"/>
          <w:sz w:val="20"/>
          <w:szCs w:val="20"/>
          <w:lang/>
        </w:rPr>
        <w:t xml:space="preserve">The Committee notes </w:t>
      </w:r>
      <w:r w:rsidR="003D4830" w:rsidRPr="00335764">
        <w:rPr>
          <w:rFonts w:cs="Arial"/>
          <w:sz w:val="20"/>
          <w:szCs w:val="20"/>
          <w:lang/>
        </w:rPr>
        <w:t>that the</w:t>
      </w:r>
      <w:r w:rsidRPr="00335764">
        <w:rPr>
          <w:rFonts w:cs="Arial"/>
          <w:sz w:val="20"/>
          <w:szCs w:val="20"/>
          <w:lang/>
        </w:rPr>
        <w:t xml:space="preserve"> I</w:t>
      </w:r>
      <w:r w:rsidR="003D4830" w:rsidRPr="00335764">
        <w:rPr>
          <w:rFonts w:cs="Arial"/>
          <w:sz w:val="20"/>
          <w:szCs w:val="20"/>
          <w:lang/>
        </w:rPr>
        <w:t xml:space="preserve">ndependent </w:t>
      </w:r>
      <w:r w:rsidRPr="00335764">
        <w:rPr>
          <w:rFonts w:cs="Arial"/>
          <w:sz w:val="20"/>
          <w:szCs w:val="20"/>
          <w:lang/>
        </w:rPr>
        <w:t>D</w:t>
      </w:r>
      <w:r w:rsidR="003D4830" w:rsidRPr="00335764">
        <w:rPr>
          <w:rFonts w:cs="Arial"/>
          <w:sz w:val="20"/>
          <w:szCs w:val="20"/>
          <w:lang/>
        </w:rPr>
        <w:t>irectorate</w:t>
      </w:r>
      <w:r w:rsidRPr="00335764">
        <w:rPr>
          <w:rFonts w:cs="Arial"/>
          <w:sz w:val="20"/>
          <w:szCs w:val="20"/>
          <w:lang/>
        </w:rPr>
        <w:t xml:space="preserve"> has enrolled 34 cases</w:t>
      </w:r>
      <w:r w:rsidR="00A64BD7" w:rsidRPr="00335764">
        <w:rPr>
          <w:rFonts w:cs="Arial"/>
          <w:sz w:val="20"/>
          <w:szCs w:val="20"/>
          <w:lang/>
        </w:rPr>
        <w:t>,</w:t>
      </w:r>
      <w:r w:rsidRPr="00335764">
        <w:rPr>
          <w:rFonts w:cs="Arial"/>
          <w:sz w:val="20"/>
          <w:szCs w:val="20"/>
          <w:lang/>
        </w:rPr>
        <w:t xml:space="preserve"> involving 203</w:t>
      </w:r>
      <w:r w:rsidR="00A64BD7" w:rsidRPr="00335764">
        <w:rPr>
          <w:rFonts w:cs="Arial"/>
          <w:sz w:val="20"/>
          <w:szCs w:val="20"/>
          <w:lang/>
        </w:rPr>
        <w:t xml:space="preserve"> accused people and 65 entities, </w:t>
      </w:r>
      <w:r w:rsidRPr="00335764">
        <w:rPr>
          <w:rFonts w:cs="Arial"/>
          <w:sz w:val="20"/>
          <w:szCs w:val="20"/>
          <w:lang/>
        </w:rPr>
        <w:t>from 2019 to March 2023. These include cases against multinational firms. McKinsey &amp; Company SA has recently been charged by the NPA in connection with the R398.4</w:t>
      </w:r>
      <w:r w:rsidR="00A64BD7" w:rsidRPr="00335764">
        <w:rPr>
          <w:rFonts w:cs="Arial"/>
          <w:sz w:val="20"/>
          <w:szCs w:val="20"/>
          <w:lang/>
        </w:rPr>
        <w:t xml:space="preserve"> million Transnet</w:t>
      </w:r>
      <w:r w:rsidRPr="00335764">
        <w:rPr>
          <w:rFonts w:cs="Arial"/>
          <w:sz w:val="20"/>
          <w:szCs w:val="20"/>
          <w:lang/>
        </w:rPr>
        <w:t xml:space="preserve"> fraud case linked to state capture.</w:t>
      </w:r>
      <w:r w:rsidR="00A64BD7" w:rsidRPr="00335764">
        <w:rPr>
          <w:rFonts w:cs="Arial"/>
          <w:sz w:val="20"/>
          <w:szCs w:val="20"/>
          <w:lang/>
        </w:rPr>
        <w:t xml:space="preserve"> The target for the number of state capture and complex corruption matters enrolled linked to </w:t>
      </w:r>
      <w:r w:rsidR="00703E27" w:rsidRPr="00335764">
        <w:rPr>
          <w:rFonts w:cs="Arial"/>
          <w:sz w:val="20"/>
          <w:szCs w:val="20"/>
          <w:lang/>
        </w:rPr>
        <w:t>the mandate</w:t>
      </w:r>
      <w:r w:rsidR="00A64BD7" w:rsidRPr="00335764">
        <w:rPr>
          <w:rFonts w:cs="Arial"/>
          <w:sz w:val="20"/>
          <w:szCs w:val="20"/>
          <w:lang/>
        </w:rPr>
        <w:t xml:space="preserve"> of the Investigating Directorate for 2023/24 is 12 matters.</w:t>
      </w:r>
    </w:p>
    <w:p w:rsidR="003D4830" w:rsidRPr="00335764" w:rsidRDefault="003D4830" w:rsidP="00335764">
      <w:pPr>
        <w:spacing w:line="240" w:lineRule="auto"/>
        <w:ind w:left="862"/>
        <w:jc w:val="left"/>
        <w:rPr>
          <w:rFonts w:cs="Arial"/>
          <w:sz w:val="20"/>
          <w:szCs w:val="20"/>
          <w:lang/>
        </w:rPr>
      </w:pPr>
    </w:p>
    <w:p w:rsidR="007F2170" w:rsidRPr="00335764" w:rsidRDefault="00332A5D" w:rsidP="00335764">
      <w:pPr>
        <w:numPr>
          <w:ilvl w:val="1"/>
          <w:numId w:val="1"/>
        </w:numPr>
        <w:spacing w:line="240" w:lineRule="auto"/>
        <w:jc w:val="left"/>
        <w:rPr>
          <w:rFonts w:cs="Arial"/>
          <w:sz w:val="20"/>
          <w:szCs w:val="20"/>
          <w:lang/>
        </w:rPr>
      </w:pPr>
      <w:r w:rsidRPr="00335764">
        <w:rPr>
          <w:rFonts w:cs="Arial"/>
          <w:i/>
          <w:sz w:val="20"/>
          <w:szCs w:val="20"/>
          <w:lang/>
        </w:rPr>
        <w:t>Revival of the Aspirant P</w:t>
      </w:r>
      <w:r w:rsidR="007F2170" w:rsidRPr="00335764">
        <w:rPr>
          <w:rFonts w:cs="Arial"/>
          <w:i/>
          <w:sz w:val="20"/>
          <w:szCs w:val="20"/>
          <w:lang/>
        </w:rPr>
        <w:t xml:space="preserve">rosecutors </w:t>
      </w:r>
      <w:r w:rsidRPr="00335764">
        <w:rPr>
          <w:rFonts w:cs="Arial"/>
          <w:i/>
          <w:sz w:val="20"/>
          <w:szCs w:val="20"/>
          <w:lang/>
        </w:rPr>
        <w:t>P</w:t>
      </w:r>
      <w:r w:rsidR="007F2170" w:rsidRPr="00335764">
        <w:rPr>
          <w:rFonts w:cs="Arial"/>
          <w:i/>
          <w:sz w:val="20"/>
          <w:szCs w:val="20"/>
          <w:lang/>
        </w:rPr>
        <w:t>rogramme</w:t>
      </w:r>
      <w:r w:rsidR="007F2170" w:rsidRPr="00335764">
        <w:rPr>
          <w:rFonts w:cs="Arial"/>
          <w:sz w:val="20"/>
          <w:szCs w:val="20"/>
          <w:lang/>
        </w:rPr>
        <w:t xml:space="preserve">. </w:t>
      </w:r>
      <w:r w:rsidR="00D12D81" w:rsidRPr="00335764">
        <w:rPr>
          <w:rFonts w:cs="Arial"/>
          <w:sz w:val="20"/>
          <w:szCs w:val="20"/>
          <w:lang/>
        </w:rPr>
        <w:t xml:space="preserve">The Committee notes </w:t>
      </w:r>
      <w:r w:rsidR="003D4830" w:rsidRPr="00335764">
        <w:rPr>
          <w:rFonts w:cs="Arial"/>
          <w:sz w:val="20"/>
          <w:szCs w:val="20"/>
          <w:lang/>
        </w:rPr>
        <w:t>that, a</w:t>
      </w:r>
      <w:r w:rsidR="007F2170" w:rsidRPr="00335764">
        <w:rPr>
          <w:rFonts w:cs="Arial"/>
          <w:sz w:val="20"/>
          <w:szCs w:val="20"/>
          <w:lang/>
        </w:rPr>
        <w:t>fter an initial intake of 98 candidates in 2019/20</w:t>
      </w:r>
      <w:r w:rsidR="003D4830" w:rsidRPr="00335764">
        <w:rPr>
          <w:rFonts w:cs="Arial"/>
          <w:sz w:val="20"/>
          <w:szCs w:val="20"/>
          <w:lang/>
        </w:rPr>
        <w:t>,</w:t>
      </w:r>
      <w:r w:rsidR="007F2170" w:rsidRPr="00335764">
        <w:rPr>
          <w:rFonts w:cs="Arial"/>
          <w:sz w:val="20"/>
          <w:szCs w:val="20"/>
          <w:lang/>
        </w:rPr>
        <w:t xml:space="preserve"> the NPA reported recently on the recent graduation of almost 700 Aspirant Prosecutors. This is an encouraging sign of youth development and a </w:t>
      </w:r>
      <w:r w:rsidR="00703E27" w:rsidRPr="00335764">
        <w:rPr>
          <w:rFonts w:cs="Arial"/>
          <w:sz w:val="20"/>
          <w:szCs w:val="20"/>
          <w:lang/>
        </w:rPr>
        <w:t>much-needed</w:t>
      </w:r>
      <w:r w:rsidR="007F2170" w:rsidRPr="00335764">
        <w:rPr>
          <w:rFonts w:cs="Arial"/>
          <w:sz w:val="20"/>
          <w:szCs w:val="20"/>
          <w:lang/>
        </w:rPr>
        <w:t xml:space="preserve"> boost </w:t>
      </w:r>
      <w:r w:rsidR="003D4830" w:rsidRPr="00335764">
        <w:rPr>
          <w:rFonts w:cs="Arial"/>
          <w:sz w:val="20"/>
          <w:szCs w:val="20"/>
          <w:lang/>
        </w:rPr>
        <w:t>to the NPA’s attempt to bolster in-house capacity.</w:t>
      </w:r>
      <w:r w:rsidR="007F2170" w:rsidRPr="00335764">
        <w:rPr>
          <w:rFonts w:cs="Arial"/>
          <w:sz w:val="20"/>
          <w:szCs w:val="20"/>
          <w:lang/>
        </w:rPr>
        <w:t xml:space="preserve"> </w:t>
      </w:r>
    </w:p>
    <w:p w:rsidR="00745FF1" w:rsidRPr="00335764" w:rsidRDefault="00745FF1" w:rsidP="00335764">
      <w:pPr>
        <w:spacing w:line="240" w:lineRule="auto"/>
        <w:ind w:left="862"/>
        <w:jc w:val="left"/>
        <w:rPr>
          <w:rFonts w:cs="Arial"/>
          <w:sz w:val="20"/>
          <w:szCs w:val="20"/>
          <w:lang/>
        </w:rPr>
      </w:pPr>
    </w:p>
    <w:p w:rsidR="00DF6272" w:rsidRPr="00335764" w:rsidRDefault="002F2310" w:rsidP="00335764">
      <w:pPr>
        <w:numPr>
          <w:ilvl w:val="1"/>
          <w:numId w:val="1"/>
        </w:numPr>
        <w:spacing w:line="240" w:lineRule="auto"/>
        <w:ind w:hanging="862"/>
        <w:jc w:val="left"/>
        <w:rPr>
          <w:rFonts w:cs="Arial"/>
          <w:sz w:val="20"/>
          <w:szCs w:val="20"/>
          <w:lang/>
        </w:rPr>
      </w:pPr>
      <w:r w:rsidRPr="00335764">
        <w:rPr>
          <w:rFonts w:cs="Arial"/>
          <w:i/>
          <w:sz w:val="20"/>
          <w:szCs w:val="20"/>
          <w:lang/>
        </w:rPr>
        <w:t>Funding.</w:t>
      </w:r>
      <w:r w:rsidRPr="00335764">
        <w:rPr>
          <w:rFonts w:cs="Arial"/>
          <w:sz w:val="20"/>
          <w:szCs w:val="20"/>
          <w:lang/>
        </w:rPr>
        <w:t xml:space="preserve"> </w:t>
      </w:r>
      <w:r w:rsidR="00DF6272" w:rsidRPr="00335764">
        <w:rPr>
          <w:rFonts w:cs="Arial"/>
          <w:sz w:val="20"/>
          <w:szCs w:val="20"/>
          <w:lang/>
        </w:rPr>
        <w:t xml:space="preserve">The Committee notes that the NPA receives an additional </w:t>
      </w:r>
      <w:r w:rsidR="00F01E38" w:rsidRPr="00335764">
        <w:rPr>
          <w:rFonts w:cs="Arial"/>
          <w:sz w:val="20"/>
          <w:szCs w:val="20"/>
          <w:lang/>
        </w:rPr>
        <w:t>R1.3 billion over the next three</w:t>
      </w:r>
      <w:r w:rsidR="00DF6272" w:rsidRPr="00335764">
        <w:rPr>
          <w:rFonts w:cs="Arial"/>
          <w:sz w:val="20"/>
          <w:szCs w:val="20"/>
          <w:lang/>
        </w:rPr>
        <w:t xml:space="preserve"> years to support the implementation of the State Capture Commission and Financial Action Task Force recommendations. </w:t>
      </w:r>
      <w:r w:rsidR="00D12D81" w:rsidRPr="00335764">
        <w:rPr>
          <w:rFonts w:cs="Arial"/>
          <w:sz w:val="20"/>
          <w:szCs w:val="20"/>
          <w:lang/>
        </w:rPr>
        <w:t xml:space="preserve">The Committee asks </w:t>
      </w:r>
      <w:r w:rsidR="00F01E38" w:rsidRPr="00335764">
        <w:rPr>
          <w:rFonts w:cs="Arial"/>
          <w:sz w:val="20"/>
          <w:szCs w:val="20"/>
          <w:lang/>
        </w:rPr>
        <w:t xml:space="preserve">that the NPA provides </w:t>
      </w:r>
      <w:r w:rsidR="00D12D81" w:rsidRPr="00335764">
        <w:rPr>
          <w:rFonts w:cs="Arial"/>
          <w:sz w:val="20"/>
          <w:szCs w:val="20"/>
          <w:lang/>
        </w:rPr>
        <w:t>it</w:t>
      </w:r>
      <w:r w:rsidR="00F01E38" w:rsidRPr="00335764">
        <w:rPr>
          <w:rFonts w:cs="Arial"/>
          <w:sz w:val="20"/>
          <w:szCs w:val="20"/>
          <w:lang/>
        </w:rPr>
        <w:t xml:space="preserve"> with </w:t>
      </w:r>
      <w:r w:rsidR="00E13F95" w:rsidRPr="00335764">
        <w:rPr>
          <w:rFonts w:cs="Arial"/>
          <w:sz w:val="20"/>
          <w:szCs w:val="20"/>
          <w:lang/>
        </w:rPr>
        <w:t xml:space="preserve">further </w:t>
      </w:r>
      <w:r w:rsidR="00DF6272" w:rsidRPr="00335764">
        <w:rPr>
          <w:rFonts w:cs="Arial"/>
          <w:sz w:val="20"/>
          <w:szCs w:val="20"/>
          <w:lang/>
        </w:rPr>
        <w:t>information on:</w:t>
      </w:r>
      <w:r w:rsidR="00F01E38" w:rsidRPr="00335764">
        <w:rPr>
          <w:rFonts w:cs="Arial"/>
          <w:sz w:val="20"/>
          <w:szCs w:val="20"/>
          <w:lang/>
        </w:rPr>
        <w:t xml:space="preserve"> </w:t>
      </w:r>
      <w:r w:rsidR="00DF6272" w:rsidRPr="00335764">
        <w:rPr>
          <w:rFonts w:cs="Arial"/>
          <w:sz w:val="20"/>
          <w:szCs w:val="20"/>
          <w:lang/>
        </w:rPr>
        <w:t>The number and type of additional appointments</w:t>
      </w:r>
      <w:r w:rsidR="00F01E38" w:rsidRPr="00335764">
        <w:rPr>
          <w:rFonts w:cs="Arial"/>
          <w:sz w:val="20"/>
          <w:szCs w:val="20"/>
          <w:lang/>
        </w:rPr>
        <w:t>; t</w:t>
      </w:r>
      <w:r w:rsidR="00DF6272" w:rsidRPr="00335764">
        <w:rPr>
          <w:rFonts w:cs="Arial"/>
          <w:sz w:val="20"/>
          <w:szCs w:val="20"/>
          <w:lang/>
        </w:rPr>
        <w:t>he procuring of specialist prosecution services for complex matters (especially financial crimes) and commissioning of contracted forensic auditors to deal with high‐priority asset forfeiture matters</w:t>
      </w:r>
      <w:r w:rsidR="00F01E38" w:rsidRPr="00335764">
        <w:rPr>
          <w:rFonts w:cs="Arial"/>
          <w:sz w:val="20"/>
          <w:szCs w:val="20"/>
          <w:lang/>
        </w:rPr>
        <w:t>; t</w:t>
      </w:r>
      <w:r w:rsidR="00DF6272" w:rsidRPr="00335764">
        <w:rPr>
          <w:rFonts w:cs="Arial"/>
          <w:sz w:val="20"/>
          <w:szCs w:val="20"/>
          <w:lang/>
        </w:rPr>
        <w:t>he need for close protection services (this follows a similar decision by the Specialised I</w:t>
      </w:r>
      <w:r w:rsidR="00F01E38" w:rsidRPr="00335764">
        <w:rPr>
          <w:rFonts w:cs="Arial"/>
          <w:sz w:val="20"/>
          <w:szCs w:val="20"/>
          <w:lang/>
        </w:rPr>
        <w:t>nvestigating Unit); t</w:t>
      </w:r>
      <w:r w:rsidR="00DF6272" w:rsidRPr="00335764">
        <w:rPr>
          <w:rFonts w:cs="Arial"/>
          <w:sz w:val="20"/>
          <w:szCs w:val="20"/>
          <w:lang/>
        </w:rPr>
        <w:t>he establishment of a digital forensic data centre in the Investigating Directorate;</w:t>
      </w:r>
      <w:r w:rsidR="00F01E38" w:rsidRPr="00335764">
        <w:rPr>
          <w:rFonts w:cs="Arial"/>
          <w:sz w:val="20"/>
          <w:szCs w:val="20"/>
          <w:lang/>
        </w:rPr>
        <w:t xml:space="preserve"> and t</w:t>
      </w:r>
      <w:r w:rsidR="00DF6272" w:rsidRPr="00335764">
        <w:rPr>
          <w:rFonts w:cs="Arial"/>
          <w:sz w:val="20"/>
          <w:szCs w:val="20"/>
          <w:lang/>
        </w:rPr>
        <w:t>he increased operational costs for witness protection.</w:t>
      </w:r>
    </w:p>
    <w:p w:rsidR="00745FF1" w:rsidRPr="00335764" w:rsidRDefault="00745FF1" w:rsidP="00335764">
      <w:pPr>
        <w:spacing w:line="240" w:lineRule="auto"/>
        <w:jc w:val="left"/>
        <w:rPr>
          <w:rFonts w:cs="Arial"/>
          <w:sz w:val="20"/>
          <w:szCs w:val="20"/>
          <w:lang/>
        </w:rPr>
      </w:pPr>
    </w:p>
    <w:p w:rsidR="00745FF1" w:rsidRPr="00335764" w:rsidRDefault="00745FF1" w:rsidP="00335764">
      <w:pPr>
        <w:numPr>
          <w:ilvl w:val="1"/>
          <w:numId w:val="1"/>
        </w:numPr>
        <w:spacing w:line="240" w:lineRule="auto"/>
        <w:ind w:hanging="862"/>
        <w:jc w:val="left"/>
        <w:rPr>
          <w:rFonts w:cs="Arial"/>
          <w:bCs/>
          <w:sz w:val="20"/>
          <w:szCs w:val="20"/>
        </w:rPr>
      </w:pPr>
      <w:r w:rsidRPr="00335764">
        <w:rPr>
          <w:rFonts w:cs="Arial"/>
          <w:i/>
          <w:sz w:val="20"/>
          <w:szCs w:val="20"/>
        </w:rPr>
        <w:t>Vacancies</w:t>
      </w:r>
      <w:r w:rsidRPr="00335764">
        <w:rPr>
          <w:rFonts w:cs="Arial"/>
          <w:bCs/>
          <w:i/>
          <w:sz w:val="20"/>
          <w:szCs w:val="20"/>
        </w:rPr>
        <w:t xml:space="preserve">. </w:t>
      </w:r>
      <w:r w:rsidR="00D12D81" w:rsidRPr="00335764">
        <w:rPr>
          <w:rFonts w:cs="Arial"/>
          <w:bCs/>
          <w:iCs/>
          <w:sz w:val="20"/>
          <w:szCs w:val="20"/>
        </w:rPr>
        <w:t>The Committee requests</w:t>
      </w:r>
      <w:r w:rsidR="00D12D81" w:rsidRPr="00335764">
        <w:rPr>
          <w:rFonts w:cs="Arial"/>
          <w:bCs/>
          <w:i/>
          <w:sz w:val="20"/>
          <w:szCs w:val="20"/>
        </w:rPr>
        <w:t xml:space="preserve"> </w:t>
      </w:r>
      <w:r w:rsidRPr="00335764">
        <w:rPr>
          <w:rFonts w:cs="Arial"/>
          <w:sz w:val="20"/>
          <w:szCs w:val="20"/>
        </w:rPr>
        <w:t xml:space="preserve">a report, in writing, from the NPA </w:t>
      </w:r>
      <w:r w:rsidRPr="00335764">
        <w:rPr>
          <w:rFonts w:cs="Arial"/>
          <w:bCs/>
          <w:sz w:val="20"/>
          <w:szCs w:val="20"/>
        </w:rPr>
        <w:t>providing a more detailed breakdown of the recruitment drive</w:t>
      </w:r>
      <w:r w:rsidRPr="00335764">
        <w:rPr>
          <w:rFonts w:cs="Arial"/>
          <w:i/>
          <w:sz w:val="20"/>
          <w:szCs w:val="20"/>
        </w:rPr>
        <w:t xml:space="preserve">, </w:t>
      </w:r>
      <w:r w:rsidRPr="00335764">
        <w:rPr>
          <w:rFonts w:cs="Arial"/>
          <w:bCs/>
          <w:sz w:val="20"/>
          <w:szCs w:val="20"/>
        </w:rPr>
        <w:t xml:space="preserve">including timeframes, </w:t>
      </w:r>
      <w:r w:rsidR="009B3CF6" w:rsidRPr="00335764">
        <w:rPr>
          <w:rFonts w:cs="Arial"/>
          <w:bCs/>
          <w:sz w:val="20"/>
          <w:szCs w:val="20"/>
        </w:rPr>
        <w:t>before 30 June</w:t>
      </w:r>
      <w:r w:rsidR="00F01E38" w:rsidRPr="00335764">
        <w:rPr>
          <w:rFonts w:cs="Arial"/>
          <w:bCs/>
          <w:sz w:val="20"/>
          <w:szCs w:val="20"/>
        </w:rPr>
        <w:t xml:space="preserve"> 2023</w:t>
      </w:r>
      <w:r w:rsidRPr="00335764">
        <w:rPr>
          <w:rFonts w:cs="Arial"/>
          <w:bCs/>
          <w:sz w:val="20"/>
          <w:szCs w:val="20"/>
        </w:rPr>
        <w:t xml:space="preserve">, as well as its plans to train and develop internal capacity. </w:t>
      </w:r>
    </w:p>
    <w:p w:rsidR="00E13F95" w:rsidRPr="00335764" w:rsidRDefault="00E13F95" w:rsidP="00335764">
      <w:pPr>
        <w:spacing w:line="240" w:lineRule="auto"/>
        <w:ind w:left="862"/>
        <w:jc w:val="left"/>
        <w:rPr>
          <w:rFonts w:cs="Arial"/>
          <w:bCs/>
          <w:sz w:val="20"/>
          <w:szCs w:val="20"/>
        </w:rPr>
      </w:pPr>
    </w:p>
    <w:p w:rsidR="003D4830" w:rsidRPr="00335764" w:rsidRDefault="00E13F95" w:rsidP="00335764">
      <w:pPr>
        <w:numPr>
          <w:ilvl w:val="1"/>
          <w:numId w:val="1"/>
        </w:numPr>
        <w:tabs>
          <w:tab w:val="clear" w:pos="862"/>
          <w:tab w:val="left" w:pos="851"/>
        </w:tabs>
        <w:spacing w:line="240" w:lineRule="auto"/>
        <w:ind w:hanging="862"/>
        <w:jc w:val="left"/>
        <w:rPr>
          <w:rFonts w:cs="Arial"/>
          <w:sz w:val="20"/>
          <w:szCs w:val="20"/>
        </w:rPr>
      </w:pPr>
      <w:r w:rsidRPr="00335764">
        <w:rPr>
          <w:rFonts w:cs="Arial"/>
          <w:bCs/>
          <w:i/>
          <w:sz w:val="20"/>
          <w:szCs w:val="20"/>
        </w:rPr>
        <w:t>Independent Directorate</w:t>
      </w:r>
      <w:r w:rsidRPr="00335764">
        <w:rPr>
          <w:rFonts w:cs="Arial"/>
          <w:bCs/>
          <w:sz w:val="20"/>
          <w:szCs w:val="20"/>
        </w:rPr>
        <w:t xml:space="preserve">. </w:t>
      </w:r>
      <w:r w:rsidRPr="00335764">
        <w:rPr>
          <w:rFonts w:cs="Arial"/>
          <w:sz w:val="20"/>
          <w:szCs w:val="20"/>
        </w:rPr>
        <w:t xml:space="preserve">The Committee notes that the legislation that will allow for the </w:t>
      </w:r>
      <w:r w:rsidR="003D4830" w:rsidRPr="00335764">
        <w:rPr>
          <w:rFonts w:cs="Arial"/>
          <w:sz w:val="20"/>
          <w:szCs w:val="20"/>
        </w:rPr>
        <w:t xml:space="preserve">ID </w:t>
      </w:r>
      <w:r w:rsidRPr="00335764">
        <w:rPr>
          <w:rFonts w:cs="Arial"/>
          <w:sz w:val="20"/>
          <w:szCs w:val="20"/>
        </w:rPr>
        <w:t xml:space="preserve">to become </w:t>
      </w:r>
      <w:r w:rsidR="003D4830" w:rsidRPr="00335764">
        <w:rPr>
          <w:rFonts w:cs="Arial"/>
          <w:sz w:val="20"/>
          <w:szCs w:val="20"/>
        </w:rPr>
        <w:t xml:space="preserve">permanent </w:t>
      </w:r>
      <w:r w:rsidRPr="00335764">
        <w:rPr>
          <w:rFonts w:cs="Arial"/>
          <w:sz w:val="20"/>
          <w:szCs w:val="20"/>
        </w:rPr>
        <w:t xml:space="preserve">is with the Department. </w:t>
      </w:r>
      <w:r w:rsidR="00D12D81" w:rsidRPr="00335764">
        <w:rPr>
          <w:rFonts w:cs="Arial"/>
          <w:sz w:val="20"/>
          <w:szCs w:val="20"/>
        </w:rPr>
        <w:t xml:space="preserve">The Committee </w:t>
      </w:r>
      <w:r w:rsidR="003D4830" w:rsidRPr="00335764">
        <w:rPr>
          <w:rFonts w:cs="Arial"/>
          <w:sz w:val="20"/>
          <w:szCs w:val="20"/>
        </w:rPr>
        <w:t>also note</w:t>
      </w:r>
      <w:r w:rsidR="00D12D81" w:rsidRPr="00335764">
        <w:rPr>
          <w:rFonts w:cs="Arial"/>
          <w:sz w:val="20"/>
          <w:szCs w:val="20"/>
        </w:rPr>
        <w:t>s</w:t>
      </w:r>
      <w:r w:rsidR="003D4830" w:rsidRPr="00335764">
        <w:rPr>
          <w:rFonts w:cs="Arial"/>
          <w:sz w:val="20"/>
          <w:szCs w:val="20"/>
        </w:rPr>
        <w:t xml:space="preserve"> that the NPA reports that the most fundamental challenge to the ID’s effective functioning is the legislative and regulatory framework that creates a dependency on SAPS to assist the ID through secondments. However, seconded staff are expected to assist in authorised ID investigations while continuing to investigate the cases they were assigned to as members of the SAPS</w:t>
      </w:r>
      <w:r w:rsidRPr="00335764">
        <w:rPr>
          <w:rFonts w:cs="Arial"/>
          <w:sz w:val="20"/>
          <w:szCs w:val="20"/>
        </w:rPr>
        <w:t>, which creates delays.</w:t>
      </w:r>
    </w:p>
    <w:p w:rsidR="003D4830" w:rsidRPr="00335764" w:rsidRDefault="003D4830" w:rsidP="00335764">
      <w:pPr>
        <w:spacing w:line="240" w:lineRule="auto"/>
        <w:jc w:val="left"/>
        <w:rPr>
          <w:rFonts w:cs="Arial"/>
          <w:sz w:val="20"/>
          <w:szCs w:val="20"/>
        </w:rPr>
      </w:pPr>
    </w:p>
    <w:p w:rsidR="003D4830" w:rsidRPr="00335764" w:rsidRDefault="003D4830" w:rsidP="00335764">
      <w:pPr>
        <w:numPr>
          <w:ilvl w:val="1"/>
          <w:numId w:val="1"/>
        </w:numPr>
        <w:spacing w:line="240" w:lineRule="auto"/>
        <w:ind w:hanging="862"/>
        <w:jc w:val="left"/>
        <w:rPr>
          <w:rFonts w:cs="Arial"/>
          <w:i/>
          <w:sz w:val="20"/>
          <w:szCs w:val="20"/>
        </w:rPr>
      </w:pPr>
      <w:r w:rsidRPr="00335764">
        <w:rPr>
          <w:rFonts w:cs="Arial"/>
          <w:i/>
          <w:sz w:val="20"/>
          <w:szCs w:val="20"/>
        </w:rPr>
        <w:t>Sexual offences</w:t>
      </w:r>
      <w:r w:rsidR="00E13F95" w:rsidRPr="00335764">
        <w:rPr>
          <w:rFonts w:cs="Arial"/>
          <w:i/>
          <w:sz w:val="20"/>
          <w:szCs w:val="20"/>
        </w:rPr>
        <w:t>.</w:t>
      </w:r>
    </w:p>
    <w:p w:rsidR="003D4830" w:rsidRPr="00335764" w:rsidRDefault="003D4830" w:rsidP="00335764">
      <w:pPr>
        <w:tabs>
          <w:tab w:val="left" w:pos="851"/>
        </w:tabs>
        <w:spacing w:line="240" w:lineRule="auto"/>
        <w:jc w:val="left"/>
        <w:rPr>
          <w:rFonts w:cs="Arial"/>
          <w:sz w:val="20"/>
          <w:szCs w:val="20"/>
        </w:rPr>
      </w:pPr>
    </w:p>
    <w:p w:rsidR="003D4830" w:rsidRPr="00335764" w:rsidRDefault="00D12D81" w:rsidP="00335764">
      <w:pPr>
        <w:tabs>
          <w:tab w:val="left" w:pos="851"/>
        </w:tabs>
        <w:spacing w:line="240" w:lineRule="auto"/>
        <w:ind w:left="851"/>
        <w:jc w:val="left"/>
        <w:rPr>
          <w:rFonts w:cs="Arial"/>
          <w:sz w:val="20"/>
          <w:szCs w:val="20"/>
        </w:rPr>
      </w:pPr>
      <w:r w:rsidRPr="00335764">
        <w:rPr>
          <w:rFonts w:cs="Arial"/>
          <w:sz w:val="20"/>
          <w:szCs w:val="20"/>
        </w:rPr>
        <w:t xml:space="preserve">The Committee </w:t>
      </w:r>
      <w:r w:rsidR="003D4830" w:rsidRPr="00335764">
        <w:rPr>
          <w:rFonts w:cs="Arial"/>
          <w:sz w:val="20"/>
          <w:szCs w:val="20"/>
        </w:rPr>
        <w:t>note</w:t>
      </w:r>
      <w:r w:rsidRPr="00335764">
        <w:rPr>
          <w:rFonts w:cs="Arial"/>
          <w:sz w:val="20"/>
          <w:szCs w:val="20"/>
        </w:rPr>
        <w:t>s</w:t>
      </w:r>
      <w:r w:rsidR="003D4830" w:rsidRPr="00335764">
        <w:rPr>
          <w:rFonts w:cs="Arial"/>
          <w:sz w:val="20"/>
          <w:szCs w:val="20"/>
        </w:rPr>
        <w:t xml:space="preserve"> that the NPA reports that it exceeded its target for the conviction of sexual offences and, in another positive development, the number of TCCs increased from 55 to 6</w:t>
      </w:r>
      <w:r w:rsidR="00804AE6" w:rsidRPr="00335764">
        <w:rPr>
          <w:rFonts w:cs="Arial"/>
          <w:sz w:val="20"/>
          <w:szCs w:val="20"/>
        </w:rPr>
        <w:t>2</w:t>
      </w:r>
      <w:r w:rsidR="003D4830" w:rsidRPr="00335764">
        <w:rPr>
          <w:rFonts w:cs="Arial"/>
          <w:sz w:val="20"/>
          <w:szCs w:val="20"/>
        </w:rPr>
        <w:t>. The NPA is working with the private sector to set up new TCCs. Further, much work is being done on the DNA Backlog project, despite the many challenges</w:t>
      </w:r>
      <w:r w:rsidR="000A6250" w:rsidRPr="00335764">
        <w:rPr>
          <w:rFonts w:cs="Arial"/>
          <w:sz w:val="20"/>
          <w:szCs w:val="20"/>
        </w:rPr>
        <w:t>, and appears to be paying dividends</w:t>
      </w:r>
      <w:r w:rsidR="003D4830" w:rsidRPr="00335764">
        <w:rPr>
          <w:rFonts w:cs="Arial"/>
          <w:sz w:val="20"/>
          <w:szCs w:val="20"/>
        </w:rPr>
        <w:t>.</w:t>
      </w:r>
    </w:p>
    <w:p w:rsidR="003D4830" w:rsidRPr="00335764" w:rsidRDefault="003D4830" w:rsidP="00335764">
      <w:pPr>
        <w:tabs>
          <w:tab w:val="left" w:pos="851"/>
        </w:tabs>
        <w:spacing w:line="240" w:lineRule="auto"/>
        <w:ind w:left="851"/>
        <w:jc w:val="left"/>
        <w:rPr>
          <w:rFonts w:cs="Arial"/>
          <w:sz w:val="20"/>
          <w:szCs w:val="20"/>
        </w:rPr>
      </w:pPr>
    </w:p>
    <w:p w:rsidR="003D4830" w:rsidRPr="00335764" w:rsidRDefault="00D12D81" w:rsidP="00335764">
      <w:pPr>
        <w:tabs>
          <w:tab w:val="left" w:pos="851"/>
        </w:tabs>
        <w:spacing w:line="240" w:lineRule="auto"/>
        <w:ind w:left="851"/>
        <w:jc w:val="left"/>
        <w:rPr>
          <w:rFonts w:cs="Arial"/>
          <w:sz w:val="20"/>
          <w:szCs w:val="20"/>
        </w:rPr>
      </w:pPr>
      <w:r w:rsidRPr="00335764">
        <w:rPr>
          <w:rFonts w:cs="Arial"/>
          <w:sz w:val="20"/>
          <w:szCs w:val="20"/>
        </w:rPr>
        <w:t xml:space="preserve">The Committee </w:t>
      </w:r>
      <w:r w:rsidR="003D4830" w:rsidRPr="00335764">
        <w:rPr>
          <w:rFonts w:cs="Arial"/>
          <w:sz w:val="20"/>
          <w:szCs w:val="20"/>
        </w:rPr>
        <w:t xml:space="preserve">will engage with the NPA further on its work concerning the prosecution of sexual offences when </w:t>
      </w:r>
      <w:r w:rsidRPr="00335764">
        <w:rPr>
          <w:rFonts w:cs="Arial"/>
          <w:sz w:val="20"/>
          <w:szCs w:val="20"/>
        </w:rPr>
        <w:t xml:space="preserve">it </w:t>
      </w:r>
      <w:r w:rsidR="003D4830" w:rsidRPr="00335764">
        <w:rPr>
          <w:rFonts w:cs="Arial"/>
          <w:sz w:val="20"/>
          <w:szCs w:val="20"/>
        </w:rPr>
        <w:t>consider</w:t>
      </w:r>
      <w:r w:rsidRPr="00335764">
        <w:rPr>
          <w:rFonts w:cs="Arial"/>
          <w:sz w:val="20"/>
          <w:szCs w:val="20"/>
        </w:rPr>
        <w:t>s</w:t>
      </w:r>
      <w:r w:rsidR="003D4830" w:rsidRPr="00335764">
        <w:rPr>
          <w:rFonts w:cs="Arial"/>
          <w:sz w:val="20"/>
          <w:szCs w:val="20"/>
        </w:rPr>
        <w:t xml:space="preserve"> the 2021/22 Annual Report on the Implementation of the Criminal Law (Sexual Offences and Related Matters) Amendment Act, 2007 as soon as the programme permits.</w:t>
      </w:r>
    </w:p>
    <w:p w:rsidR="003D4830" w:rsidRPr="00335764" w:rsidRDefault="003D4830" w:rsidP="00335764">
      <w:pPr>
        <w:tabs>
          <w:tab w:val="left" w:pos="851"/>
        </w:tabs>
        <w:spacing w:line="240" w:lineRule="auto"/>
        <w:jc w:val="left"/>
        <w:rPr>
          <w:rFonts w:cs="Arial"/>
          <w:sz w:val="20"/>
          <w:szCs w:val="20"/>
        </w:rPr>
      </w:pPr>
    </w:p>
    <w:p w:rsidR="000A6250" w:rsidRPr="00335764" w:rsidRDefault="00804AE6" w:rsidP="00335764">
      <w:pPr>
        <w:numPr>
          <w:ilvl w:val="1"/>
          <w:numId w:val="1"/>
        </w:numPr>
        <w:tabs>
          <w:tab w:val="clear" w:pos="862"/>
          <w:tab w:val="left" w:pos="851"/>
        </w:tabs>
        <w:spacing w:line="240" w:lineRule="auto"/>
        <w:ind w:hanging="862"/>
        <w:jc w:val="left"/>
        <w:rPr>
          <w:rFonts w:cs="Arial"/>
          <w:sz w:val="20"/>
          <w:szCs w:val="20"/>
        </w:rPr>
      </w:pPr>
      <w:r w:rsidRPr="00335764">
        <w:rPr>
          <w:rFonts w:cs="Arial"/>
          <w:i/>
          <w:sz w:val="20"/>
          <w:szCs w:val="20"/>
        </w:rPr>
        <w:t>Money laundering</w:t>
      </w:r>
      <w:r w:rsidR="00A64BD7" w:rsidRPr="00335764">
        <w:rPr>
          <w:rFonts w:cs="Arial"/>
          <w:i/>
          <w:sz w:val="20"/>
          <w:szCs w:val="20"/>
        </w:rPr>
        <w:t xml:space="preserve">. </w:t>
      </w:r>
      <w:r w:rsidR="00D12D81" w:rsidRPr="00335764">
        <w:rPr>
          <w:rFonts w:cs="Arial"/>
          <w:iCs/>
          <w:sz w:val="20"/>
          <w:szCs w:val="20"/>
        </w:rPr>
        <w:t xml:space="preserve">The Committee has </w:t>
      </w:r>
      <w:r w:rsidR="000A6250" w:rsidRPr="00335764">
        <w:rPr>
          <w:rFonts w:cs="Arial"/>
          <w:sz w:val="20"/>
          <w:szCs w:val="20"/>
        </w:rPr>
        <w:t xml:space="preserve">previously noted the NPA’s assessment that a lot more needs to be done to address the issue of stand-alone money-laundering, where individuals are charged on money-laundering counts as stand-alone charges as opposed to charging individuals for money- laundering in relation to cases that involve other offences. </w:t>
      </w:r>
      <w:r w:rsidR="00D12D81" w:rsidRPr="00335764">
        <w:rPr>
          <w:rFonts w:cs="Arial"/>
          <w:sz w:val="20"/>
          <w:szCs w:val="20"/>
        </w:rPr>
        <w:t>The Committee also notes</w:t>
      </w:r>
      <w:r w:rsidRPr="00335764">
        <w:rPr>
          <w:rFonts w:cs="Arial"/>
          <w:sz w:val="20"/>
          <w:szCs w:val="20"/>
        </w:rPr>
        <w:t xml:space="preserve"> the NPA’s </w:t>
      </w:r>
      <w:r w:rsidR="000A6250" w:rsidRPr="00335764">
        <w:rPr>
          <w:rFonts w:cs="Arial"/>
          <w:sz w:val="20"/>
          <w:szCs w:val="20"/>
        </w:rPr>
        <w:t xml:space="preserve">extensive plans </w:t>
      </w:r>
      <w:r w:rsidRPr="00335764">
        <w:rPr>
          <w:rFonts w:cs="Arial"/>
          <w:sz w:val="20"/>
          <w:szCs w:val="20"/>
        </w:rPr>
        <w:t xml:space="preserve">to address </w:t>
      </w:r>
      <w:r w:rsidR="000A6250" w:rsidRPr="00335764">
        <w:rPr>
          <w:rFonts w:cs="Arial"/>
          <w:sz w:val="20"/>
          <w:szCs w:val="20"/>
        </w:rPr>
        <w:t>m</w:t>
      </w:r>
      <w:r w:rsidRPr="00335764">
        <w:rPr>
          <w:rFonts w:cs="Arial"/>
          <w:sz w:val="20"/>
          <w:szCs w:val="20"/>
        </w:rPr>
        <w:t xml:space="preserve">oney </w:t>
      </w:r>
      <w:r w:rsidR="000A6250" w:rsidRPr="00335764">
        <w:rPr>
          <w:rFonts w:cs="Arial"/>
          <w:sz w:val="20"/>
          <w:szCs w:val="20"/>
        </w:rPr>
        <w:t>l</w:t>
      </w:r>
      <w:r w:rsidRPr="00335764">
        <w:rPr>
          <w:rFonts w:cs="Arial"/>
          <w:sz w:val="20"/>
          <w:szCs w:val="20"/>
        </w:rPr>
        <w:t xml:space="preserve">aundering </w:t>
      </w:r>
      <w:r w:rsidR="000A6250" w:rsidRPr="00335764">
        <w:rPr>
          <w:rFonts w:cs="Arial"/>
          <w:sz w:val="20"/>
          <w:szCs w:val="20"/>
        </w:rPr>
        <w:t>and terror f</w:t>
      </w:r>
      <w:r w:rsidRPr="00335764">
        <w:rPr>
          <w:rFonts w:cs="Arial"/>
          <w:sz w:val="20"/>
          <w:szCs w:val="20"/>
        </w:rPr>
        <w:t xml:space="preserve">inancing include ensuring that cases involving </w:t>
      </w:r>
      <w:r w:rsidR="000A6250" w:rsidRPr="00335764">
        <w:rPr>
          <w:rFonts w:cs="Arial"/>
          <w:sz w:val="20"/>
          <w:szCs w:val="20"/>
        </w:rPr>
        <w:t>money laundering and</w:t>
      </w:r>
      <w:r w:rsidR="00254E78" w:rsidRPr="00335764">
        <w:rPr>
          <w:rFonts w:cs="Arial"/>
          <w:sz w:val="20"/>
          <w:szCs w:val="20"/>
        </w:rPr>
        <w:t xml:space="preserve"> terror financing </w:t>
      </w:r>
      <w:r w:rsidRPr="00335764">
        <w:rPr>
          <w:rFonts w:cs="Arial"/>
          <w:sz w:val="20"/>
          <w:szCs w:val="20"/>
        </w:rPr>
        <w:t>are prioritised</w:t>
      </w:r>
      <w:r w:rsidR="000A6250" w:rsidRPr="00335764">
        <w:rPr>
          <w:rFonts w:cs="Arial"/>
          <w:sz w:val="20"/>
          <w:szCs w:val="20"/>
        </w:rPr>
        <w:t xml:space="preserve"> and prosecutions are instituted, </w:t>
      </w:r>
      <w:r w:rsidR="00A668B0" w:rsidRPr="00335764">
        <w:rPr>
          <w:rFonts w:cs="Arial"/>
          <w:sz w:val="20"/>
          <w:szCs w:val="20"/>
        </w:rPr>
        <w:t>tracked,</w:t>
      </w:r>
      <w:r w:rsidR="000A6250" w:rsidRPr="00335764">
        <w:rPr>
          <w:rFonts w:cs="Arial"/>
          <w:sz w:val="20"/>
          <w:szCs w:val="20"/>
        </w:rPr>
        <w:t xml:space="preserve"> and finalised </w:t>
      </w:r>
      <w:r w:rsidR="00A668B0" w:rsidRPr="00335764">
        <w:rPr>
          <w:rFonts w:cs="Arial"/>
          <w:sz w:val="20"/>
          <w:szCs w:val="20"/>
        </w:rPr>
        <w:t>regarding</w:t>
      </w:r>
      <w:r w:rsidR="000A6250" w:rsidRPr="00335764">
        <w:rPr>
          <w:rFonts w:cs="Arial"/>
          <w:sz w:val="20"/>
          <w:szCs w:val="20"/>
        </w:rPr>
        <w:t xml:space="preserve"> money laundering networks, professional enablers, foreign predicate offending and </w:t>
      </w:r>
      <w:r w:rsidR="00703E27" w:rsidRPr="00335764">
        <w:rPr>
          <w:rFonts w:cs="Arial"/>
          <w:sz w:val="20"/>
          <w:szCs w:val="20"/>
        </w:rPr>
        <w:t>third-party</w:t>
      </w:r>
      <w:r w:rsidR="000A6250" w:rsidRPr="00335764">
        <w:rPr>
          <w:rFonts w:cs="Arial"/>
          <w:sz w:val="20"/>
          <w:szCs w:val="20"/>
        </w:rPr>
        <w:t xml:space="preserve"> laundering. As such, the insertion of a new baseline indicator ‘Number of prosecutions instituted involving money laundering’ is welcome.</w:t>
      </w:r>
    </w:p>
    <w:p w:rsidR="000A6250" w:rsidRPr="00335764" w:rsidRDefault="000A6250" w:rsidP="00335764">
      <w:pPr>
        <w:tabs>
          <w:tab w:val="num" w:pos="720"/>
        </w:tabs>
        <w:spacing w:line="240" w:lineRule="auto"/>
        <w:jc w:val="left"/>
        <w:rPr>
          <w:rFonts w:cs="Arial"/>
          <w:sz w:val="20"/>
          <w:szCs w:val="20"/>
        </w:rPr>
      </w:pPr>
    </w:p>
    <w:p w:rsidR="00332A5D" w:rsidRPr="00335764" w:rsidRDefault="00804AE6" w:rsidP="00335764">
      <w:pPr>
        <w:numPr>
          <w:ilvl w:val="1"/>
          <w:numId w:val="1"/>
        </w:numPr>
        <w:tabs>
          <w:tab w:val="clear" w:pos="862"/>
          <w:tab w:val="left" w:pos="851"/>
        </w:tabs>
        <w:spacing w:line="240" w:lineRule="auto"/>
        <w:ind w:hanging="862"/>
        <w:jc w:val="left"/>
        <w:rPr>
          <w:rFonts w:cs="Arial"/>
          <w:sz w:val="20"/>
          <w:szCs w:val="20"/>
        </w:rPr>
      </w:pPr>
      <w:r w:rsidRPr="00335764">
        <w:rPr>
          <w:rFonts w:cs="Arial"/>
          <w:sz w:val="20"/>
          <w:szCs w:val="20"/>
        </w:rPr>
        <w:t xml:space="preserve">The NPA has clarified that it currently has delegations to accept in-kind support and donations. This support comes from various partners, including private sector and civil society and is key to the NPA’s rebuilding and collaborative approach to delivering on its mandate. The NPA has finalised an amended NPA Donor Funding Policy, which is aligned to the National Treasury Donor Funding guidelines and regulations. This has created internal control systems for dealing with all in-kind donations in line with relevant policies, </w:t>
      </w:r>
      <w:r w:rsidR="00703E27" w:rsidRPr="00335764">
        <w:rPr>
          <w:rFonts w:cs="Arial"/>
          <w:sz w:val="20"/>
          <w:szCs w:val="20"/>
        </w:rPr>
        <w:t>prescripts,</w:t>
      </w:r>
      <w:r w:rsidRPr="00335764">
        <w:rPr>
          <w:rFonts w:cs="Arial"/>
          <w:sz w:val="20"/>
          <w:szCs w:val="20"/>
        </w:rPr>
        <w:t xml:space="preserve"> and confidentiality requirements. </w:t>
      </w:r>
      <w:r w:rsidR="00D12D81" w:rsidRPr="00335764">
        <w:rPr>
          <w:rFonts w:cs="Arial"/>
          <w:sz w:val="20"/>
          <w:szCs w:val="20"/>
        </w:rPr>
        <w:t>The Committee notes</w:t>
      </w:r>
      <w:r w:rsidR="00F51B97" w:rsidRPr="00335764">
        <w:rPr>
          <w:rFonts w:cs="Arial"/>
          <w:sz w:val="20"/>
          <w:szCs w:val="20"/>
        </w:rPr>
        <w:t xml:space="preserve"> that the NPA reports receiving the following categories of in-kind donations in 2022/23: </w:t>
      </w:r>
      <w:r w:rsidR="00332A5D" w:rsidRPr="00335764">
        <w:rPr>
          <w:rFonts w:cs="Arial"/>
          <w:sz w:val="20"/>
          <w:szCs w:val="20"/>
        </w:rPr>
        <w:t xml:space="preserve">a formal agreement was reached with </w:t>
      </w:r>
      <w:r w:rsidR="00F51B97" w:rsidRPr="00335764">
        <w:rPr>
          <w:rFonts w:cs="Arial"/>
          <w:sz w:val="20"/>
          <w:szCs w:val="20"/>
        </w:rPr>
        <w:t xml:space="preserve">Business Leadership South Africa to provide tailored support for the rebuilding project of the NPA; from local donors, including non-profit organisations and businesses, for employee development and capacitation; </w:t>
      </w:r>
      <w:r w:rsidR="00332A5D" w:rsidRPr="00335764">
        <w:rPr>
          <w:rFonts w:cs="Arial"/>
          <w:sz w:val="20"/>
          <w:szCs w:val="20"/>
        </w:rPr>
        <w:t xml:space="preserve">from </w:t>
      </w:r>
      <w:r w:rsidR="00F51B97" w:rsidRPr="00335764">
        <w:rPr>
          <w:rFonts w:cs="Arial"/>
          <w:sz w:val="20"/>
          <w:szCs w:val="20"/>
        </w:rPr>
        <w:t xml:space="preserve">local practitioners in the form of professional pro bono services and corporate support services; and </w:t>
      </w:r>
      <w:r w:rsidR="00332A5D" w:rsidRPr="00335764">
        <w:rPr>
          <w:rFonts w:cs="Arial"/>
          <w:sz w:val="20"/>
          <w:szCs w:val="20"/>
        </w:rPr>
        <w:t xml:space="preserve">from </w:t>
      </w:r>
      <w:r w:rsidR="00F51B97" w:rsidRPr="00335764">
        <w:rPr>
          <w:rFonts w:cs="Arial"/>
          <w:sz w:val="20"/>
          <w:szCs w:val="20"/>
        </w:rPr>
        <w:t xml:space="preserve">local retail businesses and other private sector actors for the TCCs.  </w:t>
      </w:r>
    </w:p>
    <w:p w:rsidR="00332A5D" w:rsidRPr="00335764" w:rsidRDefault="00332A5D" w:rsidP="00335764">
      <w:pPr>
        <w:spacing w:line="240" w:lineRule="auto"/>
        <w:jc w:val="left"/>
        <w:rPr>
          <w:rFonts w:cs="Arial"/>
          <w:sz w:val="20"/>
          <w:szCs w:val="20"/>
        </w:rPr>
      </w:pPr>
    </w:p>
    <w:p w:rsidR="00332A5D" w:rsidRPr="00335764" w:rsidRDefault="00332A5D" w:rsidP="00335764">
      <w:pPr>
        <w:spacing w:line="240" w:lineRule="auto"/>
        <w:jc w:val="left"/>
        <w:rPr>
          <w:rFonts w:cs="Arial"/>
          <w:sz w:val="20"/>
          <w:szCs w:val="20"/>
        </w:rPr>
      </w:pPr>
    </w:p>
    <w:p w:rsidR="00745FF1" w:rsidRPr="00335764" w:rsidRDefault="00745FF1" w:rsidP="00335764">
      <w:pPr>
        <w:spacing w:line="240" w:lineRule="auto"/>
        <w:jc w:val="left"/>
        <w:rPr>
          <w:rFonts w:cs="Arial"/>
          <w:b/>
          <w:bCs/>
          <w:sz w:val="20"/>
          <w:szCs w:val="20"/>
        </w:rPr>
      </w:pPr>
      <w:r w:rsidRPr="00335764">
        <w:rPr>
          <w:rFonts w:cs="Arial"/>
          <w:b/>
          <w:bCs/>
          <w:sz w:val="20"/>
          <w:szCs w:val="20"/>
        </w:rPr>
        <w:t>Legal Aid SA</w:t>
      </w:r>
    </w:p>
    <w:p w:rsidR="00745FF1" w:rsidRPr="00335764" w:rsidRDefault="00745FF1" w:rsidP="00335764">
      <w:pPr>
        <w:spacing w:line="240" w:lineRule="auto"/>
        <w:jc w:val="left"/>
        <w:rPr>
          <w:rFonts w:cs="Arial"/>
          <w:b/>
          <w:bCs/>
          <w:sz w:val="20"/>
          <w:szCs w:val="20"/>
        </w:rPr>
      </w:pPr>
    </w:p>
    <w:p w:rsidR="00745FF1" w:rsidRPr="00335764" w:rsidRDefault="00745FF1" w:rsidP="00335764">
      <w:pPr>
        <w:numPr>
          <w:ilvl w:val="1"/>
          <w:numId w:val="1"/>
        </w:numPr>
        <w:spacing w:line="240" w:lineRule="auto"/>
        <w:jc w:val="left"/>
        <w:rPr>
          <w:rFonts w:cs="Arial"/>
          <w:sz w:val="20"/>
          <w:szCs w:val="20"/>
        </w:rPr>
      </w:pPr>
      <w:r w:rsidRPr="00335764">
        <w:rPr>
          <w:rFonts w:cs="Arial"/>
          <w:bCs/>
          <w:i/>
          <w:sz w:val="20"/>
          <w:szCs w:val="20"/>
        </w:rPr>
        <w:t>Budget</w:t>
      </w:r>
      <w:r w:rsidRPr="00335764">
        <w:rPr>
          <w:rFonts w:cs="Arial"/>
          <w:bCs/>
          <w:sz w:val="20"/>
          <w:szCs w:val="20"/>
        </w:rPr>
        <w:t xml:space="preserve">. </w:t>
      </w:r>
      <w:r w:rsidR="00332A5D" w:rsidRPr="00335764">
        <w:rPr>
          <w:rFonts w:cs="Arial"/>
          <w:bCs/>
          <w:sz w:val="20"/>
          <w:szCs w:val="20"/>
        </w:rPr>
        <w:t xml:space="preserve">The Committee remains extremely concerned about the sufficiency of Legal Aid SA’s budget. The Entity has, for now, budgeted for a lower recruitment rate and implemented a staff rationalisation programme to avoid over-expenditure but reports that workloads have increased contributing to backlogs </w:t>
      </w:r>
      <w:r w:rsidR="001E3C09" w:rsidRPr="00335764">
        <w:rPr>
          <w:rFonts w:cs="Arial"/>
          <w:bCs/>
          <w:sz w:val="20"/>
          <w:szCs w:val="20"/>
        </w:rPr>
        <w:t>and</w:t>
      </w:r>
      <w:r w:rsidR="00332A5D" w:rsidRPr="00335764">
        <w:rPr>
          <w:rFonts w:cs="Arial"/>
          <w:bCs/>
          <w:sz w:val="20"/>
          <w:szCs w:val="20"/>
        </w:rPr>
        <w:t xml:space="preserve"> that, as funds are prioritised towards services, projects must be postponed. There is also less money for Judicare and training. </w:t>
      </w:r>
      <w:r w:rsidR="00E03CB2" w:rsidRPr="00335764">
        <w:rPr>
          <w:rFonts w:cs="Arial"/>
          <w:bCs/>
          <w:sz w:val="20"/>
          <w:szCs w:val="20"/>
        </w:rPr>
        <w:t xml:space="preserve">The Committee doesn’t </w:t>
      </w:r>
      <w:r w:rsidR="00332A5D" w:rsidRPr="00335764">
        <w:rPr>
          <w:rFonts w:cs="Arial"/>
          <w:bCs/>
          <w:sz w:val="20"/>
          <w:szCs w:val="20"/>
        </w:rPr>
        <w:t xml:space="preserve">believe that the importance of Legal Aid SA as a strategic partner in our criminal justice system is fully recognised when decisions are made concerning the allocation of resources. Simply put, criminal trials cannot run if the accused is not represented, contributing to the backlogs and undermining access to justice. </w:t>
      </w:r>
      <w:r w:rsidR="00E03CB2" w:rsidRPr="00335764">
        <w:rPr>
          <w:rFonts w:cs="Arial"/>
          <w:bCs/>
          <w:sz w:val="20"/>
          <w:szCs w:val="20"/>
        </w:rPr>
        <w:t>The Committee has</w:t>
      </w:r>
      <w:r w:rsidR="00332A5D" w:rsidRPr="00335764">
        <w:rPr>
          <w:rFonts w:cs="Arial"/>
          <w:bCs/>
          <w:sz w:val="20"/>
          <w:szCs w:val="20"/>
        </w:rPr>
        <w:t xml:space="preserve"> repeatedly appreciated the many efforts that Legal Aid SA has taken to stretch its capacity to undertake civil work to the very </w:t>
      </w:r>
      <w:r w:rsidR="00703E27" w:rsidRPr="00335764">
        <w:rPr>
          <w:rFonts w:cs="Arial"/>
          <w:bCs/>
          <w:sz w:val="20"/>
          <w:szCs w:val="20"/>
        </w:rPr>
        <w:t>limits,</w:t>
      </w:r>
      <w:r w:rsidR="00332A5D" w:rsidRPr="00335764">
        <w:rPr>
          <w:rFonts w:cs="Arial"/>
          <w:bCs/>
          <w:sz w:val="20"/>
          <w:szCs w:val="20"/>
        </w:rPr>
        <w:t xml:space="preserve"> but this very important work is at risk </w:t>
      </w:r>
      <w:r w:rsidR="001E3C09" w:rsidRPr="00335764">
        <w:rPr>
          <w:rFonts w:cs="Arial"/>
          <w:bCs/>
          <w:sz w:val="20"/>
          <w:szCs w:val="20"/>
        </w:rPr>
        <w:t>because of</w:t>
      </w:r>
      <w:r w:rsidR="00332A5D" w:rsidRPr="00335764">
        <w:rPr>
          <w:rFonts w:cs="Arial"/>
          <w:bCs/>
          <w:sz w:val="20"/>
          <w:szCs w:val="20"/>
        </w:rPr>
        <w:t xml:space="preserve"> budget constraints.</w:t>
      </w:r>
    </w:p>
    <w:p w:rsidR="00745FF1" w:rsidRPr="00335764" w:rsidRDefault="00745FF1" w:rsidP="00335764">
      <w:pPr>
        <w:spacing w:line="240" w:lineRule="auto"/>
        <w:jc w:val="left"/>
        <w:rPr>
          <w:rFonts w:cs="Arial"/>
          <w:bCs/>
          <w:sz w:val="20"/>
          <w:szCs w:val="20"/>
        </w:rPr>
      </w:pPr>
    </w:p>
    <w:p w:rsidR="00745FF1" w:rsidRPr="00335764" w:rsidRDefault="00745FF1" w:rsidP="00335764">
      <w:pPr>
        <w:numPr>
          <w:ilvl w:val="1"/>
          <w:numId w:val="1"/>
        </w:numPr>
        <w:spacing w:line="240" w:lineRule="auto"/>
        <w:jc w:val="left"/>
        <w:rPr>
          <w:rFonts w:cs="Arial"/>
          <w:sz w:val="20"/>
          <w:szCs w:val="20"/>
          <w:lang w:val="en-ZA"/>
        </w:rPr>
      </w:pPr>
      <w:r w:rsidRPr="00335764">
        <w:rPr>
          <w:rFonts w:cs="Arial"/>
          <w:bCs/>
          <w:i/>
          <w:sz w:val="20"/>
          <w:szCs w:val="20"/>
        </w:rPr>
        <w:t>Land justice.</w:t>
      </w:r>
      <w:r w:rsidRPr="00335764">
        <w:rPr>
          <w:rFonts w:cs="Arial"/>
          <w:bCs/>
          <w:sz w:val="20"/>
          <w:szCs w:val="20"/>
        </w:rPr>
        <w:t xml:space="preserve"> </w:t>
      </w:r>
      <w:r w:rsidR="004F0187" w:rsidRPr="00335764">
        <w:rPr>
          <w:rFonts w:cs="Arial"/>
          <w:bCs/>
          <w:sz w:val="20"/>
          <w:szCs w:val="20"/>
        </w:rPr>
        <w:t>Although the Committee remains</w:t>
      </w:r>
      <w:r w:rsidRPr="00335764">
        <w:rPr>
          <w:rFonts w:cs="Arial"/>
          <w:bCs/>
          <w:sz w:val="20"/>
          <w:szCs w:val="20"/>
        </w:rPr>
        <w:t xml:space="preserve"> pleased that the legal representation function previously undertaken by the Department of Agriculture, Land Reform and Rural Development is finally transferred to Legal Aid SA</w:t>
      </w:r>
      <w:r w:rsidR="004F0187" w:rsidRPr="00335764">
        <w:rPr>
          <w:rFonts w:cs="Arial"/>
          <w:bCs/>
          <w:sz w:val="20"/>
          <w:szCs w:val="20"/>
        </w:rPr>
        <w:t xml:space="preserve">, </w:t>
      </w:r>
      <w:r w:rsidR="00E03CB2" w:rsidRPr="00335764">
        <w:rPr>
          <w:rFonts w:cs="Arial"/>
          <w:bCs/>
          <w:sz w:val="20"/>
          <w:szCs w:val="20"/>
        </w:rPr>
        <w:t xml:space="preserve">it is </w:t>
      </w:r>
      <w:r w:rsidRPr="00335764">
        <w:rPr>
          <w:rFonts w:cs="Arial"/>
          <w:bCs/>
          <w:sz w:val="20"/>
          <w:szCs w:val="20"/>
        </w:rPr>
        <w:t xml:space="preserve">concerned that the transfer of function </w:t>
      </w:r>
      <w:r w:rsidR="004F0187" w:rsidRPr="00335764">
        <w:rPr>
          <w:rFonts w:cs="Arial"/>
          <w:bCs/>
          <w:sz w:val="20"/>
          <w:szCs w:val="20"/>
        </w:rPr>
        <w:t xml:space="preserve">is not fully funded. </w:t>
      </w:r>
      <w:r w:rsidR="00CF5ABA" w:rsidRPr="00335764">
        <w:rPr>
          <w:rFonts w:cs="Arial"/>
          <w:bCs/>
          <w:sz w:val="20"/>
          <w:szCs w:val="20"/>
        </w:rPr>
        <w:t xml:space="preserve">Although </w:t>
      </w:r>
      <w:r w:rsidR="004F0187" w:rsidRPr="00335764">
        <w:rPr>
          <w:rFonts w:cs="Arial"/>
          <w:bCs/>
          <w:sz w:val="20"/>
          <w:szCs w:val="20"/>
        </w:rPr>
        <w:t xml:space="preserve">additional amounts have been allocated </w:t>
      </w:r>
      <w:r w:rsidR="00CF5ABA" w:rsidRPr="00335764">
        <w:rPr>
          <w:rFonts w:cs="Arial"/>
          <w:bCs/>
          <w:sz w:val="20"/>
          <w:szCs w:val="20"/>
        </w:rPr>
        <w:t>(</w:t>
      </w:r>
      <w:r w:rsidR="004F0187" w:rsidRPr="00335764">
        <w:rPr>
          <w:rFonts w:cs="Arial"/>
          <w:bCs/>
          <w:sz w:val="20"/>
          <w:szCs w:val="20"/>
        </w:rPr>
        <w:t>R76.6 million in 2023/24, R80.1 million in 2024/25 and R83.7 million in 2025/26</w:t>
      </w:r>
      <w:r w:rsidR="00CF5ABA" w:rsidRPr="00335764">
        <w:rPr>
          <w:rFonts w:cs="Arial"/>
          <w:bCs/>
          <w:sz w:val="20"/>
          <w:szCs w:val="20"/>
        </w:rPr>
        <w:t>)</w:t>
      </w:r>
      <w:r w:rsidR="004F0187" w:rsidRPr="00335764">
        <w:rPr>
          <w:rFonts w:cs="Arial"/>
          <w:bCs/>
          <w:sz w:val="20"/>
          <w:szCs w:val="20"/>
        </w:rPr>
        <w:t xml:space="preserve"> to accommodate the migration </w:t>
      </w:r>
      <w:r w:rsidR="00CF5ABA" w:rsidRPr="00335764">
        <w:rPr>
          <w:rFonts w:cs="Arial"/>
          <w:bCs/>
          <w:sz w:val="20"/>
          <w:szCs w:val="20"/>
        </w:rPr>
        <w:t xml:space="preserve">of the function </w:t>
      </w:r>
      <w:r w:rsidR="004F0187" w:rsidRPr="00335764">
        <w:rPr>
          <w:rFonts w:cs="Arial"/>
          <w:bCs/>
          <w:sz w:val="20"/>
          <w:szCs w:val="20"/>
        </w:rPr>
        <w:t>to Legal Aid S</w:t>
      </w:r>
      <w:r w:rsidR="00E03CB2" w:rsidRPr="00335764">
        <w:rPr>
          <w:rFonts w:cs="Arial"/>
          <w:bCs/>
          <w:sz w:val="20"/>
          <w:szCs w:val="20"/>
        </w:rPr>
        <w:t>A</w:t>
      </w:r>
      <w:r w:rsidR="00CF5ABA" w:rsidRPr="00335764">
        <w:rPr>
          <w:rFonts w:cs="Arial"/>
          <w:bCs/>
          <w:sz w:val="20"/>
          <w:szCs w:val="20"/>
        </w:rPr>
        <w:t xml:space="preserve">, </w:t>
      </w:r>
      <w:r w:rsidR="004F0187" w:rsidRPr="00335764">
        <w:rPr>
          <w:rFonts w:cs="Arial"/>
          <w:bCs/>
          <w:sz w:val="20"/>
          <w:szCs w:val="20"/>
        </w:rPr>
        <w:t xml:space="preserve">Legal Aid </w:t>
      </w:r>
      <w:r w:rsidR="00CF5ABA" w:rsidRPr="00335764">
        <w:rPr>
          <w:rFonts w:cs="Arial"/>
          <w:bCs/>
          <w:sz w:val="20"/>
          <w:szCs w:val="20"/>
        </w:rPr>
        <w:t xml:space="preserve">SA </w:t>
      </w:r>
      <w:r w:rsidR="004F0187" w:rsidRPr="00335764">
        <w:rPr>
          <w:rFonts w:cs="Arial"/>
          <w:bCs/>
          <w:sz w:val="20"/>
          <w:szCs w:val="20"/>
        </w:rPr>
        <w:t>received 740 files with</w:t>
      </w:r>
      <w:r w:rsidR="00CF5ABA" w:rsidRPr="00335764">
        <w:rPr>
          <w:rFonts w:cs="Arial"/>
          <w:bCs/>
          <w:sz w:val="20"/>
          <w:szCs w:val="20"/>
        </w:rPr>
        <w:t xml:space="preserve"> a contingent liability of R144.7 million </w:t>
      </w:r>
      <w:r w:rsidR="004F0187" w:rsidRPr="00335764">
        <w:rPr>
          <w:rFonts w:cs="Arial"/>
          <w:bCs/>
          <w:sz w:val="20"/>
          <w:szCs w:val="20"/>
        </w:rPr>
        <w:t>from the Department of Agriculture, Land Reform and Rural Development</w:t>
      </w:r>
      <w:r w:rsidR="00CF5ABA" w:rsidRPr="00335764">
        <w:rPr>
          <w:rFonts w:cs="Arial"/>
          <w:bCs/>
          <w:sz w:val="20"/>
          <w:szCs w:val="20"/>
        </w:rPr>
        <w:t xml:space="preserve">. No funding has been made available for this, which </w:t>
      </w:r>
      <w:r w:rsidR="00BE2C04" w:rsidRPr="00335764">
        <w:rPr>
          <w:rFonts w:cs="Arial"/>
          <w:bCs/>
          <w:sz w:val="20"/>
          <w:szCs w:val="20"/>
        </w:rPr>
        <w:t xml:space="preserve">the Committee finds </w:t>
      </w:r>
      <w:r w:rsidR="00CF5ABA" w:rsidRPr="00335764">
        <w:rPr>
          <w:rFonts w:cs="Arial"/>
          <w:bCs/>
          <w:sz w:val="20"/>
          <w:szCs w:val="20"/>
        </w:rPr>
        <w:t xml:space="preserve">unacceptable. </w:t>
      </w:r>
      <w:r w:rsidR="00BE2C04" w:rsidRPr="00335764">
        <w:rPr>
          <w:rFonts w:cs="Arial"/>
          <w:bCs/>
          <w:sz w:val="20"/>
          <w:szCs w:val="20"/>
        </w:rPr>
        <w:t xml:space="preserve">The Committee </w:t>
      </w:r>
      <w:r w:rsidRPr="00335764">
        <w:rPr>
          <w:rFonts w:cs="Arial"/>
          <w:bCs/>
          <w:sz w:val="20"/>
          <w:szCs w:val="20"/>
        </w:rPr>
        <w:t xml:space="preserve">will continue to monitor </w:t>
      </w:r>
      <w:r w:rsidR="00CF5ABA" w:rsidRPr="00335764">
        <w:rPr>
          <w:rFonts w:cs="Arial"/>
          <w:bCs/>
          <w:sz w:val="20"/>
          <w:szCs w:val="20"/>
        </w:rPr>
        <w:t xml:space="preserve">this </w:t>
      </w:r>
      <w:r w:rsidRPr="00335764">
        <w:rPr>
          <w:rFonts w:cs="Arial"/>
          <w:bCs/>
          <w:sz w:val="20"/>
          <w:szCs w:val="20"/>
        </w:rPr>
        <w:t>closely</w:t>
      </w:r>
      <w:r w:rsidRPr="00335764">
        <w:rPr>
          <w:rFonts w:cs="Arial"/>
          <w:sz w:val="20"/>
          <w:szCs w:val="20"/>
        </w:rPr>
        <w:t>.</w:t>
      </w:r>
    </w:p>
    <w:p w:rsidR="00745FF1" w:rsidRPr="00335764" w:rsidRDefault="00745FF1" w:rsidP="00335764">
      <w:pPr>
        <w:spacing w:line="240" w:lineRule="auto"/>
        <w:jc w:val="left"/>
        <w:rPr>
          <w:rFonts w:cs="Arial"/>
          <w:sz w:val="20"/>
          <w:szCs w:val="20"/>
        </w:rPr>
      </w:pPr>
    </w:p>
    <w:p w:rsidR="00CF5ABA" w:rsidRPr="00335764" w:rsidRDefault="00CF5ABA" w:rsidP="00335764">
      <w:pPr>
        <w:spacing w:line="240" w:lineRule="auto"/>
        <w:jc w:val="left"/>
        <w:rPr>
          <w:rFonts w:cs="Arial"/>
          <w:sz w:val="20"/>
          <w:szCs w:val="20"/>
        </w:rPr>
      </w:pPr>
    </w:p>
    <w:p w:rsidR="00745FF1" w:rsidRPr="00335764" w:rsidRDefault="00745FF1" w:rsidP="00335764">
      <w:pPr>
        <w:spacing w:line="240" w:lineRule="auto"/>
        <w:jc w:val="left"/>
        <w:rPr>
          <w:rFonts w:cs="Arial"/>
          <w:b/>
          <w:sz w:val="20"/>
          <w:szCs w:val="20"/>
        </w:rPr>
      </w:pPr>
      <w:r w:rsidRPr="00335764">
        <w:rPr>
          <w:rFonts w:cs="Arial"/>
          <w:b/>
          <w:sz w:val="20"/>
          <w:szCs w:val="20"/>
        </w:rPr>
        <w:t>Special Investigating Unit</w:t>
      </w:r>
    </w:p>
    <w:p w:rsidR="00745FF1" w:rsidRPr="00335764" w:rsidRDefault="00745FF1" w:rsidP="00335764">
      <w:pPr>
        <w:spacing w:line="240" w:lineRule="auto"/>
        <w:jc w:val="left"/>
        <w:rPr>
          <w:rFonts w:cs="Arial"/>
          <w:b/>
          <w:sz w:val="20"/>
          <w:szCs w:val="20"/>
        </w:rPr>
      </w:pPr>
    </w:p>
    <w:p w:rsidR="00745FF1" w:rsidRPr="00335764" w:rsidRDefault="00254E78" w:rsidP="00335764">
      <w:pPr>
        <w:numPr>
          <w:ilvl w:val="1"/>
          <w:numId w:val="1"/>
        </w:numPr>
        <w:spacing w:line="240" w:lineRule="auto"/>
        <w:ind w:hanging="862"/>
        <w:jc w:val="left"/>
        <w:rPr>
          <w:rFonts w:cs="Arial"/>
          <w:sz w:val="20"/>
          <w:szCs w:val="20"/>
          <w:lang w:val="en-US"/>
        </w:rPr>
      </w:pPr>
      <w:r w:rsidRPr="00335764">
        <w:rPr>
          <w:rFonts w:cs="Arial"/>
          <w:i/>
          <w:sz w:val="20"/>
          <w:szCs w:val="20"/>
          <w:lang w:val="en-US"/>
        </w:rPr>
        <w:t>D</w:t>
      </w:r>
      <w:r w:rsidR="00745FF1" w:rsidRPr="00335764">
        <w:rPr>
          <w:rFonts w:cs="Arial"/>
          <w:i/>
          <w:sz w:val="20"/>
          <w:szCs w:val="20"/>
          <w:lang w:val="en-US"/>
        </w:rPr>
        <w:t xml:space="preserve">ebt recovery. </w:t>
      </w:r>
      <w:r w:rsidR="00745FF1" w:rsidRPr="00335764">
        <w:rPr>
          <w:rFonts w:cs="Arial"/>
          <w:sz w:val="20"/>
          <w:szCs w:val="20"/>
          <w:lang w:val="en-US"/>
        </w:rPr>
        <w:t xml:space="preserve">The SIU’s enabling legislation provides that the SIU may recover fees from State institutions for the investigation services rendered. Regrettably, the SIU has, to date, struggled to recover fees, complicating the relationship between the SIU and its targeted clients; and creating serious challenges in respect of its </w:t>
      </w:r>
      <w:r w:rsidRPr="00335764">
        <w:rPr>
          <w:rFonts w:cs="Arial"/>
          <w:sz w:val="20"/>
          <w:szCs w:val="20"/>
          <w:lang w:val="en-US"/>
        </w:rPr>
        <w:t>funding.</w:t>
      </w:r>
      <w:r w:rsidR="004046CB" w:rsidRPr="00335764">
        <w:rPr>
          <w:rFonts w:cs="Arial"/>
          <w:sz w:val="20"/>
          <w:szCs w:val="20"/>
          <w:lang w:val="en-US"/>
        </w:rPr>
        <w:t xml:space="preserve"> </w:t>
      </w:r>
      <w:r w:rsidRPr="00335764">
        <w:rPr>
          <w:rFonts w:cs="Arial"/>
          <w:sz w:val="20"/>
          <w:szCs w:val="20"/>
          <w:lang w:val="en-US"/>
        </w:rPr>
        <w:t xml:space="preserve">To address the problem, </w:t>
      </w:r>
      <w:r w:rsidRPr="00335764">
        <w:rPr>
          <w:rFonts w:cs="Arial"/>
          <w:sz w:val="20"/>
          <w:szCs w:val="20"/>
          <w:lang w:val="en-US"/>
        </w:rPr>
        <w:lastRenderedPageBreak/>
        <w:t xml:space="preserve">the Committee notes that the SIU has embarked on Operation Khokhela, which is a proactive project to recover outstanding debts owed for services rendered. The intention of the project is to engage both internal and external resources to ensure that most of the outstanding debt is recovered or that there is commitment from various stakeholders to make payments. Planned activities include bilateral meetings between the SIU and various stakeholders, assistance from National Treasury in sending out payment request letters, escalations to executive authorities and invoking the Inter-Governmental Relations Framework Act (IGR Act). The project is expected to be completed in July </w:t>
      </w:r>
      <w:r w:rsidR="00703E27" w:rsidRPr="00335764">
        <w:rPr>
          <w:rFonts w:cs="Arial"/>
          <w:sz w:val="20"/>
          <w:szCs w:val="20"/>
          <w:lang w:val="en-US"/>
        </w:rPr>
        <w:t>2023,</w:t>
      </w:r>
      <w:r w:rsidRPr="00335764">
        <w:rPr>
          <w:rFonts w:cs="Arial"/>
          <w:sz w:val="20"/>
          <w:szCs w:val="20"/>
          <w:lang w:val="en-US"/>
        </w:rPr>
        <w:t xml:space="preserve"> but the results are expected to be visible in the reduction of long-outstanding debts in the current financial year and subsequent financial years. </w:t>
      </w:r>
    </w:p>
    <w:p w:rsidR="00745FF1" w:rsidRPr="00335764" w:rsidRDefault="00745FF1" w:rsidP="00335764">
      <w:pPr>
        <w:spacing w:line="240" w:lineRule="auto"/>
        <w:jc w:val="left"/>
        <w:rPr>
          <w:rFonts w:cs="Arial"/>
          <w:sz w:val="20"/>
          <w:szCs w:val="20"/>
        </w:rPr>
      </w:pPr>
    </w:p>
    <w:p w:rsidR="00254E78" w:rsidRPr="00335764" w:rsidRDefault="00254E78" w:rsidP="00335764">
      <w:pPr>
        <w:numPr>
          <w:ilvl w:val="1"/>
          <w:numId w:val="1"/>
        </w:numPr>
        <w:spacing w:line="240" w:lineRule="auto"/>
        <w:ind w:hanging="862"/>
        <w:jc w:val="left"/>
        <w:rPr>
          <w:rFonts w:cs="Arial"/>
          <w:bCs/>
          <w:sz w:val="20"/>
          <w:szCs w:val="20"/>
        </w:rPr>
      </w:pPr>
      <w:r w:rsidRPr="00335764">
        <w:rPr>
          <w:rFonts w:cs="Arial"/>
          <w:bCs/>
          <w:i/>
          <w:sz w:val="20"/>
          <w:szCs w:val="20"/>
        </w:rPr>
        <w:t>Funding model</w:t>
      </w:r>
      <w:r w:rsidRPr="00335764">
        <w:rPr>
          <w:rFonts w:cs="Arial"/>
          <w:bCs/>
          <w:sz w:val="20"/>
          <w:szCs w:val="20"/>
        </w:rPr>
        <w:t xml:space="preserve">. </w:t>
      </w:r>
      <w:r w:rsidR="00BE2C04" w:rsidRPr="00335764">
        <w:rPr>
          <w:rFonts w:cs="Arial"/>
          <w:bCs/>
          <w:sz w:val="20"/>
          <w:szCs w:val="20"/>
        </w:rPr>
        <w:t xml:space="preserve">The Committee is </w:t>
      </w:r>
      <w:r w:rsidRPr="00335764">
        <w:rPr>
          <w:rFonts w:cs="Arial"/>
          <w:bCs/>
          <w:sz w:val="20"/>
          <w:szCs w:val="20"/>
        </w:rPr>
        <w:t xml:space="preserve">disappointed by the lack of headway the SIU has made engaging National Treasury in respect of an alternative funding model. As it is the SIU’s funding model is not sustainable. However, the SIU reports that the new Minister of Finance appears keen to settle this </w:t>
      </w:r>
      <w:r w:rsidR="00703E27" w:rsidRPr="00335764">
        <w:rPr>
          <w:rFonts w:cs="Arial"/>
          <w:bCs/>
          <w:sz w:val="20"/>
          <w:szCs w:val="20"/>
        </w:rPr>
        <w:t>long-standing</w:t>
      </w:r>
      <w:r w:rsidRPr="00335764">
        <w:rPr>
          <w:rFonts w:cs="Arial"/>
          <w:bCs/>
          <w:sz w:val="20"/>
          <w:szCs w:val="20"/>
        </w:rPr>
        <w:t xml:space="preserve"> matter. Various models have been suggested and will be presented to the Minister of Finance. The Committee welcomes this development and requests that it be kept informed. </w:t>
      </w:r>
    </w:p>
    <w:p w:rsidR="00254E78" w:rsidRPr="00335764" w:rsidRDefault="00254E78" w:rsidP="00335764">
      <w:pPr>
        <w:spacing w:line="240" w:lineRule="auto"/>
        <w:ind w:left="862"/>
        <w:jc w:val="left"/>
        <w:rPr>
          <w:rFonts w:cs="Arial"/>
          <w:bCs/>
          <w:sz w:val="20"/>
          <w:szCs w:val="20"/>
        </w:rPr>
      </w:pPr>
    </w:p>
    <w:p w:rsidR="00745FF1" w:rsidRPr="00335764" w:rsidRDefault="00254E78" w:rsidP="00335764">
      <w:pPr>
        <w:numPr>
          <w:ilvl w:val="1"/>
          <w:numId w:val="1"/>
        </w:numPr>
        <w:spacing w:line="240" w:lineRule="auto"/>
        <w:ind w:hanging="862"/>
        <w:jc w:val="left"/>
        <w:rPr>
          <w:rFonts w:cs="Arial"/>
          <w:bCs/>
          <w:sz w:val="20"/>
          <w:szCs w:val="20"/>
        </w:rPr>
      </w:pPr>
      <w:r w:rsidRPr="00335764">
        <w:rPr>
          <w:rFonts w:cs="Arial"/>
          <w:bCs/>
          <w:i/>
          <w:sz w:val="20"/>
          <w:szCs w:val="20"/>
        </w:rPr>
        <w:t>Legislative amendments to the SIU Act</w:t>
      </w:r>
      <w:r w:rsidRPr="00335764">
        <w:rPr>
          <w:rFonts w:cs="Arial"/>
          <w:bCs/>
          <w:sz w:val="20"/>
          <w:szCs w:val="20"/>
        </w:rPr>
        <w:t xml:space="preserve">. The Committee </w:t>
      </w:r>
      <w:r w:rsidR="004046CB" w:rsidRPr="00335764">
        <w:rPr>
          <w:rFonts w:cs="Arial"/>
          <w:bCs/>
          <w:sz w:val="20"/>
          <w:szCs w:val="20"/>
        </w:rPr>
        <w:t xml:space="preserve">request </w:t>
      </w:r>
      <w:r w:rsidRPr="00335764">
        <w:rPr>
          <w:rFonts w:cs="Arial"/>
          <w:bCs/>
          <w:sz w:val="20"/>
          <w:szCs w:val="20"/>
        </w:rPr>
        <w:t xml:space="preserve">to be </w:t>
      </w:r>
      <w:r w:rsidR="004046CB" w:rsidRPr="00335764">
        <w:rPr>
          <w:rFonts w:cs="Arial"/>
          <w:bCs/>
          <w:sz w:val="20"/>
          <w:szCs w:val="20"/>
        </w:rPr>
        <w:t>update</w:t>
      </w:r>
      <w:r w:rsidR="00703E27" w:rsidRPr="00335764">
        <w:rPr>
          <w:rFonts w:cs="Arial"/>
          <w:bCs/>
          <w:sz w:val="20"/>
          <w:szCs w:val="20"/>
        </w:rPr>
        <w:t>d</w:t>
      </w:r>
      <w:r w:rsidR="004046CB" w:rsidRPr="00335764">
        <w:rPr>
          <w:rFonts w:cs="Arial"/>
          <w:bCs/>
          <w:sz w:val="20"/>
          <w:szCs w:val="20"/>
        </w:rPr>
        <w:t xml:space="preserve"> on the progress of legislative amendments to the SIU Act. S</w:t>
      </w:r>
      <w:r w:rsidR="00745FF1" w:rsidRPr="00335764">
        <w:rPr>
          <w:rFonts w:cs="Arial"/>
          <w:bCs/>
          <w:sz w:val="20"/>
          <w:szCs w:val="20"/>
        </w:rPr>
        <w:t xml:space="preserve">ome of the amendments </w:t>
      </w:r>
      <w:r w:rsidR="004046CB" w:rsidRPr="00335764">
        <w:rPr>
          <w:rFonts w:cs="Arial"/>
          <w:bCs/>
          <w:sz w:val="20"/>
          <w:szCs w:val="20"/>
        </w:rPr>
        <w:t>that we</w:t>
      </w:r>
      <w:r w:rsidR="00424CC1" w:rsidRPr="00335764">
        <w:rPr>
          <w:rFonts w:cs="Arial"/>
          <w:bCs/>
          <w:sz w:val="20"/>
          <w:szCs w:val="20"/>
        </w:rPr>
        <w:t xml:space="preserve">re </w:t>
      </w:r>
      <w:r w:rsidR="00745FF1" w:rsidRPr="00335764">
        <w:rPr>
          <w:rFonts w:cs="Arial"/>
          <w:bCs/>
          <w:sz w:val="20"/>
          <w:szCs w:val="20"/>
        </w:rPr>
        <w:t xml:space="preserve">being considered are: the establishment of a permanent independent SIU and </w:t>
      </w:r>
      <w:r w:rsidR="00424CC1" w:rsidRPr="00335764">
        <w:rPr>
          <w:rFonts w:cs="Arial"/>
          <w:bCs/>
          <w:sz w:val="20"/>
          <w:szCs w:val="20"/>
        </w:rPr>
        <w:t xml:space="preserve">its </w:t>
      </w:r>
      <w:r w:rsidR="00745FF1" w:rsidRPr="00335764">
        <w:rPr>
          <w:rFonts w:cs="Arial"/>
          <w:bCs/>
          <w:sz w:val="20"/>
          <w:szCs w:val="20"/>
        </w:rPr>
        <w:t xml:space="preserve">status; </w:t>
      </w:r>
      <w:r w:rsidR="00424CC1" w:rsidRPr="00335764">
        <w:rPr>
          <w:rFonts w:cs="Arial"/>
          <w:bCs/>
          <w:sz w:val="20"/>
          <w:szCs w:val="20"/>
        </w:rPr>
        <w:t xml:space="preserve">the </w:t>
      </w:r>
      <w:r w:rsidR="00745FF1" w:rsidRPr="00335764">
        <w:rPr>
          <w:rFonts w:cs="Arial"/>
          <w:bCs/>
          <w:sz w:val="20"/>
          <w:szCs w:val="20"/>
        </w:rPr>
        <w:t>revenue and expenditure for the functioning of the SIU; and the monitoring and enforcement of remedial action</w:t>
      </w:r>
      <w:r w:rsidR="00745FF1" w:rsidRPr="00335764">
        <w:rPr>
          <w:rFonts w:cs="Arial"/>
          <w:i/>
          <w:sz w:val="20"/>
          <w:szCs w:val="20"/>
          <w:lang w:val="en-US"/>
        </w:rPr>
        <w:t xml:space="preserve">. </w:t>
      </w:r>
    </w:p>
    <w:p w:rsidR="005F4C65" w:rsidRPr="00335764" w:rsidRDefault="005F4C65" w:rsidP="00335764">
      <w:pPr>
        <w:spacing w:line="240" w:lineRule="auto"/>
        <w:ind w:left="862"/>
        <w:jc w:val="left"/>
        <w:rPr>
          <w:rFonts w:cs="Arial"/>
          <w:bCs/>
          <w:sz w:val="20"/>
          <w:szCs w:val="20"/>
        </w:rPr>
      </w:pPr>
    </w:p>
    <w:p w:rsidR="005F4C65" w:rsidRPr="00335764" w:rsidRDefault="005F4C65" w:rsidP="00335764">
      <w:pPr>
        <w:numPr>
          <w:ilvl w:val="1"/>
          <w:numId w:val="1"/>
        </w:numPr>
        <w:spacing w:line="240" w:lineRule="auto"/>
        <w:ind w:hanging="862"/>
        <w:jc w:val="left"/>
        <w:rPr>
          <w:rFonts w:cs="Arial"/>
          <w:bCs/>
          <w:sz w:val="20"/>
          <w:szCs w:val="20"/>
        </w:rPr>
      </w:pPr>
      <w:r w:rsidRPr="00335764">
        <w:rPr>
          <w:rFonts w:cs="Arial"/>
          <w:bCs/>
          <w:i/>
          <w:sz w:val="20"/>
          <w:szCs w:val="20"/>
        </w:rPr>
        <w:t>Implementing the National Anti-Corruption Strategy (2020–2030) (NACS</w:t>
      </w:r>
      <w:r w:rsidRPr="00335764">
        <w:rPr>
          <w:rFonts w:cs="Arial"/>
          <w:bCs/>
          <w:sz w:val="20"/>
          <w:szCs w:val="20"/>
        </w:rPr>
        <w:t>). The SIU is a key role-player in the implementation of the National Anti-Corruption Strategy (2020–2030) (NACS). This strategy is a whole-of- government and societal approach. Linked to this has been the establishment of the health sector, infrastructure-</w:t>
      </w:r>
      <w:r w:rsidR="00A668B0" w:rsidRPr="00335764">
        <w:rPr>
          <w:rFonts w:cs="Arial"/>
          <w:bCs/>
          <w:sz w:val="20"/>
          <w:szCs w:val="20"/>
        </w:rPr>
        <w:t>build,</w:t>
      </w:r>
      <w:r w:rsidRPr="00335764">
        <w:rPr>
          <w:rFonts w:cs="Arial"/>
          <w:bCs/>
          <w:sz w:val="20"/>
          <w:szCs w:val="20"/>
        </w:rPr>
        <w:t xml:space="preserve"> and local government anti-corruption forums. The Committee notes that the SIU has instituted civil proceedings worth some R1.6 billion as part of the Health Sector Anti-Corruption Forum’s (HSACF) role in fighting corruption in the healthcare system. Approximately R500 million of the R1.6 billion is linked to an investigation in the affairs of the Office of the State Attorney.</w:t>
      </w:r>
    </w:p>
    <w:p w:rsidR="00745FF1" w:rsidRPr="00335764" w:rsidRDefault="00745FF1" w:rsidP="00335764">
      <w:pPr>
        <w:spacing w:line="240" w:lineRule="auto"/>
        <w:jc w:val="left"/>
        <w:rPr>
          <w:rFonts w:cs="Arial"/>
          <w:bCs/>
          <w:sz w:val="20"/>
          <w:szCs w:val="20"/>
        </w:rPr>
      </w:pPr>
    </w:p>
    <w:p w:rsidR="004046CB" w:rsidRPr="00335764" w:rsidRDefault="004046CB" w:rsidP="00335764">
      <w:pPr>
        <w:spacing w:line="240" w:lineRule="auto"/>
        <w:jc w:val="left"/>
        <w:rPr>
          <w:rFonts w:cs="Arial"/>
          <w:b/>
          <w:sz w:val="20"/>
          <w:szCs w:val="20"/>
        </w:rPr>
      </w:pPr>
    </w:p>
    <w:p w:rsidR="00745FF1" w:rsidRPr="00335764" w:rsidRDefault="00745FF1" w:rsidP="00335764">
      <w:pPr>
        <w:spacing w:line="240" w:lineRule="auto"/>
        <w:jc w:val="left"/>
        <w:rPr>
          <w:rFonts w:cs="Arial"/>
          <w:b/>
          <w:sz w:val="20"/>
          <w:szCs w:val="20"/>
          <w:u w:val="single"/>
        </w:rPr>
      </w:pPr>
      <w:r w:rsidRPr="00335764">
        <w:rPr>
          <w:rFonts w:cs="Arial"/>
          <w:b/>
          <w:sz w:val="20"/>
          <w:szCs w:val="20"/>
        </w:rPr>
        <w:t>Public Protector South Africa</w:t>
      </w:r>
    </w:p>
    <w:p w:rsidR="00745FF1" w:rsidRPr="00335764" w:rsidRDefault="00745FF1" w:rsidP="00335764">
      <w:pPr>
        <w:spacing w:line="240" w:lineRule="auto"/>
        <w:jc w:val="left"/>
        <w:rPr>
          <w:rFonts w:cs="Arial"/>
          <w:sz w:val="20"/>
          <w:szCs w:val="20"/>
          <w:lang w:val="en-ZA"/>
        </w:rPr>
      </w:pPr>
    </w:p>
    <w:p w:rsidR="00A91B7B" w:rsidRPr="00335764" w:rsidRDefault="00A91B7B" w:rsidP="00335764">
      <w:pPr>
        <w:numPr>
          <w:ilvl w:val="1"/>
          <w:numId w:val="1"/>
        </w:numPr>
        <w:spacing w:line="240" w:lineRule="auto"/>
        <w:ind w:hanging="862"/>
        <w:jc w:val="left"/>
        <w:rPr>
          <w:rFonts w:cs="Arial"/>
          <w:sz w:val="20"/>
          <w:szCs w:val="20"/>
        </w:rPr>
      </w:pPr>
      <w:r w:rsidRPr="00335764">
        <w:rPr>
          <w:rFonts w:cs="Arial"/>
          <w:i/>
          <w:sz w:val="20"/>
          <w:szCs w:val="20"/>
        </w:rPr>
        <w:t>Impact of the section 194 impeachment proceedings on PPSA’s operations</w:t>
      </w:r>
      <w:r w:rsidRPr="00335764">
        <w:rPr>
          <w:rFonts w:cs="Arial"/>
          <w:sz w:val="20"/>
          <w:szCs w:val="20"/>
        </w:rPr>
        <w:t xml:space="preserve">. The Committee notes that the PPSA indicated that it can no longer continue to fund Adv Mkhwebane’s legal costs incurred in her defence in her impeachment proceedings before the section 194 Committee. To continue to do so will jeopardise the PPSA’s operations. </w:t>
      </w:r>
      <w:r w:rsidR="00BE2C04" w:rsidRPr="00335764">
        <w:rPr>
          <w:rFonts w:cs="Arial"/>
          <w:sz w:val="20"/>
          <w:szCs w:val="20"/>
        </w:rPr>
        <w:t>The Committee</w:t>
      </w:r>
      <w:r w:rsidRPr="00335764">
        <w:rPr>
          <w:rFonts w:cs="Arial"/>
          <w:sz w:val="20"/>
          <w:szCs w:val="20"/>
        </w:rPr>
        <w:t xml:space="preserve"> note</w:t>
      </w:r>
      <w:r w:rsidR="00BE2C04" w:rsidRPr="00335764">
        <w:rPr>
          <w:rFonts w:cs="Arial"/>
          <w:sz w:val="20"/>
          <w:szCs w:val="20"/>
        </w:rPr>
        <w:t>s</w:t>
      </w:r>
      <w:r w:rsidRPr="00335764">
        <w:rPr>
          <w:rFonts w:cs="Arial"/>
          <w:sz w:val="20"/>
          <w:szCs w:val="20"/>
        </w:rPr>
        <w:t xml:space="preserve"> further that the PPSA has since identified a further R4 million from an earlier surplus that it would put towards the costs. </w:t>
      </w:r>
    </w:p>
    <w:p w:rsidR="00A91B7B" w:rsidRPr="00335764" w:rsidRDefault="00A91B7B" w:rsidP="00335764">
      <w:pPr>
        <w:spacing w:line="240" w:lineRule="auto"/>
        <w:ind w:left="862"/>
        <w:jc w:val="left"/>
        <w:rPr>
          <w:rFonts w:cs="Arial"/>
          <w:sz w:val="20"/>
          <w:szCs w:val="20"/>
        </w:rPr>
      </w:pPr>
    </w:p>
    <w:p w:rsidR="00A91B7B" w:rsidRPr="00335764" w:rsidRDefault="00A91B7B" w:rsidP="00335764">
      <w:pPr>
        <w:spacing w:line="240" w:lineRule="auto"/>
        <w:ind w:left="862"/>
        <w:jc w:val="left"/>
        <w:rPr>
          <w:rFonts w:cs="Arial"/>
          <w:sz w:val="20"/>
          <w:szCs w:val="20"/>
        </w:rPr>
      </w:pPr>
      <w:r w:rsidRPr="00335764">
        <w:rPr>
          <w:rFonts w:cs="Arial"/>
          <w:sz w:val="20"/>
          <w:szCs w:val="20"/>
        </w:rPr>
        <w:t xml:space="preserve">The Committee notes further that the PPSA has engaged a consultant to verify the invoices for the protection of public funds. According to the office, Adv Mkhwebane’s legal bill for her impeachment inquiry and related court matters is more than double the original estimate. </w:t>
      </w:r>
    </w:p>
    <w:p w:rsidR="00A91B7B" w:rsidRPr="00335764" w:rsidRDefault="00A91B7B" w:rsidP="00335764">
      <w:pPr>
        <w:spacing w:line="240" w:lineRule="auto"/>
        <w:ind w:left="862"/>
        <w:jc w:val="left"/>
        <w:rPr>
          <w:rFonts w:cs="Arial"/>
          <w:sz w:val="20"/>
          <w:szCs w:val="20"/>
        </w:rPr>
      </w:pPr>
    </w:p>
    <w:p w:rsidR="00A91B7B" w:rsidRPr="00335764" w:rsidRDefault="00A91B7B" w:rsidP="00335764">
      <w:pPr>
        <w:spacing w:line="240" w:lineRule="auto"/>
        <w:ind w:left="862"/>
        <w:jc w:val="left"/>
        <w:rPr>
          <w:rFonts w:cs="Arial"/>
          <w:sz w:val="20"/>
          <w:szCs w:val="20"/>
        </w:rPr>
      </w:pPr>
      <w:r w:rsidRPr="00335764">
        <w:rPr>
          <w:rFonts w:cs="Arial"/>
          <w:sz w:val="20"/>
          <w:szCs w:val="20"/>
        </w:rPr>
        <w:t>In addition, the Committee notes that the PPSA also states that the process, as well as aspects of the evidence heard by the Section 194 Committee, has caused significant reputational damage to the PPSA. As a result, the PPSA has identified the need to allocate additional resources to its Stakeholder Management programme, including rebranding the organisation to restore trust and legitimacy.</w:t>
      </w:r>
    </w:p>
    <w:p w:rsidR="00A91B7B" w:rsidRPr="00335764" w:rsidRDefault="00A91B7B" w:rsidP="00335764">
      <w:pPr>
        <w:spacing w:line="240" w:lineRule="auto"/>
        <w:ind w:left="862"/>
        <w:jc w:val="left"/>
        <w:rPr>
          <w:rFonts w:cs="Arial"/>
          <w:sz w:val="20"/>
          <w:szCs w:val="20"/>
        </w:rPr>
      </w:pPr>
    </w:p>
    <w:p w:rsidR="00A91B7B" w:rsidRPr="00335764" w:rsidRDefault="00A91B7B" w:rsidP="00335764">
      <w:pPr>
        <w:numPr>
          <w:ilvl w:val="1"/>
          <w:numId w:val="1"/>
        </w:numPr>
        <w:spacing w:line="240" w:lineRule="auto"/>
        <w:ind w:hanging="862"/>
        <w:jc w:val="left"/>
        <w:rPr>
          <w:rFonts w:cs="Arial"/>
          <w:sz w:val="20"/>
          <w:szCs w:val="20"/>
        </w:rPr>
      </w:pPr>
      <w:r w:rsidRPr="00335764">
        <w:rPr>
          <w:rFonts w:cs="Arial"/>
          <w:i/>
          <w:sz w:val="20"/>
          <w:szCs w:val="20"/>
        </w:rPr>
        <w:t>Remedial action</w:t>
      </w:r>
      <w:r w:rsidRPr="00335764">
        <w:rPr>
          <w:rFonts w:cs="Arial"/>
          <w:sz w:val="20"/>
          <w:szCs w:val="20"/>
        </w:rPr>
        <w:t xml:space="preserve">. Despite the binding nature of the PPSA’s remedial action, the Committee notes that in only 13 % of cases is the remedial action implemented. Regrettably, in 65% of cases, the PPSA’s remedial action is not followed. The PPSA introduced a new indicator in 2022/23 for submission of remedial action reports to the National Assembly. The Committee notes that in 2023/24, the PPSA intends to extend these submissions to </w:t>
      </w:r>
      <w:r w:rsidRPr="00335764">
        <w:rPr>
          <w:rFonts w:cs="Arial"/>
          <w:sz w:val="20"/>
          <w:szCs w:val="20"/>
        </w:rPr>
        <w:lastRenderedPageBreak/>
        <w:t xml:space="preserve">the National Council of Provinces and Provincial Legislatures. The PPSA has also </w:t>
      </w:r>
      <w:r w:rsidR="00703E27" w:rsidRPr="00335764">
        <w:rPr>
          <w:rFonts w:cs="Arial"/>
          <w:sz w:val="20"/>
          <w:szCs w:val="20"/>
        </w:rPr>
        <w:t>entered</w:t>
      </w:r>
      <w:r w:rsidRPr="00335764">
        <w:rPr>
          <w:rFonts w:cs="Arial"/>
          <w:sz w:val="20"/>
          <w:szCs w:val="20"/>
        </w:rPr>
        <w:t xml:space="preserve"> MOUs with the provincial governments and some provincial legislatures of the Gauteng, Eastern Cape, Northern Cape, and KwaZulu-Natal provinces. The Committee notes that, according to the PPSA, these relationships have already proven fruitful through an increased rate of resolution of certain matters, which is a welcome development. </w:t>
      </w:r>
    </w:p>
    <w:p w:rsidR="00A91B7B" w:rsidRPr="00335764" w:rsidRDefault="00A91B7B" w:rsidP="00335764">
      <w:pPr>
        <w:spacing w:line="240" w:lineRule="auto"/>
        <w:ind w:left="862"/>
        <w:jc w:val="left"/>
        <w:rPr>
          <w:rFonts w:cs="Arial"/>
          <w:sz w:val="20"/>
          <w:szCs w:val="20"/>
        </w:rPr>
      </w:pPr>
    </w:p>
    <w:p w:rsidR="00A91B7B" w:rsidRPr="00335764" w:rsidRDefault="00A91B7B" w:rsidP="00335764">
      <w:pPr>
        <w:numPr>
          <w:ilvl w:val="1"/>
          <w:numId w:val="1"/>
        </w:numPr>
        <w:spacing w:line="240" w:lineRule="auto"/>
        <w:ind w:hanging="862"/>
        <w:jc w:val="left"/>
        <w:rPr>
          <w:rFonts w:cs="Arial"/>
          <w:sz w:val="20"/>
          <w:szCs w:val="20"/>
        </w:rPr>
      </w:pPr>
      <w:r w:rsidRPr="00335764">
        <w:rPr>
          <w:rFonts w:cs="Arial"/>
          <w:i/>
          <w:sz w:val="20"/>
          <w:szCs w:val="20"/>
        </w:rPr>
        <w:t>Amending the Public Protector Act.</w:t>
      </w:r>
      <w:r w:rsidRPr="00335764">
        <w:rPr>
          <w:rFonts w:cs="Arial"/>
          <w:sz w:val="20"/>
          <w:szCs w:val="20"/>
        </w:rPr>
        <w:t xml:space="preserve"> The Committee agrees that the Public Protector Act is outdated and, once again, urges the finalisation of legislative proposals in this regard. The Committee notes that the proposed amendments include a criminal charge of contempt of the Public Protector for those who do not implement the remedial action of the Public Protector and have not applied for judicial review.</w:t>
      </w:r>
    </w:p>
    <w:p w:rsidR="00A91B7B" w:rsidRPr="00335764" w:rsidRDefault="00A91B7B" w:rsidP="00335764">
      <w:pPr>
        <w:spacing w:line="240" w:lineRule="auto"/>
        <w:ind w:left="862"/>
        <w:jc w:val="left"/>
        <w:rPr>
          <w:rFonts w:cs="Arial"/>
          <w:sz w:val="20"/>
          <w:szCs w:val="20"/>
        </w:rPr>
      </w:pPr>
    </w:p>
    <w:p w:rsidR="00A91B7B" w:rsidRPr="00335764" w:rsidRDefault="00A91B7B" w:rsidP="00335764">
      <w:pPr>
        <w:numPr>
          <w:ilvl w:val="1"/>
          <w:numId w:val="1"/>
        </w:numPr>
        <w:spacing w:line="240" w:lineRule="auto"/>
        <w:ind w:hanging="862"/>
        <w:jc w:val="left"/>
        <w:rPr>
          <w:rFonts w:cs="Arial"/>
          <w:sz w:val="20"/>
          <w:szCs w:val="20"/>
        </w:rPr>
      </w:pPr>
      <w:r w:rsidRPr="00335764">
        <w:rPr>
          <w:rFonts w:cs="Arial"/>
          <w:i/>
          <w:sz w:val="20"/>
          <w:szCs w:val="20"/>
        </w:rPr>
        <w:t>Funding.</w:t>
      </w:r>
      <w:r w:rsidRPr="00335764">
        <w:rPr>
          <w:rFonts w:cs="Arial"/>
          <w:sz w:val="20"/>
          <w:szCs w:val="20"/>
        </w:rPr>
        <w:t xml:space="preserve"> The Committee reiterates its view that, like the SAHRC, the PPSA is underfunded. Although the 2022 budget provided additional funding over the medium term and funds were allocated to invest in ICT, overall, the PPSA’s budget has stagnated. </w:t>
      </w:r>
      <w:r w:rsidR="00BE2C04" w:rsidRPr="00335764">
        <w:rPr>
          <w:rFonts w:cs="Arial"/>
          <w:sz w:val="20"/>
          <w:szCs w:val="20"/>
        </w:rPr>
        <w:t>The Committee has</w:t>
      </w:r>
      <w:r w:rsidRPr="00335764">
        <w:rPr>
          <w:rFonts w:cs="Arial"/>
          <w:sz w:val="20"/>
          <w:szCs w:val="20"/>
        </w:rPr>
        <w:t xml:space="preserve"> noted the PPSA’s additional funding needs elsewhere in this report. </w:t>
      </w:r>
    </w:p>
    <w:p w:rsidR="00A91B7B" w:rsidRPr="00335764" w:rsidRDefault="00A91B7B" w:rsidP="00335764">
      <w:pPr>
        <w:spacing w:line="240" w:lineRule="auto"/>
        <w:ind w:left="862"/>
        <w:jc w:val="left"/>
        <w:rPr>
          <w:rFonts w:cs="Arial"/>
          <w:sz w:val="20"/>
          <w:szCs w:val="20"/>
        </w:rPr>
      </w:pPr>
    </w:p>
    <w:p w:rsidR="00A91B7B" w:rsidRPr="00335764" w:rsidRDefault="00260A54" w:rsidP="00335764">
      <w:pPr>
        <w:spacing w:line="240" w:lineRule="auto"/>
        <w:ind w:left="862"/>
        <w:jc w:val="left"/>
        <w:rPr>
          <w:rFonts w:cs="Arial"/>
          <w:sz w:val="20"/>
          <w:szCs w:val="20"/>
        </w:rPr>
      </w:pPr>
      <w:r w:rsidRPr="00335764">
        <w:rPr>
          <w:rFonts w:cs="Arial"/>
          <w:sz w:val="20"/>
          <w:szCs w:val="20"/>
        </w:rPr>
        <w:t xml:space="preserve">Further, </w:t>
      </w:r>
      <w:r w:rsidR="00A91B7B" w:rsidRPr="00335764">
        <w:rPr>
          <w:rFonts w:cs="Arial"/>
          <w:sz w:val="20"/>
          <w:szCs w:val="20"/>
        </w:rPr>
        <w:t xml:space="preserve">since 2018/19, the PPSA has had to request additional funds from the Department to address its budgetary constraints. However, the PPSA reports that these bail outs come towards the end of the financial year and, very often, result in the PPSA reporting a cash surplus to the National Treasury. The PPSA must then apply to National Treasury to use the surplus in the next financial year. </w:t>
      </w:r>
      <w:r w:rsidR="00BE2C04" w:rsidRPr="00335764">
        <w:rPr>
          <w:rFonts w:cs="Arial"/>
          <w:sz w:val="20"/>
          <w:szCs w:val="20"/>
        </w:rPr>
        <w:t xml:space="preserve">The Committee </w:t>
      </w:r>
      <w:r w:rsidR="00A91B7B" w:rsidRPr="00335764">
        <w:rPr>
          <w:rFonts w:cs="Arial"/>
          <w:sz w:val="20"/>
          <w:szCs w:val="20"/>
        </w:rPr>
        <w:t>agree</w:t>
      </w:r>
      <w:r w:rsidR="00BE2C04" w:rsidRPr="00335764">
        <w:rPr>
          <w:rFonts w:cs="Arial"/>
          <w:sz w:val="20"/>
          <w:szCs w:val="20"/>
        </w:rPr>
        <w:t>s</w:t>
      </w:r>
      <w:r w:rsidR="00A91B7B" w:rsidRPr="00335764">
        <w:rPr>
          <w:rFonts w:cs="Arial"/>
          <w:sz w:val="20"/>
          <w:szCs w:val="20"/>
        </w:rPr>
        <w:t xml:space="preserve"> that this method of sourcing additional funding is untenable. In </w:t>
      </w:r>
      <w:r w:rsidR="00DC21D7" w:rsidRPr="00335764">
        <w:rPr>
          <w:rFonts w:cs="Arial"/>
          <w:sz w:val="20"/>
          <w:szCs w:val="20"/>
        </w:rPr>
        <w:t xml:space="preserve">The Committee’s </w:t>
      </w:r>
      <w:r w:rsidR="00A91B7B" w:rsidRPr="00335764">
        <w:rPr>
          <w:rFonts w:cs="Arial"/>
          <w:sz w:val="20"/>
          <w:szCs w:val="20"/>
        </w:rPr>
        <w:t xml:space="preserve">view, it is preferable that additional funding to the PPSA should be provided through an increase to the baseline allocation and not through the practice of bail outs. This would allow the PPSA to properly plan for spending. However, </w:t>
      </w:r>
      <w:r w:rsidR="00BE2C04" w:rsidRPr="00335764">
        <w:rPr>
          <w:rFonts w:cs="Arial"/>
          <w:sz w:val="20"/>
          <w:szCs w:val="20"/>
        </w:rPr>
        <w:t xml:space="preserve">the Committee is </w:t>
      </w:r>
      <w:r w:rsidR="00A91B7B" w:rsidRPr="00335764">
        <w:rPr>
          <w:rFonts w:cs="Arial"/>
          <w:sz w:val="20"/>
          <w:szCs w:val="20"/>
        </w:rPr>
        <w:t xml:space="preserve">informed that the PPSA’s efforts to engage National Treasury on a budget adjustment for the 2023/24 financial year were unsuccessful. </w:t>
      </w:r>
    </w:p>
    <w:p w:rsidR="00A91B7B" w:rsidRPr="00335764" w:rsidRDefault="00A91B7B" w:rsidP="00335764">
      <w:pPr>
        <w:spacing w:line="240" w:lineRule="auto"/>
        <w:ind w:left="862"/>
        <w:jc w:val="left"/>
        <w:rPr>
          <w:rFonts w:cs="Arial"/>
          <w:sz w:val="20"/>
          <w:szCs w:val="20"/>
        </w:rPr>
      </w:pPr>
    </w:p>
    <w:p w:rsidR="00A91B7B" w:rsidRPr="00335764" w:rsidRDefault="00A91B7B" w:rsidP="00335764">
      <w:pPr>
        <w:numPr>
          <w:ilvl w:val="1"/>
          <w:numId w:val="1"/>
        </w:numPr>
        <w:spacing w:line="240" w:lineRule="auto"/>
        <w:ind w:hanging="862"/>
        <w:jc w:val="left"/>
        <w:rPr>
          <w:rFonts w:cs="Arial"/>
          <w:sz w:val="20"/>
          <w:szCs w:val="20"/>
        </w:rPr>
      </w:pPr>
      <w:r w:rsidRPr="00335764">
        <w:rPr>
          <w:rFonts w:cs="Arial"/>
          <w:i/>
          <w:sz w:val="20"/>
          <w:szCs w:val="20"/>
        </w:rPr>
        <w:t>CARA funding</w:t>
      </w:r>
      <w:r w:rsidRPr="00335764">
        <w:rPr>
          <w:rFonts w:cs="Arial"/>
          <w:sz w:val="20"/>
          <w:szCs w:val="20"/>
        </w:rPr>
        <w:t xml:space="preserve">. The Committee notes that, </w:t>
      </w:r>
      <w:r w:rsidR="001E3C09" w:rsidRPr="00335764">
        <w:rPr>
          <w:rFonts w:cs="Arial"/>
          <w:sz w:val="20"/>
          <w:szCs w:val="20"/>
        </w:rPr>
        <w:t>to</w:t>
      </w:r>
      <w:r w:rsidRPr="00335764">
        <w:rPr>
          <w:rFonts w:cs="Arial"/>
          <w:sz w:val="20"/>
          <w:szCs w:val="20"/>
        </w:rPr>
        <w:t xml:space="preserve"> meet the current demands, the PPSA is applying for additional funding from the Criminal Assets Recovery Account (CARA) Fund, for the purposes of a Special Project: Public Protector South Africa (PPSA) Strategy and Business Plan 2023/26 to enhance the investigative capacity and resources of the Public Protector to combat and prevent corruption in the public sector.</w:t>
      </w:r>
    </w:p>
    <w:p w:rsidR="00A91B7B" w:rsidRPr="00335764" w:rsidRDefault="00A91B7B" w:rsidP="00335764">
      <w:pPr>
        <w:spacing w:line="240" w:lineRule="auto"/>
        <w:ind w:left="862"/>
        <w:jc w:val="left"/>
        <w:rPr>
          <w:rFonts w:cs="Arial"/>
          <w:sz w:val="20"/>
          <w:szCs w:val="20"/>
        </w:rPr>
      </w:pPr>
    </w:p>
    <w:p w:rsidR="00A91B7B" w:rsidRPr="00335764" w:rsidRDefault="00A91B7B" w:rsidP="00335764">
      <w:pPr>
        <w:numPr>
          <w:ilvl w:val="1"/>
          <w:numId w:val="1"/>
        </w:numPr>
        <w:spacing w:line="240" w:lineRule="auto"/>
        <w:ind w:hanging="862"/>
        <w:jc w:val="left"/>
        <w:rPr>
          <w:rFonts w:cs="Arial"/>
          <w:sz w:val="20"/>
          <w:szCs w:val="20"/>
        </w:rPr>
      </w:pPr>
      <w:r w:rsidRPr="00335764">
        <w:rPr>
          <w:rFonts w:cs="Arial"/>
          <w:i/>
          <w:sz w:val="20"/>
          <w:szCs w:val="20"/>
        </w:rPr>
        <w:t>Human Resources</w:t>
      </w:r>
      <w:r w:rsidRPr="00335764">
        <w:rPr>
          <w:rFonts w:cs="Arial"/>
          <w:sz w:val="20"/>
          <w:szCs w:val="20"/>
        </w:rPr>
        <w:t xml:space="preserve">. The Committee welcomes the appointment of Mr Mfundo Mdingi as the PPSA’s new Chief Financial Officer and wish him well in the position. Unfortunately, there are quite </w:t>
      </w:r>
      <w:r w:rsidR="00703E27" w:rsidRPr="00335764">
        <w:rPr>
          <w:rFonts w:cs="Arial"/>
          <w:sz w:val="20"/>
          <w:szCs w:val="20"/>
        </w:rPr>
        <w:t>several</w:t>
      </w:r>
      <w:r w:rsidRPr="00335764">
        <w:rPr>
          <w:rFonts w:cs="Arial"/>
          <w:sz w:val="20"/>
          <w:szCs w:val="20"/>
        </w:rPr>
        <w:t xml:space="preserve"> acting appointments at Senior Management level, including the positions of Chief Operations Officer; Executive Manager: Corporate Services; Senior Management: Strategic Support; and Executive Manager: Provincial Investigations and Integration (Inland). The Committee urges that the PPSA prioritise the filling of these senior positions as a matter of urgency. </w:t>
      </w:r>
    </w:p>
    <w:p w:rsidR="00A91B7B" w:rsidRPr="00335764" w:rsidRDefault="00A91B7B" w:rsidP="00335764">
      <w:pPr>
        <w:spacing w:line="240" w:lineRule="auto"/>
        <w:ind w:left="862"/>
        <w:jc w:val="left"/>
        <w:rPr>
          <w:rFonts w:cs="Arial"/>
          <w:sz w:val="20"/>
          <w:szCs w:val="20"/>
        </w:rPr>
      </w:pPr>
    </w:p>
    <w:p w:rsidR="00A91B7B" w:rsidRPr="00335764" w:rsidRDefault="00A91B7B" w:rsidP="00335764">
      <w:pPr>
        <w:numPr>
          <w:ilvl w:val="1"/>
          <w:numId w:val="1"/>
        </w:numPr>
        <w:spacing w:line="240" w:lineRule="auto"/>
        <w:ind w:hanging="862"/>
        <w:jc w:val="left"/>
        <w:rPr>
          <w:rFonts w:cs="Arial"/>
          <w:sz w:val="20"/>
          <w:szCs w:val="20"/>
        </w:rPr>
      </w:pPr>
      <w:r w:rsidRPr="00335764">
        <w:rPr>
          <w:rFonts w:cs="Arial"/>
          <w:i/>
          <w:sz w:val="20"/>
          <w:szCs w:val="20"/>
        </w:rPr>
        <w:t>Performance.</w:t>
      </w:r>
      <w:r w:rsidRPr="00335764">
        <w:rPr>
          <w:rFonts w:cs="Arial"/>
          <w:sz w:val="20"/>
          <w:szCs w:val="20"/>
        </w:rPr>
        <w:t xml:space="preserve"> </w:t>
      </w:r>
      <w:r w:rsidR="00BE2C04" w:rsidRPr="00335764">
        <w:rPr>
          <w:rFonts w:cs="Arial"/>
          <w:sz w:val="20"/>
          <w:szCs w:val="20"/>
        </w:rPr>
        <w:t xml:space="preserve">The Committee notes </w:t>
      </w:r>
      <w:r w:rsidRPr="00335764">
        <w:rPr>
          <w:rFonts w:cs="Arial"/>
          <w:sz w:val="20"/>
          <w:szCs w:val="20"/>
        </w:rPr>
        <w:t xml:space="preserve">that the PPSA has embarked on a journey to recalibrate itself, by among other things, rethinking the best ways to fulfil its mandate. The Committee welcomes the intention to place increased emphasis on the quality of investigations, while working efficiently to ensure prompt and timeous resolution of complaints. Accordingly, various Standard Operating Procedures of the PPSA are being revised to align to the institution’s strategic direction. </w:t>
      </w:r>
      <w:r w:rsidR="00BE2C04" w:rsidRPr="00335764">
        <w:rPr>
          <w:rFonts w:cs="Arial"/>
          <w:sz w:val="20"/>
          <w:szCs w:val="20"/>
        </w:rPr>
        <w:t xml:space="preserve">The Committee also </w:t>
      </w:r>
      <w:r w:rsidRPr="00335764">
        <w:rPr>
          <w:rFonts w:cs="Arial"/>
          <w:sz w:val="20"/>
          <w:szCs w:val="20"/>
        </w:rPr>
        <w:t>note</w:t>
      </w:r>
      <w:r w:rsidR="00BE2C04" w:rsidRPr="00335764">
        <w:rPr>
          <w:rFonts w:cs="Arial"/>
          <w:sz w:val="20"/>
          <w:szCs w:val="20"/>
        </w:rPr>
        <w:t>s</w:t>
      </w:r>
      <w:r w:rsidRPr="00335764">
        <w:rPr>
          <w:rFonts w:cs="Arial"/>
          <w:sz w:val="20"/>
          <w:szCs w:val="20"/>
        </w:rPr>
        <w:t xml:space="preserve"> that the PPSA intends to make increased use of its early resolution and alternative dispute resolution processes designed to resolve issues and complaints informally and as efficiently as possible at the first possible opportunity without the need for lengthy investigations. As mentioned above, the PPSA has applied to CARA for additional funding for this project.</w:t>
      </w:r>
    </w:p>
    <w:p w:rsidR="00745FF1" w:rsidRPr="00335764" w:rsidRDefault="00745FF1" w:rsidP="00335764">
      <w:pPr>
        <w:spacing w:line="240" w:lineRule="auto"/>
        <w:jc w:val="left"/>
        <w:rPr>
          <w:rFonts w:cs="Arial"/>
          <w:sz w:val="20"/>
          <w:szCs w:val="20"/>
          <w:lang w:val="en-ZA"/>
        </w:rPr>
      </w:pPr>
    </w:p>
    <w:p w:rsidR="00745FF1" w:rsidRPr="00335764" w:rsidRDefault="00745FF1" w:rsidP="00335764">
      <w:pPr>
        <w:spacing w:line="240" w:lineRule="auto"/>
        <w:jc w:val="left"/>
        <w:rPr>
          <w:rFonts w:cs="Arial"/>
          <w:sz w:val="20"/>
          <w:szCs w:val="20"/>
          <w:lang w:val="en-ZA"/>
        </w:rPr>
      </w:pPr>
    </w:p>
    <w:p w:rsidR="00745FF1" w:rsidRPr="00335764" w:rsidRDefault="00745FF1" w:rsidP="00335764">
      <w:pPr>
        <w:spacing w:line="240" w:lineRule="auto"/>
        <w:jc w:val="left"/>
        <w:rPr>
          <w:rFonts w:cs="Arial"/>
          <w:b/>
          <w:bCs/>
          <w:sz w:val="20"/>
          <w:szCs w:val="20"/>
        </w:rPr>
      </w:pPr>
      <w:r w:rsidRPr="00335764">
        <w:rPr>
          <w:rFonts w:cs="Arial"/>
          <w:b/>
          <w:sz w:val="20"/>
          <w:szCs w:val="20"/>
        </w:rPr>
        <w:t>South</w:t>
      </w:r>
      <w:r w:rsidRPr="00335764">
        <w:rPr>
          <w:rFonts w:cs="Arial"/>
          <w:b/>
          <w:bCs/>
          <w:sz w:val="20"/>
          <w:szCs w:val="20"/>
        </w:rPr>
        <w:t xml:space="preserve"> African Human Rights Commission</w:t>
      </w:r>
    </w:p>
    <w:p w:rsidR="00745FF1" w:rsidRPr="00335764" w:rsidRDefault="00745FF1" w:rsidP="00335764">
      <w:pPr>
        <w:spacing w:line="240" w:lineRule="auto"/>
        <w:jc w:val="left"/>
        <w:rPr>
          <w:rFonts w:cs="Arial"/>
          <w:sz w:val="20"/>
          <w:szCs w:val="20"/>
        </w:rPr>
      </w:pPr>
    </w:p>
    <w:p w:rsidR="00CC19B5" w:rsidRPr="00335764" w:rsidRDefault="00CC19B5" w:rsidP="00335764">
      <w:pPr>
        <w:numPr>
          <w:ilvl w:val="1"/>
          <w:numId w:val="1"/>
        </w:numPr>
        <w:spacing w:line="240" w:lineRule="auto"/>
        <w:ind w:hanging="862"/>
        <w:jc w:val="left"/>
        <w:rPr>
          <w:rFonts w:cs="Arial"/>
          <w:sz w:val="20"/>
          <w:szCs w:val="20"/>
        </w:rPr>
      </w:pPr>
      <w:r w:rsidRPr="00335764">
        <w:rPr>
          <w:rFonts w:cs="Arial"/>
          <w:i/>
          <w:sz w:val="20"/>
          <w:szCs w:val="20"/>
        </w:rPr>
        <w:lastRenderedPageBreak/>
        <w:t>Funding.</w:t>
      </w:r>
      <w:r w:rsidRPr="00335764">
        <w:rPr>
          <w:rFonts w:cs="Arial"/>
          <w:sz w:val="20"/>
          <w:szCs w:val="20"/>
        </w:rPr>
        <w:t xml:space="preserve"> The Committee notes that the Commission receives no additional funding for 2023/24. </w:t>
      </w:r>
      <w:r w:rsidR="00D87ED4" w:rsidRPr="00335764">
        <w:rPr>
          <w:rFonts w:cs="Arial"/>
          <w:sz w:val="20"/>
          <w:szCs w:val="20"/>
        </w:rPr>
        <w:t>In fact, in real terms, its budget decreases by 7.8%. In addition, t</w:t>
      </w:r>
      <w:r w:rsidR="00AC69F1" w:rsidRPr="00335764">
        <w:rPr>
          <w:rFonts w:cs="Arial"/>
          <w:bCs/>
          <w:sz w:val="20"/>
          <w:szCs w:val="20"/>
        </w:rPr>
        <w:t>he Commission reports that the Department of Public Works and Infrastructure ended payment of office rental fo</w:t>
      </w:r>
      <w:r w:rsidR="00D87ED4" w:rsidRPr="00335764">
        <w:rPr>
          <w:rFonts w:cs="Arial"/>
          <w:bCs/>
          <w:sz w:val="20"/>
          <w:szCs w:val="20"/>
        </w:rPr>
        <w:t xml:space="preserve">r three (3) provincial offices. </w:t>
      </w:r>
      <w:r w:rsidR="00AC69F1" w:rsidRPr="00335764">
        <w:rPr>
          <w:rFonts w:cs="Arial"/>
          <w:bCs/>
          <w:sz w:val="20"/>
          <w:szCs w:val="20"/>
        </w:rPr>
        <w:t>Going forward, th</w:t>
      </w:r>
      <w:r w:rsidR="00D87ED4" w:rsidRPr="00335764">
        <w:rPr>
          <w:rFonts w:cs="Arial"/>
          <w:bCs/>
          <w:sz w:val="20"/>
          <w:szCs w:val="20"/>
        </w:rPr>
        <w:t xml:space="preserve">e </w:t>
      </w:r>
      <w:r w:rsidR="00AC69F1" w:rsidRPr="00335764">
        <w:rPr>
          <w:rFonts w:cs="Arial"/>
          <w:bCs/>
          <w:sz w:val="20"/>
          <w:szCs w:val="20"/>
        </w:rPr>
        <w:t xml:space="preserve">Commission </w:t>
      </w:r>
      <w:r w:rsidR="00D87ED4" w:rsidRPr="00335764">
        <w:rPr>
          <w:rFonts w:cs="Arial"/>
          <w:bCs/>
          <w:sz w:val="20"/>
          <w:szCs w:val="20"/>
        </w:rPr>
        <w:t xml:space="preserve">will require </w:t>
      </w:r>
      <w:r w:rsidR="00AC69F1" w:rsidRPr="00335764">
        <w:rPr>
          <w:rFonts w:cs="Arial"/>
          <w:bCs/>
          <w:sz w:val="20"/>
          <w:szCs w:val="20"/>
        </w:rPr>
        <w:t xml:space="preserve">an additional R1.8 million in rental costs for the three (3) provincial offices and will affect </w:t>
      </w:r>
      <w:r w:rsidR="00D87ED4" w:rsidRPr="00335764">
        <w:rPr>
          <w:rFonts w:cs="Arial"/>
          <w:bCs/>
          <w:sz w:val="20"/>
          <w:szCs w:val="20"/>
        </w:rPr>
        <w:t xml:space="preserve">its </w:t>
      </w:r>
      <w:r w:rsidR="00AC69F1" w:rsidRPr="00335764">
        <w:rPr>
          <w:rFonts w:cs="Arial"/>
          <w:bCs/>
          <w:sz w:val="20"/>
          <w:szCs w:val="20"/>
        </w:rPr>
        <w:t xml:space="preserve">operational budget. The Public Sector Coordinating Bargaining Council agreement of a 7.5% increase was also not budgeted for. The Commission has identified areas where it can claw back some </w:t>
      </w:r>
      <w:r w:rsidR="00703E27" w:rsidRPr="00335764">
        <w:rPr>
          <w:rFonts w:cs="Arial"/>
          <w:bCs/>
          <w:sz w:val="20"/>
          <w:szCs w:val="20"/>
        </w:rPr>
        <w:t>funds,</w:t>
      </w:r>
      <w:r w:rsidR="00AC69F1" w:rsidRPr="00335764">
        <w:rPr>
          <w:rFonts w:cs="Arial"/>
          <w:bCs/>
          <w:sz w:val="20"/>
          <w:szCs w:val="20"/>
        </w:rPr>
        <w:t xml:space="preserve"> but these rationalisations affect core mandates. </w:t>
      </w:r>
      <w:r w:rsidR="00BE2C04" w:rsidRPr="00335764">
        <w:rPr>
          <w:rFonts w:cs="Arial"/>
          <w:bCs/>
          <w:sz w:val="20"/>
          <w:szCs w:val="20"/>
        </w:rPr>
        <w:t xml:space="preserve">The Committee has </w:t>
      </w:r>
      <w:r w:rsidR="00AC69F1" w:rsidRPr="00335764">
        <w:rPr>
          <w:rFonts w:cs="Arial"/>
          <w:bCs/>
          <w:sz w:val="20"/>
          <w:szCs w:val="20"/>
        </w:rPr>
        <w:t xml:space="preserve">repeatedly warned against the under-funding of the Chapter 9 institutions that report to </w:t>
      </w:r>
      <w:r w:rsidR="00D12D81" w:rsidRPr="00335764">
        <w:rPr>
          <w:rFonts w:cs="Arial"/>
          <w:bCs/>
          <w:sz w:val="20"/>
          <w:szCs w:val="20"/>
        </w:rPr>
        <w:t>it</w:t>
      </w:r>
      <w:r w:rsidR="00AC69F1" w:rsidRPr="00335764">
        <w:rPr>
          <w:rFonts w:cs="Arial"/>
          <w:bCs/>
          <w:sz w:val="20"/>
          <w:szCs w:val="20"/>
        </w:rPr>
        <w:t>. These institutions are established in the Constitution and form part of the architecture of our State. It is a constitutional imperative that these institutions be reasonably funded so that they can play their role</w:t>
      </w:r>
      <w:r w:rsidR="00D87ED4" w:rsidRPr="00335764">
        <w:rPr>
          <w:rFonts w:cs="Arial"/>
          <w:bCs/>
          <w:sz w:val="20"/>
          <w:szCs w:val="20"/>
        </w:rPr>
        <w:t>s</w:t>
      </w:r>
      <w:r w:rsidR="00AC69F1" w:rsidRPr="00335764">
        <w:rPr>
          <w:rFonts w:cs="Arial"/>
          <w:bCs/>
          <w:sz w:val="20"/>
          <w:szCs w:val="20"/>
        </w:rPr>
        <w:t xml:space="preserve"> in protecting and supporting our democracy.</w:t>
      </w:r>
      <w:r w:rsidR="00D87ED4" w:rsidRPr="00335764">
        <w:rPr>
          <w:rFonts w:cs="Arial"/>
          <w:bCs/>
          <w:sz w:val="20"/>
          <w:szCs w:val="20"/>
        </w:rPr>
        <w:t xml:space="preserve"> In </w:t>
      </w:r>
      <w:r w:rsidR="00DC21D7" w:rsidRPr="00335764">
        <w:rPr>
          <w:rFonts w:cs="Arial"/>
          <w:bCs/>
          <w:sz w:val="20"/>
          <w:szCs w:val="20"/>
        </w:rPr>
        <w:t xml:space="preserve">The Committee’s </w:t>
      </w:r>
      <w:r w:rsidR="00D87ED4" w:rsidRPr="00335764">
        <w:rPr>
          <w:rFonts w:cs="Arial"/>
          <w:bCs/>
          <w:sz w:val="20"/>
          <w:szCs w:val="20"/>
        </w:rPr>
        <w:t xml:space="preserve">view, the funding allocated does not reflect an understanding of how important these institutions are. </w:t>
      </w:r>
    </w:p>
    <w:p w:rsidR="00CC19B5" w:rsidRPr="00335764" w:rsidRDefault="00CC19B5" w:rsidP="00335764">
      <w:pPr>
        <w:pStyle w:val="ListParagraph"/>
        <w:spacing w:line="240" w:lineRule="auto"/>
        <w:ind w:left="862"/>
        <w:jc w:val="left"/>
        <w:rPr>
          <w:rFonts w:cs="Arial"/>
          <w:sz w:val="20"/>
          <w:szCs w:val="20"/>
        </w:rPr>
      </w:pPr>
    </w:p>
    <w:p w:rsidR="008C6B93" w:rsidRPr="00335764" w:rsidRDefault="008C6B93" w:rsidP="00335764">
      <w:pPr>
        <w:numPr>
          <w:ilvl w:val="1"/>
          <w:numId w:val="1"/>
        </w:numPr>
        <w:spacing w:line="240" w:lineRule="auto"/>
        <w:ind w:hanging="862"/>
        <w:jc w:val="left"/>
        <w:rPr>
          <w:rFonts w:cs="Arial"/>
          <w:sz w:val="20"/>
          <w:szCs w:val="20"/>
        </w:rPr>
      </w:pPr>
      <w:r w:rsidRPr="00335764">
        <w:rPr>
          <w:rFonts w:cs="Arial"/>
          <w:i/>
          <w:sz w:val="20"/>
          <w:szCs w:val="20"/>
        </w:rPr>
        <w:t>Accreditation.</w:t>
      </w:r>
      <w:r w:rsidRPr="00335764">
        <w:rPr>
          <w:rFonts w:cs="Arial"/>
          <w:sz w:val="20"/>
          <w:szCs w:val="20"/>
        </w:rPr>
        <w:t xml:space="preserve"> The Committee supports the Commission in its efforts to retain accreditation as a National Human Rights Institution. Accreditation takes place within the United Nations human rights system by the Global Alliance of National Human Rights Institutions (GANHRI). As part of the re-accreditation, </w:t>
      </w:r>
      <w:r w:rsidR="00703E27" w:rsidRPr="00335764">
        <w:rPr>
          <w:rFonts w:cs="Arial"/>
          <w:sz w:val="20"/>
          <w:szCs w:val="20"/>
        </w:rPr>
        <w:t>all</w:t>
      </w:r>
      <w:r w:rsidRPr="00335764">
        <w:rPr>
          <w:rFonts w:cs="Arial"/>
          <w:sz w:val="20"/>
          <w:szCs w:val="20"/>
        </w:rPr>
        <w:t xml:space="preserve"> the Commission’s internal policies, procedures, human and financial </w:t>
      </w:r>
      <w:r w:rsidR="00A668B0" w:rsidRPr="00335764">
        <w:rPr>
          <w:rFonts w:cs="Arial"/>
          <w:sz w:val="20"/>
          <w:szCs w:val="20"/>
        </w:rPr>
        <w:t>resources,</w:t>
      </w:r>
      <w:r w:rsidRPr="00335764">
        <w:rPr>
          <w:rFonts w:cs="Arial"/>
          <w:sz w:val="20"/>
          <w:szCs w:val="20"/>
        </w:rPr>
        <w:t xml:space="preserve"> and institutional performance will be reviewed to determine whether the Commission should retain its “A” status. A-Status NHRIs </w:t>
      </w:r>
      <w:r w:rsidR="001E3C09" w:rsidRPr="00335764">
        <w:rPr>
          <w:rFonts w:cs="Arial"/>
          <w:sz w:val="20"/>
          <w:szCs w:val="20"/>
        </w:rPr>
        <w:t>can</w:t>
      </w:r>
      <w:r w:rsidRPr="00335764">
        <w:rPr>
          <w:rFonts w:cs="Arial"/>
          <w:sz w:val="20"/>
          <w:szCs w:val="20"/>
        </w:rPr>
        <w:t xml:space="preserve"> vote and hold governance positions within </w:t>
      </w:r>
      <w:r w:rsidR="001E3C09" w:rsidRPr="00335764">
        <w:rPr>
          <w:rFonts w:cs="Arial"/>
          <w:sz w:val="20"/>
          <w:szCs w:val="20"/>
        </w:rPr>
        <w:t>GANHRI and</w:t>
      </w:r>
      <w:r w:rsidRPr="00335764">
        <w:rPr>
          <w:rFonts w:cs="Arial"/>
          <w:sz w:val="20"/>
          <w:szCs w:val="20"/>
        </w:rPr>
        <w:t xml:space="preserve"> have speaking rights at the United Nations Human Rights Council. Achieving A-Status demonstrates and secures the Commission’s independence, </w:t>
      </w:r>
      <w:r w:rsidR="00A668B0" w:rsidRPr="00335764">
        <w:rPr>
          <w:rFonts w:cs="Arial"/>
          <w:sz w:val="20"/>
          <w:szCs w:val="20"/>
        </w:rPr>
        <w:t>authority,</w:t>
      </w:r>
      <w:r w:rsidRPr="00335764">
        <w:rPr>
          <w:rFonts w:cs="Arial"/>
          <w:sz w:val="20"/>
          <w:szCs w:val="20"/>
        </w:rPr>
        <w:t xml:space="preserve"> and status within the international human rights system.</w:t>
      </w:r>
    </w:p>
    <w:p w:rsidR="008C6B93" w:rsidRPr="00335764" w:rsidRDefault="008C6B93" w:rsidP="00335764">
      <w:pPr>
        <w:spacing w:line="240" w:lineRule="auto"/>
        <w:ind w:left="862"/>
        <w:jc w:val="left"/>
        <w:rPr>
          <w:rFonts w:cs="Arial"/>
          <w:sz w:val="20"/>
          <w:szCs w:val="20"/>
        </w:rPr>
      </w:pPr>
    </w:p>
    <w:p w:rsidR="00883723" w:rsidRPr="00335764" w:rsidRDefault="00883723" w:rsidP="00335764">
      <w:pPr>
        <w:numPr>
          <w:ilvl w:val="1"/>
          <w:numId w:val="1"/>
        </w:numPr>
        <w:spacing w:line="240" w:lineRule="auto"/>
        <w:ind w:hanging="862"/>
        <w:jc w:val="left"/>
        <w:rPr>
          <w:rFonts w:cs="Arial"/>
          <w:bCs/>
          <w:sz w:val="20"/>
          <w:szCs w:val="20"/>
        </w:rPr>
      </w:pPr>
      <w:r w:rsidRPr="00335764">
        <w:rPr>
          <w:rFonts w:cs="Arial"/>
          <w:i/>
          <w:sz w:val="20"/>
          <w:szCs w:val="20"/>
        </w:rPr>
        <w:t xml:space="preserve">SHiNE </w:t>
      </w:r>
      <w:r w:rsidRPr="00335764">
        <w:rPr>
          <w:rFonts w:cs="Arial"/>
          <w:sz w:val="20"/>
          <w:szCs w:val="20"/>
        </w:rPr>
        <w:t>programme</w:t>
      </w:r>
      <w:r w:rsidRPr="00335764">
        <w:rPr>
          <w:rFonts w:cs="Arial"/>
          <w:bCs/>
          <w:sz w:val="20"/>
          <w:szCs w:val="20"/>
        </w:rPr>
        <w:t>. The Comm</w:t>
      </w:r>
      <w:r w:rsidR="008C6B93" w:rsidRPr="00335764">
        <w:rPr>
          <w:rFonts w:cs="Arial"/>
          <w:bCs/>
          <w:sz w:val="20"/>
          <w:szCs w:val="20"/>
        </w:rPr>
        <w:t xml:space="preserve">ittee requests further information on the Commission’s </w:t>
      </w:r>
      <w:r w:rsidRPr="00335764">
        <w:rPr>
          <w:rFonts w:cs="Arial"/>
          <w:bCs/>
          <w:sz w:val="20"/>
          <w:szCs w:val="20"/>
        </w:rPr>
        <w:t>Social Harmony National Effort (SHiNE) programme</w:t>
      </w:r>
      <w:r w:rsidR="008C6B93" w:rsidRPr="00335764">
        <w:rPr>
          <w:rFonts w:cs="Arial"/>
          <w:bCs/>
          <w:sz w:val="20"/>
          <w:szCs w:val="20"/>
        </w:rPr>
        <w:t xml:space="preserve">, which was launched in 2022/23. </w:t>
      </w:r>
      <w:r w:rsidRPr="00335764">
        <w:rPr>
          <w:rFonts w:cs="Arial"/>
          <w:bCs/>
          <w:sz w:val="20"/>
          <w:szCs w:val="20"/>
        </w:rPr>
        <w:t xml:space="preserve">The programme was conceptualised as part of a response that was ignited from the July unrest and the general state of disharmony, </w:t>
      </w:r>
      <w:r w:rsidR="00A668B0" w:rsidRPr="00335764">
        <w:rPr>
          <w:rFonts w:cs="Arial"/>
          <w:bCs/>
          <w:sz w:val="20"/>
          <w:szCs w:val="20"/>
        </w:rPr>
        <w:t>poverty,</w:t>
      </w:r>
      <w:r w:rsidRPr="00335764">
        <w:rPr>
          <w:rFonts w:cs="Arial"/>
          <w:bCs/>
          <w:sz w:val="20"/>
          <w:szCs w:val="20"/>
        </w:rPr>
        <w:t xml:space="preserve"> and polarization in the country. The 2023/24 financial year will reportedly see the Commission strengthen its work through SHiNE to support nation-building.</w:t>
      </w:r>
    </w:p>
    <w:p w:rsidR="008C6B93" w:rsidRPr="00335764" w:rsidRDefault="008C6B93" w:rsidP="00335764">
      <w:pPr>
        <w:spacing w:line="240" w:lineRule="auto"/>
        <w:ind w:left="862"/>
        <w:jc w:val="left"/>
        <w:rPr>
          <w:rFonts w:cs="Arial"/>
          <w:bCs/>
          <w:sz w:val="20"/>
          <w:szCs w:val="20"/>
        </w:rPr>
      </w:pPr>
    </w:p>
    <w:p w:rsidR="00745FF1" w:rsidRPr="00335764" w:rsidRDefault="00745FF1" w:rsidP="00335764">
      <w:pPr>
        <w:numPr>
          <w:ilvl w:val="1"/>
          <w:numId w:val="1"/>
        </w:numPr>
        <w:spacing w:line="240" w:lineRule="auto"/>
        <w:ind w:hanging="862"/>
        <w:jc w:val="left"/>
        <w:rPr>
          <w:rFonts w:cs="Arial"/>
          <w:sz w:val="20"/>
          <w:szCs w:val="20"/>
        </w:rPr>
      </w:pPr>
      <w:r w:rsidRPr="00335764">
        <w:rPr>
          <w:rFonts w:cs="Arial"/>
          <w:i/>
          <w:sz w:val="20"/>
          <w:szCs w:val="20"/>
        </w:rPr>
        <w:t>Human Resources</w:t>
      </w:r>
      <w:r w:rsidRPr="00335764">
        <w:rPr>
          <w:rFonts w:cs="Arial"/>
          <w:sz w:val="20"/>
          <w:szCs w:val="20"/>
        </w:rPr>
        <w:t xml:space="preserve">. The </w:t>
      </w:r>
      <w:r w:rsidR="00883723" w:rsidRPr="00335764">
        <w:rPr>
          <w:rFonts w:cs="Arial"/>
          <w:sz w:val="20"/>
          <w:szCs w:val="20"/>
        </w:rPr>
        <w:t xml:space="preserve">Committee welcomes the appointment of Mr Vusumzi Mkhize to the position of Chief Executive Officer with effect from 27 March 2023 and wish him well in the position. </w:t>
      </w:r>
      <w:r w:rsidR="008C6B93" w:rsidRPr="00335764">
        <w:rPr>
          <w:rFonts w:cs="Arial"/>
          <w:sz w:val="20"/>
          <w:szCs w:val="20"/>
        </w:rPr>
        <w:t xml:space="preserve">However, </w:t>
      </w:r>
      <w:r w:rsidR="00BE2C04" w:rsidRPr="00335764">
        <w:rPr>
          <w:rFonts w:cs="Arial"/>
          <w:sz w:val="20"/>
          <w:szCs w:val="20"/>
        </w:rPr>
        <w:t xml:space="preserve">The Committee </w:t>
      </w:r>
      <w:r w:rsidR="008C6B93" w:rsidRPr="00335764">
        <w:rPr>
          <w:rFonts w:cs="Arial"/>
          <w:sz w:val="20"/>
          <w:szCs w:val="20"/>
        </w:rPr>
        <w:t>remain</w:t>
      </w:r>
      <w:r w:rsidR="00BE2C04" w:rsidRPr="00335764">
        <w:rPr>
          <w:rFonts w:cs="Arial"/>
          <w:sz w:val="20"/>
          <w:szCs w:val="20"/>
        </w:rPr>
        <w:t>s</w:t>
      </w:r>
      <w:r w:rsidR="008C6B93" w:rsidRPr="00335764">
        <w:rPr>
          <w:rFonts w:cs="Arial"/>
          <w:sz w:val="20"/>
          <w:szCs w:val="20"/>
        </w:rPr>
        <w:t xml:space="preserve"> concerned that </w:t>
      </w:r>
      <w:r w:rsidR="001E3C09" w:rsidRPr="00335764">
        <w:rPr>
          <w:rFonts w:cs="Arial"/>
          <w:sz w:val="20"/>
          <w:szCs w:val="20"/>
        </w:rPr>
        <w:t>except for</w:t>
      </w:r>
      <w:r w:rsidR="008C6B93" w:rsidRPr="00335764">
        <w:rPr>
          <w:rFonts w:cs="Arial"/>
          <w:sz w:val="20"/>
          <w:szCs w:val="20"/>
        </w:rPr>
        <w:t xml:space="preserve"> the newly appointed CEO, most of the Commission’s </w:t>
      </w:r>
      <w:r w:rsidRPr="00335764">
        <w:rPr>
          <w:rFonts w:cs="Arial"/>
          <w:sz w:val="20"/>
          <w:szCs w:val="20"/>
        </w:rPr>
        <w:t xml:space="preserve">senior management </w:t>
      </w:r>
      <w:r w:rsidR="001B270C" w:rsidRPr="00335764">
        <w:rPr>
          <w:rFonts w:cs="Arial"/>
          <w:sz w:val="20"/>
          <w:szCs w:val="20"/>
        </w:rPr>
        <w:t xml:space="preserve">positions </w:t>
      </w:r>
      <w:r w:rsidR="008C6B93" w:rsidRPr="00335764">
        <w:rPr>
          <w:rFonts w:cs="Arial"/>
          <w:sz w:val="20"/>
          <w:szCs w:val="20"/>
        </w:rPr>
        <w:t>are</w:t>
      </w:r>
      <w:r w:rsidR="001B270C" w:rsidRPr="00335764">
        <w:rPr>
          <w:rFonts w:cs="Arial"/>
          <w:sz w:val="20"/>
          <w:szCs w:val="20"/>
        </w:rPr>
        <w:t xml:space="preserve"> filled in an</w:t>
      </w:r>
      <w:r w:rsidR="008C6B93" w:rsidRPr="00335764">
        <w:rPr>
          <w:rFonts w:cs="Arial"/>
          <w:sz w:val="20"/>
          <w:szCs w:val="20"/>
        </w:rPr>
        <w:t xml:space="preserve"> acting </w:t>
      </w:r>
      <w:r w:rsidR="001B270C" w:rsidRPr="00335764">
        <w:rPr>
          <w:rFonts w:cs="Arial"/>
          <w:sz w:val="20"/>
          <w:szCs w:val="20"/>
        </w:rPr>
        <w:t xml:space="preserve">capacity </w:t>
      </w:r>
      <w:r w:rsidR="008C6B93" w:rsidRPr="00335764">
        <w:rPr>
          <w:rFonts w:cs="Arial"/>
          <w:sz w:val="20"/>
          <w:szCs w:val="20"/>
        </w:rPr>
        <w:t xml:space="preserve">(specifically, the positions of Chief Financial Officer; Chief Operations Officer; </w:t>
      </w:r>
      <w:r w:rsidR="001B270C" w:rsidRPr="00335764">
        <w:rPr>
          <w:rFonts w:cs="Arial"/>
          <w:sz w:val="20"/>
          <w:szCs w:val="20"/>
        </w:rPr>
        <w:t xml:space="preserve">and </w:t>
      </w:r>
      <w:r w:rsidR="008C6B93" w:rsidRPr="00335764">
        <w:rPr>
          <w:rFonts w:cs="Arial"/>
          <w:sz w:val="20"/>
          <w:szCs w:val="20"/>
        </w:rPr>
        <w:t>Head S</w:t>
      </w:r>
      <w:r w:rsidR="001B270C" w:rsidRPr="00335764">
        <w:rPr>
          <w:rFonts w:cs="Arial"/>
          <w:sz w:val="20"/>
          <w:szCs w:val="20"/>
        </w:rPr>
        <w:t xml:space="preserve">trategic Support and Governance). </w:t>
      </w:r>
      <w:r w:rsidR="00BE2C04" w:rsidRPr="00335764">
        <w:rPr>
          <w:rFonts w:cs="Arial"/>
          <w:sz w:val="20"/>
          <w:szCs w:val="20"/>
        </w:rPr>
        <w:t>The Committee</w:t>
      </w:r>
      <w:r w:rsidRPr="00335764">
        <w:rPr>
          <w:rFonts w:cs="Arial"/>
          <w:sz w:val="20"/>
          <w:szCs w:val="20"/>
        </w:rPr>
        <w:t>, therefore, request a report in writing on the vacancies, particularly those in senior management positions, and the related recruitment plan, with deadlines</w:t>
      </w:r>
      <w:r w:rsidR="005E6929" w:rsidRPr="00335764">
        <w:rPr>
          <w:rFonts w:cs="Arial"/>
          <w:sz w:val="20"/>
          <w:szCs w:val="20"/>
        </w:rPr>
        <w:t>,</w:t>
      </w:r>
      <w:r w:rsidRPr="00335764">
        <w:rPr>
          <w:rFonts w:cs="Arial"/>
          <w:sz w:val="20"/>
          <w:szCs w:val="20"/>
        </w:rPr>
        <w:t xml:space="preserve"> </w:t>
      </w:r>
      <w:r w:rsidR="009B3CF6" w:rsidRPr="00335764">
        <w:rPr>
          <w:rFonts w:cs="Arial"/>
          <w:sz w:val="20"/>
          <w:szCs w:val="20"/>
        </w:rPr>
        <w:t>before 30 June</w:t>
      </w:r>
      <w:r w:rsidR="001B270C" w:rsidRPr="00335764">
        <w:rPr>
          <w:rFonts w:cs="Arial"/>
          <w:sz w:val="20"/>
          <w:szCs w:val="20"/>
        </w:rPr>
        <w:t xml:space="preserve"> </w:t>
      </w:r>
      <w:r w:rsidRPr="00335764">
        <w:rPr>
          <w:rFonts w:cs="Arial"/>
          <w:sz w:val="20"/>
          <w:szCs w:val="20"/>
        </w:rPr>
        <w:t>202</w:t>
      </w:r>
      <w:r w:rsidR="001B270C" w:rsidRPr="00335764">
        <w:rPr>
          <w:rFonts w:cs="Arial"/>
          <w:sz w:val="20"/>
          <w:szCs w:val="20"/>
        </w:rPr>
        <w:t>3</w:t>
      </w:r>
      <w:r w:rsidRPr="00335764">
        <w:rPr>
          <w:rFonts w:cs="Arial"/>
          <w:sz w:val="20"/>
          <w:szCs w:val="20"/>
        </w:rPr>
        <w:t xml:space="preserve">. </w:t>
      </w:r>
    </w:p>
    <w:p w:rsidR="00CC19B5" w:rsidRPr="00335764" w:rsidRDefault="00CC19B5" w:rsidP="00335764">
      <w:pPr>
        <w:spacing w:line="240" w:lineRule="auto"/>
        <w:ind w:left="862"/>
        <w:jc w:val="left"/>
        <w:rPr>
          <w:rFonts w:cs="Arial"/>
          <w:sz w:val="20"/>
          <w:szCs w:val="20"/>
        </w:rPr>
      </w:pPr>
    </w:p>
    <w:p w:rsidR="001B270C" w:rsidRPr="00335764" w:rsidRDefault="001B270C" w:rsidP="00335764">
      <w:pPr>
        <w:numPr>
          <w:ilvl w:val="1"/>
          <w:numId w:val="1"/>
        </w:numPr>
        <w:spacing w:line="240" w:lineRule="auto"/>
        <w:ind w:hanging="862"/>
        <w:jc w:val="left"/>
        <w:rPr>
          <w:rFonts w:cs="Arial"/>
          <w:sz w:val="20"/>
          <w:szCs w:val="20"/>
        </w:rPr>
      </w:pPr>
      <w:r w:rsidRPr="00335764">
        <w:rPr>
          <w:rFonts w:cs="Arial"/>
          <w:i/>
          <w:sz w:val="20"/>
          <w:szCs w:val="20"/>
        </w:rPr>
        <w:t>National Preventative Mechanism</w:t>
      </w:r>
      <w:r w:rsidRPr="00335764">
        <w:rPr>
          <w:rFonts w:cs="Arial"/>
          <w:sz w:val="20"/>
          <w:szCs w:val="20"/>
        </w:rPr>
        <w:t xml:space="preserve">. The Committee requests a comprehensive report on the progress of the National Preventative Mechanism that includes plans for 2023/24 </w:t>
      </w:r>
      <w:r w:rsidR="00CC19B5" w:rsidRPr="00335764">
        <w:rPr>
          <w:rFonts w:cs="Arial"/>
          <w:sz w:val="20"/>
          <w:szCs w:val="20"/>
        </w:rPr>
        <w:t xml:space="preserve">and an </w:t>
      </w:r>
      <w:r w:rsidRPr="00335764">
        <w:rPr>
          <w:rFonts w:cs="Arial"/>
          <w:sz w:val="20"/>
          <w:szCs w:val="20"/>
        </w:rPr>
        <w:t xml:space="preserve">assessment of the challenges </w:t>
      </w:r>
      <w:r w:rsidR="00CC19B5" w:rsidRPr="00335764">
        <w:rPr>
          <w:rFonts w:cs="Arial"/>
          <w:sz w:val="20"/>
          <w:szCs w:val="20"/>
        </w:rPr>
        <w:t>faced.</w:t>
      </w:r>
    </w:p>
    <w:p w:rsidR="00745FF1" w:rsidRPr="00335764" w:rsidRDefault="00745FF1" w:rsidP="00335764">
      <w:pPr>
        <w:spacing w:line="240" w:lineRule="auto"/>
        <w:jc w:val="left"/>
        <w:rPr>
          <w:rFonts w:cs="Arial"/>
          <w:sz w:val="20"/>
          <w:szCs w:val="20"/>
        </w:rPr>
      </w:pPr>
    </w:p>
    <w:p w:rsidR="005F4C65" w:rsidRPr="00335764" w:rsidRDefault="005F4C65" w:rsidP="00335764">
      <w:pPr>
        <w:spacing w:line="240" w:lineRule="auto"/>
        <w:jc w:val="left"/>
        <w:rPr>
          <w:rFonts w:cs="Arial"/>
          <w:sz w:val="20"/>
          <w:szCs w:val="20"/>
        </w:rPr>
      </w:pPr>
    </w:p>
    <w:p w:rsidR="00745FF1" w:rsidRPr="00335764" w:rsidRDefault="00745FF1" w:rsidP="00335764">
      <w:pPr>
        <w:spacing w:line="240" w:lineRule="auto"/>
        <w:jc w:val="left"/>
        <w:rPr>
          <w:rFonts w:cs="Arial"/>
          <w:bCs/>
          <w:sz w:val="20"/>
          <w:szCs w:val="20"/>
        </w:rPr>
      </w:pPr>
      <w:r w:rsidRPr="00335764">
        <w:rPr>
          <w:rFonts w:cs="Arial"/>
          <w:b/>
          <w:bCs/>
          <w:sz w:val="20"/>
          <w:szCs w:val="20"/>
        </w:rPr>
        <w:t>Information Regulator</w:t>
      </w:r>
    </w:p>
    <w:p w:rsidR="00745FF1" w:rsidRPr="00335764" w:rsidRDefault="00745FF1" w:rsidP="00335764">
      <w:pPr>
        <w:spacing w:line="240" w:lineRule="auto"/>
        <w:jc w:val="left"/>
        <w:rPr>
          <w:rFonts w:cs="Arial"/>
          <w:bCs/>
          <w:sz w:val="20"/>
          <w:szCs w:val="20"/>
        </w:rPr>
      </w:pPr>
    </w:p>
    <w:p w:rsidR="009D4266" w:rsidRPr="00335764" w:rsidRDefault="00745FF1" w:rsidP="00335764">
      <w:pPr>
        <w:numPr>
          <w:ilvl w:val="1"/>
          <w:numId w:val="1"/>
        </w:numPr>
        <w:spacing w:line="240" w:lineRule="auto"/>
        <w:ind w:hanging="862"/>
        <w:jc w:val="left"/>
        <w:rPr>
          <w:rFonts w:cs="Arial"/>
          <w:sz w:val="20"/>
          <w:szCs w:val="20"/>
        </w:rPr>
      </w:pPr>
      <w:r w:rsidRPr="00335764">
        <w:rPr>
          <w:rFonts w:cs="Arial"/>
          <w:i/>
          <w:sz w:val="20"/>
          <w:szCs w:val="20"/>
        </w:rPr>
        <w:t>Data breaches</w:t>
      </w:r>
      <w:r w:rsidRPr="00335764">
        <w:rPr>
          <w:rFonts w:cs="Arial"/>
          <w:sz w:val="20"/>
          <w:szCs w:val="20"/>
        </w:rPr>
        <w:t xml:space="preserve">. The Committee has engaged with the Regulator on </w:t>
      </w:r>
      <w:r w:rsidR="001E3C09" w:rsidRPr="00335764">
        <w:rPr>
          <w:rFonts w:cs="Arial"/>
          <w:sz w:val="20"/>
          <w:szCs w:val="20"/>
        </w:rPr>
        <w:t>several</w:t>
      </w:r>
      <w:r w:rsidRPr="00335764">
        <w:rPr>
          <w:rFonts w:cs="Arial"/>
          <w:sz w:val="20"/>
          <w:szCs w:val="20"/>
        </w:rPr>
        <w:t xml:space="preserve"> occasions concerning various large-scale data b</w:t>
      </w:r>
      <w:r w:rsidR="001B73DD" w:rsidRPr="00335764">
        <w:rPr>
          <w:rFonts w:cs="Arial"/>
          <w:sz w:val="20"/>
          <w:szCs w:val="20"/>
        </w:rPr>
        <w:t>reaches over the past few years</w:t>
      </w:r>
      <w:r w:rsidRPr="00335764">
        <w:rPr>
          <w:rFonts w:cs="Arial"/>
          <w:sz w:val="20"/>
          <w:szCs w:val="20"/>
        </w:rPr>
        <w:t xml:space="preserve">. </w:t>
      </w:r>
      <w:r w:rsidR="00BE2C04" w:rsidRPr="00335764">
        <w:rPr>
          <w:rFonts w:cs="Arial"/>
          <w:sz w:val="20"/>
          <w:szCs w:val="20"/>
        </w:rPr>
        <w:t>The Committee,</w:t>
      </w:r>
      <w:r w:rsidR="001B73DD" w:rsidRPr="00335764">
        <w:rPr>
          <w:rFonts w:cs="Arial"/>
          <w:sz w:val="20"/>
          <w:szCs w:val="20"/>
        </w:rPr>
        <w:t xml:space="preserve"> therefore, welcome</w:t>
      </w:r>
      <w:r w:rsidR="00BE2C04" w:rsidRPr="00335764">
        <w:rPr>
          <w:rFonts w:cs="Arial"/>
          <w:sz w:val="20"/>
          <w:szCs w:val="20"/>
        </w:rPr>
        <w:t>s</w:t>
      </w:r>
      <w:r w:rsidR="001B73DD" w:rsidRPr="00335764">
        <w:rPr>
          <w:rFonts w:cs="Arial"/>
          <w:sz w:val="20"/>
          <w:szCs w:val="20"/>
        </w:rPr>
        <w:t xml:space="preserve"> the Regulator’s establishment of a Security Compromises Unit within the POPIA Division. </w:t>
      </w:r>
      <w:r w:rsidR="00BE2C04" w:rsidRPr="00335764">
        <w:rPr>
          <w:rFonts w:cs="Arial"/>
          <w:sz w:val="20"/>
          <w:szCs w:val="20"/>
        </w:rPr>
        <w:t xml:space="preserve">The Committee is </w:t>
      </w:r>
      <w:r w:rsidR="001B73DD" w:rsidRPr="00335764">
        <w:rPr>
          <w:rFonts w:cs="Arial"/>
          <w:sz w:val="20"/>
          <w:szCs w:val="20"/>
        </w:rPr>
        <w:t>informed that the Regulator is also in the process of issuing a Guidance Note on Security Compromises, which will assist responsible parties in complying with POPIA.</w:t>
      </w:r>
    </w:p>
    <w:p w:rsidR="00745FF1" w:rsidRPr="00335764" w:rsidRDefault="00745FF1" w:rsidP="00335764">
      <w:pPr>
        <w:spacing w:line="240" w:lineRule="auto"/>
        <w:jc w:val="left"/>
        <w:rPr>
          <w:rFonts w:cs="Arial"/>
          <w:sz w:val="20"/>
          <w:szCs w:val="20"/>
        </w:rPr>
      </w:pPr>
    </w:p>
    <w:p w:rsidR="00260A54" w:rsidRPr="00335764" w:rsidRDefault="00260A54" w:rsidP="00335764">
      <w:pPr>
        <w:numPr>
          <w:ilvl w:val="1"/>
          <w:numId w:val="1"/>
        </w:numPr>
        <w:spacing w:line="240" w:lineRule="auto"/>
        <w:ind w:hanging="862"/>
        <w:jc w:val="left"/>
        <w:rPr>
          <w:rFonts w:cs="Arial"/>
          <w:sz w:val="20"/>
          <w:szCs w:val="20"/>
        </w:rPr>
      </w:pPr>
      <w:r w:rsidRPr="00335764">
        <w:rPr>
          <w:rFonts w:cs="Arial"/>
          <w:i/>
          <w:sz w:val="20"/>
          <w:szCs w:val="20"/>
        </w:rPr>
        <w:t xml:space="preserve">Enforcement notices. </w:t>
      </w:r>
    </w:p>
    <w:p w:rsidR="00260A54" w:rsidRPr="00335764" w:rsidRDefault="00260A54" w:rsidP="00335764">
      <w:pPr>
        <w:spacing w:line="240" w:lineRule="auto"/>
        <w:jc w:val="left"/>
        <w:rPr>
          <w:rFonts w:cs="Arial"/>
          <w:sz w:val="20"/>
          <w:szCs w:val="20"/>
        </w:rPr>
      </w:pPr>
    </w:p>
    <w:p w:rsidR="003F5907" w:rsidRPr="00335764" w:rsidRDefault="00FD6550" w:rsidP="00335764">
      <w:pPr>
        <w:pStyle w:val="ListParagraph"/>
        <w:numPr>
          <w:ilvl w:val="2"/>
          <w:numId w:val="1"/>
        </w:numPr>
        <w:shd w:val="clear" w:color="auto" w:fill="FFFFFF" w:themeFill="background1"/>
        <w:spacing w:line="240" w:lineRule="auto"/>
        <w:ind w:hanging="862"/>
        <w:jc w:val="left"/>
        <w:rPr>
          <w:rFonts w:cs="Arial"/>
          <w:sz w:val="20"/>
          <w:szCs w:val="20"/>
        </w:rPr>
      </w:pPr>
      <w:r w:rsidRPr="00335764">
        <w:rPr>
          <w:rFonts w:cs="Arial"/>
          <w:sz w:val="20"/>
          <w:szCs w:val="20"/>
        </w:rPr>
        <w:lastRenderedPageBreak/>
        <w:t xml:space="preserve">The Committee is pleased to see that the Regulator’s work is beginning to gain traction. </w:t>
      </w:r>
      <w:r w:rsidR="00D12D81" w:rsidRPr="00335764">
        <w:rPr>
          <w:rFonts w:cs="Arial"/>
          <w:sz w:val="20"/>
          <w:szCs w:val="20"/>
        </w:rPr>
        <w:t>The Committee</w:t>
      </w:r>
      <w:r w:rsidR="009D4266" w:rsidRPr="00335764">
        <w:rPr>
          <w:rFonts w:cs="Arial"/>
          <w:sz w:val="20"/>
          <w:szCs w:val="20"/>
        </w:rPr>
        <w:t xml:space="preserve"> </w:t>
      </w:r>
      <w:r w:rsidR="001B73DD" w:rsidRPr="00335764">
        <w:rPr>
          <w:rFonts w:cs="Arial"/>
          <w:sz w:val="20"/>
          <w:szCs w:val="20"/>
        </w:rPr>
        <w:t>note</w:t>
      </w:r>
      <w:r w:rsidR="00D12D81" w:rsidRPr="00335764">
        <w:rPr>
          <w:rFonts w:cs="Arial"/>
          <w:sz w:val="20"/>
          <w:szCs w:val="20"/>
        </w:rPr>
        <w:t>s</w:t>
      </w:r>
      <w:r w:rsidR="001B73DD" w:rsidRPr="00335764">
        <w:rPr>
          <w:rFonts w:cs="Arial"/>
          <w:sz w:val="20"/>
          <w:szCs w:val="20"/>
        </w:rPr>
        <w:t xml:space="preserve"> that</w:t>
      </w:r>
      <w:r w:rsidR="00260A54" w:rsidRPr="00335764">
        <w:rPr>
          <w:rFonts w:cs="Arial"/>
          <w:sz w:val="20"/>
          <w:szCs w:val="20"/>
        </w:rPr>
        <w:t>,</w:t>
      </w:r>
      <w:r w:rsidR="001B73DD" w:rsidRPr="00335764">
        <w:rPr>
          <w:rFonts w:cs="Arial"/>
          <w:sz w:val="20"/>
          <w:szCs w:val="20"/>
        </w:rPr>
        <w:t xml:space="preserve"> </w:t>
      </w:r>
      <w:r w:rsidR="00260A54" w:rsidRPr="00335764">
        <w:rPr>
          <w:rFonts w:cs="Arial"/>
          <w:sz w:val="20"/>
          <w:szCs w:val="20"/>
        </w:rPr>
        <w:t xml:space="preserve">on 9 May 2023, the </w:t>
      </w:r>
      <w:r w:rsidR="001B73DD" w:rsidRPr="00335764">
        <w:rPr>
          <w:rFonts w:cs="Arial"/>
          <w:sz w:val="20"/>
          <w:szCs w:val="20"/>
        </w:rPr>
        <w:t>Regulator</w:t>
      </w:r>
      <w:r w:rsidR="003F5907" w:rsidRPr="00335764">
        <w:rPr>
          <w:rFonts w:cs="Arial"/>
          <w:sz w:val="20"/>
          <w:szCs w:val="20"/>
        </w:rPr>
        <w:t xml:space="preserve"> </w:t>
      </w:r>
      <w:r w:rsidR="001B73DD" w:rsidRPr="00335764">
        <w:rPr>
          <w:rFonts w:cs="Arial"/>
          <w:sz w:val="20"/>
          <w:szCs w:val="20"/>
        </w:rPr>
        <w:t>issued an enforcement notice against the Department in which it was determined that the responsible party</w:t>
      </w:r>
      <w:r w:rsidR="00260A54" w:rsidRPr="00335764">
        <w:rPr>
          <w:rFonts w:cs="Arial"/>
          <w:sz w:val="20"/>
          <w:szCs w:val="20"/>
        </w:rPr>
        <w:t>, being the Director-General,</w:t>
      </w:r>
      <w:r w:rsidR="001B73DD" w:rsidRPr="00335764">
        <w:rPr>
          <w:rFonts w:cs="Arial"/>
          <w:sz w:val="20"/>
          <w:szCs w:val="20"/>
        </w:rPr>
        <w:t xml:space="preserve"> has interfered with the protection of personal</w:t>
      </w:r>
      <w:r w:rsidR="003F5907" w:rsidRPr="00335764">
        <w:rPr>
          <w:rFonts w:cs="Arial"/>
          <w:sz w:val="20"/>
          <w:szCs w:val="20"/>
        </w:rPr>
        <w:t xml:space="preserve"> </w:t>
      </w:r>
      <w:r w:rsidR="001B73DD" w:rsidRPr="00335764">
        <w:rPr>
          <w:rFonts w:cs="Arial"/>
          <w:sz w:val="20"/>
          <w:szCs w:val="20"/>
        </w:rPr>
        <w:t>information of data subjects</w:t>
      </w:r>
      <w:r w:rsidR="003F5907" w:rsidRPr="00335764">
        <w:rPr>
          <w:rFonts w:cs="Arial"/>
          <w:sz w:val="20"/>
          <w:szCs w:val="20"/>
        </w:rPr>
        <w:t xml:space="preserve">. </w:t>
      </w:r>
      <w:r w:rsidR="00D12D81" w:rsidRPr="00335764">
        <w:rPr>
          <w:rFonts w:cs="Arial"/>
          <w:sz w:val="20"/>
          <w:szCs w:val="20"/>
        </w:rPr>
        <w:t xml:space="preserve">The Committee also notes </w:t>
      </w:r>
      <w:r w:rsidR="003F5907" w:rsidRPr="00335764">
        <w:rPr>
          <w:rFonts w:cs="Arial"/>
          <w:sz w:val="20"/>
          <w:szCs w:val="20"/>
        </w:rPr>
        <w:t xml:space="preserve">that the Regulator’s assessment of the events surrounding the ransomware attack experienced by the Department in September 2021 reveals that </w:t>
      </w:r>
      <w:r w:rsidR="00260A54" w:rsidRPr="00335764">
        <w:rPr>
          <w:rFonts w:cs="Arial"/>
          <w:sz w:val="20"/>
          <w:szCs w:val="20"/>
        </w:rPr>
        <w:t xml:space="preserve">the </w:t>
      </w:r>
      <w:r w:rsidR="00AC0E68" w:rsidRPr="00335764">
        <w:rPr>
          <w:rFonts w:cs="Arial"/>
          <w:sz w:val="20"/>
          <w:szCs w:val="20"/>
        </w:rPr>
        <w:t xml:space="preserve">attack occurred </w:t>
      </w:r>
      <w:r w:rsidR="001E3C09" w:rsidRPr="00335764">
        <w:rPr>
          <w:rFonts w:cs="Arial"/>
          <w:sz w:val="20"/>
          <w:szCs w:val="20"/>
        </w:rPr>
        <w:t>because of</w:t>
      </w:r>
      <w:r w:rsidR="00AC0E68" w:rsidRPr="00335764">
        <w:rPr>
          <w:rFonts w:cs="Arial"/>
          <w:sz w:val="20"/>
          <w:szCs w:val="20"/>
        </w:rPr>
        <w:t xml:space="preserve"> the </w:t>
      </w:r>
      <w:r w:rsidR="003F5907" w:rsidRPr="00335764">
        <w:rPr>
          <w:rFonts w:cs="Arial"/>
          <w:sz w:val="20"/>
          <w:szCs w:val="20"/>
        </w:rPr>
        <w:t>Department</w:t>
      </w:r>
      <w:r w:rsidR="00AC0E68" w:rsidRPr="00335764">
        <w:rPr>
          <w:rFonts w:cs="Arial"/>
          <w:sz w:val="20"/>
          <w:szCs w:val="20"/>
        </w:rPr>
        <w:t>’s</w:t>
      </w:r>
      <w:r w:rsidR="003F5907" w:rsidRPr="00335764">
        <w:rPr>
          <w:rFonts w:cs="Arial"/>
          <w:sz w:val="20"/>
          <w:szCs w:val="20"/>
        </w:rPr>
        <w:t xml:space="preserve"> fail</w:t>
      </w:r>
      <w:r w:rsidR="00AC0E68" w:rsidRPr="00335764">
        <w:rPr>
          <w:rFonts w:cs="Arial"/>
          <w:sz w:val="20"/>
          <w:szCs w:val="20"/>
        </w:rPr>
        <w:t>ure</w:t>
      </w:r>
      <w:r w:rsidR="003F5907" w:rsidRPr="00335764">
        <w:rPr>
          <w:rFonts w:cs="Arial"/>
          <w:sz w:val="20"/>
          <w:szCs w:val="20"/>
        </w:rPr>
        <w:t xml:space="preserve"> to renew various licences in 2020, specifically:</w:t>
      </w:r>
    </w:p>
    <w:p w:rsidR="003F5907" w:rsidRPr="00335764" w:rsidRDefault="00AC0E68"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T</w:t>
      </w:r>
      <w:r w:rsidR="003F5907" w:rsidRPr="00335764">
        <w:rPr>
          <w:rFonts w:cs="Arial"/>
          <w:sz w:val="20"/>
          <w:szCs w:val="20"/>
          <w:lang w:val="en-ZA"/>
        </w:rPr>
        <w:t>he SIEM licenses, which are required to enable the Department to monitor unusual activity on the network and keep a back-up of the log files. This further resulted in the unavailability of critical information contained within the log files. The Department was unable to keep the backup of these log files due to space limitations on their storage servers.</w:t>
      </w:r>
    </w:p>
    <w:p w:rsidR="003F5907" w:rsidRPr="00335764" w:rsidRDefault="00AC0E68" w:rsidP="00335764">
      <w:pPr>
        <w:numPr>
          <w:ilvl w:val="0"/>
          <w:numId w:val="2"/>
        </w:numPr>
        <w:autoSpaceDE w:val="0"/>
        <w:autoSpaceDN w:val="0"/>
        <w:adjustRightInd w:val="0"/>
        <w:spacing w:line="240" w:lineRule="auto"/>
        <w:ind w:left="1418" w:hanging="567"/>
        <w:jc w:val="left"/>
        <w:rPr>
          <w:rFonts w:cs="Arial"/>
          <w:sz w:val="20"/>
          <w:szCs w:val="20"/>
          <w:lang w:val="en-ZA"/>
        </w:rPr>
      </w:pPr>
      <w:r w:rsidRPr="00335764">
        <w:rPr>
          <w:rFonts w:cs="Arial"/>
          <w:sz w:val="20"/>
          <w:szCs w:val="20"/>
          <w:lang w:val="en-ZA"/>
        </w:rPr>
        <w:t>T</w:t>
      </w:r>
      <w:r w:rsidR="003F5907" w:rsidRPr="00335764">
        <w:rPr>
          <w:rFonts w:cs="Arial"/>
          <w:sz w:val="20"/>
          <w:szCs w:val="20"/>
          <w:lang w:val="en-ZA"/>
        </w:rPr>
        <w:t>he license for the Intrusion Detection System which expired in 2020, which could have alerted relevant personnel of suspicious activity by unauthorised persons accessing the network.</w:t>
      </w:r>
    </w:p>
    <w:p w:rsidR="003F5907" w:rsidRPr="00335764" w:rsidRDefault="00AC0E68" w:rsidP="00335764">
      <w:pPr>
        <w:numPr>
          <w:ilvl w:val="0"/>
          <w:numId w:val="2"/>
        </w:numPr>
        <w:autoSpaceDE w:val="0"/>
        <w:autoSpaceDN w:val="0"/>
        <w:adjustRightInd w:val="0"/>
        <w:spacing w:line="240" w:lineRule="auto"/>
        <w:ind w:left="1418" w:hanging="567"/>
        <w:jc w:val="left"/>
        <w:rPr>
          <w:rFonts w:cs="Arial"/>
          <w:sz w:val="20"/>
          <w:szCs w:val="20"/>
        </w:rPr>
      </w:pPr>
      <w:r w:rsidRPr="00335764">
        <w:rPr>
          <w:rFonts w:cs="Arial"/>
          <w:sz w:val="20"/>
          <w:szCs w:val="20"/>
          <w:lang w:val="en-ZA"/>
        </w:rPr>
        <w:t xml:space="preserve">The licence for </w:t>
      </w:r>
      <w:r w:rsidR="003F5907" w:rsidRPr="00335764">
        <w:rPr>
          <w:rFonts w:cs="Arial"/>
          <w:sz w:val="20"/>
          <w:szCs w:val="20"/>
          <w:lang w:val="en-ZA"/>
        </w:rPr>
        <w:t>Trend Antivirus</w:t>
      </w:r>
      <w:r w:rsidRPr="00335764">
        <w:rPr>
          <w:rFonts w:cs="Arial"/>
          <w:sz w:val="20"/>
          <w:szCs w:val="20"/>
          <w:lang w:val="en-ZA"/>
        </w:rPr>
        <w:t>,</w:t>
      </w:r>
      <w:r w:rsidR="003F5907" w:rsidRPr="00335764">
        <w:rPr>
          <w:rFonts w:cs="Arial"/>
          <w:sz w:val="20"/>
          <w:szCs w:val="20"/>
          <w:lang w:val="en-ZA"/>
        </w:rPr>
        <w:t xml:space="preserve"> which expired in 2020. This failure resulted in the virus definitions</w:t>
      </w:r>
      <w:r w:rsidR="003F5907" w:rsidRPr="00335764">
        <w:rPr>
          <w:rFonts w:cs="Arial"/>
          <w:sz w:val="20"/>
          <w:szCs w:val="20"/>
        </w:rPr>
        <w:t xml:space="preserve"> for known malware threats not being updated.</w:t>
      </w:r>
    </w:p>
    <w:p w:rsidR="00AC0E68" w:rsidRPr="00335764" w:rsidRDefault="00AC0E68" w:rsidP="00335764">
      <w:pPr>
        <w:autoSpaceDE w:val="0"/>
        <w:autoSpaceDN w:val="0"/>
        <w:adjustRightInd w:val="0"/>
        <w:spacing w:line="240" w:lineRule="auto"/>
        <w:ind w:left="1418"/>
        <w:jc w:val="left"/>
        <w:rPr>
          <w:rFonts w:cs="Arial"/>
          <w:sz w:val="20"/>
          <w:szCs w:val="20"/>
        </w:rPr>
      </w:pPr>
    </w:p>
    <w:p w:rsidR="00AC0E68" w:rsidRPr="00335764" w:rsidRDefault="00BE2C04" w:rsidP="00335764">
      <w:pPr>
        <w:pStyle w:val="ListParagraph"/>
        <w:shd w:val="clear" w:color="auto" w:fill="FFFFFF" w:themeFill="background1"/>
        <w:spacing w:line="240" w:lineRule="auto"/>
        <w:ind w:left="862"/>
        <w:jc w:val="left"/>
        <w:rPr>
          <w:rFonts w:cs="Arial"/>
          <w:sz w:val="20"/>
          <w:szCs w:val="20"/>
        </w:rPr>
      </w:pPr>
      <w:r w:rsidRPr="00335764">
        <w:rPr>
          <w:rFonts w:cs="Arial"/>
          <w:sz w:val="20"/>
          <w:szCs w:val="20"/>
        </w:rPr>
        <w:t xml:space="preserve">The Committee </w:t>
      </w:r>
      <w:r w:rsidR="00AC0E68" w:rsidRPr="00335764">
        <w:rPr>
          <w:rFonts w:cs="Arial"/>
          <w:sz w:val="20"/>
          <w:szCs w:val="20"/>
        </w:rPr>
        <w:t>note</w:t>
      </w:r>
      <w:r w:rsidRPr="00335764">
        <w:rPr>
          <w:rFonts w:cs="Arial"/>
          <w:sz w:val="20"/>
          <w:szCs w:val="20"/>
        </w:rPr>
        <w:t>s</w:t>
      </w:r>
      <w:r w:rsidR="00AC0E68" w:rsidRPr="00335764">
        <w:rPr>
          <w:rFonts w:cs="Arial"/>
          <w:sz w:val="20"/>
          <w:szCs w:val="20"/>
        </w:rPr>
        <w:t xml:space="preserve"> that the Regulator has ordered the </w:t>
      </w:r>
      <w:r w:rsidR="00260A54" w:rsidRPr="00335764">
        <w:rPr>
          <w:rFonts w:cs="Arial"/>
          <w:sz w:val="20"/>
          <w:szCs w:val="20"/>
        </w:rPr>
        <w:t xml:space="preserve">Department </w:t>
      </w:r>
      <w:r w:rsidR="00AC0E68" w:rsidRPr="00335764">
        <w:rPr>
          <w:rFonts w:cs="Arial"/>
          <w:sz w:val="20"/>
          <w:szCs w:val="20"/>
        </w:rPr>
        <w:t>to take various steps in respect of the breaches identified</w:t>
      </w:r>
      <w:r w:rsidR="00260A54" w:rsidRPr="00335764">
        <w:rPr>
          <w:rFonts w:cs="Arial"/>
          <w:sz w:val="20"/>
          <w:szCs w:val="20"/>
        </w:rPr>
        <w:t xml:space="preserve"> within 31 days of receiving the notice</w:t>
      </w:r>
      <w:r w:rsidR="00AC0E68" w:rsidRPr="00335764">
        <w:rPr>
          <w:rFonts w:cs="Arial"/>
          <w:sz w:val="20"/>
          <w:szCs w:val="20"/>
        </w:rPr>
        <w:t xml:space="preserve">. </w:t>
      </w:r>
      <w:r w:rsidRPr="00335764">
        <w:rPr>
          <w:rFonts w:cs="Arial"/>
          <w:sz w:val="20"/>
          <w:szCs w:val="20"/>
        </w:rPr>
        <w:t xml:space="preserve">The Committee also notes </w:t>
      </w:r>
      <w:r w:rsidR="00AC0E68" w:rsidRPr="00335764">
        <w:rPr>
          <w:rFonts w:cs="Arial"/>
          <w:sz w:val="20"/>
          <w:szCs w:val="20"/>
        </w:rPr>
        <w:t>that the failure to do so is an offence and</w:t>
      </w:r>
      <w:r w:rsidR="00260A54" w:rsidRPr="00335764">
        <w:rPr>
          <w:rFonts w:cs="Arial"/>
          <w:sz w:val="20"/>
          <w:szCs w:val="20"/>
        </w:rPr>
        <w:t>,</w:t>
      </w:r>
      <w:r w:rsidR="00AC0E68" w:rsidRPr="00335764">
        <w:rPr>
          <w:rFonts w:cs="Arial"/>
          <w:sz w:val="20"/>
          <w:szCs w:val="20"/>
        </w:rPr>
        <w:t xml:space="preserve"> </w:t>
      </w:r>
      <w:r w:rsidR="00260A54" w:rsidRPr="00335764">
        <w:rPr>
          <w:rFonts w:cs="Arial"/>
          <w:sz w:val="20"/>
          <w:szCs w:val="20"/>
        </w:rPr>
        <w:t>up</w:t>
      </w:r>
      <w:r w:rsidR="00AC0E68" w:rsidRPr="00335764">
        <w:rPr>
          <w:rFonts w:cs="Arial"/>
          <w:sz w:val="20"/>
          <w:szCs w:val="20"/>
        </w:rPr>
        <w:t xml:space="preserve">on conviction, the Responsible </w:t>
      </w:r>
      <w:r w:rsidR="00260A54" w:rsidRPr="00335764">
        <w:rPr>
          <w:rFonts w:cs="Arial"/>
          <w:sz w:val="20"/>
          <w:szCs w:val="20"/>
        </w:rPr>
        <w:t>P</w:t>
      </w:r>
      <w:r w:rsidR="00AC0E68" w:rsidRPr="00335764">
        <w:rPr>
          <w:rFonts w:cs="Arial"/>
          <w:sz w:val="20"/>
          <w:szCs w:val="20"/>
        </w:rPr>
        <w:t>arty is liable to fine or to imprisonment for a period not exceeding ten (10) years or to both such a fine and such imprisonment.</w:t>
      </w:r>
    </w:p>
    <w:p w:rsidR="00AC0E68" w:rsidRPr="00335764" w:rsidRDefault="00AC0E68" w:rsidP="00335764">
      <w:pPr>
        <w:spacing w:line="240" w:lineRule="auto"/>
        <w:ind w:left="720"/>
        <w:jc w:val="left"/>
        <w:rPr>
          <w:rFonts w:cs="Arial"/>
          <w:sz w:val="20"/>
          <w:szCs w:val="20"/>
        </w:rPr>
      </w:pPr>
    </w:p>
    <w:p w:rsidR="00AC0E68" w:rsidRPr="00335764" w:rsidRDefault="00BE2C04" w:rsidP="00335764">
      <w:pPr>
        <w:pStyle w:val="ListParagraph"/>
        <w:numPr>
          <w:ilvl w:val="2"/>
          <w:numId w:val="1"/>
        </w:numPr>
        <w:shd w:val="clear" w:color="auto" w:fill="FFFFFF" w:themeFill="background1"/>
        <w:spacing w:line="240" w:lineRule="auto"/>
        <w:ind w:hanging="862"/>
        <w:jc w:val="left"/>
        <w:rPr>
          <w:rFonts w:cs="Arial"/>
          <w:sz w:val="20"/>
          <w:szCs w:val="20"/>
        </w:rPr>
      </w:pPr>
      <w:r w:rsidRPr="00335764">
        <w:rPr>
          <w:rFonts w:cs="Arial"/>
          <w:sz w:val="20"/>
          <w:szCs w:val="20"/>
        </w:rPr>
        <w:t xml:space="preserve">The Committee is </w:t>
      </w:r>
      <w:r w:rsidR="00FD6550" w:rsidRPr="00335764">
        <w:rPr>
          <w:rFonts w:cs="Arial"/>
          <w:sz w:val="20"/>
          <w:szCs w:val="20"/>
        </w:rPr>
        <w:t>pleased to note that, in response to the Regulator’s determination, the National Commissioner, on behalf of SAPS, issued a public apology on 3 May 2023</w:t>
      </w:r>
      <w:r w:rsidR="00AC0E68" w:rsidRPr="00335764">
        <w:rPr>
          <w:rFonts w:cs="Arial"/>
          <w:sz w:val="20"/>
          <w:szCs w:val="20"/>
        </w:rPr>
        <w:t xml:space="preserve"> for violating several provisions of the (POPIA) by distributing personal information of the Krugersdorp gang rape victims. The Regulator ordered that the SAPS publish an apology to the victims within 31 days in major national weekly newspapers and social media platforms, such as</w:t>
      </w:r>
      <w:r w:rsidR="00260A54" w:rsidRPr="00335764">
        <w:rPr>
          <w:rFonts w:cs="Arial"/>
          <w:sz w:val="20"/>
          <w:szCs w:val="20"/>
        </w:rPr>
        <w:t xml:space="preserve"> Facebook and Twitter, for the </w:t>
      </w:r>
      <w:r w:rsidR="00AC0E68" w:rsidRPr="00335764">
        <w:rPr>
          <w:rFonts w:cs="Arial"/>
          <w:sz w:val="20"/>
          <w:szCs w:val="20"/>
        </w:rPr>
        <w:t xml:space="preserve">unlawful processing of the personal information. It further ordered SAPS to include training on POPIA in all its programmes. </w:t>
      </w:r>
    </w:p>
    <w:p w:rsidR="00AC0E68" w:rsidRPr="00335764" w:rsidRDefault="00AC0E68" w:rsidP="00335764">
      <w:pPr>
        <w:spacing w:line="240" w:lineRule="auto"/>
        <w:jc w:val="left"/>
        <w:rPr>
          <w:rFonts w:cs="Arial"/>
          <w:sz w:val="20"/>
          <w:szCs w:val="20"/>
        </w:rPr>
      </w:pPr>
    </w:p>
    <w:p w:rsidR="00745FF1" w:rsidRPr="00335764" w:rsidRDefault="00745FF1" w:rsidP="00335764">
      <w:pPr>
        <w:pStyle w:val="ListParagraph"/>
        <w:numPr>
          <w:ilvl w:val="2"/>
          <w:numId w:val="1"/>
        </w:numPr>
        <w:shd w:val="clear" w:color="auto" w:fill="FFFFFF" w:themeFill="background1"/>
        <w:spacing w:line="240" w:lineRule="auto"/>
        <w:ind w:hanging="862"/>
        <w:jc w:val="left"/>
        <w:rPr>
          <w:rFonts w:cs="Arial"/>
          <w:sz w:val="20"/>
          <w:szCs w:val="20"/>
        </w:rPr>
      </w:pPr>
      <w:r w:rsidRPr="00335764">
        <w:rPr>
          <w:rFonts w:cs="Arial"/>
          <w:i/>
          <w:sz w:val="20"/>
          <w:szCs w:val="20"/>
        </w:rPr>
        <w:t>Legal status</w:t>
      </w:r>
      <w:r w:rsidRPr="00335764">
        <w:rPr>
          <w:rFonts w:cs="Arial"/>
          <w:sz w:val="20"/>
          <w:szCs w:val="20"/>
        </w:rPr>
        <w:t xml:space="preserve">. </w:t>
      </w:r>
      <w:r w:rsidR="00BE2C04" w:rsidRPr="00335764">
        <w:rPr>
          <w:rFonts w:cs="Arial"/>
          <w:sz w:val="20"/>
          <w:szCs w:val="20"/>
        </w:rPr>
        <w:t xml:space="preserve">The Committee has </w:t>
      </w:r>
      <w:r w:rsidRPr="00335764">
        <w:rPr>
          <w:rFonts w:cs="Arial"/>
          <w:sz w:val="20"/>
          <w:szCs w:val="20"/>
        </w:rPr>
        <w:t>previously identified the urgent need to resolve the issue of the Regulator’s listing in terms of the Public Finance Management Act, 1999</w:t>
      </w:r>
      <w:r w:rsidR="005E6929" w:rsidRPr="00335764">
        <w:rPr>
          <w:rFonts w:cs="Arial"/>
          <w:sz w:val="20"/>
          <w:szCs w:val="20"/>
        </w:rPr>
        <w:t xml:space="preserve"> </w:t>
      </w:r>
      <w:r w:rsidRPr="00335764">
        <w:rPr>
          <w:rFonts w:cs="Arial"/>
          <w:sz w:val="20"/>
          <w:szCs w:val="20"/>
        </w:rPr>
        <w:t>to allow the Regulator to properly separate from the Department. Until th</w:t>
      </w:r>
      <w:r w:rsidR="005E6929" w:rsidRPr="00335764">
        <w:rPr>
          <w:rFonts w:cs="Arial"/>
          <w:sz w:val="20"/>
          <w:szCs w:val="20"/>
        </w:rPr>
        <w:t xml:space="preserve">is matter </w:t>
      </w:r>
      <w:r w:rsidRPr="00335764">
        <w:rPr>
          <w:rFonts w:cs="Arial"/>
          <w:sz w:val="20"/>
          <w:szCs w:val="20"/>
        </w:rPr>
        <w:t xml:space="preserve">is resolved, the Regulator essentially operates as a ‘regional office’ of the Department of Justice, which is not acceptable. </w:t>
      </w:r>
    </w:p>
    <w:p w:rsidR="00745FF1" w:rsidRPr="00335764" w:rsidRDefault="00745FF1" w:rsidP="00335764">
      <w:pPr>
        <w:spacing w:line="240" w:lineRule="auto"/>
        <w:jc w:val="left"/>
        <w:rPr>
          <w:rFonts w:cs="Arial"/>
          <w:sz w:val="20"/>
          <w:szCs w:val="20"/>
        </w:rPr>
      </w:pPr>
    </w:p>
    <w:p w:rsidR="00745FF1" w:rsidRPr="00335764" w:rsidRDefault="00745FF1" w:rsidP="00335764">
      <w:pPr>
        <w:spacing w:line="240" w:lineRule="auto"/>
        <w:jc w:val="left"/>
        <w:rPr>
          <w:rFonts w:cs="Arial"/>
          <w:b/>
          <w:sz w:val="20"/>
          <w:szCs w:val="20"/>
        </w:rPr>
      </w:pPr>
    </w:p>
    <w:p w:rsidR="00745FF1" w:rsidRPr="00335764" w:rsidRDefault="00CC13E7" w:rsidP="00335764">
      <w:pPr>
        <w:numPr>
          <w:ilvl w:val="0"/>
          <w:numId w:val="1"/>
        </w:numPr>
        <w:tabs>
          <w:tab w:val="clear" w:pos="375"/>
          <w:tab w:val="num" w:pos="851"/>
        </w:tabs>
        <w:autoSpaceDE w:val="0"/>
        <w:autoSpaceDN w:val="0"/>
        <w:adjustRightInd w:val="0"/>
        <w:spacing w:line="240" w:lineRule="auto"/>
        <w:ind w:left="851" w:hanging="851"/>
        <w:jc w:val="left"/>
        <w:rPr>
          <w:rFonts w:cs="Arial"/>
          <w:b/>
          <w:sz w:val="20"/>
          <w:szCs w:val="20"/>
        </w:rPr>
      </w:pPr>
      <w:r w:rsidRPr="00335764">
        <w:rPr>
          <w:rFonts w:cs="Arial"/>
          <w:b/>
          <w:sz w:val="20"/>
          <w:szCs w:val="20"/>
        </w:rPr>
        <w:t>Recommendation</w:t>
      </w:r>
    </w:p>
    <w:p w:rsidR="00745FF1" w:rsidRPr="00335764" w:rsidRDefault="00745FF1" w:rsidP="00335764">
      <w:pPr>
        <w:spacing w:line="240" w:lineRule="auto"/>
        <w:jc w:val="left"/>
        <w:rPr>
          <w:rFonts w:cs="Arial"/>
          <w:b/>
          <w:sz w:val="20"/>
          <w:szCs w:val="20"/>
        </w:rPr>
      </w:pPr>
    </w:p>
    <w:p w:rsidR="00745FF1" w:rsidRPr="00335764" w:rsidRDefault="00745FF1" w:rsidP="00335764">
      <w:pPr>
        <w:numPr>
          <w:ilvl w:val="1"/>
          <w:numId w:val="1"/>
        </w:numPr>
        <w:spacing w:line="240" w:lineRule="auto"/>
        <w:ind w:hanging="862"/>
        <w:jc w:val="left"/>
        <w:rPr>
          <w:rFonts w:cs="Arial"/>
          <w:sz w:val="20"/>
          <w:szCs w:val="20"/>
        </w:rPr>
      </w:pPr>
      <w:r w:rsidRPr="00335764">
        <w:rPr>
          <w:rFonts w:cs="Arial"/>
          <w:sz w:val="20"/>
          <w:szCs w:val="20"/>
        </w:rPr>
        <w:t>The Committee, having considered t</w:t>
      </w:r>
      <w:r w:rsidR="005F4C65" w:rsidRPr="00335764">
        <w:rPr>
          <w:rFonts w:cs="Arial"/>
          <w:sz w:val="20"/>
          <w:szCs w:val="20"/>
        </w:rPr>
        <w:t>he Annual Performance Plans 2023</w:t>
      </w:r>
      <w:r w:rsidRPr="00335764">
        <w:rPr>
          <w:rFonts w:cs="Arial"/>
          <w:sz w:val="20"/>
          <w:szCs w:val="20"/>
        </w:rPr>
        <w:t>/2</w:t>
      </w:r>
      <w:r w:rsidR="005F4C65" w:rsidRPr="00335764">
        <w:rPr>
          <w:rFonts w:cs="Arial"/>
          <w:sz w:val="20"/>
          <w:szCs w:val="20"/>
        </w:rPr>
        <w:t>4</w:t>
      </w:r>
      <w:r w:rsidRPr="00335764">
        <w:rPr>
          <w:rFonts w:cs="Arial"/>
          <w:sz w:val="20"/>
          <w:szCs w:val="20"/>
        </w:rPr>
        <w:t xml:space="preserve"> of the Department of Justice and Constitutional Development, NPA, Legal Aid SA, SIU, Public Protector SA, SAHRC</w:t>
      </w:r>
      <w:r w:rsidR="003E47AF" w:rsidRPr="00335764">
        <w:rPr>
          <w:rFonts w:cs="Arial"/>
          <w:sz w:val="20"/>
          <w:szCs w:val="20"/>
        </w:rPr>
        <w:t>, and the</w:t>
      </w:r>
      <w:r w:rsidRPr="00335764">
        <w:rPr>
          <w:rFonts w:cs="Arial"/>
          <w:sz w:val="20"/>
          <w:szCs w:val="20"/>
        </w:rPr>
        <w:t xml:space="preserve"> Information Regulator, recommends that they be approved.</w:t>
      </w:r>
    </w:p>
    <w:p w:rsidR="00745FF1" w:rsidRPr="00335764" w:rsidRDefault="00745FF1" w:rsidP="00335764">
      <w:pPr>
        <w:spacing w:line="240" w:lineRule="auto"/>
        <w:jc w:val="left"/>
        <w:rPr>
          <w:rFonts w:cs="Arial"/>
          <w:sz w:val="20"/>
          <w:szCs w:val="20"/>
        </w:rPr>
      </w:pPr>
    </w:p>
    <w:p w:rsidR="00745FF1" w:rsidRPr="00335764" w:rsidRDefault="00745FF1" w:rsidP="00335764">
      <w:pPr>
        <w:numPr>
          <w:ilvl w:val="1"/>
          <w:numId w:val="1"/>
        </w:numPr>
        <w:spacing w:line="240" w:lineRule="auto"/>
        <w:ind w:hanging="862"/>
        <w:jc w:val="left"/>
        <w:rPr>
          <w:rFonts w:cs="Arial"/>
          <w:sz w:val="20"/>
          <w:szCs w:val="20"/>
        </w:rPr>
      </w:pPr>
      <w:r w:rsidRPr="00335764">
        <w:rPr>
          <w:rFonts w:cs="Arial"/>
          <w:sz w:val="20"/>
          <w:szCs w:val="20"/>
        </w:rPr>
        <w:t>The Committee, having considered the Budget Vote 25: Justice and Constitutional Development, supports it, and recommends that it be approved.</w:t>
      </w:r>
    </w:p>
    <w:p w:rsidR="00745FF1" w:rsidRPr="00335764" w:rsidRDefault="00745FF1" w:rsidP="00335764">
      <w:pPr>
        <w:spacing w:line="240" w:lineRule="auto"/>
        <w:jc w:val="left"/>
        <w:rPr>
          <w:rFonts w:cs="Arial"/>
          <w:sz w:val="20"/>
          <w:szCs w:val="20"/>
        </w:rPr>
      </w:pPr>
    </w:p>
    <w:p w:rsidR="00CC13E7" w:rsidRPr="00335764" w:rsidRDefault="00CC13E7" w:rsidP="00335764">
      <w:pPr>
        <w:numPr>
          <w:ilvl w:val="0"/>
          <w:numId w:val="1"/>
        </w:numPr>
        <w:tabs>
          <w:tab w:val="clear" w:pos="375"/>
          <w:tab w:val="num" w:pos="851"/>
        </w:tabs>
        <w:autoSpaceDE w:val="0"/>
        <w:autoSpaceDN w:val="0"/>
        <w:adjustRightInd w:val="0"/>
        <w:spacing w:line="240" w:lineRule="auto"/>
        <w:ind w:left="851" w:hanging="851"/>
        <w:jc w:val="left"/>
        <w:rPr>
          <w:rFonts w:cs="Arial"/>
          <w:b/>
          <w:sz w:val="20"/>
          <w:szCs w:val="20"/>
        </w:rPr>
      </w:pPr>
      <w:r w:rsidRPr="00335764">
        <w:rPr>
          <w:rFonts w:cs="Arial"/>
          <w:b/>
          <w:sz w:val="20"/>
          <w:szCs w:val="20"/>
        </w:rPr>
        <w:t>Appreciation</w:t>
      </w:r>
    </w:p>
    <w:p w:rsidR="00CC13E7" w:rsidRPr="00335764" w:rsidRDefault="00CC13E7" w:rsidP="00335764">
      <w:pPr>
        <w:spacing w:line="240" w:lineRule="auto"/>
        <w:jc w:val="left"/>
        <w:rPr>
          <w:rFonts w:cs="Arial"/>
          <w:b/>
          <w:sz w:val="20"/>
          <w:szCs w:val="20"/>
        </w:rPr>
      </w:pPr>
    </w:p>
    <w:p w:rsidR="00CC13E7" w:rsidRPr="00335764" w:rsidRDefault="00CC13E7" w:rsidP="00335764">
      <w:pPr>
        <w:numPr>
          <w:ilvl w:val="1"/>
          <w:numId w:val="1"/>
        </w:numPr>
        <w:spacing w:line="240" w:lineRule="auto"/>
        <w:ind w:hanging="862"/>
        <w:jc w:val="left"/>
        <w:rPr>
          <w:rFonts w:cs="Arial"/>
          <w:sz w:val="20"/>
          <w:szCs w:val="20"/>
        </w:rPr>
      </w:pPr>
      <w:r w:rsidRPr="00335764">
        <w:rPr>
          <w:rFonts w:cs="Arial"/>
          <w:sz w:val="20"/>
          <w:szCs w:val="20"/>
        </w:rPr>
        <w:t>The Committee wishes to thank the following for their co-operation and assistance in this process:</w:t>
      </w:r>
    </w:p>
    <w:p w:rsidR="00CC13E7" w:rsidRPr="00335764" w:rsidRDefault="00CC13E7" w:rsidP="00335764">
      <w:pPr>
        <w:numPr>
          <w:ilvl w:val="1"/>
          <w:numId w:val="7"/>
        </w:numPr>
        <w:tabs>
          <w:tab w:val="clear" w:pos="720"/>
          <w:tab w:val="num" w:pos="1418"/>
        </w:tabs>
        <w:spacing w:line="240" w:lineRule="auto"/>
        <w:ind w:left="1418" w:hanging="567"/>
        <w:jc w:val="left"/>
        <w:rPr>
          <w:rFonts w:cs="Arial"/>
          <w:sz w:val="20"/>
          <w:szCs w:val="20"/>
        </w:rPr>
      </w:pPr>
      <w:r w:rsidRPr="00335764">
        <w:rPr>
          <w:rFonts w:cs="Arial"/>
          <w:sz w:val="20"/>
          <w:szCs w:val="20"/>
        </w:rPr>
        <w:t xml:space="preserve">The Minister and the </w:t>
      </w:r>
      <w:r w:rsidR="00FD6550" w:rsidRPr="00335764">
        <w:rPr>
          <w:rFonts w:cs="Arial"/>
          <w:sz w:val="20"/>
          <w:szCs w:val="20"/>
        </w:rPr>
        <w:t>Deputy Minister</w:t>
      </w:r>
      <w:r w:rsidRPr="00335764">
        <w:rPr>
          <w:rFonts w:cs="Arial"/>
          <w:sz w:val="20"/>
          <w:szCs w:val="20"/>
        </w:rPr>
        <w:t>.</w:t>
      </w:r>
    </w:p>
    <w:p w:rsidR="00CC13E7" w:rsidRPr="00335764" w:rsidRDefault="00CC13E7" w:rsidP="00335764">
      <w:pPr>
        <w:numPr>
          <w:ilvl w:val="1"/>
          <w:numId w:val="7"/>
        </w:numPr>
        <w:tabs>
          <w:tab w:val="clear" w:pos="720"/>
          <w:tab w:val="num" w:pos="1418"/>
        </w:tabs>
        <w:spacing w:line="240" w:lineRule="auto"/>
        <w:ind w:left="1418" w:hanging="567"/>
        <w:jc w:val="left"/>
        <w:rPr>
          <w:rFonts w:cs="Arial"/>
          <w:sz w:val="20"/>
          <w:szCs w:val="20"/>
        </w:rPr>
      </w:pPr>
      <w:r w:rsidRPr="00335764">
        <w:rPr>
          <w:rFonts w:cs="Arial"/>
          <w:sz w:val="20"/>
          <w:szCs w:val="20"/>
        </w:rPr>
        <w:t>The Director General and Department</w:t>
      </w:r>
      <w:r w:rsidR="00FD6550" w:rsidRPr="00335764">
        <w:rPr>
          <w:rFonts w:cs="Arial"/>
          <w:sz w:val="20"/>
          <w:szCs w:val="20"/>
        </w:rPr>
        <w:t>’</w:t>
      </w:r>
      <w:r w:rsidRPr="00335764">
        <w:rPr>
          <w:rFonts w:cs="Arial"/>
          <w:sz w:val="20"/>
          <w:szCs w:val="20"/>
        </w:rPr>
        <w:t xml:space="preserve"> officials. </w:t>
      </w:r>
    </w:p>
    <w:p w:rsidR="00CC13E7" w:rsidRPr="00335764" w:rsidRDefault="00CC13E7" w:rsidP="00335764">
      <w:pPr>
        <w:numPr>
          <w:ilvl w:val="1"/>
          <w:numId w:val="7"/>
        </w:numPr>
        <w:tabs>
          <w:tab w:val="clear" w:pos="720"/>
          <w:tab w:val="num" w:pos="1418"/>
        </w:tabs>
        <w:spacing w:line="240" w:lineRule="auto"/>
        <w:ind w:left="1418" w:hanging="567"/>
        <w:jc w:val="left"/>
        <w:rPr>
          <w:rFonts w:cs="Arial"/>
          <w:sz w:val="20"/>
          <w:szCs w:val="20"/>
        </w:rPr>
      </w:pPr>
      <w:r w:rsidRPr="00335764">
        <w:rPr>
          <w:rFonts w:cs="Arial"/>
          <w:sz w:val="20"/>
          <w:szCs w:val="20"/>
        </w:rPr>
        <w:t xml:space="preserve">The National Director of Public Prosecutions and NPA officials. </w:t>
      </w:r>
    </w:p>
    <w:p w:rsidR="00CC13E7" w:rsidRPr="00335764" w:rsidRDefault="00CC13E7" w:rsidP="00335764">
      <w:pPr>
        <w:numPr>
          <w:ilvl w:val="1"/>
          <w:numId w:val="7"/>
        </w:numPr>
        <w:tabs>
          <w:tab w:val="clear" w:pos="720"/>
          <w:tab w:val="num" w:pos="1418"/>
        </w:tabs>
        <w:spacing w:line="240" w:lineRule="auto"/>
        <w:ind w:left="1418" w:hanging="567"/>
        <w:jc w:val="left"/>
        <w:rPr>
          <w:rFonts w:cs="Arial"/>
          <w:b/>
          <w:sz w:val="20"/>
          <w:szCs w:val="20"/>
        </w:rPr>
      </w:pPr>
      <w:r w:rsidRPr="00335764">
        <w:rPr>
          <w:rFonts w:cs="Arial"/>
          <w:sz w:val="20"/>
          <w:szCs w:val="20"/>
        </w:rPr>
        <w:t xml:space="preserve">The </w:t>
      </w:r>
      <w:r w:rsidR="005F4C65" w:rsidRPr="00335764">
        <w:rPr>
          <w:rFonts w:cs="Arial"/>
          <w:sz w:val="20"/>
          <w:szCs w:val="20"/>
        </w:rPr>
        <w:t>Acting</w:t>
      </w:r>
      <w:r w:rsidRPr="00335764">
        <w:rPr>
          <w:rFonts w:cs="Arial"/>
          <w:sz w:val="20"/>
          <w:szCs w:val="20"/>
        </w:rPr>
        <w:t xml:space="preserve"> Public Protector; the Chairperson and the Commissioners of the South African Human Rights Commission; the Chairperson and Members of the Board of </w:t>
      </w:r>
      <w:r w:rsidRPr="00335764">
        <w:rPr>
          <w:rFonts w:cs="Arial"/>
          <w:sz w:val="20"/>
          <w:szCs w:val="20"/>
        </w:rPr>
        <w:lastRenderedPageBreak/>
        <w:t>Legal Aid South Africa; and the Head of the Special Investigating Unit, the Chairperson and Members of the Information Regulator, as well as all respective staff members</w:t>
      </w:r>
      <w:r w:rsidRPr="00335764">
        <w:rPr>
          <w:rFonts w:cs="Arial"/>
          <w:b/>
          <w:sz w:val="20"/>
          <w:szCs w:val="20"/>
        </w:rPr>
        <w:t>.</w:t>
      </w:r>
    </w:p>
    <w:p w:rsidR="009B3CF6" w:rsidRPr="00335764" w:rsidRDefault="009B3CF6" w:rsidP="00335764">
      <w:pPr>
        <w:spacing w:line="240" w:lineRule="auto"/>
        <w:ind w:left="862"/>
        <w:jc w:val="left"/>
        <w:rPr>
          <w:rFonts w:cs="Arial"/>
          <w:sz w:val="20"/>
          <w:szCs w:val="20"/>
        </w:rPr>
      </w:pPr>
    </w:p>
    <w:p w:rsidR="00745FF1" w:rsidRPr="00335764" w:rsidRDefault="00745FF1" w:rsidP="00335764">
      <w:pPr>
        <w:spacing w:line="240" w:lineRule="auto"/>
        <w:jc w:val="left"/>
        <w:rPr>
          <w:rFonts w:cs="Arial"/>
          <w:b/>
          <w:sz w:val="20"/>
          <w:szCs w:val="20"/>
        </w:rPr>
      </w:pPr>
      <w:r w:rsidRPr="00335764">
        <w:rPr>
          <w:rFonts w:cs="Arial"/>
          <w:b/>
          <w:sz w:val="20"/>
          <w:szCs w:val="20"/>
        </w:rPr>
        <w:t>Report to be considered</w:t>
      </w:r>
    </w:p>
    <w:p w:rsidR="000B54E6" w:rsidRPr="00335764" w:rsidRDefault="000B54E6" w:rsidP="00335764">
      <w:pPr>
        <w:autoSpaceDE w:val="0"/>
        <w:autoSpaceDN w:val="0"/>
        <w:adjustRightInd w:val="0"/>
        <w:spacing w:line="240" w:lineRule="auto"/>
        <w:jc w:val="left"/>
        <w:rPr>
          <w:rFonts w:cs="Arial"/>
          <w:b/>
          <w:sz w:val="20"/>
          <w:szCs w:val="20"/>
        </w:rPr>
      </w:pPr>
    </w:p>
    <w:sectPr w:rsidR="000B54E6" w:rsidRPr="00335764" w:rsidSect="00CB181B">
      <w:footerReference w:type="even" r:id="rId8"/>
      <w:footerReference w:type="default" r:id="rId9"/>
      <w:pgSz w:w="11906" w:h="16838"/>
      <w:pgMar w:top="1440" w:right="1247" w:bottom="144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915" w:rsidRDefault="00491915">
      <w:r>
        <w:separator/>
      </w:r>
    </w:p>
  </w:endnote>
  <w:endnote w:type="continuationSeparator" w:id="0">
    <w:p w:rsidR="00491915" w:rsidRDefault="004919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78" w:rsidRDefault="000532A5" w:rsidP="00FB52FA">
    <w:pPr>
      <w:pStyle w:val="Footer"/>
      <w:framePr w:wrap="around" w:vAnchor="text" w:hAnchor="margin" w:xAlign="right" w:y="1"/>
      <w:rPr>
        <w:rStyle w:val="PageNumber"/>
      </w:rPr>
    </w:pPr>
    <w:r>
      <w:rPr>
        <w:rStyle w:val="PageNumber"/>
      </w:rPr>
      <w:fldChar w:fldCharType="begin"/>
    </w:r>
    <w:r w:rsidR="00254E78">
      <w:rPr>
        <w:rStyle w:val="PageNumber"/>
      </w:rPr>
      <w:instrText xml:space="preserve">PAGE  </w:instrText>
    </w:r>
    <w:r>
      <w:rPr>
        <w:rStyle w:val="PageNumber"/>
      </w:rPr>
      <w:fldChar w:fldCharType="end"/>
    </w:r>
  </w:p>
  <w:p w:rsidR="00254E78" w:rsidRDefault="00254E78" w:rsidP="004E0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78" w:rsidRDefault="000532A5">
    <w:pPr>
      <w:pStyle w:val="Footer"/>
      <w:jc w:val="right"/>
    </w:pPr>
    <w:r>
      <w:fldChar w:fldCharType="begin"/>
    </w:r>
    <w:r w:rsidR="00254E78">
      <w:instrText xml:space="preserve"> PAGE   \* MERGEFORMAT </w:instrText>
    </w:r>
    <w:r>
      <w:fldChar w:fldCharType="separate"/>
    </w:r>
    <w:r w:rsidR="00335764">
      <w:rPr>
        <w:noProof/>
      </w:rPr>
      <w:t>1</w:t>
    </w:r>
    <w:r>
      <w:fldChar w:fldCharType="end"/>
    </w:r>
  </w:p>
  <w:p w:rsidR="00254E78" w:rsidRDefault="00254E78" w:rsidP="004E0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915" w:rsidRDefault="00491915">
      <w:r>
        <w:separator/>
      </w:r>
    </w:p>
  </w:footnote>
  <w:footnote w:type="continuationSeparator" w:id="0">
    <w:p w:rsidR="00491915" w:rsidRDefault="00491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2CF9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F772F8"/>
    <w:multiLevelType w:val="hybridMultilevel"/>
    <w:tmpl w:val="E0060B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B323A15"/>
    <w:multiLevelType w:val="hybridMultilevel"/>
    <w:tmpl w:val="85C447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DBD32B1"/>
    <w:multiLevelType w:val="multilevel"/>
    <w:tmpl w:val="0AE65D10"/>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862"/>
        </w:tabs>
        <w:ind w:left="862" w:hanging="720"/>
      </w:pPr>
      <w:rPr>
        <w:rFonts w:ascii="Times New Roman" w:hAnsi="Times New Roman" w:cs="Times New Roman" w:hint="default"/>
        <w:b w:val="0"/>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341DA7"/>
    <w:multiLevelType w:val="multilevel"/>
    <w:tmpl w:val="90360664"/>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b w:val="0"/>
        <w:bCs w:val="0"/>
        <w:i w:val="0"/>
        <w:iCs w:val="0"/>
        <w:caps w:val="0"/>
        <w:smallCaps w:val="0"/>
        <w:strike w:val="0"/>
        <w:dstrike w:val="0"/>
        <w:color w:val="000000"/>
        <w:spacing w:val="0"/>
        <w:w w:val="100"/>
        <w:kern w:val="0"/>
        <w:position w:val="0"/>
        <w:sz w:val="22"/>
        <w:u w:val="none"/>
        <w:effect w:val="none"/>
        <w:bdr w:val="none" w:sz="0" w:space="0" w:color="auto"/>
        <w:shd w:val="clear" w:color="auto" w:fill="auto"/>
        <w:em w:val="none"/>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6A5995"/>
    <w:multiLevelType w:val="hybridMultilevel"/>
    <w:tmpl w:val="94A887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C842D5F"/>
    <w:multiLevelType w:val="hybridMultilevel"/>
    <w:tmpl w:val="C15C5AB0"/>
    <w:lvl w:ilvl="0" w:tplc="AA28760C">
      <w:start w:val="1"/>
      <w:numFmt w:val="bullet"/>
      <w:lvlText w:val="•"/>
      <w:lvlJc w:val="left"/>
      <w:pPr>
        <w:tabs>
          <w:tab w:val="num" w:pos="720"/>
        </w:tabs>
        <w:ind w:left="720" w:hanging="360"/>
      </w:pPr>
      <w:rPr>
        <w:rFonts w:ascii="Arial" w:hAnsi="Arial" w:hint="default"/>
      </w:rPr>
    </w:lvl>
    <w:lvl w:ilvl="1" w:tplc="0E38B642" w:tentative="1">
      <w:start w:val="1"/>
      <w:numFmt w:val="bullet"/>
      <w:lvlText w:val="•"/>
      <w:lvlJc w:val="left"/>
      <w:pPr>
        <w:tabs>
          <w:tab w:val="num" w:pos="1440"/>
        </w:tabs>
        <w:ind w:left="1440" w:hanging="360"/>
      </w:pPr>
      <w:rPr>
        <w:rFonts w:ascii="Arial" w:hAnsi="Arial" w:hint="default"/>
      </w:rPr>
    </w:lvl>
    <w:lvl w:ilvl="2" w:tplc="BAAE2AAA" w:tentative="1">
      <w:start w:val="1"/>
      <w:numFmt w:val="bullet"/>
      <w:lvlText w:val="•"/>
      <w:lvlJc w:val="left"/>
      <w:pPr>
        <w:tabs>
          <w:tab w:val="num" w:pos="2160"/>
        </w:tabs>
        <w:ind w:left="2160" w:hanging="360"/>
      </w:pPr>
      <w:rPr>
        <w:rFonts w:ascii="Arial" w:hAnsi="Arial" w:hint="default"/>
      </w:rPr>
    </w:lvl>
    <w:lvl w:ilvl="3" w:tplc="1760472C" w:tentative="1">
      <w:start w:val="1"/>
      <w:numFmt w:val="bullet"/>
      <w:lvlText w:val="•"/>
      <w:lvlJc w:val="left"/>
      <w:pPr>
        <w:tabs>
          <w:tab w:val="num" w:pos="2880"/>
        </w:tabs>
        <w:ind w:left="2880" w:hanging="360"/>
      </w:pPr>
      <w:rPr>
        <w:rFonts w:ascii="Arial" w:hAnsi="Arial" w:hint="default"/>
      </w:rPr>
    </w:lvl>
    <w:lvl w:ilvl="4" w:tplc="B6C2A592" w:tentative="1">
      <w:start w:val="1"/>
      <w:numFmt w:val="bullet"/>
      <w:lvlText w:val="•"/>
      <w:lvlJc w:val="left"/>
      <w:pPr>
        <w:tabs>
          <w:tab w:val="num" w:pos="3600"/>
        </w:tabs>
        <w:ind w:left="3600" w:hanging="360"/>
      </w:pPr>
      <w:rPr>
        <w:rFonts w:ascii="Arial" w:hAnsi="Arial" w:hint="default"/>
      </w:rPr>
    </w:lvl>
    <w:lvl w:ilvl="5" w:tplc="7A7C70CA" w:tentative="1">
      <w:start w:val="1"/>
      <w:numFmt w:val="bullet"/>
      <w:lvlText w:val="•"/>
      <w:lvlJc w:val="left"/>
      <w:pPr>
        <w:tabs>
          <w:tab w:val="num" w:pos="4320"/>
        </w:tabs>
        <w:ind w:left="4320" w:hanging="360"/>
      </w:pPr>
      <w:rPr>
        <w:rFonts w:ascii="Arial" w:hAnsi="Arial" w:hint="default"/>
      </w:rPr>
    </w:lvl>
    <w:lvl w:ilvl="6" w:tplc="99DC1940" w:tentative="1">
      <w:start w:val="1"/>
      <w:numFmt w:val="bullet"/>
      <w:lvlText w:val="•"/>
      <w:lvlJc w:val="left"/>
      <w:pPr>
        <w:tabs>
          <w:tab w:val="num" w:pos="5040"/>
        </w:tabs>
        <w:ind w:left="5040" w:hanging="360"/>
      </w:pPr>
      <w:rPr>
        <w:rFonts w:ascii="Arial" w:hAnsi="Arial" w:hint="default"/>
      </w:rPr>
    </w:lvl>
    <w:lvl w:ilvl="7" w:tplc="2A2E7E50" w:tentative="1">
      <w:start w:val="1"/>
      <w:numFmt w:val="bullet"/>
      <w:lvlText w:val="•"/>
      <w:lvlJc w:val="left"/>
      <w:pPr>
        <w:tabs>
          <w:tab w:val="num" w:pos="5760"/>
        </w:tabs>
        <w:ind w:left="5760" w:hanging="360"/>
      </w:pPr>
      <w:rPr>
        <w:rFonts w:ascii="Arial" w:hAnsi="Arial" w:hint="default"/>
      </w:rPr>
    </w:lvl>
    <w:lvl w:ilvl="8" w:tplc="40C2D040" w:tentative="1">
      <w:start w:val="1"/>
      <w:numFmt w:val="bullet"/>
      <w:lvlText w:val="•"/>
      <w:lvlJc w:val="left"/>
      <w:pPr>
        <w:tabs>
          <w:tab w:val="num" w:pos="6480"/>
        </w:tabs>
        <w:ind w:left="6480" w:hanging="360"/>
      </w:pPr>
      <w:rPr>
        <w:rFonts w:ascii="Arial" w:hAnsi="Arial" w:hint="default"/>
      </w:rPr>
    </w:lvl>
  </w:abstractNum>
  <w:abstractNum w:abstractNumId="7">
    <w:nsid w:val="1DF2161E"/>
    <w:multiLevelType w:val="hybridMultilevel"/>
    <w:tmpl w:val="81FC1A48"/>
    <w:lvl w:ilvl="0" w:tplc="9384D23A">
      <w:start w:val="1"/>
      <w:numFmt w:val="decimal"/>
      <w:lvlText w:val="%1."/>
      <w:lvlJc w:val="left"/>
      <w:pPr>
        <w:tabs>
          <w:tab w:val="num" w:pos="720"/>
        </w:tabs>
        <w:ind w:left="720" w:hanging="360"/>
      </w:pPr>
    </w:lvl>
    <w:lvl w:ilvl="1" w:tplc="B51C696E" w:tentative="1">
      <w:start w:val="1"/>
      <w:numFmt w:val="decimal"/>
      <w:lvlText w:val="%2."/>
      <w:lvlJc w:val="left"/>
      <w:pPr>
        <w:tabs>
          <w:tab w:val="num" w:pos="1440"/>
        </w:tabs>
        <w:ind w:left="1440" w:hanging="360"/>
      </w:pPr>
    </w:lvl>
    <w:lvl w:ilvl="2" w:tplc="F87C2EE6" w:tentative="1">
      <w:start w:val="1"/>
      <w:numFmt w:val="decimal"/>
      <w:lvlText w:val="%3."/>
      <w:lvlJc w:val="left"/>
      <w:pPr>
        <w:tabs>
          <w:tab w:val="num" w:pos="2160"/>
        </w:tabs>
        <w:ind w:left="2160" w:hanging="360"/>
      </w:pPr>
    </w:lvl>
    <w:lvl w:ilvl="3" w:tplc="9B56AA50" w:tentative="1">
      <w:start w:val="1"/>
      <w:numFmt w:val="decimal"/>
      <w:lvlText w:val="%4."/>
      <w:lvlJc w:val="left"/>
      <w:pPr>
        <w:tabs>
          <w:tab w:val="num" w:pos="2880"/>
        </w:tabs>
        <w:ind w:left="2880" w:hanging="360"/>
      </w:pPr>
    </w:lvl>
    <w:lvl w:ilvl="4" w:tplc="5200541A" w:tentative="1">
      <w:start w:val="1"/>
      <w:numFmt w:val="decimal"/>
      <w:lvlText w:val="%5."/>
      <w:lvlJc w:val="left"/>
      <w:pPr>
        <w:tabs>
          <w:tab w:val="num" w:pos="3600"/>
        </w:tabs>
        <w:ind w:left="3600" w:hanging="360"/>
      </w:pPr>
    </w:lvl>
    <w:lvl w:ilvl="5" w:tplc="D6D8A65C" w:tentative="1">
      <w:start w:val="1"/>
      <w:numFmt w:val="decimal"/>
      <w:lvlText w:val="%6."/>
      <w:lvlJc w:val="left"/>
      <w:pPr>
        <w:tabs>
          <w:tab w:val="num" w:pos="4320"/>
        </w:tabs>
        <w:ind w:left="4320" w:hanging="360"/>
      </w:pPr>
    </w:lvl>
    <w:lvl w:ilvl="6" w:tplc="91446D1C" w:tentative="1">
      <w:start w:val="1"/>
      <w:numFmt w:val="decimal"/>
      <w:lvlText w:val="%7."/>
      <w:lvlJc w:val="left"/>
      <w:pPr>
        <w:tabs>
          <w:tab w:val="num" w:pos="5040"/>
        </w:tabs>
        <w:ind w:left="5040" w:hanging="360"/>
      </w:pPr>
    </w:lvl>
    <w:lvl w:ilvl="7" w:tplc="4DDECCEA" w:tentative="1">
      <w:start w:val="1"/>
      <w:numFmt w:val="decimal"/>
      <w:lvlText w:val="%8."/>
      <w:lvlJc w:val="left"/>
      <w:pPr>
        <w:tabs>
          <w:tab w:val="num" w:pos="5760"/>
        </w:tabs>
        <w:ind w:left="5760" w:hanging="360"/>
      </w:pPr>
    </w:lvl>
    <w:lvl w:ilvl="8" w:tplc="BF1415C0" w:tentative="1">
      <w:start w:val="1"/>
      <w:numFmt w:val="decimal"/>
      <w:lvlText w:val="%9."/>
      <w:lvlJc w:val="left"/>
      <w:pPr>
        <w:tabs>
          <w:tab w:val="num" w:pos="6480"/>
        </w:tabs>
        <w:ind w:left="6480" w:hanging="360"/>
      </w:pPr>
    </w:lvl>
  </w:abstractNum>
  <w:abstractNum w:abstractNumId="8">
    <w:nsid w:val="1EBD607A"/>
    <w:multiLevelType w:val="hybridMultilevel"/>
    <w:tmpl w:val="ED546C0C"/>
    <w:lvl w:ilvl="0" w:tplc="9828C462">
      <w:start w:val="1"/>
      <w:numFmt w:val="bullet"/>
      <w:lvlText w:val="•"/>
      <w:lvlJc w:val="left"/>
      <w:pPr>
        <w:tabs>
          <w:tab w:val="num" w:pos="720"/>
        </w:tabs>
        <w:ind w:left="720" w:hanging="360"/>
      </w:pPr>
      <w:rPr>
        <w:rFonts w:ascii="Arial" w:hAnsi="Arial" w:hint="default"/>
      </w:rPr>
    </w:lvl>
    <w:lvl w:ilvl="1" w:tplc="9EEC4F1C">
      <w:numFmt w:val="bullet"/>
      <w:lvlText w:val="•"/>
      <w:lvlJc w:val="left"/>
      <w:pPr>
        <w:tabs>
          <w:tab w:val="num" w:pos="1440"/>
        </w:tabs>
        <w:ind w:left="1440" w:hanging="360"/>
      </w:pPr>
      <w:rPr>
        <w:rFonts w:ascii="Arial" w:hAnsi="Arial" w:hint="default"/>
      </w:rPr>
    </w:lvl>
    <w:lvl w:ilvl="2" w:tplc="69B4B334" w:tentative="1">
      <w:start w:val="1"/>
      <w:numFmt w:val="bullet"/>
      <w:lvlText w:val="•"/>
      <w:lvlJc w:val="left"/>
      <w:pPr>
        <w:tabs>
          <w:tab w:val="num" w:pos="2160"/>
        </w:tabs>
        <w:ind w:left="2160" w:hanging="360"/>
      </w:pPr>
      <w:rPr>
        <w:rFonts w:ascii="Arial" w:hAnsi="Arial" w:hint="default"/>
      </w:rPr>
    </w:lvl>
    <w:lvl w:ilvl="3" w:tplc="520AD2A6" w:tentative="1">
      <w:start w:val="1"/>
      <w:numFmt w:val="bullet"/>
      <w:lvlText w:val="•"/>
      <w:lvlJc w:val="left"/>
      <w:pPr>
        <w:tabs>
          <w:tab w:val="num" w:pos="2880"/>
        </w:tabs>
        <w:ind w:left="2880" w:hanging="360"/>
      </w:pPr>
      <w:rPr>
        <w:rFonts w:ascii="Arial" w:hAnsi="Arial" w:hint="default"/>
      </w:rPr>
    </w:lvl>
    <w:lvl w:ilvl="4" w:tplc="C15EE18E" w:tentative="1">
      <w:start w:val="1"/>
      <w:numFmt w:val="bullet"/>
      <w:lvlText w:val="•"/>
      <w:lvlJc w:val="left"/>
      <w:pPr>
        <w:tabs>
          <w:tab w:val="num" w:pos="3600"/>
        </w:tabs>
        <w:ind w:left="3600" w:hanging="360"/>
      </w:pPr>
      <w:rPr>
        <w:rFonts w:ascii="Arial" w:hAnsi="Arial" w:hint="default"/>
      </w:rPr>
    </w:lvl>
    <w:lvl w:ilvl="5" w:tplc="C6F68636" w:tentative="1">
      <w:start w:val="1"/>
      <w:numFmt w:val="bullet"/>
      <w:lvlText w:val="•"/>
      <w:lvlJc w:val="left"/>
      <w:pPr>
        <w:tabs>
          <w:tab w:val="num" w:pos="4320"/>
        </w:tabs>
        <w:ind w:left="4320" w:hanging="360"/>
      </w:pPr>
      <w:rPr>
        <w:rFonts w:ascii="Arial" w:hAnsi="Arial" w:hint="default"/>
      </w:rPr>
    </w:lvl>
    <w:lvl w:ilvl="6" w:tplc="65AAC7E4" w:tentative="1">
      <w:start w:val="1"/>
      <w:numFmt w:val="bullet"/>
      <w:lvlText w:val="•"/>
      <w:lvlJc w:val="left"/>
      <w:pPr>
        <w:tabs>
          <w:tab w:val="num" w:pos="5040"/>
        </w:tabs>
        <w:ind w:left="5040" w:hanging="360"/>
      </w:pPr>
      <w:rPr>
        <w:rFonts w:ascii="Arial" w:hAnsi="Arial" w:hint="default"/>
      </w:rPr>
    </w:lvl>
    <w:lvl w:ilvl="7" w:tplc="07CEBC4E" w:tentative="1">
      <w:start w:val="1"/>
      <w:numFmt w:val="bullet"/>
      <w:lvlText w:val="•"/>
      <w:lvlJc w:val="left"/>
      <w:pPr>
        <w:tabs>
          <w:tab w:val="num" w:pos="5760"/>
        </w:tabs>
        <w:ind w:left="5760" w:hanging="360"/>
      </w:pPr>
      <w:rPr>
        <w:rFonts w:ascii="Arial" w:hAnsi="Arial" w:hint="default"/>
      </w:rPr>
    </w:lvl>
    <w:lvl w:ilvl="8" w:tplc="8A426622" w:tentative="1">
      <w:start w:val="1"/>
      <w:numFmt w:val="bullet"/>
      <w:lvlText w:val="•"/>
      <w:lvlJc w:val="left"/>
      <w:pPr>
        <w:tabs>
          <w:tab w:val="num" w:pos="6480"/>
        </w:tabs>
        <w:ind w:left="6480" w:hanging="360"/>
      </w:pPr>
      <w:rPr>
        <w:rFonts w:ascii="Arial" w:hAnsi="Arial" w:hint="default"/>
      </w:rPr>
    </w:lvl>
  </w:abstractNum>
  <w:abstractNum w:abstractNumId="9">
    <w:nsid w:val="3A371ACB"/>
    <w:multiLevelType w:val="hybridMultilevel"/>
    <w:tmpl w:val="3BDCC8F0"/>
    <w:lvl w:ilvl="0" w:tplc="13B2F136">
      <w:start w:val="1"/>
      <w:numFmt w:val="bullet"/>
      <w:lvlText w:val="•"/>
      <w:lvlJc w:val="left"/>
      <w:pPr>
        <w:tabs>
          <w:tab w:val="num" w:pos="720"/>
        </w:tabs>
        <w:ind w:left="720" w:hanging="360"/>
      </w:pPr>
      <w:rPr>
        <w:rFonts w:ascii="Arial" w:hAnsi="Arial" w:hint="default"/>
      </w:rPr>
    </w:lvl>
    <w:lvl w:ilvl="1" w:tplc="5F0A8272" w:tentative="1">
      <w:start w:val="1"/>
      <w:numFmt w:val="bullet"/>
      <w:lvlText w:val="•"/>
      <w:lvlJc w:val="left"/>
      <w:pPr>
        <w:tabs>
          <w:tab w:val="num" w:pos="1440"/>
        </w:tabs>
        <w:ind w:left="1440" w:hanging="360"/>
      </w:pPr>
      <w:rPr>
        <w:rFonts w:ascii="Arial" w:hAnsi="Arial" w:hint="default"/>
      </w:rPr>
    </w:lvl>
    <w:lvl w:ilvl="2" w:tplc="C0C25664" w:tentative="1">
      <w:start w:val="1"/>
      <w:numFmt w:val="bullet"/>
      <w:lvlText w:val="•"/>
      <w:lvlJc w:val="left"/>
      <w:pPr>
        <w:tabs>
          <w:tab w:val="num" w:pos="2160"/>
        </w:tabs>
        <w:ind w:left="2160" w:hanging="360"/>
      </w:pPr>
      <w:rPr>
        <w:rFonts w:ascii="Arial" w:hAnsi="Arial" w:hint="default"/>
      </w:rPr>
    </w:lvl>
    <w:lvl w:ilvl="3" w:tplc="AB1AB78E" w:tentative="1">
      <w:start w:val="1"/>
      <w:numFmt w:val="bullet"/>
      <w:lvlText w:val="•"/>
      <w:lvlJc w:val="left"/>
      <w:pPr>
        <w:tabs>
          <w:tab w:val="num" w:pos="2880"/>
        </w:tabs>
        <w:ind w:left="2880" w:hanging="360"/>
      </w:pPr>
      <w:rPr>
        <w:rFonts w:ascii="Arial" w:hAnsi="Arial" w:hint="default"/>
      </w:rPr>
    </w:lvl>
    <w:lvl w:ilvl="4" w:tplc="67FED480" w:tentative="1">
      <w:start w:val="1"/>
      <w:numFmt w:val="bullet"/>
      <w:lvlText w:val="•"/>
      <w:lvlJc w:val="left"/>
      <w:pPr>
        <w:tabs>
          <w:tab w:val="num" w:pos="3600"/>
        </w:tabs>
        <w:ind w:left="3600" w:hanging="360"/>
      </w:pPr>
      <w:rPr>
        <w:rFonts w:ascii="Arial" w:hAnsi="Arial" w:hint="default"/>
      </w:rPr>
    </w:lvl>
    <w:lvl w:ilvl="5" w:tplc="C4127B04" w:tentative="1">
      <w:start w:val="1"/>
      <w:numFmt w:val="bullet"/>
      <w:lvlText w:val="•"/>
      <w:lvlJc w:val="left"/>
      <w:pPr>
        <w:tabs>
          <w:tab w:val="num" w:pos="4320"/>
        </w:tabs>
        <w:ind w:left="4320" w:hanging="360"/>
      </w:pPr>
      <w:rPr>
        <w:rFonts w:ascii="Arial" w:hAnsi="Arial" w:hint="default"/>
      </w:rPr>
    </w:lvl>
    <w:lvl w:ilvl="6" w:tplc="C47C7378" w:tentative="1">
      <w:start w:val="1"/>
      <w:numFmt w:val="bullet"/>
      <w:lvlText w:val="•"/>
      <w:lvlJc w:val="left"/>
      <w:pPr>
        <w:tabs>
          <w:tab w:val="num" w:pos="5040"/>
        </w:tabs>
        <w:ind w:left="5040" w:hanging="360"/>
      </w:pPr>
      <w:rPr>
        <w:rFonts w:ascii="Arial" w:hAnsi="Arial" w:hint="default"/>
      </w:rPr>
    </w:lvl>
    <w:lvl w:ilvl="7" w:tplc="313E6088" w:tentative="1">
      <w:start w:val="1"/>
      <w:numFmt w:val="bullet"/>
      <w:lvlText w:val="•"/>
      <w:lvlJc w:val="left"/>
      <w:pPr>
        <w:tabs>
          <w:tab w:val="num" w:pos="5760"/>
        </w:tabs>
        <w:ind w:left="5760" w:hanging="360"/>
      </w:pPr>
      <w:rPr>
        <w:rFonts w:ascii="Arial" w:hAnsi="Arial" w:hint="default"/>
      </w:rPr>
    </w:lvl>
    <w:lvl w:ilvl="8" w:tplc="DBE0C56E" w:tentative="1">
      <w:start w:val="1"/>
      <w:numFmt w:val="bullet"/>
      <w:lvlText w:val="•"/>
      <w:lvlJc w:val="left"/>
      <w:pPr>
        <w:tabs>
          <w:tab w:val="num" w:pos="6480"/>
        </w:tabs>
        <w:ind w:left="6480" w:hanging="360"/>
      </w:pPr>
      <w:rPr>
        <w:rFonts w:ascii="Arial" w:hAnsi="Arial" w:hint="default"/>
      </w:rPr>
    </w:lvl>
  </w:abstractNum>
  <w:abstractNum w:abstractNumId="10">
    <w:nsid w:val="3B9043DF"/>
    <w:multiLevelType w:val="hybridMultilevel"/>
    <w:tmpl w:val="EC447768"/>
    <w:lvl w:ilvl="0" w:tplc="1C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nsid w:val="42AA32E6"/>
    <w:multiLevelType w:val="hybridMultilevel"/>
    <w:tmpl w:val="AE1631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8342C91"/>
    <w:multiLevelType w:val="hybridMultilevel"/>
    <w:tmpl w:val="CCB83BBA"/>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13">
    <w:nsid w:val="499B7EB5"/>
    <w:multiLevelType w:val="hybridMultilevel"/>
    <w:tmpl w:val="639825F8"/>
    <w:lvl w:ilvl="0" w:tplc="0F9077B0">
      <w:start w:val="1"/>
      <w:numFmt w:val="bullet"/>
      <w:lvlText w:val=""/>
      <w:lvlJc w:val="left"/>
      <w:pPr>
        <w:tabs>
          <w:tab w:val="num" w:pos="720"/>
        </w:tabs>
        <w:ind w:left="720" w:hanging="360"/>
      </w:pPr>
      <w:rPr>
        <w:rFonts w:ascii="Symbol" w:hAnsi="Symbol" w:hint="default"/>
      </w:rPr>
    </w:lvl>
    <w:lvl w:ilvl="1" w:tplc="FBB61AC0">
      <w:numFmt w:val="bullet"/>
      <w:lvlText w:val="o"/>
      <w:lvlJc w:val="left"/>
      <w:pPr>
        <w:tabs>
          <w:tab w:val="num" w:pos="1440"/>
        </w:tabs>
        <w:ind w:left="1440" w:hanging="360"/>
      </w:pPr>
      <w:rPr>
        <w:rFonts w:ascii="Courier New" w:hAnsi="Courier New" w:hint="default"/>
      </w:rPr>
    </w:lvl>
    <w:lvl w:ilvl="2" w:tplc="881E8D3C" w:tentative="1">
      <w:start w:val="1"/>
      <w:numFmt w:val="bullet"/>
      <w:lvlText w:val=""/>
      <w:lvlJc w:val="left"/>
      <w:pPr>
        <w:tabs>
          <w:tab w:val="num" w:pos="2160"/>
        </w:tabs>
        <w:ind w:left="2160" w:hanging="360"/>
      </w:pPr>
      <w:rPr>
        <w:rFonts w:ascii="Symbol" w:hAnsi="Symbol" w:hint="default"/>
      </w:rPr>
    </w:lvl>
    <w:lvl w:ilvl="3" w:tplc="E32C9F7E" w:tentative="1">
      <w:start w:val="1"/>
      <w:numFmt w:val="bullet"/>
      <w:lvlText w:val=""/>
      <w:lvlJc w:val="left"/>
      <w:pPr>
        <w:tabs>
          <w:tab w:val="num" w:pos="2880"/>
        </w:tabs>
        <w:ind w:left="2880" w:hanging="360"/>
      </w:pPr>
      <w:rPr>
        <w:rFonts w:ascii="Symbol" w:hAnsi="Symbol" w:hint="default"/>
      </w:rPr>
    </w:lvl>
    <w:lvl w:ilvl="4" w:tplc="135639EA" w:tentative="1">
      <w:start w:val="1"/>
      <w:numFmt w:val="bullet"/>
      <w:lvlText w:val=""/>
      <w:lvlJc w:val="left"/>
      <w:pPr>
        <w:tabs>
          <w:tab w:val="num" w:pos="3600"/>
        </w:tabs>
        <w:ind w:left="3600" w:hanging="360"/>
      </w:pPr>
      <w:rPr>
        <w:rFonts w:ascii="Symbol" w:hAnsi="Symbol" w:hint="default"/>
      </w:rPr>
    </w:lvl>
    <w:lvl w:ilvl="5" w:tplc="4CA01E16" w:tentative="1">
      <w:start w:val="1"/>
      <w:numFmt w:val="bullet"/>
      <w:lvlText w:val=""/>
      <w:lvlJc w:val="left"/>
      <w:pPr>
        <w:tabs>
          <w:tab w:val="num" w:pos="4320"/>
        </w:tabs>
        <w:ind w:left="4320" w:hanging="360"/>
      </w:pPr>
      <w:rPr>
        <w:rFonts w:ascii="Symbol" w:hAnsi="Symbol" w:hint="default"/>
      </w:rPr>
    </w:lvl>
    <w:lvl w:ilvl="6" w:tplc="AE2E9854" w:tentative="1">
      <w:start w:val="1"/>
      <w:numFmt w:val="bullet"/>
      <w:lvlText w:val=""/>
      <w:lvlJc w:val="left"/>
      <w:pPr>
        <w:tabs>
          <w:tab w:val="num" w:pos="5040"/>
        </w:tabs>
        <w:ind w:left="5040" w:hanging="360"/>
      </w:pPr>
      <w:rPr>
        <w:rFonts w:ascii="Symbol" w:hAnsi="Symbol" w:hint="default"/>
      </w:rPr>
    </w:lvl>
    <w:lvl w:ilvl="7" w:tplc="59020432" w:tentative="1">
      <w:start w:val="1"/>
      <w:numFmt w:val="bullet"/>
      <w:lvlText w:val=""/>
      <w:lvlJc w:val="left"/>
      <w:pPr>
        <w:tabs>
          <w:tab w:val="num" w:pos="5760"/>
        </w:tabs>
        <w:ind w:left="5760" w:hanging="360"/>
      </w:pPr>
      <w:rPr>
        <w:rFonts w:ascii="Symbol" w:hAnsi="Symbol" w:hint="default"/>
      </w:rPr>
    </w:lvl>
    <w:lvl w:ilvl="8" w:tplc="34CCE7EE" w:tentative="1">
      <w:start w:val="1"/>
      <w:numFmt w:val="bullet"/>
      <w:lvlText w:val=""/>
      <w:lvlJc w:val="left"/>
      <w:pPr>
        <w:tabs>
          <w:tab w:val="num" w:pos="6480"/>
        </w:tabs>
        <w:ind w:left="6480" w:hanging="360"/>
      </w:pPr>
      <w:rPr>
        <w:rFonts w:ascii="Symbol" w:hAnsi="Symbol" w:hint="default"/>
      </w:rPr>
    </w:lvl>
  </w:abstractNum>
  <w:abstractNum w:abstractNumId="14">
    <w:nsid w:val="4C1E53C1"/>
    <w:multiLevelType w:val="multilevel"/>
    <w:tmpl w:val="CFB4BC7C"/>
    <w:lvl w:ilvl="0">
      <w:start w:val="1"/>
      <w:numFmt w:val="decimal"/>
      <w:lvlText w:val="%1."/>
      <w:lvlJc w:val="left"/>
      <w:pPr>
        <w:tabs>
          <w:tab w:val="num" w:pos="375"/>
        </w:tabs>
        <w:ind w:left="375" w:hanging="375"/>
      </w:pPr>
      <w:rPr>
        <w:rFonts w:hint="default"/>
        <w:b w:val="0"/>
        <w:i w:val="0"/>
      </w:rPr>
    </w:lvl>
    <w:lvl w:ilvl="1">
      <w:start w:val="1"/>
      <w:numFmt w:val="bullet"/>
      <w:lvlText w:val=""/>
      <w:lvlJc w:val="left"/>
      <w:pPr>
        <w:tabs>
          <w:tab w:val="num" w:pos="720"/>
        </w:tabs>
        <w:ind w:left="720" w:hanging="720"/>
      </w:pPr>
      <w:rPr>
        <w:rFonts w:ascii="Symbol" w:hAnsi="Symbol" w:hint="default"/>
        <w:b w:val="0"/>
        <w:i w:val="0"/>
        <w:sz w:val="24"/>
        <w:szCs w:val="24"/>
      </w:rPr>
    </w:lvl>
    <w:lvl w:ilvl="2">
      <w:start w:val="1"/>
      <w:numFmt w:val="decimal"/>
      <w:lvlText w:val="%1.%2.%3."/>
      <w:lvlJc w:val="left"/>
      <w:pPr>
        <w:tabs>
          <w:tab w:val="num" w:pos="862"/>
        </w:tabs>
        <w:ind w:left="862" w:hanging="720"/>
      </w:pPr>
      <w:rPr>
        <w:rFonts w:ascii="Times New Roman" w:hAnsi="Times New Roman" w:cs="Times New Roman" w:hint="default"/>
        <w:b w:val="0"/>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72220A"/>
    <w:multiLevelType w:val="hybridMultilevel"/>
    <w:tmpl w:val="A3C08D5C"/>
    <w:lvl w:ilvl="0" w:tplc="1C090001">
      <w:start w:val="1"/>
      <w:numFmt w:val="bullet"/>
      <w:lvlText w:val=""/>
      <w:lvlJc w:val="left"/>
      <w:pPr>
        <w:ind w:left="1353" w:hanging="360"/>
      </w:pPr>
      <w:rPr>
        <w:rFonts w:ascii="Symbol" w:hAnsi="Symbol" w:hint="default"/>
      </w:rPr>
    </w:lvl>
    <w:lvl w:ilvl="1" w:tplc="1C090003">
      <w:start w:val="1"/>
      <w:numFmt w:val="bullet"/>
      <w:lvlText w:val="o"/>
      <w:lvlJc w:val="left"/>
      <w:pPr>
        <w:ind w:left="2073" w:hanging="360"/>
      </w:pPr>
      <w:rPr>
        <w:rFonts w:ascii="Courier New" w:hAnsi="Courier New" w:cs="Courier New" w:hint="default"/>
      </w:rPr>
    </w:lvl>
    <w:lvl w:ilvl="2" w:tplc="1C090005">
      <w:start w:val="1"/>
      <w:numFmt w:val="bullet"/>
      <w:lvlText w:val=""/>
      <w:lvlJc w:val="left"/>
      <w:pPr>
        <w:ind w:left="2793" w:hanging="360"/>
      </w:pPr>
      <w:rPr>
        <w:rFonts w:ascii="Wingdings" w:hAnsi="Wingdings" w:hint="default"/>
      </w:rPr>
    </w:lvl>
    <w:lvl w:ilvl="3" w:tplc="A43C0DA4">
      <w:numFmt w:val="bullet"/>
      <w:lvlText w:val="•"/>
      <w:lvlJc w:val="left"/>
      <w:pPr>
        <w:ind w:left="3873" w:hanging="720"/>
      </w:pPr>
      <w:rPr>
        <w:rFonts w:ascii="Times New Roman" w:eastAsia="Times New Roman" w:hAnsi="Times New Roman" w:cs="Times New Roman"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16">
    <w:nsid w:val="5348274A"/>
    <w:multiLevelType w:val="hybridMultilevel"/>
    <w:tmpl w:val="1B7841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9BF402B"/>
    <w:multiLevelType w:val="multilevel"/>
    <w:tmpl w:val="0AE65D10"/>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862"/>
        </w:tabs>
        <w:ind w:left="862" w:hanging="720"/>
      </w:pPr>
      <w:rPr>
        <w:rFonts w:ascii="Times New Roman" w:hAnsi="Times New Roman" w:cs="Times New Roman" w:hint="default"/>
        <w:b w:val="0"/>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1409D4"/>
    <w:multiLevelType w:val="hybridMultilevel"/>
    <w:tmpl w:val="895036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A9B7752"/>
    <w:multiLevelType w:val="hybridMultilevel"/>
    <w:tmpl w:val="CE040A9C"/>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6C3875FE"/>
    <w:multiLevelType w:val="multilevel"/>
    <w:tmpl w:val="FD58C576"/>
    <w:lvl w:ilvl="0">
      <w:start w:val="1"/>
      <w:numFmt w:val="decimal"/>
      <w:lvlText w:val="%1."/>
      <w:lvlJc w:val="left"/>
      <w:pPr>
        <w:ind w:left="502" w:hanging="360"/>
      </w:pPr>
    </w:lvl>
    <w:lvl w:ilvl="1">
      <w:start w:val="1"/>
      <w:numFmt w:val="decimal"/>
      <w:lvlText w:val="%1.%2."/>
      <w:lvlJc w:val="left"/>
      <w:pPr>
        <w:ind w:left="999" w:hanging="432"/>
      </w:pPr>
      <w:rPr>
        <w:color w:val="F79646" w:themeColor="accent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49667A7"/>
    <w:multiLevelType w:val="hybridMultilevel"/>
    <w:tmpl w:val="90408A0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7AD45FDA"/>
    <w:multiLevelType w:val="hybridMultilevel"/>
    <w:tmpl w:val="021AE5C0"/>
    <w:lvl w:ilvl="0" w:tplc="ADAA0596">
      <w:start w:val="1"/>
      <w:numFmt w:val="bullet"/>
      <w:lvlText w:val="•"/>
      <w:lvlJc w:val="left"/>
      <w:pPr>
        <w:tabs>
          <w:tab w:val="num" w:pos="720"/>
        </w:tabs>
        <w:ind w:left="720" w:hanging="360"/>
      </w:pPr>
      <w:rPr>
        <w:rFonts w:ascii="Arial" w:hAnsi="Arial" w:hint="default"/>
      </w:rPr>
    </w:lvl>
    <w:lvl w:ilvl="1" w:tplc="9FA2AD06" w:tentative="1">
      <w:start w:val="1"/>
      <w:numFmt w:val="bullet"/>
      <w:lvlText w:val="•"/>
      <w:lvlJc w:val="left"/>
      <w:pPr>
        <w:tabs>
          <w:tab w:val="num" w:pos="1440"/>
        </w:tabs>
        <w:ind w:left="1440" w:hanging="360"/>
      </w:pPr>
      <w:rPr>
        <w:rFonts w:ascii="Arial" w:hAnsi="Arial" w:hint="default"/>
      </w:rPr>
    </w:lvl>
    <w:lvl w:ilvl="2" w:tplc="5B7C030A" w:tentative="1">
      <w:start w:val="1"/>
      <w:numFmt w:val="bullet"/>
      <w:lvlText w:val="•"/>
      <w:lvlJc w:val="left"/>
      <w:pPr>
        <w:tabs>
          <w:tab w:val="num" w:pos="2160"/>
        </w:tabs>
        <w:ind w:left="2160" w:hanging="360"/>
      </w:pPr>
      <w:rPr>
        <w:rFonts w:ascii="Arial" w:hAnsi="Arial" w:hint="default"/>
      </w:rPr>
    </w:lvl>
    <w:lvl w:ilvl="3" w:tplc="DDC8C412" w:tentative="1">
      <w:start w:val="1"/>
      <w:numFmt w:val="bullet"/>
      <w:lvlText w:val="•"/>
      <w:lvlJc w:val="left"/>
      <w:pPr>
        <w:tabs>
          <w:tab w:val="num" w:pos="2880"/>
        </w:tabs>
        <w:ind w:left="2880" w:hanging="360"/>
      </w:pPr>
      <w:rPr>
        <w:rFonts w:ascii="Arial" w:hAnsi="Arial" w:hint="default"/>
      </w:rPr>
    </w:lvl>
    <w:lvl w:ilvl="4" w:tplc="91945462" w:tentative="1">
      <w:start w:val="1"/>
      <w:numFmt w:val="bullet"/>
      <w:lvlText w:val="•"/>
      <w:lvlJc w:val="left"/>
      <w:pPr>
        <w:tabs>
          <w:tab w:val="num" w:pos="3600"/>
        </w:tabs>
        <w:ind w:left="3600" w:hanging="360"/>
      </w:pPr>
      <w:rPr>
        <w:rFonts w:ascii="Arial" w:hAnsi="Arial" w:hint="default"/>
      </w:rPr>
    </w:lvl>
    <w:lvl w:ilvl="5" w:tplc="9B441B2C" w:tentative="1">
      <w:start w:val="1"/>
      <w:numFmt w:val="bullet"/>
      <w:lvlText w:val="•"/>
      <w:lvlJc w:val="left"/>
      <w:pPr>
        <w:tabs>
          <w:tab w:val="num" w:pos="4320"/>
        </w:tabs>
        <w:ind w:left="4320" w:hanging="360"/>
      </w:pPr>
      <w:rPr>
        <w:rFonts w:ascii="Arial" w:hAnsi="Arial" w:hint="default"/>
      </w:rPr>
    </w:lvl>
    <w:lvl w:ilvl="6" w:tplc="CC823754" w:tentative="1">
      <w:start w:val="1"/>
      <w:numFmt w:val="bullet"/>
      <w:lvlText w:val="•"/>
      <w:lvlJc w:val="left"/>
      <w:pPr>
        <w:tabs>
          <w:tab w:val="num" w:pos="5040"/>
        </w:tabs>
        <w:ind w:left="5040" w:hanging="360"/>
      </w:pPr>
      <w:rPr>
        <w:rFonts w:ascii="Arial" w:hAnsi="Arial" w:hint="default"/>
      </w:rPr>
    </w:lvl>
    <w:lvl w:ilvl="7" w:tplc="22A8EDE0" w:tentative="1">
      <w:start w:val="1"/>
      <w:numFmt w:val="bullet"/>
      <w:lvlText w:val="•"/>
      <w:lvlJc w:val="left"/>
      <w:pPr>
        <w:tabs>
          <w:tab w:val="num" w:pos="5760"/>
        </w:tabs>
        <w:ind w:left="5760" w:hanging="360"/>
      </w:pPr>
      <w:rPr>
        <w:rFonts w:ascii="Arial" w:hAnsi="Arial" w:hint="default"/>
      </w:rPr>
    </w:lvl>
    <w:lvl w:ilvl="8" w:tplc="2CA63BC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5"/>
  </w:num>
  <w:num w:numId="3">
    <w:abstractNumId w:val="0"/>
  </w:num>
  <w:num w:numId="4">
    <w:abstractNumId w:val="1"/>
  </w:num>
  <w:num w:numId="5">
    <w:abstractNumId w:val="21"/>
  </w:num>
  <w:num w:numId="6">
    <w:abstractNumId w:val="18"/>
  </w:num>
  <w:num w:numId="7">
    <w:abstractNumId w:val="14"/>
  </w:num>
  <w:num w:numId="8">
    <w:abstractNumId w:val="12"/>
  </w:num>
  <w:num w:numId="9">
    <w:abstractNumId w:val="10"/>
  </w:num>
  <w:num w:numId="10">
    <w:abstractNumId w:val="2"/>
  </w:num>
  <w:num w:numId="11">
    <w:abstractNumId w:val="7"/>
  </w:num>
  <w:num w:numId="12">
    <w:abstractNumId w:val="11"/>
  </w:num>
  <w:num w:numId="13">
    <w:abstractNumId w:val="19"/>
  </w:num>
  <w:num w:numId="14">
    <w:abstractNumId w:val="6"/>
  </w:num>
  <w:num w:numId="15">
    <w:abstractNumId w:val="8"/>
  </w:num>
  <w:num w:numId="16">
    <w:abstractNumId w:val="9"/>
  </w:num>
  <w:num w:numId="17">
    <w:abstractNumId w:val="22"/>
  </w:num>
  <w:num w:numId="18">
    <w:abstractNumId w:val="5"/>
  </w:num>
  <w:num w:numId="19">
    <w:abstractNumId w:val="20"/>
  </w:num>
  <w:num w:numId="20">
    <w:abstractNumId w:val="4"/>
  </w:num>
  <w:num w:numId="21">
    <w:abstractNumId w:val="13"/>
  </w:num>
  <w:num w:numId="22">
    <w:abstractNumId w:val="17"/>
  </w:num>
  <w:num w:numId="23">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81089F"/>
    <w:rsid w:val="000001FC"/>
    <w:rsid w:val="00000B84"/>
    <w:rsid w:val="000013E1"/>
    <w:rsid w:val="00001D26"/>
    <w:rsid w:val="00002ED9"/>
    <w:rsid w:val="000030E9"/>
    <w:rsid w:val="00003A05"/>
    <w:rsid w:val="00004ECD"/>
    <w:rsid w:val="00005661"/>
    <w:rsid w:val="00006AB5"/>
    <w:rsid w:val="00007582"/>
    <w:rsid w:val="00007761"/>
    <w:rsid w:val="000101F6"/>
    <w:rsid w:val="00010B59"/>
    <w:rsid w:val="000111C3"/>
    <w:rsid w:val="000114C7"/>
    <w:rsid w:val="00011FF8"/>
    <w:rsid w:val="00012354"/>
    <w:rsid w:val="00012649"/>
    <w:rsid w:val="00012C14"/>
    <w:rsid w:val="00013321"/>
    <w:rsid w:val="0001341B"/>
    <w:rsid w:val="00013865"/>
    <w:rsid w:val="00013AD7"/>
    <w:rsid w:val="00013E50"/>
    <w:rsid w:val="000142D3"/>
    <w:rsid w:val="00014359"/>
    <w:rsid w:val="0001497F"/>
    <w:rsid w:val="00015140"/>
    <w:rsid w:val="0001543F"/>
    <w:rsid w:val="000157EC"/>
    <w:rsid w:val="00015A00"/>
    <w:rsid w:val="000160B1"/>
    <w:rsid w:val="000170DB"/>
    <w:rsid w:val="000209E0"/>
    <w:rsid w:val="00020E20"/>
    <w:rsid w:val="000219B8"/>
    <w:rsid w:val="0002261A"/>
    <w:rsid w:val="00022658"/>
    <w:rsid w:val="00022B21"/>
    <w:rsid w:val="0002383D"/>
    <w:rsid w:val="00023884"/>
    <w:rsid w:val="00023D10"/>
    <w:rsid w:val="0002453D"/>
    <w:rsid w:val="00024641"/>
    <w:rsid w:val="0002526D"/>
    <w:rsid w:val="0002530E"/>
    <w:rsid w:val="00026024"/>
    <w:rsid w:val="00026266"/>
    <w:rsid w:val="00026C95"/>
    <w:rsid w:val="000272B9"/>
    <w:rsid w:val="0002751B"/>
    <w:rsid w:val="00027782"/>
    <w:rsid w:val="00027806"/>
    <w:rsid w:val="000301C2"/>
    <w:rsid w:val="0003114A"/>
    <w:rsid w:val="000326D7"/>
    <w:rsid w:val="00032938"/>
    <w:rsid w:val="00033D01"/>
    <w:rsid w:val="00033FBF"/>
    <w:rsid w:val="0003496B"/>
    <w:rsid w:val="00035629"/>
    <w:rsid w:val="0003675E"/>
    <w:rsid w:val="00036788"/>
    <w:rsid w:val="00041928"/>
    <w:rsid w:val="000438A7"/>
    <w:rsid w:val="00044138"/>
    <w:rsid w:val="00044181"/>
    <w:rsid w:val="0004477F"/>
    <w:rsid w:val="00045613"/>
    <w:rsid w:val="00045C70"/>
    <w:rsid w:val="000467A3"/>
    <w:rsid w:val="00050CF3"/>
    <w:rsid w:val="00050F75"/>
    <w:rsid w:val="00051AFD"/>
    <w:rsid w:val="00051C59"/>
    <w:rsid w:val="000532A5"/>
    <w:rsid w:val="000536B5"/>
    <w:rsid w:val="00053A91"/>
    <w:rsid w:val="00054A5A"/>
    <w:rsid w:val="00055369"/>
    <w:rsid w:val="00055C03"/>
    <w:rsid w:val="00056D6D"/>
    <w:rsid w:val="00057332"/>
    <w:rsid w:val="00057803"/>
    <w:rsid w:val="00060F49"/>
    <w:rsid w:val="00060F84"/>
    <w:rsid w:val="000610BC"/>
    <w:rsid w:val="00062AD0"/>
    <w:rsid w:val="0006501C"/>
    <w:rsid w:val="000656E7"/>
    <w:rsid w:val="00070044"/>
    <w:rsid w:val="000709C4"/>
    <w:rsid w:val="00070C3D"/>
    <w:rsid w:val="00070E90"/>
    <w:rsid w:val="000718A6"/>
    <w:rsid w:val="00071E9D"/>
    <w:rsid w:val="00072F93"/>
    <w:rsid w:val="0007467D"/>
    <w:rsid w:val="0007611C"/>
    <w:rsid w:val="00077BB2"/>
    <w:rsid w:val="00080057"/>
    <w:rsid w:val="00080A63"/>
    <w:rsid w:val="00081FAB"/>
    <w:rsid w:val="00082A90"/>
    <w:rsid w:val="00082ABB"/>
    <w:rsid w:val="000836DB"/>
    <w:rsid w:val="00085991"/>
    <w:rsid w:val="0008702B"/>
    <w:rsid w:val="00087257"/>
    <w:rsid w:val="00087F51"/>
    <w:rsid w:val="00087F96"/>
    <w:rsid w:val="0009060A"/>
    <w:rsid w:val="000907C7"/>
    <w:rsid w:val="00090E64"/>
    <w:rsid w:val="00092035"/>
    <w:rsid w:val="00092550"/>
    <w:rsid w:val="00093565"/>
    <w:rsid w:val="00093F5B"/>
    <w:rsid w:val="00094835"/>
    <w:rsid w:val="000960BD"/>
    <w:rsid w:val="0009663D"/>
    <w:rsid w:val="00097758"/>
    <w:rsid w:val="000A05F0"/>
    <w:rsid w:val="000A0866"/>
    <w:rsid w:val="000A0899"/>
    <w:rsid w:val="000A0DFE"/>
    <w:rsid w:val="000A0FFF"/>
    <w:rsid w:val="000A15B9"/>
    <w:rsid w:val="000A24E7"/>
    <w:rsid w:val="000A2803"/>
    <w:rsid w:val="000A2B8C"/>
    <w:rsid w:val="000A3EB4"/>
    <w:rsid w:val="000A452B"/>
    <w:rsid w:val="000A49A6"/>
    <w:rsid w:val="000A49D0"/>
    <w:rsid w:val="000A4B8A"/>
    <w:rsid w:val="000A56FE"/>
    <w:rsid w:val="000A5AD4"/>
    <w:rsid w:val="000A6177"/>
    <w:rsid w:val="000A6250"/>
    <w:rsid w:val="000A6AC4"/>
    <w:rsid w:val="000A6CB1"/>
    <w:rsid w:val="000A6E79"/>
    <w:rsid w:val="000A7719"/>
    <w:rsid w:val="000B007A"/>
    <w:rsid w:val="000B07ED"/>
    <w:rsid w:val="000B2160"/>
    <w:rsid w:val="000B2C78"/>
    <w:rsid w:val="000B3404"/>
    <w:rsid w:val="000B3585"/>
    <w:rsid w:val="000B3798"/>
    <w:rsid w:val="000B3F0F"/>
    <w:rsid w:val="000B4319"/>
    <w:rsid w:val="000B4786"/>
    <w:rsid w:val="000B4BC6"/>
    <w:rsid w:val="000B4FCE"/>
    <w:rsid w:val="000B5306"/>
    <w:rsid w:val="000B54E6"/>
    <w:rsid w:val="000B65F3"/>
    <w:rsid w:val="000B6EA5"/>
    <w:rsid w:val="000B6FB4"/>
    <w:rsid w:val="000B73CD"/>
    <w:rsid w:val="000B754C"/>
    <w:rsid w:val="000B7663"/>
    <w:rsid w:val="000B788D"/>
    <w:rsid w:val="000B78E3"/>
    <w:rsid w:val="000C1297"/>
    <w:rsid w:val="000C24A3"/>
    <w:rsid w:val="000C2A55"/>
    <w:rsid w:val="000C2D0A"/>
    <w:rsid w:val="000C339A"/>
    <w:rsid w:val="000C364D"/>
    <w:rsid w:val="000C4CDD"/>
    <w:rsid w:val="000C514A"/>
    <w:rsid w:val="000C5D0D"/>
    <w:rsid w:val="000C5EB7"/>
    <w:rsid w:val="000C7530"/>
    <w:rsid w:val="000C7763"/>
    <w:rsid w:val="000C7A47"/>
    <w:rsid w:val="000C7CCE"/>
    <w:rsid w:val="000D02B2"/>
    <w:rsid w:val="000D0532"/>
    <w:rsid w:val="000D075C"/>
    <w:rsid w:val="000D0EA5"/>
    <w:rsid w:val="000D11EC"/>
    <w:rsid w:val="000D1208"/>
    <w:rsid w:val="000D1A43"/>
    <w:rsid w:val="000D21C5"/>
    <w:rsid w:val="000D2496"/>
    <w:rsid w:val="000D28EA"/>
    <w:rsid w:val="000D2FED"/>
    <w:rsid w:val="000D3BC9"/>
    <w:rsid w:val="000D4576"/>
    <w:rsid w:val="000D5533"/>
    <w:rsid w:val="000D5DA1"/>
    <w:rsid w:val="000D60CC"/>
    <w:rsid w:val="000D6C50"/>
    <w:rsid w:val="000D7F05"/>
    <w:rsid w:val="000E02D7"/>
    <w:rsid w:val="000E085A"/>
    <w:rsid w:val="000E105A"/>
    <w:rsid w:val="000E20EB"/>
    <w:rsid w:val="000E2255"/>
    <w:rsid w:val="000E2A86"/>
    <w:rsid w:val="000E41F7"/>
    <w:rsid w:val="000E4683"/>
    <w:rsid w:val="000E62FD"/>
    <w:rsid w:val="000E765F"/>
    <w:rsid w:val="000E76A6"/>
    <w:rsid w:val="000E7915"/>
    <w:rsid w:val="000E7CC0"/>
    <w:rsid w:val="000F020F"/>
    <w:rsid w:val="000F0A19"/>
    <w:rsid w:val="000F1440"/>
    <w:rsid w:val="000F1A1B"/>
    <w:rsid w:val="000F24B8"/>
    <w:rsid w:val="000F2C46"/>
    <w:rsid w:val="000F2CFD"/>
    <w:rsid w:val="000F3440"/>
    <w:rsid w:val="000F3E45"/>
    <w:rsid w:val="000F3FB1"/>
    <w:rsid w:val="000F4570"/>
    <w:rsid w:val="000F459D"/>
    <w:rsid w:val="000F4DCA"/>
    <w:rsid w:val="000F4E59"/>
    <w:rsid w:val="000F545E"/>
    <w:rsid w:val="000F54AB"/>
    <w:rsid w:val="000F5960"/>
    <w:rsid w:val="000F59F8"/>
    <w:rsid w:val="000F5CB3"/>
    <w:rsid w:val="000F5FB8"/>
    <w:rsid w:val="000F68E3"/>
    <w:rsid w:val="000F70FB"/>
    <w:rsid w:val="000F74E7"/>
    <w:rsid w:val="000F7D4A"/>
    <w:rsid w:val="00100170"/>
    <w:rsid w:val="00100599"/>
    <w:rsid w:val="00100AE5"/>
    <w:rsid w:val="0010164F"/>
    <w:rsid w:val="00101BCE"/>
    <w:rsid w:val="0010267B"/>
    <w:rsid w:val="00102AFF"/>
    <w:rsid w:val="00102D1C"/>
    <w:rsid w:val="00102F0C"/>
    <w:rsid w:val="00104699"/>
    <w:rsid w:val="00105465"/>
    <w:rsid w:val="001055B1"/>
    <w:rsid w:val="00106560"/>
    <w:rsid w:val="00107A27"/>
    <w:rsid w:val="00110029"/>
    <w:rsid w:val="00110A44"/>
    <w:rsid w:val="00110EBA"/>
    <w:rsid w:val="00111211"/>
    <w:rsid w:val="00111E07"/>
    <w:rsid w:val="00113814"/>
    <w:rsid w:val="00113FB7"/>
    <w:rsid w:val="001146ED"/>
    <w:rsid w:val="00114EAE"/>
    <w:rsid w:val="001155DB"/>
    <w:rsid w:val="00115967"/>
    <w:rsid w:val="00120551"/>
    <w:rsid w:val="0012091C"/>
    <w:rsid w:val="00120B53"/>
    <w:rsid w:val="00120B97"/>
    <w:rsid w:val="0012105D"/>
    <w:rsid w:val="00121B7A"/>
    <w:rsid w:val="00121F49"/>
    <w:rsid w:val="00122656"/>
    <w:rsid w:val="00122793"/>
    <w:rsid w:val="0012478E"/>
    <w:rsid w:val="00125AD3"/>
    <w:rsid w:val="00125E8D"/>
    <w:rsid w:val="00126188"/>
    <w:rsid w:val="001262D6"/>
    <w:rsid w:val="00126AC8"/>
    <w:rsid w:val="00126C53"/>
    <w:rsid w:val="001273B2"/>
    <w:rsid w:val="00127D78"/>
    <w:rsid w:val="00131221"/>
    <w:rsid w:val="0013143D"/>
    <w:rsid w:val="00135703"/>
    <w:rsid w:val="001358A6"/>
    <w:rsid w:val="00135943"/>
    <w:rsid w:val="001367C1"/>
    <w:rsid w:val="001408F1"/>
    <w:rsid w:val="00140CCB"/>
    <w:rsid w:val="00140D58"/>
    <w:rsid w:val="00140D65"/>
    <w:rsid w:val="00141295"/>
    <w:rsid w:val="001412DF"/>
    <w:rsid w:val="001413DB"/>
    <w:rsid w:val="00141412"/>
    <w:rsid w:val="0014316D"/>
    <w:rsid w:val="001438D5"/>
    <w:rsid w:val="00144016"/>
    <w:rsid w:val="001458AD"/>
    <w:rsid w:val="0014613B"/>
    <w:rsid w:val="00146545"/>
    <w:rsid w:val="00146F4C"/>
    <w:rsid w:val="0014777A"/>
    <w:rsid w:val="00147960"/>
    <w:rsid w:val="001500DB"/>
    <w:rsid w:val="00150499"/>
    <w:rsid w:val="00151797"/>
    <w:rsid w:val="00151BDA"/>
    <w:rsid w:val="00151DBB"/>
    <w:rsid w:val="0015327B"/>
    <w:rsid w:val="0015335B"/>
    <w:rsid w:val="00153E8F"/>
    <w:rsid w:val="00154490"/>
    <w:rsid w:val="001556E3"/>
    <w:rsid w:val="00155923"/>
    <w:rsid w:val="00156470"/>
    <w:rsid w:val="00156BBA"/>
    <w:rsid w:val="001578E6"/>
    <w:rsid w:val="00157A43"/>
    <w:rsid w:val="00160811"/>
    <w:rsid w:val="00160C6B"/>
    <w:rsid w:val="00160E3A"/>
    <w:rsid w:val="00160EFB"/>
    <w:rsid w:val="00161884"/>
    <w:rsid w:val="001618DB"/>
    <w:rsid w:val="00161E87"/>
    <w:rsid w:val="00162941"/>
    <w:rsid w:val="00164055"/>
    <w:rsid w:val="00164522"/>
    <w:rsid w:val="00164DFE"/>
    <w:rsid w:val="001651C9"/>
    <w:rsid w:val="00165430"/>
    <w:rsid w:val="00166350"/>
    <w:rsid w:val="00166696"/>
    <w:rsid w:val="00167412"/>
    <w:rsid w:val="001702C9"/>
    <w:rsid w:val="00170D16"/>
    <w:rsid w:val="001711B8"/>
    <w:rsid w:val="001720D1"/>
    <w:rsid w:val="00172DF0"/>
    <w:rsid w:val="00173334"/>
    <w:rsid w:val="00173486"/>
    <w:rsid w:val="00173C88"/>
    <w:rsid w:val="001759D4"/>
    <w:rsid w:val="001761BE"/>
    <w:rsid w:val="001767EE"/>
    <w:rsid w:val="00176C56"/>
    <w:rsid w:val="00177232"/>
    <w:rsid w:val="00177957"/>
    <w:rsid w:val="001811AE"/>
    <w:rsid w:val="001811F3"/>
    <w:rsid w:val="001820E3"/>
    <w:rsid w:val="00182211"/>
    <w:rsid w:val="0018253C"/>
    <w:rsid w:val="0018386B"/>
    <w:rsid w:val="001842BF"/>
    <w:rsid w:val="001851F8"/>
    <w:rsid w:val="0018525D"/>
    <w:rsid w:val="001859BB"/>
    <w:rsid w:val="00185F6E"/>
    <w:rsid w:val="00185FE2"/>
    <w:rsid w:val="0018636A"/>
    <w:rsid w:val="00186491"/>
    <w:rsid w:val="00186524"/>
    <w:rsid w:val="0018668F"/>
    <w:rsid w:val="001867F8"/>
    <w:rsid w:val="00186F08"/>
    <w:rsid w:val="0018713F"/>
    <w:rsid w:val="00187FD0"/>
    <w:rsid w:val="0019070F"/>
    <w:rsid w:val="00191212"/>
    <w:rsid w:val="00192752"/>
    <w:rsid w:val="00192A18"/>
    <w:rsid w:val="00192BAB"/>
    <w:rsid w:val="001935EC"/>
    <w:rsid w:val="001938D3"/>
    <w:rsid w:val="00193CF6"/>
    <w:rsid w:val="0019464E"/>
    <w:rsid w:val="001961F0"/>
    <w:rsid w:val="00196BE8"/>
    <w:rsid w:val="001976DE"/>
    <w:rsid w:val="00197B13"/>
    <w:rsid w:val="00197FE7"/>
    <w:rsid w:val="001A008A"/>
    <w:rsid w:val="001A0658"/>
    <w:rsid w:val="001A06D0"/>
    <w:rsid w:val="001A0983"/>
    <w:rsid w:val="001A1540"/>
    <w:rsid w:val="001A16FD"/>
    <w:rsid w:val="001A1ECA"/>
    <w:rsid w:val="001A27FB"/>
    <w:rsid w:val="001A38D9"/>
    <w:rsid w:val="001A4D5A"/>
    <w:rsid w:val="001A4DE6"/>
    <w:rsid w:val="001A4E62"/>
    <w:rsid w:val="001A5077"/>
    <w:rsid w:val="001A6220"/>
    <w:rsid w:val="001A68BB"/>
    <w:rsid w:val="001A6DBE"/>
    <w:rsid w:val="001A7F0F"/>
    <w:rsid w:val="001B0C97"/>
    <w:rsid w:val="001B1A3B"/>
    <w:rsid w:val="001B1D65"/>
    <w:rsid w:val="001B200E"/>
    <w:rsid w:val="001B270C"/>
    <w:rsid w:val="001B2882"/>
    <w:rsid w:val="001B2DBC"/>
    <w:rsid w:val="001B2FDF"/>
    <w:rsid w:val="001B3553"/>
    <w:rsid w:val="001B3D36"/>
    <w:rsid w:val="001B4628"/>
    <w:rsid w:val="001B4852"/>
    <w:rsid w:val="001B6033"/>
    <w:rsid w:val="001B6147"/>
    <w:rsid w:val="001B634D"/>
    <w:rsid w:val="001B6BA9"/>
    <w:rsid w:val="001B73DD"/>
    <w:rsid w:val="001C05F9"/>
    <w:rsid w:val="001C0B69"/>
    <w:rsid w:val="001C0E5C"/>
    <w:rsid w:val="001C1A20"/>
    <w:rsid w:val="001C35D2"/>
    <w:rsid w:val="001C44AC"/>
    <w:rsid w:val="001C499E"/>
    <w:rsid w:val="001C4A2D"/>
    <w:rsid w:val="001C5501"/>
    <w:rsid w:val="001C5C3D"/>
    <w:rsid w:val="001C6545"/>
    <w:rsid w:val="001C750A"/>
    <w:rsid w:val="001D0B52"/>
    <w:rsid w:val="001D16F5"/>
    <w:rsid w:val="001D1B04"/>
    <w:rsid w:val="001D1DE4"/>
    <w:rsid w:val="001D1EBA"/>
    <w:rsid w:val="001D21A4"/>
    <w:rsid w:val="001D2EA9"/>
    <w:rsid w:val="001D409C"/>
    <w:rsid w:val="001D4132"/>
    <w:rsid w:val="001D4694"/>
    <w:rsid w:val="001D484F"/>
    <w:rsid w:val="001D4B7B"/>
    <w:rsid w:val="001D4EE9"/>
    <w:rsid w:val="001D5229"/>
    <w:rsid w:val="001D5909"/>
    <w:rsid w:val="001D67DA"/>
    <w:rsid w:val="001D6A4C"/>
    <w:rsid w:val="001D6E50"/>
    <w:rsid w:val="001D7370"/>
    <w:rsid w:val="001D73B0"/>
    <w:rsid w:val="001E0FFF"/>
    <w:rsid w:val="001E1563"/>
    <w:rsid w:val="001E190B"/>
    <w:rsid w:val="001E1C66"/>
    <w:rsid w:val="001E1D54"/>
    <w:rsid w:val="001E1FAC"/>
    <w:rsid w:val="001E210E"/>
    <w:rsid w:val="001E23DD"/>
    <w:rsid w:val="001E2594"/>
    <w:rsid w:val="001E280C"/>
    <w:rsid w:val="001E371D"/>
    <w:rsid w:val="001E3C09"/>
    <w:rsid w:val="001E52B3"/>
    <w:rsid w:val="001E5C66"/>
    <w:rsid w:val="001E7D2F"/>
    <w:rsid w:val="001F0507"/>
    <w:rsid w:val="001F0A3A"/>
    <w:rsid w:val="001F19FB"/>
    <w:rsid w:val="001F235F"/>
    <w:rsid w:val="001F279F"/>
    <w:rsid w:val="001F31BB"/>
    <w:rsid w:val="001F3F73"/>
    <w:rsid w:val="001F45C6"/>
    <w:rsid w:val="001F4A47"/>
    <w:rsid w:val="001F4AE1"/>
    <w:rsid w:val="001F54A4"/>
    <w:rsid w:val="001F5CA6"/>
    <w:rsid w:val="001F6197"/>
    <w:rsid w:val="001F66C9"/>
    <w:rsid w:val="001F6871"/>
    <w:rsid w:val="001F6F83"/>
    <w:rsid w:val="001F7242"/>
    <w:rsid w:val="001F7718"/>
    <w:rsid w:val="001F79B9"/>
    <w:rsid w:val="00200464"/>
    <w:rsid w:val="00201144"/>
    <w:rsid w:val="00202E22"/>
    <w:rsid w:val="00203637"/>
    <w:rsid w:val="00204353"/>
    <w:rsid w:val="00204653"/>
    <w:rsid w:val="0020609F"/>
    <w:rsid w:val="00206576"/>
    <w:rsid w:val="002074AC"/>
    <w:rsid w:val="00210806"/>
    <w:rsid w:val="00210D03"/>
    <w:rsid w:val="0021203E"/>
    <w:rsid w:val="002124ED"/>
    <w:rsid w:val="00214553"/>
    <w:rsid w:val="002150FE"/>
    <w:rsid w:val="002152FD"/>
    <w:rsid w:val="0021682B"/>
    <w:rsid w:val="00217582"/>
    <w:rsid w:val="0021761E"/>
    <w:rsid w:val="002204CB"/>
    <w:rsid w:val="002206FA"/>
    <w:rsid w:val="00220D70"/>
    <w:rsid w:val="00221391"/>
    <w:rsid w:val="002244CC"/>
    <w:rsid w:val="00226DAF"/>
    <w:rsid w:val="00230014"/>
    <w:rsid w:val="0023075A"/>
    <w:rsid w:val="00230934"/>
    <w:rsid w:val="00230B89"/>
    <w:rsid w:val="00230F63"/>
    <w:rsid w:val="00230FEF"/>
    <w:rsid w:val="002310C5"/>
    <w:rsid w:val="002320BC"/>
    <w:rsid w:val="00232178"/>
    <w:rsid w:val="0023269C"/>
    <w:rsid w:val="00233174"/>
    <w:rsid w:val="0023567F"/>
    <w:rsid w:val="00235D4E"/>
    <w:rsid w:val="00236266"/>
    <w:rsid w:val="002363F1"/>
    <w:rsid w:val="0023707C"/>
    <w:rsid w:val="00237B5F"/>
    <w:rsid w:val="00240E3E"/>
    <w:rsid w:val="0024127E"/>
    <w:rsid w:val="0024320B"/>
    <w:rsid w:val="0024323E"/>
    <w:rsid w:val="002438F6"/>
    <w:rsid w:val="00243ECF"/>
    <w:rsid w:val="00243F72"/>
    <w:rsid w:val="00243FC2"/>
    <w:rsid w:val="0024591E"/>
    <w:rsid w:val="00245E23"/>
    <w:rsid w:val="00246CD9"/>
    <w:rsid w:val="00247EC4"/>
    <w:rsid w:val="0025149F"/>
    <w:rsid w:val="002521F2"/>
    <w:rsid w:val="0025274E"/>
    <w:rsid w:val="002538F4"/>
    <w:rsid w:val="0025470A"/>
    <w:rsid w:val="00254E78"/>
    <w:rsid w:val="00255B39"/>
    <w:rsid w:val="00255DB1"/>
    <w:rsid w:val="002567CD"/>
    <w:rsid w:val="00256807"/>
    <w:rsid w:val="0025733F"/>
    <w:rsid w:val="00260A54"/>
    <w:rsid w:val="00261B19"/>
    <w:rsid w:val="00261D2C"/>
    <w:rsid w:val="00261E62"/>
    <w:rsid w:val="00262250"/>
    <w:rsid w:val="0026259A"/>
    <w:rsid w:val="00264159"/>
    <w:rsid w:val="0026454B"/>
    <w:rsid w:val="0026455E"/>
    <w:rsid w:val="00264AB3"/>
    <w:rsid w:val="00265A8E"/>
    <w:rsid w:val="00267D02"/>
    <w:rsid w:val="00270402"/>
    <w:rsid w:val="002713FD"/>
    <w:rsid w:val="0027261D"/>
    <w:rsid w:val="00273266"/>
    <w:rsid w:val="00273882"/>
    <w:rsid w:val="0027453E"/>
    <w:rsid w:val="002761C1"/>
    <w:rsid w:val="0027626D"/>
    <w:rsid w:val="00276297"/>
    <w:rsid w:val="00276928"/>
    <w:rsid w:val="002777E8"/>
    <w:rsid w:val="00277CFE"/>
    <w:rsid w:val="002819BD"/>
    <w:rsid w:val="00281ED4"/>
    <w:rsid w:val="00282B69"/>
    <w:rsid w:val="0028416D"/>
    <w:rsid w:val="002857EF"/>
    <w:rsid w:val="00285C3B"/>
    <w:rsid w:val="00285E6F"/>
    <w:rsid w:val="00285F1C"/>
    <w:rsid w:val="00285F75"/>
    <w:rsid w:val="002860EA"/>
    <w:rsid w:val="00286BEF"/>
    <w:rsid w:val="00287BE9"/>
    <w:rsid w:val="00290D08"/>
    <w:rsid w:val="00291257"/>
    <w:rsid w:val="00291CDE"/>
    <w:rsid w:val="00292C0C"/>
    <w:rsid w:val="002940A4"/>
    <w:rsid w:val="0029595F"/>
    <w:rsid w:val="002964A1"/>
    <w:rsid w:val="00296A39"/>
    <w:rsid w:val="00296E1D"/>
    <w:rsid w:val="0029708D"/>
    <w:rsid w:val="00297A59"/>
    <w:rsid w:val="00297C9A"/>
    <w:rsid w:val="002A0090"/>
    <w:rsid w:val="002A044D"/>
    <w:rsid w:val="002A0F0B"/>
    <w:rsid w:val="002A10E3"/>
    <w:rsid w:val="002A1EBD"/>
    <w:rsid w:val="002A26C5"/>
    <w:rsid w:val="002A340D"/>
    <w:rsid w:val="002A37A1"/>
    <w:rsid w:val="002A3AAF"/>
    <w:rsid w:val="002A41BE"/>
    <w:rsid w:val="002A6D78"/>
    <w:rsid w:val="002A71BB"/>
    <w:rsid w:val="002A7899"/>
    <w:rsid w:val="002B0257"/>
    <w:rsid w:val="002B08AF"/>
    <w:rsid w:val="002B099E"/>
    <w:rsid w:val="002B09A2"/>
    <w:rsid w:val="002B0C37"/>
    <w:rsid w:val="002B1AA3"/>
    <w:rsid w:val="002B1CA8"/>
    <w:rsid w:val="002B1EF2"/>
    <w:rsid w:val="002B2DE0"/>
    <w:rsid w:val="002B2E02"/>
    <w:rsid w:val="002B35BB"/>
    <w:rsid w:val="002B3984"/>
    <w:rsid w:val="002B6C30"/>
    <w:rsid w:val="002B788E"/>
    <w:rsid w:val="002B7B9E"/>
    <w:rsid w:val="002C015C"/>
    <w:rsid w:val="002C0F36"/>
    <w:rsid w:val="002C2494"/>
    <w:rsid w:val="002C2901"/>
    <w:rsid w:val="002C45BA"/>
    <w:rsid w:val="002C5EF3"/>
    <w:rsid w:val="002C706D"/>
    <w:rsid w:val="002C7728"/>
    <w:rsid w:val="002C79D3"/>
    <w:rsid w:val="002D0DCD"/>
    <w:rsid w:val="002D27A0"/>
    <w:rsid w:val="002D2852"/>
    <w:rsid w:val="002D2C67"/>
    <w:rsid w:val="002D35AC"/>
    <w:rsid w:val="002D3E2B"/>
    <w:rsid w:val="002D3F44"/>
    <w:rsid w:val="002D4A80"/>
    <w:rsid w:val="002D5D88"/>
    <w:rsid w:val="002D6D36"/>
    <w:rsid w:val="002E12D7"/>
    <w:rsid w:val="002E317F"/>
    <w:rsid w:val="002E3A70"/>
    <w:rsid w:val="002E4408"/>
    <w:rsid w:val="002E489F"/>
    <w:rsid w:val="002E4A5F"/>
    <w:rsid w:val="002E4D3F"/>
    <w:rsid w:val="002E5602"/>
    <w:rsid w:val="002E6E16"/>
    <w:rsid w:val="002E7A36"/>
    <w:rsid w:val="002F0E3F"/>
    <w:rsid w:val="002F122B"/>
    <w:rsid w:val="002F1822"/>
    <w:rsid w:val="002F2310"/>
    <w:rsid w:val="002F2A10"/>
    <w:rsid w:val="002F2F62"/>
    <w:rsid w:val="002F39AA"/>
    <w:rsid w:val="002F5350"/>
    <w:rsid w:val="002F5400"/>
    <w:rsid w:val="002F5C80"/>
    <w:rsid w:val="002F6E4F"/>
    <w:rsid w:val="002F7112"/>
    <w:rsid w:val="002F75F1"/>
    <w:rsid w:val="00300140"/>
    <w:rsid w:val="00301C4F"/>
    <w:rsid w:val="003026A5"/>
    <w:rsid w:val="00302EAF"/>
    <w:rsid w:val="0030309A"/>
    <w:rsid w:val="003032B5"/>
    <w:rsid w:val="00304746"/>
    <w:rsid w:val="0030533A"/>
    <w:rsid w:val="00306391"/>
    <w:rsid w:val="00306E93"/>
    <w:rsid w:val="00307B01"/>
    <w:rsid w:val="00307CDE"/>
    <w:rsid w:val="00310587"/>
    <w:rsid w:val="00310854"/>
    <w:rsid w:val="00310C1E"/>
    <w:rsid w:val="00311DBF"/>
    <w:rsid w:val="003123E2"/>
    <w:rsid w:val="00313D47"/>
    <w:rsid w:val="0031560B"/>
    <w:rsid w:val="00315FAC"/>
    <w:rsid w:val="0031621B"/>
    <w:rsid w:val="00317C5B"/>
    <w:rsid w:val="003200C7"/>
    <w:rsid w:val="003206B1"/>
    <w:rsid w:val="00320A82"/>
    <w:rsid w:val="00320BF2"/>
    <w:rsid w:val="00321613"/>
    <w:rsid w:val="00321762"/>
    <w:rsid w:val="00322401"/>
    <w:rsid w:val="003236CB"/>
    <w:rsid w:val="00323F54"/>
    <w:rsid w:val="00325505"/>
    <w:rsid w:val="00325643"/>
    <w:rsid w:val="003262B8"/>
    <w:rsid w:val="003303F3"/>
    <w:rsid w:val="00331085"/>
    <w:rsid w:val="00332A5D"/>
    <w:rsid w:val="00332BF0"/>
    <w:rsid w:val="003334C0"/>
    <w:rsid w:val="00334823"/>
    <w:rsid w:val="0033488B"/>
    <w:rsid w:val="00334A60"/>
    <w:rsid w:val="0033503E"/>
    <w:rsid w:val="00335764"/>
    <w:rsid w:val="00335D9B"/>
    <w:rsid w:val="00336622"/>
    <w:rsid w:val="003401EA"/>
    <w:rsid w:val="00340312"/>
    <w:rsid w:val="00340EBC"/>
    <w:rsid w:val="00341509"/>
    <w:rsid w:val="00341B8B"/>
    <w:rsid w:val="00342106"/>
    <w:rsid w:val="00342BF9"/>
    <w:rsid w:val="003431A2"/>
    <w:rsid w:val="00344811"/>
    <w:rsid w:val="00345160"/>
    <w:rsid w:val="0034523E"/>
    <w:rsid w:val="003456EC"/>
    <w:rsid w:val="003465B1"/>
    <w:rsid w:val="00346804"/>
    <w:rsid w:val="00346F34"/>
    <w:rsid w:val="00347718"/>
    <w:rsid w:val="003478AE"/>
    <w:rsid w:val="00351C44"/>
    <w:rsid w:val="00352EA4"/>
    <w:rsid w:val="003538E1"/>
    <w:rsid w:val="00354A3A"/>
    <w:rsid w:val="00354AC0"/>
    <w:rsid w:val="003557E0"/>
    <w:rsid w:val="00355A38"/>
    <w:rsid w:val="00355C8C"/>
    <w:rsid w:val="003563DD"/>
    <w:rsid w:val="003563E1"/>
    <w:rsid w:val="00356800"/>
    <w:rsid w:val="003573CD"/>
    <w:rsid w:val="00357BF9"/>
    <w:rsid w:val="00361533"/>
    <w:rsid w:val="0036283F"/>
    <w:rsid w:val="00362A79"/>
    <w:rsid w:val="00363C97"/>
    <w:rsid w:val="003650AF"/>
    <w:rsid w:val="003651BD"/>
    <w:rsid w:val="00366AC7"/>
    <w:rsid w:val="00367718"/>
    <w:rsid w:val="003715AE"/>
    <w:rsid w:val="003721FB"/>
    <w:rsid w:val="0037225B"/>
    <w:rsid w:val="003723E3"/>
    <w:rsid w:val="00374319"/>
    <w:rsid w:val="00374409"/>
    <w:rsid w:val="00374804"/>
    <w:rsid w:val="00374B08"/>
    <w:rsid w:val="00375DFB"/>
    <w:rsid w:val="003761DA"/>
    <w:rsid w:val="00376FC4"/>
    <w:rsid w:val="0037739A"/>
    <w:rsid w:val="0037750C"/>
    <w:rsid w:val="00377D14"/>
    <w:rsid w:val="00377F0D"/>
    <w:rsid w:val="00380239"/>
    <w:rsid w:val="00380241"/>
    <w:rsid w:val="00380982"/>
    <w:rsid w:val="00380E87"/>
    <w:rsid w:val="003820CB"/>
    <w:rsid w:val="0038254A"/>
    <w:rsid w:val="00382D12"/>
    <w:rsid w:val="00383336"/>
    <w:rsid w:val="00383DE5"/>
    <w:rsid w:val="00384E56"/>
    <w:rsid w:val="003859CA"/>
    <w:rsid w:val="0038672E"/>
    <w:rsid w:val="00386A72"/>
    <w:rsid w:val="00387FF0"/>
    <w:rsid w:val="003912D9"/>
    <w:rsid w:val="003922E9"/>
    <w:rsid w:val="00392583"/>
    <w:rsid w:val="003932F7"/>
    <w:rsid w:val="00393967"/>
    <w:rsid w:val="00393ACD"/>
    <w:rsid w:val="00393E71"/>
    <w:rsid w:val="003941FA"/>
    <w:rsid w:val="003943D0"/>
    <w:rsid w:val="0039447C"/>
    <w:rsid w:val="00394AA6"/>
    <w:rsid w:val="00395949"/>
    <w:rsid w:val="00395FD4"/>
    <w:rsid w:val="00397314"/>
    <w:rsid w:val="003976FF"/>
    <w:rsid w:val="00397BB8"/>
    <w:rsid w:val="003A1C18"/>
    <w:rsid w:val="003A2922"/>
    <w:rsid w:val="003A37A1"/>
    <w:rsid w:val="003A470E"/>
    <w:rsid w:val="003A5CA1"/>
    <w:rsid w:val="003A5F69"/>
    <w:rsid w:val="003A5FC8"/>
    <w:rsid w:val="003A671B"/>
    <w:rsid w:val="003A6A05"/>
    <w:rsid w:val="003A6D25"/>
    <w:rsid w:val="003B0D54"/>
    <w:rsid w:val="003B1B39"/>
    <w:rsid w:val="003B1CAF"/>
    <w:rsid w:val="003B24A3"/>
    <w:rsid w:val="003B28AB"/>
    <w:rsid w:val="003B42CC"/>
    <w:rsid w:val="003B528F"/>
    <w:rsid w:val="003B63ED"/>
    <w:rsid w:val="003B6909"/>
    <w:rsid w:val="003B6B07"/>
    <w:rsid w:val="003B6F5E"/>
    <w:rsid w:val="003B7014"/>
    <w:rsid w:val="003B77D1"/>
    <w:rsid w:val="003B7BF5"/>
    <w:rsid w:val="003C0172"/>
    <w:rsid w:val="003C043B"/>
    <w:rsid w:val="003C1058"/>
    <w:rsid w:val="003C1A29"/>
    <w:rsid w:val="003C1C28"/>
    <w:rsid w:val="003C1F45"/>
    <w:rsid w:val="003C28C3"/>
    <w:rsid w:val="003C2C8D"/>
    <w:rsid w:val="003C3A85"/>
    <w:rsid w:val="003C4604"/>
    <w:rsid w:val="003C4BEB"/>
    <w:rsid w:val="003C5517"/>
    <w:rsid w:val="003C5DA1"/>
    <w:rsid w:val="003C5DE3"/>
    <w:rsid w:val="003C6149"/>
    <w:rsid w:val="003C6636"/>
    <w:rsid w:val="003C7AB7"/>
    <w:rsid w:val="003D0987"/>
    <w:rsid w:val="003D1620"/>
    <w:rsid w:val="003D17B4"/>
    <w:rsid w:val="003D31CC"/>
    <w:rsid w:val="003D4713"/>
    <w:rsid w:val="003D4830"/>
    <w:rsid w:val="003D4F5B"/>
    <w:rsid w:val="003D5DBA"/>
    <w:rsid w:val="003D668E"/>
    <w:rsid w:val="003D73F0"/>
    <w:rsid w:val="003E0260"/>
    <w:rsid w:val="003E1962"/>
    <w:rsid w:val="003E1972"/>
    <w:rsid w:val="003E2597"/>
    <w:rsid w:val="003E2E01"/>
    <w:rsid w:val="003E2FE4"/>
    <w:rsid w:val="003E3A03"/>
    <w:rsid w:val="003E3B68"/>
    <w:rsid w:val="003E4522"/>
    <w:rsid w:val="003E47AF"/>
    <w:rsid w:val="003E61EA"/>
    <w:rsid w:val="003E6833"/>
    <w:rsid w:val="003E7940"/>
    <w:rsid w:val="003F17D3"/>
    <w:rsid w:val="003F2D35"/>
    <w:rsid w:val="003F31BC"/>
    <w:rsid w:val="003F438D"/>
    <w:rsid w:val="003F45CC"/>
    <w:rsid w:val="003F47C0"/>
    <w:rsid w:val="003F5593"/>
    <w:rsid w:val="003F56CF"/>
    <w:rsid w:val="003F5907"/>
    <w:rsid w:val="003F597C"/>
    <w:rsid w:val="003F5CC5"/>
    <w:rsid w:val="003F5E66"/>
    <w:rsid w:val="003F6A96"/>
    <w:rsid w:val="003F6C24"/>
    <w:rsid w:val="003F7817"/>
    <w:rsid w:val="0040044F"/>
    <w:rsid w:val="004005A3"/>
    <w:rsid w:val="00400A3D"/>
    <w:rsid w:val="00400B11"/>
    <w:rsid w:val="0040120C"/>
    <w:rsid w:val="00403106"/>
    <w:rsid w:val="00403A13"/>
    <w:rsid w:val="00403DDC"/>
    <w:rsid w:val="004046CB"/>
    <w:rsid w:val="00404890"/>
    <w:rsid w:val="00405B64"/>
    <w:rsid w:val="00405F98"/>
    <w:rsid w:val="00407586"/>
    <w:rsid w:val="00407FE4"/>
    <w:rsid w:val="00410947"/>
    <w:rsid w:val="00410DE5"/>
    <w:rsid w:val="00411B40"/>
    <w:rsid w:val="00411BE1"/>
    <w:rsid w:val="00411E06"/>
    <w:rsid w:val="0041214E"/>
    <w:rsid w:val="0041224D"/>
    <w:rsid w:val="00413811"/>
    <w:rsid w:val="00413A02"/>
    <w:rsid w:val="00413B85"/>
    <w:rsid w:val="004145A0"/>
    <w:rsid w:val="004147BA"/>
    <w:rsid w:val="0041497D"/>
    <w:rsid w:val="00416D3B"/>
    <w:rsid w:val="00417017"/>
    <w:rsid w:val="004170CB"/>
    <w:rsid w:val="0041791D"/>
    <w:rsid w:val="00417E14"/>
    <w:rsid w:val="004200BB"/>
    <w:rsid w:val="00421B69"/>
    <w:rsid w:val="00422E9B"/>
    <w:rsid w:val="004232CD"/>
    <w:rsid w:val="00423C98"/>
    <w:rsid w:val="00423E30"/>
    <w:rsid w:val="00424405"/>
    <w:rsid w:val="00424A1D"/>
    <w:rsid w:val="00424CC1"/>
    <w:rsid w:val="004250DC"/>
    <w:rsid w:val="00425584"/>
    <w:rsid w:val="00425BFF"/>
    <w:rsid w:val="00426633"/>
    <w:rsid w:val="00426AE7"/>
    <w:rsid w:val="00427972"/>
    <w:rsid w:val="004305BF"/>
    <w:rsid w:val="0043065F"/>
    <w:rsid w:val="00430B05"/>
    <w:rsid w:val="00431871"/>
    <w:rsid w:val="004319FC"/>
    <w:rsid w:val="0043202E"/>
    <w:rsid w:val="00432200"/>
    <w:rsid w:val="00432445"/>
    <w:rsid w:val="00432F7A"/>
    <w:rsid w:val="00433085"/>
    <w:rsid w:val="00433429"/>
    <w:rsid w:val="004337F1"/>
    <w:rsid w:val="004338AD"/>
    <w:rsid w:val="00434030"/>
    <w:rsid w:val="0043447E"/>
    <w:rsid w:val="00435A81"/>
    <w:rsid w:val="004361D0"/>
    <w:rsid w:val="004368C1"/>
    <w:rsid w:val="004371EE"/>
    <w:rsid w:val="0044108D"/>
    <w:rsid w:val="00441796"/>
    <w:rsid w:val="004427F8"/>
    <w:rsid w:val="0044294E"/>
    <w:rsid w:val="00443248"/>
    <w:rsid w:val="00443E2B"/>
    <w:rsid w:val="00444255"/>
    <w:rsid w:val="00444F11"/>
    <w:rsid w:val="0044611E"/>
    <w:rsid w:val="004462D7"/>
    <w:rsid w:val="004465CF"/>
    <w:rsid w:val="00447BB2"/>
    <w:rsid w:val="00451893"/>
    <w:rsid w:val="00451E68"/>
    <w:rsid w:val="004524B5"/>
    <w:rsid w:val="00452B48"/>
    <w:rsid w:val="00452C96"/>
    <w:rsid w:val="00452DAE"/>
    <w:rsid w:val="00452FDD"/>
    <w:rsid w:val="00453D9E"/>
    <w:rsid w:val="00454235"/>
    <w:rsid w:val="00454690"/>
    <w:rsid w:val="00454B7D"/>
    <w:rsid w:val="00455059"/>
    <w:rsid w:val="00455DBB"/>
    <w:rsid w:val="00456DDF"/>
    <w:rsid w:val="004575DA"/>
    <w:rsid w:val="00460956"/>
    <w:rsid w:val="00461FB2"/>
    <w:rsid w:val="00462EA7"/>
    <w:rsid w:val="00463B5E"/>
    <w:rsid w:val="00463B62"/>
    <w:rsid w:val="00464EBF"/>
    <w:rsid w:val="00465467"/>
    <w:rsid w:val="00466A5E"/>
    <w:rsid w:val="00466E3D"/>
    <w:rsid w:val="00467052"/>
    <w:rsid w:val="004702EB"/>
    <w:rsid w:val="004739F4"/>
    <w:rsid w:val="00474746"/>
    <w:rsid w:val="00476167"/>
    <w:rsid w:val="0047632C"/>
    <w:rsid w:val="0047642C"/>
    <w:rsid w:val="004772EB"/>
    <w:rsid w:val="004777F2"/>
    <w:rsid w:val="00477F38"/>
    <w:rsid w:val="00480C2C"/>
    <w:rsid w:val="00480FFF"/>
    <w:rsid w:val="004810B6"/>
    <w:rsid w:val="00481C55"/>
    <w:rsid w:val="00481C6B"/>
    <w:rsid w:val="004822B5"/>
    <w:rsid w:val="00484CBE"/>
    <w:rsid w:val="00485BAF"/>
    <w:rsid w:val="00487ADC"/>
    <w:rsid w:val="00491045"/>
    <w:rsid w:val="00491643"/>
    <w:rsid w:val="00491915"/>
    <w:rsid w:val="004922C6"/>
    <w:rsid w:val="004926AD"/>
    <w:rsid w:val="00492E4E"/>
    <w:rsid w:val="004938FD"/>
    <w:rsid w:val="00494128"/>
    <w:rsid w:val="004952FA"/>
    <w:rsid w:val="004956EC"/>
    <w:rsid w:val="00497006"/>
    <w:rsid w:val="00497083"/>
    <w:rsid w:val="0049790B"/>
    <w:rsid w:val="004A1641"/>
    <w:rsid w:val="004A339F"/>
    <w:rsid w:val="004A3524"/>
    <w:rsid w:val="004A390A"/>
    <w:rsid w:val="004A3FF8"/>
    <w:rsid w:val="004A4EA3"/>
    <w:rsid w:val="004A533D"/>
    <w:rsid w:val="004A553A"/>
    <w:rsid w:val="004A6351"/>
    <w:rsid w:val="004A66EC"/>
    <w:rsid w:val="004A73E9"/>
    <w:rsid w:val="004A756D"/>
    <w:rsid w:val="004A7A9A"/>
    <w:rsid w:val="004A7FFC"/>
    <w:rsid w:val="004B04EB"/>
    <w:rsid w:val="004B0ACD"/>
    <w:rsid w:val="004B1C7F"/>
    <w:rsid w:val="004B2BB0"/>
    <w:rsid w:val="004B3A44"/>
    <w:rsid w:val="004B3CC5"/>
    <w:rsid w:val="004B5191"/>
    <w:rsid w:val="004B527F"/>
    <w:rsid w:val="004B628A"/>
    <w:rsid w:val="004B6E32"/>
    <w:rsid w:val="004B7283"/>
    <w:rsid w:val="004B74CF"/>
    <w:rsid w:val="004B7835"/>
    <w:rsid w:val="004C1466"/>
    <w:rsid w:val="004C22FB"/>
    <w:rsid w:val="004C3830"/>
    <w:rsid w:val="004C456E"/>
    <w:rsid w:val="004C5B30"/>
    <w:rsid w:val="004C6210"/>
    <w:rsid w:val="004C7251"/>
    <w:rsid w:val="004C77DE"/>
    <w:rsid w:val="004D0D84"/>
    <w:rsid w:val="004D15C9"/>
    <w:rsid w:val="004D2B83"/>
    <w:rsid w:val="004D3465"/>
    <w:rsid w:val="004D379D"/>
    <w:rsid w:val="004D3F00"/>
    <w:rsid w:val="004D408F"/>
    <w:rsid w:val="004D4871"/>
    <w:rsid w:val="004D5129"/>
    <w:rsid w:val="004D5B79"/>
    <w:rsid w:val="004D5FC4"/>
    <w:rsid w:val="004D70DD"/>
    <w:rsid w:val="004D73FB"/>
    <w:rsid w:val="004D7581"/>
    <w:rsid w:val="004D77CC"/>
    <w:rsid w:val="004D79D0"/>
    <w:rsid w:val="004D7B19"/>
    <w:rsid w:val="004E0EBB"/>
    <w:rsid w:val="004E102D"/>
    <w:rsid w:val="004E1CAD"/>
    <w:rsid w:val="004E3992"/>
    <w:rsid w:val="004E518F"/>
    <w:rsid w:val="004E5625"/>
    <w:rsid w:val="004E57FB"/>
    <w:rsid w:val="004E5E85"/>
    <w:rsid w:val="004E62E4"/>
    <w:rsid w:val="004E665C"/>
    <w:rsid w:val="004E7179"/>
    <w:rsid w:val="004E78C4"/>
    <w:rsid w:val="004E795D"/>
    <w:rsid w:val="004F0187"/>
    <w:rsid w:val="004F0DAD"/>
    <w:rsid w:val="004F1275"/>
    <w:rsid w:val="004F14DE"/>
    <w:rsid w:val="004F18BB"/>
    <w:rsid w:val="004F213B"/>
    <w:rsid w:val="004F3A43"/>
    <w:rsid w:val="004F61B2"/>
    <w:rsid w:val="004F6A39"/>
    <w:rsid w:val="004F7D79"/>
    <w:rsid w:val="00500028"/>
    <w:rsid w:val="0050129A"/>
    <w:rsid w:val="00501413"/>
    <w:rsid w:val="005016C1"/>
    <w:rsid w:val="00504082"/>
    <w:rsid w:val="00504958"/>
    <w:rsid w:val="0050495E"/>
    <w:rsid w:val="00505446"/>
    <w:rsid w:val="005056D6"/>
    <w:rsid w:val="00505AB9"/>
    <w:rsid w:val="0050613D"/>
    <w:rsid w:val="00506489"/>
    <w:rsid w:val="005066FB"/>
    <w:rsid w:val="005069C9"/>
    <w:rsid w:val="00507A03"/>
    <w:rsid w:val="00507D91"/>
    <w:rsid w:val="005108A7"/>
    <w:rsid w:val="00510E33"/>
    <w:rsid w:val="00511C6D"/>
    <w:rsid w:val="00511FF0"/>
    <w:rsid w:val="0051309F"/>
    <w:rsid w:val="0051475B"/>
    <w:rsid w:val="00515394"/>
    <w:rsid w:val="00515994"/>
    <w:rsid w:val="0051639E"/>
    <w:rsid w:val="00516B0C"/>
    <w:rsid w:val="0051733F"/>
    <w:rsid w:val="005175E3"/>
    <w:rsid w:val="005176C3"/>
    <w:rsid w:val="00520290"/>
    <w:rsid w:val="00520FA4"/>
    <w:rsid w:val="005214F2"/>
    <w:rsid w:val="00521CD4"/>
    <w:rsid w:val="00522057"/>
    <w:rsid w:val="005220DB"/>
    <w:rsid w:val="00522540"/>
    <w:rsid w:val="00522CE7"/>
    <w:rsid w:val="00523D83"/>
    <w:rsid w:val="00524FD4"/>
    <w:rsid w:val="0052611A"/>
    <w:rsid w:val="0052672F"/>
    <w:rsid w:val="00526B52"/>
    <w:rsid w:val="00526FB2"/>
    <w:rsid w:val="00527513"/>
    <w:rsid w:val="00527DCF"/>
    <w:rsid w:val="005319E8"/>
    <w:rsid w:val="00533708"/>
    <w:rsid w:val="005348A9"/>
    <w:rsid w:val="00534F5D"/>
    <w:rsid w:val="00535ACC"/>
    <w:rsid w:val="00535D38"/>
    <w:rsid w:val="0053670B"/>
    <w:rsid w:val="00536FF4"/>
    <w:rsid w:val="00537E85"/>
    <w:rsid w:val="00540D34"/>
    <w:rsid w:val="005415A1"/>
    <w:rsid w:val="00541C64"/>
    <w:rsid w:val="00541FC8"/>
    <w:rsid w:val="00542C88"/>
    <w:rsid w:val="00543713"/>
    <w:rsid w:val="005445E1"/>
    <w:rsid w:val="005454E6"/>
    <w:rsid w:val="0054761B"/>
    <w:rsid w:val="00550024"/>
    <w:rsid w:val="005502BF"/>
    <w:rsid w:val="0055181D"/>
    <w:rsid w:val="005520D3"/>
    <w:rsid w:val="00552479"/>
    <w:rsid w:val="005524EF"/>
    <w:rsid w:val="0055258A"/>
    <w:rsid w:val="005525B8"/>
    <w:rsid w:val="00554876"/>
    <w:rsid w:val="00554D6B"/>
    <w:rsid w:val="00554EDF"/>
    <w:rsid w:val="005550A1"/>
    <w:rsid w:val="005565EC"/>
    <w:rsid w:val="0055671D"/>
    <w:rsid w:val="00556EBD"/>
    <w:rsid w:val="00556F0F"/>
    <w:rsid w:val="00557357"/>
    <w:rsid w:val="005576A8"/>
    <w:rsid w:val="00560A5B"/>
    <w:rsid w:val="00561BBD"/>
    <w:rsid w:val="00563FF1"/>
    <w:rsid w:val="00564048"/>
    <w:rsid w:val="00565570"/>
    <w:rsid w:val="00566C84"/>
    <w:rsid w:val="005700C2"/>
    <w:rsid w:val="00570B74"/>
    <w:rsid w:val="00570C80"/>
    <w:rsid w:val="005716CA"/>
    <w:rsid w:val="00571B0B"/>
    <w:rsid w:val="00572BA8"/>
    <w:rsid w:val="00573AB6"/>
    <w:rsid w:val="0057598F"/>
    <w:rsid w:val="00576B2F"/>
    <w:rsid w:val="00576C61"/>
    <w:rsid w:val="00576E9D"/>
    <w:rsid w:val="00580FB0"/>
    <w:rsid w:val="00581AD9"/>
    <w:rsid w:val="00581F32"/>
    <w:rsid w:val="005827B8"/>
    <w:rsid w:val="00583607"/>
    <w:rsid w:val="00583B6C"/>
    <w:rsid w:val="00583C91"/>
    <w:rsid w:val="00584394"/>
    <w:rsid w:val="00585137"/>
    <w:rsid w:val="0058679C"/>
    <w:rsid w:val="00586F24"/>
    <w:rsid w:val="005874FB"/>
    <w:rsid w:val="00590095"/>
    <w:rsid w:val="0059066C"/>
    <w:rsid w:val="00590F1E"/>
    <w:rsid w:val="00591527"/>
    <w:rsid w:val="00591D7F"/>
    <w:rsid w:val="0059205C"/>
    <w:rsid w:val="00592438"/>
    <w:rsid w:val="00592AD6"/>
    <w:rsid w:val="00592E12"/>
    <w:rsid w:val="00593C01"/>
    <w:rsid w:val="00594FB3"/>
    <w:rsid w:val="00595A4A"/>
    <w:rsid w:val="00597BC8"/>
    <w:rsid w:val="005A08C6"/>
    <w:rsid w:val="005A11F2"/>
    <w:rsid w:val="005A1375"/>
    <w:rsid w:val="005A1B78"/>
    <w:rsid w:val="005A1C0C"/>
    <w:rsid w:val="005A2C33"/>
    <w:rsid w:val="005A2E34"/>
    <w:rsid w:val="005A4247"/>
    <w:rsid w:val="005A455A"/>
    <w:rsid w:val="005A482B"/>
    <w:rsid w:val="005A51E6"/>
    <w:rsid w:val="005A5E5F"/>
    <w:rsid w:val="005A64E5"/>
    <w:rsid w:val="005A6D3E"/>
    <w:rsid w:val="005A6DC5"/>
    <w:rsid w:val="005A7541"/>
    <w:rsid w:val="005A7F54"/>
    <w:rsid w:val="005B0976"/>
    <w:rsid w:val="005B115D"/>
    <w:rsid w:val="005B1323"/>
    <w:rsid w:val="005B2F3C"/>
    <w:rsid w:val="005B372E"/>
    <w:rsid w:val="005B3832"/>
    <w:rsid w:val="005B3B0A"/>
    <w:rsid w:val="005B3FDC"/>
    <w:rsid w:val="005B4ABE"/>
    <w:rsid w:val="005B4B93"/>
    <w:rsid w:val="005B5427"/>
    <w:rsid w:val="005B5A63"/>
    <w:rsid w:val="005B5DC9"/>
    <w:rsid w:val="005B6F00"/>
    <w:rsid w:val="005B7403"/>
    <w:rsid w:val="005C04FF"/>
    <w:rsid w:val="005C0853"/>
    <w:rsid w:val="005C0AA2"/>
    <w:rsid w:val="005C16A7"/>
    <w:rsid w:val="005C199D"/>
    <w:rsid w:val="005C1DAE"/>
    <w:rsid w:val="005C317E"/>
    <w:rsid w:val="005C3270"/>
    <w:rsid w:val="005C39E8"/>
    <w:rsid w:val="005C4558"/>
    <w:rsid w:val="005C4860"/>
    <w:rsid w:val="005C48D8"/>
    <w:rsid w:val="005C4B77"/>
    <w:rsid w:val="005C53AE"/>
    <w:rsid w:val="005C63BD"/>
    <w:rsid w:val="005C63E9"/>
    <w:rsid w:val="005C69D8"/>
    <w:rsid w:val="005C6B2C"/>
    <w:rsid w:val="005C70AD"/>
    <w:rsid w:val="005C7616"/>
    <w:rsid w:val="005D0096"/>
    <w:rsid w:val="005D12B4"/>
    <w:rsid w:val="005D221E"/>
    <w:rsid w:val="005D4C25"/>
    <w:rsid w:val="005D50B5"/>
    <w:rsid w:val="005D5724"/>
    <w:rsid w:val="005D5A7D"/>
    <w:rsid w:val="005D660A"/>
    <w:rsid w:val="005D695A"/>
    <w:rsid w:val="005E15FE"/>
    <w:rsid w:val="005E16A7"/>
    <w:rsid w:val="005E1A68"/>
    <w:rsid w:val="005E295A"/>
    <w:rsid w:val="005E2ED1"/>
    <w:rsid w:val="005E34B9"/>
    <w:rsid w:val="005E426C"/>
    <w:rsid w:val="005E48AA"/>
    <w:rsid w:val="005E5694"/>
    <w:rsid w:val="005E5E6E"/>
    <w:rsid w:val="005E6929"/>
    <w:rsid w:val="005E6CBC"/>
    <w:rsid w:val="005E6F6B"/>
    <w:rsid w:val="005E78C6"/>
    <w:rsid w:val="005E7C7D"/>
    <w:rsid w:val="005F05A4"/>
    <w:rsid w:val="005F202C"/>
    <w:rsid w:val="005F245D"/>
    <w:rsid w:val="005F2E14"/>
    <w:rsid w:val="005F32E5"/>
    <w:rsid w:val="005F3848"/>
    <w:rsid w:val="005F38A3"/>
    <w:rsid w:val="005F4C65"/>
    <w:rsid w:val="005F5818"/>
    <w:rsid w:val="005F5858"/>
    <w:rsid w:val="005F7198"/>
    <w:rsid w:val="005F7AE0"/>
    <w:rsid w:val="00602188"/>
    <w:rsid w:val="00602205"/>
    <w:rsid w:val="00604107"/>
    <w:rsid w:val="006044BA"/>
    <w:rsid w:val="00604E38"/>
    <w:rsid w:val="00605ED6"/>
    <w:rsid w:val="00606372"/>
    <w:rsid w:val="00607CB1"/>
    <w:rsid w:val="006101EB"/>
    <w:rsid w:val="0061118B"/>
    <w:rsid w:val="0061122D"/>
    <w:rsid w:val="00611BEB"/>
    <w:rsid w:val="0061293F"/>
    <w:rsid w:val="00612C3F"/>
    <w:rsid w:val="00612F1B"/>
    <w:rsid w:val="00614329"/>
    <w:rsid w:val="006149B9"/>
    <w:rsid w:val="00616394"/>
    <w:rsid w:val="00616E5E"/>
    <w:rsid w:val="006172F9"/>
    <w:rsid w:val="00617934"/>
    <w:rsid w:val="00623882"/>
    <w:rsid w:val="00626BDB"/>
    <w:rsid w:val="0062756B"/>
    <w:rsid w:val="0063037E"/>
    <w:rsid w:val="006303A6"/>
    <w:rsid w:val="006303F3"/>
    <w:rsid w:val="006304D1"/>
    <w:rsid w:val="006306AF"/>
    <w:rsid w:val="00631432"/>
    <w:rsid w:val="0063196B"/>
    <w:rsid w:val="006328A5"/>
    <w:rsid w:val="006329C1"/>
    <w:rsid w:val="00632D98"/>
    <w:rsid w:val="00633EA5"/>
    <w:rsid w:val="00633EDC"/>
    <w:rsid w:val="006349C5"/>
    <w:rsid w:val="00635D92"/>
    <w:rsid w:val="00635EE9"/>
    <w:rsid w:val="00637CF9"/>
    <w:rsid w:val="00637D8E"/>
    <w:rsid w:val="00637FDB"/>
    <w:rsid w:val="00640079"/>
    <w:rsid w:val="006408F0"/>
    <w:rsid w:val="00640EBC"/>
    <w:rsid w:val="00641A5F"/>
    <w:rsid w:val="00642275"/>
    <w:rsid w:val="00642408"/>
    <w:rsid w:val="00642663"/>
    <w:rsid w:val="00643355"/>
    <w:rsid w:val="00643BD1"/>
    <w:rsid w:val="00644052"/>
    <w:rsid w:val="006447B8"/>
    <w:rsid w:val="00644BFA"/>
    <w:rsid w:val="006466F3"/>
    <w:rsid w:val="00646911"/>
    <w:rsid w:val="0064695F"/>
    <w:rsid w:val="006476ED"/>
    <w:rsid w:val="00647C5F"/>
    <w:rsid w:val="00647C84"/>
    <w:rsid w:val="00647CC7"/>
    <w:rsid w:val="006509E6"/>
    <w:rsid w:val="0065114D"/>
    <w:rsid w:val="006532A5"/>
    <w:rsid w:val="00653D53"/>
    <w:rsid w:val="00654796"/>
    <w:rsid w:val="00654AD2"/>
    <w:rsid w:val="00655AA2"/>
    <w:rsid w:val="006565F2"/>
    <w:rsid w:val="006572FD"/>
    <w:rsid w:val="00657642"/>
    <w:rsid w:val="00657EED"/>
    <w:rsid w:val="00662026"/>
    <w:rsid w:val="00663075"/>
    <w:rsid w:val="00663590"/>
    <w:rsid w:val="00664901"/>
    <w:rsid w:val="00664B34"/>
    <w:rsid w:val="00664FA9"/>
    <w:rsid w:val="006657B9"/>
    <w:rsid w:val="00665E0C"/>
    <w:rsid w:val="0066610B"/>
    <w:rsid w:val="00666367"/>
    <w:rsid w:val="00666FF0"/>
    <w:rsid w:val="00667099"/>
    <w:rsid w:val="00667937"/>
    <w:rsid w:val="00667F0D"/>
    <w:rsid w:val="006702FF"/>
    <w:rsid w:val="00670D6F"/>
    <w:rsid w:val="00670E30"/>
    <w:rsid w:val="006713B7"/>
    <w:rsid w:val="006724E5"/>
    <w:rsid w:val="00672612"/>
    <w:rsid w:val="00672F6E"/>
    <w:rsid w:val="0067329A"/>
    <w:rsid w:val="0067382D"/>
    <w:rsid w:val="00673888"/>
    <w:rsid w:val="00673923"/>
    <w:rsid w:val="00674945"/>
    <w:rsid w:val="006757A2"/>
    <w:rsid w:val="006771AE"/>
    <w:rsid w:val="00677BA8"/>
    <w:rsid w:val="006802CF"/>
    <w:rsid w:val="0068066E"/>
    <w:rsid w:val="00681C3B"/>
    <w:rsid w:val="0068250C"/>
    <w:rsid w:val="00682993"/>
    <w:rsid w:val="00683102"/>
    <w:rsid w:val="0068386A"/>
    <w:rsid w:val="0068392C"/>
    <w:rsid w:val="006846AA"/>
    <w:rsid w:val="00684917"/>
    <w:rsid w:val="00684BBD"/>
    <w:rsid w:val="00690218"/>
    <w:rsid w:val="00690A22"/>
    <w:rsid w:val="00690D87"/>
    <w:rsid w:val="0069237C"/>
    <w:rsid w:val="00692B58"/>
    <w:rsid w:val="0069320E"/>
    <w:rsid w:val="00693D86"/>
    <w:rsid w:val="00694F8D"/>
    <w:rsid w:val="006953D0"/>
    <w:rsid w:val="006959D9"/>
    <w:rsid w:val="00695A26"/>
    <w:rsid w:val="00696109"/>
    <w:rsid w:val="00697584"/>
    <w:rsid w:val="00697789"/>
    <w:rsid w:val="0069783E"/>
    <w:rsid w:val="006978D4"/>
    <w:rsid w:val="006A0586"/>
    <w:rsid w:val="006A0D79"/>
    <w:rsid w:val="006A1723"/>
    <w:rsid w:val="006A1A99"/>
    <w:rsid w:val="006A1E1C"/>
    <w:rsid w:val="006A276B"/>
    <w:rsid w:val="006A28FB"/>
    <w:rsid w:val="006A5364"/>
    <w:rsid w:val="006A6C26"/>
    <w:rsid w:val="006A6D3C"/>
    <w:rsid w:val="006B0040"/>
    <w:rsid w:val="006B05A7"/>
    <w:rsid w:val="006B0D12"/>
    <w:rsid w:val="006B1CEC"/>
    <w:rsid w:val="006B295F"/>
    <w:rsid w:val="006B2F61"/>
    <w:rsid w:val="006B35F8"/>
    <w:rsid w:val="006B401F"/>
    <w:rsid w:val="006B4B05"/>
    <w:rsid w:val="006B58B4"/>
    <w:rsid w:val="006B6DE8"/>
    <w:rsid w:val="006C11D7"/>
    <w:rsid w:val="006C1EDF"/>
    <w:rsid w:val="006C47ED"/>
    <w:rsid w:val="006C5027"/>
    <w:rsid w:val="006C6715"/>
    <w:rsid w:val="006C71B0"/>
    <w:rsid w:val="006D110F"/>
    <w:rsid w:val="006D18BA"/>
    <w:rsid w:val="006D2204"/>
    <w:rsid w:val="006D2D62"/>
    <w:rsid w:val="006D2DCD"/>
    <w:rsid w:val="006D3635"/>
    <w:rsid w:val="006D3A0E"/>
    <w:rsid w:val="006D3A21"/>
    <w:rsid w:val="006D3E0A"/>
    <w:rsid w:val="006D4CDA"/>
    <w:rsid w:val="006D4FAD"/>
    <w:rsid w:val="006D50F2"/>
    <w:rsid w:val="006D54A4"/>
    <w:rsid w:val="006D6B18"/>
    <w:rsid w:val="006D6B49"/>
    <w:rsid w:val="006D6BFC"/>
    <w:rsid w:val="006D75D6"/>
    <w:rsid w:val="006D7BD6"/>
    <w:rsid w:val="006E0685"/>
    <w:rsid w:val="006E210A"/>
    <w:rsid w:val="006E230F"/>
    <w:rsid w:val="006E2BED"/>
    <w:rsid w:val="006E399B"/>
    <w:rsid w:val="006E4066"/>
    <w:rsid w:val="006E4855"/>
    <w:rsid w:val="006E5F55"/>
    <w:rsid w:val="006E60A6"/>
    <w:rsid w:val="006E6501"/>
    <w:rsid w:val="006E650C"/>
    <w:rsid w:val="006E6A6C"/>
    <w:rsid w:val="006E6B63"/>
    <w:rsid w:val="006E7631"/>
    <w:rsid w:val="006E7A75"/>
    <w:rsid w:val="006F0BDA"/>
    <w:rsid w:val="006F0DFE"/>
    <w:rsid w:val="006F1981"/>
    <w:rsid w:val="006F1A1B"/>
    <w:rsid w:val="006F1D40"/>
    <w:rsid w:val="006F2392"/>
    <w:rsid w:val="006F2EDD"/>
    <w:rsid w:val="006F304C"/>
    <w:rsid w:val="006F3CA8"/>
    <w:rsid w:val="006F58D9"/>
    <w:rsid w:val="006F5AB8"/>
    <w:rsid w:val="006F6039"/>
    <w:rsid w:val="006F7D5C"/>
    <w:rsid w:val="006F7E84"/>
    <w:rsid w:val="00700C19"/>
    <w:rsid w:val="00701A0D"/>
    <w:rsid w:val="007022B3"/>
    <w:rsid w:val="0070275B"/>
    <w:rsid w:val="00702A6C"/>
    <w:rsid w:val="007038FA"/>
    <w:rsid w:val="00703A48"/>
    <w:rsid w:val="00703E27"/>
    <w:rsid w:val="0070463C"/>
    <w:rsid w:val="0070490D"/>
    <w:rsid w:val="00704F2A"/>
    <w:rsid w:val="0070533E"/>
    <w:rsid w:val="00705855"/>
    <w:rsid w:val="007066B5"/>
    <w:rsid w:val="00707297"/>
    <w:rsid w:val="0071134B"/>
    <w:rsid w:val="007115C4"/>
    <w:rsid w:val="007125CF"/>
    <w:rsid w:val="007128DC"/>
    <w:rsid w:val="00713DDF"/>
    <w:rsid w:val="00714507"/>
    <w:rsid w:val="007147E3"/>
    <w:rsid w:val="00714864"/>
    <w:rsid w:val="0071588D"/>
    <w:rsid w:val="00715B59"/>
    <w:rsid w:val="007160E5"/>
    <w:rsid w:val="00717536"/>
    <w:rsid w:val="0071753E"/>
    <w:rsid w:val="007175E9"/>
    <w:rsid w:val="00717754"/>
    <w:rsid w:val="00717A17"/>
    <w:rsid w:val="00717BFF"/>
    <w:rsid w:val="007202F9"/>
    <w:rsid w:val="007210D9"/>
    <w:rsid w:val="007212E1"/>
    <w:rsid w:val="00721502"/>
    <w:rsid w:val="007215E1"/>
    <w:rsid w:val="007217B3"/>
    <w:rsid w:val="007238C4"/>
    <w:rsid w:val="00723FB4"/>
    <w:rsid w:val="00724DD4"/>
    <w:rsid w:val="00726B4C"/>
    <w:rsid w:val="00726E4F"/>
    <w:rsid w:val="007270F5"/>
    <w:rsid w:val="00727335"/>
    <w:rsid w:val="00730170"/>
    <w:rsid w:val="00730198"/>
    <w:rsid w:val="00730298"/>
    <w:rsid w:val="00730AA4"/>
    <w:rsid w:val="0073198F"/>
    <w:rsid w:val="00731A3D"/>
    <w:rsid w:val="00731C50"/>
    <w:rsid w:val="007324F5"/>
    <w:rsid w:val="00734226"/>
    <w:rsid w:val="00734339"/>
    <w:rsid w:val="007346EF"/>
    <w:rsid w:val="00734A5A"/>
    <w:rsid w:val="00734E97"/>
    <w:rsid w:val="007351FB"/>
    <w:rsid w:val="00735D85"/>
    <w:rsid w:val="00736E84"/>
    <w:rsid w:val="00740220"/>
    <w:rsid w:val="0074154D"/>
    <w:rsid w:val="0074186F"/>
    <w:rsid w:val="00741D49"/>
    <w:rsid w:val="007425BB"/>
    <w:rsid w:val="00742AC6"/>
    <w:rsid w:val="007439FB"/>
    <w:rsid w:val="007447BF"/>
    <w:rsid w:val="00744AB1"/>
    <w:rsid w:val="00744EC4"/>
    <w:rsid w:val="00745036"/>
    <w:rsid w:val="0074579E"/>
    <w:rsid w:val="00745A21"/>
    <w:rsid w:val="00745FF1"/>
    <w:rsid w:val="00747348"/>
    <w:rsid w:val="0074779F"/>
    <w:rsid w:val="007508F4"/>
    <w:rsid w:val="00750B4B"/>
    <w:rsid w:val="00750CA0"/>
    <w:rsid w:val="00751264"/>
    <w:rsid w:val="0075213D"/>
    <w:rsid w:val="007522AC"/>
    <w:rsid w:val="00752D72"/>
    <w:rsid w:val="00753193"/>
    <w:rsid w:val="00753236"/>
    <w:rsid w:val="007536A1"/>
    <w:rsid w:val="0075558D"/>
    <w:rsid w:val="00756A23"/>
    <w:rsid w:val="007601C1"/>
    <w:rsid w:val="007604A1"/>
    <w:rsid w:val="007605E9"/>
    <w:rsid w:val="00760738"/>
    <w:rsid w:val="0076093A"/>
    <w:rsid w:val="00761511"/>
    <w:rsid w:val="00761F5E"/>
    <w:rsid w:val="00762813"/>
    <w:rsid w:val="007628BE"/>
    <w:rsid w:val="00763322"/>
    <w:rsid w:val="00763406"/>
    <w:rsid w:val="00764045"/>
    <w:rsid w:val="00764119"/>
    <w:rsid w:val="0076501C"/>
    <w:rsid w:val="00765ACA"/>
    <w:rsid w:val="00765C32"/>
    <w:rsid w:val="0077054B"/>
    <w:rsid w:val="00770C78"/>
    <w:rsid w:val="00771615"/>
    <w:rsid w:val="00771729"/>
    <w:rsid w:val="007719C9"/>
    <w:rsid w:val="00771E27"/>
    <w:rsid w:val="0077272F"/>
    <w:rsid w:val="007743E8"/>
    <w:rsid w:val="00774CFB"/>
    <w:rsid w:val="00775136"/>
    <w:rsid w:val="00775645"/>
    <w:rsid w:val="00775B4E"/>
    <w:rsid w:val="00775E0B"/>
    <w:rsid w:val="0077653C"/>
    <w:rsid w:val="007766C8"/>
    <w:rsid w:val="0077682B"/>
    <w:rsid w:val="0077683F"/>
    <w:rsid w:val="007769C8"/>
    <w:rsid w:val="00776B4B"/>
    <w:rsid w:val="00776D40"/>
    <w:rsid w:val="007770A2"/>
    <w:rsid w:val="007771E1"/>
    <w:rsid w:val="00777D55"/>
    <w:rsid w:val="00780775"/>
    <w:rsid w:val="00781A4E"/>
    <w:rsid w:val="00782566"/>
    <w:rsid w:val="00782997"/>
    <w:rsid w:val="00782EA1"/>
    <w:rsid w:val="00783D9D"/>
    <w:rsid w:val="00783F0B"/>
    <w:rsid w:val="007851B4"/>
    <w:rsid w:val="00785649"/>
    <w:rsid w:val="00786067"/>
    <w:rsid w:val="00786140"/>
    <w:rsid w:val="00786A5E"/>
    <w:rsid w:val="00786B13"/>
    <w:rsid w:val="00786E78"/>
    <w:rsid w:val="00786E7A"/>
    <w:rsid w:val="007876A1"/>
    <w:rsid w:val="00787B49"/>
    <w:rsid w:val="0079049D"/>
    <w:rsid w:val="007910CE"/>
    <w:rsid w:val="00791A00"/>
    <w:rsid w:val="00791D13"/>
    <w:rsid w:val="00791E6B"/>
    <w:rsid w:val="0079200B"/>
    <w:rsid w:val="007922E7"/>
    <w:rsid w:val="007923BD"/>
    <w:rsid w:val="00793490"/>
    <w:rsid w:val="0079473D"/>
    <w:rsid w:val="00794D7A"/>
    <w:rsid w:val="0079546B"/>
    <w:rsid w:val="0079625F"/>
    <w:rsid w:val="00796826"/>
    <w:rsid w:val="007A01BC"/>
    <w:rsid w:val="007A04BF"/>
    <w:rsid w:val="007A0B03"/>
    <w:rsid w:val="007A114B"/>
    <w:rsid w:val="007A20B1"/>
    <w:rsid w:val="007A23B7"/>
    <w:rsid w:val="007A534C"/>
    <w:rsid w:val="007A674C"/>
    <w:rsid w:val="007A6B0F"/>
    <w:rsid w:val="007A6C59"/>
    <w:rsid w:val="007A6D93"/>
    <w:rsid w:val="007A7DE0"/>
    <w:rsid w:val="007B34C2"/>
    <w:rsid w:val="007B4677"/>
    <w:rsid w:val="007B4CF9"/>
    <w:rsid w:val="007B5F83"/>
    <w:rsid w:val="007B671A"/>
    <w:rsid w:val="007C09A6"/>
    <w:rsid w:val="007C0B6D"/>
    <w:rsid w:val="007C0BC5"/>
    <w:rsid w:val="007C2F7E"/>
    <w:rsid w:val="007C3C3A"/>
    <w:rsid w:val="007C4DCF"/>
    <w:rsid w:val="007C65A4"/>
    <w:rsid w:val="007C6776"/>
    <w:rsid w:val="007C6DB3"/>
    <w:rsid w:val="007C6DC6"/>
    <w:rsid w:val="007C6E70"/>
    <w:rsid w:val="007C75C7"/>
    <w:rsid w:val="007C788B"/>
    <w:rsid w:val="007D1355"/>
    <w:rsid w:val="007D19A3"/>
    <w:rsid w:val="007D26E1"/>
    <w:rsid w:val="007D2D5D"/>
    <w:rsid w:val="007D2DB0"/>
    <w:rsid w:val="007D2E1A"/>
    <w:rsid w:val="007D370F"/>
    <w:rsid w:val="007D4A84"/>
    <w:rsid w:val="007D5068"/>
    <w:rsid w:val="007D61A6"/>
    <w:rsid w:val="007D69BD"/>
    <w:rsid w:val="007D6E19"/>
    <w:rsid w:val="007D7549"/>
    <w:rsid w:val="007E02D0"/>
    <w:rsid w:val="007E06D6"/>
    <w:rsid w:val="007E1133"/>
    <w:rsid w:val="007E22FC"/>
    <w:rsid w:val="007E3628"/>
    <w:rsid w:val="007E3925"/>
    <w:rsid w:val="007E3A6C"/>
    <w:rsid w:val="007E3E98"/>
    <w:rsid w:val="007E3F57"/>
    <w:rsid w:val="007E4288"/>
    <w:rsid w:val="007E57A0"/>
    <w:rsid w:val="007E621E"/>
    <w:rsid w:val="007E68F7"/>
    <w:rsid w:val="007E6F62"/>
    <w:rsid w:val="007E779D"/>
    <w:rsid w:val="007E791F"/>
    <w:rsid w:val="007F08A5"/>
    <w:rsid w:val="007F0FB8"/>
    <w:rsid w:val="007F1703"/>
    <w:rsid w:val="007F1D92"/>
    <w:rsid w:val="007F2170"/>
    <w:rsid w:val="007F3868"/>
    <w:rsid w:val="007F3A92"/>
    <w:rsid w:val="007F3D1D"/>
    <w:rsid w:val="007F567F"/>
    <w:rsid w:val="007F59D0"/>
    <w:rsid w:val="007F5A28"/>
    <w:rsid w:val="007F6529"/>
    <w:rsid w:val="008006B1"/>
    <w:rsid w:val="00801557"/>
    <w:rsid w:val="0080198F"/>
    <w:rsid w:val="00803C69"/>
    <w:rsid w:val="00804AE6"/>
    <w:rsid w:val="00804C56"/>
    <w:rsid w:val="00805075"/>
    <w:rsid w:val="00805D85"/>
    <w:rsid w:val="00805E6E"/>
    <w:rsid w:val="00805EAB"/>
    <w:rsid w:val="008061EB"/>
    <w:rsid w:val="0080795A"/>
    <w:rsid w:val="00807CAB"/>
    <w:rsid w:val="0081089F"/>
    <w:rsid w:val="008111AA"/>
    <w:rsid w:val="00812A3A"/>
    <w:rsid w:val="00812CDB"/>
    <w:rsid w:val="008134BC"/>
    <w:rsid w:val="00813B91"/>
    <w:rsid w:val="00814032"/>
    <w:rsid w:val="00814E08"/>
    <w:rsid w:val="0081514E"/>
    <w:rsid w:val="00815A6D"/>
    <w:rsid w:val="00815C10"/>
    <w:rsid w:val="00815E74"/>
    <w:rsid w:val="0081673B"/>
    <w:rsid w:val="00816D44"/>
    <w:rsid w:val="008170F4"/>
    <w:rsid w:val="0081723F"/>
    <w:rsid w:val="008175E8"/>
    <w:rsid w:val="00820D29"/>
    <w:rsid w:val="008211A6"/>
    <w:rsid w:val="008211E6"/>
    <w:rsid w:val="00821508"/>
    <w:rsid w:val="00821798"/>
    <w:rsid w:val="00821B12"/>
    <w:rsid w:val="008222D3"/>
    <w:rsid w:val="00823740"/>
    <w:rsid w:val="008245CD"/>
    <w:rsid w:val="00824CF4"/>
    <w:rsid w:val="00825228"/>
    <w:rsid w:val="008256C1"/>
    <w:rsid w:val="00827254"/>
    <w:rsid w:val="008273E5"/>
    <w:rsid w:val="0082789F"/>
    <w:rsid w:val="008278FA"/>
    <w:rsid w:val="0083015C"/>
    <w:rsid w:val="00830943"/>
    <w:rsid w:val="008309D0"/>
    <w:rsid w:val="00830CB2"/>
    <w:rsid w:val="0083105D"/>
    <w:rsid w:val="008311CB"/>
    <w:rsid w:val="008312C2"/>
    <w:rsid w:val="00831DBE"/>
    <w:rsid w:val="00832CD4"/>
    <w:rsid w:val="00833C3E"/>
    <w:rsid w:val="00833D1A"/>
    <w:rsid w:val="00835071"/>
    <w:rsid w:val="00835367"/>
    <w:rsid w:val="008357E2"/>
    <w:rsid w:val="00835951"/>
    <w:rsid w:val="00835AE6"/>
    <w:rsid w:val="00835CD7"/>
    <w:rsid w:val="00836867"/>
    <w:rsid w:val="00837141"/>
    <w:rsid w:val="008401A0"/>
    <w:rsid w:val="00840309"/>
    <w:rsid w:val="00840AC9"/>
    <w:rsid w:val="00842706"/>
    <w:rsid w:val="00842799"/>
    <w:rsid w:val="00843162"/>
    <w:rsid w:val="00843B3C"/>
    <w:rsid w:val="00843D6F"/>
    <w:rsid w:val="00844348"/>
    <w:rsid w:val="008449D5"/>
    <w:rsid w:val="00844F3C"/>
    <w:rsid w:val="00846778"/>
    <w:rsid w:val="008468D1"/>
    <w:rsid w:val="0084752E"/>
    <w:rsid w:val="008477DC"/>
    <w:rsid w:val="00850528"/>
    <w:rsid w:val="00850D26"/>
    <w:rsid w:val="00850D7D"/>
    <w:rsid w:val="00851B14"/>
    <w:rsid w:val="00851E9F"/>
    <w:rsid w:val="008524F4"/>
    <w:rsid w:val="00852889"/>
    <w:rsid w:val="00852F1E"/>
    <w:rsid w:val="008534BA"/>
    <w:rsid w:val="008538EF"/>
    <w:rsid w:val="00853C33"/>
    <w:rsid w:val="00853ED8"/>
    <w:rsid w:val="008540D0"/>
    <w:rsid w:val="008540E2"/>
    <w:rsid w:val="00854499"/>
    <w:rsid w:val="0085543E"/>
    <w:rsid w:val="00855A34"/>
    <w:rsid w:val="00855C40"/>
    <w:rsid w:val="00855FCE"/>
    <w:rsid w:val="00857570"/>
    <w:rsid w:val="00860274"/>
    <w:rsid w:val="00860EF2"/>
    <w:rsid w:val="0086122D"/>
    <w:rsid w:val="008614FA"/>
    <w:rsid w:val="008627A3"/>
    <w:rsid w:val="00863182"/>
    <w:rsid w:val="0086471C"/>
    <w:rsid w:val="0086510F"/>
    <w:rsid w:val="00865BB0"/>
    <w:rsid w:val="008661AE"/>
    <w:rsid w:val="00867625"/>
    <w:rsid w:val="00867724"/>
    <w:rsid w:val="00870605"/>
    <w:rsid w:val="008707DE"/>
    <w:rsid w:val="00870979"/>
    <w:rsid w:val="00871465"/>
    <w:rsid w:val="00871A99"/>
    <w:rsid w:val="00872071"/>
    <w:rsid w:val="00872191"/>
    <w:rsid w:val="008730C8"/>
    <w:rsid w:val="00874484"/>
    <w:rsid w:val="00875982"/>
    <w:rsid w:val="00875AD0"/>
    <w:rsid w:val="00875E18"/>
    <w:rsid w:val="00875FA7"/>
    <w:rsid w:val="00876399"/>
    <w:rsid w:val="00877D24"/>
    <w:rsid w:val="00877F48"/>
    <w:rsid w:val="00880127"/>
    <w:rsid w:val="00880C3F"/>
    <w:rsid w:val="00882045"/>
    <w:rsid w:val="0088299C"/>
    <w:rsid w:val="00883723"/>
    <w:rsid w:val="0088410E"/>
    <w:rsid w:val="00884901"/>
    <w:rsid w:val="00884DBB"/>
    <w:rsid w:val="00884FAD"/>
    <w:rsid w:val="008864A4"/>
    <w:rsid w:val="00886643"/>
    <w:rsid w:val="00886916"/>
    <w:rsid w:val="008872F0"/>
    <w:rsid w:val="00887648"/>
    <w:rsid w:val="00887BD9"/>
    <w:rsid w:val="00887D47"/>
    <w:rsid w:val="00890222"/>
    <w:rsid w:val="00890AD2"/>
    <w:rsid w:val="00891B63"/>
    <w:rsid w:val="008933A8"/>
    <w:rsid w:val="00893FC0"/>
    <w:rsid w:val="0089409D"/>
    <w:rsid w:val="008952F9"/>
    <w:rsid w:val="00895C60"/>
    <w:rsid w:val="008967DF"/>
    <w:rsid w:val="008A0E30"/>
    <w:rsid w:val="008A261A"/>
    <w:rsid w:val="008A30F2"/>
    <w:rsid w:val="008A33A2"/>
    <w:rsid w:val="008A3551"/>
    <w:rsid w:val="008A3FAD"/>
    <w:rsid w:val="008A4DA0"/>
    <w:rsid w:val="008A4FB9"/>
    <w:rsid w:val="008A51A1"/>
    <w:rsid w:val="008A5B37"/>
    <w:rsid w:val="008A64DC"/>
    <w:rsid w:val="008A6580"/>
    <w:rsid w:val="008A66B2"/>
    <w:rsid w:val="008A6719"/>
    <w:rsid w:val="008A6760"/>
    <w:rsid w:val="008A678A"/>
    <w:rsid w:val="008A6C1A"/>
    <w:rsid w:val="008A773B"/>
    <w:rsid w:val="008A7D7F"/>
    <w:rsid w:val="008B043F"/>
    <w:rsid w:val="008B096A"/>
    <w:rsid w:val="008B0C2B"/>
    <w:rsid w:val="008B18B3"/>
    <w:rsid w:val="008B219B"/>
    <w:rsid w:val="008B2352"/>
    <w:rsid w:val="008B2463"/>
    <w:rsid w:val="008B2AF5"/>
    <w:rsid w:val="008B472F"/>
    <w:rsid w:val="008B4965"/>
    <w:rsid w:val="008B5A4F"/>
    <w:rsid w:val="008B5F6A"/>
    <w:rsid w:val="008B69DA"/>
    <w:rsid w:val="008B74A6"/>
    <w:rsid w:val="008B7EA9"/>
    <w:rsid w:val="008C0CE9"/>
    <w:rsid w:val="008C13A5"/>
    <w:rsid w:val="008C1600"/>
    <w:rsid w:val="008C18A0"/>
    <w:rsid w:val="008C21A8"/>
    <w:rsid w:val="008C2412"/>
    <w:rsid w:val="008C2AFC"/>
    <w:rsid w:val="008C2C9C"/>
    <w:rsid w:val="008C2D50"/>
    <w:rsid w:val="008C2F17"/>
    <w:rsid w:val="008C4510"/>
    <w:rsid w:val="008C478D"/>
    <w:rsid w:val="008C4C8C"/>
    <w:rsid w:val="008C5460"/>
    <w:rsid w:val="008C633E"/>
    <w:rsid w:val="008C6476"/>
    <w:rsid w:val="008C6A43"/>
    <w:rsid w:val="008C6B93"/>
    <w:rsid w:val="008C6D65"/>
    <w:rsid w:val="008C6DAC"/>
    <w:rsid w:val="008C71FF"/>
    <w:rsid w:val="008C7236"/>
    <w:rsid w:val="008C7375"/>
    <w:rsid w:val="008C7780"/>
    <w:rsid w:val="008D0023"/>
    <w:rsid w:val="008D0105"/>
    <w:rsid w:val="008D0BBC"/>
    <w:rsid w:val="008D0D16"/>
    <w:rsid w:val="008D0EAD"/>
    <w:rsid w:val="008D126E"/>
    <w:rsid w:val="008D12EE"/>
    <w:rsid w:val="008D170B"/>
    <w:rsid w:val="008D2CD9"/>
    <w:rsid w:val="008D325B"/>
    <w:rsid w:val="008D4E9D"/>
    <w:rsid w:val="008D52A6"/>
    <w:rsid w:val="008D5CAD"/>
    <w:rsid w:val="008D6474"/>
    <w:rsid w:val="008D6756"/>
    <w:rsid w:val="008D695D"/>
    <w:rsid w:val="008D720E"/>
    <w:rsid w:val="008D7597"/>
    <w:rsid w:val="008D764C"/>
    <w:rsid w:val="008D7ACC"/>
    <w:rsid w:val="008E0B3D"/>
    <w:rsid w:val="008E25F8"/>
    <w:rsid w:val="008E2A1C"/>
    <w:rsid w:val="008E42CC"/>
    <w:rsid w:val="008E439A"/>
    <w:rsid w:val="008E59C8"/>
    <w:rsid w:val="008E5ACA"/>
    <w:rsid w:val="008E6A24"/>
    <w:rsid w:val="008E6D6D"/>
    <w:rsid w:val="008E775F"/>
    <w:rsid w:val="008E7906"/>
    <w:rsid w:val="008F0E11"/>
    <w:rsid w:val="008F0F66"/>
    <w:rsid w:val="008F146A"/>
    <w:rsid w:val="008F1D30"/>
    <w:rsid w:val="008F2F99"/>
    <w:rsid w:val="008F487A"/>
    <w:rsid w:val="008F4C46"/>
    <w:rsid w:val="008F5804"/>
    <w:rsid w:val="008F6DAE"/>
    <w:rsid w:val="008F6EFA"/>
    <w:rsid w:val="009012EC"/>
    <w:rsid w:val="00901306"/>
    <w:rsid w:val="009013E3"/>
    <w:rsid w:val="00902895"/>
    <w:rsid w:val="009056C7"/>
    <w:rsid w:val="00905AF0"/>
    <w:rsid w:val="00905C23"/>
    <w:rsid w:val="00906224"/>
    <w:rsid w:val="009069C6"/>
    <w:rsid w:val="0091059A"/>
    <w:rsid w:val="0091059B"/>
    <w:rsid w:val="009122AA"/>
    <w:rsid w:val="00914288"/>
    <w:rsid w:val="009151BA"/>
    <w:rsid w:val="009171E5"/>
    <w:rsid w:val="009178C4"/>
    <w:rsid w:val="009178D1"/>
    <w:rsid w:val="009200DB"/>
    <w:rsid w:val="00920F4C"/>
    <w:rsid w:val="0092100E"/>
    <w:rsid w:val="00921160"/>
    <w:rsid w:val="00921336"/>
    <w:rsid w:val="00922661"/>
    <w:rsid w:val="00922C18"/>
    <w:rsid w:val="00922FCE"/>
    <w:rsid w:val="00924350"/>
    <w:rsid w:val="00924A06"/>
    <w:rsid w:val="00924A2B"/>
    <w:rsid w:val="0092572C"/>
    <w:rsid w:val="00927594"/>
    <w:rsid w:val="00930A68"/>
    <w:rsid w:val="00930CB5"/>
    <w:rsid w:val="00931D78"/>
    <w:rsid w:val="009327EF"/>
    <w:rsid w:val="0093308D"/>
    <w:rsid w:val="00933160"/>
    <w:rsid w:val="00933530"/>
    <w:rsid w:val="00933A83"/>
    <w:rsid w:val="00934DEE"/>
    <w:rsid w:val="00935682"/>
    <w:rsid w:val="00935C7D"/>
    <w:rsid w:val="009400D9"/>
    <w:rsid w:val="00941A39"/>
    <w:rsid w:val="00941B31"/>
    <w:rsid w:val="009420E6"/>
    <w:rsid w:val="009454A7"/>
    <w:rsid w:val="0094559B"/>
    <w:rsid w:val="0095009D"/>
    <w:rsid w:val="00950CA1"/>
    <w:rsid w:val="00952DD8"/>
    <w:rsid w:val="009547B9"/>
    <w:rsid w:val="00955665"/>
    <w:rsid w:val="00956024"/>
    <w:rsid w:val="00956535"/>
    <w:rsid w:val="0095695B"/>
    <w:rsid w:val="0095792F"/>
    <w:rsid w:val="00960153"/>
    <w:rsid w:val="009605E9"/>
    <w:rsid w:val="0096091E"/>
    <w:rsid w:val="0096237A"/>
    <w:rsid w:val="009629FE"/>
    <w:rsid w:val="00963658"/>
    <w:rsid w:val="009651D9"/>
    <w:rsid w:val="009656CD"/>
    <w:rsid w:val="0096619B"/>
    <w:rsid w:val="00967802"/>
    <w:rsid w:val="00967972"/>
    <w:rsid w:val="009701DF"/>
    <w:rsid w:val="009706D6"/>
    <w:rsid w:val="009716EF"/>
    <w:rsid w:val="0097195B"/>
    <w:rsid w:val="00971BA1"/>
    <w:rsid w:val="00971D37"/>
    <w:rsid w:val="009732C5"/>
    <w:rsid w:val="009734FE"/>
    <w:rsid w:val="00974113"/>
    <w:rsid w:val="00974768"/>
    <w:rsid w:val="00974F26"/>
    <w:rsid w:val="00976066"/>
    <w:rsid w:val="009771F7"/>
    <w:rsid w:val="00977342"/>
    <w:rsid w:val="00977A3C"/>
    <w:rsid w:val="009814BB"/>
    <w:rsid w:val="00981D6E"/>
    <w:rsid w:val="00982000"/>
    <w:rsid w:val="009825F9"/>
    <w:rsid w:val="00983344"/>
    <w:rsid w:val="009835F6"/>
    <w:rsid w:val="00983CE4"/>
    <w:rsid w:val="00983E89"/>
    <w:rsid w:val="00985520"/>
    <w:rsid w:val="009856D2"/>
    <w:rsid w:val="00985B44"/>
    <w:rsid w:val="00985E76"/>
    <w:rsid w:val="00985F38"/>
    <w:rsid w:val="00986430"/>
    <w:rsid w:val="00986564"/>
    <w:rsid w:val="0098678B"/>
    <w:rsid w:val="009874D4"/>
    <w:rsid w:val="00991C86"/>
    <w:rsid w:val="00991DF0"/>
    <w:rsid w:val="0099312A"/>
    <w:rsid w:val="0099375C"/>
    <w:rsid w:val="00993DD6"/>
    <w:rsid w:val="00993EBC"/>
    <w:rsid w:val="0099452F"/>
    <w:rsid w:val="00994AD8"/>
    <w:rsid w:val="0099522A"/>
    <w:rsid w:val="00995AB9"/>
    <w:rsid w:val="00995D35"/>
    <w:rsid w:val="00996875"/>
    <w:rsid w:val="00996F71"/>
    <w:rsid w:val="009978DD"/>
    <w:rsid w:val="00997C8F"/>
    <w:rsid w:val="009A104F"/>
    <w:rsid w:val="009A12B4"/>
    <w:rsid w:val="009A14F7"/>
    <w:rsid w:val="009A1585"/>
    <w:rsid w:val="009A1A10"/>
    <w:rsid w:val="009A1BF2"/>
    <w:rsid w:val="009A1EC4"/>
    <w:rsid w:val="009A2275"/>
    <w:rsid w:val="009A3059"/>
    <w:rsid w:val="009A38B8"/>
    <w:rsid w:val="009A40FF"/>
    <w:rsid w:val="009A5A30"/>
    <w:rsid w:val="009A61B6"/>
    <w:rsid w:val="009A63FC"/>
    <w:rsid w:val="009A684E"/>
    <w:rsid w:val="009A75D6"/>
    <w:rsid w:val="009B053A"/>
    <w:rsid w:val="009B06C0"/>
    <w:rsid w:val="009B071A"/>
    <w:rsid w:val="009B0DB3"/>
    <w:rsid w:val="009B11E6"/>
    <w:rsid w:val="009B1B06"/>
    <w:rsid w:val="009B213B"/>
    <w:rsid w:val="009B241A"/>
    <w:rsid w:val="009B253D"/>
    <w:rsid w:val="009B2EFF"/>
    <w:rsid w:val="009B330F"/>
    <w:rsid w:val="009B3CF6"/>
    <w:rsid w:val="009B3D95"/>
    <w:rsid w:val="009B4003"/>
    <w:rsid w:val="009B43BE"/>
    <w:rsid w:val="009B4B07"/>
    <w:rsid w:val="009B64CD"/>
    <w:rsid w:val="009B6D52"/>
    <w:rsid w:val="009C133B"/>
    <w:rsid w:val="009C235D"/>
    <w:rsid w:val="009C241C"/>
    <w:rsid w:val="009C2808"/>
    <w:rsid w:val="009C333D"/>
    <w:rsid w:val="009C3D47"/>
    <w:rsid w:val="009C422D"/>
    <w:rsid w:val="009C5399"/>
    <w:rsid w:val="009C6704"/>
    <w:rsid w:val="009C6FBF"/>
    <w:rsid w:val="009D0828"/>
    <w:rsid w:val="009D0909"/>
    <w:rsid w:val="009D097A"/>
    <w:rsid w:val="009D262A"/>
    <w:rsid w:val="009D39FE"/>
    <w:rsid w:val="009D3A55"/>
    <w:rsid w:val="009D3D79"/>
    <w:rsid w:val="009D3FEF"/>
    <w:rsid w:val="009D4266"/>
    <w:rsid w:val="009D6EAC"/>
    <w:rsid w:val="009D705C"/>
    <w:rsid w:val="009D76EF"/>
    <w:rsid w:val="009D7EE4"/>
    <w:rsid w:val="009E2ADC"/>
    <w:rsid w:val="009E2C81"/>
    <w:rsid w:val="009E2DCA"/>
    <w:rsid w:val="009E38D3"/>
    <w:rsid w:val="009E4A3A"/>
    <w:rsid w:val="009E589E"/>
    <w:rsid w:val="009E707C"/>
    <w:rsid w:val="009E78F4"/>
    <w:rsid w:val="009E7F74"/>
    <w:rsid w:val="009F05EA"/>
    <w:rsid w:val="009F0CE5"/>
    <w:rsid w:val="009F228E"/>
    <w:rsid w:val="009F22B9"/>
    <w:rsid w:val="009F2784"/>
    <w:rsid w:val="009F441A"/>
    <w:rsid w:val="009F4D80"/>
    <w:rsid w:val="009F589D"/>
    <w:rsid w:val="009F5A1C"/>
    <w:rsid w:val="009F5A5A"/>
    <w:rsid w:val="009F5D36"/>
    <w:rsid w:val="009F5DC1"/>
    <w:rsid w:val="009F666F"/>
    <w:rsid w:val="009F678E"/>
    <w:rsid w:val="009F6810"/>
    <w:rsid w:val="00A0058E"/>
    <w:rsid w:val="00A0097F"/>
    <w:rsid w:val="00A00B55"/>
    <w:rsid w:val="00A00F3D"/>
    <w:rsid w:val="00A00F4E"/>
    <w:rsid w:val="00A019F9"/>
    <w:rsid w:val="00A023F0"/>
    <w:rsid w:val="00A02696"/>
    <w:rsid w:val="00A02BC0"/>
    <w:rsid w:val="00A0305E"/>
    <w:rsid w:val="00A035A2"/>
    <w:rsid w:val="00A0381C"/>
    <w:rsid w:val="00A0467F"/>
    <w:rsid w:val="00A0470D"/>
    <w:rsid w:val="00A05EA5"/>
    <w:rsid w:val="00A066D3"/>
    <w:rsid w:val="00A0676B"/>
    <w:rsid w:val="00A071FE"/>
    <w:rsid w:val="00A10371"/>
    <w:rsid w:val="00A10636"/>
    <w:rsid w:val="00A110D7"/>
    <w:rsid w:val="00A1187A"/>
    <w:rsid w:val="00A13C85"/>
    <w:rsid w:val="00A13EA3"/>
    <w:rsid w:val="00A147E7"/>
    <w:rsid w:val="00A14930"/>
    <w:rsid w:val="00A15829"/>
    <w:rsid w:val="00A16B37"/>
    <w:rsid w:val="00A16D27"/>
    <w:rsid w:val="00A20940"/>
    <w:rsid w:val="00A20B5D"/>
    <w:rsid w:val="00A21365"/>
    <w:rsid w:val="00A213EF"/>
    <w:rsid w:val="00A21F10"/>
    <w:rsid w:val="00A226CA"/>
    <w:rsid w:val="00A22BD5"/>
    <w:rsid w:val="00A247CD"/>
    <w:rsid w:val="00A258E0"/>
    <w:rsid w:val="00A26EAC"/>
    <w:rsid w:val="00A27131"/>
    <w:rsid w:val="00A27629"/>
    <w:rsid w:val="00A27FB6"/>
    <w:rsid w:val="00A309A3"/>
    <w:rsid w:val="00A318CE"/>
    <w:rsid w:val="00A31953"/>
    <w:rsid w:val="00A31B36"/>
    <w:rsid w:val="00A3324B"/>
    <w:rsid w:val="00A332E1"/>
    <w:rsid w:val="00A33772"/>
    <w:rsid w:val="00A3437C"/>
    <w:rsid w:val="00A34412"/>
    <w:rsid w:val="00A35D6E"/>
    <w:rsid w:val="00A35F0E"/>
    <w:rsid w:val="00A36758"/>
    <w:rsid w:val="00A368BC"/>
    <w:rsid w:val="00A3690F"/>
    <w:rsid w:val="00A37668"/>
    <w:rsid w:val="00A403C3"/>
    <w:rsid w:val="00A40522"/>
    <w:rsid w:val="00A417CA"/>
    <w:rsid w:val="00A41C43"/>
    <w:rsid w:val="00A424F0"/>
    <w:rsid w:val="00A43054"/>
    <w:rsid w:val="00A438B7"/>
    <w:rsid w:val="00A447AB"/>
    <w:rsid w:val="00A4494C"/>
    <w:rsid w:val="00A46816"/>
    <w:rsid w:val="00A46A3A"/>
    <w:rsid w:val="00A47259"/>
    <w:rsid w:val="00A47B8A"/>
    <w:rsid w:val="00A505B3"/>
    <w:rsid w:val="00A508AF"/>
    <w:rsid w:val="00A509AA"/>
    <w:rsid w:val="00A515CE"/>
    <w:rsid w:val="00A5183A"/>
    <w:rsid w:val="00A51A6A"/>
    <w:rsid w:val="00A51F26"/>
    <w:rsid w:val="00A521C3"/>
    <w:rsid w:val="00A52577"/>
    <w:rsid w:val="00A53DED"/>
    <w:rsid w:val="00A54A25"/>
    <w:rsid w:val="00A54DEA"/>
    <w:rsid w:val="00A557E5"/>
    <w:rsid w:val="00A55CAD"/>
    <w:rsid w:val="00A5645B"/>
    <w:rsid w:val="00A56645"/>
    <w:rsid w:val="00A56E83"/>
    <w:rsid w:val="00A57928"/>
    <w:rsid w:val="00A57AB6"/>
    <w:rsid w:val="00A57FB5"/>
    <w:rsid w:val="00A603DC"/>
    <w:rsid w:val="00A608A2"/>
    <w:rsid w:val="00A613CE"/>
    <w:rsid w:val="00A6182C"/>
    <w:rsid w:val="00A6286C"/>
    <w:rsid w:val="00A6371E"/>
    <w:rsid w:val="00A64997"/>
    <w:rsid w:val="00A64BD7"/>
    <w:rsid w:val="00A650D7"/>
    <w:rsid w:val="00A657B1"/>
    <w:rsid w:val="00A657EE"/>
    <w:rsid w:val="00A65F87"/>
    <w:rsid w:val="00A6674D"/>
    <w:rsid w:val="00A668B0"/>
    <w:rsid w:val="00A66CD0"/>
    <w:rsid w:val="00A676D3"/>
    <w:rsid w:val="00A676FE"/>
    <w:rsid w:val="00A67D75"/>
    <w:rsid w:val="00A70360"/>
    <w:rsid w:val="00A70459"/>
    <w:rsid w:val="00A708EF"/>
    <w:rsid w:val="00A70AA2"/>
    <w:rsid w:val="00A71C95"/>
    <w:rsid w:val="00A73863"/>
    <w:rsid w:val="00A740F2"/>
    <w:rsid w:val="00A74290"/>
    <w:rsid w:val="00A74C93"/>
    <w:rsid w:val="00A762E5"/>
    <w:rsid w:val="00A7675B"/>
    <w:rsid w:val="00A769BD"/>
    <w:rsid w:val="00A803CB"/>
    <w:rsid w:val="00A80D96"/>
    <w:rsid w:val="00A82A73"/>
    <w:rsid w:val="00A82B03"/>
    <w:rsid w:val="00A8398F"/>
    <w:rsid w:val="00A83D16"/>
    <w:rsid w:val="00A83EA3"/>
    <w:rsid w:val="00A841A9"/>
    <w:rsid w:val="00A84323"/>
    <w:rsid w:val="00A84BFE"/>
    <w:rsid w:val="00A85BF4"/>
    <w:rsid w:val="00A87F31"/>
    <w:rsid w:val="00A90A55"/>
    <w:rsid w:val="00A91B7B"/>
    <w:rsid w:val="00A9560F"/>
    <w:rsid w:val="00A97555"/>
    <w:rsid w:val="00A97AAC"/>
    <w:rsid w:val="00A97EC4"/>
    <w:rsid w:val="00AA1A23"/>
    <w:rsid w:val="00AA1B91"/>
    <w:rsid w:val="00AA2411"/>
    <w:rsid w:val="00AA24A7"/>
    <w:rsid w:val="00AA3004"/>
    <w:rsid w:val="00AA4ACB"/>
    <w:rsid w:val="00AA555A"/>
    <w:rsid w:val="00AA5D76"/>
    <w:rsid w:val="00AA673F"/>
    <w:rsid w:val="00AA74C6"/>
    <w:rsid w:val="00AB06D7"/>
    <w:rsid w:val="00AB0727"/>
    <w:rsid w:val="00AB156D"/>
    <w:rsid w:val="00AB1A97"/>
    <w:rsid w:val="00AB1D69"/>
    <w:rsid w:val="00AB2090"/>
    <w:rsid w:val="00AB246F"/>
    <w:rsid w:val="00AB27F3"/>
    <w:rsid w:val="00AB2949"/>
    <w:rsid w:val="00AB2BF7"/>
    <w:rsid w:val="00AB39B4"/>
    <w:rsid w:val="00AB3A80"/>
    <w:rsid w:val="00AB3C0F"/>
    <w:rsid w:val="00AB443E"/>
    <w:rsid w:val="00AB45F2"/>
    <w:rsid w:val="00AB4781"/>
    <w:rsid w:val="00AB546D"/>
    <w:rsid w:val="00AB54F5"/>
    <w:rsid w:val="00AB58BC"/>
    <w:rsid w:val="00AB5DBF"/>
    <w:rsid w:val="00AB64E8"/>
    <w:rsid w:val="00AB6B55"/>
    <w:rsid w:val="00AB74BA"/>
    <w:rsid w:val="00AC0E68"/>
    <w:rsid w:val="00AC10AF"/>
    <w:rsid w:val="00AC1E45"/>
    <w:rsid w:val="00AC2B1A"/>
    <w:rsid w:val="00AC2F8C"/>
    <w:rsid w:val="00AC31E7"/>
    <w:rsid w:val="00AC36E0"/>
    <w:rsid w:val="00AC377A"/>
    <w:rsid w:val="00AC4888"/>
    <w:rsid w:val="00AC4FCE"/>
    <w:rsid w:val="00AC5342"/>
    <w:rsid w:val="00AC57F5"/>
    <w:rsid w:val="00AC69F1"/>
    <w:rsid w:val="00AC7104"/>
    <w:rsid w:val="00AD0286"/>
    <w:rsid w:val="00AD099C"/>
    <w:rsid w:val="00AD0AB2"/>
    <w:rsid w:val="00AD16C0"/>
    <w:rsid w:val="00AD1A4B"/>
    <w:rsid w:val="00AD1DC2"/>
    <w:rsid w:val="00AD273D"/>
    <w:rsid w:val="00AD320F"/>
    <w:rsid w:val="00AD35A4"/>
    <w:rsid w:val="00AD3698"/>
    <w:rsid w:val="00AD4C82"/>
    <w:rsid w:val="00AD5D67"/>
    <w:rsid w:val="00AD6134"/>
    <w:rsid w:val="00AD64CD"/>
    <w:rsid w:val="00AD7228"/>
    <w:rsid w:val="00AD77A0"/>
    <w:rsid w:val="00AD7C47"/>
    <w:rsid w:val="00AE0288"/>
    <w:rsid w:val="00AE0817"/>
    <w:rsid w:val="00AE1708"/>
    <w:rsid w:val="00AE1E38"/>
    <w:rsid w:val="00AE298E"/>
    <w:rsid w:val="00AE2C4F"/>
    <w:rsid w:val="00AE386C"/>
    <w:rsid w:val="00AE393D"/>
    <w:rsid w:val="00AE3AD5"/>
    <w:rsid w:val="00AE3BBD"/>
    <w:rsid w:val="00AE406C"/>
    <w:rsid w:val="00AE43E6"/>
    <w:rsid w:val="00AE48BF"/>
    <w:rsid w:val="00AE517D"/>
    <w:rsid w:val="00AE5A13"/>
    <w:rsid w:val="00AE6C06"/>
    <w:rsid w:val="00AF0555"/>
    <w:rsid w:val="00AF116A"/>
    <w:rsid w:val="00AF15AD"/>
    <w:rsid w:val="00AF3212"/>
    <w:rsid w:val="00AF63A8"/>
    <w:rsid w:val="00AF663A"/>
    <w:rsid w:val="00AF6988"/>
    <w:rsid w:val="00AF6A00"/>
    <w:rsid w:val="00AF7A54"/>
    <w:rsid w:val="00AF7C69"/>
    <w:rsid w:val="00B00CD2"/>
    <w:rsid w:val="00B0306D"/>
    <w:rsid w:val="00B037B6"/>
    <w:rsid w:val="00B03F04"/>
    <w:rsid w:val="00B04211"/>
    <w:rsid w:val="00B056DF"/>
    <w:rsid w:val="00B062FF"/>
    <w:rsid w:val="00B06832"/>
    <w:rsid w:val="00B06BFC"/>
    <w:rsid w:val="00B0750B"/>
    <w:rsid w:val="00B10611"/>
    <w:rsid w:val="00B110D2"/>
    <w:rsid w:val="00B12E36"/>
    <w:rsid w:val="00B131C4"/>
    <w:rsid w:val="00B139D4"/>
    <w:rsid w:val="00B13B8C"/>
    <w:rsid w:val="00B13C22"/>
    <w:rsid w:val="00B1455A"/>
    <w:rsid w:val="00B14DD5"/>
    <w:rsid w:val="00B155F5"/>
    <w:rsid w:val="00B1640B"/>
    <w:rsid w:val="00B16A2F"/>
    <w:rsid w:val="00B16E7E"/>
    <w:rsid w:val="00B17889"/>
    <w:rsid w:val="00B17CDF"/>
    <w:rsid w:val="00B21161"/>
    <w:rsid w:val="00B21BEF"/>
    <w:rsid w:val="00B22C8B"/>
    <w:rsid w:val="00B23051"/>
    <w:rsid w:val="00B23D63"/>
    <w:rsid w:val="00B2417B"/>
    <w:rsid w:val="00B242A5"/>
    <w:rsid w:val="00B243DC"/>
    <w:rsid w:val="00B24BDA"/>
    <w:rsid w:val="00B2516E"/>
    <w:rsid w:val="00B25208"/>
    <w:rsid w:val="00B25F7E"/>
    <w:rsid w:val="00B26053"/>
    <w:rsid w:val="00B27035"/>
    <w:rsid w:val="00B270B8"/>
    <w:rsid w:val="00B27F30"/>
    <w:rsid w:val="00B3021E"/>
    <w:rsid w:val="00B30EA3"/>
    <w:rsid w:val="00B31E28"/>
    <w:rsid w:val="00B32205"/>
    <w:rsid w:val="00B335A7"/>
    <w:rsid w:val="00B33B87"/>
    <w:rsid w:val="00B33DE6"/>
    <w:rsid w:val="00B34642"/>
    <w:rsid w:val="00B36079"/>
    <w:rsid w:val="00B36463"/>
    <w:rsid w:val="00B37321"/>
    <w:rsid w:val="00B37774"/>
    <w:rsid w:val="00B37923"/>
    <w:rsid w:val="00B406ED"/>
    <w:rsid w:val="00B40A2C"/>
    <w:rsid w:val="00B40AF7"/>
    <w:rsid w:val="00B40EAD"/>
    <w:rsid w:val="00B4138A"/>
    <w:rsid w:val="00B41DB7"/>
    <w:rsid w:val="00B4254C"/>
    <w:rsid w:val="00B42890"/>
    <w:rsid w:val="00B42C9F"/>
    <w:rsid w:val="00B42D2D"/>
    <w:rsid w:val="00B433FC"/>
    <w:rsid w:val="00B43EC4"/>
    <w:rsid w:val="00B458CE"/>
    <w:rsid w:val="00B46076"/>
    <w:rsid w:val="00B4722D"/>
    <w:rsid w:val="00B501FF"/>
    <w:rsid w:val="00B503B1"/>
    <w:rsid w:val="00B507F4"/>
    <w:rsid w:val="00B51AFE"/>
    <w:rsid w:val="00B51D8C"/>
    <w:rsid w:val="00B51E9A"/>
    <w:rsid w:val="00B51FBC"/>
    <w:rsid w:val="00B525D4"/>
    <w:rsid w:val="00B52EC5"/>
    <w:rsid w:val="00B5308A"/>
    <w:rsid w:val="00B5372E"/>
    <w:rsid w:val="00B53A70"/>
    <w:rsid w:val="00B53C0B"/>
    <w:rsid w:val="00B54FA1"/>
    <w:rsid w:val="00B55E78"/>
    <w:rsid w:val="00B56E21"/>
    <w:rsid w:val="00B5732A"/>
    <w:rsid w:val="00B57DF7"/>
    <w:rsid w:val="00B60A34"/>
    <w:rsid w:val="00B60C2E"/>
    <w:rsid w:val="00B612E3"/>
    <w:rsid w:val="00B61438"/>
    <w:rsid w:val="00B616CD"/>
    <w:rsid w:val="00B6210C"/>
    <w:rsid w:val="00B63746"/>
    <w:rsid w:val="00B639E4"/>
    <w:rsid w:val="00B63A47"/>
    <w:rsid w:val="00B63EE7"/>
    <w:rsid w:val="00B640F2"/>
    <w:rsid w:val="00B646C0"/>
    <w:rsid w:val="00B646D7"/>
    <w:rsid w:val="00B65229"/>
    <w:rsid w:val="00B6580E"/>
    <w:rsid w:val="00B65FF9"/>
    <w:rsid w:val="00B66152"/>
    <w:rsid w:val="00B66935"/>
    <w:rsid w:val="00B66B5F"/>
    <w:rsid w:val="00B66EB0"/>
    <w:rsid w:val="00B67373"/>
    <w:rsid w:val="00B705A5"/>
    <w:rsid w:val="00B727BE"/>
    <w:rsid w:val="00B73EA2"/>
    <w:rsid w:val="00B74C30"/>
    <w:rsid w:val="00B756A3"/>
    <w:rsid w:val="00B765F6"/>
    <w:rsid w:val="00B76AB3"/>
    <w:rsid w:val="00B77AB1"/>
    <w:rsid w:val="00B77B04"/>
    <w:rsid w:val="00B8032C"/>
    <w:rsid w:val="00B805A1"/>
    <w:rsid w:val="00B8081D"/>
    <w:rsid w:val="00B820A8"/>
    <w:rsid w:val="00B820D4"/>
    <w:rsid w:val="00B828C0"/>
    <w:rsid w:val="00B83385"/>
    <w:rsid w:val="00B83BD2"/>
    <w:rsid w:val="00B84EB7"/>
    <w:rsid w:val="00B84F25"/>
    <w:rsid w:val="00B861A5"/>
    <w:rsid w:val="00B86B44"/>
    <w:rsid w:val="00B86F18"/>
    <w:rsid w:val="00B872DA"/>
    <w:rsid w:val="00B87837"/>
    <w:rsid w:val="00B90579"/>
    <w:rsid w:val="00B90E7E"/>
    <w:rsid w:val="00B91278"/>
    <w:rsid w:val="00B92666"/>
    <w:rsid w:val="00B930F2"/>
    <w:rsid w:val="00B9348A"/>
    <w:rsid w:val="00B94224"/>
    <w:rsid w:val="00B946F2"/>
    <w:rsid w:val="00B958E6"/>
    <w:rsid w:val="00B95A6E"/>
    <w:rsid w:val="00B96D99"/>
    <w:rsid w:val="00B97099"/>
    <w:rsid w:val="00BA0037"/>
    <w:rsid w:val="00BA0308"/>
    <w:rsid w:val="00BA0B5E"/>
    <w:rsid w:val="00BA1246"/>
    <w:rsid w:val="00BA177B"/>
    <w:rsid w:val="00BA26D1"/>
    <w:rsid w:val="00BA3AC6"/>
    <w:rsid w:val="00BA43C7"/>
    <w:rsid w:val="00BA473E"/>
    <w:rsid w:val="00BA4A4F"/>
    <w:rsid w:val="00BA53FE"/>
    <w:rsid w:val="00BA58AC"/>
    <w:rsid w:val="00BA5985"/>
    <w:rsid w:val="00BA623F"/>
    <w:rsid w:val="00BA676A"/>
    <w:rsid w:val="00BB052E"/>
    <w:rsid w:val="00BB0AAE"/>
    <w:rsid w:val="00BB112F"/>
    <w:rsid w:val="00BB1AC6"/>
    <w:rsid w:val="00BB2A37"/>
    <w:rsid w:val="00BB2E4A"/>
    <w:rsid w:val="00BB3072"/>
    <w:rsid w:val="00BB3265"/>
    <w:rsid w:val="00BB32B5"/>
    <w:rsid w:val="00BB5458"/>
    <w:rsid w:val="00BB555A"/>
    <w:rsid w:val="00BB5E26"/>
    <w:rsid w:val="00BB6EAC"/>
    <w:rsid w:val="00BB73DB"/>
    <w:rsid w:val="00BC02EE"/>
    <w:rsid w:val="00BC11D2"/>
    <w:rsid w:val="00BC1582"/>
    <w:rsid w:val="00BC2D5E"/>
    <w:rsid w:val="00BC36F0"/>
    <w:rsid w:val="00BC5581"/>
    <w:rsid w:val="00BC5BF7"/>
    <w:rsid w:val="00BC617A"/>
    <w:rsid w:val="00BC7535"/>
    <w:rsid w:val="00BC7558"/>
    <w:rsid w:val="00BC7C62"/>
    <w:rsid w:val="00BD0329"/>
    <w:rsid w:val="00BD0C9A"/>
    <w:rsid w:val="00BD116F"/>
    <w:rsid w:val="00BD1842"/>
    <w:rsid w:val="00BD247F"/>
    <w:rsid w:val="00BD2B0C"/>
    <w:rsid w:val="00BD3678"/>
    <w:rsid w:val="00BD3DC9"/>
    <w:rsid w:val="00BD3E36"/>
    <w:rsid w:val="00BD4D46"/>
    <w:rsid w:val="00BD5E46"/>
    <w:rsid w:val="00BD650D"/>
    <w:rsid w:val="00BD6D86"/>
    <w:rsid w:val="00BD7955"/>
    <w:rsid w:val="00BE1CFE"/>
    <w:rsid w:val="00BE2C04"/>
    <w:rsid w:val="00BE2D01"/>
    <w:rsid w:val="00BE369C"/>
    <w:rsid w:val="00BE5EFA"/>
    <w:rsid w:val="00BE5FFE"/>
    <w:rsid w:val="00BE63B4"/>
    <w:rsid w:val="00BE68BE"/>
    <w:rsid w:val="00BF0037"/>
    <w:rsid w:val="00BF032B"/>
    <w:rsid w:val="00BF0917"/>
    <w:rsid w:val="00BF2849"/>
    <w:rsid w:val="00BF3AC3"/>
    <w:rsid w:val="00BF48D5"/>
    <w:rsid w:val="00BF541A"/>
    <w:rsid w:val="00BF625C"/>
    <w:rsid w:val="00BF65CE"/>
    <w:rsid w:val="00BF7D61"/>
    <w:rsid w:val="00C01F00"/>
    <w:rsid w:val="00C0215B"/>
    <w:rsid w:val="00C02B4A"/>
    <w:rsid w:val="00C0306C"/>
    <w:rsid w:val="00C034FF"/>
    <w:rsid w:val="00C04022"/>
    <w:rsid w:val="00C057B2"/>
    <w:rsid w:val="00C071FE"/>
    <w:rsid w:val="00C074AD"/>
    <w:rsid w:val="00C07E52"/>
    <w:rsid w:val="00C10249"/>
    <w:rsid w:val="00C1092F"/>
    <w:rsid w:val="00C1096B"/>
    <w:rsid w:val="00C13563"/>
    <w:rsid w:val="00C138D3"/>
    <w:rsid w:val="00C15990"/>
    <w:rsid w:val="00C161B4"/>
    <w:rsid w:val="00C176C5"/>
    <w:rsid w:val="00C17993"/>
    <w:rsid w:val="00C17A94"/>
    <w:rsid w:val="00C17CBB"/>
    <w:rsid w:val="00C206FE"/>
    <w:rsid w:val="00C20937"/>
    <w:rsid w:val="00C21A46"/>
    <w:rsid w:val="00C21C2B"/>
    <w:rsid w:val="00C21E1C"/>
    <w:rsid w:val="00C228E7"/>
    <w:rsid w:val="00C22C09"/>
    <w:rsid w:val="00C2301B"/>
    <w:rsid w:val="00C2394B"/>
    <w:rsid w:val="00C252AD"/>
    <w:rsid w:val="00C25A99"/>
    <w:rsid w:val="00C25E56"/>
    <w:rsid w:val="00C26AA5"/>
    <w:rsid w:val="00C26FCB"/>
    <w:rsid w:val="00C273FD"/>
    <w:rsid w:val="00C27959"/>
    <w:rsid w:val="00C27F16"/>
    <w:rsid w:val="00C302F2"/>
    <w:rsid w:val="00C3215B"/>
    <w:rsid w:val="00C3227C"/>
    <w:rsid w:val="00C324BE"/>
    <w:rsid w:val="00C32581"/>
    <w:rsid w:val="00C32CDF"/>
    <w:rsid w:val="00C331AC"/>
    <w:rsid w:val="00C33353"/>
    <w:rsid w:val="00C34505"/>
    <w:rsid w:val="00C34FCE"/>
    <w:rsid w:val="00C363F6"/>
    <w:rsid w:val="00C3768D"/>
    <w:rsid w:val="00C412D7"/>
    <w:rsid w:val="00C414C6"/>
    <w:rsid w:val="00C419F7"/>
    <w:rsid w:val="00C41DDA"/>
    <w:rsid w:val="00C4356D"/>
    <w:rsid w:val="00C442C4"/>
    <w:rsid w:val="00C4500E"/>
    <w:rsid w:val="00C45037"/>
    <w:rsid w:val="00C45542"/>
    <w:rsid w:val="00C45CD5"/>
    <w:rsid w:val="00C461DC"/>
    <w:rsid w:val="00C46924"/>
    <w:rsid w:val="00C4708F"/>
    <w:rsid w:val="00C471AE"/>
    <w:rsid w:val="00C4744D"/>
    <w:rsid w:val="00C509A0"/>
    <w:rsid w:val="00C50C34"/>
    <w:rsid w:val="00C50DDF"/>
    <w:rsid w:val="00C511BC"/>
    <w:rsid w:val="00C519A5"/>
    <w:rsid w:val="00C51F48"/>
    <w:rsid w:val="00C52BC4"/>
    <w:rsid w:val="00C5501B"/>
    <w:rsid w:val="00C55030"/>
    <w:rsid w:val="00C55213"/>
    <w:rsid w:val="00C553A8"/>
    <w:rsid w:val="00C55EEF"/>
    <w:rsid w:val="00C56341"/>
    <w:rsid w:val="00C564E9"/>
    <w:rsid w:val="00C572EB"/>
    <w:rsid w:val="00C57B42"/>
    <w:rsid w:val="00C60A77"/>
    <w:rsid w:val="00C61E05"/>
    <w:rsid w:val="00C62F72"/>
    <w:rsid w:val="00C6312D"/>
    <w:rsid w:val="00C63BF3"/>
    <w:rsid w:val="00C64A5C"/>
    <w:rsid w:val="00C651E8"/>
    <w:rsid w:val="00C6586E"/>
    <w:rsid w:val="00C65BC3"/>
    <w:rsid w:val="00C664C3"/>
    <w:rsid w:val="00C66C7C"/>
    <w:rsid w:val="00C66D4D"/>
    <w:rsid w:val="00C67215"/>
    <w:rsid w:val="00C67A9F"/>
    <w:rsid w:val="00C67C05"/>
    <w:rsid w:val="00C70244"/>
    <w:rsid w:val="00C712DC"/>
    <w:rsid w:val="00C7467D"/>
    <w:rsid w:val="00C74F08"/>
    <w:rsid w:val="00C75835"/>
    <w:rsid w:val="00C80EBB"/>
    <w:rsid w:val="00C816D9"/>
    <w:rsid w:val="00C81912"/>
    <w:rsid w:val="00C81F37"/>
    <w:rsid w:val="00C81F85"/>
    <w:rsid w:val="00C82045"/>
    <w:rsid w:val="00C836C1"/>
    <w:rsid w:val="00C83977"/>
    <w:rsid w:val="00C83BD5"/>
    <w:rsid w:val="00C83C98"/>
    <w:rsid w:val="00C83DF4"/>
    <w:rsid w:val="00C83F99"/>
    <w:rsid w:val="00C8401D"/>
    <w:rsid w:val="00C84D4A"/>
    <w:rsid w:val="00C85F9A"/>
    <w:rsid w:val="00C860A6"/>
    <w:rsid w:val="00C87ED9"/>
    <w:rsid w:val="00C9032F"/>
    <w:rsid w:val="00C91B6E"/>
    <w:rsid w:val="00C9214F"/>
    <w:rsid w:val="00C93C59"/>
    <w:rsid w:val="00C9424C"/>
    <w:rsid w:val="00C9507F"/>
    <w:rsid w:val="00C95C94"/>
    <w:rsid w:val="00C95DB7"/>
    <w:rsid w:val="00C962AF"/>
    <w:rsid w:val="00C96A45"/>
    <w:rsid w:val="00C96C8A"/>
    <w:rsid w:val="00C975F6"/>
    <w:rsid w:val="00C9794C"/>
    <w:rsid w:val="00CA1509"/>
    <w:rsid w:val="00CA177A"/>
    <w:rsid w:val="00CA1927"/>
    <w:rsid w:val="00CA1F8F"/>
    <w:rsid w:val="00CA2A16"/>
    <w:rsid w:val="00CA2B54"/>
    <w:rsid w:val="00CA310B"/>
    <w:rsid w:val="00CA38D9"/>
    <w:rsid w:val="00CA3EA9"/>
    <w:rsid w:val="00CA422B"/>
    <w:rsid w:val="00CA5161"/>
    <w:rsid w:val="00CA5886"/>
    <w:rsid w:val="00CA5952"/>
    <w:rsid w:val="00CA6A56"/>
    <w:rsid w:val="00CA7A2E"/>
    <w:rsid w:val="00CB061A"/>
    <w:rsid w:val="00CB08D4"/>
    <w:rsid w:val="00CB1644"/>
    <w:rsid w:val="00CB181B"/>
    <w:rsid w:val="00CB36AE"/>
    <w:rsid w:val="00CB4668"/>
    <w:rsid w:val="00CB497B"/>
    <w:rsid w:val="00CB4BF7"/>
    <w:rsid w:val="00CB574F"/>
    <w:rsid w:val="00CB708A"/>
    <w:rsid w:val="00CB7BD9"/>
    <w:rsid w:val="00CC0808"/>
    <w:rsid w:val="00CC0C5E"/>
    <w:rsid w:val="00CC0FDB"/>
    <w:rsid w:val="00CC13E7"/>
    <w:rsid w:val="00CC18E8"/>
    <w:rsid w:val="00CC19B5"/>
    <w:rsid w:val="00CC1B52"/>
    <w:rsid w:val="00CC34D3"/>
    <w:rsid w:val="00CC5360"/>
    <w:rsid w:val="00CC579B"/>
    <w:rsid w:val="00CC5C73"/>
    <w:rsid w:val="00CC6141"/>
    <w:rsid w:val="00CC6351"/>
    <w:rsid w:val="00CC6695"/>
    <w:rsid w:val="00CD0276"/>
    <w:rsid w:val="00CD1D51"/>
    <w:rsid w:val="00CD24A3"/>
    <w:rsid w:val="00CD2BAC"/>
    <w:rsid w:val="00CD2FE6"/>
    <w:rsid w:val="00CD3156"/>
    <w:rsid w:val="00CD411C"/>
    <w:rsid w:val="00CD41CF"/>
    <w:rsid w:val="00CD49FD"/>
    <w:rsid w:val="00CD4E40"/>
    <w:rsid w:val="00CD6F58"/>
    <w:rsid w:val="00CD6F6A"/>
    <w:rsid w:val="00CD70EC"/>
    <w:rsid w:val="00CD7C55"/>
    <w:rsid w:val="00CE1021"/>
    <w:rsid w:val="00CE14EF"/>
    <w:rsid w:val="00CE265E"/>
    <w:rsid w:val="00CE2B57"/>
    <w:rsid w:val="00CE4F68"/>
    <w:rsid w:val="00CE57B5"/>
    <w:rsid w:val="00CE6205"/>
    <w:rsid w:val="00CE77D3"/>
    <w:rsid w:val="00CE7BF6"/>
    <w:rsid w:val="00CF029C"/>
    <w:rsid w:val="00CF0A0A"/>
    <w:rsid w:val="00CF0AC1"/>
    <w:rsid w:val="00CF32D6"/>
    <w:rsid w:val="00CF39B6"/>
    <w:rsid w:val="00CF3F00"/>
    <w:rsid w:val="00CF3F03"/>
    <w:rsid w:val="00CF575B"/>
    <w:rsid w:val="00CF5ABA"/>
    <w:rsid w:val="00CF5CAC"/>
    <w:rsid w:val="00CF6EBB"/>
    <w:rsid w:val="00CF71BE"/>
    <w:rsid w:val="00CF784B"/>
    <w:rsid w:val="00CF7BC3"/>
    <w:rsid w:val="00D01D1A"/>
    <w:rsid w:val="00D022E5"/>
    <w:rsid w:val="00D02F4C"/>
    <w:rsid w:val="00D034A9"/>
    <w:rsid w:val="00D04FC8"/>
    <w:rsid w:val="00D056F2"/>
    <w:rsid w:val="00D05D1B"/>
    <w:rsid w:val="00D06A04"/>
    <w:rsid w:val="00D10510"/>
    <w:rsid w:val="00D1259C"/>
    <w:rsid w:val="00D1268B"/>
    <w:rsid w:val="00D12D81"/>
    <w:rsid w:val="00D1463F"/>
    <w:rsid w:val="00D15620"/>
    <w:rsid w:val="00D15DE7"/>
    <w:rsid w:val="00D166D2"/>
    <w:rsid w:val="00D16FAA"/>
    <w:rsid w:val="00D17093"/>
    <w:rsid w:val="00D171D5"/>
    <w:rsid w:val="00D177F7"/>
    <w:rsid w:val="00D178F5"/>
    <w:rsid w:val="00D20054"/>
    <w:rsid w:val="00D2024A"/>
    <w:rsid w:val="00D20C8D"/>
    <w:rsid w:val="00D220CD"/>
    <w:rsid w:val="00D223F5"/>
    <w:rsid w:val="00D22642"/>
    <w:rsid w:val="00D23053"/>
    <w:rsid w:val="00D24B1F"/>
    <w:rsid w:val="00D25D7F"/>
    <w:rsid w:val="00D26131"/>
    <w:rsid w:val="00D26388"/>
    <w:rsid w:val="00D2737A"/>
    <w:rsid w:val="00D27FA0"/>
    <w:rsid w:val="00D31362"/>
    <w:rsid w:val="00D319B6"/>
    <w:rsid w:val="00D31BF9"/>
    <w:rsid w:val="00D31CFE"/>
    <w:rsid w:val="00D32720"/>
    <w:rsid w:val="00D32E7F"/>
    <w:rsid w:val="00D3381F"/>
    <w:rsid w:val="00D33B9E"/>
    <w:rsid w:val="00D34249"/>
    <w:rsid w:val="00D34AD5"/>
    <w:rsid w:val="00D34CA8"/>
    <w:rsid w:val="00D34CC0"/>
    <w:rsid w:val="00D355E8"/>
    <w:rsid w:val="00D3703C"/>
    <w:rsid w:val="00D37484"/>
    <w:rsid w:val="00D406FE"/>
    <w:rsid w:val="00D41159"/>
    <w:rsid w:val="00D41755"/>
    <w:rsid w:val="00D42776"/>
    <w:rsid w:val="00D43DD3"/>
    <w:rsid w:val="00D44B58"/>
    <w:rsid w:val="00D4544A"/>
    <w:rsid w:val="00D45A43"/>
    <w:rsid w:val="00D47F45"/>
    <w:rsid w:val="00D5011A"/>
    <w:rsid w:val="00D50139"/>
    <w:rsid w:val="00D50269"/>
    <w:rsid w:val="00D51B7A"/>
    <w:rsid w:val="00D53879"/>
    <w:rsid w:val="00D53B9D"/>
    <w:rsid w:val="00D54A09"/>
    <w:rsid w:val="00D554BC"/>
    <w:rsid w:val="00D55E41"/>
    <w:rsid w:val="00D56570"/>
    <w:rsid w:val="00D56608"/>
    <w:rsid w:val="00D570A0"/>
    <w:rsid w:val="00D575FA"/>
    <w:rsid w:val="00D5773E"/>
    <w:rsid w:val="00D577E5"/>
    <w:rsid w:val="00D606AD"/>
    <w:rsid w:val="00D620DF"/>
    <w:rsid w:val="00D63599"/>
    <w:rsid w:val="00D636EF"/>
    <w:rsid w:val="00D643F8"/>
    <w:rsid w:val="00D647B4"/>
    <w:rsid w:val="00D65F33"/>
    <w:rsid w:val="00D67453"/>
    <w:rsid w:val="00D676B1"/>
    <w:rsid w:val="00D7015A"/>
    <w:rsid w:val="00D70389"/>
    <w:rsid w:val="00D7053A"/>
    <w:rsid w:val="00D7112D"/>
    <w:rsid w:val="00D73749"/>
    <w:rsid w:val="00D737F2"/>
    <w:rsid w:val="00D754D1"/>
    <w:rsid w:val="00D755ED"/>
    <w:rsid w:val="00D755FE"/>
    <w:rsid w:val="00D76389"/>
    <w:rsid w:val="00D765DB"/>
    <w:rsid w:val="00D7759C"/>
    <w:rsid w:val="00D77697"/>
    <w:rsid w:val="00D77BA9"/>
    <w:rsid w:val="00D800E6"/>
    <w:rsid w:val="00D8017B"/>
    <w:rsid w:val="00D8030F"/>
    <w:rsid w:val="00D81932"/>
    <w:rsid w:val="00D81A64"/>
    <w:rsid w:val="00D82080"/>
    <w:rsid w:val="00D8247A"/>
    <w:rsid w:val="00D82F52"/>
    <w:rsid w:val="00D83BC9"/>
    <w:rsid w:val="00D83EFB"/>
    <w:rsid w:val="00D8599A"/>
    <w:rsid w:val="00D86237"/>
    <w:rsid w:val="00D86564"/>
    <w:rsid w:val="00D865A0"/>
    <w:rsid w:val="00D868F2"/>
    <w:rsid w:val="00D86AC2"/>
    <w:rsid w:val="00D87192"/>
    <w:rsid w:val="00D8732B"/>
    <w:rsid w:val="00D873E2"/>
    <w:rsid w:val="00D87ED4"/>
    <w:rsid w:val="00D9019B"/>
    <w:rsid w:val="00D910E5"/>
    <w:rsid w:val="00D9187C"/>
    <w:rsid w:val="00D919B4"/>
    <w:rsid w:val="00D91C04"/>
    <w:rsid w:val="00D92EE0"/>
    <w:rsid w:val="00D93ED1"/>
    <w:rsid w:val="00D94617"/>
    <w:rsid w:val="00D94964"/>
    <w:rsid w:val="00D951A9"/>
    <w:rsid w:val="00D97894"/>
    <w:rsid w:val="00D97C6A"/>
    <w:rsid w:val="00D97F39"/>
    <w:rsid w:val="00DA19D6"/>
    <w:rsid w:val="00DA2926"/>
    <w:rsid w:val="00DA2DE5"/>
    <w:rsid w:val="00DA3807"/>
    <w:rsid w:val="00DA5064"/>
    <w:rsid w:val="00DA5420"/>
    <w:rsid w:val="00DA6DCE"/>
    <w:rsid w:val="00DA7888"/>
    <w:rsid w:val="00DA7F84"/>
    <w:rsid w:val="00DB00D8"/>
    <w:rsid w:val="00DB0443"/>
    <w:rsid w:val="00DB0812"/>
    <w:rsid w:val="00DB1318"/>
    <w:rsid w:val="00DB2630"/>
    <w:rsid w:val="00DB3145"/>
    <w:rsid w:val="00DB45C2"/>
    <w:rsid w:val="00DB4867"/>
    <w:rsid w:val="00DB5194"/>
    <w:rsid w:val="00DB5274"/>
    <w:rsid w:val="00DB635E"/>
    <w:rsid w:val="00DB691F"/>
    <w:rsid w:val="00DB6A4C"/>
    <w:rsid w:val="00DB6D5B"/>
    <w:rsid w:val="00DB6E42"/>
    <w:rsid w:val="00DB7BA7"/>
    <w:rsid w:val="00DC0143"/>
    <w:rsid w:val="00DC0E2F"/>
    <w:rsid w:val="00DC191B"/>
    <w:rsid w:val="00DC1B73"/>
    <w:rsid w:val="00DC21A2"/>
    <w:rsid w:val="00DC21D7"/>
    <w:rsid w:val="00DC2684"/>
    <w:rsid w:val="00DC30DA"/>
    <w:rsid w:val="00DC3799"/>
    <w:rsid w:val="00DC3CF9"/>
    <w:rsid w:val="00DC3F50"/>
    <w:rsid w:val="00DC40EC"/>
    <w:rsid w:val="00DC4223"/>
    <w:rsid w:val="00DC468D"/>
    <w:rsid w:val="00DC5BD2"/>
    <w:rsid w:val="00DC78C2"/>
    <w:rsid w:val="00DD061E"/>
    <w:rsid w:val="00DD06B5"/>
    <w:rsid w:val="00DD16B2"/>
    <w:rsid w:val="00DD1901"/>
    <w:rsid w:val="00DD1B52"/>
    <w:rsid w:val="00DD3456"/>
    <w:rsid w:val="00DD3471"/>
    <w:rsid w:val="00DD367D"/>
    <w:rsid w:val="00DD37A1"/>
    <w:rsid w:val="00DD37D6"/>
    <w:rsid w:val="00DD3F4D"/>
    <w:rsid w:val="00DD6BBE"/>
    <w:rsid w:val="00DD6D46"/>
    <w:rsid w:val="00DD70C4"/>
    <w:rsid w:val="00DD7C92"/>
    <w:rsid w:val="00DE0915"/>
    <w:rsid w:val="00DE1584"/>
    <w:rsid w:val="00DE186E"/>
    <w:rsid w:val="00DE1A1B"/>
    <w:rsid w:val="00DE1CC0"/>
    <w:rsid w:val="00DE3351"/>
    <w:rsid w:val="00DE37BA"/>
    <w:rsid w:val="00DE440A"/>
    <w:rsid w:val="00DE5CF6"/>
    <w:rsid w:val="00DE5E2A"/>
    <w:rsid w:val="00DE65D5"/>
    <w:rsid w:val="00DE75ED"/>
    <w:rsid w:val="00DE7A06"/>
    <w:rsid w:val="00DE7F43"/>
    <w:rsid w:val="00DF13F6"/>
    <w:rsid w:val="00DF200C"/>
    <w:rsid w:val="00DF2037"/>
    <w:rsid w:val="00DF2823"/>
    <w:rsid w:val="00DF2B7A"/>
    <w:rsid w:val="00DF2ECB"/>
    <w:rsid w:val="00DF426C"/>
    <w:rsid w:val="00DF4EF5"/>
    <w:rsid w:val="00DF5322"/>
    <w:rsid w:val="00DF5D9A"/>
    <w:rsid w:val="00DF5F48"/>
    <w:rsid w:val="00DF6272"/>
    <w:rsid w:val="00DF6411"/>
    <w:rsid w:val="00DF7277"/>
    <w:rsid w:val="00DF7D34"/>
    <w:rsid w:val="00E003E0"/>
    <w:rsid w:val="00E004CC"/>
    <w:rsid w:val="00E0072C"/>
    <w:rsid w:val="00E0184A"/>
    <w:rsid w:val="00E01E8D"/>
    <w:rsid w:val="00E0210F"/>
    <w:rsid w:val="00E03CB2"/>
    <w:rsid w:val="00E03D88"/>
    <w:rsid w:val="00E03E20"/>
    <w:rsid w:val="00E04EAB"/>
    <w:rsid w:val="00E06EAA"/>
    <w:rsid w:val="00E079FB"/>
    <w:rsid w:val="00E07B41"/>
    <w:rsid w:val="00E10C61"/>
    <w:rsid w:val="00E133A0"/>
    <w:rsid w:val="00E13750"/>
    <w:rsid w:val="00E13A9B"/>
    <w:rsid w:val="00E13F33"/>
    <w:rsid w:val="00E13F95"/>
    <w:rsid w:val="00E143EF"/>
    <w:rsid w:val="00E15C11"/>
    <w:rsid w:val="00E15EF1"/>
    <w:rsid w:val="00E164A6"/>
    <w:rsid w:val="00E16606"/>
    <w:rsid w:val="00E16923"/>
    <w:rsid w:val="00E17BDA"/>
    <w:rsid w:val="00E20086"/>
    <w:rsid w:val="00E21BF0"/>
    <w:rsid w:val="00E22278"/>
    <w:rsid w:val="00E23EFB"/>
    <w:rsid w:val="00E247FA"/>
    <w:rsid w:val="00E2687B"/>
    <w:rsid w:val="00E269C8"/>
    <w:rsid w:val="00E26EC9"/>
    <w:rsid w:val="00E27502"/>
    <w:rsid w:val="00E30031"/>
    <w:rsid w:val="00E307A1"/>
    <w:rsid w:val="00E31102"/>
    <w:rsid w:val="00E325C3"/>
    <w:rsid w:val="00E32E94"/>
    <w:rsid w:val="00E33DD4"/>
    <w:rsid w:val="00E34096"/>
    <w:rsid w:val="00E34827"/>
    <w:rsid w:val="00E358CA"/>
    <w:rsid w:val="00E359F7"/>
    <w:rsid w:val="00E35DB0"/>
    <w:rsid w:val="00E36C23"/>
    <w:rsid w:val="00E37639"/>
    <w:rsid w:val="00E407E5"/>
    <w:rsid w:val="00E40ED9"/>
    <w:rsid w:val="00E412AB"/>
    <w:rsid w:val="00E41956"/>
    <w:rsid w:val="00E41A86"/>
    <w:rsid w:val="00E41B2B"/>
    <w:rsid w:val="00E424BE"/>
    <w:rsid w:val="00E42927"/>
    <w:rsid w:val="00E42A3B"/>
    <w:rsid w:val="00E43749"/>
    <w:rsid w:val="00E43A06"/>
    <w:rsid w:val="00E43ECE"/>
    <w:rsid w:val="00E43FF9"/>
    <w:rsid w:val="00E446DD"/>
    <w:rsid w:val="00E45094"/>
    <w:rsid w:val="00E458CE"/>
    <w:rsid w:val="00E46743"/>
    <w:rsid w:val="00E46E49"/>
    <w:rsid w:val="00E47850"/>
    <w:rsid w:val="00E50BCE"/>
    <w:rsid w:val="00E50EE0"/>
    <w:rsid w:val="00E512D3"/>
    <w:rsid w:val="00E51499"/>
    <w:rsid w:val="00E51A02"/>
    <w:rsid w:val="00E51AD7"/>
    <w:rsid w:val="00E52990"/>
    <w:rsid w:val="00E52B01"/>
    <w:rsid w:val="00E54120"/>
    <w:rsid w:val="00E54193"/>
    <w:rsid w:val="00E54498"/>
    <w:rsid w:val="00E5473B"/>
    <w:rsid w:val="00E5576C"/>
    <w:rsid w:val="00E55F39"/>
    <w:rsid w:val="00E57677"/>
    <w:rsid w:val="00E57E40"/>
    <w:rsid w:val="00E6009B"/>
    <w:rsid w:val="00E60FFE"/>
    <w:rsid w:val="00E612E8"/>
    <w:rsid w:val="00E618E2"/>
    <w:rsid w:val="00E623A6"/>
    <w:rsid w:val="00E627CC"/>
    <w:rsid w:val="00E63C71"/>
    <w:rsid w:val="00E64021"/>
    <w:rsid w:val="00E64157"/>
    <w:rsid w:val="00E6532B"/>
    <w:rsid w:val="00E65621"/>
    <w:rsid w:val="00E666A9"/>
    <w:rsid w:val="00E70323"/>
    <w:rsid w:val="00E711E4"/>
    <w:rsid w:val="00E71F2D"/>
    <w:rsid w:val="00E722B7"/>
    <w:rsid w:val="00E72AA5"/>
    <w:rsid w:val="00E73261"/>
    <w:rsid w:val="00E73C55"/>
    <w:rsid w:val="00E73F62"/>
    <w:rsid w:val="00E74324"/>
    <w:rsid w:val="00E74969"/>
    <w:rsid w:val="00E74D7A"/>
    <w:rsid w:val="00E755AB"/>
    <w:rsid w:val="00E75AB7"/>
    <w:rsid w:val="00E769AC"/>
    <w:rsid w:val="00E802DD"/>
    <w:rsid w:val="00E80AB3"/>
    <w:rsid w:val="00E80C93"/>
    <w:rsid w:val="00E80F99"/>
    <w:rsid w:val="00E818BD"/>
    <w:rsid w:val="00E82389"/>
    <w:rsid w:val="00E82667"/>
    <w:rsid w:val="00E83264"/>
    <w:rsid w:val="00E834C9"/>
    <w:rsid w:val="00E8363E"/>
    <w:rsid w:val="00E8513C"/>
    <w:rsid w:val="00E8566A"/>
    <w:rsid w:val="00E8585C"/>
    <w:rsid w:val="00E86769"/>
    <w:rsid w:val="00E86BD4"/>
    <w:rsid w:val="00E86C0D"/>
    <w:rsid w:val="00E87203"/>
    <w:rsid w:val="00E904B1"/>
    <w:rsid w:val="00E91F6F"/>
    <w:rsid w:val="00E9298E"/>
    <w:rsid w:val="00E9312D"/>
    <w:rsid w:val="00E93798"/>
    <w:rsid w:val="00E9574B"/>
    <w:rsid w:val="00E9691B"/>
    <w:rsid w:val="00E9695C"/>
    <w:rsid w:val="00E973E6"/>
    <w:rsid w:val="00E974BE"/>
    <w:rsid w:val="00E97803"/>
    <w:rsid w:val="00EA00DF"/>
    <w:rsid w:val="00EA1051"/>
    <w:rsid w:val="00EA18AB"/>
    <w:rsid w:val="00EA19DB"/>
    <w:rsid w:val="00EA1B3F"/>
    <w:rsid w:val="00EA1BE3"/>
    <w:rsid w:val="00EA1E5D"/>
    <w:rsid w:val="00EA1E86"/>
    <w:rsid w:val="00EA20C8"/>
    <w:rsid w:val="00EA32D3"/>
    <w:rsid w:val="00EA34DE"/>
    <w:rsid w:val="00EA3594"/>
    <w:rsid w:val="00EA60A3"/>
    <w:rsid w:val="00EA6809"/>
    <w:rsid w:val="00EB059A"/>
    <w:rsid w:val="00EB147B"/>
    <w:rsid w:val="00EB3008"/>
    <w:rsid w:val="00EB4C4E"/>
    <w:rsid w:val="00EB50EB"/>
    <w:rsid w:val="00EB5287"/>
    <w:rsid w:val="00EB52D5"/>
    <w:rsid w:val="00EB5515"/>
    <w:rsid w:val="00EB5EFF"/>
    <w:rsid w:val="00EB7145"/>
    <w:rsid w:val="00EB7F07"/>
    <w:rsid w:val="00EC0167"/>
    <w:rsid w:val="00EC045E"/>
    <w:rsid w:val="00EC0A9D"/>
    <w:rsid w:val="00EC0B4D"/>
    <w:rsid w:val="00EC38F9"/>
    <w:rsid w:val="00EC3BAD"/>
    <w:rsid w:val="00EC401D"/>
    <w:rsid w:val="00EC4A20"/>
    <w:rsid w:val="00EC50B7"/>
    <w:rsid w:val="00EC6D2A"/>
    <w:rsid w:val="00EC6D56"/>
    <w:rsid w:val="00EC7A80"/>
    <w:rsid w:val="00EC7E41"/>
    <w:rsid w:val="00ED064C"/>
    <w:rsid w:val="00ED0C55"/>
    <w:rsid w:val="00ED18C9"/>
    <w:rsid w:val="00ED2446"/>
    <w:rsid w:val="00ED346E"/>
    <w:rsid w:val="00ED4539"/>
    <w:rsid w:val="00ED4DC3"/>
    <w:rsid w:val="00ED5323"/>
    <w:rsid w:val="00ED684B"/>
    <w:rsid w:val="00ED7195"/>
    <w:rsid w:val="00ED7F5C"/>
    <w:rsid w:val="00EE0BB8"/>
    <w:rsid w:val="00EE0C91"/>
    <w:rsid w:val="00EE16C4"/>
    <w:rsid w:val="00EE2331"/>
    <w:rsid w:val="00EE360E"/>
    <w:rsid w:val="00EE3ECE"/>
    <w:rsid w:val="00EE53A0"/>
    <w:rsid w:val="00EE584F"/>
    <w:rsid w:val="00EE5DC6"/>
    <w:rsid w:val="00EE7369"/>
    <w:rsid w:val="00EE7AF1"/>
    <w:rsid w:val="00EE7EFD"/>
    <w:rsid w:val="00EF025B"/>
    <w:rsid w:val="00EF0A88"/>
    <w:rsid w:val="00EF1AFD"/>
    <w:rsid w:val="00EF1E2C"/>
    <w:rsid w:val="00EF1E84"/>
    <w:rsid w:val="00EF2523"/>
    <w:rsid w:val="00EF2B31"/>
    <w:rsid w:val="00EF2C77"/>
    <w:rsid w:val="00EF371C"/>
    <w:rsid w:val="00EF37B1"/>
    <w:rsid w:val="00EF38A6"/>
    <w:rsid w:val="00EF522E"/>
    <w:rsid w:val="00EF5664"/>
    <w:rsid w:val="00EF5DDF"/>
    <w:rsid w:val="00EF60EF"/>
    <w:rsid w:val="00EF676B"/>
    <w:rsid w:val="00EF6CF8"/>
    <w:rsid w:val="00EF7483"/>
    <w:rsid w:val="00F006B3"/>
    <w:rsid w:val="00F00915"/>
    <w:rsid w:val="00F00DA9"/>
    <w:rsid w:val="00F01366"/>
    <w:rsid w:val="00F01650"/>
    <w:rsid w:val="00F017B8"/>
    <w:rsid w:val="00F01E38"/>
    <w:rsid w:val="00F0212C"/>
    <w:rsid w:val="00F03613"/>
    <w:rsid w:val="00F03BA6"/>
    <w:rsid w:val="00F04CB9"/>
    <w:rsid w:val="00F05037"/>
    <w:rsid w:val="00F05675"/>
    <w:rsid w:val="00F05845"/>
    <w:rsid w:val="00F06A68"/>
    <w:rsid w:val="00F101AF"/>
    <w:rsid w:val="00F1050F"/>
    <w:rsid w:val="00F10F49"/>
    <w:rsid w:val="00F11180"/>
    <w:rsid w:val="00F11EA9"/>
    <w:rsid w:val="00F13053"/>
    <w:rsid w:val="00F13C5F"/>
    <w:rsid w:val="00F15222"/>
    <w:rsid w:val="00F156B6"/>
    <w:rsid w:val="00F17DF0"/>
    <w:rsid w:val="00F202DA"/>
    <w:rsid w:val="00F20804"/>
    <w:rsid w:val="00F214A0"/>
    <w:rsid w:val="00F22C63"/>
    <w:rsid w:val="00F23743"/>
    <w:rsid w:val="00F238CF"/>
    <w:rsid w:val="00F25C30"/>
    <w:rsid w:val="00F261FE"/>
    <w:rsid w:val="00F26C88"/>
    <w:rsid w:val="00F302AA"/>
    <w:rsid w:val="00F30939"/>
    <w:rsid w:val="00F31059"/>
    <w:rsid w:val="00F3132F"/>
    <w:rsid w:val="00F31984"/>
    <w:rsid w:val="00F31A6E"/>
    <w:rsid w:val="00F31CA2"/>
    <w:rsid w:val="00F32EEA"/>
    <w:rsid w:val="00F339B3"/>
    <w:rsid w:val="00F343BF"/>
    <w:rsid w:val="00F3445E"/>
    <w:rsid w:val="00F352C3"/>
    <w:rsid w:val="00F36997"/>
    <w:rsid w:val="00F3746D"/>
    <w:rsid w:val="00F40E27"/>
    <w:rsid w:val="00F41D0E"/>
    <w:rsid w:val="00F42210"/>
    <w:rsid w:val="00F427E7"/>
    <w:rsid w:val="00F42E3B"/>
    <w:rsid w:val="00F44252"/>
    <w:rsid w:val="00F44832"/>
    <w:rsid w:val="00F45259"/>
    <w:rsid w:val="00F45D0F"/>
    <w:rsid w:val="00F463CB"/>
    <w:rsid w:val="00F4741E"/>
    <w:rsid w:val="00F477AD"/>
    <w:rsid w:val="00F47AD5"/>
    <w:rsid w:val="00F47C69"/>
    <w:rsid w:val="00F50339"/>
    <w:rsid w:val="00F50E38"/>
    <w:rsid w:val="00F51B97"/>
    <w:rsid w:val="00F51F4D"/>
    <w:rsid w:val="00F52C78"/>
    <w:rsid w:val="00F530B3"/>
    <w:rsid w:val="00F5441A"/>
    <w:rsid w:val="00F5496D"/>
    <w:rsid w:val="00F5567A"/>
    <w:rsid w:val="00F56903"/>
    <w:rsid w:val="00F56CC3"/>
    <w:rsid w:val="00F570E5"/>
    <w:rsid w:val="00F573EE"/>
    <w:rsid w:val="00F57629"/>
    <w:rsid w:val="00F60133"/>
    <w:rsid w:val="00F60581"/>
    <w:rsid w:val="00F60D2D"/>
    <w:rsid w:val="00F6132A"/>
    <w:rsid w:val="00F616CB"/>
    <w:rsid w:val="00F623D3"/>
    <w:rsid w:val="00F63667"/>
    <w:rsid w:val="00F63818"/>
    <w:rsid w:val="00F64517"/>
    <w:rsid w:val="00F64860"/>
    <w:rsid w:val="00F64AC7"/>
    <w:rsid w:val="00F651E7"/>
    <w:rsid w:val="00F65DF6"/>
    <w:rsid w:val="00F65E19"/>
    <w:rsid w:val="00F66CE0"/>
    <w:rsid w:val="00F67333"/>
    <w:rsid w:val="00F6763D"/>
    <w:rsid w:val="00F7096D"/>
    <w:rsid w:val="00F70CCA"/>
    <w:rsid w:val="00F70CDD"/>
    <w:rsid w:val="00F729C7"/>
    <w:rsid w:val="00F736DD"/>
    <w:rsid w:val="00F73939"/>
    <w:rsid w:val="00F7409F"/>
    <w:rsid w:val="00F7469D"/>
    <w:rsid w:val="00F749A8"/>
    <w:rsid w:val="00F74B26"/>
    <w:rsid w:val="00F75560"/>
    <w:rsid w:val="00F75B20"/>
    <w:rsid w:val="00F75FA7"/>
    <w:rsid w:val="00F76BEA"/>
    <w:rsid w:val="00F77087"/>
    <w:rsid w:val="00F778DD"/>
    <w:rsid w:val="00F80471"/>
    <w:rsid w:val="00F80778"/>
    <w:rsid w:val="00F81244"/>
    <w:rsid w:val="00F82672"/>
    <w:rsid w:val="00F82A9D"/>
    <w:rsid w:val="00F84106"/>
    <w:rsid w:val="00F843FA"/>
    <w:rsid w:val="00F862BA"/>
    <w:rsid w:val="00F86CE3"/>
    <w:rsid w:val="00F87243"/>
    <w:rsid w:val="00F8745C"/>
    <w:rsid w:val="00F90352"/>
    <w:rsid w:val="00F90861"/>
    <w:rsid w:val="00F90E59"/>
    <w:rsid w:val="00F9303D"/>
    <w:rsid w:val="00FA0441"/>
    <w:rsid w:val="00FA0A50"/>
    <w:rsid w:val="00FA2722"/>
    <w:rsid w:val="00FA3C1B"/>
    <w:rsid w:val="00FA5626"/>
    <w:rsid w:val="00FA5B1E"/>
    <w:rsid w:val="00FA6A9C"/>
    <w:rsid w:val="00FA7ADE"/>
    <w:rsid w:val="00FB00A1"/>
    <w:rsid w:val="00FB1A06"/>
    <w:rsid w:val="00FB2280"/>
    <w:rsid w:val="00FB25AD"/>
    <w:rsid w:val="00FB2B6B"/>
    <w:rsid w:val="00FB489E"/>
    <w:rsid w:val="00FB4AEF"/>
    <w:rsid w:val="00FB4FD6"/>
    <w:rsid w:val="00FB52FA"/>
    <w:rsid w:val="00FB5E04"/>
    <w:rsid w:val="00FB6459"/>
    <w:rsid w:val="00FB7545"/>
    <w:rsid w:val="00FC03A9"/>
    <w:rsid w:val="00FC24C8"/>
    <w:rsid w:val="00FC27E4"/>
    <w:rsid w:val="00FC3250"/>
    <w:rsid w:val="00FC3CA2"/>
    <w:rsid w:val="00FC42E4"/>
    <w:rsid w:val="00FC5588"/>
    <w:rsid w:val="00FC7645"/>
    <w:rsid w:val="00FC7745"/>
    <w:rsid w:val="00FC79F4"/>
    <w:rsid w:val="00FC79FE"/>
    <w:rsid w:val="00FD15DA"/>
    <w:rsid w:val="00FD2094"/>
    <w:rsid w:val="00FD21A8"/>
    <w:rsid w:val="00FD2871"/>
    <w:rsid w:val="00FD44D3"/>
    <w:rsid w:val="00FD5902"/>
    <w:rsid w:val="00FD5C27"/>
    <w:rsid w:val="00FD5E8E"/>
    <w:rsid w:val="00FD605A"/>
    <w:rsid w:val="00FD6550"/>
    <w:rsid w:val="00FD662E"/>
    <w:rsid w:val="00FD66C6"/>
    <w:rsid w:val="00FD6AA7"/>
    <w:rsid w:val="00FD6AA8"/>
    <w:rsid w:val="00FE0FFA"/>
    <w:rsid w:val="00FE1614"/>
    <w:rsid w:val="00FE1A0A"/>
    <w:rsid w:val="00FE2267"/>
    <w:rsid w:val="00FE2DDC"/>
    <w:rsid w:val="00FE4069"/>
    <w:rsid w:val="00FE4868"/>
    <w:rsid w:val="00FE5DE2"/>
    <w:rsid w:val="00FE6AD1"/>
    <w:rsid w:val="00FE7686"/>
    <w:rsid w:val="00FE7C20"/>
    <w:rsid w:val="00FE7EEB"/>
    <w:rsid w:val="00FF0431"/>
    <w:rsid w:val="00FF0FCA"/>
    <w:rsid w:val="00FF22B0"/>
    <w:rsid w:val="00FF23E8"/>
    <w:rsid w:val="00FF30A9"/>
    <w:rsid w:val="00FF36FD"/>
    <w:rsid w:val="00FF3BE3"/>
    <w:rsid w:val="00FF3F03"/>
    <w:rsid w:val="00FF49E4"/>
    <w:rsid w:val="00FF6064"/>
    <w:rsid w:val="00FF6250"/>
    <w:rsid w:val="00FF6DC3"/>
    <w:rsid w:val="00FF7D47"/>
    <w:rsid w:val="00FF7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BB"/>
    <w:pPr>
      <w:spacing w:line="280" w:lineRule="exact"/>
      <w:jc w:val="both"/>
    </w:pPr>
    <w:rPr>
      <w:rFonts w:ascii="Arial" w:hAnsi="Arial"/>
      <w:color w:val="000000"/>
      <w:spacing w:val="6"/>
      <w:sz w:val="18"/>
      <w:szCs w:val="18"/>
      <w:lang w:val="en-GB" w:eastAsia="en-GB"/>
    </w:rPr>
  </w:style>
  <w:style w:type="paragraph" w:styleId="Heading1">
    <w:name w:val="heading 1"/>
    <w:basedOn w:val="Normal"/>
    <w:next w:val="Normal"/>
    <w:qFormat/>
    <w:rsid w:val="004E0EBB"/>
    <w:pPr>
      <w:keepNext/>
      <w:outlineLvl w:val="0"/>
    </w:pPr>
    <w:rPr>
      <w:rFonts w:cs="Arial"/>
      <w:b/>
      <w:bCs/>
      <w:spacing w:val="-2"/>
      <w:kern w:val="32"/>
      <w:sz w:val="20"/>
      <w:szCs w:val="20"/>
    </w:rPr>
  </w:style>
  <w:style w:type="paragraph" w:styleId="Heading2">
    <w:name w:val="heading 2"/>
    <w:basedOn w:val="Normal"/>
    <w:next w:val="Normal"/>
    <w:qFormat/>
    <w:rsid w:val="004E0EBB"/>
    <w:pPr>
      <w:keepNext/>
      <w:spacing w:before="240" w:after="60"/>
      <w:outlineLvl w:val="1"/>
    </w:pPr>
    <w:rPr>
      <w:rFonts w:cs="Arial"/>
      <w:b/>
      <w:bCs/>
      <w:i/>
      <w:iCs/>
      <w:sz w:val="28"/>
      <w:szCs w:val="28"/>
    </w:rPr>
  </w:style>
  <w:style w:type="paragraph" w:styleId="Heading7">
    <w:name w:val="heading 7"/>
    <w:basedOn w:val="Normal"/>
    <w:next w:val="Normal"/>
    <w:qFormat/>
    <w:rsid w:val="00E10C61"/>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n Char,ft"/>
    <w:basedOn w:val="Normal"/>
    <w:link w:val="FootnoteTextChar"/>
    <w:uiPriority w:val="99"/>
    <w:rsid w:val="004E0EBB"/>
    <w:pPr>
      <w:spacing w:line="240" w:lineRule="auto"/>
    </w:pPr>
    <w:rPr>
      <w:rFonts w:ascii="Times New Roman" w:hAnsi="Times New Roman"/>
      <w:color w:val="auto"/>
      <w:spacing w:val="0"/>
      <w:sz w:val="20"/>
      <w:szCs w:val="20"/>
      <w:lang w:val="en-US" w:eastAsia="en-US"/>
    </w:rPr>
  </w:style>
  <w:style w:type="character" w:styleId="FootnoteReference">
    <w:name w:val="footnote reference"/>
    <w:aliases w:val="ftref"/>
    <w:uiPriority w:val="99"/>
    <w:rsid w:val="004E0EBB"/>
    <w:rPr>
      <w:vertAlign w:val="superscript"/>
    </w:rPr>
  </w:style>
  <w:style w:type="table" w:styleId="TableGrid">
    <w:name w:val="Table Grid"/>
    <w:basedOn w:val="TableNormal"/>
    <w:uiPriority w:val="59"/>
    <w:rsid w:val="004E0EBB"/>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Listing">
    <w:name w:val="Numbered Listing"/>
    <w:basedOn w:val="Normal"/>
    <w:autoRedefine/>
    <w:rsid w:val="00054A5A"/>
    <w:rPr>
      <w:rFonts w:cs="Arial"/>
      <w:b/>
      <w:color w:val="auto"/>
      <w:spacing w:val="0"/>
      <w:sz w:val="20"/>
      <w:szCs w:val="20"/>
      <w:lang w:val="en-US"/>
    </w:rPr>
  </w:style>
  <w:style w:type="paragraph" w:styleId="Footer">
    <w:name w:val="footer"/>
    <w:basedOn w:val="Normal"/>
    <w:link w:val="FooterChar"/>
    <w:uiPriority w:val="99"/>
    <w:rsid w:val="004E0EBB"/>
    <w:pPr>
      <w:tabs>
        <w:tab w:val="center" w:pos="4153"/>
        <w:tab w:val="right" w:pos="8306"/>
      </w:tabs>
    </w:pPr>
  </w:style>
  <w:style w:type="character" w:styleId="PageNumber">
    <w:name w:val="page number"/>
    <w:basedOn w:val="DefaultParagraphFont"/>
    <w:rsid w:val="004E0EBB"/>
  </w:style>
  <w:style w:type="paragraph" w:styleId="NormalWeb">
    <w:name w:val="Normal (Web)"/>
    <w:basedOn w:val="Normal"/>
    <w:uiPriority w:val="99"/>
    <w:rsid w:val="00E0184A"/>
    <w:pPr>
      <w:spacing w:before="120" w:after="216" w:line="240" w:lineRule="auto"/>
    </w:pPr>
    <w:rPr>
      <w:rFonts w:ascii="Times New Roman" w:hAnsi="Times New Roman"/>
      <w:color w:val="auto"/>
      <w:spacing w:val="0"/>
      <w:sz w:val="24"/>
      <w:szCs w:val="24"/>
    </w:rPr>
  </w:style>
  <w:style w:type="character" w:customStyle="1" w:styleId="FootnoteTextChar">
    <w:name w:val="Footnote Text Char"/>
    <w:aliases w:val="Footnote Text Char1 Char,Footnote Text Char Char Char,fn Char Char,ft Char"/>
    <w:link w:val="FootnoteText"/>
    <w:uiPriority w:val="99"/>
    <w:rsid w:val="00E0184A"/>
    <w:rPr>
      <w:lang w:val="en-US" w:eastAsia="en-US" w:bidi="ar-SA"/>
    </w:rPr>
  </w:style>
  <w:style w:type="paragraph" w:customStyle="1" w:styleId="BodySingle">
    <w:name w:val="Body Single"/>
    <w:rsid w:val="00E10C61"/>
    <w:pPr>
      <w:spacing w:line="280" w:lineRule="exact"/>
      <w:ind w:left="720"/>
      <w:jc w:val="both"/>
    </w:pPr>
    <w:rPr>
      <w:rFonts w:ascii="Arial" w:hAnsi="Arial"/>
      <w:i/>
      <w:noProof/>
      <w:lang w:val="en-US" w:eastAsia="en-US"/>
    </w:rPr>
  </w:style>
  <w:style w:type="character" w:styleId="Hyperlink">
    <w:name w:val="Hyperlink"/>
    <w:rsid w:val="00E10C61"/>
    <w:rPr>
      <w:color w:val="0000FF"/>
      <w:u w:val="single"/>
    </w:rPr>
  </w:style>
  <w:style w:type="paragraph" w:customStyle="1" w:styleId="NormalBoldCenter">
    <w:name w:val="Normal Bold Center"/>
    <w:basedOn w:val="Normal"/>
    <w:rsid w:val="00E10C61"/>
    <w:pPr>
      <w:jc w:val="center"/>
    </w:pPr>
    <w:rPr>
      <w:b/>
    </w:rPr>
  </w:style>
  <w:style w:type="paragraph" w:styleId="BodyText">
    <w:name w:val="Body Text"/>
    <w:basedOn w:val="Normal"/>
    <w:rsid w:val="00E10C61"/>
    <w:pPr>
      <w:spacing w:line="240" w:lineRule="auto"/>
    </w:pPr>
    <w:rPr>
      <w:rFonts w:cs="Arial"/>
      <w:color w:val="auto"/>
      <w:spacing w:val="0"/>
      <w:sz w:val="24"/>
      <w:szCs w:val="24"/>
      <w:lang w:val="en-ZA" w:eastAsia="en-US"/>
    </w:rPr>
  </w:style>
  <w:style w:type="paragraph" w:styleId="BalloonText">
    <w:name w:val="Balloon Text"/>
    <w:basedOn w:val="Normal"/>
    <w:semiHidden/>
    <w:rsid w:val="0055671D"/>
    <w:rPr>
      <w:rFonts w:ascii="Tahoma" w:hAnsi="Tahoma" w:cs="Tahoma"/>
      <w:sz w:val="16"/>
      <w:szCs w:val="16"/>
    </w:rPr>
  </w:style>
  <w:style w:type="paragraph" w:styleId="ListParagraph">
    <w:name w:val="List Paragraph"/>
    <w:aliases w:val="List Paragraph 1,Bullets,Recommendation,List Paragraph1,Table of contents numbered,Chapter Numbering,List Paragraph - 2,Riana Table Bullets 1,Bullets and Numbers"/>
    <w:basedOn w:val="Normal"/>
    <w:link w:val="ListParagraphChar"/>
    <w:uiPriority w:val="34"/>
    <w:qFormat/>
    <w:rsid w:val="00A73863"/>
    <w:pPr>
      <w:ind w:left="720"/>
    </w:pPr>
  </w:style>
  <w:style w:type="paragraph" w:styleId="Header">
    <w:name w:val="header"/>
    <w:basedOn w:val="Normal"/>
    <w:link w:val="HeaderChar"/>
    <w:uiPriority w:val="99"/>
    <w:rsid w:val="001273B2"/>
    <w:pPr>
      <w:tabs>
        <w:tab w:val="center" w:pos="4153"/>
        <w:tab w:val="right" w:pos="8306"/>
      </w:tabs>
    </w:pPr>
  </w:style>
  <w:style w:type="character" w:styleId="CommentReference">
    <w:name w:val="annotation reference"/>
    <w:semiHidden/>
    <w:rsid w:val="0024127E"/>
    <w:rPr>
      <w:sz w:val="16"/>
      <w:szCs w:val="16"/>
    </w:rPr>
  </w:style>
  <w:style w:type="paragraph" w:styleId="CommentText">
    <w:name w:val="annotation text"/>
    <w:basedOn w:val="Normal"/>
    <w:semiHidden/>
    <w:rsid w:val="0024127E"/>
    <w:rPr>
      <w:sz w:val="20"/>
      <w:szCs w:val="20"/>
    </w:rPr>
  </w:style>
  <w:style w:type="paragraph" w:styleId="CommentSubject">
    <w:name w:val="annotation subject"/>
    <w:basedOn w:val="CommentText"/>
    <w:next w:val="CommentText"/>
    <w:semiHidden/>
    <w:rsid w:val="0024127E"/>
    <w:rPr>
      <w:b/>
      <w:bCs/>
    </w:rPr>
  </w:style>
  <w:style w:type="paragraph" w:customStyle="1" w:styleId="Default">
    <w:name w:val="Default"/>
    <w:rsid w:val="00B63746"/>
    <w:pPr>
      <w:autoSpaceDE w:val="0"/>
      <w:autoSpaceDN w:val="0"/>
      <w:adjustRightInd w:val="0"/>
      <w:spacing w:line="280" w:lineRule="exact"/>
      <w:jc w:val="both"/>
    </w:pPr>
    <w:rPr>
      <w:rFonts w:ascii="Arial" w:eastAsia="Calibri" w:hAnsi="Arial" w:cs="Arial"/>
      <w:color w:val="000000"/>
      <w:sz w:val="24"/>
      <w:szCs w:val="24"/>
      <w:lang w:val="en-GB" w:eastAsia="en-GB"/>
    </w:rPr>
  </w:style>
  <w:style w:type="character" w:customStyle="1" w:styleId="ListParagraphChar">
    <w:name w:val="List Paragraph Char"/>
    <w:aliases w:val="List Paragraph 1 Char,Bullets Char,Recommendation Char,List Paragraph1 Char,Table of contents numbered Char,Chapter Numbering Char,List Paragraph - 2 Char,Riana Table Bullets 1 Char,Bullets and Numbers Char"/>
    <w:link w:val="ListParagraph"/>
    <w:uiPriority w:val="34"/>
    <w:locked/>
    <w:rsid w:val="00B63746"/>
    <w:rPr>
      <w:rFonts w:ascii="Arial" w:hAnsi="Arial"/>
      <w:color w:val="000000"/>
      <w:spacing w:val="6"/>
      <w:sz w:val="18"/>
      <w:szCs w:val="18"/>
      <w:lang w:val="en-GB" w:eastAsia="en-GB" w:bidi="ar-SA"/>
    </w:rPr>
  </w:style>
  <w:style w:type="character" w:customStyle="1" w:styleId="HeaderChar">
    <w:name w:val="Header Char"/>
    <w:link w:val="Header"/>
    <w:uiPriority w:val="99"/>
    <w:rsid w:val="00BC1582"/>
    <w:rPr>
      <w:rFonts w:ascii="Arial" w:hAnsi="Arial"/>
      <w:color w:val="000000"/>
      <w:spacing w:val="6"/>
      <w:sz w:val="18"/>
      <w:szCs w:val="18"/>
      <w:lang w:val="en-GB" w:eastAsia="en-GB"/>
    </w:rPr>
  </w:style>
  <w:style w:type="character" w:customStyle="1" w:styleId="FooterChar">
    <w:name w:val="Footer Char"/>
    <w:link w:val="Footer"/>
    <w:uiPriority w:val="99"/>
    <w:rsid w:val="00AB2949"/>
    <w:rPr>
      <w:rFonts w:ascii="Arial" w:hAnsi="Arial"/>
      <w:color w:val="000000"/>
      <w:spacing w:val="6"/>
      <w:sz w:val="18"/>
      <w:szCs w:val="18"/>
      <w:lang w:val="en-GB" w:eastAsia="en-GB"/>
    </w:rPr>
  </w:style>
  <w:style w:type="character" w:styleId="Emphasis">
    <w:name w:val="Emphasis"/>
    <w:uiPriority w:val="20"/>
    <w:qFormat/>
    <w:rsid w:val="00507A03"/>
    <w:rPr>
      <w:i/>
      <w:iCs/>
    </w:rPr>
  </w:style>
  <w:style w:type="character" w:customStyle="1" w:styleId="ColorfulList-Accent1Char">
    <w:name w:val="Colorful List - Accent 1 Char"/>
    <w:link w:val="ColorfulList-Accent1"/>
    <w:locked/>
    <w:rsid w:val="000B4BC6"/>
    <w:rPr>
      <w:rFonts w:ascii="Arial" w:eastAsia="Times New Roman" w:hAnsi="Arial" w:cs="Times New Roman"/>
      <w:color w:val="000000"/>
      <w:spacing w:val="6"/>
      <w:sz w:val="18"/>
      <w:szCs w:val="18"/>
      <w:lang w:val="en-GB" w:eastAsia="en-GB"/>
    </w:rPr>
  </w:style>
  <w:style w:type="table" w:styleId="ColorfulList-Accent1">
    <w:name w:val="Colorful List Accent 1"/>
    <w:basedOn w:val="TableNormal"/>
    <w:link w:val="ColorfulList-Accent1Char"/>
    <w:semiHidden/>
    <w:unhideWhenUsed/>
    <w:rsid w:val="000B4BC6"/>
    <w:rPr>
      <w:rFonts w:ascii="Arial" w:hAnsi="Arial"/>
      <w:color w:val="000000"/>
      <w:spacing w:val="6"/>
      <w:sz w:val="18"/>
      <w:szCs w:val="18"/>
      <w:lang w:val="en-GB" w:eastAsia="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PlainText">
    <w:name w:val="Plain Text"/>
    <w:basedOn w:val="Normal"/>
    <w:link w:val="PlainTextChar"/>
    <w:uiPriority w:val="99"/>
    <w:unhideWhenUsed/>
    <w:rsid w:val="000B4BC6"/>
    <w:pPr>
      <w:spacing w:line="240" w:lineRule="auto"/>
      <w:jc w:val="left"/>
    </w:pPr>
    <w:rPr>
      <w:rFonts w:ascii="Calibri" w:eastAsia="Calibri" w:hAnsi="Calibri"/>
      <w:color w:val="auto"/>
      <w:spacing w:val="0"/>
      <w:sz w:val="22"/>
      <w:szCs w:val="21"/>
      <w:lang w:val="en-US" w:eastAsia="en-US"/>
    </w:rPr>
  </w:style>
  <w:style w:type="character" w:customStyle="1" w:styleId="PlainTextChar">
    <w:name w:val="Plain Text Char"/>
    <w:link w:val="PlainText"/>
    <w:uiPriority w:val="99"/>
    <w:rsid w:val="000B4BC6"/>
    <w:rPr>
      <w:rFonts w:ascii="Calibri" w:eastAsia="Calibri" w:hAnsi="Calibri"/>
      <w:sz w:val="22"/>
      <w:szCs w:val="21"/>
      <w:lang w:val="en-US" w:eastAsia="en-US"/>
    </w:rPr>
  </w:style>
  <w:style w:type="character" w:customStyle="1" w:styleId="run-in">
    <w:name w:val="run-in"/>
    <w:rsid w:val="005E48AA"/>
  </w:style>
  <w:style w:type="character" w:styleId="Strong">
    <w:name w:val="Strong"/>
    <w:uiPriority w:val="22"/>
    <w:qFormat/>
    <w:rsid w:val="005E48AA"/>
    <w:rPr>
      <w:b/>
      <w:bCs/>
    </w:rPr>
  </w:style>
  <w:style w:type="paragraph" w:styleId="ListBullet">
    <w:name w:val="List Bullet"/>
    <w:basedOn w:val="Normal"/>
    <w:rsid w:val="00AA5D76"/>
    <w:pPr>
      <w:numPr>
        <w:numId w:val="3"/>
      </w:numPr>
      <w:contextualSpacing/>
    </w:pPr>
  </w:style>
  <w:style w:type="character" w:customStyle="1" w:styleId="tgc">
    <w:name w:val="_tgc"/>
    <w:rsid w:val="00A82B03"/>
  </w:style>
  <w:style w:type="character" w:customStyle="1" w:styleId="e24kjd">
    <w:name w:val="e24kjd"/>
    <w:basedOn w:val="DefaultParagraphFont"/>
    <w:rsid w:val="001A68BB"/>
  </w:style>
  <w:style w:type="table" w:customStyle="1" w:styleId="GridTable4Accent3">
    <w:name w:val="Grid Table 4 Accent 3"/>
    <w:basedOn w:val="TableNormal"/>
    <w:uiPriority w:val="49"/>
    <w:rsid w:val="00A57AB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6">
    <w:name w:val="Grid Table 4 Accent 6"/>
    <w:basedOn w:val="TableNormal"/>
    <w:uiPriority w:val="49"/>
    <w:rsid w:val="0000776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2">
    <w:name w:val="Table Grid2"/>
    <w:basedOn w:val="TableNormal"/>
    <w:next w:val="TableGrid"/>
    <w:uiPriority w:val="39"/>
    <w:rsid w:val="008175E8"/>
    <w:pPr>
      <w:jc w:val="both"/>
    </w:pPr>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6">
    <w:name w:val="Grid Table 5 Dark Accent 6"/>
    <w:basedOn w:val="TableNormal"/>
    <w:uiPriority w:val="50"/>
    <w:rsid w:val="00B4138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A4">
    <w:name w:val="A4"/>
    <w:uiPriority w:val="99"/>
    <w:rsid w:val="003B0D54"/>
    <w:rPr>
      <w:rFonts w:cs="Gill Sans"/>
      <w:color w:val="000000"/>
      <w:sz w:val="17"/>
      <w:szCs w:val="17"/>
    </w:rPr>
  </w:style>
  <w:style w:type="table" w:customStyle="1" w:styleId="GridTable5DarkAccent3">
    <w:name w:val="Grid Table 5 Dark Accent 3"/>
    <w:basedOn w:val="TableNormal"/>
    <w:uiPriority w:val="50"/>
    <w:rsid w:val="00F31A6E"/>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eGrid1">
    <w:name w:val="Table Grid1"/>
    <w:basedOn w:val="TableNormal"/>
    <w:next w:val="TableGrid"/>
    <w:uiPriority w:val="39"/>
    <w:rsid w:val="006511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34453">
      <w:bodyDiv w:val="1"/>
      <w:marLeft w:val="0"/>
      <w:marRight w:val="0"/>
      <w:marTop w:val="0"/>
      <w:marBottom w:val="0"/>
      <w:divBdr>
        <w:top w:val="none" w:sz="0" w:space="0" w:color="auto"/>
        <w:left w:val="none" w:sz="0" w:space="0" w:color="auto"/>
        <w:bottom w:val="none" w:sz="0" w:space="0" w:color="auto"/>
        <w:right w:val="none" w:sz="0" w:space="0" w:color="auto"/>
      </w:divBdr>
      <w:divsChild>
        <w:div w:id="314188893">
          <w:marLeft w:val="547"/>
          <w:marRight w:val="0"/>
          <w:marTop w:val="77"/>
          <w:marBottom w:val="0"/>
          <w:divBdr>
            <w:top w:val="none" w:sz="0" w:space="0" w:color="auto"/>
            <w:left w:val="none" w:sz="0" w:space="0" w:color="auto"/>
            <w:bottom w:val="none" w:sz="0" w:space="0" w:color="auto"/>
            <w:right w:val="none" w:sz="0" w:space="0" w:color="auto"/>
          </w:divBdr>
        </w:div>
        <w:div w:id="1734306169">
          <w:marLeft w:val="547"/>
          <w:marRight w:val="0"/>
          <w:marTop w:val="77"/>
          <w:marBottom w:val="0"/>
          <w:divBdr>
            <w:top w:val="none" w:sz="0" w:space="0" w:color="auto"/>
            <w:left w:val="none" w:sz="0" w:space="0" w:color="auto"/>
            <w:bottom w:val="none" w:sz="0" w:space="0" w:color="auto"/>
            <w:right w:val="none" w:sz="0" w:space="0" w:color="auto"/>
          </w:divBdr>
        </w:div>
      </w:divsChild>
    </w:div>
    <w:div w:id="16590373">
      <w:bodyDiv w:val="1"/>
      <w:marLeft w:val="0"/>
      <w:marRight w:val="0"/>
      <w:marTop w:val="0"/>
      <w:marBottom w:val="0"/>
      <w:divBdr>
        <w:top w:val="none" w:sz="0" w:space="0" w:color="auto"/>
        <w:left w:val="none" w:sz="0" w:space="0" w:color="auto"/>
        <w:bottom w:val="none" w:sz="0" w:space="0" w:color="auto"/>
        <w:right w:val="none" w:sz="0" w:space="0" w:color="auto"/>
      </w:divBdr>
      <w:divsChild>
        <w:div w:id="1616668379">
          <w:marLeft w:val="446"/>
          <w:marRight w:val="0"/>
          <w:marTop w:val="0"/>
          <w:marBottom w:val="0"/>
          <w:divBdr>
            <w:top w:val="none" w:sz="0" w:space="0" w:color="auto"/>
            <w:left w:val="none" w:sz="0" w:space="0" w:color="auto"/>
            <w:bottom w:val="none" w:sz="0" w:space="0" w:color="auto"/>
            <w:right w:val="none" w:sz="0" w:space="0" w:color="auto"/>
          </w:divBdr>
        </w:div>
      </w:divsChild>
    </w:div>
    <w:div w:id="40903382">
      <w:bodyDiv w:val="1"/>
      <w:marLeft w:val="0"/>
      <w:marRight w:val="0"/>
      <w:marTop w:val="0"/>
      <w:marBottom w:val="0"/>
      <w:divBdr>
        <w:top w:val="none" w:sz="0" w:space="0" w:color="auto"/>
        <w:left w:val="none" w:sz="0" w:space="0" w:color="auto"/>
        <w:bottom w:val="none" w:sz="0" w:space="0" w:color="auto"/>
        <w:right w:val="none" w:sz="0" w:space="0" w:color="auto"/>
      </w:divBdr>
      <w:divsChild>
        <w:div w:id="1059784424">
          <w:marLeft w:val="547"/>
          <w:marRight w:val="0"/>
          <w:marTop w:val="0"/>
          <w:marBottom w:val="0"/>
          <w:divBdr>
            <w:top w:val="none" w:sz="0" w:space="0" w:color="auto"/>
            <w:left w:val="none" w:sz="0" w:space="0" w:color="auto"/>
            <w:bottom w:val="none" w:sz="0" w:space="0" w:color="auto"/>
            <w:right w:val="none" w:sz="0" w:space="0" w:color="auto"/>
          </w:divBdr>
        </w:div>
      </w:divsChild>
    </w:div>
    <w:div w:id="63065316">
      <w:bodyDiv w:val="1"/>
      <w:marLeft w:val="0"/>
      <w:marRight w:val="0"/>
      <w:marTop w:val="0"/>
      <w:marBottom w:val="0"/>
      <w:divBdr>
        <w:top w:val="none" w:sz="0" w:space="0" w:color="auto"/>
        <w:left w:val="none" w:sz="0" w:space="0" w:color="auto"/>
        <w:bottom w:val="none" w:sz="0" w:space="0" w:color="auto"/>
        <w:right w:val="none" w:sz="0" w:space="0" w:color="auto"/>
      </w:divBdr>
    </w:div>
    <w:div w:id="88546448">
      <w:bodyDiv w:val="1"/>
      <w:marLeft w:val="0"/>
      <w:marRight w:val="0"/>
      <w:marTop w:val="0"/>
      <w:marBottom w:val="0"/>
      <w:divBdr>
        <w:top w:val="none" w:sz="0" w:space="0" w:color="auto"/>
        <w:left w:val="none" w:sz="0" w:space="0" w:color="auto"/>
        <w:bottom w:val="none" w:sz="0" w:space="0" w:color="auto"/>
        <w:right w:val="none" w:sz="0" w:space="0" w:color="auto"/>
      </w:divBdr>
    </w:div>
    <w:div w:id="127168946">
      <w:bodyDiv w:val="1"/>
      <w:marLeft w:val="0"/>
      <w:marRight w:val="0"/>
      <w:marTop w:val="0"/>
      <w:marBottom w:val="0"/>
      <w:divBdr>
        <w:top w:val="none" w:sz="0" w:space="0" w:color="auto"/>
        <w:left w:val="none" w:sz="0" w:space="0" w:color="auto"/>
        <w:bottom w:val="none" w:sz="0" w:space="0" w:color="auto"/>
        <w:right w:val="none" w:sz="0" w:space="0" w:color="auto"/>
      </w:divBdr>
      <w:divsChild>
        <w:div w:id="525220235">
          <w:marLeft w:val="547"/>
          <w:marRight w:val="0"/>
          <w:marTop w:val="0"/>
          <w:marBottom w:val="0"/>
          <w:divBdr>
            <w:top w:val="none" w:sz="0" w:space="0" w:color="auto"/>
            <w:left w:val="none" w:sz="0" w:space="0" w:color="auto"/>
            <w:bottom w:val="none" w:sz="0" w:space="0" w:color="auto"/>
            <w:right w:val="none" w:sz="0" w:space="0" w:color="auto"/>
          </w:divBdr>
        </w:div>
        <w:div w:id="1195073817">
          <w:marLeft w:val="1354"/>
          <w:marRight w:val="0"/>
          <w:marTop w:val="0"/>
          <w:marBottom w:val="0"/>
          <w:divBdr>
            <w:top w:val="none" w:sz="0" w:space="0" w:color="auto"/>
            <w:left w:val="none" w:sz="0" w:space="0" w:color="auto"/>
            <w:bottom w:val="none" w:sz="0" w:space="0" w:color="auto"/>
            <w:right w:val="none" w:sz="0" w:space="0" w:color="auto"/>
          </w:divBdr>
        </w:div>
        <w:div w:id="1276522718">
          <w:marLeft w:val="1354"/>
          <w:marRight w:val="0"/>
          <w:marTop w:val="0"/>
          <w:marBottom w:val="0"/>
          <w:divBdr>
            <w:top w:val="none" w:sz="0" w:space="0" w:color="auto"/>
            <w:left w:val="none" w:sz="0" w:space="0" w:color="auto"/>
            <w:bottom w:val="none" w:sz="0" w:space="0" w:color="auto"/>
            <w:right w:val="none" w:sz="0" w:space="0" w:color="auto"/>
          </w:divBdr>
        </w:div>
        <w:div w:id="1285888134">
          <w:marLeft w:val="1354"/>
          <w:marRight w:val="0"/>
          <w:marTop w:val="0"/>
          <w:marBottom w:val="0"/>
          <w:divBdr>
            <w:top w:val="none" w:sz="0" w:space="0" w:color="auto"/>
            <w:left w:val="none" w:sz="0" w:space="0" w:color="auto"/>
            <w:bottom w:val="none" w:sz="0" w:space="0" w:color="auto"/>
            <w:right w:val="none" w:sz="0" w:space="0" w:color="auto"/>
          </w:divBdr>
        </w:div>
        <w:div w:id="1493333870">
          <w:marLeft w:val="1354"/>
          <w:marRight w:val="0"/>
          <w:marTop w:val="0"/>
          <w:marBottom w:val="0"/>
          <w:divBdr>
            <w:top w:val="none" w:sz="0" w:space="0" w:color="auto"/>
            <w:left w:val="none" w:sz="0" w:space="0" w:color="auto"/>
            <w:bottom w:val="none" w:sz="0" w:space="0" w:color="auto"/>
            <w:right w:val="none" w:sz="0" w:space="0" w:color="auto"/>
          </w:divBdr>
        </w:div>
        <w:div w:id="1565333336">
          <w:marLeft w:val="1354"/>
          <w:marRight w:val="0"/>
          <w:marTop w:val="0"/>
          <w:marBottom w:val="0"/>
          <w:divBdr>
            <w:top w:val="none" w:sz="0" w:space="0" w:color="auto"/>
            <w:left w:val="none" w:sz="0" w:space="0" w:color="auto"/>
            <w:bottom w:val="none" w:sz="0" w:space="0" w:color="auto"/>
            <w:right w:val="none" w:sz="0" w:space="0" w:color="auto"/>
          </w:divBdr>
        </w:div>
      </w:divsChild>
    </w:div>
    <w:div w:id="148401349">
      <w:bodyDiv w:val="1"/>
      <w:marLeft w:val="0"/>
      <w:marRight w:val="0"/>
      <w:marTop w:val="0"/>
      <w:marBottom w:val="0"/>
      <w:divBdr>
        <w:top w:val="none" w:sz="0" w:space="0" w:color="auto"/>
        <w:left w:val="none" w:sz="0" w:space="0" w:color="auto"/>
        <w:bottom w:val="none" w:sz="0" w:space="0" w:color="auto"/>
        <w:right w:val="none" w:sz="0" w:space="0" w:color="auto"/>
      </w:divBdr>
      <w:divsChild>
        <w:div w:id="538708053">
          <w:marLeft w:val="547"/>
          <w:marRight w:val="0"/>
          <w:marTop w:val="0"/>
          <w:marBottom w:val="0"/>
          <w:divBdr>
            <w:top w:val="none" w:sz="0" w:space="0" w:color="auto"/>
            <w:left w:val="none" w:sz="0" w:space="0" w:color="auto"/>
            <w:bottom w:val="none" w:sz="0" w:space="0" w:color="auto"/>
            <w:right w:val="none" w:sz="0" w:space="0" w:color="auto"/>
          </w:divBdr>
        </w:div>
        <w:div w:id="759258689">
          <w:marLeft w:val="547"/>
          <w:marRight w:val="0"/>
          <w:marTop w:val="0"/>
          <w:marBottom w:val="0"/>
          <w:divBdr>
            <w:top w:val="none" w:sz="0" w:space="0" w:color="auto"/>
            <w:left w:val="none" w:sz="0" w:space="0" w:color="auto"/>
            <w:bottom w:val="none" w:sz="0" w:space="0" w:color="auto"/>
            <w:right w:val="none" w:sz="0" w:space="0" w:color="auto"/>
          </w:divBdr>
        </w:div>
      </w:divsChild>
    </w:div>
    <w:div w:id="154882004">
      <w:bodyDiv w:val="1"/>
      <w:marLeft w:val="0"/>
      <w:marRight w:val="0"/>
      <w:marTop w:val="0"/>
      <w:marBottom w:val="0"/>
      <w:divBdr>
        <w:top w:val="none" w:sz="0" w:space="0" w:color="auto"/>
        <w:left w:val="none" w:sz="0" w:space="0" w:color="auto"/>
        <w:bottom w:val="none" w:sz="0" w:space="0" w:color="auto"/>
        <w:right w:val="none" w:sz="0" w:space="0" w:color="auto"/>
      </w:divBdr>
      <w:divsChild>
        <w:div w:id="1541942862">
          <w:marLeft w:val="446"/>
          <w:marRight w:val="0"/>
          <w:marTop w:val="0"/>
          <w:marBottom w:val="0"/>
          <w:divBdr>
            <w:top w:val="none" w:sz="0" w:space="0" w:color="auto"/>
            <w:left w:val="none" w:sz="0" w:space="0" w:color="auto"/>
            <w:bottom w:val="none" w:sz="0" w:space="0" w:color="auto"/>
            <w:right w:val="none" w:sz="0" w:space="0" w:color="auto"/>
          </w:divBdr>
        </w:div>
      </w:divsChild>
    </w:div>
    <w:div w:id="174855058">
      <w:bodyDiv w:val="1"/>
      <w:marLeft w:val="0"/>
      <w:marRight w:val="0"/>
      <w:marTop w:val="0"/>
      <w:marBottom w:val="0"/>
      <w:divBdr>
        <w:top w:val="none" w:sz="0" w:space="0" w:color="auto"/>
        <w:left w:val="none" w:sz="0" w:space="0" w:color="auto"/>
        <w:bottom w:val="none" w:sz="0" w:space="0" w:color="auto"/>
        <w:right w:val="none" w:sz="0" w:space="0" w:color="auto"/>
      </w:divBdr>
      <w:divsChild>
        <w:div w:id="521018855">
          <w:marLeft w:val="547"/>
          <w:marRight w:val="0"/>
          <w:marTop w:val="0"/>
          <w:marBottom w:val="200"/>
          <w:divBdr>
            <w:top w:val="none" w:sz="0" w:space="0" w:color="auto"/>
            <w:left w:val="none" w:sz="0" w:space="0" w:color="auto"/>
            <w:bottom w:val="none" w:sz="0" w:space="0" w:color="auto"/>
            <w:right w:val="none" w:sz="0" w:space="0" w:color="auto"/>
          </w:divBdr>
        </w:div>
        <w:div w:id="1843082064">
          <w:marLeft w:val="547"/>
          <w:marRight w:val="0"/>
          <w:marTop w:val="0"/>
          <w:marBottom w:val="200"/>
          <w:divBdr>
            <w:top w:val="none" w:sz="0" w:space="0" w:color="auto"/>
            <w:left w:val="none" w:sz="0" w:space="0" w:color="auto"/>
            <w:bottom w:val="none" w:sz="0" w:space="0" w:color="auto"/>
            <w:right w:val="none" w:sz="0" w:space="0" w:color="auto"/>
          </w:divBdr>
        </w:div>
      </w:divsChild>
    </w:div>
    <w:div w:id="182673796">
      <w:bodyDiv w:val="1"/>
      <w:marLeft w:val="0"/>
      <w:marRight w:val="0"/>
      <w:marTop w:val="0"/>
      <w:marBottom w:val="0"/>
      <w:divBdr>
        <w:top w:val="none" w:sz="0" w:space="0" w:color="auto"/>
        <w:left w:val="none" w:sz="0" w:space="0" w:color="auto"/>
        <w:bottom w:val="none" w:sz="0" w:space="0" w:color="auto"/>
        <w:right w:val="none" w:sz="0" w:space="0" w:color="auto"/>
      </w:divBdr>
    </w:div>
    <w:div w:id="206530901">
      <w:bodyDiv w:val="1"/>
      <w:marLeft w:val="0"/>
      <w:marRight w:val="0"/>
      <w:marTop w:val="0"/>
      <w:marBottom w:val="0"/>
      <w:divBdr>
        <w:top w:val="none" w:sz="0" w:space="0" w:color="auto"/>
        <w:left w:val="none" w:sz="0" w:space="0" w:color="auto"/>
        <w:bottom w:val="none" w:sz="0" w:space="0" w:color="auto"/>
        <w:right w:val="none" w:sz="0" w:space="0" w:color="auto"/>
      </w:divBdr>
      <w:divsChild>
        <w:div w:id="70085207">
          <w:marLeft w:val="1267"/>
          <w:marRight w:val="0"/>
          <w:marTop w:val="0"/>
          <w:marBottom w:val="0"/>
          <w:divBdr>
            <w:top w:val="none" w:sz="0" w:space="0" w:color="auto"/>
            <w:left w:val="none" w:sz="0" w:space="0" w:color="auto"/>
            <w:bottom w:val="none" w:sz="0" w:space="0" w:color="auto"/>
            <w:right w:val="none" w:sz="0" w:space="0" w:color="auto"/>
          </w:divBdr>
        </w:div>
        <w:div w:id="198513394">
          <w:marLeft w:val="1267"/>
          <w:marRight w:val="0"/>
          <w:marTop w:val="0"/>
          <w:marBottom w:val="0"/>
          <w:divBdr>
            <w:top w:val="none" w:sz="0" w:space="0" w:color="auto"/>
            <w:left w:val="none" w:sz="0" w:space="0" w:color="auto"/>
            <w:bottom w:val="none" w:sz="0" w:space="0" w:color="auto"/>
            <w:right w:val="none" w:sz="0" w:space="0" w:color="auto"/>
          </w:divBdr>
        </w:div>
        <w:div w:id="440800061">
          <w:marLeft w:val="1267"/>
          <w:marRight w:val="0"/>
          <w:marTop w:val="0"/>
          <w:marBottom w:val="0"/>
          <w:divBdr>
            <w:top w:val="none" w:sz="0" w:space="0" w:color="auto"/>
            <w:left w:val="none" w:sz="0" w:space="0" w:color="auto"/>
            <w:bottom w:val="none" w:sz="0" w:space="0" w:color="auto"/>
            <w:right w:val="none" w:sz="0" w:space="0" w:color="auto"/>
          </w:divBdr>
        </w:div>
        <w:div w:id="719209861">
          <w:marLeft w:val="1267"/>
          <w:marRight w:val="0"/>
          <w:marTop w:val="0"/>
          <w:marBottom w:val="0"/>
          <w:divBdr>
            <w:top w:val="none" w:sz="0" w:space="0" w:color="auto"/>
            <w:left w:val="none" w:sz="0" w:space="0" w:color="auto"/>
            <w:bottom w:val="none" w:sz="0" w:space="0" w:color="auto"/>
            <w:right w:val="none" w:sz="0" w:space="0" w:color="auto"/>
          </w:divBdr>
        </w:div>
        <w:div w:id="895747083">
          <w:marLeft w:val="1267"/>
          <w:marRight w:val="0"/>
          <w:marTop w:val="0"/>
          <w:marBottom w:val="0"/>
          <w:divBdr>
            <w:top w:val="none" w:sz="0" w:space="0" w:color="auto"/>
            <w:left w:val="none" w:sz="0" w:space="0" w:color="auto"/>
            <w:bottom w:val="none" w:sz="0" w:space="0" w:color="auto"/>
            <w:right w:val="none" w:sz="0" w:space="0" w:color="auto"/>
          </w:divBdr>
        </w:div>
        <w:div w:id="1201479670">
          <w:marLeft w:val="1267"/>
          <w:marRight w:val="0"/>
          <w:marTop w:val="0"/>
          <w:marBottom w:val="0"/>
          <w:divBdr>
            <w:top w:val="none" w:sz="0" w:space="0" w:color="auto"/>
            <w:left w:val="none" w:sz="0" w:space="0" w:color="auto"/>
            <w:bottom w:val="none" w:sz="0" w:space="0" w:color="auto"/>
            <w:right w:val="none" w:sz="0" w:space="0" w:color="auto"/>
          </w:divBdr>
        </w:div>
        <w:div w:id="1460806672">
          <w:marLeft w:val="1267"/>
          <w:marRight w:val="0"/>
          <w:marTop w:val="0"/>
          <w:marBottom w:val="0"/>
          <w:divBdr>
            <w:top w:val="none" w:sz="0" w:space="0" w:color="auto"/>
            <w:left w:val="none" w:sz="0" w:space="0" w:color="auto"/>
            <w:bottom w:val="none" w:sz="0" w:space="0" w:color="auto"/>
            <w:right w:val="none" w:sz="0" w:space="0" w:color="auto"/>
          </w:divBdr>
        </w:div>
        <w:div w:id="1537884905">
          <w:marLeft w:val="1267"/>
          <w:marRight w:val="0"/>
          <w:marTop w:val="0"/>
          <w:marBottom w:val="0"/>
          <w:divBdr>
            <w:top w:val="none" w:sz="0" w:space="0" w:color="auto"/>
            <w:left w:val="none" w:sz="0" w:space="0" w:color="auto"/>
            <w:bottom w:val="none" w:sz="0" w:space="0" w:color="auto"/>
            <w:right w:val="none" w:sz="0" w:space="0" w:color="auto"/>
          </w:divBdr>
        </w:div>
        <w:div w:id="1662199980">
          <w:marLeft w:val="1267"/>
          <w:marRight w:val="0"/>
          <w:marTop w:val="0"/>
          <w:marBottom w:val="0"/>
          <w:divBdr>
            <w:top w:val="none" w:sz="0" w:space="0" w:color="auto"/>
            <w:left w:val="none" w:sz="0" w:space="0" w:color="auto"/>
            <w:bottom w:val="none" w:sz="0" w:space="0" w:color="auto"/>
            <w:right w:val="none" w:sz="0" w:space="0" w:color="auto"/>
          </w:divBdr>
        </w:div>
        <w:div w:id="1712998930">
          <w:marLeft w:val="1267"/>
          <w:marRight w:val="0"/>
          <w:marTop w:val="0"/>
          <w:marBottom w:val="0"/>
          <w:divBdr>
            <w:top w:val="none" w:sz="0" w:space="0" w:color="auto"/>
            <w:left w:val="none" w:sz="0" w:space="0" w:color="auto"/>
            <w:bottom w:val="none" w:sz="0" w:space="0" w:color="auto"/>
            <w:right w:val="none" w:sz="0" w:space="0" w:color="auto"/>
          </w:divBdr>
        </w:div>
        <w:div w:id="2019766857">
          <w:marLeft w:val="1267"/>
          <w:marRight w:val="0"/>
          <w:marTop w:val="0"/>
          <w:marBottom w:val="0"/>
          <w:divBdr>
            <w:top w:val="none" w:sz="0" w:space="0" w:color="auto"/>
            <w:left w:val="none" w:sz="0" w:space="0" w:color="auto"/>
            <w:bottom w:val="none" w:sz="0" w:space="0" w:color="auto"/>
            <w:right w:val="none" w:sz="0" w:space="0" w:color="auto"/>
          </w:divBdr>
        </w:div>
        <w:div w:id="2117555670">
          <w:marLeft w:val="1267"/>
          <w:marRight w:val="0"/>
          <w:marTop w:val="0"/>
          <w:marBottom w:val="0"/>
          <w:divBdr>
            <w:top w:val="none" w:sz="0" w:space="0" w:color="auto"/>
            <w:left w:val="none" w:sz="0" w:space="0" w:color="auto"/>
            <w:bottom w:val="none" w:sz="0" w:space="0" w:color="auto"/>
            <w:right w:val="none" w:sz="0" w:space="0" w:color="auto"/>
          </w:divBdr>
        </w:div>
      </w:divsChild>
    </w:div>
    <w:div w:id="208105720">
      <w:bodyDiv w:val="1"/>
      <w:marLeft w:val="0"/>
      <w:marRight w:val="0"/>
      <w:marTop w:val="0"/>
      <w:marBottom w:val="0"/>
      <w:divBdr>
        <w:top w:val="none" w:sz="0" w:space="0" w:color="auto"/>
        <w:left w:val="none" w:sz="0" w:space="0" w:color="auto"/>
        <w:bottom w:val="none" w:sz="0" w:space="0" w:color="auto"/>
        <w:right w:val="none" w:sz="0" w:space="0" w:color="auto"/>
      </w:divBdr>
      <w:divsChild>
        <w:div w:id="670446739">
          <w:marLeft w:val="720"/>
          <w:marRight w:val="0"/>
          <w:marTop w:val="0"/>
          <w:marBottom w:val="0"/>
          <w:divBdr>
            <w:top w:val="none" w:sz="0" w:space="0" w:color="auto"/>
            <w:left w:val="none" w:sz="0" w:space="0" w:color="auto"/>
            <w:bottom w:val="none" w:sz="0" w:space="0" w:color="auto"/>
            <w:right w:val="none" w:sz="0" w:space="0" w:color="auto"/>
          </w:divBdr>
        </w:div>
      </w:divsChild>
    </w:div>
    <w:div w:id="211120064">
      <w:bodyDiv w:val="1"/>
      <w:marLeft w:val="0"/>
      <w:marRight w:val="0"/>
      <w:marTop w:val="0"/>
      <w:marBottom w:val="0"/>
      <w:divBdr>
        <w:top w:val="none" w:sz="0" w:space="0" w:color="auto"/>
        <w:left w:val="none" w:sz="0" w:space="0" w:color="auto"/>
        <w:bottom w:val="none" w:sz="0" w:space="0" w:color="auto"/>
        <w:right w:val="none" w:sz="0" w:space="0" w:color="auto"/>
      </w:divBdr>
      <w:divsChild>
        <w:div w:id="208348401">
          <w:marLeft w:val="864"/>
          <w:marRight w:val="0"/>
          <w:marTop w:val="0"/>
          <w:marBottom w:val="0"/>
          <w:divBdr>
            <w:top w:val="none" w:sz="0" w:space="0" w:color="auto"/>
            <w:left w:val="none" w:sz="0" w:space="0" w:color="auto"/>
            <w:bottom w:val="none" w:sz="0" w:space="0" w:color="auto"/>
            <w:right w:val="none" w:sz="0" w:space="0" w:color="auto"/>
          </w:divBdr>
        </w:div>
        <w:div w:id="1512909086">
          <w:marLeft w:val="864"/>
          <w:marRight w:val="0"/>
          <w:marTop w:val="0"/>
          <w:marBottom w:val="0"/>
          <w:divBdr>
            <w:top w:val="none" w:sz="0" w:space="0" w:color="auto"/>
            <w:left w:val="none" w:sz="0" w:space="0" w:color="auto"/>
            <w:bottom w:val="none" w:sz="0" w:space="0" w:color="auto"/>
            <w:right w:val="none" w:sz="0" w:space="0" w:color="auto"/>
          </w:divBdr>
        </w:div>
        <w:div w:id="1978299250">
          <w:marLeft w:val="864"/>
          <w:marRight w:val="0"/>
          <w:marTop w:val="0"/>
          <w:marBottom w:val="0"/>
          <w:divBdr>
            <w:top w:val="none" w:sz="0" w:space="0" w:color="auto"/>
            <w:left w:val="none" w:sz="0" w:space="0" w:color="auto"/>
            <w:bottom w:val="none" w:sz="0" w:space="0" w:color="auto"/>
            <w:right w:val="none" w:sz="0" w:space="0" w:color="auto"/>
          </w:divBdr>
        </w:div>
      </w:divsChild>
    </w:div>
    <w:div w:id="241766357">
      <w:bodyDiv w:val="1"/>
      <w:marLeft w:val="0"/>
      <w:marRight w:val="0"/>
      <w:marTop w:val="0"/>
      <w:marBottom w:val="0"/>
      <w:divBdr>
        <w:top w:val="none" w:sz="0" w:space="0" w:color="auto"/>
        <w:left w:val="none" w:sz="0" w:space="0" w:color="auto"/>
        <w:bottom w:val="none" w:sz="0" w:space="0" w:color="auto"/>
        <w:right w:val="none" w:sz="0" w:space="0" w:color="auto"/>
      </w:divBdr>
    </w:div>
    <w:div w:id="245043620">
      <w:bodyDiv w:val="1"/>
      <w:marLeft w:val="0"/>
      <w:marRight w:val="0"/>
      <w:marTop w:val="0"/>
      <w:marBottom w:val="0"/>
      <w:divBdr>
        <w:top w:val="none" w:sz="0" w:space="0" w:color="auto"/>
        <w:left w:val="none" w:sz="0" w:space="0" w:color="auto"/>
        <w:bottom w:val="none" w:sz="0" w:space="0" w:color="auto"/>
        <w:right w:val="none" w:sz="0" w:space="0" w:color="auto"/>
      </w:divBdr>
    </w:div>
    <w:div w:id="261375520">
      <w:bodyDiv w:val="1"/>
      <w:marLeft w:val="0"/>
      <w:marRight w:val="0"/>
      <w:marTop w:val="0"/>
      <w:marBottom w:val="0"/>
      <w:divBdr>
        <w:top w:val="none" w:sz="0" w:space="0" w:color="auto"/>
        <w:left w:val="none" w:sz="0" w:space="0" w:color="auto"/>
        <w:bottom w:val="none" w:sz="0" w:space="0" w:color="auto"/>
        <w:right w:val="none" w:sz="0" w:space="0" w:color="auto"/>
      </w:divBdr>
      <w:divsChild>
        <w:div w:id="1526365116">
          <w:marLeft w:val="547"/>
          <w:marRight w:val="0"/>
          <w:marTop w:val="0"/>
          <w:marBottom w:val="0"/>
          <w:divBdr>
            <w:top w:val="none" w:sz="0" w:space="0" w:color="auto"/>
            <w:left w:val="none" w:sz="0" w:space="0" w:color="auto"/>
            <w:bottom w:val="none" w:sz="0" w:space="0" w:color="auto"/>
            <w:right w:val="none" w:sz="0" w:space="0" w:color="auto"/>
          </w:divBdr>
        </w:div>
        <w:div w:id="1767580791">
          <w:marLeft w:val="547"/>
          <w:marRight w:val="0"/>
          <w:marTop w:val="0"/>
          <w:marBottom w:val="0"/>
          <w:divBdr>
            <w:top w:val="none" w:sz="0" w:space="0" w:color="auto"/>
            <w:left w:val="none" w:sz="0" w:space="0" w:color="auto"/>
            <w:bottom w:val="none" w:sz="0" w:space="0" w:color="auto"/>
            <w:right w:val="none" w:sz="0" w:space="0" w:color="auto"/>
          </w:divBdr>
        </w:div>
      </w:divsChild>
    </w:div>
    <w:div w:id="262610330">
      <w:bodyDiv w:val="1"/>
      <w:marLeft w:val="0"/>
      <w:marRight w:val="0"/>
      <w:marTop w:val="0"/>
      <w:marBottom w:val="0"/>
      <w:divBdr>
        <w:top w:val="none" w:sz="0" w:space="0" w:color="auto"/>
        <w:left w:val="none" w:sz="0" w:space="0" w:color="auto"/>
        <w:bottom w:val="none" w:sz="0" w:space="0" w:color="auto"/>
        <w:right w:val="none" w:sz="0" w:space="0" w:color="auto"/>
      </w:divBdr>
      <w:divsChild>
        <w:div w:id="103310780">
          <w:marLeft w:val="547"/>
          <w:marRight w:val="0"/>
          <w:marTop w:val="0"/>
          <w:marBottom w:val="0"/>
          <w:divBdr>
            <w:top w:val="none" w:sz="0" w:space="0" w:color="auto"/>
            <w:left w:val="none" w:sz="0" w:space="0" w:color="auto"/>
            <w:bottom w:val="none" w:sz="0" w:space="0" w:color="auto"/>
            <w:right w:val="none" w:sz="0" w:space="0" w:color="auto"/>
          </w:divBdr>
        </w:div>
        <w:div w:id="296762785">
          <w:marLeft w:val="547"/>
          <w:marRight w:val="0"/>
          <w:marTop w:val="0"/>
          <w:marBottom w:val="0"/>
          <w:divBdr>
            <w:top w:val="none" w:sz="0" w:space="0" w:color="auto"/>
            <w:left w:val="none" w:sz="0" w:space="0" w:color="auto"/>
            <w:bottom w:val="none" w:sz="0" w:space="0" w:color="auto"/>
            <w:right w:val="none" w:sz="0" w:space="0" w:color="auto"/>
          </w:divBdr>
        </w:div>
        <w:div w:id="398947480">
          <w:marLeft w:val="547"/>
          <w:marRight w:val="0"/>
          <w:marTop w:val="0"/>
          <w:marBottom w:val="0"/>
          <w:divBdr>
            <w:top w:val="none" w:sz="0" w:space="0" w:color="auto"/>
            <w:left w:val="none" w:sz="0" w:space="0" w:color="auto"/>
            <w:bottom w:val="none" w:sz="0" w:space="0" w:color="auto"/>
            <w:right w:val="none" w:sz="0" w:space="0" w:color="auto"/>
          </w:divBdr>
        </w:div>
        <w:div w:id="668757259">
          <w:marLeft w:val="547"/>
          <w:marRight w:val="0"/>
          <w:marTop w:val="0"/>
          <w:marBottom w:val="0"/>
          <w:divBdr>
            <w:top w:val="none" w:sz="0" w:space="0" w:color="auto"/>
            <w:left w:val="none" w:sz="0" w:space="0" w:color="auto"/>
            <w:bottom w:val="none" w:sz="0" w:space="0" w:color="auto"/>
            <w:right w:val="none" w:sz="0" w:space="0" w:color="auto"/>
          </w:divBdr>
        </w:div>
        <w:div w:id="1316376173">
          <w:marLeft w:val="547"/>
          <w:marRight w:val="0"/>
          <w:marTop w:val="0"/>
          <w:marBottom w:val="0"/>
          <w:divBdr>
            <w:top w:val="none" w:sz="0" w:space="0" w:color="auto"/>
            <w:left w:val="none" w:sz="0" w:space="0" w:color="auto"/>
            <w:bottom w:val="none" w:sz="0" w:space="0" w:color="auto"/>
            <w:right w:val="none" w:sz="0" w:space="0" w:color="auto"/>
          </w:divBdr>
        </w:div>
        <w:div w:id="1465388403">
          <w:marLeft w:val="547"/>
          <w:marRight w:val="0"/>
          <w:marTop w:val="0"/>
          <w:marBottom w:val="0"/>
          <w:divBdr>
            <w:top w:val="none" w:sz="0" w:space="0" w:color="auto"/>
            <w:left w:val="none" w:sz="0" w:space="0" w:color="auto"/>
            <w:bottom w:val="none" w:sz="0" w:space="0" w:color="auto"/>
            <w:right w:val="none" w:sz="0" w:space="0" w:color="auto"/>
          </w:divBdr>
        </w:div>
        <w:div w:id="1526016330">
          <w:marLeft w:val="547"/>
          <w:marRight w:val="0"/>
          <w:marTop w:val="0"/>
          <w:marBottom w:val="0"/>
          <w:divBdr>
            <w:top w:val="none" w:sz="0" w:space="0" w:color="auto"/>
            <w:left w:val="none" w:sz="0" w:space="0" w:color="auto"/>
            <w:bottom w:val="none" w:sz="0" w:space="0" w:color="auto"/>
            <w:right w:val="none" w:sz="0" w:space="0" w:color="auto"/>
          </w:divBdr>
        </w:div>
        <w:div w:id="1528057798">
          <w:marLeft w:val="547"/>
          <w:marRight w:val="0"/>
          <w:marTop w:val="0"/>
          <w:marBottom w:val="0"/>
          <w:divBdr>
            <w:top w:val="none" w:sz="0" w:space="0" w:color="auto"/>
            <w:left w:val="none" w:sz="0" w:space="0" w:color="auto"/>
            <w:bottom w:val="none" w:sz="0" w:space="0" w:color="auto"/>
            <w:right w:val="none" w:sz="0" w:space="0" w:color="auto"/>
          </w:divBdr>
        </w:div>
      </w:divsChild>
    </w:div>
    <w:div w:id="287009657">
      <w:bodyDiv w:val="1"/>
      <w:marLeft w:val="0"/>
      <w:marRight w:val="0"/>
      <w:marTop w:val="0"/>
      <w:marBottom w:val="0"/>
      <w:divBdr>
        <w:top w:val="none" w:sz="0" w:space="0" w:color="auto"/>
        <w:left w:val="none" w:sz="0" w:space="0" w:color="auto"/>
        <w:bottom w:val="none" w:sz="0" w:space="0" w:color="auto"/>
        <w:right w:val="none" w:sz="0" w:space="0" w:color="auto"/>
      </w:divBdr>
    </w:div>
    <w:div w:id="306126505">
      <w:bodyDiv w:val="1"/>
      <w:marLeft w:val="0"/>
      <w:marRight w:val="0"/>
      <w:marTop w:val="0"/>
      <w:marBottom w:val="0"/>
      <w:divBdr>
        <w:top w:val="none" w:sz="0" w:space="0" w:color="auto"/>
        <w:left w:val="none" w:sz="0" w:space="0" w:color="auto"/>
        <w:bottom w:val="none" w:sz="0" w:space="0" w:color="auto"/>
        <w:right w:val="none" w:sz="0" w:space="0" w:color="auto"/>
      </w:divBdr>
    </w:div>
    <w:div w:id="309092104">
      <w:bodyDiv w:val="1"/>
      <w:marLeft w:val="0"/>
      <w:marRight w:val="0"/>
      <w:marTop w:val="0"/>
      <w:marBottom w:val="0"/>
      <w:divBdr>
        <w:top w:val="none" w:sz="0" w:space="0" w:color="auto"/>
        <w:left w:val="none" w:sz="0" w:space="0" w:color="auto"/>
        <w:bottom w:val="none" w:sz="0" w:space="0" w:color="auto"/>
        <w:right w:val="none" w:sz="0" w:space="0" w:color="auto"/>
      </w:divBdr>
      <w:divsChild>
        <w:div w:id="1262833403">
          <w:marLeft w:val="432"/>
          <w:marRight w:val="0"/>
          <w:marTop w:val="67"/>
          <w:marBottom w:val="0"/>
          <w:divBdr>
            <w:top w:val="none" w:sz="0" w:space="0" w:color="auto"/>
            <w:left w:val="none" w:sz="0" w:space="0" w:color="auto"/>
            <w:bottom w:val="none" w:sz="0" w:space="0" w:color="auto"/>
            <w:right w:val="none" w:sz="0" w:space="0" w:color="auto"/>
          </w:divBdr>
        </w:div>
      </w:divsChild>
    </w:div>
    <w:div w:id="332681404">
      <w:bodyDiv w:val="1"/>
      <w:marLeft w:val="0"/>
      <w:marRight w:val="0"/>
      <w:marTop w:val="0"/>
      <w:marBottom w:val="0"/>
      <w:divBdr>
        <w:top w:val="none" w:sz="0" w:space="0" w:color="auto"/>
        <w:left w:val="none" w:sz="0" w:space="0" w:color="auto"/>
        <w:bottom w:val="none" w:sz="0" w:space="0" w:color="auto"/>
        <w:right w:val="none" w:sz="0" w:space="0" w:color="auto"/>
      </w:divBdr>
      <w:divsChild>
        <w:div w:id="1856268402">
          <w:marLeft w:val="0"/>
          <w:marRight w:val="0"/>
          <w:marTop w:val="0"/>
          <w:marBottom w:val="0"/>
          <w:divBdr>
            <w:top w:val="none" w:sz="0" w:space="0" w:color="auto"/>
            <w:left w:val="none" w:sz="0" w:space="0" w:color="auto"/>
            <w:bottom w:val="none" w:sz="0" w:space="0" w:color="auto"/>
            <w:right w:val="none" w:sz="0" w:space="0" w:color="auto"/>
          </w:divBdr>
          <w:divsChild>
            <w:div w:id="86584231">
              <w:marLeft w:val="0"/>
              <w:marRight w:val="0"/>
              <w:marTop w:val="0"/>
              <w:marBottom w:val="0"/>
              <w:divBdr>
                <w:top w:val="none" w:sz="0" w:space="0" w:color="auto"/>
                <w:left w:val="none" w:sz="0" w:space="0" w:color="auto"/>
                <w:bottom w:val="none" w:sz="0" w:space="0" w:color="auto"/>
                <w:right w:val="none" w:sz="0" w:space="0" w:color="auto"/>
              </w:divBdr>
            </w:div>
            <w:div w:id="295112387">
              <w:marLeft w:val="0"/>
              <w:marRight w:val="0"/>
              <w:marTop w:val="0"/>
              <w:marBottom w:val="0"/>
              <w:divBdr>
                <w:top w:val="none" w:sz="0" w:space="0" w:color="auto"/>
                <w:left w:val="none" w:sz="0" w:space="0" w:color="auto"/>
                <w:bottom w:val="none" w:sz="0" w:space="0" w:color="auto"/>
                <w:right w:val="none" w:sz="0" w:space="0" w:color="auto"/>
              </w:divBdr>
            </w:div>
            <w:div w:id="633609363">
              <w:marLeft w:val="0"/>
              <w:marRight w:val="0"/>
              <w:marTop w:val="0"/>
              <w:marBottom w:val="0"/>
              <w:divBdr>
                <w:top w:val="none" w:sz="0" w:space="0" w:color="auto"/>
                <w:left w:val="none" w:sz="0" w:space="0" w:color="auto"/>
                <w:bottom w:val="none" w:sz="0" w:space="0" w:color="auto"/>
                <w:right w:val="none" w:sz="0" w:space="0" w:color="auto"/>
              </w:divBdr>
            </w:div>
            <w:div w:id="912204249">
              <w:marLeft w:val="0"/>
              <w:marRight w:val="0"/>
              <w:marTop w:val="0"/>
              <w:marBottom w:val="0"/>
              <w:divBdr>
                <w:top w:val="none" w:sz="0" w:space="0" w:color="auto"/>
                <w:left w:val="none" w:sz="0" w:space="0" w:color="auto"/>
                <w:bottom w:val="none" w:sz="0" w:space="0" w:color="auto"/>
                <w:right w:val="none" w:sz="0" w:space="0" w:color="auto"/>
              </w:divBdr>
            </w:div>
            <w:div w:id="1485390889">
              <w:marLeft w:val="0"/>
              <w:marRight w:val="0"/>
              <w:marTop w:val="0"/>
              <w:marBottom w:val="0"/>
              <w:divBdr>
                <w:top w:val="none" w:sz="0" w:space="0" w:color="auto"/>
                <w:left w:val="none" w:sz="0" w:space="0" w:color="auto"/>
                <w:bottom w:val="none" w:sz="0" w:space="0" w:color="auto"/>
                <w:right w:val="none" w:sz="0" w:space="0" w:color="auto"/>
              </w:divBdr>
            </w:div>
            <w:div w:id="1873808499">
              <w:marLeft w:val="0"/>
              <w:marRight w:val="0"/>
              <w:marTop w:val="0"/>
              <w:marBottom w:val="0"/>
              <w:divBdr>
                <w:top w:val="none" w:sz="0" w:space="0" w:color="auto"/>
                <w:left w:val="none" w:sz="0" w:space="0" w:color="auto"/>
                <w:bottom w:val="none" w:sz="0" w:space="0" w:color="auto"/>
                <w:right w:val="none" w:sz="0" w:space="0" w:color="auto"/>
              </w:divBdr>
            </w:div>
            <w:div w:id="2112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801">
      <w:bodyDiv w:val="1"/>
      <w:marLeft w:val="0"/>
      <w:marRight w:val="0"/>
      <w:marTop w:val="0"/>
      <w:marBottom w:val="0"/>
      <w:divBdr>
        <w:top w:val="none" w:sz="0" w:space="0" w:color="auto"/>
        <w:left w:val="none" w:sz="0" w:space="0" w:color="auto"/>
        <w:bottom w:val="none" w:sz="0" w:space="0" w:color="auto"/>
        <w:right w:val="none" w:sz="0" w:space="0" w:color="auto"/>
      </w:divBdr>
    </w:div>
    <w:div w:id="377973706">
      <w:bodyDiv w:val="1"/>
      <w:marLeft w:val="0"/>
      <w:marRight w:val="0"/>
      <w:marTop w:val="0"/>
      <w:marBottom w:val="0"/>
      <w:divBdr>
        <w:top w:val="none" w:sz="0" w:space="0" w:color="auto"/>
        <w:left w:val="none" w:sz="0" w:space="0" w:color="auto"/>
        <w:bottom w:val="none" w:sz="0" w:space="0" w:color="auto"/>
        <w:right w:val="none" w:sz="0" w:space="0" w:color="auto"/>
      </w:divBdr>
    </w:div>
    <w:div w:id="385839919">
      <w:bodyDiv w:val="1"/>
      <w:marLeft w:val="0"/>
      <w:marRight w:val="0"/>
      <w:marTop w:val="0"/>
      <w:marBottom w:val="0"/>
      <w:divBdr>
        <w:top w:val="none" w:sz="0" w:space="0" w:color="auto"/>
        <w:left w:val="none" w:sz="0" w:space="0" w:color="auto"/>
        <w:bottom w:val="none" w:sz="0" w:space="0" w:color="auto"/>
        <w:right w:val="none" w:sz="0" w:space="0" w:color="auto"/>
      </w:divBdr>
      <w:divsChild>
        <w:div w:id="640110184">
          <w:marLeft w:val="0"/>
          <w:marRight w:val="0"/>
          <w:marTop w:val="0"/>
          <w:marBottom w:val="0"/>
          <w:divBdr>
            <w:top w:val="none" w:sz="0" w:space="0" w:color="auto"/>
            <w:left w:val="none" w:sz="0" w:space="0" w:color="auto"/>
            <w:bottom w:val="none" w:sz="0" w:space="0" w:color="auto"/>
            <w:right w:val="none" w:sz="0" w:space="0" w:color="auto"/>
          </w:divBdr>
          <w:divsChild>
            <w:div w:id="412746467">
              <w:marLeft w:val="0"/>
              <w:marRight w:val="0"/>
              <w:marTop w:val="0"/>
              <w:marBottom w:val="0"/>
              <w:divBdr>
                <w:top w:val="none" w:sz="0" w:space="0" w:color="auto"/>
                <w:left w:val="none" w:sz="0" w:space="0" w:color="auto"/>
                <w:bottom w:val="none" w:sz="0" w:space="0" w:color="auto"/>
                <w:right w:val="none" w:sz="0" w:space="0" w:color="auto"/>
              </w:divBdr>
            </w:div>
            <w:div w:id="888344466">
              <w:marLeft w:val="0"/>
              <w:marRight w:val="0"/>
              <w:marTop w:val="0"/>
              <w:marBottom w:val="0"/>
              <w:divBdr>
                <w:top w:val="none" w:sz="0" w:space="0" w:color="auto"/>
                <w:left w:val="none" w:sz="0" w:space="0" w:color="auto"/>
                <w:bottom w:val="none" w:sz="0" w:space="0" w:color="auto"/>
                <w:right w:val="none" w:sz="0" w:space="0" w:color="auto"/>
              </w:divBdr>
            </w:div>
            <w:div w:id="1143279104">
              <w:marLeft w:val="0"/>
              <w:marRight w:val="0"/>
              <w:marTop w:val="0"/>
              <w:marBottom w:val="0"/>
              <w:divBdr>
                <w:top w:val="none" w:sz="0" w:space="0" w:color="auto"/>
                <w:left w:val="none" w:sz="0" w:space="0" w:color="auto"/>
                <w:bottom w:val="none" w:sz="0" w:space="0" w:color="auto"/>
                <w:right w:val="none" w:sz="0" w:space="0" w:color="auto"/>
              </w:divBdr>
            </w:div>
            <w:div w:id="18654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90659">
      <w:bodyDiv w:val="1"/>
      <w:marLeft w:val="0"/>
      <w:marRight w:val="0"/>
      <w:marTop w:val="0"/>
      <w:marBottom w:val="0"/>
      <w:divBdr>
        <w:top w:val="none" w:sz="0" w:space="0" w:color="auto"/>
        <w:left w:val="none" w:sz="0" w:space="0" w:color="auto"/>
        <w:bottom w:val="none" w:sz="0" w:space="0" w:color="auto"/>
        <w:right w:val="none" w:sz="0" w:space="0" w:color="auto"/>
      </w:divBdr>
    </w:div>
    <w:div w:id="403841315">
      <w:bodyDiv w:val="1"/>
      <w:marLeft w:val="0"/>
      <w:marRight w:val="0"/>
      <w:marTop w:val="0"/>
      <w:marBottom w:val="0"/>
      <w:divBdr>
        <w:top w:val="none" w:sz="0" w:space="0" w:color="auto"/>
        <w:left w:val="none" w:sz="0" w:space="0" w:color="auto"/>
        <w:bottom w:val="none" w:sz="0" w:space="0" w:color="auto"/>
        <w:right w:val="none" w:sz="0" w:space="0" w:color="auto"/>
      </w:divBdr>
    </w:div>
    <w:div w:id="406076584">
      <w:bodyDiv w:val="1"/>
      <w:marLeft w:val="0"/>
      <w:marRight w:val="0"/>
      <w:marTop w:val="0"/>
      <w:marBottom w:val="0"/>
      <w:divBdr>
        <w:top w:val="none" w:sz="0" w:space="0" w:color="auto"/>
        <w:left w:val="none" w:sz="0" w:space="0" w:color="auto"/>
        <w:bottom w:val="none" w:sz="0" w:space="0" w:color="auto"/>
        <w:right w:val="none" w:sz="0" w:space="0" w:color="auto"/>
      </w:divBdr>
    </w:div>
    <w:div w:id="421485984">
      <w:bodyDiv w:val="1"/>
      <w:marLeft w:val="0"/>
      <w:marRight w:val="0"/>
      <w:marTop w:val="0"/>
      <w:marBottom w:val="0"/>
      <w:divBdr>
        <w:top w:val="none" w:sz="0" w:space="0" w:color="auto"/>
        <w:left w:val="none" w:sz="0" w:space="0" w:color="auto"/>
        <w:bottom w:val="none" w:sz="0" w:space="0" w:color="auto"/>
        <w:right w:val="none" w:sz="0" w:space="0" w:color="auto"/>
      </w:divBdr>
    </w:div>
    <w:div w:id="421606848">
      <w:bodyDiv w:val="1"/>
      <w:marLeft w:val="0"/>
      <w:marRight w:val="0"/>
      <w:marTop w:val="0"/>
      <w:marBottom w:val="0"/>
      <w:divBdr>
        <w:top w:val="none" w:sz="0" w:space="0" w:color="auto"/>
        <w:left w:val="none" w:sz="0" w:space="0" w:color="auto"/>
        <w:bottom w:val="none" w:sz="0" w:space="0" w:color="auto"/>
        <w:right w:val="none" w:sz="0" w:space="0" w:color="auto"/>
      </w:divBdr>
    </w:div>
    <w:div w:id="426078489">
      <w:bodyDiv w:val="1"/>
      <w:marLeft w:val="0"/>
      <w:marRight w:val="0"/>
      <w:marTop w:val="0"/>
      <w:marBottom w:val="0"/>
      <w:divBdr>
        <w:top w:val="none" w:sz="0" w:space="0" w:color="auto"/>
        <w:left w:val="none" w:sz="0" w:space="0" w:color="auto"/>
        <w:bottom w:val="none" w:sz="0" w:space="0" w:color="auto"/>
        <w:right w:val="none" w:sz="0" w:space="0" w:color="auto"/>
      </w:divBdr>
      <w:divsChild>
        <w:div w:id="618338548">
          <w:marLeft w:val="864"/>
          <w:marRight w:val="0"/>
          <w:marTop w:val="0"/>
          <w:marBottom w:val="0"/>
          <w:divBdr>
            <w:top w:val="none" w:sz="0" w:space="0" w:color="auto"/>
            <w:left w:val="none" w:sz="0" w:space="0" w:color="auto"/>
            <w:bottom w:val="none" w:sz="0" w:space="0" w:color="auto"/>
            <w:right w:val="none" w:sz="0" w:space="0" w:color="auto"/>
          </w:divBdr>
        </w:div>
        <w:div w:id="1109005328">
          <w:marLeft w:val="864"/>
          <w:marRight w:val="0"/>
          <w:marTop w:val="0"/>
          <w:marBottom w:val="0"/>
          <w:divBdr>
            <w:top w:val="none" w:sz="0" w:space="0" w:color="auto"/>
            <w:left w:val="none" w:sz="0" w:space="0" w:color="auto"/>
            <w:bottom w:val="none" w:sz="0" w:space="0" w:color="auto"/>
            <w:right w:val="none" w:sz="0" w:space="0" w:color="auto"/>
          </w:divBdr>
        </w:div>
        <w:div w:id="1751998665">
          <w:marLeft w:val="864"/>
          <w:marRight w:val="0"/>
          <w:marTop w:val="0"/>
          <w:marBottom w:val="0"/>
          <w:divBdr>
            <w:top w:val="none" w:sz="0" w:space="0" w:color="auto"/>
            <w:left w:val="none" w:sz="0" w:space="0" w:color="auto"/>
            <w:bottom w:val="none" w:sz="0" w:space="0" w:color="auto"/>
            <w:right w:val="none" w:sz="0" w:space="0" w:color="auto"/>
          </w:divBdr>
        </w:div>
      </w:divsChild>
    </w:div>
    <w:div w:id="434447920">
      <w:bodyDiv w:val="1"/>
      <w:marLeft w:val="0"/>
      <w:marRight w:val="0"/>
      <w:marTop w:val="0"/>
      <w:marBottom w:val="0"/>
      <w:divBdr>
        <w:top w:val="none" w:sz="0" w:space="0" w:color="auto"/>
        <w:left w:val="none" w:sz="0" w:space="0" w:color="auto"/>
        <w:bottom w:val="none" w:sz="0" w:space="0" w:color="auto"/>
        <w:right w:val="none" w:sz="0" w:space="0" w:color="auto"/>
      </w:divBdr>
      <w:divsChild>
        <w:div w:id="1583946461">
          <w:marLeft w:val="547"/>
          <w:marRight w:val="0"/>
          <w:marTop w:val="115"/>
          <w:marBottom w:val="0"/>
          <w:divBdr>
            <w:top w:val="none" w:sz="0" w:space="0" w:color="auto"/>
            <w:left w:val="none" w:sz="0" w:space="0" w:color="auto"/>
            <w:bottom w:val="none" w:sz="0" w:space="0" w:color="auto"/>
            <w:right w:val="none" w:sz="0" w:space="0" w:color="auto"/>
          </w:divBdr>
        </w:div>
      </w:divsChild>
    </w:div>
    <w:div w:id="446848543">
      <w:bodyDiv w:val="1"/>
      <w:marLeft w:val="0"/>
      <w:marRight w:val="0"/>
      <w:marTop w:val="0"/>
      <w:marBottom w:val="0"/>
      <w:divBdr>
        <w:top w:val="none" w:sz="0" w:space="0" w:color="auto"/>
        <w:left w:val="none" w:sz="0" w:space="0" w:color="auto"/>
        <w:bottom w:val="none" w:sz="0" w:space="0" w:color="auto"/>
        <w:right w:val="none" w:sz="0" w:space="0" w:color="auto"/>
      </w:divBdr>
      <w:divsChild>
        <w:div w:id="993604232">
          <w:marLeft w:val="547"/>
          <w:marRight w:val="0"/>
          <w:marTop w:val="82"/>
          <w:marBottom w:val="0"/>
          <w:divBdr>
            <w:top w:val="none" w:sz="0" w:space="0" w:color="auto"/>
            <w:left w:val="none" w:sz="0" w:space="0" w:color="auto"/>
            <w:bottom w:val="none" w:sz="0" w:space="0" w:color="auto"/>
            <w:right w:val="none" w:sz="0" w:space="0" w:color="auto"/>
          </w:divBdr>
        </w:div>
        <w:div w:id="456026271">
          <w:marLeft w:val="547"/>
          <w:marRight w:val="0"/>
          <w:marTop w:val="82"/>
          <w:marBottom w:val="0"/>
          <w:divBdr>
            <w:top w:val="none" w:sz="0" w:space="0" w:color="auto"/>
            <w:left w:val="none" w:sz="0" w:space="0" w:color="auto"/>
            <w:bottom w:val="none" w:sz="0" w:space="0" w:color="auto"/>
            <w:right w:val="none" w:sz="0" w:space="0" w:color="auto"/>
          </w:divBdr>
        </w:div>
        <w:div w:id="2120876139">
          <w:marLeft w:val="547"/>
          <w:marRight w:val="0"/>
          <w:marTop w:val="82"/>
          <w:marBottom w:val="0"/>
          <w:divBdr>
            <w:top w:val="none" w:sz="0" w:space="0" w:color="auto"/>
            <w:left w:val="none" w:sz="0" w:space="0" w:color="auto"/>
            <w:bottom w:val="none" w:sz="0" w:space="0" w:color="auto"/>
            <w:right w:val="none" w:sz="0" w:space="0" w:color="auto"/>
          </w:divBdr>
        </w:div>
        <w:div w:id="1942638682">
          <w:marLeft w:val="547"/>
          <w:marRight w:val="0"/>
          <w:marTop w:val="82"/>
          <w:marBottom w:val="0"/>
          <w:divBdr>
            <w:top w:val="none" w:sz="0" w:space="0" w:color="auto"/>
            <w:left w:val="none" w:sz="0" w:space="0" w:color="auto"/>
            <w:bottom w:val="none" w:sz="0" w:space="0" w:color="auto"/>
            <w:right w:val="none" w:sz="0" w:space="0" w:color="auto"/>
          </w:divBdr>
        </w:div>
        <w:div w:id="1643463149">
          <w:marLeft w:val="547"/>
          <w:marRight w:val="0"/>
          <w:marTop w:val="82"/>
          <w:marBottom w:val="0"/>
          <w:divBdr>
            <w:top w:val="none" w:sz="0" w:space="0" w:color="auto"/>
            <w:left w:val="none" w:sz="0" w:space="0" w:color="auto"/>
            <w:bottom w:val="none" w:sz="0" w:space="0" w:color="auto"/>
            <w:right w:val="none" w:sz="0" w:space="0" w:color="auto"/>
          </w:divBdr>
        </w:div>
        <w:div w:id="2020310035">
          <w:marLeft w:val="547"/>
          <w:marRight w:val="0"/>
          <w:marTop w:val="82"/>
          <w:marBottom w:val="0"/>
          <w:divBdr>
            <w:top w:val="none" w:sz="0" w:space="0" w:color="auto"/>
            <w:left w:val="none" w:sz="0" w:space="0" w:color="auto"/>
            <w:bottom w:val="none" w:sz="0" w:space="0" w:color="auto"/>
            <w:right w:val="none" w:sz="0" w:space="0" w:color="auto"/>
          </w:divBdr>
        </w:div>
      </w:divsChild>
    </w:div>
    <w:div w:id="455294966">
      <w:bodyDiv w:val="1"/>
      <w:marLeft w:val="0"/>
      <w:marRight w:val="0"/>
      <w:marTop w:val="0"/>
      <w:marBottom w:val="0"/>
      <w:divBdr>
        <w:top w:val="none" w:sz="0" w:space="0" w:color="auto"/>
        <w:left w:val="none" w:sz="0" w:space="0" w:color="auto"/>
        <w:bottom w:val="none" w:sz="0" w:space="0" w:color="auto"/>
        <w:right w:val="none" w:sz="0" w:space="0" w:color="auto"/>
      </w:divBdr>
      <w:divsChild>
        <w:div w:id="42024356">
          <w:marLeft w:val="0"/>
          <w:marRight w:val="0"/>
          <w:marTop w:val="0"/>
          <w:marBottom w:val="0"/>
          <w:divBdr>
            <w:top w:val="none" w:sz="0" w:space="0" w:color="auto"/>
            <w:left w:val="none" w:sz="0" w:space="0" w:color="auto"/>
            <w:bottom w:val="none" w:sz="0" w:space="0" w:color="auto"/>
            <w:right w:val="none" w:sz="0" w:space="0" w:color="auto"/>
          </w:divBdr>
        </w:div>
        <w:div w:id="930359538">
          <w:marLeft w:val="0"/>
          <w:marRight w:val="0"/>
          <w:marTop w:val="0"/>
          <w:marBottom w:val="0"/>
          <w:divBdr>
            <w:top w:val="none" w:sz="0" w:space="0" w:color="auto"/>
            <w:left w:val="none" w:sz="0" w:space="0" w:color="auto"/>
            <w:bottom w:val="none" w:sz="0" w:space="0" w:color="auto"/>
            <w:right w:val="none" w:sz="0" w:space="0" w:color="auto"/>
          </w:divBdr>
        </w:div>
        <w:div w:id="937296599">
          <w:marLeft w:val="0"/>
          <w:marRight w:val="0"/>
          <w:marTop w:val="0"/>
          <w:marBottom w:val="0"/>
          <w:divBdr>
            <w:top w:val="none" w:sz="0" w:space="0" w:color="auto"/>
            <w:left w:val="none" w:sz="0" w:space="0" w:color="auto"/>
            <w:bottom w:val="none" w:sz="0" w:space="0" w:color="auto"/>
            <w:right w:val="none" w:sz="0" w:space="0" w:color="auto"/>
          </w:divBdr>
        </w:div>
        <w:div w:id="1178233471">
          <w:marLeft w:val="0"/>
          <w:marRight w:val="0"/>
          <w:marTop w:val="0"/>
          <w:marBottom w:val="0"/>
          <w:divBdr>
            <w:top w:val="none" w:sz="0" w:space="0" w:color="auto"/>
            <w:left w:val="none" w:sz="0" w:space="0" w:color="auto"/>
            <w:bottom w:val="none" w:sz="0" w:space="0" w:color="auto"/>
            <w:right w:val="none" w:sz="0" w:space="0" w:color="auto"/>
          </w:divBdr>
        </w:div>
        <w:div w:id="1210874424">
          <w:marLeft w:val="0"/>
          <w:marRight w:val="0"/>
          <w:marTop w:val="0"/>
          <w:marBottom w:val="0"/>
          <w:divBdr>
            <w:top w:val="none" w:sz="0" w:space="0" w:color="auto"/>
            <w:left w:val="none" w:sz="0" w:space="0" w:color="auto"/>
            <w:bottom w:val="none" w:sz="0" w:space="0" w:color="auto"/>
            <w:right w:val="none" w:sz="0" w:space="0" w:color="auto"/>
          </w:divBdr>
        </w:div>
        <w:div w:id="1222398348">
          <w:marLeft w:val="0"/>
          <w:marRight w:val="0"/>
          <w:marTop w:val="0"/>
          <w:marBottom w:val="0"/>
          <w:divBdr>
            <w:top w:val="none" w:sz="0" w:space="0" w:color="auto"/>
            <w:left w:val="none" w:sz="0" w:space="0" w:color="auto"/>
            <w:bottom w:val="none" w:sz="0" w:space="0" w:color="auto"/>
            <w:right w:val="none" w:sz="0" w:space="0" w:color="auto"/>
          </w:divBdr>
        </w:div>
        <w:div w:id="1399089466">
          <w:marLeft w:val="0"/>
          <w:marRight w:val="0"/>
          <w:marTop w:val="0"/>
          <w:marBottom w:val="0"/>
          <w:divBdr>
            <w:top w:val="none" w:sz="0" w:space="0" w:color="auto"/>
            <w:left w:val="none" w:sz="0" w:space="0" w:color="auto"/>
            <w:bottom w:val="none" w:sz="0" w:space="0" w:color="auto"/>
            <w:right w:val="none" w:sz="0" w:space="0" w:color="auto"/>
          </w:divBdr>
        </w:div>
        <w:div w:id="1508060062">
          <w:marLeft w:val="0"/>
          <w:marRight w:val="0"/>
          <w:marTop w:val="0"/>
          <w:marBottom w:val="0"/>
          <w:divBdr>
            <w:top w:val="none" w:sz="0" w:space="0" w:color="auto"/>
            <w:left w:val="none" w:sz="0" w:space="0" w:color="auto"/>
            <w:bottom w:val="none" w:sz="0" w:space="0" w:color="auto"/>
            <w:right w:val="none" w:sz="0" w:space="0" w:color="auto"/>
          </w:divBdr>
        </w:div>
        <w:div w:id="1707606495">
          <w:marLeft w:val="0"/>
          <w:marRight w:val="0"/>
          <w:marTop w:val="0"/>
          <w:marBottom w:val="0"/>
          <w:divBdr>
            <w:top w:val="none" w:sz="0" w:space="0" w:color="auto"/>
            <w:left w:val="none" w:sz="0" w:space="0" w:color="auto"/>
            <w:bottom w:val="none" w:sz="0" w:space="0" w:color="auto"/>
            <w:right w:val="none" w:sz="0" w:space="0" w:color="auto"/>
          </w:divBdr>
        </w:div>
        <w:div w:id="1763574956">
          <w:marLeft w:val="0"/>
          <w:marRight w:val="0"/>
          <w:marTop w:val="0"/>
          <w:marBottom w:val="0"/>
          <w:divBdr>
            <w:top w:val="none" w:sz="0" w:space="0" w:color="auto"/>
            <w:left w:val="none" w:sz="0" w:space="0" w:color="auto"/>
            <w:bottom w:val="none" w:sz="0" w:space="0" w:color="auto"/>
            <w:right w:val="none" w:sz="0" w:space="0" w:color="auto"/>
          </w:divBdr>
        </w:div>
        <w:div w:id="1797411722">
          <w:marLeft w:val="0"/>
          <w:marRight w:val="0"/>
          <w:marTop w:val="0"/>
          <w:marBottom w:val="0"/>
          <w:divBdr>
            <w:top w:val="none" w:sz="0" w:space="0" w:color="auto"/>
            <w:left w:val="none" w:sz="0" w:space="0" w:color="auto"/>
            <w:bottom w:val="none" w:sz="0" w:space="0" w:color="auto"/>
            <w:right w:val="none" w:sz="0" w:space="0" w:color="auto"/>
          </w:divBdr>
        </w:div>
        <w:div w:id="1823499811">
          <w:marLeft w:val="0"/>
          <w:marRight w:val="0"/>
          <w:marTop w:val="0"/>
          <w:marBottom w:val="0"/>
          <w:divBdr>
            <w:top w:val="none" w:sz="0" w:space="0" w:color="auto"/>
            <w:left w:val="none" w:sz="0" w:space="0" w:color="auto"/>
            <w:bottom w:val="none" w:sz="0" w:space="0" w:color="auto"/>
            <w:right w:val="none" w:sz="0" w:space="0" w:color="auto"/>
          </w:divBdr>
        </w:div>
        <w:div w:id="1859388800">
          <w:marLeft w:val="0"/>
          <w:marRight w:val="0"/>
          <w:marTop w:val="0"/>
          <w:marBottom w:val="0"/>
          <w:divBdr>
            <w:top w:val="none" w:sz="0" w:space="0" w:color="auto"/>
            <w:left w:val="none" w:sz="0" w:space="0" w:color="auto"/>
            <w:bottom w:val="none" w:sz="0" w:space="0" w:color="auto"/>
            <w:right w:val="none" w:sz="0" w:space="0" w:color="auto"/>
          </w:divBdr>
        </w:div>
        <w:div w:id="1872259478">
          <w:marLeft w:val="0"/>
          <w:marRight w:val="0"/>
          <w:marTop w:val="0"/>
          <w:marBottom w:val="0"/>
          <w:divBdr>
            <w:top w:val="none" w:sz="0" w:space="0" w:color="auto"/>
            <w:left w:val="none" w:sz="0" w:space="0" w:color="auto"/>
            <w:bottom w:val="none" w:sz="0" w:space="0" w:color="auto"/>
            <w:right w:val="none" w:sz="0" w:space="0" w:color="auto"/>
          </w:divBdr>
        </w:div>
        <w:div w:id="2083284463">
          <w:marLeft w:val="0"/>
          <w:marRight w:val="0"/>
          <w:marTop w:val="0"/>
          <w:marBottom w:val="0"/>
          <w:divBdr>
            <w:top w:val="none" w:sz="0" w:space="0" w:color="auto"/>
            <w:left w:val="none" w:sz="0" w:space="0" w:color="auto"/>
            <w:bottom w:val="none" w:sz="0" w:space="0" w:color="auto"/>
            <w:right w:val="none" w:sz="0" w:space="0" w:color="auto"/>
          </w:divBdr>
        </w:div>
        <w:div w:id="2122988076">
          <w:marLeft w:val="0"/>
          <w:marRight w:val="0"/>
          <w:marTop w:val="0"/>
          <w:marBottom w:val="0"/>
          <w:divBdr>
            <w:top w:val="none" w:sz="0" w:space="0" w:color="auto"/>
            <w:left w:val="none" w:sz="0" w:space="0" w:color="auto"/>
            <w:bottom w:val="none" w:sz="0" w:space="0" w:color="auto"/>
            <w:right w:val="none" w:sz="0" w:space="0" w:color="auto"/>
          </w:divBdr>
        </w:div>
        <w:div w:id="2142503335">
          <w:marLeft w:val="0"/>
          <w:marRight w:val="0"/>
          <w:marTop w:val="0"/>
          <w:marBottom w:val="0"/>
          <w:divBdr>
            <w:top w:val="none" w:sz="0" w:space="0" w:color="auto"/>
            <w:left w:val="none" w:sz="0" w:space="0" w:color="auto"/>
            <w:bottom w:val="none" w:sz="0" w:space="0" w:color="auto"/>
            <w:right w:val="none" w:sz="0" w:space="0" w:color="auto"/>
          </w:divBdr>
        </w:div>
      </w:divsChild>
    </w:div>
    <w:div w:id="462895075">
      <w:bodyDiv w:val="1"/>
      <w:marLeft w:val="0"/>
      <w:marRight w:val="0"/>
      <w:marTop w:val="0"/>
      <w:marBottom w:val="0"/>
      <w:divBdr>
        <w:top w:val="none" w:sz="0" w:space="0" w:color="auto"/>
        <w:left w:val="none" w:sz="0" w:space="0" w:color="auto"/>
        <w:bottom w:val="none" w:sz="0" w:space="0" w:color="auto"/>
        <w:right w:val="none" w:sz="0" w:space="0" w:color="auto"/>
      </w:divBdr>
      <w:divsChild>
        <w:div w:id="114831431">
          <w:marLeft w:val="576"/>
          <w:marRight w:val="0"/>
          <w:marTop w:val="120"/>
          <w:marBottom w:val="0"/>
          <w:divBdr>
            <w:top w:val="none" w:sz="0" w:space="0" w:color="auto"/>
            <w:left w:val="none" w:sz="0" w:space="0" w:color="auto"/>
            <w:bottom w:val="none" w:sz="0" w:space="0" w:color="auto"/>
            <w:right w:val="none" w:sz="0" w:space="0" w:color="auto"/>
          </w:divBdr>
        </w:div>
        <w:div w:id="687558556">
          <w:marLeft w:val="576"/>
          <w:marRight w:val="0"/>
          <w:marTop w:val="120"/>
          <w:marBottom w:val="0"/>
          <w:divBdr>
            <w:top w:val="none" w:sz="0" w:space="0" w:color="auto"/>
            <w:left w:val="none" w:sz="0" w:space="0" w:color="auto"/>
            <w:bottom w:val="none" w:sz="0" w:space="0" w:color="auto"/>
            <w:right w:val="none" w:sz="0" w:space="0" w:color="auto"/>
          </w:divBdr>
        </w:div>
        <w:div w:id="771634860">
          <w:marLeft w:val="576"/>
          <w:marRight w:val="0"/>
          <w:marTop w:val="120"/>
          <w:marBottom w:val="0"/>
          <w:divBdr>
            <w:top w:val="none" w:sz="0" w:space="0" w:color="auto"/>
            <w:left w:val="none" w:sz="0" w:space="0" w:color="auto"/>
            <w:bottom w:val="none" w:sz="0" w:space="0" w:color="auto"/>
            <w:right w:val="none" w:sz="0" w:space="0" w:color="auto"/>
          </w:divBdr>
        </w:div>
        <w:div w:id="927690779">
          <w:marLeft w:val="1296"/>
          <w:marRight w:val="0"/>
          <w:marTop w:val="120"/>
          <w:marBottom w:val="0"/>
          <w:divBdr>
            <w:top w:val="none" w:sz="0" w:space="0" w:color="auto"/>
            <w:left w:val="none" w:sz="0" w:space="0" w:color="auto"/>
            <w:bottom w:val="none" w:sz="0" w:space="0" w:color="auto"/>
            <w:right w:val="none" w:sz="0" w:space="0" w:color="auto"/>
          </w:divBdr>
        </w:div>
        <w:div w:id="972910652">
          <w:marLeft w:val="1296"/>
          <w:marRight w:val="0"/>
          <w:marTop w:val="120"/>
          <w:marBottom w:val="0"/>
          <w:divBdr>
            <w:top w:val="none" w:sz="0" w:space="0" w:color="auto"/>
            <w:left w:val="none" w:sz="0" w:space="0" w:color="auto"/>
            <w:bottom w:val="none" w:sz="0" w:space="0" w:color="auto"/>
            <w:right w:val="none" w:sz="0" w:space="0" w:color="auto"/>
          </w:divBdr>
        </w:div>
        <w:div w:id="1259942660">
          <w:marLeft w:val="576"/>
          <w:marRight w:val="0"/>
          <w:marTop w:val="120"/>
          <w:marBottom w:val="0"/>
          <w:divBdr>
            <w:top w:val="none" w:sz="0" w:space="0" w:color="auto"/>
            <w:left w:val="none" w:sz="0" w:space="0" w:color="auto"/>
            <w:bottom w:val="none" w:sz="0" w:space="0" w:color="auto"/>
            <w:right w:val="none" w:sz="0" w:space="0" w:color="auto"/>
          </w:divBdr>
        </w:div>
        <w:div w:id="1379430271">
          <w:marLeft w:val="576"/>
          <w:marRight w:val="0"/>
          <w:marTop w:val="120"/>
          <w:marBottom w:val="0"/>
          <w:divBdr>
            <w:top w:val="none" w:sz="0" w:space="0" w:color="auto"/>
            <w:left w:val="none" w:sz="0" w:space="0" w:color="auto"/>
            <w:bottom w:val="none" w:sz="0" w:space="0" w:color="auto"/>
            <w:right w:val="none" w:sz="0" w:space="0" w:color="auto"/>
          </w:divBdr>
        </w:div>
        <w:div w:id="1594314179">
          <w:marLeft w:val="1296"/>
          <w:marRight w:val="0"/>
          <w:marTop w:val="120"/>
          <w:marBottom w:val="0"/>
          <w:divBdr>
            <w:top w:val="none" w:sz="0" w:space="0" w:color="auto"/>
            <w:left w:val="none" w:sz="0" w:space="0" w:color="auto"/>
            <w:bottom w:val="none" w:sz="0" w:space="0" w:color="auto"/>
            <w:right w:val="none" w:sz="0" w:space="0" w:color="auto"/>
          </w:divBdr>
        </w:div>
        <w:div w:id="1628243274">
          <w:marLeft w:val="576"/>
          <w:marRight w:val="0"/>
          <w:marTop w:val="120"/>
          <w:marBottom w:val="0"/>
          <w:divBdr>
            <w:top w:val="none" w:sz="0" w:space="0" w:color="auto"/>
            <w:left w:val="none" w:sz="0" w:space="0" w:color="auto"/>
            <w:bottom w:val="none" w:sz="0" w:space="0" w:color="auto"/>
            <w:right w:val="none" w:sz="0" w:space="0" w:color="auto"/>
          </w:divBdr>
        </w:div>
        <w:div w:id="1968274395">
          <w:marLeft w:val="576"/>
          <w:marRight w:val="0"/>
          <w:marTop w:val="120"/>
          <w:marBottom w:val="0"/>
          <w:divBdr>
            <w:top w:val="none" w:sz="0" w:space="0" w:color="auto"/>
            <w:left w:val="none" w:sz="0" w:space="0" w:color="auto"/>
            <w:bottom w:val="none" w:sz="0" w:space="0" w:color="auto"/>
            <w:right w:val="none" w:sz="0" w:space="0" w:color="auto"/>
          </w:divBdr>
        </w:div>
      </w:divsChild>
    </w:div>
    <w:div w:id="471021109">
      <w:bodyDiv w:val="1"/>
      <w:marLeft w:val="0"/>
      <w:marRight w:val="0"/>
      <w:marTop w:val="0"/>
      <w:marBottom w:val="0"/>
      <w:divBdr>
        <w:top w:val="none" w:sz="0" w:space="0" w:color="auto"/>
        <w:left w:val="none" w:sz="0" w:space="0" w:color="auto"/>
        <w:bottom w:val="none" w:sz="0" w:space="0" w:color="auto"/>
        <w:right w:val="none" w:sz="0" w:space="0" w:color="auto"/>
      </w:divBdr>
      <w:divsChild>
        <w:div w:id="309095250">
          <w:marLeft w:val="446"/>
          <w:marRight w:val="0"/>
          <w:marTop w:val="0"/>
          <w:marBottom w:val="0"/>
          <w:divBdr>
            <w:top w:val="none" w:sz="0" w:space="0" w:color="auto"/>
            <w:left w:val="none" w:sz="0" w:space="0" w:color="auto"/>
            <w:bottom w:val="none" w:sz="0" w:space="0" w:color="auto"/>
            <w:right w:val="none" w:sz="0" w:space="0" w:color="auto"/>
          </w:divBdr>
        </w:div>
        <w:div w:id="257106133">
          <w:marLeft w:val="446"/>
          <w:marRight w:val="0"/>
          <w:marTop w:val="0"/>
          <w:marBottom w:val="0"/>
          <w:divBdr>
            <w:top w:val="none" w:sz="0" w:space="0" w:color="auto"/>
            <w:left w:val="none" w:sz="0" w:space="0" w:color="auto"/>
            <w:bottom w:val="none" w:sz="0" w:space="0" w:color="auto"/>
            <w:right w:val="none" w:sz="0" w:space="0" w:color="auto"/>
          </w:divBdr>
        </w:div>
        <w:div w:id="705636696">
          <w:marLeft w:val="1166"/>
          <w:marRight w:val="0"/>
          <w:marTop w:val="0"/>
          <w:marBottom w:val="0"/>
          <w:divBdr>
            <w:top w:val="none" w:sz="0" w:space="0" w:color="auto"/>
            <w:left w:val="none" w:sz="0" w:space="0" w:color="auto"/>
            <w:bottom w:val="none" w:sz="0" w:space="0" w:color="auto"/>
            <w:right w:val="none" w:sz="0" w:space="0" w:color="auto"/>
          </w:divBdr>
        </w:div>
        <w:div w:id="1771660247">
          <w:marLeft w:val="1166"/>
          <w:marRight w:val="0"/>
          <w:marTop w:val="0"/>
          <w:marBottom w:val="0"/>
          <w:divBdr>
            <w:top w:val="none" w:sz="0" w:space="0" w:color="auto"/>
            <w:left w:val="none" w:sz="0" w:space="0" w:color="auto"/>
            <w:bottom w:val="none" w:sz="0" w:space="0" w:color="auto"/>
            <w:right w:val="none" w:sz="0" w:space="0" w:color="auto"/>
          </w:divBdr>
        </w:div>
        <w:div w:id="2052026487">
          <w:marLeft w:val="1166"/>
          <w:marRight w:val="0"/>
          <w:marTop w:val="0"/>
          <w:marBottom w:val="0"/>
          <w:divBdr>
            <w:top w:val="none" w:sz="0" w:space="0" w:color="auto"/>
            <w:left w:val="none" w:sz="0" w:space="0" w:color="auto"/>
            <w:bottom w:val="none" w:sz="0" w:space="0" w:color="auto"/>
            <w:right w:val="none" w:sz="0" w:space="0" w:color="auto"/>
          </w:divBdr>
        </w:div>
        <w:div w:id="677194355">
          <w:marLeft w:val="1166"/>
          <w:marRight w:val="0"/>
          <w:marTop w:val="0"/>
          <w:marBottom w:val="0"/>
          <w:divBdr>
            <w:top w:val="none" w:sz="0" w:space="0" w:color="auto"/>
            <w:left w:val="none" w:sz="0" w:space="0" w:color="auto"/>
            <w:bottom w:val="none" w:sz="0" w:space="0" w:color="auto"/>
            <w:right w:val="none" w:sz="0" w:space="0" w:color="auto"/>
          </w:divBdr>
        </w:div>
        <w:div w:id="1874419189">
          <w:marLeft w:val="1166"/>
          <w:marRight w:val="0"/>
          <w:marTop w:val="0"/>
          <w:marBottom w:val="0"/>
          <w:divBdr>
            <w:top w:val="none" w:sz="0" w:space="0" w:color="auto"/>
            <w:left w:val="none" w:sz="0" w:space="0" w:color="auto"/>
            <w:bottom w:val="none" w:sz="0" w:space="0" w:color="auto"/>
            <w:right w:val="none" w:sz="0" w:space="0" w:color="auto"/>
          </w:divBdr>
        </w:div>
      </w:divsChild>
    </w:div>
    <w:div w:id="474957268">
      <w:bodyDiv w:val="1"/>
      <w:marLeft w:val="0"/>
      <w:marRight w:val="0"/>
      <w:marTop w:val="0"/>
      <w:marBottom w:val="0"/>
      <w:divBdr>
        <w:top w:val="none" w:sz="0" w:space="0" w:color="auto"/>
        <w:left w:val="none" w:sz="0" w:space="0" w:color="auto"/>
        <w:bottom w:val="none" w:sz="0" w:space="0" w:color="auto"/>
        <w:right w:val="none" w:sz="0" w:space="0" w:color="auto"/>
      </w:divBdr>
    </w:div>
    <w:div w:id="478305964">
      <w:bodyDiv w:val="1"/>
      <w:marLeft w:val="0"/>
      <w:marRight w:val="0"/>
      <w:marTop w:val="0"/>
      <w:marBottom w:val="0"/>
      <w:divBdr>
        <w:top w:val="none" w:sz="0" w:space="0" w:color="auto"/>
        <w:left w:val="none" w:sz="0" w:space="0" w:color="auto"/>
        <w:bottom w:val="none" w:sz="0" w:space="0" w:color="auto"/>
        <w:right w:val="none" w:sz="0" w:space="0" w:color="auto"/>
      </w:divBdr>
      <w:divsChild>
        <w:div w:id="104616156">
          <w:marLeft w:val="1354"/>
          <w:marRight w:val="0"/>
          <w:marTop w:val="0"/>
          <w:marBottom w:val="0"/>
          <w:divBdr>
            <w:top w:val="none" w:sz="0" w:space="0" w:color="auto"/>
            <w:left w:val="none" w:sz="0" w:space="0" w:color="auto"/>
            <w:bottom w:val="none" w:sz="0" w:space="0" w:color="auto"/>
            <w:right w:val="none" w:sz="0" w:space="0" w:color="auto"/>
          </w:divBdr>
        </w:div>
        <w:div w:id="209463630">
          <w:marLeft w:val="1354"/>
          <w:marRight w:val="0"/>
          <w:marTop w:val="0"/>
          <w:marBottom w:val="0"/>
          <w:divBdr>
            <w:top w:val="none" w:sz="0" w:space="0" w:color="auto"/>
            <w:left w:val="none" w:sz="0" w:space="0" w:color="auto"/>
            <w:bottom w:val="none" w:sz="0" w:space="0" w:color="auto"/>
            <w:right w:val="none" w:sz="0" w:space="0" w:color="auto"/>
          </w:divBdr>
        </w:div>
        <w:div w:id="329716795">
          <w:marLeft w:val="1354"/>
          <w:marRight w:val="0"/>
          <w:marTop w:val="0"/>
          <w:marBottom w:val="0"/>
          <w:divBdr>
            <w:top w:val="none" w:sz="0" w:space="0" w:color="auto"/>
            <w:left w:val="none" w:sz="0" w:space="0" w:color="auto"/>
            <w:bottom w:val="none" w:sz="0" w:space="0" w:color="auto"/>
            <w:right w:val="none" w:sz="0" w:space="0" w:color="auto"/>
          </w:divBdr>
        </w:div>
        <w:div w:id="398210181">
          <w:marLeft w:val="1354"/>
          <w:marRight w:val="0"/>
          <w:marTop w:val="0"/>
          <w:marBottom w:val="0"/>
          <w:divBdr>
            <w:top w:val="none" w:sz="0" w:space="0" w:color="auto"/>
            <w:left w:val="none" w:sz="0" w:space="0" w:color="auto"/>
            <w:bottom w:val="none" w:sz="0" w:space="0" w:color="auto"/>
            <w:right w:val="none" w:sz="0" w:space="0" w:color="auto"/>
          </w:divBdr>
        </w:div>
        <w:div w:id="1304970604">
          <w:marLeft w:val="1354"/>
          <w:marRight w:val="0"/>
          <w:marTop w:val="0"/>
          <w:marBottom w:val="0"/>
          <w:divBdr>
            <w:top w:val="none" w:sz="0" w:space="0" w:color="auto"/>
            <w:left w:val="none" w:sz="0" w:space="0" w:color="auto"/>
            <w:bottom w:val="none" w:sz="0" w:space="0" w:color="auto"/>
            <w:right w:val="none" w:sz="0" w:space="0" w:color="auto"/>
          </w:divBdr>
        </w:div>
        <w:div w:id="1601252580">
          <w:marLeft w:val="547"/>
          <w:marRight w:val="0"/>
          <w:marTop w:val="0"/>
          <w:marBottom w:val="0"/>
          <w:divBdr>
            <w:top w:val="none" w:sz="0" w:space="0" w:color="auto"/>
            <w:left w:val="none" w:sz="0" w:space="0" w:color="auto"/>
            <w:bottom w:val="none" w:sz="0" w:space="0" w:color="auto"/>
            <w:right w:val="none" w:sz="0" w:space="0" w:color="auto"/>
          </w:divBdr>
        </w:div>
      </w:divsChild>
    </w:div>
    <w:div w:id="478962814">
      <w:bodyDiv w:val="1"/>
      <w:marLeft w:val="0"/>
      <w:marRight w:val="0"/>
      <w:marTop w:val="0"/>
      <w:marBottom w:val="0"/>
      <w:divBdr>
        <w:top w:val="none" w:sz="0" w:space="0" w:color="auto"/>
        <w:left w:val="none" w:sz="0" w:space="0" w:color="auto"/>
        <w:bottom w:val="none" w:sz="0" w:space="0" w:color="auto"/>
        <w:right w:val="none" w:sz="0" w:space="0" w:color="auto"/>
      </w:divBdr>
      <w:divsChild>
        <w:div w:id="1691446877">
          <w:marLeft w:val="850"/>
          <w:marRight w:val="0"/>
          <w:marTop w:val="0"/>
          <w:marBottom w:val="0"/>
          <w:divBdr>
            <w:top w:val="none" w:sz="0" w:space="0" w:color="auto"/>
            <w:left w:val="none" w:sz="0" w:space="0" w:color="auto"/>
            <w:bottom w:val="none" w:sz="0" w:space="0" w:color="auto"/>
            <w:right w:val="none" w:sz="0" w:space="0" w:color="auto"/>
          </w:divBdr>
        </w:div>
      </w:divsChild>
    </w:div>
    <w:div w:id="502815875">
      <w:bodyDiv w:val="1"/>
      <w:marLeft w:val="0"/>
      <w:marRight w:val="0"/>
      <w:marTop w:val="0"/>
      <w:marBottom w:val="0"/>
      <w:divBdr>
        <w:top w:val="none" w:sz="0" w:space="0" w:color="auto"/>
        <w:left w:val="none" w:sz="0" w:space="0" w:color="auto"/>
        <w:bottom w:val="none" w:sz="0" w:space="0" w:color="auto"/>
        <w:right w:val="none" w:sz="0" w:space="0" w:color="auto"/>
      </w:divBdr>
    </w:div>
    <w:div w:id="508984763">
      <w:bodyDiv w:val="1"/>
      <w:marLeft w:val="0"/>
      <w:marRight w:val="0"/>
      <w:marTop w:val="0"/>
      <w:marBottom w:val="0"/>
      <w:divBdr>
        <w:top w:val="none" w:sz="0" w:space="0" w:color="auto"/>
        <w:left w:val="none" w:sz="0" w:space="0" w:color="auto"/>
        <w:bottom w:val="none" w:sz="0" w:space="0" w:color="auto"/>
        <w:right w:val="none" w:sz="0" w:space="0" w:color="auto"/>
      </w:divBdr>
      <w:divsChild>
        <w:div w:id="99301834">
          <w:marLeft w:val="691"/>
          <w:marRight w:val="0"/>
          <w:marTop w:val="0"/>
          <w:marBottom w:val="0"/>
          <w:divBdr>
            <w:top w:val="none" w:sz="0" w:space="0" w:color="auto"/>
            <w:left w:val="none" w:sz="0" w:space="0" w:color="auto"/>
            <w:bottom w:val="none" w:sz="0" w:space="0" w:color="auto"/>
            <w:right w:val="none" w:sz="0" w:space="0" w:color="auto"/>
          </w:divBdr>
        </w:div>
        <w:div w:id="743531104">
          <w:marLeft w:val="864"/>
          <w:marRight w:val="0"/>
          <w:marTop w:val="0"/>
          <w:marBottom w:val="0"/>
          <w:divBdr>
            <w:top w:val="none" w:sz="0" w:space="0" w:color="auto"/>
            <w:left w:val="none" w:sz="0" w:space="0" w:color="auto"/>
            <w:bottom w:val="none" w:sz="0" w:space="0" w:color="auto"/>
            <w:right w:val="none" w:sz="0" w:space="0" w:color="auto"/>
          </w:divBdr>
        </w:div>
        <w:div w:id="1533347296">
          <w:marLeft w:val="691"/>
          <w:marRight w:val="0"/>
          <w:marTop w:val="0"/>
          <w:marBottom w:val="0"/>
          <w:divBdr>
            <w:top w:val="none" w:sz="0" w:space="0" w:color="auto"/>
            <w:left w:val="none" w:sz="0" w:space="0" w:color="auto"/>
            <w:bottom w:val="none" w:sz="0" w:space="0" w:color="auto"/>
            <w:right w:val="none" w:sz="0" w:space="0" w:color="auto"/>
          </w:divBdr>
        </w:div>
        <w:div w:id="1672099066">
          <w:marLeft w:val="864"/>
          <w:marRight w:val="0"/>
          <w:marTop w:val="0"/>
          <w:marBottom w:val="0"/>
          <w:divBdr>
            <w:top w:val="none" w:sz="0" w:space="0" w:color="auto"/>
            <w:left w:val="none" w:sz="0" w:space="0" w:color="auto"/>
            <w:bottom w:val="none" w:sz="0" w:space="0" w:color="auto"/>
            <w:right w:val="none" w:sz="0" w:space="0" w:color="auto"/>
          </w:divBdr>
        </w:div>
        <w:div w:id="1818184663">
          <w:marLeft w:val="864"/>
          <w:marRight w:val="0"/>
          <w:marTop w:val="0"/>
          <w:marBottom w:val="0"/>
          <w:divBdr>
            <w:top w:val="none" w:sz="0" w:space="0" w:color="auto"/>
            <w:left w:val="none" w:sz="0" w:space="0" w:color="auto"/>
            <w:bottom w:val="none" w:sz="0" w:space="0" w:color="auto"/>
            <w:right w:val="none" w:sz="0" w:space="0" w:color="auto"/>
          </w:divBdr>
        </w:div>
      </w:divsChild>
    </w:div>
    <w:div w:id="513998932">
      <w:bodyDiv w:val="1"/>
      <w:marLeft w:val="0"/>
      <w:marRight w:val="0"/>
      <w:marTop w:val="0"/>
      <w:marBottom w:val="0"/>
      <w:divBdr>
        <w:top w:val="none" w:sz="0" w:space="0" w:color="auto"/>
        <w:left w:val="none" w:sz="0" w:space="0" w:color="auto"/>
        <w:bottom w:val="none" w:sz="0" w:space="0" w:color="auto"/>
        <w:right w:val="none" w:sz="0" w:space="0" w:color="auto"/>
      </w:divBdr>
    </w:div>
    <w:div w:id="519243997">
      <w:bodyDiv w:val="1"/>
      <w:marLeft w:val="0"/>
      <w:marRight w:val="0"/>
      <w:marTop w:val="0"/>
      <w:marBottom w:val="0"/>
      <w:divBdr>
        <w:top w:val="none" w:sz="0" w:space="0" w:color="auto"/>
        <w:left w:val="none" w:sz="0" w:space="0" w:color="auto"/>
        <w:bottom w:val="none" w:sz="0" w:space="0" w:color="auto"/>
        <w:right w:val="none" w:sz="0" w:space="0" w:color="auto"/>
      </w:divBdr>
      <w:divsChild>
        <w:div w:id="486940594">
          <w:marLeft w:val="720"/>
          <w:marRight w:val="0"/>
          <w:marTop w:val="0"/>
          <w:marBottom w:val="0"/>
          <w:divBdr>
            <w:top w:val="none" w:sz="0" w:space="0" w:color="auto"/>
            <w:left w:val="none" w:sz="0" w:space="0" w:color="auto"/>
            <w:bottom w:val="none" w:sz="0" w:space="0" w:color="auto"/>
            <w:right w:val="none" w:sz="0" w:space="0" w:color="auto"/>
          </w:divBdr>
        </w:div>
        <w:div w:id="1102997525">
          <w:marLeft w:val="720"/>
          <w:marRight w:val="0"/>
          <w:marTop w:val="0"/>
          <w:marBottom w:val="0"/>
          <w:divBdr>
            <w:top w:val="none" w:sz="0" w:space="0" w:color="auto"/>
            <w:left w:val="none" w:sz="0" w:space="0" w:color="auto"/>
            <w:bottom w:val="none" w:sz="0" w:space="0" w:color="auto"/>
            <w:right w:val="none" w:sz="0" w:space="0" w:color="auto"/>
          </w:divBdr>
        </w:div>
      </w:divsChild>
    </w:div>
    <w:div w:id="532575316">
      <w:bodyDiv w:val="1"/>
      <w:marLeft w:val="0"/>
      <w:marRight w:val="0"/>
      <w:marTop w:val="0"/>
      <w:marBottom w:val="0"/>
      <w:divBdr>
        <w:top w:val="none" w:sz="0" w:space="0" w:color="auto"/>
        <w:left w:val="none" w:sz="0" w:space="0" w:color="auto"/>
        <w:bottom w:val="none" w:sz="0" w:space="0" w:color="auto"/>
        <w:right w:val="none" w:sz="0" w:space="0" w:color="auto"/>
      </w:divBdr>
      <w:divsChild>
        <w:div w:id="1777366592">
          <w:marLeft w:val="720"/>
          <w:marRight w:val="0"/>
          <w:marTop w:val="0"/>
          <w:marBottom w:val="0"/>
          <w:divBdr>
            <w:top w:val="none" w:sz="0" w:space="0" w:color="auto"/>
            <w:left w:val="none" w:sz="0" w:space="0" w:color="auto"/>
            <w:bottom w:val="none" w:sz="0" w:space="0" w:color="auto"/>
            <w:right w:val="none" w:sz="0" w:space="0" w:color="auto"/>
          </w:divBdr>
        </w:div>
      </w:divsChild>
    </w:div>
    <w:div w:id="536938113">
      <w:bodyDiv w:val="1"/>
      <w:marLeft w:val="0"/>
      <w:marRight w:val="0"/>
      <w:marTop w:val="0"/>
      <w:marBottom w:val="0"/>
      <w:divBdr>
        <w:top w:val="none" w:sz="0" w:space="0" w:color="auto"/>
        <w:left w:val="none" w:sz="0" w:space="0" w:color="auto"/>
        <w:bottom w:val="none" w:sz="0" w:space="0" w:color="auto"/>
        <w:right w:val="none" w:sz="0" w:space="0" w:color="auto"/>
      </w:divBdr>
    </w:div>
    <w:div w:id="544945895">
      <w:bodyDiv w:val="1"/>
      <w:marLeft w:val="0"/>
      <w:marRight w:val="0"/>
      <w:marTop w:val="0"/>
      <w:marBottom w:val="0"/>
      <w:divBdr>
        <w:top w:val="none" w:sz="0" w:space="0" w:color="auto"/>
        <w:left w:val="none" w:sz="0" w:space="0" w:color="auto"/>
        <w:bottom w:val="none" w:sz="0" w:space="0" w:color="auto"/>
        <w:right w:val="none" w:sz="0" w:space="0" w:color="auto"/>
      </w:divBdr>
    </w:div>
    <w:div w:id="561525176">
      <w:bodyDiv w:val="1"/>
      <w:marLeft w:val="0"/>
      <w:marRight w:val="0"/>
      <w:marTop w:val="0"/>
      <w:marBottom w:val="0"/>
      <w:divBdr>
        <w:top w:val="none" w:sz="0" w:space="0" w:color="auto"/>
        <w:left w:val="none" w:sz="0" w:space="0" w:color="auto"/>
        <w:bottom w:val="none" w:sz="0" w:space="0" w:color="auto"/>
        <w:right w:val="none" w:sz="0" w:space="0" w:color="auto"/>
      </w:divBdr>
      <w:divsChild>
        <w:div w:id="75633983">
          <w:marLeft w:val="864"/>
          <w:marRight w:val="0"/>
          <w:marTop w:val="0"/>
          <w:marBottom w:val="0"/>
          <w:divBdr>
            <w:top w:val="none" w:sz="0" w:space="0" w:color="auto"/>
            <w:left w:val="none" w:sz="0" w:space="0" w:color="auto"/>
            <w:bottom w:val="none" w:sz="0" w:space="0" w:color="auto"/>
            <w:right w:val="none" w:sz="0" w:space="0" w:color="auto"/>
          </w:divBdr>
        </w:div>
        <w:div w:id="725615343">
          <w:marLeft w:val="864"/>
          <w:marRight w:val="0"/>
          <w:marTop w:val="0"/>
          <w:marBottom w:val="0"/>
          <w:divBdr>
            <w:top w:val="none" w:sz="0" w:space="0" w:color="auto"/>
            <w:left w:val="none" w:sz="0" w:space="0" w:color="auto"/>
            <w:bottom w:val="none" w:sz="0" w:space="0" w:color="auto"/>
            <w:right w:val="none" w:sz="0" w:space="0" w:color="auto"/>
          </w:divBdr>
        </w:div>
      </w:divsChild>
    </w:div>
    <w:div w:id="579557708">
      <w:bodyDiv w:val="1"/>
      <w:marLeft w:val="0"/>
      <w:marRight w:val="0"/>
      <w:marTop w:val="0"/>
      <w:marBottom w:val="0"/>
      <w:divBdr>
        <w:top w:val="none" w:sz="0" w:space="0" w:color="auto"/>
        <w:left w:val="none" w:sz="0" w:space="0" w:color="auto"/>
        <w:bottom w:val="none" w:sz="0" w:space="0" w:color="auto"/>
        <w:right w:val="none" w:sz="0" w:space="0" w:color="auto"/>
      </w:divBdr>
    </w:div>
    <w:div w:id="607391052">
      <w:bodyDiv w:val="1"/>
      <w:marLeft w:val="0"/>
      <w:marRight w:val="0"/>
      <w:marTop w:val="0"/>
      <w:marBottom w:val="0"/>
      <w:divBdr>
        <w:top w:val="none" w:sz="0" w:space="0" w:color="auto"/>
        <w:left w:val="none" w:sz="0" w:space="0" w:color="auto"/>
        <w:bottom w:val="none" w:sz="0" w:space="0" w:color="auto"/>
        <w:right w:val="none" w:sz="0" w:space="0" w:color="auto"/>
      </w:divBdr>
    </w:div>
    <w:div w:id="610481224">
      <w:bodyDiv w:val="1"/>
      <w:marLeft w:val="0"/>
      <w:marRight w:val="0"/>
      <w:marTop w:val="0"/>
      <w:marBottom w:val="0"/>
      <w:divBdr>
        <w:top w:val="none" w:sz="0" w:space="0" w:color="auto"/>
        <w:left w:val="none" w:sz="0" w:space="0" w:color="auto"/>
        <w:bottom w:val="none" w:sz="0" w:space="0" w:color="auto"/>
        <w:right w:val="none" w:sz="0" w:space="0" w:color="auto"/>
      </w:divBdr>
    </w:div>
    <w:div w:id="644159383">
      <w:bodyDiv w:val="1"/>
      <w:marLeft w:val="0"/>
      <w:marRight w:val="0"/>
      <w:marTop w:val="0"/>
      <w:marBottom w:val="0"/>
      <w:divBdr>
        <w:top w:val="none" w:sz="0" w:space="0" w:color="auto"/>
        <w:left w:val="none" w:sz="0" w:space="0" w:color="auto"/>
        <w:bottom w:val="none" w:sz="0" w:space="0" w:color="auto"/>
        <w:right w:val="none" w:sz="0" w:space="0" w:color="auto"/>
      </w:divBdr>
      <w:divsChild>
        <w:div w:id="1205750719">
          <w:marLeft w:val="1051"/>
          <w:marRight w:val="0"/>
          <w:marTop w:val="0"/>
          <w:marBottom w:val="0"/>
          <w:divBdr>
            <w:top w:val="none" w:sz="0" w:space="0" w:color="auto"/>
            <w:left w:val="none" w:sz="0" w:space="0" w:color="auto"/>
            <w:bottom w:val="none" w:sz="0" w:space="0" w:color="auto"/>
            <w:right w:val="none" w:sz="0" w:space="0" w:color="auto"/>
          </w:divBdr>
        </w:div>
        <w:div w:id="1926069348">
          <w:marLeft w:val="1051"/>
          <w:marRight w:val="0"/>
          <w:marTop w:val="0"/>
          <w:marBottom w:val="0"/>
          <w:divBdr>
            <w:top w:val="none" w:sz="0" w:space="0" w:color="auto"/>
            <w:left w:val="none" w:sz="0" w:space="0" w:color="auto"/>
            <w:bottom w:val="none" w:sz="0" w:space="0" w:color="auto"/>
            <w:right w:val="none" w:sz="0" w:space="0" w:color="auto"/>
          </w:divBdr>
        </w:div>
      </w:divsChild>
    </w:div>
    <w:div w:id="653603172">
      <w:bodyDiv w:val="1"/>
      <w:marLeft w:val="0"/>
      <w:marRight w:val="0"/>
      <w:marTop w:val="0"/>
      <w:marBottom w:val="0"/>
      <w:divBdr>
        <w:top w:val="none" w:sz="0" w:space="0" w:color="auto"/>
        <w:left w:val="none" w:sz="0" w:space="0" w:color="auto"/>
        <w:bottom w:val="none" w:sz="0" w:space="0" w:color="auto"/>
        <w:right w:val="none" w:sz="0" w:space="0" w:color="auto"/>
      </w:divBdr>
    </w:div>
    <w:div w:id="666791661">
      <w:bodyDiv w:val="1"/>
      <w:marLeft w:val="0"/>
      <w:marRight w:val="0"/>
      <w:marTop w:val="0"/>
      <w:marBottom w:val="0"/>
      <w:divBdr>
        <w:top w:val="none" w:sz="0" w:space="0" w:color="auto"/>
        <w:left w:val="none" w:sz="0" w:space="0" w:color="auto"/>
        <w:bottom w:val="none" w:sz="0" w:space="0" w:color="auto"/>
        <w:right w:val="none" w:sz="0" w:space="0" w:color="auto"/>
      </w:divBdr>
    </w:div>
    <w:div w:id="669522174">
      <w:bodyDiv w:val="1"/>
      <w:marLeft w:val="0"/>
      <w:marRight w:val="0"/>
      <w:marTop w:val="0"/>
      <w:marBottom w:val="0"/>
      <w:divBdr>
        <w:top w:val="none" w:sz="0" w:space="0" w:color="auto"/>
        <w:left w:val="none" w:sz="0" w:space="0" w:color="auto"/>
        <w:bottom w:val="none" w:sz="0" w:space="0" w:color="auto"/>
        <w:right w:val="none" w:sz="0" w:space="0" w:color="auto"/>
      </w:divBdr>
      <w:divsChild>
        <w:div w:id="80420604">
          <w:marLeft w:val="778"/>
          <w:marRight w:val="0"/>
          <w:marTop w:val="106"/>
          <w:marBottom w:val="0"/>
          <w:divBdr>
            <w:top w:val="none" w:sz="0" w:space="0" w:color="auto"/>
            <w:left w:val="none" w:sz="0" w:space="0" w:color="auto"/>
            <w:bottom w:val="none" w:sz="0" w:space="0" w:color="auto"/>
            <w:right w:val="none" w:sz="0" w:space="0" w:color="auto"/>
          </w:divBdr>
        </w:div>
        <w:div w:id="269820561">
          <w:marLeft w:val="778"/>
          <w:marRight w:val="0"/>
          <w:marTop w:val="106"/>
          <w:marBottom w:val="0"/>
          <w:divBdr>
            <w:top w:val="none" w:sz="0" w:space="0" w:color="auto"/>
            <w:left w:val="none" w:sz="0" w:space="0" w:color="auto"/>
            <w:bottom w:val="none" w:sz="0" w:space="0" w:color="auto"/>
            <w:right w:val="none" w:sz="0" w:space="0" w:color="auto"/>
          </w:divBdr>
        </w:div>
        <w:div w:id="1295141426">
          <w:marLeft w:val="778"/>
          <w:marRight w:val="0"/>
          <w:marTop w:val="106"/>
          <w:marBottom w:val="0"/>
          <w:divBdr>
            <w:top w:val="none" w:sz="0" w:space="0" w:color="auto"/>
            <w:left w:val="none" w:sz="0" w:space="0" w:color="auto"/>
            <w:bottom w:val="none" w:sz="0" w:space="0" w:color="auto"/>
            <w:right w:val="none" w:sz="0" w:space="0" w:color="auto"/>
          </w:divBdr>
        </w:div>
      </w:divsChild>
    </w:div>
    <w:div w:id="674306952">
      <w:bodyDiv w:val="1"/>
      <w:marLeft w:val="0"/>
      <w:marRight w:val="0"/>
      <w:marTop w:val="0"/>
      <w:marBottom w:val="0"/>
      <w:divBdr>
        <w:top w:val="none" w:sz="0" w:space="0" w:color="auto"/>
        <w:left w:val="none" w:sz="0" w:space="0" w:color="auto"/>
        <w:bottom w:val="none" w:sz="0" w:space="0" w:color="auto"/>
        <w:right w:val="none" w:sz="0" w:space="0" w:color="auto"/>
      </w:divBdr>
      <w:divsChild>
        <w:div w:id="249582847">
          <w:marLeft w:val="806"/>
          <w:marRight w:val="0"/>
          <w:marTop w:val="240"/>
          <w:marBottom w:val="0"/>
          <w:divBdr>
            <w:top w:val="none" w:sz="0" w:space="0" w:color="auto"/>
            <w:left w:val="none" w:sz="0" w:space="0" w:color="auto"/>
            <w:bottom w:val="none" w:sz="0" w:space="0" w:color="auto"/>
            <w:right w:val="none" w:sz="0" w:space="0" w:color="auto"/>
          </w:divBdr>
        </w:div>
        <w:div w:id="399527340">
          <w:marLeft w:val="806"/>
          <w:marRight w:val="0"/>
          <w:marTop w:val="240"/>
          <w:marBottom w:val="0"/>
          <w:divBdr>
            <w:top w:val="none" w:sz="0" w:space="0" w:color="auto"/>
            <w:left w:val="none" w:sz="0" w:space="0" w:color="auto"/>
            <w:bottom w:val="none" w:sz="0" w:space="0" w:color="auto"/>
            <w:right w:val="none" w:sz="0" w:space="0" w:color="auto"/>
          </w:divBdr>
        </w:div>
        <w:div w:id="889146315">
          <w:marLeft w:val="806"/>
          <w:marRight w:val="0"/>
          <w:marTop w:val="240"/>
          <w:marBottom w:val="0"/>
          <w:divBdr>
            <w:top w:val="none" w:sz="0" w:space="0" w:color="auto"/>
            <w:left w:val="none" w:sz="0" w:space="0" w:color="auto"/>
            <w:bottom w:val="none" w:sz="0" w:space="0" w:color="auto"/>
            <w:right w:val="none" w:sz="0" w:space="0" w:color="auto"/>
          </w:divBdr>
        </w:div>
        <w:div w:id="1883857124">
          <w:marLeft w:val="806"/>
          <w:marRight w:val="0"/>
          <w:marTop w:val="240"/>
          <w:marBottom w:val="0"/>
          <w:divBdr>
            <w:top w:val="none" w:sz="0" w:space="0" w:color="auto"/>
            <w:left w:val="none" w:sz="0" w:space="0" w:color="auto"/>
            <w:bottom w:val="none" w:sz="0" w:space="0" w:color="auto"/>
            <w:right w:val="none" w:sz="0" w:space="0" w:color="auto"/>
          </w:divBdr>
        </w:div>
        <w:div w:id="1944603187">
          <w:marLeft w:val="806"/>
          <w:marRight w:val="0"/>
          <w:marTop w:val="240"/>
          <w:marBottom w:val="0"/>
          <w:divBdr>
            <w:top w:val="none" w:sz="0" w:space="0" w:color="auto"/>
            <w:left w:val="none" w:sz="0" w:space="0" w:color="auto"/>
            <w:bottom w:val="none" w:sz="0" w:space="0" w:color="auto"/>
            <w:right w:val="none" w:sz="0" w:space="0" w:color="auto"/>
          </w:divBdr>
        </w:div>
      </w:divsChild>
    </w:div>
    <w:div w:id="729304113">
      <w:bodyDiv w:val="1"/>
      <w:marLeft w:val="0"/>
      <w:marRight w:val="0"/>
      <w:marTop w:val="0"/>
      <w:marBottom w:val="0"/>
      <w:divBdr>
        <w:top w:val="none" w:sz="0" w:space="0" w:color="auto"/>
        <w:left w:val="none" w:sz="0" w:space="0" w:color="auto"/>
        <w:bottom w:val="none" w:sz="0" w:space="0" w:color="auto"/>
        <w:right w:val="none" w:sz="0" w:space="0" w:color="auto"/>
      </w:divBdr>
    </w:div>
    <w:div w:id="732316348">
      <w:bodyDiv w:val="1"/>
      <w:marLeft w:val="0"/>
      <w:marRight w:val="0"/>
      <w:marTop w:val="0"/>
      <w:marBottom w:val="0"/>
      <w:divBdr>
        <w:top w:val="none" w:sz="0" w:space="0" w:color="auto"/>
        <w:left w:val="none" w:sz="0" w:space="0" w:color="auto"/>
        <w:bottom w:val="none" w:sz="0" w:space="0" w:color="auto"/>
        <w:right w:val="none" w:sz="0" w:space="0" w:color="auto"/>
      </w:divBdr>
      <w:divsChild>
        <w:div w:id="846214686">
          <w:marLeft w:val="806"/>
          <w:marRight w:val="0"/>
          <w:marTop w:val="120"/>
          <w:marBottom w:val="0"/>
          <w:divBdr>
            <w:top w:val="none" w:sz="0" w:space="0" w:color="auto"/>
            <w:left w:val="none" w:sz="0" w:space="0" w:color="auto"/>
            <w:bottom w:val="none" w:sz="0" w:space="0" w:color="auto"/>
            <w:right w:val="none" w:sz="0" w:space="0" w:color="auto"/>
          </w:divBdr>
        </w:div>
      </w:divsChild>
    </w:div>
    <w:div w:id="734814418">
      <w:bodyDiv w:val="1"/>
      <w:marLeft w:val="0"/>
      <w:marRight w:val="0"/>
      <w:marTop w:val="0"/>
      <w:marBottom w:val="0"/>
      <w:divBdr>
        <w:top w:val="none" w:sz="0" w:space="0" w:color="auto"/>
        <w:left w:val="none" w:sz="0" w:space="0" w:color="auto"/>
        <w:bottom w:val="none" w:sz="0" w:space="0" w:color="auto"/>
        <w:right w:val="none" w:sz="0" w:space="0" w:color="auto"/>
      </w:divBdr>
    </w:div>
    <w:div w:id="736364339">
      <w:bodyDiv w:val="1"/>
      <w:marLeft w:val="0"/>
      <w:marRight w:val="0"/>
      <w:marTop w:val="0"/>
      <w:marBottom w:val="0"/>
      <w:divBdr>
        <w:top w:val="none" w:sz="0" w:space="0" w:color="auto"/>
        <w:left w:val="none" w:sz="0" w:space="0" w:color="auto"/>
        <w:bottom w:val="none" w:sz="0" w:space="0" w:color="auto"/>
        <w:right w:val="none" w:sz="0" w:space="0" w:color="auto"/>
      </w:divBdr>
    </w:div>
    <w:div w:id="738015780">
      <w:bodyDiv w:val="1"/>
      <w:marLeft w:val="0"/>
      <w:marRight w:val="0"/>
      <w:marTop w:val="0"/>
      <w:marBottom w:val="0"/>
      <w:divBdr>
        <w:top w:val="none" w:sz="0" w:space="0" w:color="auto"/>
        <w:left w:val="none" w:sz="0" w:space="0" w:color="auto"/>
        <w:bottom w:val="none" w:sz="0" w:space="0" w:color="auto"/>
        <w:right w:val="none" w:sz="0" w:space="0" w:color="auto"/>
      </w:divBdr>
    </w:div>
    <w:div w:id="739447804">
      <w:bodyDiv w:val="1"/>
      <w:marLeft w:val="0"/>
      <w:marRight w:val="0"/>
      <w:marTop w:val="0"/>
      <w:marBottom w:val="0"/>
      <w:divBdr>
        <w:top w:val="none" w:sz="0" w:space="0" w:color="auto"/>
        <w:left w:val="none" w:sz="0" w:space="0" w:color="auto"/>
        <w:bottom w:val="none" w:sz="0" w:space="0" w:color="auto"/>
        <w:right w:val="none" w:sz="0" w:space="0" w:color="auto"/>
      </w:divBdr>
      <w:divsChild>
        <w:div w:id="982194896">
          <w:marLeft w:val="446"/>
          <w:marRight w:val="0"/>
          <w:marTop w:val="0"/>
          <w:marBottom w:val="0"/>
          <w:divBdr>
            <w:top w:val="none" w:sz="0" w:space="0" w:color="auto"/>
            <w:left w:val="none" w:sz="0" w:space="0" w:color="auto"/>
            <w:bottom w:val="none" w:sz="0" w:space="0" w:color="auto"/>
            <w:right w:val="none" w:sz="0" w:space="0" w:color="auto"/>
          </w:divBdr>
        </w:div>
      </w:divsChild>
    </w:div>
    <w:div w:id="745030864">
      <w:bodyDiv w:val="1"/>
      <w:marLeft w:val="0"/>
      <w:marRight w:val="0"/>
      <w:marTop w:val="0"/>
      <w:marBottom w:val="0"/>
      <w:divBdr>
        <w:top w:val="none" w:sz="0" w:space="0" w:color="auto"/>
        <w:left w:val="none" w:sz="0" w:space="0" w:color="auto"/>
        <w:bottom w:val="none" w:sz="0" w:space="0" w:color="auto"/>
        <w:right w:val="none" w:sz="0" w:space="0" w:color="auto"/>
      </w:divBdr>
      <w:divsChild>
        <w:div w:id="884949449">
          <w:marLeft w:val="274"/>
          <w:marRight w:val="0"/>
          <w:marTop w:val="77"/>
          <w:marBottom w:val="0"/>
          <w:divBdr>
            <w:top w:val="none" w:sz="0" w:space="0" w:color="auto"/>
            <w:left w:val="none" w:sz="0" w:space="0" w:color="auto"/>
            <w:bottom w:val="none" w:sz="0" w:space="0" w:color="auto"/>
            <w:right w:val="none" w:sz="0" w:space="0" w:color="auto"/>
          </w:divBdr>
        </w:div>
        <w:div w:id="858006244">
          <w:marLeft w:val="461"/>
          <w:marRight w:val="0"/>
          <w:marTop w:val="77"/>
          <w:marBottom w:val="0"/>
          <w:divBdr>
            <w:top w:val="none" w:sz="0" w:space="0" w:color="auto"/>
            <w:left w:val="none" w:sz="0" w:space="0" w:color="auto"/>
            <w:bottom w:val="none" w:sz="0" w:space="0" w:color="auto"/>
            <w:right w:val="none" w:sz="0" w:space="0" w:color="auto"/>
          </w:divBdr>
        </w:div>
        <w:div w:id="393898345">
          <w:marLeft w:val="461"/>
          <w:marRight w:val="0"/>
          <w:marTop w:val="77"/>
          <w:marBottom w:val="0"/>
          <w:divBdr>
            <w:top w:val="none" w:sz="0" w:space="0" w:color="auto"/>
            <w:left w:val="none" w:sz="0" w:space="0" w:color="auto"/>
            <w:bottom w:val="none" w:sz="0" w:space="0" w:color="auto"/>
            <w:right w:val="none" w:sz="0" w:space="0" w:color="auto"/>
          </w:divBdr>
        </w:div>
        <w:div w:id="1724207698">
          <w:marLeft w:val="461"/>
          <w:marRight w:val="0"/>
          <w:marTop w:val="77"/>
          <w:marBottom w:val="0"/>
          <w:divBdr>
            <w:top w:val="none" w:sz="0" w:space="0" w:color="auto"/>
            <w:left w:val="none" w:sz="0" w:space="0" w:color="auto"/>
            <w:bottom w:val="none" w:sz="0" w:space="0" w:color="auto"/>
            <w:right w:val="none" w:sz="0" w:space="0" w:color="auto"/>
          </w:divBdr>
        </w:div>
      </w:divsChild>
    </w:div>
    <w:div w:id="760680858">
      <w:bodyDiv w:val="1"/>
      <w:marLeft w:val="0"/>
      <w:marRight w:val="0"/>
      <w:marTop w:val="0"/>
      <w:marBottom w:val="0"/>
      <w:divBdr>
        <w:top w:val="none" w:sz="0" w:space="0" w:color="auto"/>
        <w:left w:val="none" w:sz="0" w:space="0" w:color="auto"/>
        <w:bottom w:val="none" w:sz="0" w:space="0" w:color="auto"/>
        <w:right w:val="none" w:sz="0" w:space="0" w:color="auto"/>
      </w:divBdr>
    </w:div>
    <w:div w:id="781995562">
      <w:bodyDiv w:val="1"/>
      <w:marLeft w:val="0"/>
      <w:marRight w:val="0"/>
      <w:marTop w:val="0"/>
      <w:marBottom w:val="0"/>
      <w:divBdr>
        <w:top w:val="none" w:sz="0" w:space="0" w:color="auto"/>
        <w:left w:val="none" w:sz="0" w:space="0" w:color="auto"/>
        <w:bottom w:val="none" w:sz="0" w:space="0" w:color="auto"/>
        <w:right w:val="none" w:sz="0" w:space="0" w:color="auto"/>
      </w:divBdr>
      <w:divsChild>
        <w:div w:id="586576698">
          <w:marLeft w:val="418"/>
          <w:marRight w:val="0"/>
          <w:marTop w:val="0"/>
          <w:marBottom w:val="200"/>
          <w:divBdr>
            <w:top w:val="none" w:sz="0" w:space="0" w:color="auto"/>
            <w:left w:val="none" w:sz="0" w:space="0" w:color="auto"/>
            <w:bottom w:val="none" w:sz="0" w:space="0" w:color="auto"/>
            <w:right w:val="none" w:sz="0" w:space="0" w:color="auto"/>
          </w:divBdr>
        </w:div>
      </w:divsChild>
    </w:div>
    <w:div w:id="792745860">
      <w:bodyDiv w:val="1"/>
      <w:marLeft w:val="0"/>
      <w:marRight w:val="0"/>
      <w:marTop w:val="0"/>
      <w:marBottom w:val="0"/>
      <w:divBdr>
        <w:top w:val="none" w:sz="0" w:space="0" w:color="auto"/>
        <w:left w:val="none" w:sz="0" w:space="0" w:color="auto"/>
        <w:bottom w:val="none" w:sz="0" w:space="0" w:color="auto"/>
        <w:right w:val="none" w:sz="0" w:space="0" w:color="auto"/>
      </w:divBdr>
      <w:divsChild>
        <w:div w:id="582181165">
          <w:marLeft w:val="576"/>
          <w:marRight w:val="0"/>
          <w:marTop w:val="120"/>
          <w:marBottom w:val="0"/>
          <w:divBdr>
            <w:top w:val="none" w:sz="0" w:space="0" w:color="auto"/>
            <w:left w:val="none" w:sz="0" w:space="0" w:color="auto"/>
            <w:bottom w:val="none" w:sz="0" w:space="0" w:color="auto"/>
            <w:right w:val="none" w:sz="0" w:space="0" w:color="auto"/>
          </w:divBdr>
        </w:div>
      </w:divsChild>
    </w:div>
    <w:div w:id="813957559">
      <w:bodyDiv w:val="1"/>
      <w:marLeft w:val="0"/>
      <w:marRight w:val="0"/>
      <w:marTop w:val="0"/>
      <w:marBottom w:val="0"/>
      <w:divBdr>
        <w:top w:val="none" w:sz="0" w:space="0" w:color="auto"/>
        <w:left w:val="none" w:sz="0" w:space="0" w:color="auto"/>
        <w:bottom w:val="none" w:sz="0" w:space="0" w:color="auto"/>
        <w:right w:val="none" w:sz="0" w:space="0" w:color="auto"/>
      </w:divBdr>
    </w:div>
    <w:div w:id="817962127">
      <w:bodyDiv w:val="1"/>
      <w:marLeft w:val="0"/>
      <w:marRight w:val="0"/>
      <w:marTop w:val="0"/>
      <w:marBottom w:val="0"/>
      <w:divBdr>
        <w:top w:val="none" w:sz="0" w:space="0" w:color="auto"/>
        <w:left w:val="none" w:sz="0" w:space="0" w:color="auto"/>
        <w:bottom w:val="none" w:sz="0" w:space="0" w:color="auto"/>
        <w:right w:val="none" w:sz="0" w:space="0" w:color="auto"/>
      </w:divBdr>
    </w:div>
    <w:div w:id="818375813">
      <w:bodyDiv w:val="1"/>
      <w:marLeft w:val="0"/>
      <w:marRight w:val="0"/>
      <w:marTop w:val="0"/>
      <w:marBottom w:val="0"/>
      <w:divBdr>
        <w:top w:val="none" w:sz="0" w:space="0" w:color="auto"/>
        <w:left w:val="none" w:sz="0" w:space="0" w:color="auto"/>
        <w:bottom w:val="none" w:sz="0" w:space="0" w:color="auto"/>
        <w:right w:val="none" w:sz="0" w:space="0" w:color="auto"/>
      </w:divBdr>
    </w:div>
    <w:div w:id="823593884">
      <w:bodyDiv w:val="1"/>
      <w:marLeft w:val="0"/>
      <w:marRight w:val="0"/>
      <w:marTop w:val="0"/>
      <w:marBottom w:val="0"/>
      <w:divBdr>
        <w:top w:val="none" w:sz="0" w:space="0" w:color="auto"/>
        <w:left w:val="none" w:sz="0" w:space="0" w:color="auto"/>
        <w:bottom w:val="none" w:sz="0" w:space="0" w:color="auto"/>
        <w:right w:val="none" w:sz="0" w:space="0" w:color="auto"/>
      </w:divBdr>
    </w:div>
    <w:div w:id="846940677">
      <w:bodyDiv w:val="1"/>
      <w:marLeft w:val="0"/>
      <w:marRight w:val="0"/>
      <w:marTop w:val="0"/>
      <w:marBottom w:val="0"/>
      <w:divBdr>
        <w:top w:val="none" w:sz="0" w:space="0" w:color="auto"/>
        <w:left w:val="none" w:sz="0" w:space="0" w:color="auto"/>
        <w:bottom w:val="none" w:sz="0" w:space="0" w:color="auto"/>
        <w:right w:val="none" w:sz="0" w:space="0" w:color="auto"/>
      </w:divBdr>
    </w:div>
    <w:div w:id="849493999">
      <w:bodyDiv w:val="1"/>
      <w:marLeft w:val="0"/>
      <w:marRight w:val="0"/>
      <w:marTop w:val="0"/>
      <w:marBottom w:val="0"/>
      <w:divBdr>
        <w:top w:val="none" w:sz="0" w:space="0" w:color="auto"/>
        <w:left w:val="none" w:sz="0" w:space="0" w:color="auto"/>
        <w:bottom w:val="none" w:sz="0" w:space="0" w:color="auto"/>
        <w:right w:val="none" w:sz="0" w:space="0" w:color="auto"/>
      </w:divBdr>
    </w:div>
    <w:div w:id="871068427">
      <w:bodyDiv w:val="1"/>
      <w:marLeft w:val="0"/>
      <w:marRight w:val="0"/>
      <w:marTop w:val="0"/>
      <w:marBottom w:val="0"/>
      <w:divBdr>
        <w:top w:val="none" w:sz="0" w:space="0" w:color="auto"/>
        <w:left w:val="none" w:sz="0" w:space="0" w:color="auto"/>
        <w:bottom w:val="none" w:sz="0" w:space="0" w:color="auto"/>
        <w:right w:val="none" w:sz="0" w:space="0" w:color="auto"/>
      </w:divBdr>
    </w:div>
    <w:div w:id="892693107">
      <w:bodyDiv w:val="1"/>
      <w:marLeft w:val="0"/>
      <w:marRight w:val="0"/>
      <w:marTop w:val="0"/>
      <w:marBottom w:val="0"/>
      <w:divBdr>
        <w:top w:val="none" w:sz="0" w:space="0" w:color="auto"/>
        <w:left w:val="none" w:sz="0" w:space="0" w:color="auto"/>
        <w:bottom w:val="none" w:sz="0" w:space="0" w:color="auto"/>
        <w:right w:val="none" w:sz="0" w:space="0" w:color="auto"/>
      </w:divBdr>
      <w:divsChild>
        <w:div w:id="910389542">
          <w:marLeft w:val="605"/>
          <w:marRight w:val="0"/>
          <w:marTop w:val="77"/>
          <w:marBottom w:val="0"/>
          <w:divBdr>
            <w:top w:val="none" w:sz="0" w:space="0" w:color="auto"/>
            <w:left w:val="none" w:sz="0" w:space="0" w:color="auto"/>
            <w:bottom w:val="none" w:sz="0" w:space="0" w:color="auto"/>
            <w:right w:val="none" w:sz="0" w:space="0" w:color="auto"/>
          </w:divBdr>
        </w:div>
        <w:div w:id="1768035167">
          <w:marLeft w:val="605"/>
          <w:marRight w:val="0"/>
          <w:marTop w:val="77"/>
          <w:marBottom w:val="0"/>
          <w:divBdr>
            <w:top w:val="none" w:sz="0" w:space="0" w:color="auto"/>
            <w:left w:val="none" w:sz="0" w:space="0" w:color="auto"/>
            <w:bottom w:val="none" w:sz="0" w:space="0" w:color="auto"/>
            <w:right w:val="none" w:sz="0" w:space="0" w:color="auto"/>
          </w:divBdr>
        </w:div>
        <w:div w:id="1331329125">
          <w:marLeft w:val="605"/>
          <w:marRight w:val="0"/>
          <w:marTop w:val="77"/>
          <w:marBottom w:val="0"/>
          <w:divBdr>
            <w:top w:val="none" w:sz="0" w:space="0" w:color="auto"/>
            <w:left w:val="none" w:sz="0" w:space="0" w:color="auto"/>
            <w:bottom w:val="none" w:sz="0" w:space="0" w:color="auto"/>
            <w:right w:val="none" w:sz="0" w:space="0" w:color="auto"/>
          </w:divBdr>
        </w:div>
        <w:div w:id="1116414612">
          <w:marLeft w:val="1411"/>
          <w:marRight w:val="0"/>
          <w:marTop w:val="77"/>
          <w:marBottom w:val="0"/>
          <w:divBdr>
            <w:top w:val="none" w:sz="0" w:space="0" w:color="auto"/>
            <w:left w:val="none" w:sz="0" w:space="0" w:color="auto"/>
            <w:bottom w:val="none" w:sz="0" w:space="0" w:color="auto"/>
            <w:right w:val="none" w:sz="0" w:space="0" w:color="auto"/>
          </w:divBdr>
        </w:div>
        <w:div w:id="2031374113">
          <w:marLeft w:val="1411"/>
          <w:marRight w:val="0"/>
          <w:marTop w:val="77"/>
          <w:marBottom w:val="0"/>
          <w:divBdr>
            <w:top w:val="none" w:sz="0" w:space="0" w:color="auto"/>
            <w:left w:val="none" w:sz="0" w:space="0" w:color="auto"/>
            <w:bottom w:val="none" w:sz="0" w:space="0" w:color="auto"/>
            <w:right w:val="none" w:sz="0" w:space="0" w:color="auto"/>
          </w:divBdr>
        </w:div>
        <w:div w:id="751438136">
          <w:marLeft w:val="605"/>
          <w:marRight w:val="0"/>
          <w:marTop w:val="77"/>
          <w:marBottom w:val="0"/>
          <w:divBdr>
            <w:top w:val="none" w:sz="0" w:space="0" w:color="auto"/>
            <w:left w:val="none" w:sz="0" w:space="0" w:color="auto"/>
            <w:bottom w:val="none" w:sz="0" w:space="0" w:color="auto"/>
            <w:right w:val="none" w:sz="0" w:space="0" w:color="auto"/>
          </w:divBdr>
        </w:div>
      </w:divsChild>
    </w:div>
    <w:div w:id="897206222">
      <w:bodyDiv w:val="1"/>
      <w:marLeft w:val="0"/>
      <w:marRight w:val="0"/>
      <w:marTop w:val="0"/>
      <w:marBottom w:val="0"/>
      <w:divBdr>
        <w:top w:val="none" w:sz="0" w:space="0" w:color="auto"/>
        <w:left w:val="none" w:sz="0" w:space="0" w:color="auto"/>
        <w:bottom w:val="none" w:sz="0" w:space="0" w:color="auto"/>
        <w:right w:val="none" w:sz="0" w:space="0" w:color="auto"/>
      </w:divBdr>
    </w:div>
    <w:div w:id="901134475">
      <w:bodyDiv w:val="1"/>
      <w:marLeft w:val="0"/>
      <w:marRight w:val="0"/>
      <w:marTop w:val="0"/>
      <w:marBottom w:val="0"/>
      <w:divBdr>
        <w:top w:val="none" w:sz="0" w:space="0" w:color="auto"/>
        <w:left w:val="none" w:sz="0" w:space="0" w:color="auto"/>
        <w:bottom w:val="none" w:sz="0" w:space="0" w:color="auto"/>
        <w:right w:val="none" w:sz="0" w:space="0" w:color="auto"/>
      </w:divBdr>
      <w:divsChild>
        <w:div w:id="2115245356">
          <w:marLeft w:val="446"/>
          <w:marRight w:val="0"/>
          <w:marTop w:val="0"/>
          <w:marBottom w:val="0"/>
          <w:divBdr>
            <w:top w:val="none" w:sz="0" w:space="0" w:color="auto"/>
            <w:left w:val="none" w:sz="0" w:space="0" w:color="auto"/>
            <w:bottom w:val="none" w:sz="0" w:space="0" w:color="auto"/>
            <w:right w:val="none" w:sz="0" w:space="0" w:color="auto"/>
          </w:divBdr>
        </w:div>
        <w:div w:id="1507599986">
          <w:marLeft w:val="446"/>
          <w:marRight w:val="0"/>
          <w:marTop w:val="0"/>
          <w:marBottom w:val="0"/>
          <w:divBdr>
            <w:top w:val="none" w:sz="0" w:space="0" w:color="auto"/>
            <w:left w:val="none" w:sz="0" w:space="0" w:color="auto"/>
            <w:bottom w:val="none" w:sz="0" w:space="0" w:color="auto"/>
            <w:right w:val="none" w:sz="0" w:space="0" w:color="auto"/>
          </w:divBdr>
        </w:div>
        <w:div w:id="1646663824">
          <w:marLeft w:val="446"/>
          <w:marRight w:val="0"/>
          <w:marTop w:val="0"/>
          <w:marBottom w:val="0"/>
          <w:divBdr>
            <w:top w:val="none" w:sz="0" w:space="0" w:color="auto"/>
            <w:left w:val="none" w:sz="0" w:space="0" w:color="auto"/>
            <w:bottom w:val="none" w:sz="0" w:space="0" w:color="auto"/>
            <w:right w:val="none" w:sz="0" w:space="0" w:color="auto"/>
          </w:divBdr>
        </w:div>
        <w:div w:id="441000527">
          <w:marLeft w:val="446"/>
          <w:marRight w:val="0"/>
          <w:marTop w:val="0"/>
          <w:marBottom w:val="0"/>
          <w:divBdr>
            <w:top w:val="none" w:sz="0" w:space="0" w:color="auto"/>
            <w:left w:val="none" w:sz="0" w:space="0" w:color="auto"/>
            <w:bottom w:val="none" w:sz="0" w:space="0" w:color="auto"/>
            <w:right w:val="none" w:sz="0" w:space="0" w:color="auto"/>
          </w:divBdr>
        </w:div>
      </w:divsChild>
    </w:div>
    <w:div w:id="907497629">
      <w:bodyDiv w:val="1"/>
      <w:marLeft w:val="0"/>
      <w:marRight w:val="0"/>
      <w:marTop w:val="0"/>
      <w:marBottom w:val="0"/>
      <w:divBdr>
        <w:top w:val="none" w:sz="0" w:space="0" w:color="auto"/>
        <w:left w:val="none" w:sz="0" w:space="0" w:color="auto"/>
        <w:bottom w:val="none" w:sz="0" w:space="0" w:color="auto"/>
        <w:right w:val="none" w:sz="0" w:space="0" w:color="auto"/>
      </w:divBdr>
      <w:divsChild>
        <w:div w:id="800461483">
          <w:marLeft w:val="965"/>
          <w:marRight w:val="0"/>
          <w:marTop w:val="0"/>
          <w:marBottom w:val="0"/>
          <w:divBdr>
            <w:top w:val="none" w:sz="0" w:space="0" w:color="auto"/>
            <w:left w:val="none" w:sz="0" w:space="0" w:color="auto"/>
            <w:bottom w:val="none" w:sz="0" w:space="0" w:color="auto"/>
            <w:right w:val="none" w:sz="0" w:space="0" w:color="auto"/>
          </w:divBdr>
        </w:div>
      </w:divsChild>
    </w:div>
    <w:div w:id="923874845">
      <w:bodyDiv w:val="1"/>
      <w:marLeft w:val="0"/>
      <w:marRight w:val="0"/>
      <w:marTop w:val="0"/>
      <w:marBottom w:val="0"/>
      <w:divBdr>
        <w:top w:val="none" w:sz="0" w:space="0" w:color="auto"/>
        <w:left w:val="none" w:sz="0" w:space="0" w:color="auto"/>
        <w:bottom w:val="none" w:sz="0" w:space="0" w:color="auto"/>
        <w:right w:val="none" w:sz="0" w:space="0" w:color="auto"/>
      </w:divBdr>
      <w:divsChild>
        <w:div w:id="1001007255">
          <w:marLeft w:val="994"/>
          <w:marRight w:val="0"/>
          <w:marTop w:val="0"/>
          <w:marBottom w:val="240"/>
          <w:divBdr>
            <w:top w:val="none" w:sz="0" w:space="0" w:color="auto"/>
            <w:left w:val="none" w:sz="0" w:space="0" w:color="auto"/>
            <w:bottom w:val="none" w:sz="0" w:space="0" w:color="auto"/>
            <w:right w:val="none" w:sz="0" w:space="0" w:color="auto"/>
          </w:divBdr>
        </w:div>
        <w:div w:id="1254584833">
          <w:marLeft w:val="994"/>
          <w:marRight w:val="0"/>
          <w:marTop w:val="0"/>
          <w:marBottom w:val="240"/>
          <w:divBdr>
            <w:top w:val="none" w:sz="0" w:space="0" w:color="auto"/>
            <w:left w:val="none" w:sz="0" w:space="0" w:color="auto"/>
            <w:bottom w:val="none" w:sz="0" w:space="0" w:color="auto"/>
            <w:right w:val="none" w:sz="0" w:space="0" w:color="auto"/>
          </w:divBdr>
        </w:div>
        <w:div w:id="1453284380">
          <w:marLeft w:val="994"/>
          <w:marRight w:val="0"/>
          <w:marTop w:val="0"/>
          <w:marBottom w:val="240"/>
          <w:divBdr>
            <w:top w:val="none" w:sz="0" w:space="0" w:color="auto"/>
            <w:left w:val="none" w:sz="0" w:space="0" w:color="auto"/>
            <w:bottom w:val="none" w:sz="0" w:space="0" w:color="auto"/>
            <w:right w:val="none" w:sz="0" w:space="0" w:color="auto"/>
          </w:divBdr>
        </w:div>
        <w:div w:id="1905988350">
          <w:marLeft w:val="994"/>
          <w:marRight w:val="0"/>
          <w:marTop w:val="0"/>
          <w:marBottom w:val="240"/>
          <w:divBdr>
            <w:top w:val="none" w:sz="0" w:space="0" w:color="auto"/>
            <w:left w:val="none" w:sz="0" w:space="0" w:color="auto"/>
            <w:bottom w:val="none" w:sz="0" w:space="0" w:color="auto"/>
            <w:right w:val="none" w:sz="0" w:space="0" w:color="auto"/>
          </w:divBdr>
        </w:div>
      </w:divsChild>
    </w:div>
    <w:div w:id="925184764">
      <w:bodyDiv w:val="1"/>
      <w:marLeft w:val="0"/>
      <w:marRight w:val="0"/>
      <w:marTop w:val="0"/>
      <w:marBottom w:val="0"/>
      <w:divBdr>
        <w:top w:val="none" w:sz="0" w:space="0" w:color="auto"/>
        <w:left w:val="none" w:sz="0" w:space="0" w:color="auto"/>
        <w:bottom w:val="none" w:sz="0" w:space="0" w:color="auto"/>
        <w:right w:val="none" w:sz="0" w:space="0" w:color="auto"/>
      </w:divBdr>
    </w:div>
    <w:div w:id="930700882">
      <w:bodyDiv w:val="1"/>
      <w:marLeft w:val="0"/>
      <w:marRight w:val="0"/>
      <w:marTop w:val="0"/>
      <w:marBottom w:val="0"/>
      <w:divBdr>
        <w:top w:val="none" w:sz="0" w:space="0" w:color="auto"/>
        <w:left w:val="none" w:sz="0" w:space="0" w:color="auto"/>
        <w:bottom w:val="none" w:sz="0" w:space="0" w:color="auto"/>
        <w:right w:val="none" w:sz="0" w:space="0" w:color="auto"/>
      </w:divBdr>
      <w:divsChild>
        <w:div w:id="1292974839">
          <w:marLeft w:val="634"/>
          <w:marRight w:val="0"/>
          <w:marTop w:val="0"/>
          <w:marBottom w:val="0"/>
          <w:divBdr>
            <w:top w:val="none" w:sz="0" w:space="0" w:color="auto"/>
            <w:left w:val="none" w:sz="0" w:space="0" w:color="auto"/>
            <w:bottom w:val="none" w:sz="0" w:space="0" w:color="auto"/>
            <w:right w:val="none" w:sz="0" w:space="0" w:color="auto"/>
          </w:divBdr>
        </w:div>
        <w:div w:id="1357196428">
          <w:marLeft w:val="634"/>
          <w:marRight w:val="0"/>
          <w:marTop w:val="0"/>
          <w:marBottom w:val="0"/>
          <w:divBdr>
            <w:top w:val="none" w:sz="0" w:space="0" w:color="auto"/>
            <w:left w:val="none" w:sz="0" w:space="0" w:color="auto"/>
            <w:bottom w:val="none" w:sz="0" w:space="0" w:color="auto"/>
            <w:right w:val="none" w:sz="0" w:space="0" w:color="auto"/>
          </w:divBdr>
        </w:div>
        <w:div w:id="1743022386">
          <w:marLeft w:val="634"/>
          <w:marRight w:val="0"/>
          <w:marTop w:val="0"/>
          <w:marBottom w:val="0"/>
          <w:divBdr>
            <w:top w:val="none" w:sz="0" w:space="0" w:color="auto"/>
            <w:left w:val="none" w:sz="0" w:space="0" w:color="auto"/>
            <w:bottom w:val="none" w:sz="0" w:space="0" w:color="auto"/>
            <w:right w:val="none" w:sz="0" w:space="0" w:color="auto"/>
          </w:divBdr>
        </w:div>
      </w:divsChild>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65770866">
      <w:bodyDiv w:val="1"/>
      <w:marLeft w:val="0"/>
      <w:marRight w:val="0"/>
      <w:marTop w:val="0"/>
      <w:marBottom w:val="0"/>
      <w:divBdr>
        <w:top w:val="none" w:sz="0" w:space="0" w:color="auto"/>
        <w:left w:val="none" w:sz="0" w:space="0" w:color="auto"/>
        <w:bottom w:val="none" w:sz="0" w:space="0" w:color="auto"/>
        <w:right w:val="none" w:sz="0" w:space="0" w:color="auto"/>
      </w:divBdr>
    </w:div>
    <w:div w:id="970748237">
      <w:bodyDiv w:val="1"/>
      <w:marLeft w:val="0"/>
      <w:marRight w:val="0"/>
      <w:marTop w:val="0"/>
      <w:marBottom w:val="0"/>
      <w:divBdr>
        <w:top w:val="none" w:sz="0" w:space="0" w:color="auto"/>
        <w:left w:val="none" w:sz="0" w:space="0" w:color="auto"/>
        <w:bottom w:val="none" w:sz="0" w:space="0" w:color="auto"/>
        <w:right w:val="none" w:sz="0" w:space="0" w:color="auto"/>
      </w:divBdr>
      <w:divsChild>
        <w:div w:id="184172289">
          <w:marLeft w:val="547"/>
          <w:marRight w:val="0"/>
          <w:marTop w:val="125"/>
          <w:marBottom w:val="0"/>
          <w:divBdr>
            <w:top w:val="none" w:sz="0" w:space="0" w:color="auto"/>
            <w:left w:val="none" w:sz="0" w:space="0" w:color="auto"/>
            <w:bottom w:val="none" w:sz="0" w:space="0" w:color="auto"/>
            <w:right w:val="none" w:sz="0" w:space="0" w:color="auto"/>
          </w:divBdr>
        </w:div>
        <w:div w:id="487283900">
          <w:marLeft w:val="547"/>
          <w:marRight w:val="0"/>
          <w:marTop w:val="125"/>
          <w:marBottom w:val="0"/>
          <w:divBdr>
            <w:top w:val="none" w:sz="0" w:space="0" w:color="auto"/>
            <w:left w:val="none" w:sz="0" w:space="0" w:color="auto"/>
            <w:bottom w:val="none" w:sz="0" w:space="0" w:color="auto"/>
            <w:right w:val="none" w:sz="0" w:space="0" w:color="auto"/>
          </w:divBdr>
        </w:div>
        <w:div w:id="874931382">
          <w:marLeft w:val="547"/>
          <w:marRight w:val="0"/>
          <w:marTop w:val="125"/>
          <w:marBottom w:val="0"/>
          <w:divBdr>
            <w:top w:val="none" w:sz="0" w:space="0" w:color="auto"/>
            <w:left w:val="none" w:sz="0" w:space="0" w:color="auto"/>
            <w:bottom w:val="none" w:sz="0" w:space="0" w:color="auto"/>
            <w:right w:val="none" w:sz="0" w:space="0" w:color="auto"/>
          </w:divBdr>
        </w:div>
        <w:div w:id="1068696593">
          <w:marLeft w:val="547"/>
          <w:marRight w:val="0"/>
          <w:marTop w:val="125"/>
          <w:marBottom w:val="0"/>
          <w:divBdr>
            <w:top w:val="none" w:sz="0" w:space="0" w:color="auto"/>
            <w:left w:val="none" w:sz="0" w:space="0" w:color="auto"/>
            <w:bottom w:val="none" w:sz="0" w:space="0" w:color="auto"/>
            <w:right w:val="none" w:sz="0" w:space="0" w:color="auto"/>
          </w:divBdr>
        </w:div>
        <w:div w:id="1812752860">
          <w:marLeft w:val="547"/>
          <w:marRight w:val="0"/>
          <w:marTop w:val="125"/>
          <w:marBottom w:val="0"/>
          <w:divBdr>
            <w:top w:val="none" w:sz="0" w:space="0" w:color="auto"/>
            <w:left w:val="none" w:sz="0" w:space="0" w:color="auto"/>
            <w:bottom w:val="none" w:sz="0" w:space="0" w:color="auto"/>
            <w:right w:val="none" w:sz="0" w:space="0" w:color="auto"/>
          </w:divBdr>
        </w:div>
        <w:div w:id="1903633341">
          <w:marLeft w:val="547"/>
          <w:marRight w:val="0"/>
          <w:marTop w:val="125"/>
          <w:marBottom w:val="0"/>
          <w:divBdr>
            <w:top w:val="none" w:sz="0" w:space="0" w:color="auto"/>
            <w:left w:val="none" w:sz="0" w:space="0" w:color="auto"/>
            <w:bottom w:val="none" w:sz="0" w:space="0" w:color="auto"/>
            <w:right w:val="none" w:sz="0" w:space="0" w:color="auto"/>
          </w:divBdr>
        </w:div>
      </w:divsChild>
    </w:div>
    <w:div w:id="975911509">
      <w:bodyDiv w:val="1"/>
      <w:marLeft w:val="0"/>
      <w:marRight w:val="0"/>
      <w:marTop w:val="0"/>
      <w:marBottom w:val="0"/>
      <w:divBdr>
        <w:top w:val="none" w:sz="0" w:space="0" w:color="auto"/>
        <w:left w:val="none" w:sz="0" w:space="0" w:color="auto"/>
        <w:bottom w:val="none" w:sz="0" w:space="0" w:color="auto"/>
        <w:right w:val="none" w:sz="0" w:space="0" w:color="auto"/>
      </w:divBdr>
      <w:divsChild>
        <w:div w:id="1065373400">
          <w:marLeft w:val="1008"/>
          <w:marRight w:val="0"/>
          <w:marTop w:val="0"/>
          <w:marBottom w:val="0"/>
          <w:divBdr>
            <w:top w:val="none" w:sz="0" w:space="0" w:color="auto"/>
            <w:left w:val="none" w:sz="0" w:space="0" w:color="auto"/>
            <w:bottom w:val="none" w:sz="0" w:space="0" w:color="auto"/>
            <w:right w:val="none" w:sz="0" w:space="0" w:color="auto"/>
          </w:divBdr>
        </w:div>
        <w:div w:id="1554659133">
          <w:marLeft w:val="1008"/>
          <w:marRight w:val="0"/>
          <w:marTop w:val="0"/>
          <w:marBottom w:val="0"/>
          <w:divBdr>
            <w:top w:val="none" w:sz="0" w:space="0" w:color="auto"/>
            <w:left w:val="none" w:sz="0" w:space="0" w:color="auto"/>
            <w:bottom w:val="none" w:sz="0" w:space="0" w:color="auto"/>
            <w:right w:val="none" w:sz="0" w:space="0" w:color="auto"/>
          </w:divBdr>
        </w:div>
        <w:div w:id="2081365075">
          <w:marLeft w:val="1008"/>
          <w:marRight w:val="0"/>
          <w:marTop w:val="0"/>
          <w:marBottom w:val="0"/>
          <w:divBdr>
            <w:top w:val="none" w:sz="0" w:space="0" w:color="auto"/>
            <w:left w:val="none" w:sz="0" w:space="0" w:color="auto"/>
            <w:bottom w:val="none" w:sz="0" w:space="0" w:color="auto"/>
            <w:right w:val="none" w:sz="0" w:space="0" w:color="auto"/>
          </w:divBdr>
        </w:div>
      </w:divsChild>
    </w:div>
    <w:div w:id="978731490">
      <w:bodyDiv w:val="1"/>
      <w:marLeft w:val="0"/>
      <w:marRight w:val="0"/>
      <w:marTop w:val="0"/>
      <w:marBottom w:val="0"/>
      <w:divBdr>
        <w:top w:val="none" w:sz="0" w:space="0" w:color="auto"/>
        <w:left w:val="none" w:sz="0" w:space="0" w:color="auto"/>
        <w:bottom w:val="none" w:sz="0" w:space="0" w:color="auto"/>
        <w:right w:val="none" w:sz="0" w:space="0" w:color="auto"/>
      </w:divBdr>
    </w:div>
    <w:div w:id="984359874">
      <w:bodyDiv w:val="1"/>
      <w:marLeft w:val="0"/>
      <w:marRight w:val="0"/>
      <w:marTop w:val="0"/>
      <w:marBottom w:val="0"/>
      <w:divBdr>
        <w:top w:val="none" w:sz="0" w:space="0" w:color="auto"/>
        <w:left w:val="none" w:sz="0" w:space="0" w:color="auto"/>
        <w:bottom w:val="none" w:sz="0" w:space="0" w:color="auto"/>
        <w:right w:val="none" w:sz="0" w:space="0" w:color="auto"/>
      </w:divBdr>
    </w:div>
    <w:div w:id="993603055">
      <w:bodyDiv w:val="1"/>
      <w:marLeft w:val="0"/>
      <w:marRight w:val="0"/>
      <w:marTop w:val="0"/>
      <w:marBottom w:val="0"/>
      <w:divBdr>
        <w:top w:val="none" w:sz="0" w:space="0" w:color="auto"/>
        <w:left w:val="none" w:sz="0" w:space="0" w:color="auto"/>
        <w:bottom w:val="none" w:sz="0" w:space="0" w:color="auto"/>
        <w:right w:val="none" w:sz="0" w:space="0" w:color="auto"/>
      </w:divBdr>
    </w:div>
    <w:div w:id="1052729342">
      <w:bodyDiv w:val="1"/>
      <w:marLeft w:val="0"/>
      <w:marRight w:val="0"/>
      <w:marTop w:val="0"/>
      <w:marBottom w:val="0"/>
      <w:divBdr>
        <w:top w:val="none" w:sz="0" w:space="0" w:color="auto"/>
        <w:left w:val="none" w:sz="0" w:space="0" w:color="auto"/>
        <w:bottom w:val="none" w:sz="0" w:space="0" w:color="auto"/>
        <w:right w:val="none" w:sz="0" w:space="0" w:color="auto"/>
      </w:divBdr>
    </w:div>
    <w:div w:id="1084838244">
      <w:bodyDiv w:val="1"/>
      <w:marLeft w:val="0"/>
      <w:marRight w:val="0"/>
      <w:marTop w:val="0"/>
      <w:marBottom w:val="0"/>
      <w:divBdr>
        <w:top w:val="none" w:sz="0" w:space="0" w:color="auto"/>
        <w:left w:val="none" w:sz="0" w:space="0" w:color="auto"/>
        <w:bottom w:val="none" w:sz="0" w:space="0" w:color="auto"/>
        <w:right w:val="none" w:sz="0" w:space="0" w:color="auto"/>
      </w:divBdr>
      <w:divsChild>
        <w:div w:id="35088399">
          <w:marLeft w:val="0"/>
          <w:marRight w:val="0"/>
          <w:marTop w:val="96"/>
          <w:marBottom w:val="0"/>
          <w:divBdr>
            <w:top w:val="none" w:sz="0" w:space="0" w:color="auto"/>
            <w:left w:val="none" w:sz="0" w:space="0" w:color="auto"/>
            <w:bottom w:val="none" w:sz="0" w:space="0" w:color="auto"/>
            <w:right w:val="none" w:sz="0" w:space="0" w:color="auto"/>
          </w:divBdr>
        </w:div>
        <w:div w:id="206914914">
          <w:marLeft w:val="0"/>
          <w:marRight w:val="0"/>
          <w:marTop w:val="96"/>
          <w:marBottom w:val="0"/>
          <w:divBdr>
            <w:top w:val="none" w:sz="0" w:space="0" w:color="auto"/>
            <w:left w:val="none" w:sz="0" w:space="0" w:color="auto"/>
            <w:bottom w:val="none" w:sz="0" w:space="0" w:color="auto"/>
            <w:right w:val="none" w:sz="0" w:space="0" w:color="auto"/>
          </w:divBdr>
        </w:div>
        <w:div w:id="582303293">
          <w:marLeft w:val="0"/>
          <w:marRight w:val="0"/>
          <w:marTop w:val="96"/>
          <w:marBottom w:val="0"/>
          <w:divBdr>
            <w:top w:val="none" w:sz="0" w:space="0" w:color="auto"/>
            <w:left w:val="none" w:sz="0" w:space="0" w:color="auto"/>
            <w:bottom w:val="none" w:sz="0" w:space="0" w:color="auto"/>
            <w:right w:val="none" w:sz="0" w:space="0" w:color="auto"/>
          </w:divBdr>
        </w:div>
        <w:div w:id="1598713921">
          <w:marLeft w:val="0"/>
          <w:marRight w:val="0"/>
          <w:marTop w:val="96"/>
          <w:marBottom w:val="0"/>
          <w:divBdr>
            <w:top w:val="none" w:sz="0" w:space="0" w:color="auto"/>
            <w:left w:val="none" w:sz="0" w:space="0" w:color="auto"/>
            <w:bottom w:val="none" w:sz="0" w:space="0" w:color="auto"/>
            <w:right w:val="none" w:sz="0" w:space="0" w:color="auto"/>
          </w:divBdr>
        </w:div>
        <w:div w:id="1709835291">
          <w:marLeft w:val="0"/>
          <w:marRight w:val="0"/>
          <w:marTop w:val="96"/>
          <w:marBottom w:val="0"/>
          <w:divBdr>
            <w:top w:val="none" w:sz="0" w:space="0" w:color="auto"/>
            <w:left w:val="none" w:sz="0" w:space="0" w:color="auto"/>
            <w:bottom w:val="none" w:sz="0" w:space="0" w:color="auto"/>
            <w:right w:val="none" w:sz="0" w:space="0" w:color="auto"/>
          </w:divBdr>
        </w:div>
        <w:div w:id="2115976725">
          <w:marLeft w:val="0"/>
          <w:marRight w:val="0"/>
          <w:marTop w:val="96"/>
          <w:marBottom w:val="0"/>
          <w:divBdr>
            <w:top w:val="none" w:sz="0" w:space="0" w:color="auto"/>
            <w:left w:val="none" w:sz="0" w:space="0" w:color="auto"/>
            <w:bottom w:val="none" w:sz="0" w:space="0" w:color="auto"/>
            <w:right w:val="none" w:sz="0" w:space="0" w:color="auto"/>
          </w:divBdr>
        </w:div>
      </w:divsChild>
    </w:div>
    <w:div w:id="1086684601">
      <w:bodyDiv w:val="1"/>
      <w:marLeft w:val="0"/>
      <w:marRight w:val="0"/>
      <w:marTop w:val="0"/>
      <w:marBottom w:val="0"/>
      <w:divBdr>
        <w:top w:val="none" w:sz="0" w:space="0" w:color="auto"/>
        <w:left w:val="none" w:sz="0" w:space="0" w:color="auto"/>
        <w:bottom w:val="none" w:sz="0" w:space="0" w:color="auto"/>
        <w:right w:val="none" w:sz="0" w:space="0" w:color="auto"/>
      </w:divBdr>
    </w:div>
    <w:div w:id="1092430594">
      <w:bodyDiv w:val="1"/>
      <w:marLeft w:val="0"/>
      <w:marRight w:val="0"/>
      <w:marTop w:val="0"/>
      <w:marBottom w:val="0"/>
      <w:divBdr>
        <w:top w:val="none" w:sz="0" w:space="0" w:color="auto"/>
        <w:left w:val="none" w:sz="0" w:space="0" w:color="auto"/>
        <w:bottom w:val="none" w:sz="0" w:space="0" w:color="auto"/>
        <w:right w:val="none" w:sz="0" w:space="0" w:color="auto"/>
      </w:divBdr>
    </w:div>
    <w:div w:id="1093866367">
      <w:bodyDiv w:val="1"/>
      <w:marLeft w:val="0"/>
      <w:marRight w:val="0"/>
      <w:marTop w:val="0"/>
      <w:marBottom w:val="0"/>
      <w:divBdr>
        <w:top w:val="none" w:sz="0" w:space="0" w:color="auto"/>
        <w:left w:val="none" w:sz="0" w:space="0" w:color="auto"/>
        <w:bottom w:val="none" w:sz="0" w:space="0" w:color="auto"/>
        <w:right w:val="none" w:sz="0" w:space="0" w:color="auto"/>
      </w:divBdr>
    </w:div>
    <w:div w:id="1098601155">
      <w:bodyDiv w:val="1"/>
      <w:marLeft w:val="0"/>
      <w:marRight w:val="0"/>
      <w:marTop w:val="0"/>
      <w:marBottom w:val="0"/>
      <w:divBdr>
        <w:top w:val="none" w:sz="0" w:space="0" w:color="auto"/>
        <w:left w:val="none" w:sz="0" w:space="0" w:color="auto"/>
        <w:bottom w:val="none" w:sz="0" w:space="0" w:color="auto"/>
        <w:right w:val="none" w:sz="0" w:space="0" w:color="auto"/>
      </w:divBdr>
      <w:divsChild>
        <w:div w:id="1137647510">
          <w:marLeft w:val="547"/>
          <w:marRight w:val="0"/>
          <w:marTop w:val="125"/>
          <w:marBottom w:val="0"/>
          <w:divBdr>
            <w:top w:val="none" w:sz="0" w:space="0" w:color="auto"/>
            <w:left w:val="none" w:sz="0" w:space="0" w:color="auto"/>
            <w:bottom w:val="none" w:sz="0" w:space="0" w:color="auto"/>
            <w:right w:val="none" w:sz="0" w:space="0" w:color="auto"/>
          </w:divBdr>
        </w:div>
        <w:div w:id="2085179094">
          <w:marLeft w:val="547"/>
          <w:marRight w:val="0"/>
          <w:marTop w:val="125"/>
          <w:marBottom w:val="0"/>
          <w:divBdr>
            <w:top w:val="none" w:sz="0" w:space="0" w:color="auto"/>
            <w:left w:val="none" w:sz="0" w:space="0" w:color="auto"/>
            <w:bottom w:val="none" w:sz="0" w:space="0" w:color="auto"/>
            <w:right w:val="none" w:sz="0" w:space="0" w:color="auto"/>
          </w:divBdr>
        </w:div>
      </w:divsChild>
    </w:div>
    <w:div w:id="1121069859">
      <w:bodyDiv w:val="1"/>
      <w:marLeft w:val="0"/>
      <w:marRight w:val="0"/>
      <w:marTop w:val="0"/>
      <w:marBottom w:val="0"/>
      <w:divBdr>
        <w:top w:val="none" w:sz="0" w:space="0" w:color="auto"/>
        <w:left w:val="none" w:sz="0" w:space="0" w:color="auto"/>
        <w:bottom w:val="none" w:sz="0" w:space="0" w:color="auto"/>
        <w:right w:val="none" w:sz="0" w:space="0" w:color="auto"/>
      </w:divBdr>
    </w:div>
    <w:div w:id="1121924721">
      <w:bodyDiv w:val="1"/>
      <w:marLeft w:val="0"/>
      <w:marRight w:val="0"/>
      <w:marTop w:val="0"/>
      <w:marBottom w:val="0"/>
      <w:divBdr>
        <w:top w:val="none" w:sz="0" w:space="0" w:color="auto"/>
        <w:left w:val="none" w:sz="0" w:space="0" w:color="auto"/>
        <w:bottom w:val="none" w:sz="0" w:space="0" w:color="auto"/>
        <w:right w:val="none" w:sz="0" w:space="0" w:color="auto"/>
      </w:divBdr>
    </w:div>
    <w:div w:id="1128428147">
      <w:bodyDiv w:val="1"/>
      <w:marLeft w:val="0"/>
      <w:marRight w:val="0"/>
      <w:marTop w:val="0"/>
      <w:marBottom w:val="0"/>
      <w:divBdr>
        <w:top w:val="none" w:sz="0" w:space="0" w:color="auto"/>
        <w:left w:val="none" w:sz="0" w:space="0" w:color="auto"/>
        <w:bottom w:val="none" w:sz="0" w:space="0" w:color="auto"/>
        <w:right w:val="none" w:sz="0" w:space="0" w:color="auto"/>
      </w:divBdr>
      <w:divsChild>
        <w:div w:id="179249109">
          <w:marLeft w:val="0"/>
          <w:marRight w:val="0"/>
          <w:marTop w:val="0"/>
          <w:marBottom w:val="0"/>
          <w:divBdr>
            <w:top w:val="none" w:sz="0" w:space="0" w:color="auto"/>
            <w:left w:val="none" w:sz="0" w:space="0" w:color="auto"/>
            <w:bottom w:val="none" w:sz="0" w:space="0" w:color="auto"/>
            <w:right w:val="none" w:sz="0" w:space="0" w:color="auto"/>
          </w:divBdr>
        </w:div>
      </w:divsChild>
    </w:div>
    <w:div w:id="1155758029">
      <w:bodyDiv w:val="1"/>
      <w:marLeft w:val="0"/>
      <w:marRight w:val="0"/>
      <w:marTop w:val="0"/>
      <w:marBottom w:val="0"/>
      <w:divBdr>
        <w:top w:val="none" w:sz="0" w:space="0" w:color="auto"/>
        <w:left w:val="none" w:sz="0" w:space="0" w:color="auto"/>
        <w:bottom w:val="none" w:sz="0" w:space="0" w:color="auto"/>
        <w:right w:val="none" w:sz="0" w:space="0" w:color="auto"/>
      </w:divBdr>
      <w:divsChild>
        <w:div w:id="403725366">
          <w:marLeft w:val="547"/>
          <w:marRight w:val="0"/>
          <w:marTop w:val="0"/>
          <w:marBottom w:val="200"/>
          <w:divBdr>
            <w:top w:val="none" w:sz="0" w:space="0" w:color="auto"/>
            <w:left w:val="none" w:sz="0" w:space="0" w:color="auto"/>
            <w:bottom w:val="none" w:sz="0" w:space="0" w:color="auto"/>
            <w:right w:val="none" w:sz="0" w:space="0" w:color="auto"/>
          </w:divBdr>
        </w:div>
        <w:div w:id="1387685667">
          <w:marLeft w:val="1138"/>
          <w:marRight w:val="0"/>
          <w:marTop w:val="0"/>
          <w:marBottom w:val="200"/>
          <w:divBdr>
            <w:top w:val="none" w:sz="0" w:space="0" w:color="auto"/>
            <w:left w:val="none" w:sz="0" w:space="0" w:color="auto"/>
            <w:bottom w:val="none" w:sz="0" w:space="0" w:color="auto"/>
            <w:right w:val="none" w:sz="0" w:space="0" w:color="auto"/>
          </w:divBdr>
        </w:div>
        <w:div w:id="1611429238">
          <w:marLeft w:val="1138"/>
          <w:marRight w:val="0"/>
          <w:marTop w:val="0"/>
          <w:marBottom w:val="200"/>
          <w:divBdr>
            <w:top w:val="none" w:sz="0" w:space="0" w:color="auto"/>
            <w:left w:val="none" w:sz="0" w:space="0" w:color="auto"/>
            <w:bottom w:val="none" w:sz="0" w:space="0" w:color="auto"/>
            <w:right w:val="none" w:sz="0" w:space="0" w:color="auto"/>
          </w:divBdr>
        </w:div>
        <w:div w:id="610088998">
          <w:marLeft w:val="1138"/>
          <w:marRight w:val="0"/>
          <w:marTop w:val="0"/>
          <w:marBottom w:val="200"/>
          <w:divBdr>
            <w:top w:val="none" w:sz="0" w:space="0" w:color="auto"/>
            <w:left w:val="none" w:sz="0" w:space="0" w:color="auto"/>
            <w:bottom w:val="none" w:sz="0" w:space="0" w:color="auto"/>
            <w:right w:val="none" w:sz="0" w:space="0" w:color="auto"/>
          </w:divBdr>
        </w:div>
        <w:div w:id="906916838">
          <w:marLeft w:val="1138"/>
          <w:marRight w:val="0"/>
          <w:marTop w:val="0"/>
          <w:marBottom w:val="200"/>
          <w:divBdr>
            <w:top w:val="none" w:sz="0" w:space="0" w:color="auto"/>
            <w:left w:val="none" w:sz="0" w:space="0" w:color="auto"/>
            <w:bottom w:val="none" w:sz="0" w:space="0" w:color="auto"/>
            <w:right w:val="none" w:sz="0" w:space="0" w:color="auto"/>
          </w:divBdr>
        </w:div>
        <w:div w:id="1634483379">
          <w:marLeft w:val="1138"/>
          <w:marRight w:val="0"/>
          <w:marTop w:val="0"/>
          <w:marBottom w:val="200"/>
          <w:divBdr>
            <w:top w:val="none" w:sz="0" w:space="0" w:color="auto"/>
            <w:left w:val="none" w:sz="0" w:space="0" w:color="auto"/>
            <w:bottom w:val="none" w:sz="0" w:space="0" w:color="auto"/>
            <w:right w:val="none" w:sz="0" w:space="0" w:color="auto"/>
          </w:divBdr>
        </w:div>
        <w:div w:id="1960336372">
          <w:marLeft w:val="1138"/>
          <w:marRight w:val="0"/>
          <w:marTop w:val="0"/>
          <w:marBottom w:val="200"/>
          <w:divBdr>
            <w:top w:val="none" w:sz="0" w:space="0" w:color="auto"/>
            <w:left w:val="none" w:sz="0" w:space="0" w:color="auto"/>
            <w:bottom w:val="none" w:sz="0" w:space="0" w:color="auto"/>
            <w:right w:val="none" w:sz="0" w:space="0" w:color="auto"/>
          </w:divBdr>
        </w:div>
      </w:divsChild>
    </w:div>
    <w:div w:id="1174882130">
      <w:bodyDiv w:val="1"/>
      <w:marLeft w:val="0"/>
      <w:marRight w:val="0"/>
      <w:marTop w:val="0"/>
      <w:marBottom w:val="0"/>
      <w:divBdr>
        <w:top w:val="none" w:sz="0" w:space="0" w:color="auto"/>
        <w:left w:val="none" w:sz="0" w:space="0" w:color="auto"/>
        <w:bottom w:val="none" w:sz="0" w:space="0" w:color="auto"/>
        <w:right w:val="none" w:sz="0" w:space="0" w:color="auto"/>
      </w:divBdr>
      <w:divsChild>
        <w:div w:id="99640965">
          <w:marLeft w:val="835"/>
          <w:marRight w:val="0"/>
          <w:marTop w:val="0"/>
          <w:marBottom w:val="0"/>
          <w:divBdr>
            <w:top w:val="none" w:sz="0" w:space="0" w:color="auto"/>
            <w:left w:val="none" w:sz="0" w:space="0" w:color="auto"/>
            <w:bottom w:val="none" w:sz="0" w:space="0" w:color="auto"/>
            <w:right w:val="none" w:sz="0" w:space="0" w:color="auto"/>
          </w:divBdr>
        </w:div>
        <w:div w:id="229081011">
          <w:marLeft w:val="835"/>
          <w:marRight w:val="0"/>
          <w:marTop w:val="0"/>
          <w:marBottom w:val="0"/>
          <w:divBdr>
            <w:top w:val="none" w:sz="0" w:space="0" w:color="auto"/>
            <w:left w:val="none" w:sz="0" w:space="0" w:color="auto"/>
            <w:bottom w:val="none" w:sz="0" w:space="0" w:color="auto"/>
            <w:right w:val="none" w:sz="0" w:space="0" w:color="auto"/>
          </w:divBdr>
        </w:div>
        <w:div w:id="1105492632">
          <w:marLeft w:val="835"/>
          <w:marRight w:val="0"/>
          <w:marTop w:val="0"/>
          <w:marBottom w:val="0"/>
          <w:divBdr>
            <w:top w:val="none" w:sz="0" w:space="0" w:color="auto"/>
            <w:left w:val="none" w:sz="0" w:space="0" w:color="auto"/>
            <w:bottom w:val="none" w:sz="0" w:space="0" w:color="auto"/>
            <w:right w:val="none" w:sz="0" w:space="0" w:color="auto"/>
          </w:divBdr>
        </w:div>
        <w:div w:id="1243684781">
          <w:marLeft w:val="835"/>
          <w:marRight w:val="0"/>
          <w:marTop w:val="0"/>
          <w:marBottom w:val="0"/>
          <w:divBdr>
            <w:top w:val="none" w:sz="0" w:space="0" w:color="auto"/>
            <w:left w:val="none" w:sz="0" w:space="0" w:color="auto"/>
            <w:bottom w:val="none" w:sz="0" w:space="0" w:color="auto"/>
            <w:right w:val="none" w:sz="0" w:space="0" w:color="auto"/>
          </w:divBdr>
        </w:div>
        <w:div w:id="1524591882">
          <w:marLeft w:val="835"/>
          <w:marRight w:val="0"/>
          <w:marTop w:val="0"/>
          <w:marBottom w:val="0"/>
          <w:divBdr>
            <w:top w:val="none" w:sz="0" w:space="0" w:color="auto"/>
            <w:left w:val="none" w:sz="0" w:space="0" w:color="auto"/>
            <w:bottom w:val="none" w:sz="0" w:space="0" w:color="auto"/>
            <w:right w:val="none" w:sz="0" w:space="0" w:color="auto"/>
          </w:divBdr>
        </w:div>
      </w:divsChild>
    </w:div>
    <w:div w:id="1186407553">
      <w:bodyDiv w:val="1"/>
      <w:marLeft w:val="0"/>
      <w:marRight w:val="0"/>
      <w:marTop w:val="0"/>
      <w:marBottom w:val="0"/>
      <w:divBdr>
        <w:top w:val="none" w:sz="0" w:space="0" w:color="auto"/>
        <w:left w:val="none" w:sz="0" w:space="0" w:color="auto"/>
        <w:bottom w:val="none" w:sz="0" w:space="0" w:color="auto"/>
        <w:right w:val="none" w:sz="0" w:space="0" w:color="auto"/>
      </w:divBdr>
    </w:div>
    <w:div w:id="1187795671">
      <w:bodyDiv w:val="1"/>
      <w:marLeft w:val="0"/>
      <w:marRight w:val="0"/>
      <w:marTop w:val="0"/>
      <w:marBottom w:val="0"/>
      <w:divBdr>
        <w:top w:val="none" w:sz="0" w:space="0" w:color="auto"/>
        <w:left w:val="none" w:sz="0" w:space="0" w:color="auto"/>
        <w:bottom w:val="none" w:sz="0" w:space="0" w:color="auto"/>
        <w:right w:val="none" w:sz="0" w:space="0" w:color="auto"/>
      </w:divBdr>
      <w:divsChild>
        <w:div w:id="904417902">
          <w:marLeft w:val="446"/>
          <w:marRight w:val="0"/>
          <w:marTop w:val="0"/>
          <w:marBottom w:val="0"/>
          <w:divBdr>
            <w:top w:val="none" w:sz="0" w:space="0" w:color="auto"/>
            <w:left w:val="none" w:sz="0" w:space="0" w:color="auto"/>
            <w:bottom w:val="none" w:sz="0" w:space="0" w:color="auto"/>
            <w:right w:val="none" w:sz="0" w:space="0" w:color="auto"/>
          </w:divBdr>
        </w:div>
        <w:div w:id="1209877430">
          <w:marLeft w:val="446"/>
          <w:marRight w:val="0"/>
          <w:marTop w:val="0"/>
          <w:marBottom w:val="0"/>
          <w:divBdr>
            <w:top w:val="none" w:sz="0" w:space="0" w:color="auto"/>
            <w:left w:val="none" w:sz="0" w:space="0" w:color="auto"/>
            <w:bottom w:val="none" w:sz="0" w:space="0" w:color="auto"/>
            <w:right w:val="none" w:sz="0" w:space="0" w:color="auto"/>
          </w:divBdr>
        </w:div>
        <w:div w:id="287705889">
          <w:marLeft w:val="446"/>
          <w:marRight w:val="0"/>
          <w:marTop w:val="0"/>
          <w:marBottom w:val="0"/>
          <w:divBdr>
            <w:top w:val="none" w:sz="0" w:space="0" w:color="auto"/>
            <w:left w:val="none" w:sz="0" w:space="0" w:color="auto"/>
            <w:bottom w:val="none" w:sz="0" w:space="0" w:color="auto"/>
            <w:right w:val="none" w:sz="0" w:space="0" w:color="auto"/>
          </w:divBdr>
        </w:div>
        <w:div w:id="1448504059">
          <w:marLeft w:val="446"/>
          <w:marRight w:val="0"/>
          <w:marTop w:val="0"/>
          <w:marBottom w:val="0"/>
          <w:divBdr>
            <w:top w:val="none" w:sz="0" w:space="0" w:color="auto"/>
            <w:left w:val="none" w:sz="0" w:space="0" w:color="auto"/>
            <w:bottom w:val="none" w:sz="0" w:space="0" w:color="auto"/>
            <w:right w:val="none" w:sz="0" w:space="0" w:color="auto"/>
          </w:divBdr>
        </w:div>
      </w:divsChild>
    </w:div>
    <w:div w:id="1202743271">
      <w:bodyDiv w:val="1"/>
      <w:marLeft w:val="0"/>
      <w:marRight w:val="0"/>
      <w:marTop w:val="0"/>
      <w:marBottom w:val="0"/>
      <w:divBdr>
        <w:top w:val="none" w:sz="0" w:space="0" w:color="auto"/>
        <w:left w:val="none" w:sz="0" w:space="0" w:color="auto"/>
        <w:bottom w:val="none" w:sz="0" w:space="0" w:color="auto"/>
        <w:right w:val="none" w:sz="0" w:space="0" w:color="auto"/>
      </w:divBdr>
    </w:div>
    <w:div w:id="1222910717">
      <w:bodyDiv w:val="1"/>
      <w:marLeft w:val="0"/>
      <w:marRight w:val="0"/>
      <w:marTop w:val="0"/>
      <w:marBottom w:val="0"/>
      <w:divBdr>
        <w:top w:val="none" w:sz="0" w:space="0" w:color="auto"/>
        <w:left w:val="none" w:sz="0" w:space="0" w:color="auto"/>
        <w:bottom w:val="none" w:sz="0" w:space="0" w:color="auto"/>
        <w:right w:val="none" w:sz="0" w:space="0" w:color="auto"/>
      </w:divBdr>
      <w:divsChild>
        <w:div w:id="358893411">
          <w:marLeft w:val="547"/>
          <w:marRight w:val="0"/>
          <w:marTop w:val="0"/>
          <w:marBottom w:val="0"/>
          <w:divBdr>
            <w:top w:val="none" w:sz="0" w:space="0" w:color="auto"/>
            <w:left w:val="none" w:sz="0" w:space="0" w:color="auto"/>
            <w:bottom w:val="none" w:sz="0" w:space="0" w:color="auto"/>
            <w:right w:val="none" w:sz="0" w:space="0" w:color="auto"/>
          </w:divBdr>
        </w:div>
      </w:divsChild>
    </w:div>
    <w:div w:id="1235816361">
      <w:bodyDiv w:val="1"/>
      <w:marLeft w:val="0"/>
      <w:marRight w:val="0"/>
      <w:marTop w:val="0"/>
      <w:marBottom w:val="0"/>
      <w:divBdr>
        <w:top w:val="none" w:sz="0" w:space="0" w:color="auto"/>
        <w:left w:val="none" w:sz="0" w:space="0" w:color="auto"/>
        <w:bottom w:val="none" w:sz="0" w:space="0" w:color="auto"/>
        <w:right w:val="none" w:sz="0" w:space="0" w:color="auto"/>
      </w:divBdr>
      <w:divsChild>
        <w:div w:id="1066562529">
          <w:marLeft w:val="806"/>
          <w:marRight w:val="0"/>
          <w:marTop w:val="0"/>
          <w:marBottom w:val="0"/>
          <w:divBdr>
            <w:top w:val="none" w:sz="0" w:space="0" w:color="auto"/>
            <w:left w:val="none" w:sz="0" w:space="0" w:color="auto"/>
            <w:bottom w:val="none" w:sz="0" w:space="0" w:color="auto"/>
            <w:right w:val="none" w:sz="0" w:space="0" w:color="auto"/>
          </w:divBdr>
        </w:div>
        <w:div w:id="843713492">
          <w:marLeft w:val="806"/>
          <w:marRight w:val="0"/>
          <w:marTop w:val="0"/>
          <w:marBottom w:val="0"/>
          <w:divBdr>
            <w:top w:val="none" w:sz="0" w:space="0" w:color="auto"/>
            <w:left w:val="none" w:sz="0" w:space="0" w:color="auto"/>
            <w:bottom w:val="none" w:sz="0" w:space="0" w:color="auto"/>
            <w:right w:val="none" w:sz="0" w:space="0" w:color="auto"/>
          </w:divBdr>
        </w:div>
        <w:div w:id="981542767">
          <w:marLeft w:val="806"/>
          <w:marRight w:val="0"/>
          <w:marTop w:val="0"/>
          <w:marBottom w:val="0"/>
          <w:divBdr>
            <w:top w:val="none" w:sz="0" w:space="0" w:color="auto"/>
            <w:left w:val="none" w:sz="0" w:space="0" w:color="auto"/>
            <w:bottom w:val="none" w:sz="0" w:space="0" w:color="auto"/>
            <w:right w:val="none" w:sz="0" w:space="0" w:color="auto"/>
          </w:divBdr>
        </w:div>
        <w:div w:id="1069499238">
          <w:marLeft w:val="806"/>
          <w:marRight w:val="0"/>
          <w:marTop w:val="0"/>
          <w:marBottom w:val="0"/>
          <w:divBdr>
            <w:top w:val="none" w:sz="0" w:space="0" w:color="auto"/>
            <w:left w:val="none" w:sz="0" w:space="0" w:color="auto"/>
            <w:bottom w:val="none" w:sz="0" w:space="0" w:color="auto"/>
            <w:right w:val="none" w:sz="0" w:space="0" w:color="auto"/>
          </w:divBdr>
        </w:div>
      </w:divsChild>
    </w:div>
    <w:div w:id="1264460330">
      <w:bodyDiv w:val="1"/>
      <w:marLeft w:val="0"/>
      <w:marRight w:val="0"/>
      <w:marTop w:val="0"/>
      <w:marBottom w:val="0"/>
      <w:divBdr>
        <w:top w:val="none" w:sz="0" w:space="0" w:color="auto"/>
        <w:left w:val="none" w:sz="0" w:space="0" w:color="auto"/>
        <w:bottom w:val="none" w:sz="0" w:space="0" w:color="auto"/>
        <w:right w:val="none" w:sz="0" w:space="0" w:color="auto"/>
      </w:divBdr>
      <w:divsChild>
        <w:div w:id="1931696470">
          <w:marLeft w:val="302"/>
          <w:marRight w:val="0"/>
          <w:marTop w:val="0"/>
          <w:marBottom w:val="0"/>
          <w:divBdr>
            <w:top w:val="none" w:sz="0" w:space="0" w:color="auto"/>
            <w:left w:val="none" w:sz="0" w:space="0" w:color="auto"/>
            <w:bottom w:val="none" w:sz="0" w:space="0" w:color="auto"/>
            <w:right w:val="none" w:sz="0" w:space="0" w:color="auto"/>
          </w:divBdr>
        </w:div>
        <w:div w:id="219750589">
          <w:marLeft w:val="302"/>
          <w:marRight w:val="0"/>
          <w:marTop w:val="0"/>
          <w:marBottom w:val="0"/>
          <w:divBdr>
            <w:top w:val="none" w:sz="0" w:space="0" w:color="auto"/>
            <w:left w:val="none" w:sz="0" w:space="0" w:color="auto"/>
            <w:bottom w:val="none" w:sz="0" w:space="0" w:color="auto"/>
            <w:right w:val="none" w:sz="0" w:space="0" w:color="auto"/>
          </w:divBdr>
        </w:div>
        <w:div w:id="846747559">
          <w:marLeft w:val="302"/>
          <w:marRight w:val="0"/>
          <w:marTop w:val="0"/>
          <w:marBottom w:val="0"/>
          <w:divBdr>
            <w:top w:val="none" w:sz="0" w:space="0" w:color="auto"/>
            <w:left w:val="none" w:sz="0" w:space="0" w:color="auto"/>
            <w:bottom w:val="none" w:sz="0" w:space="0" w:color="auto"/>
            <w:right w:val="none" w:sz="0" w:space="0" w:color="auto"/>
          </w:divBdr>
        </w:div>
        <w:div w:id="1344210102">
          <w:marLeft w:val="302"/>
          <w:marRight w:val="0"/>
          <w:marTop w:val="0"/>
          <w:marBottom w:val="0"/>
          <w:divBdr>
            <w:top w:val="none" w:sz="0" w:space="0" w:color="auto"/>
            <w:left w:val="none" w:sz="0" w:space="0" w:color="auto"/>
            <w:bottom w:val="none" w:sz="0" w:space="0" w:color="auto"/>
            <w:right w:val="none" w:sz="0" w:space="0" w:color="auto"/>
          </w:divBdr>
        </w:div>
      </w:divsChild>
    </w:div>
    <w:div w:id="1268081486">
      <w:bodyDiv w:val="1"/>
      <w:marLeft w:val="0"/>
      <w:marRight w:val="0"/>
      <w:marTop w:val="0"/>
      <w:marBottom w:val="0"/>
      <w:divBdr>
        <w:top w:val="none" w:sz="0" w:space="0" w:color="auto"/>
        <w:left w:val="none" w:sz="0" w:space="0" w:color="auto"/>
        <w:bottom w:val="none" w:sz="0" w:space="0" w:color="auto"/>
        <w:right w:val="none" w:sz="0" w:space="0" w:color="auto"/>
      </w:divBdr>
    </w:div>
    <w:div w:id="1274939741">
      <w:bodyDiv w:val="1"/>
      <w:marLeft w:val="0"/>
      <w:marRight w:val="0"/>
      <w:marTop w:val="0"/>
      <w:marBottom w:val="0"/>
      <w:divBdr>
        <w:top w:val="none" w:sz="0" w:space="0" w:color="auto"/>
        <w:left w:val="none" w:sz="0" w:space="0" w:color="auto"/>
        <w:bottom w:val="none" w:sz="0" w:space="0" w:color="auto"/>
        <w:right w:val="none" w:sz="0" w:space="0" w:color="auto"/>
      </w:divBdr>
      <w:divsChild>
        <w:div w:id="1104379481">
          <w:marLeft w:val="634"/>
          <w:marRight w:val="0"/>
          <w:marTop w:val="0"/>
          <w:marBottom w:val="0"/>
          <w:divBdr>
            <w:top w:val="none" w:sz="0" w:space="0" w:color="auto"/>
            <w:left w:val="none" w:sz="0" w:space="0" w:color="auto"/>
            <w:bottom w:val="none" w:sz="0" w:space="0" w:color="auto"/>
            <w:right w:val="none" w:sz="0" w:space="0" w:color="auto"/>
          </w:divBdr>
        </w:div>
      </w:divsChild>
    </w:div>
    <w:div w:id="1279331402">
      <w:bodyDiv w:val="1"/>
      <w:marLeft w:val="0"/>
      <w:marRight w:val="0"/>
      <w:marTop w:val="0"/>
      <w:marBottom w:val="0"/>
      <w:divBdr>
        <w:top w:val="none" w:sz="0" w:space="0" w:color="auto"/>
        <w:left w:val="none" w:sz="0" w:space="0" w:color="auto"/>
        <w:bottom w:val="none" w:sz="0" w:space="0" w:color="auto"/>
        <w:right w:val="none" w:sz="0" w:space="0" w:color="auto"/>
      </w:divBdr>
      <w:divsChild>
        <w:div w:id="1897888051">
          <w:marLeft w:val="547"/>
          <w:marRight w:val="0"/>
          <w:marTop w:val="0"/>
          <w:marBottom w:val="120"/>
          <w:divBdr>
            <w:top w:val="none" w:sz="0" w:space="0" w:color="auto"/>
            <w:left w:val="none" w:sz="0" w:space="0" w:color="auto"/>
            <w:bottom w:val="none" w:sz="0" w:space="0" w:color="auto"/>
            <w:right w:val="none" w:sz="0" w:space="0" w:color="auto"/>
          </w:divBdr>
        </w:div>
      </w:divsChild>
    </w:div>
    <w:div w:id="1282112366">
      <w:bodyDiv w:val="1"/>
      <w:marLeft w:val="0"/>
      <w:marRight w:val="0"/>
      <w:marTop w:val="0"/>
      <w:marBottom w:val="0"/>
      <w:divBdr>
        <w:top w:val="none" w:sz="0" w:space="0" w:color="auto"/>
        <w:left w:val="none" w:sz="0" w:space="0" w:color="auto"/>
        <w:bottom w:val="none" w:sz="0" w:space="0" w:color="auto"/>
        <w:right w:val="none" w:sz="0" w:space="0" w:color="auto"/>
      </w:divBdr>
      <w:divsChild>
        <w:div w:id="1047946663">
          <w:marLeft w:val="547"/>
          <w:marRight w:val="0"/>
          <w:marTop w:val="0"/>
          <w:marBottom w:val="0"/>
          <w:divBdr>
            <w:top w:val="none" w:sz="0" w:space="0" w:color="auto"/>
            <w:left w:val="none" w:sz="0" w:space="0" w:color="auto"/>
            <w:bottom w:val="none" w:sz="0" w:space="0" w:color="auto"/>
            <w:right w:val="none" w:sz="0" w:space="0" w:color="auto"/>
          </w:divBdr>
        </w:div>
        <w:div w:id="1527479620">
          <w:marLeft w:val="547"/>
          <w:marRight w:val="0"/>
          <w:marTop w:val="0"/>
          <w:marBottom w:val="0"/>
          <w:divBdr>
            <w:top w:val="none" w:sz="0" w:space="0" w:color="auto"/>
            <w:left w:val="none" w:sz="0" w:space="0" w:color="auto"/>
            <w:bottom w:val="none" w:sz="0" w:space="0" w:color="auto"/>
            <w:right w:val="none" w:sz="0" w:space="0" w:color="auto"/>
          </w:divBdr>
        </w:div>
        <w:div w:id="1718699144">
          <w:marLeft w:val="446"/>
          <w:marRight w:val="0"/>
          <w:marTop w:val="0"/>
          <w:marBottom w:val="0"/>
          <w:divBdr>
            <w:top w:val="none" w:sz="0" w:space="0" w:color="auto"/>
            <w:left w:val="none" w:sz="0" w:space="0" w:color="auto"/>
            <w:bottom w:val="none" w:sz="0" w:space="0" w:color="auto"/>
            <w:right w:val="none" w:sz="0" w:space="0" w:color="auto"/>
          </w:divBdr>
        </w:div>
        <w:div w:id="1890453536">
          <w:marLeft w:val="446"/>
          <w:marRight w:val="0"/>
          <w:marTop w:val="0"/>
          <w:marBottom w:val="0"/>
          <w:divBdr>
            <w:top w:val="none" w:sz="0" w:space="0" w:color="auto"/>
            <w:left w:val="none" w:sz="0" w:space="0" w:color="auto"/>
            <w:bottom w:val="none" w:sz="0" w:space="0" w:color="auto"/>
            <w:right w:val="none" w:sz="0" w:space="0" w:color="auto"/>
          </w:divBdr>
        </w:div>
        <w:div w:id="2075271249">
          <w:marLeft w:val="547"/>
          <w:marRight w:val="0"/>
          <w:marTop w:val="0"/>
          <w:marBottom w:val="0"/>
          <w:divBdr>
            <w:top w:val="none" w:sz="0" w:space="0" w:color="auto"/>
            <w:left w:val="none" w:sz="0" w:space="0" w:color="auto"/>
            <w:bottom w:val="none" w:sz="0" w:space="0" w:color="auto"/>
            <w:right w:val="none" w:sz="0" w:space="0" w:color="auto"/>
          </w:divBdr>
        </w:div>
      </w:divsChild>
    </w:div>
    <w:div w:id="1298150502">
      <w:bodyDiv w:val="1"/>
      <w:marLeft w:val="0"/>
      <w:marRight w:val="0"/>
      <w:marTop w:val="0"/>
      <w:marBottom w:val="0"/>
      <w:divBdr>
        <w:top w:val="none" w:sz="0" w:space="0" w:color="auto"/>
        <w:left w:val="none" w:sz="0" w:space="0" w:color="auto"/>
        <w:bottom w:val="none" w:sz="0" w:space="0" w:color="auto"/>
        <w:right w:val="none" w:sz="0" w:space="0" w:color="auto"/>
      </w:divBdr>
    </w:div>
    <w:div w:id="1305740163">
      <w:bodyDiv w:val="1"/>
      <w:marLeft w:val="0"/>
      <w:marRight w:val="0"/>
      <w:marTop w:val="0"/>
      <w:marBottom w:val="0"/>
      <w:divBdr>
        <w:top w:val="none" w:sz="0" w:space="0" w:color="auto"/>
        <w:left w:val="none" w:sz="0" w:space="0" w:color="auto"/>
        <w:bottom w:val="none" w:sz="0" w:space="0" w:color="auto"/>
        <w:right w:val="none" w:sz="0" w:space="0" w:color="auto"/>
      </w:divBdr>
    </w:div>
    <w:div w:id="1334451638">
      <w:bodyDiv w:val="1"/>
      <w:marLeft w:val="0"/>
      <w:marRight w:val="0"/>
      <w:marTop w:val="0"/>
      <w:marBottom w:val="0"/>
      <w:divBdr>
        <w:top w:val="none" w:sz="0" w:space="0" w:color="auto"/>
        <w:left w:val="none" w:sz="0" w:space="0" w:color="auto"/>
        <w:bottom w:val="none" w:sz="0" w:space="0" w:color="auto"/>
        <w:right w:val="none" w:sz="0" w:space="0" w:color="auto"/>
      </w:divBdr>
    </w:div>
    <w:div w:id="1354066249">
      <w:bodyDiv w:val="1"/>
      <w:marLeft w:val="0"/>
      <w:marRight w:val="0"/>
      <w:marTop w:val="0"/>
      <w:marBottom w:val="0"/>
      <w:divBdr>
        <w:top w:val="none" w:sz="0" w:space="0" w:color="auto"/>
        <w:left w:val="none" w:sz="0" w:space="0" w:color="auto"/>
        <w:bottom w:val="none" w:sz="0" w:space="0" w:color="auto"/>
        <w:right w:val="none" w:sz="0" w:space="0" w:color="auto"/>
      </w:divBdr>
    </w:div>
    <w:div w:id="1362197552">
      <w:bodyDiv w:val="1"/>
      <w:marLeft w:val="0"/>
      <w:marRight w:val="0"/>
      <w:marTop w:val="0"/>
      <w:marBottom w:val="0"/>
      <w:divBdr>
        <w:top w:val="none" w:sz="0" w:space="0" w:color="auto"/>
        <w:left w:val="none" w:sz="0" w:space="0" w:color="auto"/>
        <w:bottom w:val="none" w:sz="0" w:space="0" w:color="auto"/>
        <w:right w:val="none" w:sz="0" w:space="0" w:color="auto"/>
      </w:divBdr>
    </w:div>
    <w:div w:id="1375349307">
      <w:bodyDiv w:val="1"/>
      <w:marLeft w:val="0"/>
      <w:marRight w:val="0"/>
      <w:marTop w:val="0"/>
      <w:marBottom w:val="0"/>
      <w:divBdr>
        <w:top w:val="none" w:sz="0" w:space="0" w:color="auto"/>
        <w:left w:val="none" w:sz="0" w:space="0" w:color="auto"/>
        <w:bottom w:val="none" w:sz="0" w:space="0" w:color="auto"/>
        <w:right w:val="none" w:sz="0" w:space="0" w:color="auto"/>
      </w:divBdr>
    </w:div>
    <w:div w:id="1388333666">
      <w:bodyDiv w:val="1"/>
      <w:marLeft w:val="0"/>
      <w:marRight w:val="0"/>
      <w:marTop w:val="0"/>
      <w:marBottom w:val="0"/>
      <w:divBdr>
        <w:top w:val="none" w:sz="0" w:space="0" w:color="auto"/>
        <w:left w:val="none" w:sz="0" w:space="0" w:color="auto"/>
        <w:bottom w:val="none" w:sz="0" w:space="0" w:color="auto"/>
        <w:right w:val="none" w:sz="0" w:space="0" w:color="auto"/>
      </w:divBdr>
      <w:divsChild>
        <w:div w:id="1143154712">
          <w:marLeft w:val="446"/>
          <w:marRight w:val="0"/>
          <w:marTop w:val="96"/>
          <w:marBottom w:val="0"/>
          <w:divBdr>
            <w:top w:val="none" w:sz="0" w:space="0" w:color="auto"/>
            <w:left w:val="none" w:sz="0" w:space="0" w:color="auto"/>
            <w:bottom w:val="none" w:sz="0" w:space="0" w:color="auto"/>
            <w:right w:val="none" w:sz="0" w:space="0" w:color="auto"/>
          </w:divBdr>
        </w:div>
        <w:div w:id="906380618">
          <w:marLeft w:val="446"/>
          <w:marRight w:val="0"/>
          <w:marTop w:val="96"/>
          <w:marBottom w:val="0"/>
          <w:divBdr>
            <w:top w:val="none" w:sz="0" w:space="0" w:color="auto"/>
            <w:left w:val="none" w:sz="0" w:space="0" w:color="auto"/>
            <w:bottom w:val="none" w:sz="0" w:space="0" w:color="auto"/>
            <w:right w:val="none" w:sz="0" w:space="0" w:color="auto"/>
          </w:divBdr>
        </w:div>
        <w:div w:id="2096856656">
          <w:marLeft w:val="446"/>
          <w:marRight w:val="0"/>
          <w:marTop w:val="96"/>
          <w:marBottom w:val="0"/>
          <w:divBdr>
            <w:top w:val="none" w:sz="0" w:space="0" w:color="auto"/>
            <w:left w:val="none" w:sz="0" w:space="0" w:color="auto"/>
            <w:bottom w:val="none" w:sz="0" w:space="0" w:color="auto"/>
            <w:right w:val="none" w:sz="0" w:space="0" w:color="auto"/>
          </w:divBdr>
        </w:div>
        <w:div w:id="553586166">
          <w:marLeft w:val="446"/>
          <w:marRight w:val="0"/>
          <w:marTop w:val="96"/>
          <w:marBottom w:val="0"/>
          <w:divBdr>
            <w:top w:val="none" w:sz="0" w:space="0" w:color="auto"/>
            <w:left w:val="none" w:sz="0" w:space="0" w:color="auto"/>
            <w:bottom w:val="none" w:sz="0" w:space="0" w:color="auto"/>
            <w:right w:val="none" w:sz="0" w:space="0" w:color="auto"/>
          </w:divBdr>
        </w:div>
        <w:div w:id="1429038964">
          <w:marLeft w:val="1526"/>
          <w:marRight w:val="0"/>
          <w:marTop w:val="96"/>
          <w:marBottom w:val="0"/>
          <w:divBdr>
            <w:top w:val="none" w:sz="0" w:space="0" w:color="auto"/>
            <w:left w:val="none" w:sz="0" w:space="0" w:color="auto"/>
            <w:bottom w:val="none" w:sz="0" w:space="0" w:color="auto"/>
            <w:right w:val="none" w:sz="0" w:space="0" w:color="auto"/>
          </w:divBdr>
        </w:div>
        <w:div w:id="726688970">
          <w:marLeft w:val="1526"/>
          <w:marRight w:val="0"/>
          <w:marTop w:val="96"/>
          <w:marBottom w:val="0"/>
          <w:divBdr>
            <w:top w:val="none" w:sz="0" w:space="0" w:color="auto"/>
            <w:left w:val="none" w:sz="0" w:space="0" w:color="auto"/>
            <w:bottom w:val="none" w:sz="0" w:space="0" w:color="auto"/>
            <w:right w:val="none" w:sz="0" w:space="0" w:color="auto"/>
          </w:divBdr>
        </w:div>
        <w:div w:id="654073232">
          <w:marLeft w:val="1526"/>
          <w:marRight w:val="0"/>
          <w:marTop w:val="96"/>
          <w:marBottom w:val="0"/>
          <w:divBdr>
            <w:top w:val="none" w:sz="0" w:space="0" w:color="auto"/>
            <w:left w:val="none" w:sz="0" w:space="0" w:color="auto"/>
            <w:bottom w:val="none" w:sz="0" w:space="0" w:color="auto"/>
            <w:right w:val="none" w:sz="0" w:space="0" w:color="auto"/>
          </w:divBdr>
        </w:div>
        <w:div w:id="1267881922">
          <w:marLeft w:val="1526"/>
          <w:marRight w:val="0"/>
          <w:marTop w:val="96"/>
          <w:marBottom w:val="0"/>
          <w:divBdr>
            <w:top w:val="none" w:sz="0" w:space="0" w:color="auto"/>
            <w:left w:val="none" w:sz="0" w:space="0" w:color="auto"/>
            <w:bottom w:val="none" w:sz="0" w:space="0" w:color="auto"/>
            <w:right w:val="none" w:sz="0" w:space="0" w:color="auto"/>
          </w:divBdr>
        </w:div>
      </w:divsChild>
    </w:div>
    <w:div w:id="1391617937">
      <w:bodyDiv w:val="1"/>
      <w:marLeft w:val="0"/>
      <w:marRight w:val="0"/>
      <w:marTop w:val="0"/>
      <w:marBottom w:val="0"/>
      <w:divBdr>
        <w:top w:val="none" w:sz="0" w:space="0" w:color="auto"/>
        <w:left w:val="none" w:sz="0" w:space="0" w:color="auto"/>
        <w:bottom w:val="none" w:sz="0" w:space="0" w:color="auto"/>
        <w:right w:val="none" w:sz="0" w:space="0" w:color="auto"/>
      </w:divBdr>
    </w:div>
    <w:div w:id="1412774069">
      <w:bodyDiv w:val="1"/>
      <w:marLeft w:val="0"/>
      <w:marRight w:val="0"/>
      <w:marTop w:val="0"/>
      <w:marBottom w:val="0"/>
      <w:divBdr>
        <w:top w:val="none" w:sz="0" w:space="0" w:color="auto"/>
        <w:left w:val="none" w:sz="0" w:space="0" w:color="auto"/>
        <w:bottom w:val="none" w:sz="0" w:space="0" w:color="auto"/>
        <w:right w:val="none" w:sz="0" w:space="0" w:color="auto"/>
      </w:divBdr>
      <w:divsChild>
        <w:div w:id="644358382">
          <w:marLeft w:val="1051"/>
          <w:marRight w:val="0"/>
          <w:marTop w:val="0"/>
          <w:marBottom w:val="0"/>
          <w:divBdr>
            <w:top w:val="none" w:sz="0" w:space="0" w:color="auto"/>
            <w:left w:val="none" w:sz="0" w:space="0" w:color="auto"/>
            <w:bottom w:val="none" w:sz="0" w:space="0" w:color="auto"/>
            <w:right w:val="none" w:sz="0" w:space="0" w:color="auto"/>
          </w:divBdr>
        </w:div>
        <w:div w:id="1563326693">
          <w:marLeft w:val="1051"/>
          <w:marRight w:val="0"/>
          <w:marTop w:val="0"/>
          <w:marBottom w:val="0"/>
          <w:divBdr>
            <w:top w:val="none" w:sz="0" w:space="0" w:color="auto"/>
            <w:left w:val="none" w:sz="0" w:space="0" w:color="auto"/>
            <w:bottom w:val="none" w:sz="0" w:space="0" w:color="auto"/>
            <w:right w:val="none" w:sz="0" w:space="0" w:color="auto"/>
          </w:divBdr>
        </w:div>
      </w:divsChild>
    </w:div>
    <w:div w:id="1425029976">
      <w:bodyDiv w:val="1"/>
      <w:marLeft w:val="0"/>
      <w:marRight w:val="0"/>
      <w:marTop w:val="0"/>
      <w:marBottom w:val="0"/>
      <w:divBdr>
        <w:top w:val="none" w:sz="0" w:space="0" w:color="auto"/>
        <w:left w:val="none" w:sz="0" w:space="0" w:color="auto"/>
        <w:bottom w:val="none" w:sz="0" w:space="0" w:color="auto"/>
        <w:right w:val="none" w:sz="0" w:space="0" w:color="auto"/>
      </w:divBdr>
      <w:divsChild>
        <w:div w:id="1118765185">
          <w:marLeft w:val="0"/>
          <w:marRight w:val="0"/>
          <w:marTop w:val="0"/>
          <w:marBottom w:val="0"/>
          <w:divBdr>
            <w:top w:val="none" w:sz="0" w:space="0" w:color="auto"/>
            <w:left w:val="none" w:sz="0" w:space="0" w:color="auto"/>
            <w:bottom w:val="none" w:sz="0" w:space="0" w:color="auto"/>
            <w:right w:val="none" w:sz="0" w:space="0" w:color="auto"/>
          </w:divBdr>
          <w:divsChild>
            <w:div w:id="12235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78156">
      <w:bodyDiv w:val="1"/>
      <w:marLeft w:val="0"/>
      <w:marRight w:val="0"/>
      <w:marTop w:val="0"/>
      <w:marBottom w:val="0"/>
      <w:divBdr>
        <w:top w:val="none" w:sz="0" w:space="0" w:color="auto"/>
        <w:left w:val="none" w:sz="0" w:space="0" w:color="auto"/>
        <w:bottom w:val="none" w:sz="0" w:space="0" w:color="auto"/>
        <w:right w:val="none" w:sz="0" w:space="0" w:color="auto"/>
      </w:divBdr>
      <w:divsChild>
        <w:div w:id="1291401114">
          <w:marLeft w:val="547"/>
          <w:marRight w:val="475"/>
          <w:marTop w:val="0"/>
          <w:marBottom w:val="0"/>
          <w:divBdr>
            <w:top w:val="none" w:sz="0" w:space="0" w:color="auto"/>
            <w:left w:val="none" w:sz="0" w:space="0" w:color="auto"/>
            <w:bottom w:val="none" w:sz="0" w:space="0" w:color="auto"/>
            <w:right w:val="none" w:sz="0" w:space="0" w:color="auto"/>
          </w:divBdr>
        </w:div>
        <w:div w:id="1872258512">
          <w:marLeft w:val="547"/>
          <w:marRight w:val="475"/>
          <w:marTop w:val="0"/>
          <w:marBottom w:val="0"/>
          <w:divBdr>
            <w:top w:val="none" w:sz="0" w:space="0" w:color="auto"/>
            <w:left w:val="none" w:sz="0" w:space="0" w:color="auto"/>
            <w:bottom w:val="none" w:sz="0" w:space="0" w:color="auto"/>
            <w:right w:val="none" w:sz="0" w:space="0" w:color="auto"/>
          </w:divBdr>
        </w:div>
        <w:div w:id="369308434">
          <w:marLeft w:val="547"/>
          <w:marRight w:val="475"/>
          <w:marTop w:val="0"/>
          <w:marBottom w:val="0"/>
          <w:divBdr>
            <w:top w:val="none" w:sz="0" w:space="0" w:color="auto"/>
            <w:left w:val="none" w:sz="0" w:space="0" w:color="auto"/>
            <w:bottom w:val="none" w:sz="0" w:space="0" w:color="auto"/>
            <w:right w:val="none" w:sz="0" w:space="0" w:color="auto"/>
          </w:divBdr>
        </w:div>
        <w:div w:id="150757601">
          <w:marLeft w:val="547"/>
          <w:marRight w:val="475"/>
          <w:marTop w:val="0"/>
          <w:marBottom w:val="0"/>
          <w:divBdr>
            <w:top w:val="none" w:sz="0" w:space="0" w:color="auto"/>
            <w:left w:val="none" w:sz="0" w:space="0" w:color="auto"/>
            <w:bottom w:val="none" w:sz="0" w:space="0" w:color="auto"/>
            <w:right w:val="none" w:sz="0" w:space="0" w:color="auto"/>
          </w:divBdr>
        </w:div>
        <w:div w:id="480510385">
          <w:marLeft w:val="547"/>
          <w:marRight w:val="475"/>
          <w:marTop w:val="0"/>
          <w:marBottom w:val="0"/>
          <w:divBdr>
            <w:top w:val="none" w:sz="0" w:space="0" w:color="auto"/>
            <w:left w:val="none" w:sz="0" w:space="0" w:color="auto"/>
            <w:bottom w:val="none" w:sz="0" w:space="0" w:color="auto"/>
            <w:right w:val="none" w:sz="0" w:space="0" w:color="auto"/>
          </w:divBdr>
        </w:div>
        <w:div w:id="1202283696">
          <w:marLeft w:val="547"/>
          <w:marRight w:val="475"/>
          <w:marTop w:val="0"/>
          <w:marBottom w:val="0"/>
          <w:divBdr>
            <w:top w:val="none" w:sz="0" w:space="0" w:color="auto"/>
            <w:left w:val="none" w:sz="0" w:space="0" w:color="auto"/>
            <w:bottom w:val="none" w:sz="0" w:space="0" w:color="auto"/>
            <w:right w:val="none" w:sz="0" w:space="0" w:color="auto"/>
          </w:divBdr>
        </w:div>
        <w:div w:id="763111279">
          <w:marLeft w:val="1166"/>
          <w:marRight w:val="475"/>
          <w:marTop w:val="0"/>
          <w:marBottom w:val="0"/>
          <w:divBdr>
            <w:top w:val="none" w:sz="0" w:space="0" w:color="auto"/>
            <w:left w:val="none" w:sz="0" w:space="0" w:color="auto"/>
            <w:bottom w:val="none" w:sz="0" w:space="0" w:color="auto"/>
            <w:right w:val="none" w:sz="0" w:space="0" w:color="auto"/>
          </w:divBdr>
        </w:div>
        <w:div w:id="1697196152">
          <w:marLeft w:val="1166"/>
          <w:marRight w:val="475"/>
          <w:marTop w:val="0"/>
          <w:marBottom w:val="0"/>
          <w:divBdr>
            <w:top w:val="none" w:sz="0" w:space="0" w:color="auto"/>
            <w:left w:val="none" w:sz="0" w:space="0" w:color="auto"/>
            <w:bottom w:val="none" w:sz="0" w:space="0" w:color="auto"/>
            <w:right w:val="none" w:sz="0" w:space="0" w:color="auto"/>
          </w:divBdr>
        </w:div>
        <w:div w:id="429937817">
          <w:marLeft w:val="1166"/>
          <w:marRight w:val="475"/>
          <w:marTop w:val="0"/>
          <w:marBottom w:val="0"/>
          <w:divBdr>
            <w:top w:val="none" w:sz="0" w:space="0" w:color="auto"/>
            <w:left w:val="none" w:sz="0" w:space="0" w:color="auto"/>
            <w:bottom w:val="none" w:sz="0" w:space="0" w:color="auto"/>
            <w:right w:val="none" w:sz="0" w:space="0" w:color="auto"/>
          </w:divBdr>
        </w:div>
        <w:div w:id="1314018846">
          <w:marLeft w:val="1166"/>
          <w:marRight w:val="475"/>
          <w:marTop w:val="0"/>
          <w:marBottom w:val="0"/>
          <w:divBdr>
            <w:top w:val="none" w:sz="0" w:space="0" w:color="auto"/>
            <w:left w:val="none" w:sz="0" w:space="0" w:color="auto"/>
            <w:bottom w:val="none" w:sz="0" w:space="0" w:color="auto"/>
            <w:right w:val="none" w:sz="0" w:space="0" w:color="auto"/>
          </w:divBdr>
        </w:div>
        <w:div w:id="2022706091">
          <w:marLeft w:val="547"/>
          <w:marRight w:val="475"/>
          <w:marTop w:val="0"/>
          <w:marBottom w:val="0"/>
          <w:divBdr>
            <w:top w:val="none" w:sz="0" w:space="0" w:color="auto"/>
            <w:left w:val="none" w:sz="0" w:space="0" w:color="auto"/>
            <w:bottom w:val="none" w:sz="0" w:space="0" w:color="auto"/>
            <w:right w:val="none" w:sz="0" w:space="0" w:color="auto"/>
          </w:divBdr>
        </w:div>
        <w:div w:id="443697879">
          <w:marLeft w:val="547"/>
          <w:marRight w:val="475"/>
          <w:marTop w:val="0"/>
          <w:marBottom w:val="0"/>
          <w:divBdr>
            <w:top w:val="none" w:sz="0" w:space="0" w:color="auto"/>
            <w:left w:val="none" w:sz="0" w:space="0" w:color="auto"/>
            <w:bottom w:val="none" w:sz="0" w:space="0" w:color="auto"/>
            <w:right w:val="none" w:sz="0" w:space="0" w:color="auto"/>
          </w:divBdr>
        </w:div>
        <w:div w:id="175199086">
          <w:marLeft w:val="547"/>
          <w:marRight w:val="475"/>
          <w:marTop w:val="0"/>
          <w:marBottom w:val="0"/>
          <w:divBdr>
            <w:top w:val="none" w:sz="0" w:space="0" w:color="auto"/>
            <w:left w:val="none" w:sz="0" w:space="0" w:color="auto"/>
            <w:bottom w:val="none" w:sz="0" w:space="0" w:color="auto"/>
            <w:right w:val="none" w:sz="0" w:space="0" w:color="auto"/>
          </w:divBdr>
        </w:div>
      </w:divsChild>
    </w:div>
    <w:div w:id="1443064898">
      <w:bodyDiv w:val="1"/>
      <w:marLeft w:val="0"/>
      <w:marRight w:val="0"/>
      <w:marTop w:val="0"/>
      <w:marBottom w:val="0"/>
      <w:divBdr>
        <w:top w:val="none" w:sz="0" w:space="0" w:color="auto"/>
        <w:left w:val="none" w:sz="0" w:space="0" w:color="auto"/>
        <w:bottom w:val="none" w:sz="0" w:space="0" w:color="auto"/>
        <w:right w:val="none" w:sz="0" w:space="0" w:color="auto"/>
      </w:divBdr>
    </w:div>
    <w:div w:id="1445660606">
      <w:bodyDiv w:val="1"/>
      <w:marLeft w:val="0"/>
      <w:marRight w:val="0"/>
      <w:marTop w:val="0"/>
      <w:marBottom w:val="0"/>
      <w:divBdr>
        <w:top w:val="none" w:sz="0" w:space="0" w:color="auto"/>
        <w:left w:val="none" w:sz="0" w:space="0" w:color="auto"/>
        <w:bottom w:val="none" w:sz="0" w:space="0" w:color="auto"/>
        <w:right w:val="none" w:sz="0" w:space="0" w:color="auto"/>
      </w:divBdr>
      <w:divsChild>
        <w:div w:id="152527501">
          <w:marLeft w:val="878"/>
          <w:marRight w:val="0"/>
          <w:marTop w:val="0"/>
          <w:marBottom w:val="120"/>
          <w:divBdr>
            <w:top w:val="none" w:sz="0" w:space="0" w:color="auto"/>
            <w:left w:val="none" w:sz="0" w:space="0" w:color="auto"/>
            <w:bottom w:val="none" w:sz="0" w:space="0" w:color="auto"/>
            <w:right w:val="none" w:sz="0" w:space="0" w:color="auto"/>
          </w:divBdr>
        </w:div>
        <w:div w:id="482967492">
          <w:marLeft w:val="878"/>
          <w:marRight w:val="0"/>
          <w:marTop w:val="0"/>
          <w:marBottom w:val="120"/>
          <w:divBdr>
            <w:top w:val="none" w:sz="0" w:space="0" w:color="auto"/>
            <w:left w:val="none" w:sz="0" w:space="0" w:color="auto"/>
            <w:bottom w:val="none" w:sz="0" w:space="0" w:color="auto"/>
            <w:right w:val="none" w:sz="0" w:space="0" w:color="auto"/>
          </w:divBdr>
        </w:div>
        <w:div w:id="891843921">
          <w:marLeft w:val="878"/>
          <w:marRight w:val="0"/>
          <w:marTop w:val="0"/>
          <w:marBottom w:val="120"/>
          <w:divBdr>
            <w:top w:val="none" w:sz="0" w:space="0" w:color="auto"/>
            <w:left w:val="none" w:sz="0" w:space="0" w:color="auto"/>
            <w:bottom w:val="none" w:sz="0" w:space="0" w:color="auto"/>
            <w:right w:val="none" w:sz="0" w:space="0" w:color="auto"/>
          </w:divBdr>
        </w:div>
        <w:div w:id="1113016954">
          <w:marLeft w:val="878"/>
          <w:marRight w:val="0"/>
          <w:marTop w:val="0"/>
          <w:marBottom w:val="120"/>
          <w:divBdr>
            <w:top w:val="none" w:sz="0" w:space="0" w:color="auto"/>
            <w:left w:val="none" w:sz="0" w:space="0" w:color="auto"/>
            <w:bottom w:val="none" w:sz="0" w:space="0" w:color="auto"/>
            <w:right w:val="none" w:sz="0" w:space="0" w:color="auto"/>
          </w:divBdr>
        </w:div>
        <w:div w:id="1952589262">
          <w:marLeft w:val="878"/>
          <w:marRight w:val="0"/>
          <w:marTop w:val="0"/>
          <w:marBottom w:val="120"/>
          <w:divBdr>
            <w:top w:val="none" w:sz="0" w:space="0" w:color="auto"/>
            <w:left w:val="none" w:sz="0" w:space="0" w:color="auto"/>
            <w:bottom w:val="none" w:sz="0" w:space="0" w:color="auto"/>
            <w:right w:val="none" w:sz="0" w:space="0" w:color="auto"/>
          </w:divBdr>
        </w:div>
      </w:divsChild>
    </w:div>
    <w:div w:id="1448962698">
      <w:bodyDiv w:val="1"/>
      <w:marLeft w:val="0"/>
      <w:marRight w:val="0"/>
      <w:marTop w:val="0"/>
      <w:marBottom w:val="0"/>
      <w:divBdr>
        <w:top w:val="none" w:sz="0" w:space="0" w:color="auto"/>
        <w:left w:val="none" w:sz="0" w:space="0" w:color="auto"/>
        <w:bottom w:val="none" w:sz="0" w:space="0" w:color="auto"/>
        <w:right w:val="none" w:sz="0" w:space="0" w:color="auto"/>
      </w:divBdr>
      <w:divsChild>
        <w:div w:id="384110949">
          <w:marLeft w:val="547"/>
          <w:marRight w:val="0"/>
          <w:marTop w:val="0"/>
          <w:marBottom w:val="200"/>
          <w:divBdr>
            <w:top w:val="none" w:sz="0" w:space="0" w:color="auto"/>
            <w:left w:val="none" w:sz="0" w:space="0" w:color="auto"/>
            <w:bottom w:val="none" w:sz="0" w:space="0" w:color="auto"/>
            <w:right w:val="none" w:sz="0" w:space="0" w:color="auto"/>
          </w:divBdr>
        </w:div>
      </w:divsChild>
    </w:div>
    <w:div w:id="1452942272">
      <w:bodyDiv w:val="1"/>
      <w:marLeft w:val="0"/>
      <w:marRight w:val="0"/>
      <w:marTop w:val="0"/>
      <w:marBottom w:val="0"/>
      <w:divBdr>
        <w:top w:val="none" w:sz="0" w:space="0" w:color="auto"/>
        <w:left w:val="none" w:sz="0" w:space="0" w:color="auto"/>
        <w:bottom w:val="none" w:sz="0" w:space="0" w:color="auto"/>
        <w:right w:val="none" w:sz="0" w:space="0" w:color="auto"/>
      </w:divBdr>
      <w:divsChild>
        <w:div w:id="229582720">
          <w:marLeft w:val="547"/>
          <w:marRight w:val="0"/>
          <w:marTop w:val="115"/>
          <w:marBottom w:val="0"/>
          <w:divBdr>
            <w:top w:val="none" w:sz="0" w:space="0" w:color="auto"/>
            <w:left w:val="none" w:sz="0" w:space="0" w:color="auto"/>
            <w:bottom w:val="none" w:sz="0" w:space="0" w:color="auto"/>
            <w:right w:val="none" w:sz="0" w:space="0" w:color="auto"/>
          </w:divBdr>
        </w:div>
        <w:div w:id="1133786704">
          <w:marLeft w:val="547"/>
          <w:marRight w:val="0"/>
          <w:marTop w:val="115"/>
          <w:marBottom w:val="0"/>
          <w:divBdr>
            <w:top w:val="none" w:sz="0" w:space="0" w:color="auto"/>
            <w:left w:val="none" w:sz="0" w:space="0" w:color="auto"/>
            <w:bottom w:val="none" w:sz="0" w:space="0" w:color="auto"/>
            <w:right w:val="none" w:sz="0" w:space="0" w:color="auto"/>
          </w:divBdr>
        </w:div>
        <w:div w:id="1681811565">
          <w:marLeft w:val="547"/>
          <w:marRight w:val="0"/>
          <w:marTop w:val="115"/>
          <w:marBottom w:val="0"/>
          <w:divBdr>
            <w:top w:val="none" w:sz="0" w:space="0" w:color="auto"/>
            <w:left w:val="none" w:sz="0" w:space="0" w:color="auto"/>
            <w:bottom w:val="none" w:sz="0" w:space="0" w:color="auto"/>
            <w:right w:val="none" w:sz="0" w:space="0" w:color="auto"/>
          </w:divBdr>
        </w:div>
      </w:divsChild>
    </w:div>
    <w:div w:id="1463500841">
      <w:bodyDiv w:val="1"/>
      <w:marLeft w:val="0"/>
      <w:marRight w:val="0"/>
      <w:marTop w:val="0"/>
      <w:marBottom w:val="0"/>
      <w:divBdr>
        <w:top w:val="none" w:sz="0" w:space="0" w:color="auto"/>
        <w:left w:val="none" w:sz="0" w:space="0" w:color="auto"/>
        <w:bottom w:val="none" w:sz="0" w:space="0" w:color="auto"/>
        <w:right w:val="none" w:sz="0" w:space="0" w:color="auto"/>
      </w:divBdr>
      <w:divsChild>
        <w:div w:id="502478231">
          <w:marLeft w:val="547"/>
          <w:marRight w:val="0"/>
          <w:marTop w:val="0"/>
          <w:marBottom w:val="200"/>
          <w:divBdr>
            <w:top w:val="none" w:sz="0" w:space="0" w:color="auto"/>
            <w:left w:val="none" w:sz="0" w:space="0" w:color="auto"/>
            <w:bottom w:val="none" w:sz="0" w:space="0" w:color="auto"/>
            <w:right w:val="none" w:sz="0" w:space="0" w:color="auto"/>
          </w:divBdr>
        </w:div>
        <w:div w:id="885214065">
          <w:marLeft w:val="547"/>
          <w:marRight w:val="0"/>
          <w:marTop w:val="0"/>
          <w:marBottom w:val="200"/>
          <w:divBdr>
            <w:top w:val="none" w:sz="0" w:space="0" w:color="auto"/>
            <w:left w:val="none" w:sz="0" w:space="0" w:color="auto"/>
            <w:bottom w:val="none" w:sz="0" w:space="0" w:color="auto"/>
            <w:right w:val="none" w:sz="0" w:space="0" w:color="auto"/>
          </w:divBdr>
        </w:div>
        <w:div w:id="201479053">
          <w:marLeft w:val="547"/>
          <w:marRight w:val="0"/>
          <w:marTop w:val="0"/>
          <w:marBottom w:val="200"/>
          <w:divBdr>
            <w:top w:val="none" w:sz="0" w:space="0" w:color="auto"/>
            <w:left w:val="none" w:sz="0" w:space="0" w:color="auto"/>
            <w:bottom w:val="none" w:sz="0" w:space="0" w:color="auto"/>
            <w:right w:val="none" w:sz="0" w:space="0" w:color="auto"/>
          </w:divBdr>
        </w:div>
        <w:div w:id="737284127">
          <w:marLeft w:val="1267"/>
          <w:marRight w:val="0"/>
          <w:marTop w:val="0"/>
          <w:marBottom w:val="200"/>
          <w:divBdr>
            <w:top w:val="none" w:sz="0" w:space="0" w:color="auto"/>
            <w:left w:val="none" w:sz="0" w:space="0" w:color="auto"/>
            <w:bottom w:val="none" w:sz="0" w:space="0" w:color="auto"/>
            <w:right w:val="none" w:sz="0" w:space="0" w:color="auto"/>
          </w:divBdr>
        </w:div>
        <w:div w:id="1572546688">
          <w:marLeft w:val="1267"/>
          <w:marRight w:val="0"/>
          <w:marTop w:val="0"/>
          <w:marBottom w:val="200"/>
          <w:divBdr>
            <w:top w:val="none" w:sz="0" w:space="0" w:color="auto"/>
            <w:left w:val="none" w:sz="0" w:space="0" w:color="auto"/>
            <w:bottom w:val="none" w:sz="0" w:space="0" w:color="auto"/>
            <w:right w:val="none" w:sz="0" w:space="0" w:color="auto"/>
          </w:divBdr>
        </w:div>
        <w:div w:id="891841279">
          <w:marLeft w:val="1267"/>
          <w:marRight w:val="0"/>
          <w:marTop w:val="0"/>
          <w:marBottom w:val="200"/>
          <w:divBdr>
            <w:top w:val="none" w:sz="0" w:space="0" w:color="auto"/>
            <w:left w:val="none" w:sz="0" w:space="0" w:color="auto"/>
            <w:bottom w:val="none" w:sz="0" w:space="0" w:color="auto"/>
            <w:right w:val="none" w:sz="0" w:space="0" w:color="auto"/>
          </w:divBdr>
        </w:div>
      </w:divsChild>
    </w:div>
    <w:div w:id="1464810148">
      <w:bodyDiv w:val="1"/>
      <w:marLeft w:val="0"/>
      <w:marRight w:val="0"/>
      <w:marTop w:val="0"/>
      <w:marBottom w:val="0"/>
      <w:divBdr>
        <w:top w:val="none" w:sz="0" w:space="0" w:color="auto"/>
        <w:left w:val="none" w:sz="0" w:space="0" w:color="auto"/>
        <w:bottom w:val="none" w:sz="0" w:space="0" w:color="auto"/>
        <w:right w:val="none" w:sz="0" w:space="0" w:color="auto"/>
      </w:divBdr>
    </w:div>
    <w:div w:id="1470585103">
      <w:bodyDiv w:val="1"/>
      <w:marLeft w:val="0"/>
      <w:marRight w:val="0"/>
      <w:marTop w:val="0"/>
      <w:marBottom w:val="0"/>
      <w:divBdr>
        <w:top w:val="none" w:sz="0" w:space="0" w:color="auto"/>
        <w:left w:val="none" w:sz="0" w:space="0" w:color="auto"/>
        <w:bottom w:val="none" w:sz="0" w:space="0" w:color="auto"/>
        <w:right w:val="none" w:sz="0" w:space="0" w:color="auto"/>
      </w:divBdr>
      <w:divsChild>
        <w:div w:id="1492525147">
          <w:marLeft w:val="1411"/>
          <w:marRight w:val="0"/>
          <w:marTop w:val="0"/>
          <w:marBottom w:val="240"/>
          <w:divBdr>
            <w:top w:val="none" w:sz="0" w:space="0" w:color="auto"/>
            <w:left w:val="none" w:sz="0" w:space="0" w:color="auto"/>
            <w:bottom w:val="none" w:sz="0" w:space="0" w:color="auto"/>
            <w:right w:val="none" w:sz="0" w:space="0" w:color="auto"/>
          </w:divBdr>
        </w:div>
      </w:divsChild>
    </w:div>
    <w:div w:id="1475365553">
      <w:bodyDiv w:val="1"/>
      <w:marLeft w:val="0"/>
      <w:marRight w:val="0"/>
      <w:marTop w:val="0"/>
      <w:marBottom w:val="0"/>
      <w:divBdr>
        <w:top w:val="none" w:sz="0" w:space="0" w:color="auto"/>
        <w:left w:val="none" w:sz="0" w:space="0" w:color="auto"/>
        <w:bottom w:val="none" w:sz="0" w:space="0" w:color="auto"/>
        <w:right w:val="none" w:sz="0" w:space="0" w:color="auto"/>
      </w:divBdr>
      <w:divsChild>
        <w:div w:id="125709564">
          <w:marLeft w:val="720"/>
          <w:marRight w:val="0"/>
          <w:marTop w:val="0"/>
          <w:marBottom w:val="0"/>
          <w:divBdr>
            <w:top w:val="none" w:sz="0" w:space="0" w:color="auto"/>
            <w:left w:val="none" w:sz="0" w:space="0" w:color="auto"/>
            <w:bottom w:val="none" w:sz="0" w:space="0" w:color="auto"/>
            <w:right w:val="none" w:sz="0" w:space="0" w:color="auto"/>
          </w:divBdr>
        </w:div>
        <w:div w:id="323707696">
          <w:marLeft w:val="720"/>
          <w:marRight w:val="0"/>
          <w:marTop w:val="0"/>
          <w:marBottom w:val="0"/>
          <w:divBdr>
            <w:top w:val="none" w:sz="0" w:space="0" w:color="auto"/>
            <w:left w:val="none" w:sz="0" w:space="0" w:color="auto"/>
            <w:bottom w:val="none" w:sz="0" w:space="0" w:color="auto"/>
            <w:right w:val="none" w:sz="0" w:space="0" w:color="auto"/>
          </w:divBdr>
        </w:div>
        <w:div w:id="657349313">
          <w:marLeft w:val="720"/>
          <w:marRight w:val="0"/>
          <w:marTop w:val="0"/>
          <w:marBottom w:val="0"/>
          <w:divBdr>
            <w:top w:val="none" w:sz="0" w:space="0" w:color="auto"/>
            <w:left w:val="none" w:sz="0" w:space="0" w:color="auto"/>
            <w:bottom w:val="none" w:sz="0" w:space="0" w:color="auto"/>
            <w:right w:val="none" w:sz="0" w:space="0" w:color="auto"/>
          </w:divBdr>
        </w:div>
        <w:div w:id="1658336157">
          <w:marLeft w:val="720"/>
          <w:marRight w:val="0"/>
          <w:marTop w:val="0"/>
          <w:marBottom w:val="0"/>
          <w:divBdr>
            <w:top w:val="none" w:sz="0" w:space="0" w:color="auto"/>
            <w:left w:val="none" w:sz="0" w:space="0" w:color="auto"/>
            <w:bottom w:val="none" w:sz="0" w:space="0" w:color="auto"/>
            <w:right w:val="none" w:sz="0" w:space="0" w:color="auto"/>
          </w:divBdr>
        </w:div>
        <w:div w:id="1887906201">
          <w:marLeft w:val="720"/>
          <w:marRight w:val="0"/>
          <w:marTop w:val="0"/>
          <w:marBottom w:val="0"/>
          <w:divBdr>
            <w:top w:val="none" w:sz="0" w:space="0" w:color="auto"/>
            <w:left w:val="none" w:sz="0" w:space="0" w:color="auto"/>
            <w:bottom w:val="none" w:sz="0" w:space="0" w:color="auto"/>
            <w:right w:val="none" w:sz="0" w:space="0" w:color="auto"/>
          </w:divBdr>
        </w:div>
        <w:div w:id="1914579387">
          <w:marLeft w:val="720"/>
          <w:marRight w:val="0"/>
          <w:marTop w:val="0"/>
          <w:marBottom w:val="0"/>
          <w:divBdr>
            <w:top w:val="none" w:sz="0" w:space="0" w:color="auto"/>
            <w:left w:val="none" w:sz="0" w:space="0" w:color="auto"/>
            <w:bottom w:val="none" w:sz="0" w:space="0" w:color="auto"/>
            <w:right w:val="none" w:sz="0" w:space="0" w:color="auto"/>
          </w:divBdr>
        </w:div>
        <w:div w:id="1945727593">
          <w:marLeft w:val="720"/>
          <w:marRight w:val="0"/>
          <w:marTop w:val="0"/>
          <w:marBottom w:val="0"/>
          <w:divBdr>
            <w:top w:val="none" w:sz="0" w:space="0" w:color="auto"/>
            <w:left w:val="none" w:sz="0" w:space="0" w:color="auto"/>
            <w:bottom w:val="none" w:sz="0" w:space="0" w:color="auto"/>
            <w:right w:val="none" w:sz="0" w:space="0" w:color="auto"/>
          </w:divBdr>
        </w:div>
        <w:div w:id="1978490222">
          <w:marLeft w:val="720"/>
          <w:marRight w:val="0"/>
          <w:marTop w:val="0"/>
          <w:marBottom w:val="0"/>
          <w:divBdr>
            <w:top w:val="none" w:sz="0" w:space="0" w:color="auto"/>
            <w:left w:val="none" w:sz="0" w:space="0" w:color="auto"/>
            <w:bottom w:val="none" w:sz="0" w:space="0" w:color="auto"/>
            <w:right w:val="none" w:sz="0" w:space="0" w:color="auto"/>
          </w:divBdr>
        </w:div>
      </w:divsChild>
    </w:div>
    <w:div w:id="1477913352">
      <w:bodyDiv w:val="1"/>
      <w:marLeft w:val="0"/>
      <w:marRight w:val="0"/>
      <w:marTop w:val="0"/>
      <w:marBottom w:val="0"/>
      <w:divBdr>
        <w:top w:val="none" w:sz="0" w:space="0" w:color="auto"/>
        <w:left w:val="none" w:sz="0" w:space="0" w:color="auto"/>
        <w:bottom w:val="none" w:sz="0" w:space="0" w:color="auto"/>
        <w:right w:val="none" w:sz="0" w:space="0" w:color="auto"/>
      </w:divBdr>
      <w:divsChild>
        <w:div w:id="1839686592">
          <w:marLeft w:val="403"/>
          <w:marRight w:val="0"/>
          <w:marTop w:val="77"/>
          <w:marBottom w:val="0"/>
          <w:divBdr>
            <w:top w:val="none" w:sz="0" w:space="0" w:color="auto"/>
            <w:left w:val="none" w:sz="0" w:space="0" w:color="auto"/>
            <w:bottom w:val="none" w:sz="0" w:space="0" w:color="auto"/>
            <w:right w:val="none" w:sz="0" w:space="0" w:color="auto"/>
          </w:divBdr>
        </w:div>
        <w:div w:id="1972175561">
          <w:marLeft w:val="403"/>
          <w:marRight w:val="0"/>
          <w:marTop w:val="77"/>
          <w:marBottom w:val="0"/>
          <w:divBdr>
            <w:top w:val="none" w:sz="0" w:space="0" w:color="auto"/>
            <w:left w:val="none" w:sz="0" w:space="0" w:color="auto"/>
            <w:bottom w:val="none" w:sz="0" w:space="0" w:color="auto"/>
            <w:right w:val="none" w:sz="0" w:space="0" w:color="auto"/>
          </w:divBdr>
        </w:div>
      </w:divsChild>
    </w:div>
    <w:div w:id="1478645528">
      <w:bodyDiv w:val="1"/>
      <w:marLeft w:val="0"/>
      <w:marRight w:val="0"/>
      <w:marTop w:val="0"/>
      <w:marBottom w:val="0"/>
      <w:divBdr>
        <w:top w:val="none" w:sz="0" w:space="0" w:color="auto"/>
        <w:left w:val="none" w:sz="0" w:space="0" w:color="auto"/>
        <w:bottom w:val="none" w:sz="0" w:space="0" w:color="auto"/>
        <w:right w:val="none" w:sz="0" w:space="0" w:color="auto"/>
      </w:divBdr>
      <w:divsChild>
        <w:div w:id="125659218">
          <w:marLeft w:val="1008"/>
          <w:marRight w:val="0"/>
          <w:marTop w:val="0"/>
          <w:marBottom w:val="0"/>
          <w:divBdr>
            <w:top w:val="none" w:sz="0" w:space="0" w:color="auto"/>
            <w:left w:val="none" w:sz="0" w:space="0" w:color="auto"/>
            <w:bottom w:val="none" w:sz="0" w:space="0" w:color="auto"/>
            <w:right w:val="none" w:sz="0" w:space="0" w:color="auto"/>
          </w:divBdr>
        </w:div>
        <w:div w:id="933973323">
          <w:marLeft w:val="1008"/>
          <w:marRight w:val="0"/>
          <w:marTop w:val="0"/>
          <w:marBottom w:val="0"/>
          <w:divBdr>
            <w:top w:val="none" w:sz="0" w:space="0" w:color="auto"/>
            <w:left w:val="none" w:sz="0" w:space="0" w:color="auto"/>
            <w:bottom w:val="none" w:sz="0" w:space="0" w:color="auto"/>
            <w:right w:val="none" w:sz="0" w:space="0" w:color="auto"/>
          </w:divBdr>
        </w:div>
        <w:div w:id="1374115448">
          <w:marLeft w:val="1008"/>
          <w:marRight w:val="0"/>
          <w:marTop w:val="0"/>
          <w:marBottom w:val="0"/>
          <w:divBdr>
            <w:top w:val="none" w:sz="0" w:space="0" w:color="auto"/>
            <w:left w:val="none" w:sz="0" w:space="0" w:color="auto"/>
            <w:bottom w:val="none" w:sz="0" w:space="0" w:color="auto"/>
            <w:right w:val="none" w:sz="0" w:space="0" w:color="auto"/>
          </w:divBdr>
        </w:div>
      </w:divsChild>
    </w:div>
    <w:div w:id="1482574075">
      <w:bodyDiv w:val="1"/>
      <w:marLeft w:val="0"/>
      <w:marRight w:val="0"/>
      <w:marTop w:val="0"/>
      <w:marBottom w:val="0"/>
      <w:divBdr>
        <w:top w:val="none" w:sz="0" w:space="0" w:color="auto"/>
        <w:left w:val="none" w:sz="0" w:space="0" w:color="auto"/>
        <w:bottom w:val="none" w:sz="0" w:space="0" w:color="auto"/>
        <w:right w:val="none" w:sz="0" w:space="0" w:color="auto"/>
      </w:divBdr>
      <w:divsChild>
        <w:div w:id="206920080">
          <w:marLeft w:val="0"/>
          <w:marRight w:val="0"/>
          <w:marTop w:val="0"/>
          <w:marBottom w:val="0"/>
          <w:divBdr>
            <w:top w:val="none" w:sz="0" w:space="0" w:color="auto"/>
            <w:left w:val="none" w:sz="0" w:space="0" w:color="auto"/>
            <w:bottom w:val="none" w:sz="0" w:space="0" w:color="auto"/>
            <w:right w:val="none" w:sz="0" w:space="0" w:color="auto"/>
          </w:divBdr>
        </w:div>
      </w:divsChild>
    </w:div>
    <w:div w:id="1487891901">
      <w:bodyDiv w:val="1"/>
      <w:marLeft w:val="0"/>
      <w:marRight w:val="0"/>
      <w:marTop w:val="0"/>
      <w:marBottom w:val="0"/>
      <w:divBdr>
        <w:top w:val="none" w:sz="0" w:space="0" w:color="auto"/>
        <w:left w:val="none" w:sz="0" w:space="0" w:color="auto"/>
        <w:bottom w:val="none" w:sz="0" w:space="0" w:color="auto"/>
        <w:right w:val="none" w:sz="0" w:space="0" w:color="auto"/>
      </w:divBdr>
    </w:div>
    <w:div w:id="1489321249">
      <w:bodyDiv w:val="1"/>
      <w:marLeft w:val="0"/>
      <w:marRight w:val="0"/>
      <w:marTop w:val="0"/>
      <w:marBottom w:val="0"/>
      <w:divBdr>
        <w:top w:val="none" w:sz="0" w:space="0" w:color="auto"/>
        <w:left w:val="none" w:sz="0" w:space="0" w:color="auto"/>
        <w:bottom w:val="none" w:sz="0" w:space="0" w:color="auto"/>
        <w:right w:val="none" w:sz="0" w:space="0" w:color="auto"/>
      </w:divBdr>
      <w:divsChild>
        <w:div w:id="188417263">
          <w:marLeft w:val="403"/>
          <w:marRight w:val="0"/>
          <w:marTop w:val="82"/>
          <w:marBottom w:val="0"/>
          <w:divBdr>
            <w:top w:val="none" w:sz="0" w:space="0" w:color="auto"/>
            <w:left w:val="none" w:sz="0" w:space="0" w:color="auto"/>
            <w:bottom w:val="none" w:sz="0" w:space="0" w:color="auto"/>
            <w:right w:val="none" w:sz="0" w:space="0" w:color="auto"/>
          </w:divBdr>
        </w:div>
      </w:divsChild>
    </w:div>
    <w:div w:id="1494760311">
      <w:bodyDiv w:val="1"/>
      <w:marLeft w:val="0"/>
      <w:marRight w:val="0"/>
      <w:marTop w:val="0"/>
      <w:marBottom w:val="0"/>
      <w:divBdr>
        <w:top w:val="none" w:sz="0" w:space="0" w:color="auto"/>
        <w:left w:val="none" w:sz="0" w:space="0" w:color="auto"/>
        <w:bottom w:val="none" w:sz="0" w:space="0" w:color="auto"/>
        <w:right w:val="none" w:sz="0" w:space="0" w:color="auto"/>
      </w:divBdr>
      <w:divsChild>
        <w:div w:id="929658464">
          <w:marLeft w:val="0"/>
          <w:marRight w:val="0"/>
          <w:marTop w:val="0"/>
          <w:marBottom w:val="0"/>
          <w:divBdr>
            <w:top w:val="none" w:sz="0" w:space="0" w:color="auto"/>
            <w:left w:val="none" w:sz="0" w:space="0" w:color="auto"/>
            <w:bottom w:val="none" w:sz="0" w:space="0" w:color="auto"/>
            <w:right w:val="none" w:sz="0" w:space="0" w:color="auto"/>
          </w:divBdr>
        </w:div>
      </w:divsChild>
    </w:div>
    <w:div w:id="1504198701">
      <w:bodyDiv w:val="1"/>
      <w:marLeft w:val="0"/>
      <w:marRight w:val="0"/>
      <w:marTop w:val="0"/>
      <w:marBottom w:val="0"/>
      <w:divBdr>
        <w:top w:val="none" w:sz="0" w:space="0" w:color="auto"/>
        <w:left w:val="none" w:sz="0" w:space="0" w:color="auto"/>
        <w:bottom w:val="none" w:sz="0" w:space="0" w:color="auto"/>
        <w:right w:val="none" w:sz="0" w:space="0" w:color="auto"/>
      </w:divBdr>
    </w:div>
    <w:div w:id="1507480289">
      <w:bodyDiv w:val="1"/>
      <w:marLeft w:val="0"/>
      <w:marRight w:val="0"/>
      <w:marTop w:val="0"/>
      <w:marBottom w:val="0"/>
      <w:divBdr>
        <w:top w:val="none" w:sz="0" w:space="0" w:color="auto"/>
        <w:left w:val="none" w:sz="0" w:space="0" w:color="auto"/>
        <w:bottom w:val="none" w:sz="0" w:space="0" w:color="auto"/>
        <w:right w:val="none" w:sz="0" w:space="0" w:color="auto"/>
      </w:divBdr>
    </w:div>
    <w:div w:id="1532455635">
      <w:bodyDiv w:val="1"/>
      <w:marLeft w:val="0"/>
      <w:marRight w:val="0"/>
      <w:marTop w:val="0"/>
      <w:marBottom w:val="0"/>
      <w:divBdr>
        <w:top w:val="none" w:sz="0" w:space="0" w:color="auto"/>
        <w:left w:val="none" w:sz="0" w:space="0" w:color="auto"/>
        <w:bottom w:val="none" w:sz="0" w:space="0" w:color="auto"/>
        <w:right w:val="none" w:sz="0" w:space="0" w:color="auto"/>
      </w:divBdr>
      <w:divsChild>
        <w:div w:id="1660421273">
          <w:marLeft w:val="806"/>
          <w:marRight w:val="0"/>
          <w:marTop w:val="91"/>
          <w:marBottom w:val="0"/>
          <w:divBdr>
            <w:top w:val="none" w:sz="0" w:space="0" w:color="auto"/>
            <w:left w:val="none" w:sz="0" w:space="0" w:color="auto"/>
            <w:bottom w:val="none" w:sz="0" w:space="0" w:color="auto"/>
            <w:right w:val="none" w:sz="0" w:space="0" w:color="auto"/>
          </w:divBdr>
        </w:div>
        <w:div w:id="1237663501">
          <w:marLeft w:val="806"/>
          <w:marRight w:val="0"/>
          <w:marTop w:val="91"/>
          <w:marBottom w:val="0"/>
          <w:divBdr>
            <w:top w:val="none" w:sz="0" w:space="0" w:color="auto"/>
            <w:left w:val="none" w:sz="0" w:space="0" w:color="auto"/>
            <w:bottom w:val="none" w:sz="0" w:space="0" w:color="auto"/>
            <w:right w:val="none" w:sz="0" w:space="0" w:color="auto"/>
          </w:divBdr>
        </w:div>
        <w:div w:id="1480612315">
          <w:marLeft w:val="806"/>
          <w:marRight w:val="0"/>
          <w:marTop w:val="91"/>
          <w:marBottom w:val="0"/>
          <w:divBdr>
            <w:top w:val="none" w:sz="0" w:space="0" w:color="auto"/>
            <w:left w:val="none" w:sz="0" w:space="0" w:color="auto"/>
            <w:bottom w:val="none" w:sz="0" w:space="0" w:color="auto"/>
            <w:right w:val="none" w:sz="0" w:space="0" w:color="auto"/>
          </w:divBdr>
        </w:div>
      </w:divsChild>
    </w:div>
    <w:div w:id="1579747161">
      <w:bodyDiv w:val="1"/>
      <w:marLeft w:val="0"/>
      <w:marRight w:val="0"/>
      <w:marTop w:val="0"/>
      <w:marBottom w:val="0"/>
      <w:divBdr>
        <w:top w:val="none" w:sz="0" w:space="0" w:color="auto"/>
        <w:left w:val="none" w:sz="0" w:space="0" w:color="auto"/>
        <w:bottom w:val="none" w:sz="0" w:space="0" w:color="auto"/>
        <w:right w:val="none" w:sz="0" w:space="0" w:color="auto"/>
      </w:divBdr>
      <w:divsChild>
        <w:div w:id="215746162">
          <w:marLeft w:val="0"/>
          <w:marRight w:val="0"/>
          <w:marTop w:val="0"/>
          <w:marBottom w:val="0"/>
          <w:divBdr>
            <w:top w:val="none" w:sz="0" w:space="0" w:color="auto"/>
            <w:left w:val="none" w:sz="0" w:space="0" w:color="auto"/>
            <w:bottom w:val="none" w:sz="0" w:space="0" w:color="auto"/>
            <w:right w:val="none" w:sz="0" w:space="0" w:color="auto"/>
          </w:divBdr>
        </w:div>
      </w:divsChild>
    </w:div>
    <w:div w:id="1585650844">
      <w:bodyDiv w:val="1"/>
      <w:marLeft w:val="0"/>
      <w:marRight w:val="0"/>
      <w:marTop w:val="0"/>
      <w:marBottom w:val="0"/>
      <w:divBdr>
        <w:top w:val="none" w:sz="0" w:space="0" w:color="auto"/>
        <w:left w:val="none" w:sz="0" w:space="0" w:color="auto"/>
        <w:bottom w:val="none" w:sz="0" w:space="0" w:color="auto"/>
        <w:right w:val="none" w:sz="0" w:space="0" w:color="auto"/>
      </w:divBdr>
    </w:div>
    <w:div w:id="1605191090">
      <w:bodyDiv w:val="1"/>
      <w:marLeft w:val="0"/>
      <w:marRight w:val="0"/>
      <w:marTop w:val="0"/>
      <w:marBottom w:val="0"/>
      <w:divBdr>
        <w:top w:val="none" w:sz="0" w:space="0" w:color="auto"/>
        <w:left w:val="none" w:sz="0" w:space="0" w:color="auto"/>
        <w:bottom w:val="none" w:sz="0" w:space="0" w:color="auto"/>
        <w:right w:val="none" w:sz="0" w:space="0" w:color="auto"/>
      </w:divBdr>
    </w:div>
    <w:div w:id="1632586909">
      <w:bodyDiv w:val="1"/>
      <w:marLeft w:val="0"/>
      <w:marRight w:val="0"/>
      <w:marTop w:val="0"/>
      <w:marBottom w:val="0"/>
      <w:divBdr>
        <w:top w:val="none" w:sz="0" w:space="0" w:color="auto"/>
        <w:left w:val="none" w:sz="0" w:space="0" w:color="auto"/>
        <w:bottom w:val="none" w:sz="0" w:space="0" w:color="auto"/>
        <w:right w:val="none" w:sz="0" w:space="0" w:color="auto"/>
      </w:divBdr>
      <w:divsChild>
        <w:div w:id="252209624">
          <w:marLeft w:val="691"/>
          <w:marRight w:val="0"/>
          <w:marTop w:val="0"/>
          <w:marBottom w:val="0"/>
          <w:divBdr>
            <w:top w:val="none" w:sz="0" w:space="0" w:color="auto"/>
            <w:left w:val="none" w:sz="0" w:space="0" w:color="auto"/>
            <w:bottom w:val="none" w:sz="0" w:space="0" w:color="auto"/>
            <w:right w:val="none" w:sz="0" w:space="0" w:color="auto"/>
          </w:divBdr>
        </w:div>
        <w:div w:id="646740002">
          <w:marLeft w:val="864"/>
          <w:marRight w:val="0"/>
          <w:marTop w:val="0"/>
          <w:marBottom w:val="0"/>
          <w:divBdr>
            <w:top w:val="none" w:sz="0" w:space="0" w:color="auto"/>
            <w:left w:val="none" w:sz="0" w:space="0" w:color="auto"/>
            <w:bottom w:val="none" w:sz="0" w:space="0" w:color="auto"/>
            <w:right w:val="none" w:sz="0" w:space="0" w:color="auto"/>
          </w:divBdr>
        </w:div>
        <w:div w:id="1087919656">
          <w:marLeft w:val="864"/>
          <w:marRight w:val="0"/>
          <w:marTop w:val="0"/>
          <w:marBottom w:val="0"/>
          <w:divBdr>
            <w:top w:val="none" w:sz="0" w:space="0" w:color="auto"/>
            <w:left w:val="none" w:sz="0" w:space="0" w:color="auto"/>
            <w:bottom w:val="none" w:sz="0" w:space="0" w:color="auto"/>
            <w:right w:val="none" w:sz="0" w:space="0" w:color="auto"/>
          </w:divBdr>
        </w:div>
      </w:divsChild>
    </w:div>
    <w:div w:id="1637293291">
      <w:bodyDiv w:val="1"/>
      <w:marLeft w:val="0"/>
      <w:marRight w:val="0"/>
      <w:marTop w:val="0"/>
      <w:marBottom w:val="0"/>
      <w:divBdr>
        <w:top w:val="none" w:sz="0" w:space="0" w:color="auto"/>
        <w:left w:val="none" w:sz="0" w:space="0" w:color="auto"/>
        <w:bottom w:val="none" w:sz="0" w:space="0" w:color="auto"/>
        <w:right w:val="none" w:sz="0" w:space="0" w:color="auto"/>
      </w:divBdr>
    </w:div>
    <w:div w:id="1640571868">
      <w:bodyDiv w:val="1"/>
      <w:marLeft w:val="0"/>
      <w:marRight w:val="0"/>
      <w:marTop w:val="0"/>
      <w:marBottom w:val="0"/>
      <w:divBdr>
        <w:top w:val="none" w:sz="0" w:space="0" w:color="auto"/>
        <w:left w:val="none" w:sz="0" w:space="0" w:color="auto"/>
        <w:bottom w:val="none" w:sz="0" w:space="0" w:color="auto"/>
        <w:right w:val="none" w:sz="0" w:space="0" w:color="auto"/>
      </w:divBdr>
      <w:divsChild>
        <w:div w:id="71659279">
          <w:marLeft w:val="0"/>
          <w:marRight w:val="0"/>
          <w:marTop w:val="0"/>
          <w:marBottom w:val="0"/>
          <w:divBdr>
            <w:top w:val="none" w:sz="0" w:space="0" w:color="auto"/>
            <w:left w:val="none" w:sz="0" w:space="0" w:color="auto"/>
            <w:bottom w:val="none" w:sz="0" w:space="0" w:color="auto"/>
            <w:right w:val="none" w:sz="0" w:space="0" w:color="auto"/>
          </w:divBdr>
        </w:div>
        <w:div w:id="270360456">
          <w:marLeft w:val="0"/>
          <w:marRight w:val="0"/>
          <w:marTop w:val="0"/>
          <w:marBottom w:val="0"/>
          <w:divBdr>
            <w:top w:val="none" w:sz="0" w:space="0" w:color="auto"/>
            <w:left w:val="none" w:sz="0" w:space="0" w:color="auto"/>
            <w:bottom w:val="none" w:sz="0" w:space="0" w:color="auto"/>
            <w:right w:val="none" w:sz="0" w:space="0" w:color="auto"/>
          </w:divBdr>
        </w:div>
        <w:div w:id="401873280">
          <w:marLeft w:val="0"/>
          <w:marRight w:val="0"/>
          <w:marTop w:val="0"/>
          <w:marBottom w:val="0"/>
          <w:divBdr>
            <w:top w:val="none" w:sz="0" w:space="0" w:color="auto"/>
            <w:left w:val="none" w:sz="0" w:space="0" w:color="auto"/>
            <w:bottom w:val="none" w:sz="0" w:space="0" w:color="auto"/>
            <w:right w:val="none" w:sz="0" w:space="0" w:color="auto"/>
          </w:divBdr>
        </w:div>
        <w:div w:id="520628392">
          <w:marLeft w:val="0"/>
          <w:marRight w:val="0"/>
          <w:marTop w:val="0"/>
          <w:marBottom w:val="0"/>
          <w:divBdr>
            <w:top w:val="none" w:sz="0" w:space="0" w:color="auto"/>
            <w:left w:val="none" w:sz="0" w:space="0" w:color="auto"/>
            <w:bottom w:val="none" w:sz="0" w:space="0" w:color="auto"/>
            <w:right w:val="none" w:sz="0" w:space="0" w:color="auto"/>
          </w:divBdr>
        </w:div>
        <w:div w:id="605886238">
          <w:marLeft w:val="0"/>
          <w:marRight w:val="0"/>
          <w:marTop w:val="0"/>
          <w:marBottom w:val="0"/>
          <w:divBdr>
            <w:top w:val="none" w:sz="0" w:space="0" w:color="auto"/>
            <w:left w:val="none" w:sz="0" w:space="0" w:color="auto"/>
            <w:bottom w:val="none" w:sz="0" w:space="0" w:color="auto"/>
            <w:right w:val="none" w:sz="0" w:space="0" w:color="auto"/>
          </w:divBdr>
        </w:div>
        <w:div w:id="935137970">
          <w:marLeft w:val="0"/>
          <w:marRight w:val="0"/>
          <w:marTop w:val="0"/>
          <w:marBottom w:val="0"/>
          <w:divBdr>
            <w:top w:val="none" w:sz="0" w:space="0" w:color="auto"/>
            <w:left w:val="none" w:sz="0" w:space="0" w:color="auto"/>
            <w:bottom w:val="none" w:sz="0" w:space="0" w:color="auto"/>
            <w:right w:val="none" w:sz="0" w:space="0" w:color="auto"/>
          </w:divBdr>
        </w:div>
        <w:div w:id="1167286911">
          <w:marLeft w:val="0"/>
          <w:marRight w:val="0"/>
          <w:marTop w:val="0"/>
          <w:marBottom w:val="0"/>
          <w:divBdr>
            <w:top w:val="none" w:sz="0" w:space="0" w:color="auto"/>
            <w:left w:val="none" w:sz="0" w:space="0" w:color="auto"/>
            <w:bottom w:val="none" w:sz="0" w:space="0" w:color="auto"/>
            <w:right w:val="none" w:sz="0" w:space="0" w:color="auto"/>
          </w:divBdr>
        </w:div>
        <w:div w:id="1211185484">
          <w:marLeft w:val="0"/>
          <w:marRight w:val="0"/>
          <w:marTop w:val="0"/>
          <w:marBottom w:val="0"/>
          <w:divBdr>
            <w:top w:val="none" w:sz="0" w:space="0" w:color="auto"/>
            <w:left w:val="none" w:sz="0" w:space="0" w:color="auto"/>
            <w:bottom w:val="none" w:sz="0" w:space="0" w:color="auto"/>
            <w:right w:val="none" w:sz="0" w:space="0" w:color="auto"/>
          </w:divBdr>
        </w:div>
        <w:div w:id="1216240634">
          <w:marLeft w:val="0"/>
          <w:marRight w:val="0"/>
          <w:marTop w:val="0"/>
          <w:marBottom w:val="0"/>
          <w:divBdr>
            <w:top w:val="none" w:sz="0" w:space="0" w:color="auto"/>
            <w:left w:val="none" w:sz="0" w:space="0" w:color="auto"/>
            <w:bottom w:val="none" w:sz="0" w:space="0" w:color="auto"/>
            <w:right w:val="none" w:sz="0" w:space="0" w:color="auto"/>
          </w:divBdr>
        </w:div>
        <w:div w:id="1227836951">
          <w:marLeft w:val="0"/>
          <w:marRight w:val="0"/>
          <w:marTop w:val="0"/>
          <w:marBottom w:val="0"/>
          <w:divBdr>
            <w:top w:val="none" w:sz="0" w:space="0" w:color="auto"/>
            <w:left w:val="none" w:sz="0" w:space="0" w:color="auto"/>
            <w:bottom w:val="none" w:sz="0" w:space="0" w:color="auto"/>
            <w:right w:val="none" w:sz="0" w:space="0" w:color="auto"/>
          </w:divBdr>
        </w:div>
        <w:div w:id="1328244095">
          <w:marLeft w:val="0"/>
          <w:marRight w:val="0"/>
          <w:marTop w:val="0"/>
          <w:marBottom w:val="0"/>
          <w:divBdr>
            <w:top w:val="none" w:sz="0" w:space="0" w:color="auto"/>
            <w:left w:val="none" w:sz="0" w:space="0" w:color="auto"/>
            <w:bottom w:val="none" w:sz="0" w:space="0" w:color="auto"/>
            <w:right w:val="none" w:sz="0" w:space="0" w:color="auto"/>
          </w:divBdr>
        </w:div>
        <w:div w:id="1753358688">
          <w:marLeft w:val="0"/>
          <w:marRight w:val="0"/>
          <w:marTop w:val="0"/>
          <w:marBottom w:val="0"/>
          <w:divBdr>
            <w:top w:val="none" w:sz="0" w:space="0" w:color="auto"/>
            <w:left w:val="none" w:sz="0" w:space="0" w:color="auto"/>
            <w:bottom w:val="none" w:sz="0" w:space="0" w:color="auto"/>
            <w:right w:val="none" w:sz="0" w:space="0" w:color="auto"/>
          </w:divBdr>
        </w:div>
        <w:div w:id="1755125115">
          <w:marLeft w:val="0"/>
          <w:marRight w:val="0"/>
          <w:marTop w:val="0"/>
          <w:marBottom w:val="0"/>
          <w:divBdr>
            <w:top w:val="none" w:sz="0" w:space="0" w:color="auto"/>
            <w:left w:val="none" w:sz="0" w:space="0" w:color="auto"/>
            <w:bottom w:val="none" w:sz="0" w:space="0" w:color="auto"/>
            <w:right w:val="none" w:sz="0" w:space="0" w:color="auto"/>
          </w:divBdr>
        </w:div>
        <w:div w:id="1945989747">
          <w:marLeft w:val="0"/>
          <w:marRight w:val="0"/>
          <w:marTop w:val="0"/>
          <w:marBottom w:val="0"/>
          <w:divBdr>
            <w:top w:val="none" w:sz="0" w:space="0" w:color="auto"/>
            <w:left w:val="none" w:sz="0" w:space="0" w:color="auto"/>
            <w:bottom w:val="none" w:sz="0" w:space="0" w:color="auto"/>
            <w:right w:val="none" w:sz="0" w:space="0" w:color="auto"/>
          </w:divBdr>
        </w:div>
      </w:divsChild>
    </w:div>
    <w:div w:id="1650403840">
      <w:bodyDiv w:val="1"/>
      <w:marLeft w:val="0"/>
      <w:marRight w:val="0"/>
      <w:marTop w:val="0"/>
      <w:marBottom w:val="0"/>
      <w:divBdr>
        <w:top w:val="none" w:sz="0" w:space="0" w:color="auto"/>
        <w:left w:val="none" w:sz="0" w:space="0" w:color="auto"/>
        <w:bottom w:val="none" w:sz="0" w:space="0" w:color="auto"/>
        <w:right w:val="none" w:sz="0" w:space="0" w:color="auto"/>
      </w:divBdr>
    </w:div>
    <w:div w:id="1656031872">
      <w:bodyDiv w:val="1"/>
      <w:marLeft w:val="0"/>
      <w:marRight w:val="0"/>
      <w:marTop w:val="0"/>
      <w:marBottom w:val="0"/>
      <w:divBdr>
        <w:top w:val="none" w:sz="0" w:space="0" w:color="auto"/>
        <w:left w:val="none" w:sz="0" w:space="0" w:color="auto"/>
        <w:bottom w:val="none" w:sz="0" w:space="0" w:color="auto"/>
        <w:right w:val="none" w:sz="0" w:space="0" w:color="auto"/>
      </w:divBdr>
      <w:divsChild>
        <w:div w:id="1956213874">
          <w:marLeft w:val="864"/>
          <w:marRight w:val="0"/>
          <w:marTop w:val="0"/>
          <w:marBottom w:val="240"/>
          <w:divBdr>
            <w:top w:val="none" w:sz="0" w:space="0" w:color="auto"/>
            <w:left w:val="none" w:sz="0" w:space="0" w:color="auto"/>
            <w:bottom w:val="none" w:sz="0" w:space="0" w:color="auto"/>
            <w:right w:val="none" w:sz="0" w:space="0" w:color="auto"/>
          </w:divBdr>
        </w:div>
      </w:divsChild>
    </w:div>
    <w:div w:id="1666856665">
      <w:bodyDiv w:val="1"/>
      <w:marLeft w:val="0"/>
      <w:marRight w:val="0"/>
      <w:marTop w:val="0"/>
      <w:marBottom w:val="0"/>
      <w:divBdr>
        <w:top w:val="none" w:sz="0" w:space="0" w:color="auto"/>
        <w:left w:val="none" w:sz="0" w:space="0" w:color="auto"/>
        <w:bottom w:val="none" w:sz="0" w:space="0" w:color="auto"/>
        <w:right w:val="none" w:sz="0" w:space="0" w:color="auto"/>
      </w:divBdr>
      <w:divsChild>
        <w:div w:id="832450989">
          <w:marLeft w:val="547"/>
          <w:marRight w:val="0"/>
          <w:marTop w:val="0"/>
          <w:marBottom w:val="0"/>
          <w:divBdr>
            <w:top w:val="none" w:sz="0" w:space="0" w:color="auto"/>
            <w:left w:val="none" w:sz="0" w:space="0" w:color="auto"/>
            <w:bottom w:val="none" w:sz="0" w:space="0" w:color="auto"/>
            <w:right w:val="none" w:sz="0" w:space="0" w:color="auto"/>
          </w:divBdr>
        </w:div>
      </w:divsChild>
    </w:div>
    <w:div w:id="1667629571">
      <w:bodyDiv w:val="1"/>
      <w:marLeft w:val="0"/>
      <w:marRight w:val="0"/>
      <w:marTop w:val="0"/>
      <w:marBottom w:val="0"/>
      <w:divBdr>
        <w:top w:val="none" w:sz="0" w:space="0" w:color="auto"/>
        <w:left w:val="none" w:sz="0" w:space="0" w:color="auto"/>
        <w:bottom w:val="none" w:sz="0" w:space="0" w:color="auto"/>
        <w:right w:val="none" w:sz="0" w:space="0" w:color="auto"/>
      </w:divBdr>
    </w:div>
    <w:div w:id="1667978705">
      <w:bodyDiv w:val="1"/>
      <w:marLeft w:val="0"/>
      <w:marRight w:val="0"/>
      <w:marTop w:val="0"/>
      <w:marBottom w:val="0"/>
      <w:divBdr>
        <w:top w:val="none" w:sz="0" w:space="0" w:color="auto"/>
        <w:left w:val="none" w:sz="0" w:space="0" w:color="auto"/>
        <w:bottom w:val="none" w:sz="0" w:space="0" w:color="auto"/>
        <w:right w:val="none" w:sz="0" w:space="0" w:color="auto"/>
      </w:divBdr>
      <w:divsChild>
        <w:div w:id="1869220695">
          <w:marLeft w:val="547"/>
          <w:marRight w:val="0"/>
          <w:marTop w:val="115"/>
          <w:marBottom w:val="0"/>
          <w:divBdr>
            <w:top w:val="none" w:sz="0" w:space="0" w:color="auto"/>
            <w:left w:val="none" w:sz="0" w:space="0" w:color="auto"/>
            <w:bottom w:val="none" w:sz="0" w:space="0" w:color="auto"/>
            <w:right w:val="none" w:sz="0" w:space="0" w:color="auto"/>
          </w:divBdr>
        </w:div>
        <w:div w:id="1764957896">
          <w:marLeft w:val="547"/>
          <w:marRight w:val="0"/>
          <w:marTop w:val="115"/>
          <w:marBottom w:val="0"/>
          <w:divBdr>
            <w:top w:val="none" w:sz="0" w:space="0" w:color="auto"/>
            <w:left w:val="none" w:sz="0" w:space="0" w:color="auto"/>
            <w:bottom w:val="none" w:sz="0" w:space="0" w:color="auto"/>
            <w:right w:val="none" w:sz="0" w:space="0" w:color="auto"/>
          </w:divBdr>
        </w:div>
      </w:divsChild>
    </w:div>
    <w:div w:id="1688368874">
      <w:bodyDiv w:val="1"/>
      <w:marLeft w:val="0"/>
      <w:marRight w:val="0"/>
      <w:marTop w:val="0"/>
      <w:marBottom w:val="0"/>
      <w:divBdr>
        <w:top w:val="none" w:sz="0" w:space="0" w:color="auto"/>
        <w:left w:val="none" w:sz="0" w:space="0" w:color="auto"/>
        <w:bottom w:val="none" w:sz="0" w:space="0" w:color="auto"/>
        <w:right w:val="none" w:sz="0" w:space="0" w:color="auto"/>
      </w:divBdr>
      <w:divsChild>
        <w:div w:id="376398861">
          <w:marLeft w:val="965"/>
          <w:marRight w:val="0"/>
          <w:marTop w:val="0"/>
          <w:marBottom w:val="0"/>
          <w:divBdr>
            <w:top w:val="none" w:sz="0" w:space="0" w:color="auto"/>
            <w:left w:val="none" w:sz="0" w:space="0" w:color="auto"/>
            <w:bottom w:val="none" w:sz="0" w:space="0" w:color="auto"/>
            <w:right w:val="none" w:sz="0" w:space="0" w:color="auto"/>
          </w:divBdr>
        </w:div>
        <w:div w:id="1842625360">
          <w:marLeft w:val="965"/>
          <w:marRight w:val="0"/>
          <w:marTop w:val="0"/>
          <w:marBottom w:val="0"/>
          <w:divBdr>
            <w:top w:val="none" w:sz="0" w:space="0" w:color="auto"/>
            <w:left w:val="none" w:sz="0" w:space="0" w:color="auto"/>
            <w:bottom w:val="none" w:sz="0" w:space="0" w:color="auto"/>
            <w:right w:val="none" w:sz="0" w:space="0" w:color="auto"/>
          </w:divBdr>
        </w:div>
      </w:divsChild>
    </w:div>
    <w:div w:id="1696618124">
      <w:bodyDiv w:val="1"/>
      <w:marLeft w:val="0"/>
      <w:marRight w:val="0"/>
      <w:marTop w:val="0"/>
      <w:marBottom w:val="0"/>
      <w:divBdr>
        <w:top w:val="none" w:sz="0" w:space="0" w:color="auto"/>
        <w:left w:val="none" w:sz="0" w:space="0" w:color="auto"/>
        <w:bottom w:val="none" w:sz="0" w:space="0" w:color="auto"/>
        <w:right w:val="none" w:sz="0" w:space="0" w:color="auto"/>
      </w:divBdr>
      <w:divsChild>
        <w:div w:id="364789160">
          <w:marLeft w:val="1469"/>
          <w:marRight w:val="0"/>
          <w:marTop w:val="0"/>
          <w:marBottom w:val="120"/>
          <w:divBdr>
            <w:top w:val="none" w:sz="0" w:space="0" w:color="auto"/>
            <w:left w:val="none" w:sz="0" w:space="0" w:color="auto"/>
            <w:bottom w:val="none" w:sz="0" w:space="0" w:color="auto"/>
            <w:right w:val="none" w:sz="0" w:space="0" w:color="auto"/>
          </w:divBdr>
        </w:div>
        <w:div w:id="420640189">
          <w:marLeft w:val="1469"/>
          <w:marRight w:val="0"/>
          <w:marTop w:val="0"/>
          <w:marBottom w:val="120"/>
          <w:divBdr>
            <w:top w:val="none" w:sz="0" w:space="0" w:color="auto"/>
            <w:left w:val="none" w:sz="0" w:space="0" w:color="auto"/>
            <w:bottom w:val="none" w:sz="0" w:space="0" w:color="auto"/>
            <w:right w:val="none" w:sz="0" w:space="0" w:color="auto"/>
          </w:divBdr>
        </w:div>
        <w:div w:id="572351760">
          <w:marLeft w:val="1469"/>
          <w:marRight w:val="0"/>
          <w:marTop w:val="0"/>
          <w:marBottom w:val="120"/>
          <w:divBdr>
            <w:top w:val="none" w:sz="0" w:space="0" w:color="auto"/>
            <w:left w:val="none" w:sz="0" w:space="0" w:color="auto"/>
            <w:bottom w:val="none" w:sz="0" w:space="0" w:color="auto"/>
            <w:right w:val="none" w:sz="0" w:space="0" w:color="auto"/>
          </w:divBdr>
        </w:div>
        <w:div w:id="835074191">
          <w:marLeft w:val="1469"/>
          <w:marRight w:val="0"/>
          <w:marTop w:val="0"/>
          <w:marBottom w:val="120"/>
          <w:divBdr>
            <w:top w:val="none" w:sz="0" w:space="0" w:color="auto"/>
            <w:left w:val="none" w:sz="0" w:space="0" w:color="auto"/>
            <w:bottom w:val="none" w:sz="0" w:space="0" w:color="auto"/>
            <w:right w:val="none" w:sz="0" w:space="0" w:color="auto"/>
          </w:divBdr>
        </w:div>
        <w:div w:id="840585482">
          <w:marLeft w:val="1469"/>
          <w:marRight w:val="0"/>
          <w:marTop w:val="0"/>
          <w:marBottom w:val="120"/>
          <w:divBdr>
            <w:top w:val="none" w:sz="0" w:space="0" w:color="auto"/>
            <w:left w:val="none" w:sz="0" w:space="0" w:color="auto"/>
            <w:bottom w:val="none" w:sz="0" w:space="0" w:color="auto"/>
            <w:right w:val="none" w:sz="0" w:space="0" w:color="auto"/>
          </w:divBdr>
        </w:div>
        <w:div w:id="1252397303">
          <w:marLeft w:val="1469"/>
          <w:marRight w:val="0"/>
          <w:marTop w:val="0"/>
          <w:marBottom w:val="120"/>
          <w:divBdr>
            <w:top w:val="none" w:sz="0" w:space="0" w:color="auto"/>
            <w:left w:val="none" w:sz="0" w:space="0" w:color="auto"/>
            <w:bottom w:val="none" w:sz="0" w:space="0" w:color="auto"/>
            <w:right w:val="none" w:sz="0" w:space="0" w:color="auto"/>
          </w:divBdr>
        </w:div>
        <w:div w:id="1281841839">
          <w:marLeft w:val="1469"/>
          <w:marRight w:val="0"/>
          <w:marTop w:val="0"/>
          <w:marBottom w:val="120"/>
          <w:divBdr>
            <w:top w:val="none" w:sz="0" w:space="0" w:color="auto"/>
            <w:left w:val="none" w:sz="0" w:space="0" w:color="auto"/>
            <w:bottom w:val="none" w:sz="0" w:space="0" w:color="auto"/>
            <w:right w:val="none" w:sz="0" w:space="0" w:color="auto"/>
          </w:divBdr>
        </w:div>
        <w:div w:id="1769420947">
          <w:marLeft w:val="1469"/>
          <w:marRight w:val="0"/>
          <w:marTop w:val="0"/>
          <w:marBottom w:val="120"/>
          <w:divBdr>
            <w:top w:val="none" w:sz="0" w:space="0" w:color="auto"/>
            <w:left w:val="none" w:sz="0" w:space="0" w:color="auto"/>
            <w:bottom w:val="none" w:sz="0" w:space="0" w:color="auto"/>
            <w:right w:val="none" w:sz="0" w:space="0" w:color="auto"/>
          </w:divBdr>
        </w:div>
        <w:div w:id="2130395047">
          <w:marLeft w:val="1469"/>
          <w:marRight w:val="0"/>
          <w:marTop w:val="0"/>
          <w:marBottom w:val="120"/>
          <w:divBdr>
            <w:top w:val="none" w:sz="0" w:space="0" w:color="auto"/>
            <w:left w:val="none" w:sz="0" w:space="0" w:color="auto"/>
            <w:bottom w:val="none" w:sz="0" w:space="0" w:color="auto"/>
            <w:right w:val="none" w:sz="0" w:space="0" w:color="auto"/>
          </w:divBdr>
        </w:div>
      </w:divsChild>
    </w:div>
    <w:div w:id="1728869637">
      <w:bodyDiv w:val="1"/>
      <w:marLeft w:val="0"/>
      <w:marRight w:val="0"/>
      <w:marTop w:val="0"/>
      <w:marBottom w:val="0"/>
      <w:divBdr>
        <w:top w:val="none" w:sz="0" w:space="0" w:color="auto"/>
        <w:left w:val="none" w:sz="0" w:space="0" w:color="auto"/>
        <w:bottom w:val="none" w:sz="0" w:space="0" w:color="auto"/>
        <w:right w:val="none" w:sz="0" w:space="0" w:color="auto"/>
      </w:divBdr>
    </w:div>
    <w:div w:id="1737120608">
      <w:bodyDiv w:val="1"/>
      <w:marLeft w:val="0"/>
      <w:marRight w:val="0"/>
      <w:marTop w:val="0"/>
      <w:marBottom w:val="0"/>
      <w:divBdr>
        <w:top w:val="none" w:sz="0" w:space="0" w:color="auto"/>
        <w:left w:val="none" w:sz="0" w:space="0" w:color="auto"/>
        <w:bottom w:val="none" w:sz="0" w:space="0" w:color="auto"/>
        <w:right w:val="none" w:sz="0" w:space="0" w:color="auto"/>
      </w:divBdr>
      <w:divsChild>
        <w:div w:id="728185160">
          <w:marLeft w:val="720"/>
          <w:marRight w:val="0"/>
          <w:marTop w:val="0"/>
          <w:marBottom w:val="0"/>
          <w:divBdr>
            <w:top w:val="none" w:sz="0" w:space="0" w:color="auto"/>
            <w:left w:val="none" w:sz="0" w:space="0" w:color="auto"/>
            <w:bottom w:val="none" w:sz="0" w:space="0" w:color="auto"/>
            <w:right w:val="none" w:sz="0" w:space="0" w:color="auto"/>
          </w:divBdr>
        </w:div>
        <w:div w:id="815143987">
          <w:marLeft w:val="720"/>
          <w:marRight w:val="0"/>
          <w:marTop w:val="0"/>
          <w:marBottom w:val="0"/>
          <w:divBdr>
            <w:top w:val="none" w:sz="0" w:space="0" w:color="auto"/>
            <w:left w:val="none" w:sz="0" w:space="0" w:color="auto"/>
            <w:bottom w:val="none" w:sz="0" w:space="0" w:color="auto"/>
            <w:right w:val="none" w:sz="0" w:space="0" w:color="auto"/>
          </w:divBdr>
        </w:div>
      </w:divsChild>
    </w:div>
    <w:div w:id="1770932987">
      <w:bodyDiv w:val="1"/>
      <w:marLeft w:val="0"/>
      <w:marRight w:val="0"/>
      <w:marTop w:val="0"/>
      <w:marBottom w:val="0"/>
      <w:divBdr>
        <w:top w:val="none" w:sz="0" w:space="0" w:color="auto"/>
        <w:left w:val="none" w:sz="0" w:space="0" w:color="auto"/>
        <w:bottom w:val="none" w:sz="0" w:space="0" w:color="auto"/>
        <w:right w:val="none" w:sz="0" w:space="0" w:color="auto"/>
      </w:divBdr>
      <w:divsChild>
        <w:div w:id="1461454671">
          <w:marLeft w:val="806"/>
          <w:marRight w:val="0"/>
          <w:marTop w:val="91"/>
          <w:marBottom w:val="0"/>
          <w:divBdr>
            <w:top w:val="none" w:sz="0" w:space="0" w:color="auto"/>
            <w:left w:val="none" w:sz="0" w:space="0" w:color="auto"/>
            <w:bottom w:val="none" w:sz="0" w:space="0" w:color="auto"/>
            <w:right w:val="none" w:sz="0" w:space="0" w:color="auto"/>
          </w:divBdr>
        </w:div>
      </w:divsChild>
    </w:div>
    <w:div w:id="1788312872">
      <w:bodyDiv w:val="1"/>
      <w:marLeft w:val="0"/>
      <w:marRight w:val="0"/>
      <w:marTop w:val="0"/>
      <w:marBottom w:val="0"/>
      <w:divBdr>
        <w:top w:val="none" w:sz="0" w:space="0" w:color="auto"/>
        <w:left w:val="none" w:sz="0" w:space="0" w:color="auto"/>
        <w:bottom w:val="none" w:sz="0" w:space="0" w:color="auto"/>
        <w:right w:val="none" w:sz="0" w:space="0" w:color="auto"/>
      </w:divBdr>
      <w:divsChild>
        <w:div w:id="1930890544">
          <w:marLeft w:val="403"/>
          <w:marRight w:val="0"/>
          <w:marTop w:val="77"/>
          <w:marBottom w:val="0"/>
          <w:divBdr>
            <w:top w:val="none" w:sz="0" w:space="0" w:color="auto"/>
            <w:left w:val="none" w:sz="0" w:space="0" w:color="auto"/>
            <w:bottom w:val="none" w:sz="0" w:space="0" w:color="auto"/>
            <w:right w:val="none" w:sz="0" w:space="0" w:color="auto"/>
          </w:divBdr>
        </w:div>
        <w:div w:id="462432823">
          <w:marLeft w:val="403"/>
          <w:marRight w:val="0"/>
          <w:marTop w:val="77"/>
          <w:marBottom w:val="0"/>
          <w:divBdr>
            <w:top w:val="none" w:sz="0" w:space="0" w:color="auto"/>
            <w:left w:val="none" w:sz="0" w:space="0" w:color="auto"/>
            <w:bottom w:val="none" w:sz="0" w:space="0" w:color="auto"/>
            <w:right w:val="none" w:sz="0" w:space="0" w:color="auto"/>
          </w:divBdr>
        </w:div>
        <w:div w:id="1833910494">
          <w:marLeft w:val="403"/>
          <w:marRight w:val="0"/>
          <w:marTop w:val="77"/>
          <w:marBottom w:val="0"/>
          <w:divBdr>
            <w:top w:val="none" w:sz="0" w:space="0" w:color="auto"/>
            <w:left w:val="none" w:sz="0" w:space="0" w:color="auto"/>
            <w:bottom w:val="none" w:sz="0" w:space="0" w:color="auto"/>
            <w:right w:val="none" w:sz="0" w:space="0" w:color="auto"/>
          </w:divBdr>
        </w:div>
        <w:div w:id="906496608">
          <w:marLeft w:val="878"/>
          <w:marRight w:val="0"/>
          <w:marTop w:val="77"/>
          <w:marBottom w:val="0"/>
          <w:divBdr>
            <w:top w:val="none" w:sz="0" w:space="0" w:color="auto"/>
            <w:left w:val="none" w:sz="0" w:space="0" w:color="auto"/>
            <w:bottom w:val="none" w:sz="0" w:space="0" w:color="auto"/>
            <w:right w:val="none" w:sz="0" w:space="0" w:color="auto"/>
          </w:divBdr>
        </w:div>
        <w:div w:id="1675915338">
          <w:marLeft w:val="878"/>
          <w:marRight w:val="0"/>
          <w:marTop w:val="77"/>
          <w:marBottom w:val="0"/>
          <w:divBdr>
            <w:top w:val="none" w:sz="0" w:space="0" w:color="auto"/>
            <w:left w:val="none" w:sz="0" w:space="0" w:color="auto"/>
            <w:bottom w:val="none" w:sz="0" w:space="0" w:color="auto"/>
            <w:right w:val="none" w:sz="0" w:space="0" w:color="auto"/>
          </w:divBdr>
        </w:div>
      </w:divsChild>
    </w:div>
    <w:div w:id="1789156991">
      <w:bodyDiv w:val="1"/>
      <w:marLeft w:val="0"/>
      <w:marRight w:val="0"/>
      <w:marTop w:val="0"/>
      <w:marBottom w:val="0"/>
      <w:divBdr>
        <w:top w:val="none" w:sz="0" w:space="0" w:color="auto"/>
        <w:left w:val="none" w:sz="0" w:space="0" w:color="auto"/>
        <w:bottom w:val="none" w:sz="0" w:space="0" w:color="auto"/>
        <w:right w:val="none" w:sz="0" w:space="0" w:color="auto"/>
      </w:divBdr>
    </w:div>
    <w:div w:id="1791393773">
      <w:bodyDiv w:val="1"/>
      <w:marLeft w:val="0"/>
      <w:marRight w:val="0"/>
      <w:marTop w:val="0"/>
      <w:marBottom w:val="0"/>
      <w:divBdr>
        <w:top w:val="none" w:sz="0" w:space="0" w:color="auto"/>
        <w:left w:val="none" w:sz="0" w:space="0" w:color="auto"/>
        <w:bottom w:val="none" w:sz="0" w:space="0" w:color="auto"/>
        <w:right w:val="none" w:sz="0" w:space="0" w:color="auto"/>
      </w:divBdr>
      <w:divsChild>
        <w:div w:id="502279234">
          <w:marLeft w:val="547"/>
          <w:marRight w:val="0"/>
          <w:marTop w:val="106"/>
          <w:marBottom w:val="0"/>
          <w:divBdr>
            <w:top w:val="none" w:sz="0" w:space="0" w:color="auto"/>
            <w:left w:val="none" w:sz="0" w:space="0" w:color="auto"/>
            <w:bottom w:val="none" w:sz="0" w:space="0" w:color="auto"/>
            <w:right w:val="none" w:sz="0" w:space="0" w:color="auto"/>
          </w:divBdr>
        </w:div>
      </w:divsChild>
    </w:div>
    <w:div w:id="1793087519">
      <w:bodyDiv w:val="1"/>
      <w:marLeft w:val="0"/>
      <w:marRight w:val="0"/>
      <w:marTop w:val="0"/>
      <w:marBottom w:val="0"/>
      <w:divBdr>
        <w:top w:val="none" w:sz="0" w:space="0" w:color="auto"/>
        <w:left w:val="none" w:sz="0" w:space="0" w:color="auto"/>
        <w:bottom w:val="none" w:sz="0" w:space="0" w:color="auto"/>
        <w:right w:val="none" w:sz="0" w:space="0" w:color="auto"/>
      </w:divBdr>
    </w:div>
    <w:div w:id="1804495067">
      <w:bodyDiv w:val="1"/>
      <w:marLeft w:val="0"/>
      <w:marRight w:val="0"/>
      <w:marTop w:val="0"/>
      <w:marBottom w:val="0"/>
      <w:divBdr>
        <w:top w:val="none" w:sz="0" w:space="0" w:color="auto"/>
        <w:left w:val="none" w:sz="0" w:space="0" w:color="auto"/>
        <w:bottom w:val="none" w:sz="0" w:space="0" w:color="auto"/>
        <w:right w:val="none" w:sz="0" w:space="0" w:color="auto"/>
      </w:divBdr>
    </w:div>
    <w:div w:id="1808160687">
      <w:bodyDiv w:val="1"/>
      <w:marLeft w:val="0"/>
      <w:marRight w:val="0"/>
      <w:marTop w:val="0"/>
      <w:marBottom w:val="0"/>
      <w:divBdr>
        <w:top w:val="none" w:sz="0" w:space="0" w:color="auto"/>
        <w:left w:val="none" w:sz="0" w:space="0" w:color="auto"/>
        <w:bottom w:val="none" w:sz="0" w:space="0" w:color="auto"/>
        <w:right w:val="none" w:sz="0" w:space="0" w:color="auto"/>
      </w:divBdr>
      <w:divsChild>
        <w:div w:id="2139643623">
          <w:marLeft w:val="0"/>
          <w:marRight w:val="0"/>
          <w:marTop w:val="0"/>
          <w:marBottom w:val="0"/>
          <w:divBdr>
            <w:top w:val="none" w:sz="0" w:space="0" w:color="auto"/>
            <w:left w:val="none" w:sz="0" w:space="0" w:color="auto"/>
            <w:bottom w:val="none" w:sz="0" w:space="0" w:color="auto"/>
            <w:right w:val="none" w:sz="0" w:space="0" w:color="auto"/>
          </w:divBdr>
          <w:divsChild>
            <w:div w:id="438644007">
              <w:marLeft w:val="0"/>
              <w:marRight w:val="0"/>
              <w:marTop w:val="0"/>
              <w:marBottom w:val="0"/>
              <w:divBdr>
                <w:top w:val="none" w:sz="0" w:space="0" w:color="auto"/>
                <w:left w:val="none" w:sz="0" w:space="0" w:color="auto"/>
                <w:bottom w:val="none" w:sz="0" w:space="0" w:color="auto"/>
                <w:right w:val="none" w:sz="0" w:space="0" w:color="auto"/>
              </w:divBdr>
            </w:div>
            <w:div w:id="473183111">
              <w:marLeft w:val="0"/>
              <w:marRight w:val="0"/>
              <w:marTop w:val="0"/>
              <w:marBottom w:val="0"/>
              <w:divBdr>
                <w:top w:val="none" w:sz="0" w:space="0" w:color="auto"/>
                <w:left w:val="none" w:sz="0" w:space="0" w:color="auto"/>
                <w:bottom w:val="none" w:sz="0" w:space="0" w:color="auto"/>
                <w:right w:val="none" w:sz="0" w:space="0" w:color="auto"/>
              </w:divBdr>
            </w:div>
            <w:div w:id="630131047">
              <w:marLeft w:val="0"/>
              <w:marRight w:val="0"/>
              <w:marTop w:val="0"/>
              <w:marBottom w:val="0"/>
              <w:divBdr>
                <w:top w:val="none" w:sz="0" w:space="0" w:color="auto"/>
                <w:left w:val="none" w:sz="0" w:space="0" w:color="auto"/>
                <w:bottom w:val="none" w:sz="0" w:space="0" w:color="auto"/>
                <w:right w:val="none" w:sz="0" w:space="0" w:color="auto"/>
              </w:divBdr>
            </w:div>
            <w:div w:id="839003432">
              <w:marLeft w:val="0"/>
              <w:marRight w:val="0"/>
              <w:marTop w:val="0"/>
              <w:marBottom w:val="0"/>
              <w:divBdr>
                <w:top w:val="none" w:sz="0" w:space="0" w:color="auto"/>
                <w:left w:val="none" w:sz="0" w:space="0" w:color="auto"/>
                <w:bottom w:val="none" w:sz="0" w:space="0" w:color="auto"/>
                <w:right w:val="none" w:sz="0" w:space="0" w:color="auto"/>
              </w:divBdr>
            </w:div>
            <w:div w:id="947741058">
              <w:marLeft w:val="0"/>
              <w:marRight w:val="0"/>
              <w:marTop w:val="0"/>
              <w:marBottom w:val="0"/>
              <w:divBdr>
                <w:top w:val="none" w:sz="0" w:space="0" w:color="auto"/>
                <w:left w:val="none" w:sz="0" w:space="0" w:color="auto"/>
                <w:bottom w:val="none" w:sz="0" w:space="0" w:color="auto"/>
                <w:right w:val="none" w:sz="0" w:space="0" w:color="auto"/>
              </w:divBdr>
            </w:div>
            <w:div w:id="1063144412">
              <w:marLeft w:val="0"/>
              <w:marRight w:val="0"/>
              <w:marTop w:val="0"/>
              <w:marBottom w:val="0"/>
              <w:divBdr>
                <w:top w:val="none" w:sz="0" w:space="0" w:color="auto"/>
                <w:left w:val="none" w:sz="0" w:space="0" w:color="auto"/>
                <w:bottom w:val="none" w:sz="0" w:space="0" w:color="auto"/>
                <w:right w:val="none" w:sz="0" w:space="0" w:color="auto"/>
              </w:divBdr>
            </w:div>
            <w:div w:id="1150751998">
              <w:marLeft w:val="0"/>
              <w:marRight w:val="0"/>
              <w:marTop w:val="0"/>
              <w:marBottom w:val="0"/>
              <w:divBdr>
                <w:top w:val="none" w:sz="0" w:space="0" w:color="auto"/>
                <w:left w:val="none" w:sz="0" w:space="0" w:color="auto"/>
                <w:bottom w:val="none" w:sz="0" w:space="0" w:color="auto"/>
                <w:right w:val="none" w:sz="0" w:space="0" w:color="auto"/>
              </w:divBdr>
            </w:div>
            <w:div w:id="1154568510">
              <w:marLeft w:val="0"/>
              <w:marRight w:val="0"/>
              <w:marTop w:val="0"/>
              <w:marBottom w:val="0"/>
              <w:divBdr>
                <w:top w:val="none" w:sz="0" w:space="0" w:color="auto"/>
                <w:left w:val="none" w:sz="0" w:space="0" w:color="auto"/>
                <w:bottom w:val="none" w:sz="0" w:space="0" w:color="auto"/>
                <w:right w:val="none" w:sz="0" w:space="0" w:color="auto"/>
              </w:divBdr>
            </w:div>
            <w:div w:id="1230650911">
              <w:marLeft w:val="0"/>
              <w:marRight w:val="0"/>
              <w:marTop w:val="0"/>
              <w:marBottom w:val="0"/>
              <w:divBdr>
                <w:top w:val="none" w:sz="0" w:space="0" w:color="auto"/>
                <w:left w:val="none" w:sz="0" w:space="0" w:color="auto"/>
                <w:bottom w:val="none" w:sz="0" w:space="0" w:color="auto"/>
                <w:right w:val="none" w:sz="0" w:space="0" w:color="auto"/>
              </w:divBdr>
            </w:div>
            <w:div w:id="1297491037">
              <w:marLeft w:val="0"/>
              <w:marRight w:val="0"/>
              <w:marTop w:val="0"/>
              <w:marBottom w:val="0"/>
              <w:divBdr>
                <w:top w:val="none" w:sz="0" w:space="0" w:color="auto"/>
                <w:left w:val="none" w:sz="0" w:space="0" w:color="auto"/>
                <w:bottom w:val="none" w:sz="0" w:space="0" w:color="auto"/>
                <w:right w:val="none" w:sz="0" w:space="0" w:color="auto"/>
              </w:divBdr>
            </w:div>
            <w:div w:id="1550654394">
              <w:marLeft w:val="0"/>
              <w:marRight w:val="0"/>
              <w:marTop w:val="0"/>
              <w:marBottom w:val="0"/>
              <w:divBdr>
                <w:top w:val="none" w:sz="0" w:space="0" w:color="auto"/>
                <w:left w:val="none" w:sz="0" w:space="0" w:color="auto"/>
                <w:bottom w:val="none" w:sz="0" w:space="0" w:color="auto"/>
                <w:right w:val="none" w:sz="0" w:space="0" w:color="auto"/>
              </w:divBdr>
            </w:div>
            <w:div w:id="1560823232">
              <w:marLeft w:val="0"/>
              <w:marRight w:val="0"/>
              <w:marTop w:val="0"/>
              <w:marBottom w:val="0"/>
              <w:divBdr>
                <w:top w:val="none" w:sz="0" w:space="0" w:color="auto"/>
                <w:left w:val="none" w:sz="0" w:space="0" w:color="auto"/>
                <w:bottom w:val="none" w:sz="0" w:space="0" w:color="auto"/>
                <w:right w:val="none" w:sz="0" w:space="0" w:color="auto"/>
              </w:divBdr>
            </w:div>
            <w:div w:id="1624338918">
              <w:marLeft w:val="0"/>
              <w:marRight w:val="0"/>
              <w:marTop w:val="0"/>
              <w:marBottom w:val="0"/>
              <w:divBdr>
                <w:top w:val="none" w:sz="0" w:space="0" w:color="auto"/>
                <w:left w:val="none" w:sz="0" w:space="0" w:color="auto"/>
                <w:bottom w:val="none" w:sz="0" w:space="0" w:color="auto"/>
                <w:right w:val="none" w:sz="0" w:space="0" w:color="auto"/>
              </w:divBdr>
            </w:div>
            <w:div w:id="1638366238">
              <w:marLeft w:val="0"/>
              <w:marRight w:val="0"/>
              <w:marTop w:val="0"/>
              <w:marBottom w:val="0"/>
              <w:divBdr>
                <w:top w:val="none" w:sz="0" w:space="0" w:color="auto"/>
                <w:left w:val="none" w:sz="0" w:space="0" w:color="auto"/>
                <w:bottom w:val="none" w:sz="0" w:space="0" w:color="auto"/>
                <w:right w:val="none" w:sz="0" w:space="0" w:color="auto"/>
              </w:divBdr>
            </w:div>
            <w:div w:id="1718361319">
              <w:marLeft w:val="0"/>
              <w:marRight w:val="0"/>
              <w:marTop w:val="0"/>
              <w:marBottom w:val="0"/>
              <w:divBdr>
                <w:top w:val="none" w:sz="0" w:space="0" w:color="auto"/>
                <w:left w:val="none" w:sz="0" w:space="0" w:color="auto"/>
                <w:bottom w:val="none" w:sz="0" w:space="0" w:color="auto"/>
                <w:right w:val="none" w:sz="0" w:space="0" w:color="auto"/>
              </w:divBdr>
            </w:div>
            <w:div w:id="1723402124">
              <w:marLeft w:val="0"/>
              <w:marRight w:val="0"/>
              <w:marTop w:val="0"/>
              <w:marBottom w:val="0"/>
              <w:divBdr>
                <w:top w:val="none" w:sz="0" w:space="0" w:color="auto"/>
                <w:left w:val="none" w:sz="0" w:space="0" w:color="auto"/>
                <w:bottom w:val="none" w:sz="0" w:space="0" w:color="auto"/>
                <w:right w:val="none" w:sz="0" w:space="0" w:color="auto"/>
              </w:divBdr>
            </w:div>
            <w:div w:id="1788548613">
              <w:marLeft w:val="0"/>
              <w:marRight w:val="0"/>
              <w:marTop w:val="0"/>
              <w:marBottom w:val="0"/>
              <w:divBdr>
                <w:top w:val="none" w:sz="0" w:space="0" w:color="auto"/>
                <w:left w:val="none" w:sz="0" w:space="0" w:color="auto"/>
                <w:bottom w:val="none" w:sz="0" w:space="0" w:color="auto"/>
                <w:right w:val="none" w:sz="0" w:space="0" w:color="auto"/>
              </w:divBdr>
            </w:div>
            <w:div w:id="1800145050">
              <w:marLeft w:val="0"/>
              <w:marRight w:val="0"/>
              <w:marTop w:val="0"/>
              <w:marBottom w:val="0"/>
              <w:divBdr>
                <w:top w:val="none" w:sz="0" w:space="0" w:color="auto"/>
                <w:left w:val="none" w:sz="0" w:space="0" w:color="auto"/>
                <w:bottom w:val="none" w:sz="0" w:space="0" w:color="auto"/>
                <w:right w:val="none" w:sz="0" w:space="0" w:color="auto"/>
              </w:divBdr>
            </w:div>
            <w:div w:id="1869637166">
              <w:marLeft w:val="0"/>
              <w:marRight w:val="0"/>
              <w:marTop w:val="0"/>
              <w:marBottom w:val="0"/>
              <w:divBdr>
                <w:top w:val="none" w:sz="0" w:space="0" w:color="auto"/>
                <w:left w:val="none" w:sz="0" w:space="0" w:color="auto"/>
                <w:bottom w:val="none" w:sz="0" w:space="0" w:color="auto"/>
                <w:right w:val="none" w:sz="0" w:space="0" w:color="auto"/>
              </w:divBdr>
            </w:div>
            <w:div w:id="1965035040">
              <w:marLeft w:val="0"/>
              <w:marRight w:val="0"/>
              <w:marTop w:val="0"/>
              <w:marBottom w:val="0"/>
              <w:divBdr>
                <w:top w:val="none" w:sz="0" w:space="0" w:color="auto"/>
                <w:left w:val="none" w:sz="0" w:space="0" w:color="auto"/>
                <w:bottom w:val="none" w:sz="0" w:space="0" w:color="auto"/>
                <w:right w:val="none" w:sz="0" w:space="0" w:color="auto"/>
              </w:divBdr>
            </w:div>
            <w:div w:id="2094662661">
              <w:marLeft w:val="0"/>
              <w:marRight w:val="0"/>
              <w:marTop w:val="0"/>
              <w:marBottom w:val="0"/>
              <w:divBdr>
                <w:top w:val="none" w:sz="0" w:space="0" w:color="auto"/>
                <w:left w:val="none" w:sz="0" w:space="0" w:color="auto"/>
                <w:bottom w:val="none" w:sz="0" w:space="0" w:color="auto"/>
                <w:right w:val="none" w:sz="0" w:space="0" w:color="auto"/>
              </w:divBdr>
            </w:div>
            <w:div w:id="21030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6836">
      <w:bodyDiv w:val="1"/>
      <w:marLeft w:val="0"/>
      <w:marRight w:val="0"/>
      <w:marTop w:val="0"/>
      <w:marBottom w:val="0"/>
      <w:divBdr>
        <w:top w:val="none" w:sz="0" w:space="0" w:color="auto"/>
        <w:left w:val="none" w:sz="0" w:space="0" w:color="auto"/>
        <w:bottom w:val="none" w:sz="0" w:space="0" w:color="auto"/>
        <w:right w:val="none" w:sz="0" w:space="0" w:color="auto"/>
      </w:divBdr>
    </w:div>
    <w:div w:id="1838376156">
      <w:bodyDiv w:val="1"/>
      <w:marLeft w:val="0"/>
      <w:marRight w:val="0"/>
      <w:marTop w:val="0"/>
      <w:marBottom w:val="0"/>
      <w:divBdr>
        <w:top w:val="none" w:sz="0" w:space="0" w:color="auto"/>
        <w:left w:val="none" w:sz="0" w:space="0" w:color="auto"/>
        <w:bottom w:val="none" w:sz="0" w:space="0" w:color="auto"/>
        <w:right w:val="none" w:sz="0" w:space="0" w:color="auto"/>
      </w:divBdr>
      <w:divsChild>
        <w:div w:id="1393507842">
          <w:marLeft w:val="1051"/>
          <w:marRight w:val="0"/>
          <w:marTop w:val="0"/>
          <w:marBottom w:val="0"/>
          <w:divBdr>
            <w:top w:val="none" w:sz="0" w:space="0" w:color="auto"/>
            <w:left w:val="none" w:sz="0" w:space="0" w:color="auto"/>
            <w:bottom w:val="none" w:sz="0" w:space="0" w:color="auto"/>
            <w:right w:val="none" w:sz="0" w:space="0" w:color="auto"/>
          </w:divBdr>
        </w:div>
      </w:divsChild>
    </w:div>
    <w:div w:id="1854610943">
      <w:bodyDiv w:val="1"/>
      <w:marLeft w:val="0"/>
      <w:marRight w:val="0"/>
      <w:marTop w:val="0"/>
      <w:marBottom w:val="0"/>
      <w:divBdr>
        <w:top w:val="none" w:sz="0" w:space="0" w:color="auto"/>
        <w:left w:val="none" w:sz="0" w:space="0" w:color="auto"/>
        <w:bottom w:val="none" w:sz="0" w:space="0" w:color="auto"/>
        <w:right w:val="none" w:sz="0" w:space="0" w:color="auto"/>
      </w:divBdr>
      <w:divsChild>
        <w:div w:id="823545848">
          <w:marLeft w:val="547"/>
          <w:marRight w:val="0"/>
          <w:marTop w:val="0"/>
          <w:marBottom w:val="200"/>
          <w:divBdr>
            <w:top w:val="none" w:sz="0" w:space="0" w:color="auto"/>
            <w:left w:val="none" w:sz="0" w:space="0" w:color="auto"/>
            <w:bottom w:val="none" w:sz="0" w:space="0" w:color="auto"/>
            <w:right w:val="none" w:sz="0" w:space="0" w:color="auto"/>
          </w:divBdr>
        </w:div>
        <w:div w:id="2115201683">
          <w:marLeft w:val="547"/>
          <w:marRight w:val="0"/>
          <w:marTop w:val="0"/>
          <w:marBottom w:val="200"/>
          <w:divBdr>
            <w:top w:val="none" w:sz="0" w:space="0" w:color="auto"/>
            <w:left w:val="none" w:sz="0" w:space="0" w:color="auto"/>
            <w:bottom w:val="none" w:sz="0" w:space="0" w:color="auto"/>
            <w:right w:val="none" w:sz="0" w:space="0" w:color="auto"/>
          </w:divBdr>
        </w:div>
        <w:div w:id="990669527">
          <w:marLeft w:val="547"/>
          <w:marRight w:val="0"/>
          <w:marTop w:val="0"/>
          <w:marBottom w:val="200"/>
          <w:divBdr>
            <w:top w:val="none" w:sz="0" w:space="0" w:color="auto"/>
            <w:left w:val="none" w:sz="0" w:space="0" w:color="auto"/>
            <w:bottom w:val="none" w:sz="0" w:space="0" w:color="auto"/>
            <w:right w:val="none" w:sz="0" w:space="0" w:color="auto"/>
          </w:divBdr>
        </w:div>
        <w:div w:id="2121802864">
          <w:marLeft w:val="547"/>
          <w:marRight w:val="0"/>
          <w:marTop w:val="0"/>
          <w:marBottom w:val="200"/>
          <w:divBdr>
            <w:top w:val="none" w:sz="0" w:space="0" w:color="auto"/>
            <w:left w:val="none" w:sz="0" w:space="0" w:color="auto"/>
            <w:bottom w:val="none" w:sz="0" w:space="0" w:color="auto"/>
            <w:right w:val="none" w:sz="0" w:space="0" w:color="auto"/>
          </w:divBdr>
        </w:div>
        <w:div w:id="627203648">
          <w:marLeft w:val="547"/>
          <w:marRight w:val="0"/>
          <w:marTop w:val="0"/>
          <w:marBottom w:val="200"/>
          <w:divBdr>
            <w:top w:val="none" w:sz="0" w:space="0" w:color="auto"/>
            <w:left w:val="none" w:sz="0" w:space="0" w:color="auto"/>
            <w:bottom w:val="none" w:sz="0" w:space="0" w:color="auto"/>
            <w:right w:val="none" w:sz="0" w:space="0" w:color="auto"/>
          </w:divBdr>
        </w:div>
      </w:divsChild>
    </w:div>
    <w:div w:id="1867713031">
      <w:bodyDiv w:val="1"/>
      <w:marLeft w:val="0"/>
      <w:marRight w:val="0"/>
      <w:marTop w:val="0"/>
      <w:marBottom w:val="0"/>
      <w:divBdr>
        <w:top w:val="none" w:sz="0" w:space="0" w:color="auto"/>
        <w:left w:val="none" w:sz="0" w:space="0" w:color="auto"/>
        <w:bottom w:val="none" w:sz="0" w:space="0" w:color="auto"/>
        <w:right w:val="none" w:sz="0" w:space="0" w:color="auto"/>
      </w:divBdr>
      <w:divsChild>
        <w:div w:id="884491332">
          <w:marLeft w:val="965"/>
          <w:marRight w:val="0"/>
          <w:marTop w:val="0"/>
          <w:marBottom w:val="0"/>
          <w:divBdr>
            <w:top w:val="none" w:sz="0" w:space="0" w:color="auto"/>
            <w:left w:val="none" w:sz="0" w:space="0" w:color="auto"/>
            <w:bottom w:val="none" w:sz="0" w:space="0" w:color="auto"/>
            <w:right w:val="none" w:sz="0" w:space="0" w:color="auto"/>
          </w:divBdr>
        </w:div>
      </w:divsChild>
    </w:div>
    <w:div w:id="1896503638">
      <w:bodyDiv w:val="1"/>
      <w:marLeft w:val="0"/>
      <w:marRight w:val="0"/>
      <w:marTop w:val="0"/>
      <w:marBottom w:val="0"/>
      <w:divBdr>
        <w:top w:val="none" w:sz="0" w:space="0" w:color="auto"/>
        <w:left w:val="none" w:sz="0" w:space="0" w:color="auto"/>
        <w:bottom w:val="none" w:sz="0" w:space="0" w:color="auto"/>
        <w:right w:val="none" w:sz="0" w:space="0" w:color="auto"/>
      </w:divBdr>
    </w:div>
    <w:div w:id="1916084126">
      <w:bodyDiv w:val="1"/>
      <w:marLeft w:val="0"/>
      <w:marRight w:val="0"/>
      <w:marTop w:val="0"/>
      <w:marBottom w:val="0"/>
      <w:divBdr>
        <w:top w:val="none" w:sz="0" w:space="0" w:color="auto"/>
        <w:left w:val="none" w:sz="0" w:space="0" w:color="auto"/>
        <w:bottom w:val="none" w:sz="0" w:space="0" w:color="auto"/>
        <w:right w:val="none" w:sz="0" w:space="0" w:color="auto"/>
      </w:divBdr>
      <w:divsChild>
        <w:div w:id="238101891">
          <w:marLeft w:val="979"/>
          <w:marRight w:val="0"/>
          <w:marTop w:val="0"/>
          <w:marBottom w:val="0"/>
          <w:divBdr>
            <w:top w:val="none" w:sz="0" w:space="0" w:color="auto"/>
            <w:left w:val="none" w:sz="0" w:space="0" w:color="auto"/>
            <w:bottom w:val="none" w:sz="0" w:space="0" w:color="auto"/>
            <w:right w:val="none" w:sz="0" w:space="0" w:color="auto"/>
          </w:divBdr>
        </w:div>
        <w:div w:id="902721044">
          <w:marLeft w:val="979"/>
          <w:marRight w:val="0"/>
          <w:marTop w:val="0"/>
          <w:marBottom w:val="0"/>
          <w:divBdr>
            <w:top w:val="none" w:sz="0" w:space="0" w:color="auto"/>
            <w:left w:val="none" w:sz="0" w:space="0" w:color="auto"/>
            <w:bottom w:val="none" w:sz="0" w:space="0" w:color="auto"/>
            <w:right w:val="none" w:sz="0" w:space="0" w:color="auto"/>
          </w:divBdr>
        </w:div>
        <w:div w:id="1270967500">
          <w:marLeft w:val="979"/>
          <w:marRight w:val="0"/>
          <w:marTop w:val="0"/>
          <w:marBottom w:val="0"/>
          <w:divBdr>
            <w:top w:val="none" w:sz="0" w:space="0" w:color="auto"/>
            <w:left w:val="none" w:sz="0" w:space="0" w:color="auto"/>
            <w:bottom w:val="none" w:sz="0" w:space="0" w:color="auto"/>
            <w:right w:val="none" w:sz="0" w:space="0" w:color="auto"/>
          </w:divBdr>
        </w:div>
        <w:div w:id="1617518331">
          <w:marLeft w:val="979"/>
          <w:marRight w:val="0"/>
          <w:marTop w:val="0"/>
          <w:marBottom w:val="0"/>
          <w:divBdr>
            <w:top w:val="none" w:sz="0" w:space="0" w:color="auto"/>
            <w:left w:val="none" w:sz="0" w:space="0" w:color="auto"/>
            <w:bottom w:val="none" w:sz="0" w:space="0" w:color="auto"/>
            <w:right w:val="none" w:sz="0" w:space="0" w:color="auto"/>
          </w:divBdr>
        </w:div>
      </w:divsChild>
    </w:div>
    <w:div w:id="1924485539">
      <w:bodyDiv w:val="1"/>
      <w:marLeft w:val="0"/>
      <w:marRight w:val="0"/>
      <w:marTop w:val="0"/>
      <w:marBottom w:val="0"/>
      <w:divBdr>
        <w:top w:val="none" w:sz="0" w:space="0" w:color="auto"/>
        <w:left w:val="none" w:sz="0" w:space="0" w:color="auto"/>
        <w:bottom w:val="none" w:sz="0" w:space="0" w:color="auto"/>
        <w:right w:val="none" w:sz="0" w:space="0" w:color="auto"/>
      </w:divBdr>
    </w:div>
    <w:div w:id="1951429661">
      <w:bodyDiv w:val="1"/>
      <w:marLeft w:val="0"/>
      <w:marRight w:val="0"/>
      <w:marTop w:val="0"/>
      <w:marBottom w:val="0"/>
      <w:divBdr>
        <w:top w:val="none" w:sz="0" w:space="0" w:color="auto"/>
        <w:left w:val="none" w:sz="0" w:space="0" w:color="auto"/>
        <w:bottom w:val="none" w:sz="0" w:space="0" w:color="auto"/>
        <w:right w:val="none" w:sz="0" w:space="0" w:color="auto"/>
      </w:divBdr>
      <w:divsChild>
        <w:div w:id="1400401491">
          <w:marLeft w:val="806"/>
          <w:marRight w:val="0"/>
          <w:marTop w:val="0"/>
          <w:marBottom w:val="0"/>
          <w:divBdr>
            <w:top w:val="none" w:sz="0" w:space="0" w:color="auto"/>
            <w:left w:val="none" w:sz="0" w:space="0" w:color="auto"/>
            <w:bottom w:val="none" w:sz="0" w:space="0" w:color="auto"/>
            <w:right w:val="none" w:sz="0" w:space="0" w:color="auto"/>
          </w:divBdr>
        </w:div>
        <w:div w:id="171842911">
          <w:marLeft w:val="806"/>
          <w:marRight w:val="0"/>
          <w:marTop w:val="0"/>
          <w:marBottom w:val="0"/>
          <w:divBdr>
            <w:top w:val="none" w:sz="0" w:space="0" w:color="auto"/>
            <w:left w:val="none" w:sz="0" w:space="0" w:color="auto"/>
            <w:bottom w:val="none" w:sz="0" w:space="0" w:color="auto"/>
            <w:right w:val="none" w:sz="0" w:space="0" w:color="auto"/>
          </w:divBdr>
        </w:div>
        <w:div w:id="398939115">
          <w:marLeft w:val="806"/>
          <w:marRight w:val="0"/>
          <w:marTop w:val="0"/>
          <w:marBottom w:val="0"/>
          <w:divBdr>
            <w:top w:val="none" w:sz="0" w:space="0" w:color="auto"/>
            <w:left w:val="none" w:sz="0" w:space="0" w:color="auto"/>
            <w:bottom w:val="none" w:sz="0" w:space="0" w:color="auto"/>
            <w:right w:val="none" w:sz="0" w:space="0" w:color="auto"/>
          </w:divBdr>
        </w:div>
        <w:div w:id="1091854224">
          <w:marLeft w:val="806"/>
          <w:marRight w:val="0"/>
          <w:marTop w:val="0"/>
          <w:marBottom w:val="0"/>
          <w:divBdr>
            <w:top w:val="none" w:sz="0" w:space="0" w:color="auto"/>
            <w:left w:val="none" w:sz="0" w:space="0" w:color="auto"/>
            <w:bottom w:val="none" w:sz="0" w:space="0" w:color="auto"/>
            <w:right w:val="none" w:sz="0" w:space="0" w:color="auto"/>
          </w:divBdr>
        </w:div>
        <w:div w:id="2026664714">
          <w:marLeft w:val="806"/>
          <w:marRight w:val="0"/>
          <w:marTop w:val="0"/>
          <w:marBottom w:val="0"/>
          <w:divBdr>
            <w:top w:val="none" w:sz="0" w:space="0" w:color="auto"/>
            <w:left w:val="none" w:sz="0" w:space="0" w:color="auto"/>
            <w:bottom w:val="none" w:sz="0" w:space="0" w:color="auto"/>
            <w:right w:val="none" w:sz="0" w:space="0" w:color="auto"/>
          </w:divBdr>
        </w:div>
      </w:divsChild>
    </w:div>
    <w:div w:id="1982420076">
      <w:bodyDiv w:val="1"/>
      <w:marLeft w:val="0"/>
      <w:marRight w:val="0"/>
      <w:marTop w:val="0"/>
      <w:marBottom w:val="0"/>
      <w:divBdr>
        <w:top w:val="none" w:sz="0" w:space="0" w:color="auto"/>
        <w:left w:val="none" w:sz="0" w:space="0" w:color="auto"/>
        <w:bottom w:val="none" w:sz="0" w:space="0" w:color="auto"/>
        <w:right w:val="none" w:sz="0" w:space="0" w:color="auto"/>
      </w:divBdr>
      <w:divsChild>
        <w:div w:id="26567262">
          <w:marLeft w:val="821"/>
          <w:marRight w:val="0"/>
          <w:marTop w:val="0"/>
          <w:marBottom w:val="0"/>
          <w:divBdr>
            <w:top w:val="none" w:sz="0" w:space="0" w:color="auto"/>
            <w:left w:val="none" w:sz="0" w:space="0" w:color="auto"/>
            <w:bottom w:val="none" w:sz="0" w:space="0" w:color="auto"/>
            <w:right w:val="none" w:sz="0" w:space="0" w:color="auto"/>
          </w:divBdr>
        </w:div>
        <w:div w:id="282662683">
          <w:marLeft w:val="821"/>
          <w:marRight w:val="0"/>
          <w:marTop w:val="0"/>
          <w:marBottom w:val="0"/>
          <w:divBdr>
            <w:top w:val="none" w:sz="0" w:space="0" w:color="auto"/>
            <w:left w:val="none" w:sz="0" w:space="0" w:color="auto"/>
            <w:bottom w:val="none" w:sz="0" w:space="0" w:color="auto"/>
            <w:right w:val="none" w:sz="0" w:space="0" w:color="auto"/>
          </w:divBdr>
        </w:div>
        <w:div w:id="521363047">
          <w:marLeft w:val="821"/>
          <w:marRight w:val="0"/>
          <w:marTop w:val="0"/>
          <w:marBottom w:val="0"/>
          <w:divBdr>
            <w:top w:val="none" w:sz="0" w:space="0" w:color="auto"/>
            <w:left w:val="none" w:sz="0" w:space="0" w:color="auto"/>
            <w:bottom w:val="none" w:sz="0" w:space="0" w:color="auto"/>
            <w:right w:val="none" w:sz="0" w:space="0" w:color="auto"/>
          </w:divBdr>
        </w:div>
        <w:div w:id="592326651">
          <w:marLeft w:val="850"/>
          <w:marRight w:val="0"/>
          <w:marTop w:val="0"/>
          <w:marBottom w:val="0"/>
          <w:divBdr>
            <w:top w:val="none" w:sz="0" w:space="0" w:color="auto"/>
            <w:left w:val="none" w:sz="0" w:space="0" w:color="auto"/>
            <w:bottom w:val="none" w:sz="0" w:space="0" w:color="auto"/>
            <w:right w:val="none" w:sz="0" w:space="0" w:color="auto"/>
          </w:divBdr>
        </w:div>
        <w:div w:id="728577663">
          <w:marLeft w:val="821"/>
          <w:marRight w:val="0"/>
          <w:marTop w:val="0"/>
          <w:marBottom w:val="0"/>
          <w:divBdr>
            <w:top w:val="none" w:sz="0" w:space="0" w:color="auto"/>
            <w:left w:val="none" w:sz="0" w:space="0" w:color="auto"/>
            <w:bottom w:val="none" w:sz="0" w:space="0" w:color="auto"/>
            <w:right w:val="none" w:sz="0" w:space="0" w:color="auto"/>
          </w:divBdr>
        </w:div>
        <w:div w:id="1370648735">
          <w:marLeft w:val="821"/>
          <w:marRight w:val="0"/>
          <w:marTop w:val="0"/>
          <w:marBottom w:val="0"/>
          <w:divBdr>
            <w:top w:val="none" w:sz="0" w:space="0" w:color="auto"/>
            <w:left w:val="none" w:sz="0" w:space="0" w:color="auto"/>
            <w:bottom w:val="none" w:sz="0" w:space="0" w:color="auto"/>
            <w:right w:val="none" w:sz="0" w:space="0" w:color="auto"/>
          </w:divBdr>
        </w:div>
      </w:divsChild>
    </w:div>
    <w:div w:id="1992903213">
      <w:bodyDiv w:val="1"/>
      <w:marLeft w:val="0"/>
      <w:marRight w:val="0"/>
      <w:marTop w:val="0"/>
      <w:marBottom w:val="0"/>
      <w:divBdr>
        <w:top w:val="none" w:sz="0" w:space="0" w:color="auto"/>
        <w:left w:val="none" w:sz="0" w:space="0" w:color="auto"/>
        <w:bottom w:val="none" w:sz="0" w:space="0" w:color="auto"/>
        <w:right w:val="none" w:sz="0" w:space="0" w:color="auto"/>
      </w:divBdr>
    </w:div>
    <w:div w:id="2000453001">
      <w:bodyDiv w:val="1"/>
      <w:marLeft w:val="0"/>
      <w:marRight w:val="0"/>
      <w:marTop w:val="0"/>
      <w:marBottom w:val="0"/>
      <w:divBdr>
        <w:top w:val="none" w:sz="0" w:space="0" w:color="auto"/>
        <w:left w:val="none" w:sz="0" w:space="0" w:color="auto"/>
        <w:bottom w:val="none" w:sz="0" w:space="0" w:color="auto"/>
        <w:right w:val="none" w:sz="0" w:space="0" w:color="auto"/>
      </w:divBdr>
    </w:div>
    <w:div w:id="2001999400">
      <w:bodyDiv w:val="1"/>
      <w:marLeft w:val="0"/>
      <w:marRight w:val="0"/>
      <w:marTop w:val="0"/>
      <w:marBottom w:val="0"/>
      <w:divBdr>
        <w:top w:val="none" w:sz="0" w:space="0" w:color="auto"/>
        <w:left w:val="none" w:sz="0" w:space="0" w:color="auto"/>
        <w:bottom w:val="none" w:sz="0" w:space="0" w:color="auto"/>
        <w:right w:val="none" w:sz="0" w:space="0" w:color="auto"/>
      </w:divBdr>
      <w:divsChild>
        <w:div w:id="863327227">
          <w:marLeft w:val="547"/>
          <w:marRight w:val="0"/>
          <w:marTop w:val="77"/>
          <w:marBottom w:val="0"/>
          <w:divBdr>
            <w:top w:val="none" w:sz="0" w:space="0" w:color="auto"/>
            <w:left w:val="none" w:sz="0" w:space="0" w:color="auto"/>
            <w:bottom w:val="none" w:sz="0" w:space="0" w:color="auto"/>
            <w:right w:val="none" w:sz="0" w:space="0" w:color="auto"/>
          </w:divBdr>
        </w:div>
        <w:div w:id="1902252700">
          <w:marLeft w:val="547"/>
          <w:marRight w:val="0"/>
          <w:marTop w:val="77"/>
          <w:marBottom w:val="0"/>
          <w:divBdr>
            <w:top w:val="none" w:sz="0" w:space="0" w:color="auto"/>
            <w:left w:val="none" w:sz="0" w:space="0" w:color="auto"/>
            <w:bottom w:val="none" w:sz="0" w:space="0" w:color="auto"/>
            <w:right w:val="none" w:sz="0" w:space="0" w:color="auto"/>
          </w:divBdr>
        </w:div>
        <w:div w:id="479464962">
          <w:marLeft w:val="547"/>
          <w:marRight w:val="0"/>
          <w:marTop w:val="77"/>
          <w:marBottom w:val="0"/>
          <w:divBdr>
            <w:top w:val="none" w:sz="0" w:space="0" w:color="auto"/>
            <w:left w:val="none" w:sz="0" w:space="0" w:color="auto"/>
            <w:bottom w:val="none" w:sz="0" w:space="0" w:color="auto"/>
            <w:right w:val="none" w:sz="0" w:space="0" w:color="auto"/>
          </w:divBdr>
        </w:div>
      </w:divsChild>
    </w:div>
    <w:div w:id="2007441305">
      <w:bodyDiv w:val="1"/>
      <w:marLeft w:val="0"/>
      <w:marRight w:val="0"/>
      <w:marTop w:val="0"/>
      <w:marBottom w:val="0"/>
      <w:divBdr>
        <w:top w:val="none" w:sz="0" w:space="0" w:color="auto"/>
        <w:left w:val="none" w:sz="0" w:space="0" w:color="auto"/>
        <w:bottom w:val="none" w:sz="0" w:space="0" w:color="auto"/>
        <w:right w:val="none" w:sz="0" w:space="0" w:color="auto"/>
      </w:divBdr>
    </w:div>
    <w:div w:id="2039578259">
      <w:bodyDiv w:val="1"/>
      <w:marLeft w:val="0"/>
      <w:marRight w:val="0"/>
      <w:marTop w:val="0"/>
      <w:marBottom w:val="0"/>
      <w:divBdr>
        <w:top w:val="none" w:sz="0" w:space="0" w:color="auto"/>
        <w:left w:val="none" w:sz="0" w:space="0" w:color="auto"/>
        <w:bottom w:val="none" w:sz="0" w:space="0" w:color="auto"/>
        <w:right w:val="none" w:sz="0" w:space="0" w:color="auto"/>
      </w:divBdr>
      <w:divsChild>
        <w:div w:id="542908604">
          <w:marLeft w:val="547"/>
          <w:marRight w:val="0"/>
          <w:marTop w:val="96"/>
          <w:marBottom w:val="0"/>
          <w:divBdr>
            <w:top w:val="none" w:sz="0" w:space="0" w:color="auto"/>
            <w:left w:val="none" w:sz="0" w:space="0" w:color="auto"/>
            <w:bottom w:val="none" w:sz="0" w:space="0" w:color="auto"/>
            <w:right w:val="none" w:sz="0" w:space="0" w:color="auto"/>
          </w:divBdr>
        </w:div>
        <w:div w:id="748431142">
          <w:marLeft w:val="547"/>
          <w:marRight w:val="0"/>
          <w:marTop w:val="96"/>
          <w:marBottom w:val="0"/>
          <w:divBdr>
            <w:top w:val="none" w:sz="0" w:space="0" w:color="auto"/>
            <w:left w:val="none" w:sz="0" w:space="0" w:color="auto"/>
            <w:bottom w:val="none" w:sz="0" w:space="0" w:color="auto"/>
            <w:right w:val="none" w:sz="0" w:space="0" w:color="auto"/>
          </w:divBdr>
        </w:div>
        <w:div w:id="922647958">
          <w:marLeft w:val="547"/>
          <w:marRight w:val="0"/>
          <w:marTop w:val="96"/>
          <w:marBottom w:val="0"/>
          <w:divBdr>
            <w:top w:val="none" w:sz="0" w:space="0" w:color="auto"/>
            <w:left w:val="none" w:sz="0" w:space="0" w:color="auto"/>
            <w:bottom w:val="none" w:sz="0" w:space="0" w:color="auto"/>
            <w:right w:val="none" w:sz="0" w:space="0" w:color="auto"/>
          </w:divBdr>
        </w:div>
        <w:div w:id="1780710736">
          <w:marLeft w:val="547"/>
          <w:marRight w:val="0"/>
          <w:marTop w:val="96"/>
          <w:marBottom w:val="0"/>
          <w:divBdr>
            <w:top w:val="none" w:sz="0" w:space="0" w:color="auto"/>
            <w:left w:val="none" w:sz="0" w:space="0" w:color="auto"/>
            <w:bottom w:val="none" w:sz="0" w:space="0" w:color="auto"/>
            <w:right w:val="none" w:sz="0" w:space="0" w:color="auto"/>
          </w:divBdr>
        </w:div>
      </w:divsChild>
    </w:div>
    <w:div w:id="2049337050">
      <w:bodyDiv w:val="1"/>
      <w:marLeft w:val="0"/>
      <w:marRight w:val="0"/>
      <w:marTop w:val="0"/>
      <w:marBottom w:val="0"/>
      <w:divBdr>
        <w:top w:val="none" w:sz="0" w:space="0" w:color="auto"/>
        <w:left w:val="none" w:sz="0" w:space="0" w:color="auto"/>
        <w:bottom w:val="none" w:sz="0" w:space="0" w:color="auto"/>
        <w:right w:val="none" w:sz="0" w:space="0" w:color="auto"/>
      </w:divBdr>
    </w:div>
    <w:div w:id="2070422714">
      <w:bodyDiv w:val="1"/>
      <w:marLeft w:val="0"/>
      <w:marRight w:val="0"/>
      <w:marTop w:val="0"/>
      <w:marBottom w:val="0"/>
      <w:divBdr>
        <w:top w:val="none" w:sz="0" w:space="0" w:color="auto"/>
        <w:left w:val="none" w:sz="0" w:space="0" w:color="auto"/>
        <w:bottom w:val="none" w:sz="0" w:space="0" w:color="auto"/>
        <w:right w:val="none" w:sz="0" w:space="0" w:color="auto"/>
      </w:divBdr>
    </w:div>
    <w:div w:id="2071077077">
      <w:bodyDiv w:val="1"/>
      <w:marLeft w:val="0"/>
      <w:marRight w:val="0"/>
      <w:marTop w:val="0"/>
      <w:marBottom w:val="0"/>
      <w:divBdr>
        <w:top w:val="none" w:sz="0" w:space="0" w:color="auto"/>
        <w:left w:val="none" w:sz="0" w:space="0" w:color="auto"/>
        <w:bottom w:val="none" w:sz="0" w:space="0" w:color="auto"/>
        <w:right w:val="none" w:sz="0" w:space="0" w:color="auto"/>
      </w:divBdr>
      <w:divsChild>
        <w:div w:id="1784497229">
          <w:marLeft w:val="547"/>
          <w:marRight w:val="0"/>
          <w:marTop w:val="0"/>
          <w:marBottom w:val="0"/>
          <w:divBdr>
            <w:top w:val="none" w:sz="0" w:space="0" w:color="auto"/>
            <w:left w:val="none" w:sz="0" w:space="0" w:color="auto"/>
            <w:bottom w:val="none" w:sz="0" w:space="0" w:color="auto"/>
            <w:right w:val="none" w:sz="0" w:space="0" w:color="auto"/>
          </w:divBdr>
        </w:div>
        <w:div w:id="226261003">
          <w:marLeft w:val="547"/>
          <w:marRight w:val="0"/>
          <w:marTop w:val="0"/>
          <w:marBottom w:val="0"/>
          <w:divBdr>
            <w:top w:val="none" w:sz="0" w:space="0" w:color="auto"/>
            <w:left w:val="none" w:sz="0" w:space="0" w:color="auto"/>
            <w:bottom w:val="none" w:sz="0" w:space="0" w:color="auto"/>
            <w:right w:val="none" w:sz="0" w:space="0" w:color="auto"/>
          </w:divBdr>
        </w:div>
        <w:div w:id="1737623761">
          <w:marLeft w:val="547"/>
          <w:marRight w:val="0"/>
          <w:marTop w:val="0"/>
          <w:marBottom w:val="0"/>
          <w:divBdr>
            <w:top w:val="none" w:sz="0" w:space="0" w:color="auto"/>
            <w:left w:val="none" w:sz="0" w:space="0" w:color="auto"/>
            <w:bottom w:val="none" w:sz="0" w:space="0" w:color="auto"/>
            <w:right w:val="none" w:sz="0" w:space="0" w:color="auto"/>
          </w:divBdr>
        </w:div>
        <w:div w:id="1839729136">
          <w:marLeft w:val="547"/>
          <w:marRight w:val="0"/>
          <w:marTop w:val="0"/>
          <w:marBottom w:val="0"/>
          <w:divBdr>
            <w:top w:val="none" w:sz="0" w:space="0" w:color="auto"/>
            <w:left w:val="none" w:sz="0" w:space="0" w:color="auto"/>
            <w:bottom w:val="none" w:sz="0" w:space="0" w:color="auto"/>
            <w:right w:val="none" w:sz="0" w:space="0" w:color="auto"/>
          </w:divBdr>
        </w:div>
        <w:div w:id="712190841">
          <w:marLeft w:val="547"/>
          <w:marRight w:val="0"/>
          <w:marTop w:val="0"/>
          <w:marBottom w:val="0"/>
          <w:divBdr>
            <w:top w:val="none" w:sz="0" w:space="0" w:color="auto"/>
            <w:left w:val="none" w:sz="0" w:space="0" w:color="auto"/>
            <w:bottom w:val="none" w:sz="0" w:space="0" w:color="auto"/>
            <w:right w:val="none" w:sz="0" w:space="0" w:color="auto"/>
          </w:divBdr>
        </w:div>
        <w:div w:id="1904245321">
          <w:marLeft w:val="547"/>
          <w:marRight w:val="0"/>
          <w:marTop w:val="0"/>
          <w:marBottom w:val="0"/>
          <w:divBdr>
            <w:top w:val="none" w:sz="0" w:space="0" w:color="auto"/>
            <w:left w:val="none" w:sz="0" w:space="0" w:color="auto"/>
            <w:bottom w:val="none" w:sz="0" w:space="0" w:color="auto"/>
            <w:right w:val="none" w:sz="0" w:space="0" w:color="auto"/>
          </w:divBdr>
        </w:div>
        <w:div w:id="651182001">
          <w:marLeft w:val="547"/>
          <w:marRight w:val="0"/>
          <w:marTop w:val="0"/>
          <w:marBottom w:val="0"/>
          <w:divBdr>
            <w:top w:val="none" w:sz="0" w:space="0" w:color="auto"/>
            <w:left w:val="none" w:sz="0" w:space="0" w:color="auto"/>
            <w:bottom w:val="none" w:sz="0" w:space="0" w:color="auto"/>
            <w:right w:val="none" w:sz="0" w:space="0" w:color="auto"/>
          </w:divBdr>
        </w:div>
        <w:div w:id="560021902">
          <w:marLeft w:val="547"/>
          <w:marRight w:val="0"/>
          <w:marTop w:val="0"/>
          <w:marBottom w:val="0"/>
          <w:divBdr>
            <w:top w:val="none" w:sz="0" w:space="0" w:color="auto"/>
            <w:left w:val="none" w:sz="0" w:space="0" w:color="auto"/>
            <w:bottom w:val="none" w:sz="0" w:space="0" w:color="auto"/>
            <w:right w:val="none" w:sz="0" w:space="0" w:color="auto"/>
          </w:divBdr>
        </w:div>
        <w:div w:id="24256350">
          <w:marLeft w:val="547"/>
          <w:marRight w:val="0"/>
          <w:marTop w:val="0"/>
          <w:marBottom w:val="0"/>
          <w:divBdr>
            <w:top w:val="none" w:sz="0" w:space="0" w:color="auto"/>
            <w:left w:val="none" w:sz="0" w:space="0" w:color="auto"/>
            <w:bottom w:val="none" w:sz="0" w:space="0" w:color="auto"/>
            <w:right w:val="none" w:sz="0" w:space="0" w:color="auto"/>
          </w:divBdr>
        </w:div>
        <w:div w:id="1489980785">
          <w:marLeft w:val="547"/>
          <w:marRight w:val="0"/>
          <w:marTop w:val="0"/>
          <w:marBottom w:val="0"/>
          <w:divBdr>
            <w:top w:val="none" w:sz="0" w:space="0" w:color="auto"/>
            <w:left w:val="none" w:sz="0" w:space="0" w:color="auto"/>
            <w:bottom w:val="none" w:sz="0" w:space="0" w:color="auto"/>
            <w:right w:val="none" w:sz="0" w:space="0" w:color="auto"/>
          </w:divBdr>
        </w:div>
      </w:divsChild>
    </w:div>
    <w:div w:id="2078240294">
      <w:bodyDiv w:val="1"/>
      <w:marLeft w:val="0"/>
      <w:marRight w:val="0"/>
      <w:marTop w:val="0"/>
      <w:marBottom w:val="0"/>
      <w:divBdr>
        <w:top w:val="none" w:sz="0" w:space="0" w:color="auto"/>
        <w:left w:val="none" w:sz="0" w:space="0" w:color="auto"/>
        <w:bottom w:val="none" w:sz="0" w:space="0" w:color="auto"/>
        <w:right w:val="none" w:sz="0" w:space="0" w:color="auto"/>
      </w:divBdr>
      <w:divsChild>
        <w:div w:id="1718580759">
          <w:marLeft w:val="965"/>
          <w:marRight w:val="0"/>
          <w:marTop w:val="0"/>
          <w:marBottom w:val="0"/>
          <w:divBdr>
            <w:top w:val="none" w:sz="0" w:space="0" w:color="auto"/>
            <w:left w:val="none" w:sz="0" w:space="0" w:color="auto"/>
            <w:bottom w:val="none" w:sz="0" w:space="0" w:color="auto"/>
            <w:right w:val="none" w:sz="0" w:space="0" w:color="auto"/>
          </w:divBdr>
        </w:div>
      </w:divsChild>
    </w:div>
    <w:div w:id="2094469622">
      <w:bodyDiv w:val="1"/>
      <w:marLeft w:val="0"/>
      <w:marRight w:val="0"/>
      <w:marTop w:val="0"/>
      <w:marBottom w:val="0"/>
      <w:divBdr>
        <w:top w:val="none" w:sz="0" w:space="0" w:color="auto"/>
        <w:left w:val="none" w:sz="0" w:space="0" w:color="auto"/>
        <w:bottom w:val="none" w:sz="0" w:space="0" w:color="auto"/>
        <w:right w:val="none" w:sz="0" w:space="0" w:color="auto"/>
      </w:divBdr>
      <w:divsChild>
        <w:div w:id="20056207">
          <w:marLeft w:val="0"/>
          <w:marRight w:val="0"/>
          <w:marTop w:val="0"/>
          <w:marBottom w:val="0"/>
          <w:divBdr>
            <w:top w:val="none" w:sz="0" w:space="0" w:color="auto"/>
            <w:left w:val="none" w:sz="0" w:space="0" w:color="auto"/>
            <w:bottom w:val="none" w:sz="0" w:space="0" w:color="auto"/>
            <w:right w:val="none" w:sz="0" w:space="0" w:color="auto"/>
          </w:divBdr>
        </w:div>
        <w:div w:id="96215586">
          <w:marLeft w:val="0"/>
          <w:marRight w:val="0"/>
          <w:marTop w:val="0"/>
          <w:marBottom w:val="0"/>
          <w:divBdr>
            <w:top w:val="none" w:sz="0" w:space="0" w:color="auto"/>
            <w:left w:val="none" w:sz="0" w:space="0" w:color="auto"/>
            <w:bottom w:val="none" w:sz="0" w:space="0" w:color="auto"/>
            <w:right w:val="none" w:sz="0" w:space="0" w:color="auto"/>
          </w:divBdr>
        </w:div>
        <w:div w:id="104471536">
          <w:marLeft w:val="0"/>
          <w:marRight w:val="0"/>
          <w:marTop w:val="0"/>
          <w:marBottom w:val="0"/>
          <w:divBdr>
            <w:top w:val="none" w:sz="0" w:space="0" w:color="auto"/>
            <w:left w:val="none" w:sz="0" w:space="0" w:color="auto"/>
            <w:bottom w:val="none" w:sz="0" w:space="0" w:color="auto"/>
            <w:right w:val="none" w:sz="0" w:space="0" w:color="auto"/>
          </w:divBdr>
        </w:div>
        <w:div w:id="110709137">
          <w:marLeft w:val="0"/>
          <w:marRight w:val="0"/>
          <w:marTop w:val="0"/>
          <w:marBottom w:val="0"/>
          <w:divBdr>
            <w:top w:val="none" w:sz="0" w:space="0" w:color="auto"/>
            <w:left w:val="none" w:sz="0" w:space="0" w:color="auto"/>
            <w:bottom w:val="none" w:sz="0" w:space="0" w:color="auto"/>
            <w:right w:val="none" w:sz="0" w:space="0" w:color="auto"/>
          </w:divBdr>
        </w:div>
        <w:div w:id="126974991">
          <w:marLeft w:val="0"/>
          <w:marRight w:val="0"/>
          <w:marTop w:val="0"/>
          <w:marBottom w:val="0"/>
          <w:divBdr>
            <w:top w:val="none" w:sz="0" w:space="0" w:color="auto"/>
            <w:left w:val="none" w:sz="0" w:space="0" w:color="auto"/>
            <w:bottom w:val="none" w:sz="0" w:space="0" w:color="auto"/>
            <w:right w:val="none" w:sz="0" w:space="0" w:color="auto"/>
          </w:divBdr>
        </w:div>
        <w:div w:id="134414379">
          <w:marLeft w:val="0"/>
          <w:marRight w:val="0"/>
          <w:marTop w:val="0"/>
          <w:marBottom w:val="0"/>
          <w:divBdr>
            <w:top w:val="none" w:sz="0" w:space="0" w:color="auto"/>
            <w:left w:val="none" w:sz="0" w:space="0" w:color="auto"/>
            <w:bottom w:val="none" w:sz="0" w:space="0" w:color="auto"/>
            <w:right w:val="none" w:sz="0" w:space="0" w:color="auto"/>
          </w:divBdr>
        </w:div>
        <w:div w:id="183328124">
          <w:marLeft w:val="0"/>
          <w:marRight w:val="0"/>
          <w:marTop w:val="0"/>
          <w:marBottom w:val="0"/>
          <w:divBdr>
            <w:top w:val="none" w:sz="0" w:space="0" w:color="auto"/>
            <w:left w:val="none" w:sz="0" w:space="0" w:color="auto"/>
            <w:bottom w:val="none" w:sz="0" w:space="0" w:color="auto"/>
            <w:right w:val="none" w:sz="0" w:space="0" w:color="auto"/>
          </w:divBdr>
        </w:div>
        <w:div w:id="191387908">
          <w:marLeft w:val="0"/>
          <w:marRight w:val="0"/>
          <w:marTop w:val="0"/>
          <w:marBottom w:val="0"/>
          <w:divBdr>
            <w:top w:val="none" w:sz="0" w:space="0" w:color="auto"/>
            <w:left w:val="none" w:sz="0" w:space="0" w:color="auto"/>
            <w:bottom w:val="none" w:sz="0" w:space="0" w:color="auto"/>
            <w:right w:val="none" w:sz="0" w:space="0" w:color="auto"/>
          </w:divBdr>
        </w:div>
        <w:div w:id="246041197">
          <w:marLeft w:val="0"/>
          <w:marRight w:val="0"/>
          <w:marTop w:val="0"/>
          <w:marBottom w:val="0"/>
          <w:divBdr>
            <w:top w:val="none" w:sz="0" w:space="0" w:color="auto"/>
            <w:left w:val="none" w:sz="0" w:space="0" w:color="auto"/>
            <w:bottom w:val="none" w:sz="0" w:space="0" w:color="auto"/>
            <w:right w:val="none" w:sz="0" w:space="0" w:color="auto"/>
          </w:divBdr>
        </w:div>
        <w:div w:id="370034228">
          <w:marLeft w:val="0"/>
          <w:marRight w:val="0"/>
          <w:marTop w:val="0"/>
          <w:marBottom w:val="0"/>
          <w:divBdr>
            <w:top w:val="none" w:sz="0" w:space="0" w:color="auto"/>
            <w:left w:val="none" w:sz="0" w:space="0" w:color="auto"/>
            <w:bottom w:val="none" w:sz="0" w:space="0" w:color="auto"/>
            <w:right w:val="none" w:sz="0" w:space="0" w:color="auto"/>
          </w:divBdr>
        </w:div>
        <w:div w:id="378239541">
          <w:marLeft w:val="0"/>
          <w:marRight w:val="0"/>
          <w:marTop w:val="0"/>
          <w:marBottom w:val="0"/>
          <w:divBdr>
            <w:top w:val="none" w:sz="0" w:space="0" w:color="auto"/>
            <w:left w:val="none" w:sz="0" w:space="0" w:color="auto"/>
            <w:bottom w:val="none" w:sz="0" w:space="0" w:color="auto"/>
            <w:right w:val="none" w:sz="0" w:space="0" w:color="auto"/>
          </w:divBdr>
        </w:div>
        <w:div w:id="391537846">
          <w:marLeft w:val="0"/>
          <w:marRight w:val="0"/>
          <w:marTop w:val="0"/>
          <w:marBottom w:val="0"/>
          <w:divBdr>
            <w:top w:val="none" w:sz="0" w:space="0" w:color="auto"/>
            <w:left w:val="none" w:sz="0" w:space="0" w:color="auto"/>
            <w:bottom w:val="none" w:sz="0" w:space="0" w:color="auto"/>
            <w:right w:val="none" w:sz="0" w:space="0" w:color="auto"/>
          </w:divBdr>
        </w:div>
        <w:div w:id="420682450">
          <w:marLeft w:val="0"/>
          <w:marRight w:val="0"/>
          <w:marTop w:val="0"/>
          <w:marBottom w:val="0"/>
          <w:divBdr>
            <w:top w:val="none" w:sz="0" w:space="0" w:color="auto"/>
            <w:left w:val="none" w:sz="0" w:space="0" w:color="auto"/>
            <w:bottom w:val="none" w:sz="0" w:space="0" w:color="auto"/>
            <w:right w:val="none" w:sz="0" w:space="0" w:color="auto"/>
          </w:divBdr>
        </w:div>
        <w:div w:id="429275638">
          <w:marLeft w:val="0"/>
          <w:marRight w:val="0"/>
          <w:marTop w:val="0"/>
          <w:marBottom w:val="0"/>
          <w:divBdr>
            <w:top w:val="none" w:sz="0" w:space="0" w:color="auto"/>
            <w:left w:val="none" w:sz="0" w:space="0" w:color="auto"/>
            <w:bottom w:val="none" w:sz="0" w:space="0" w:color="auto"/>
            <w:right w:val="none" w:sz="0" w:space="0" w:color="auto"/>
          </w:divBdr>
        </w:div>
        <w:div w:id="477380250">
          <w:marLeft w:val="0"/>
          <w:marRight w:val="0"/>
          <w:marTop w:val="0"/>
          <w:marBottom w:val="0"/>
          <w:divBdr>
            <w:top w:val="none" w:sz="0" w:space="0" w:color="auto"/>
            <w:left w:val="none" w:sz="0" w:space="0" w:color="auto"/>
            <w:bottom w:val="none" w:sz="0" w:space="0" w:color="auto"/>
            <w:right w:val="none" w:sz="0" w:space="0" w:color="auto"/>
          </w:divBdr>
        </w:div>
        <w:div w:id="545143704">
          <w:marLeft w:val="0"/>
          <w:marRight w:val="0"/>
          <w:marTop w:val="0"/>
          <w:marBottom w:val="0"/>
          <w:divBdr>
            <w:top w:val="none" w:sz="0" w:space="0" w:color="auto"/>
            <w:left w:val="none" w:sz="0" w:space="0" w:color="auto"/>
            <w:bottom w:val="none" w:sz="0" w:space="0" w:color="auto"/>
            <w:right w:val="none" w:sz="0" w:space="0" w:color="auto"/>
          </w:divBdr>
        </w:div>
        <w:div w:id="545410897">
          <w:marLeft w:val="0"/>
          <w:marRight w:val="0"/>
          <w:marTop w:val="0"/>
          <w:marBottom w:val="0"/>
          <w:divBdr>
            <w:top w:val="none" w:sz="0" w:space="0" w:color="auto"/>
            <w:left w:val="none" w:sz="0" w:space="0" w:color="auto"/>
            <w:bottom w:val="none" w:sz="0" w:space="0" w:color="auto"/>
            <w:right w:val="none" w:sz="0" w:space="0" w:color="auto"/>
          </w:divBdr>
        </w:div>
        <w:div w:id="584460378">
          <w:marLeft w:val="0"/>
          <w:marRight w:val="0"/>
          <w:marTop w:val="0"/>
          <w:marBottom w:val="0"/>
          <w:divBdr>
            <w:top w:val="none" w:sz="0" w:space="0" w:color="auto"/>
            <w:left w:val="none" w:sz="0" w:space="0" w:color="auto"/>
            <w:bottom w:val="none" w:sz="0" w:space="0" w:color="auto"/>
            <w:right w:val="none" w:sz="0" w:space="0" w:color="auto"/>
          </w:divBdr>
        </w:div>
        <w:div w:id="591858570">
          <w:marLeft w:val="0"/>
          <w:marRight w:val="0"/>
          <w:marTop w:val="0"/>
          <w:marBottom w:val="0"/>
          <w:divBdr>
            <w:top w:val="none" w:sz="0" w:space="0" w:color="auto"/>
            <w:left w:val="none" w:sz="0" w:space="0" w:color="auto"/>
            <w:bottom w:val="none" w:sz="0" w:space="0" w:color="auto"/>
            <w:right w:val="none" w:sz="0" w:space="0" w:color="auto"/>
          </w:divBdr>
        </w:div>
        <w:div w:id="704257445">
          <w:marLeft w:val="0"/>
          <w:marRight w:val="0"/>
          <w:marTop w:val="0"/>
          <w:marBottom w:val="0"/>
          <w:divBdr>
            <w:top w:val="none" w:sz="0" w:space="0" w:color="auto"/>
            <w:left w:val="none" w:sz="0" w:space="0" w:color="auto"/>
            <w:bottom w:val="none" w:sz="0" w:space="0" w:color="auto"/>
            <w:right w:val="none" w:sz="0" w:space="0" w:color="auto"/>
          </w:divBdr>
        </w:div>
        <w:div w:id="1019501726">
          <w:marLeft w:val="0"/>
          <w:marRight w:val="0"/>
          <w:marTop w:val="0"/>
          <w:marBottom w:val="0"/>
          <w:divBdr>
            <w:top w:val="none" w:sz="0" w:space="0" w:color="auto"/>
            <w:left w:val="none" w:sz="0" w:space="0" w:color="auto"/>
            <w:bottom w:val="none" w:sz="0" w:space="0" w:color="auto"/>
            <w:right w:val="none" w:sz="0" w:space="0" w:color="auto"/>
          </w:divBdr>
        </w:div>
        <w:div w:id="1031610344">
          <w:marLeft w:val="0"/>
          <w:marRight w:val="0"/>
          <w:marTop w:val="0"/>
          <w:marBottom w:val="0"/>
          <w:divBdr>
            <w:top w:val="none" w:sz="0" w:space="0" w:color="auto"/>
            <w:left w:val="none" w:sz="0" w:space="0" w:color="auto"/>
            <w:bottom w:val="none" w:sz="0" w:space="0" w:color="auto"/>
            <w:right w:val="none" w:sz="0" w:space="0" w:color="auto"/>
          </w:divBdr>
        </w:div>
        <w:div w:id="1048070936">
          <w:marLeft w:val="0"/>
          <w:marRight w:val="0"/>
          <w:marTop w:val="0"/>
          <w:marBottom w:val="0"/>
          <w:divBdr>
            <w:top w:val="none" w:sz="0" w:space="0" w:color="auto"/>
            <w:left w:val="none" w:sz="0" w:space="0" w:color="auto"/>
            <w:bottom w:val="none" w:sz="0" w:space="0" w:color="auto"/>
            <w:right w:val="none" w:sz="0" w:space="0" w:color="auto"/>
          </w:divBdr>
        </w:div>
        <w:div w:id="1064521610">
          <w:marLeft w:val="0"/>
          <w:marRight w:val="0"/>
          <w:marTop w:val="0"/>
          <w:marBottom w:val="0"/>
          <w:divBdr>
            <w:top w:val="none" w:sz="0" w:space="0" w:color="auto"/>
            <w:left w:val="none" w:sz="0" w:space="0" w:color="auto"/>
            <w:bottom w:val="none" w:sz="0" w:space="0" w:color="auto"/>
            <w:right w:val="none" w:sz="0" w:space="0" w:color="auto"/>
          </w:divBdr>
        </w:div>
        <w:div w:id="1117797134">
          <w:marLeft w:val="0"/>
          <w:marRight w:val="0"/>
          <w:marTop w:val="0"/>
          <w:marBottom w:val="0"/>
          <w:divBdr>
            <w:top w:val="none" w:sz="0" w:space="0" w:color="auto"/>
            <w:left w:val="none" w:sz="0" w:space="0" w:color="auto"/>
            <w:bottom w:val="none" w:sz="0" w:space="0" w:color="auto"/>
            <w:right w:val="none" w:sz="0" w:space="0" w:color="auto"/>
          </w:divBdr>
        </w:div>
        <w:div w:id="1175999187">
          <w:marLeft w:val="0"/>
          <w:marRight w:val="0"/>
          <w:marTop w:val="0"/>
          <w:marBottom w:val="0"/>
          <w:divBdr>
            <w:top w:val="none" w:sz="0" w:space="0" w:color="auto"/>
            <w:left w:val="none" w:sz="0" w:space="0" w:color="auto"/>
            <w:bottom w:val="none" w:sz="0" w:space="0" w:color="auto"/>
            <w:right w:val="none" w:sz="0" w:space="0" w:color="auto"/>
          </w:divBdr>
        </w:div>
        <w:div w:id="1273592643">
          <w:marLeft w:val="0"/>
          <w:marRight w:val="0"/>
          <w:marTop w:val="0"/>
          <w:marBottom w:val="0"/>
          <w:divBdr>
            <w:top w:val="none" w:sz="0" w:space="0" w:color="auto"/>
            <w:left w:val="none" w:sz="0" w:space="0" w:color="auto"/>
            <w:bottom w:val="none" w:sz="0" w:space="0" w:color="auto"/>
            <w:right w:val="none" w:sz="0" w:space="0" w:color="auto"/>
          </w:divBdr>
        </w:div>
        <w:div w:id="1306276437">
          <w:marLeft w:val="0"/>
          <w:marRight w:val="0"/>
          <w:marTop w:val="0"/>
          <w:marBottom w:val="0"/>
          <w:divBdr>
            <w:top w:val="none" w:sz="0" w:space="0" w:color="auto"/>
            <w:left w:val="none" w:sz="0" w:space="0" w:color="auto"/>
            <w:bottom w:val="none" w:sz="0" w:space="0" w:color="auto"/>
            <w:right w:val="none" w:sz="0" w:space="0" w:color="auto"/>
          </w:divBdr>
        </w:div>
        <w:div w:id="1330862610">
          <w:marLeft w:val="0"/>
          <w:marRight w:val="0"/>
          <w:marTop w:val="0"/>
          <w:marBottom w:val="0"/>
          <w:divBdr>
            <w:top w:val="none" w:sz="0" w:space="0" w:color="auto"/>
            <w:left w:val="none" w:sz="0" w:space="0" w:color="auto"/>
            <w:bottom w:val="none" w:sz="0" w:space="0" w:color="auto"/>
            <w:right w:val="none" w:sz="0" w:space="0" w:color="auto"/>
          </w:divBdr>
        </w:div>
        <w:div w:id="1334214048">
          <w:marLeft w:val="0"/>
          <w:marRight w:val="0"/>
          <w:marTop w:val="0"/>
          <w:marBottom w:val="0"/>
          <w:divBdr>
            <w:top w:val="none" w:sz="0" w:space="0" w:color="auto"/>
            <w:left w:val="none" w:sz="0" w:space="0" w:color="auto"/>
            <w:bottom w:val="none" w:sz="0" w:space="0" w:color="auto"/>
            <w:right w:val="none" w:sz="0" w:space="0" w:color="auto"/>
          </w:divBdr>
        </w:div>
        <w:div w:id="1345598292">
          <w:marLeft w:val="0"/>
          <w:marRight w:val="0"/>
          <w:marTop w:val="0"/>
          <w:marBottom w:val="0"/>
          <w:divBdr>
            <w:top w:val="none" w:sz="0" w:space="0" w:color="auto"/>
            <w:left w:val="none" w:sz="0" w:space="0" w:color="auto"/>
            <w:bottom w:val="none" w:sz="0" w:space="0" w:color="auto"/>
            <w:right w:val="none" w:sz="0" w:space="0" w:color="auto"/>
          </w:divBdr>
        </w:div>
        <w:div w:id="1427193073">
          <w:marLeft w:val="0"/>
          <w:marRight w:val="0"/>
          <w:marTop w:val="0"/>
          <w:marBottom w:val="0"/>
          <w:divBdr>
            <w:top w:val="none" w:sz="0" w:space="0" w:color="auto"/>
            <w:left w:val="none" w:sz="0" w:space="0" w:color="auto"/>
            <w:bottom w:val="none" w:sz="0" w:space="0" w:color="auto"/>
            <w:right w:val="none" w:sz="0" w:space="0" w:color="auto"/>
          </w:divBdr>
        </w:div>
        <w:div w:id="1490168552">
          <w:marLeft w:val="0"/>
          <w:marRight w:val="0"/>
          <w:marTop w:val="0"/>
          <w:marBottom w:val="0"/>
          <w:divBdr>
            <w:top w:val="none" w:sz="0" w:space="0" w:color="auto"/>
            <w:left w:val="none" w:sz="0" w:space="0" w:color="auto"/>
            <w:bottom w:val="none" w:sz="0" w:space="0" w:color="auto"/>
            <w:right w:val="none" w:sz="0" w:space="0" w:color="auto"/>
          </w:divBdr>
        </w:div>
        <w:div w:id="1501431995">
          <w:marLeft w:val="0"/>
          <w:marRight w:val="0"/>
          <w:marTop w:val="0"/>
          <w:marBottom w:val="0"/>
          <w:divBdr>
            <w:top w:val="none" w:sz="0" w:space="0" w:color="auto"/>
            <w:left w:val="none" w:sz="0" w:space="0" w:color="auto"/>
            <w:bottom w:val="none" w:sz="0" w:space="0" w:color="auto"/>
            <w:right w:val="none" w:sz="0" w:space="0" w:color="auto"/>
          </w:divBdr>
        </w:div>
        <w:div w:id="1506703854">
          <w:marLeft w:val="0"/>
          <w:marRight w:val="0"/>
          <w:marTop w:val="0"/>
          <w:marBottom w:val="0"/>
          <w:divBdr>
            <w:top w:val="none" w:sz="0" w:space="0" w:color="auto"/>
            <w:left w:val="none" w:sz="0" w:space="0" w:color="auto"/>
            <w:bottom w:val="none" w:sz="0" w:space="0" w:color="auto"/>
            <w:right w:val="none" w:sz="0" w:space="0" w:color="auto"/>
          </w:divBdr>
        </w:div>
        <w:div w:id="1509254036">
          <w:marLeft w:val="0"/>
          <w:marRight w:val="0"/>
          <w:marTop w:val="0"/>
          <w:marBottom w:val="0"/>
          <w:divBdr>
            <w:top w:val="none" w:sz="0" w:space="0" w:color="auto"/>
            <w:left w:val="none" w:sz="0" w:space="0" w:color="auto"/>
            <w:bottom w:val="none" w:sz="0" w:space="0" w:color="auto"/>
            <w:right w:val="none" w:sz="0" w:space="0" w:color="auto"/>
          </w:divBdr>
        </w:div>
        <w:div w:id="1527216085">
          <w:marLeft w:val="0"/>
          <w:marRight w:val="0"/>
          <w:marTop w:val="0"/>
          <w:marBottom w:val="0"/>
          <w:divBdr>
            <w:top w:val="none" w:sz="0" w:space="0" w:color="auto"/>
            <w:left w:val="none" w:sz="0" w:space="0" w:color="auto"/>
            <w:bottom w:val="none" w:sz="0" w:space="0" w:color="auto"/>
            <w:right w:val="none" w:sz="0" w:space="0" w:color="auto"/>
          </w:divBdr>
        </w:div>
        <w:div w:id="1543908560">
          <w:marLeft w:val="0"/>
          <w:marRight w:val="0"/>
          <w:marTop w:val="0"/>
          <w:marBottom w:val="0"/>
          <w:divBdr>
            <w:top w:val="none" w:sz="0" w:space="0" w:color="auto"/>
            <w:left w:val="none" w:sz="0" w:space="0" w:color="auto"/>
            <w:bottom w:val="none" w:sz="0" w:space="0" w:color="auto"/>
            <w:right w:val="none" w:sz="0" w:space="0" w:color="auto"/>
          </w:divBdr>
        </w:div>
        <w:div w:id="1616134479">
          <w:marLeft w:val="0"/>
          <w:marRight w:val="0"/>
          <w:marTop w:val="0"/>
          <w:marBottom w:val="0"/>
          <w:divBdr>
            <w:top w:val="none" w:sz="0" w:space="0" w:color="auto"/>
            <w:left w:val="none" w:sz="0" w:space="0" w:color="auto"/>
            <w:bottom w:val="none" w:sz="0" w:space="0" w:color="auto"/>
            <w:right w:val="none" w:sz="0" w:space="0" w:color="auto"/>
          </w:divBdr>
        </w:div>
        <w:div w:id="1664967224">
          <w:marLeft w:val="0"/>
          <w:marRight w:val="0"/>
          <w:marTop w:val="0"/>
          <w:marBottom w:val="0"/>
          <w:divBdr>
            <w:top w:val="none" w:sz="0" w:space="0" w:color="auto"/>
            <w:left w:val="none" w:sz="0" w:space="0" w:color="auto"/>
            <w:bottom w:val="none" w:sz="0" w:space="0" w:color="auto"/>
            <w:right w:val="none" w:sz="0" w:space="0" w:color="auto"/>
          </w:divBdr>
        </w:div>
        <w:div w:id="1718969750">
          <w:marLeft w:val="0"/>
          <w:marRight w:val="0"/>
          <w:marTop w:val="0"/>
          <w:marBottom w:val="0"/>
          <w:divBdr>
            <w:top w:val="none" w:sz="0" w:space="0" w:color="auto"/>
            <w:left w:val="none" w:sz="0" w:space="0" w:color="auto"/>
            <w:bottom w:val="none" w:sz="0" w:space="0" w:color="auto"/>
            <w:right w:val="none" w:sz="0" w:space="0" w:color="auto"/>
          </w:divBdr>
        </w:div>
        <w:div w:id="1767923937">
          <w:marLeft w:val="0"/>
          <w:marRight w:val="0"/>
          <w:marTop w:val="0"/>
          <w:marBottom w:val="0"/>
          <w:divBdr>
            <w:top w:val="none" w:sz="0" w:space="0" w:color="auto"/>
            <w:left w:val="none" w:sz="0" w:space="0" w:color="auto"/>
            <w:bottom w:val="none" w:sz="0" w:space="0" w:color="auto"/>
            <w:right w:val="none" w:sz="0" w:space="0" w:color="auto"/>
          </w:divBdr>
        </w:div>
        <w:div w:id="1780487220">
          <w:marLeft w:val="0"/>
          <w:marRight w:val="0"/>
          <w:marTop w:val="0"/>
          <w:marBottom w:val="0"/>
          <w:divBdr>
            <w:top w:val="none" w:sz="0" w:space="0" w:color="auto"/>
            <w:left w:val="none" w:sz="0" w:space="0" w:color="auto"/>
            <w:bottom w:val="none" w:sz="0" w:space="0" w:color="auto"/>
            <w:right w:val="none" w:sz="0" w:space="0" w:color="auto"/>
          </w:divBdr>
        </w:div>
        <w:div w:id="1959603803">
          <w:marLeft w:val="0"/>
          <w:marRight w:val="0"/>
          <w:marTop w:val="0"/>
          <w:marBottom w:val="0"/>
          <w:divBdr>
            <w:top w:val="none" w:sz="0" w:space="0" w:color="auto"/>
            <w:left w:val="none" w:sz="0" w:space="0" w:color="auto"/>
            <w:bottom w:val="none" w:sz="0" w:space="0" w:color="auto"/>
            <w:right w:val="none" w:sz="0" w:space="0" w:color="auto"/>
          </w:divBdr>
        </w:div>
        <w:div w:id="1966736743">
          <w:marLeft w:val="0"/>
          <w:marRight w:val="0"/>
          <w:marTop w:val="0"/>
          <w:marBottom w:val="0"/>
          <w:divBdr>
            <w:top w:val="none" w:sz="0" w:space="0" w:color="auto"/>
            <w:left w:val="none" w:sz="0" w:space="0" w:color="auto"/>
            <w:bottom w:val="none" w:sz="0" w:space="0" w:color="auto"/>
            <w:right w:val="none" w:sz="0" w:space="0" w:color="auto"/>
          </w:divBdr>
        </w:div>
        <w:div w:id="1988589423">
          <w:marLeft w:val="0"/>
          <w:marRight w:val="0"/>
          <w:marTop w:val="0"/>
          <w:marBottom w:val="0"/>
          <w:divBdr>
            <w:top w:val="none" w:sz="0" w:space="0" w:color="auto"/>
            <w:left w:val="none" w:sz="0" w:space="0" w:color="auto"/>
            <w:bottom w:val="none" w:sz="0" w:space="0" w:color="auto"/>
            <w:right w:val="none" w:sz="0" w:space="0" w:color="auto"/>
          </w:divBdr>
        </w:div>
        <w:div w:id="2045641399">
          <w:marLeft w:val="0"/>
          <w:marRight w:val="0"/>
          <w:marTop w:val="0"/>
          <w:marBottom w:val="0"/>
          <w:divBdr>
            <w:top w:val="none" w:sz="0" w:space="0" w:color="auto"/>
            <w:left w:val="none" w:sz="0" w:space="0" w:color="auto"/>
            <w:bottom w:val="none" w:sz="0" w:space="0" w:color="auto"/>
            <w:right w:val="none" w:sz="0" w:space="0" w:color="auto"/>
          </w:divBdr>
        </w:div>
        <w:div w:id="2140226100">
          <w:marLeft w:val="0"/>
          <w:marRight w:val="0"/>
          <w:marTop w:val="0"/>
          <w:marBottom w:val="0"/>
          <w:divBdr>
            <w:top w:val="none" w:sz="0" w:space="0" w:color="auto"/>
            <w:left w:val="none" w:sz="0" w:space="0" w:color="auto"/>
            <w:bottom w:val="none" w:sz="0" w:space="0" w:color="auto"/>
            <w:right w:val="none" w:sz="0" w:space="0" w:color="auto"/>
          </w:divBdr>
        </w:div>
        <w:div w:id="2144300014">
          <w:marLeft w:val="0"/>
          <w:marRight w:val="0"/>
          <w:marTop w:val="0"/>
          <w:marBottom w:val="0"/>
          <w:divBdr>
            <w:top w:val="none" w:sz="0" w:space="0" w:color="auto"/>
            <w:left w:val="none" w:sz="0" w:space="0" w:color="auto"/>
            <w:bottom w:val="none" w:sz="0" w:space="0" w:color="auto"/>
            <w:right w:val="none" w:sz="0" w:space="0" w:color="auto"/>
          </w:divBdr>
        </w:div>
      </w:divsChild>
    </w:div>
    <w:div w:id="2102220091">
      <w:bodyDiv w:val="1"/>
      <w:marLeft w:val="0"/>
      <w:marRight w:val="0"/>
      <w:marTop w:val="0"/>
      <w:marBottom w:val="0"/>
      <w:divBdr>
        <w:top w:val="none" w:sz="0" w:space="0" w:color="auto"/>
        <w:left w:val="none" w:sz="0" w:space="0" w:color="auto"/>
        <w:bottom w:val="none" w:sz="0" w:space="0" w:color="auto"/>
        <w:right w:val="none" w:sz="0" w:space="0" w:color="auto"/>
      </w:divBdr>
      <w:divsChild>
        <w:div w:id="2068989923">
          <w:marLeft w:val="446"/>
          <w:marRight w:val="29"/>
          <w:marTop w:val="0"/>
          <w:marBottom w:val="0"/>
          <w:divBdr>
            <w:top w:val="none" w:sz="0" w:space="0" w:color="auto"/>
            <w:left w:val="none" w:sz="0" w:space="0" w:color="auto"/>
            <w:bottom w:val="none" w:sz="0" w:space="0" w:color="auto"/>
            <w:right w:val="none" w:sz="0" w:space="0" w:color="auto"/>
          </w:divBdr>
        </w:div>
      </w:divsChild>
    </w:div>
    <w:div w:id="2102994419">
      <w:bodyDiv w:val="1"/>
      <w:marLeft w:val="0"/>
      <w:marRight w:val="0"/>
      <w:marTop w:val="0"/>
      <w:marBottom w:val="0"/>
      <w:divBdr>
        <w:top w:val="none" w:sz="0" w:space="0" w:color="auto"/>
        <w:left w:val="none" w:sz="0" w:space="0" w:color="auto"/>
        <w:bottom w:val="none" w:sz="0" w:space="0" w:color="auto"/>
        <w:right w:val="none" w:sz="0" w:space="0" w:color="auto"/>
      </w:divBdr>
      <w:divsChild>
        <w:div w:id="686565639">
          <w:marLeft w:val="720"/>
          <w:marRight w:val="0"/>
          <w:marTop w:val="115"/>
          <w:marBottom w:val="0"/>
          <w:divBdr>
            <w:top w:val="none" w:sz="0" w:space="0" w:color="auto"/>
            <w:left w:val="none" w:sz="0" w:space="0" w:color="auto"/>
            <w:bottom w:val="none" w:sz="0" w:space="0" w:color="auto"/>
            <w:right w:val="none" w:sz="0" w:space="0" w:color="auto"/>
          </w:divBdr>
        </w:div>
        <w:div w:id="897131429">
          <w:marLeft w:val="720"/>
          <w:marRight w:val="0"/>
          <w:marTop w:val="115"/>
          <w:marBottom w:val="0"/>
          <w:divBdr>
            <w:top w:val="none" w:sz="0" w:space="0" w:color="auto"/>
            <w:left w:val="none" w:sz="0" w:space="0" w:color="auto"/>
            <w:bottom w:val="none" w:sz="0" w:space="0" w:color="auto"/>
            <w:right w:val="none" w:sz="0" w:space="0" w:color="auto"/>
          </w:divBdr>
        </w:div>
        <w:div w:id="1286742105">
          <w:marLeft w:val="720"/>
          <w:marRight w:val="0"/>
          <w:marTop w:val="115"/>
          <w:marBottom w:val="0"/>
          <w:divBdr>
            <w:top w:val="none" w:sz="0" w:space="0" w:color="auto"/>
            <w:left w:val="none" w:sz="0" w:space="0" w:color="auto"/>
            <w:bottom w:val="none" w:sz="0" w:space="0" w:color="auto"/>
            <w:right w:val="none" w:sz="0" w:space="0" w:color="auto"/>
          </w:divBdr>
        </w:div>
        <w:div w:id="1610699070">
          <w:marLeft w:val="720"/>
          <w:marRight w:val="0"/>
          <w:marTop w:val="115"/>
          <w:marBottom w:val="0"/>
          <w:divBdr>
            <w:top w:val="none" w:sz="0" w:space="0" w:color="auto"/>
            <w:left w:val="none" w:sz="0" w:space="0" w:color="auto"/>
            <w:bottom w:val="none" w:sz="0" w:space="0" w:color="auto"/>
            <w:right w:val="none" w:sz="0" w:space="0" w:color="auto"/>
          </w:divBdr>
        </w:div>
      </w:divsChild>
    </w:div>
    <w:div w:id="2106799545">
      <w:bodyDiv w:val="1"/>
      <w:marLeft w:val="0"/>
      <w:marRight w:val="0"/>
      <w:marTop w:val="0"/>
      <w:marBottom w:val="0"/>
      <w:divBdr>
        <w:top w:val="none" w:sz="0" w:space="0" w:color="auto"/>
        <w:left w:val="none" w:sz="0" w:space="0" w:color="auto"/>
        <w:bottom w:val="none" w:sz="0" w:space="0" w:color="auto"/>
        <w:right w:val="none" w:sz="0" w:space="0" w:color="auto"/>
      </w:divBdr>
    </w:div>
    <w:div w:id="2107310488">
      <w:bodyDiv w:val="1"/>
      <w:marLeft w:val="0"/>
      <w:marRight w:val="0"/>
      <w:marTop w:val="0"/>
      <w:marBottom w:val="0"/>
      <w:divBdr>
        <w:top w:val="none" w:sz="0" w:space="0" w:color="auto"/>
        <w:left w:val="none" w:sz="0" w:space="0" w:color="auto"/>
        <w:bottom w:val="none" w:sz="0" w:space="0" w:color="auto"/>
        <w:right w:val="none" w:sz="0" w:space="0" w:color="auto"/>
      </w:divBdr>
      <w:divsChild>
        <w:div w:id="1401518353">
          <w:marLeft w:val="720"/>
          <w:marRight w:val="0"/>
          <w:marTop w:val="96"/>
          <w:marBottom w:val="0"/>
          <w:divBdr>
            <w:top w:val="none" w:sz="0" w:space="0" w:color="auto"/>
            <w:left w:val="none" w:sz="0" w:space="0" w:color="auto"/>
            <w:bottom w:val="none" w:sz="0" w:space="0" w:color="auto"/>
            <w:right w:val="none" w:sz="0" w:space="0" w:color="auto"/>
          </w:divBdr>
        </w:div>
        <w:div w:id="1166480863">
          <w:marLeft w:val="1166"/>
          <w:marRight w:val="0"/>
          <w:marTop w:val="77"/>
          <w:marBottom w:val="0"/>
          <w:divBdr>
            <w:top w:val="none" w:sz="0" w:space="0" w:color="auto"/>
            <w:left w:val="none" w:sz="0" w:space="0" w:color="auto"/>
            <w:bottom w:val="none" w:sz="0" w:space="0" w:color="auto"/>
            <w:right w:val="none" w:sz="0" w:space="0" w:color="auto"/>
          </w:divBdr>
        </w:div>
        <w:div w:id="1838761162">
          <w:marLeft w:val="720"/>
          <w:marRight w:val="0"/>
          <w:marTop w:val="96"/>
          <w:marBottom w:val="0"/>
          <w:divBdr>
            <w:top w:val="none" w:sz="0" w:space="0" w:color="auto"/>
            <w:left w:val="none" w:sz="0" w:space="0" w:color="auto"/>
            <w:bottom w:val="none" w:sz="0" w:space="0" w:color="auto"/>
            <w:right w:val="none" w:sz="0" w:space="0" w:color="auto"/>
          </w:divBdr>
        </w:div>
        <w:div w:id="1280454399">
          <w:marLeft w:val="720"/>
          <w:marRight w:val="0"/>
          <w:marTop w:val="96"/>
          <w:marBottom w:val="0"/>
          <w:divBdr>
            <w:top w:val="none" w:sz="0" w:space="0" w:color="auto"/>
            <w:left w:val="none" w:sz="0" w:space="0" w:color="auto"/>
            <w:bottom w:val="none" w:sz="0" w:space="0" w:color="auto"/>
            <w:right w:val="none" w:sz="0" w:space="0" w:color="auto"/>
          </w:divBdr>
        </w:div>
        <w:div w:id="858741983">
          <w:marLeft w:val="720"/>
          <w:marRight w:val="0"/>
          <w:marTop w:val="96"/>
          <w:marBottom w:val="0"/>
          <w:divBdr>
            <w:top w:val="none" w:sz="0" w:space="0" w:color="auto"/>
            <w:left w:val="none" w:sz="0" w:space="0" w:color="auto"/>
            <w:bottom w:val="none" w:sz="0" w:space="0" w:color="auto"/>
            <w:right w:val="none" w:sz="0" w:space="0" w:color="auto"/>
          </w:divBdr>
        </w:div>
      </w:divsChild>
    </w:div>
    <w:div w:id="2119131210">
      <w:bodyDiv w:val="1"/>
      <w:marLeft w:val="0"/>
      <w:marRight w:val="0"/>
      <w:marTop w:val="0"/>
      <w:marBottom w:val="0"/>
      <w:divBdr>
        <w:top w:val="none" w:sz="0" w:space="0" w:color="auto"/>
        <w:left w:val="none" w:sz="0" w:space="0" w:color="auto"/>
        <w:bottom w:val="none" w:sz="0" w:space="0" w:color="auto"/>
        <w:right w:val="none" w:sz="0" w:space="0" w:color="auto"/>
      </w:divBdr>
      <w:divsChild>
        <w:div w:id="143471757">
          <w:marLeft w:val="864"/>
          <w:marRight w:val="0"/>
          <w:marTop w:val="0"/>
          <w:marBottom w:val="0"/>
          <w:divBdr>
            <w:top w:val="none" w:sz="0" w:space="0" w:color="auto"/>
            <w:left w:val="none" w:sz="0" w:space="0" w:color="auto"/>
            <w:bottom w:val="none" w:sz="0" w:space="0" w:color="auto"/>
            <w:right w:val="none" w:sz="0" w:space="0" w:color="auto"/>
          </w:divBdr>
        </w:div>
        <w:div w:id="891162888">
          <w:marLeft w:val="864"/>
          <w:marRight w:val="0"/>
          <w:marTop w:val="0"/>
          <w:marBottom w:val="0"/>
          <w:divBdr>
            <w:top w:val="none" w:sz="0" w:space="0" w:color="auto"/>
            <w:left w:val="none" w:sz="0" w:space="0" w:color="auto"/>
            <w:bottom w:val="none" w:sz="0" w:space="0" w:color="auto"/>
            <w:right w:val="none" w:sz="0" w:space="0" w:color="auto"/>
          </w:divBdr>
        </w:div>
      </w:divsChild>
    </w:div>
    <w:div w:id="2121946778">
      <w:bodyDiv w:val="1"/>
      <w:marLeft w:val="0"/>
      <w:marRight w:val="0"/>
      <w:marTop w:val="0"/>
      <w:marBottom w:val="0"/>
      <w:divBdr>
        <w:top w:val="none" w:sz="0" w:space="0" w:color="auto"/>
        <w:left w:val="none" w:sz="0" w:space="0" w:color="auto"/>
        <w:bottom w:val="none" w:sz="0" w:space="0" w:color="auto"/>
        <w:right w:val="none" w:sz="0" w:space="0" w:color="auto"/>
      </w:divBdr>
      <w:divsChild>
        <w:div w:id="1227692110">
          <w:marLeft w:val="446"/>
          <w:marRight w:val="0"/>
          <w:marTop w:val="86"/>
          <w:marBottom w:val="0"/>
          <w:divBdr>
            <w:top w:val="none" w:sz="0" w:space="0" w:color="auto"/>
            <w:left w:val="none" w:sz="0" w:space="0" w:color="auto"/>
            <w:bottom w:val="none" w:sz="0" w:space="0" w:color="auto"/>
            <w:right w:val="none" w:sz="0" w:space="0" w:color="auto"/>
          </w:divBdr>
        </w:div>
        <w:div w:id="1863519368">
          <w:marLeft w:val="446"/>
          <w:marRight w:val="0"/>
          <w:marTop w:val="86"/>
          <w:marBottom w:val="0"/>
          <w:divBdr>
            <w:top w:val="none" w:sz="0" w:space="0" w:color="auto"/>
            <w:left w:val="none" w:sz="0" w:space="0" w:color="auto"/>
            <w:bottom w:val="none" w:sz="0" w:space="0" w:color="auto"/>
            <w:right w:val="none" w:sz="0" w:space="0" w:color="auto"/>
          </w:divBdr>
        </w:div>
      </w:divsChild>
    </w:div>
    <w:div w:id="2124835237">
      <w:bodyDiv w:val="1"/>
      <w:marLeft w:val="0"/>
      <w:marRight w:val="0"/>
      <w:marTop w:val="0"/>
      <w:marBottom w:val="0"/>
      <w:divBdr>
        <w:top w:val="none" w:sz="0" w:space="0" w:color="auto"/>
        <w:left w:val="none" w:sz="0" w:space="0" w:color="auto"/>
        <w:bottom w:val="none" w:sz="0" w:space="0" w:color="auto"/>
        <w:right w:val="none" w:sz="0" w:space="0" w:color="auto"/>
      </w:divBdr>
    </w:div>
    <w:div w:id="2126003183">
      <w:bodyDiv w:val="1"/>
      <w:marLeft w:val="0"/>
      <w:marRight w:val="0"/>
      <w:marTop w:val="0"/>
      <w:marBottom w:val="0"/>
      <w:divBdr>
        <w:top w:val="none" w:sz="0" w:space="0" w:color="auto"/>
        <w:left w:val="none" w:sz="0" w:space="0" w:color="auto"/>
        <w:bottom w:val="none" w:sz="0" w:space="0" w:color="auto"/>
        <w:right w:val="none" w:sz="0" w:space="0" w:color="auto"/>
      </w:divBdr>
    </w:div>
    <w:div w:id="214061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C639D-3F7C-47E9-96E2-5E8BA174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17513</Words>
  <Characters>99829</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Portfolio Committee on Justice and Constitutional development</vt:lpstr>
    </vt:vector>
  </TitlesOfParts>
  <Company>Parliament of South Africa</Company>
  <LinksUpToDate>false</LinksUpToDate>
  <CharactersWithSpaces>117108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Committee on Justice and Constitutional development</dc:title>
  <dc:creator>csilkstone</dc:creator>
  <cp:lastModifiedBy>User</cp:lastModifiedBy>
  <cp:revision>2</cp:revision>
  <cp:lastPrinted>2018-05-03T10:17:00Z</cp:lastPrinted>
  <dcterms:created xsi:type="dcterms:W3CDTF">2023-06-07T20:26:00Z</dcterms:created>
  <dcterms:modified xsi:type="dcterms:W3CDTF">2023-06-07T20:26:00Z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-1211724598</vt:i4>
  </property>
  <property fmtid="{D5CDD505-2E9C-101B-9397-08002B2CF9AE}" pid="3" name="_ReviewCycleID">
    <vt:i4>-1211724598</vt:i4>
  </property>
  <property fmtid="{D5CDD505-2E9C-101B-9397-08002B2CF9AE}" pid="4" name="_NewReviewCycle">
    <vt:lpwstr/>
  </property>
  <property fmtid="{D5CDD505-2E9C-101B-9397-08002B2CF9AE}" pid="5" name="_ReviewingToolsShownOnce">
    <vt:lpwstr/>
  </property>
</Properties>
</file>