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EA" w:rsidRPr="00F81AEA" w:rsidRDefault="00F81AEA" w:rsidP="00F81AEA">
      <w:pPr>
        <w:rPr>
          <w:rFonts w:ascii="Arial" w:hAnsi="Arial" w:cs="Arial"/>
          <w:b/>
          <w:i/>
        </w:rPr>
      </w:pPr>
      <w:r w:rsidRPr="00F81AEA">
        <w:rPr>
          <w:rFonts w:ascii="Arial" w:hAnsi="Arial" w:cs="Arial"/>
          <w:b/>
        </w:rPr>
        <w:t>Report of the Portfolio Committee on Justice and Correctional Services on the Draft Notice and Schedule determining the rate, with effect from 1 April 2021, at which salaries, allowances and benefits are payable to Constitutional Court judges and judges annually, dated 7 June 2022</w:t>
      </w:r>
    </w:p>
    <w:p w:rsidR="00F81AEA" w:rsidRPr="00F81AEA" w:rsidRDefault="00F81AEA" w:rsidP="00F81AEA">
      <w:pPr>
        <w:ind w:left="360"/>
        <w:rPr>
          <w:rFonts w:ascii="Arial" w:hAnsi="Arial" w:cs="Arial"/>
          <w:lang w:val="en-ZA"/>
        </w:rPr>
      </w:pPr>
    </w:p>
    <w:p w:rsidR="00F81AEA" w:rsidRPr="00F81AEA" w:rsidRDefault="00F81AEA" w:rsidP="00F81AEA">
      <w:pPr>
        <w:autoSpaceDE w:val="0"/>
        <w:autoSpaceDN w:val="0"/>
        <w:adjustRightInd w:val="0"/>
        <w:rPr>
          <w:rFonts w:ascii="Arial" w:hAnsi="Arial" w:cs="Arial"/>
        </w:rPr>
      </w:pPr>
      <w:r w:rsidRPr="00F81AEA">
        <w:rPr>
          <w:rFonts w:ascii="Arial" w:hAnsi="Arial" w:cs="Arial"/>
        </w:rPr>
        <w:t xml:space="preserve">The Portfolio Committee on Justice and Correctional Services, having considered the request for approval by Parliament of the </w:t>
      </w:r>
      <w:r w:rsidRPr="00F81AEA">
        <w:rPr>
          <w:rFonts w:ascii="Arial" w:hAnsi="Arial" w:cs="Arial"/>
          <w:lang w:val="en-GB" w:eastAsia="en-GB"/>
        </w:rPr>
        <w:t xml:space="preserve">Draft Notice and Schedule determining the rate at which salaries are payable to Constitutional Court judges and judges annually (in terms of section 2(4) of the Judges’ Remuneration and Conditions of Employment Act, 2001 (Act No.47 of 2001), with effect from 1 April 2021, </w:t>
      </w:r>
      <w:r w:rsidRPr="00F81AEA">
        <w:rPr>
          <w:rFonts w:ascii="Arial" w:hAnsi="Arial" w:cs="Arial"/>
        </w:rPr>
        <w:t xml:space="preserve">referred to it on 30 May 2022, recommends that the House approves the Draft Notice and Schedule. </w:t>
      </w:r>
    </w:p>
    <w:p w:rsidR="00F81AEA" w:rsidRPr="00F81AEA" w:rsidRDefault="00F81AEA" w:rsidP="00F81AEA">
      <w:pPr>
        <w:rPr>
          <w:rFonts w:ascii="Arial" w:hAnsi="Arial" w:cs="Arial"/>
          <w:b/>
        </w:rPr>
      </w:pPr>
    </w:p>
    <w:p w:rsidR="00F81AEA" w:rsidRPr="00F81AEA" w:rsidRDefault="00F81AEA" w:rsidP="00F81AEA">
      <w:pPr>
        <w:rPr>
          <w:rFonts w:ascii="Arial" w:hAnsi="Arial" w:cs="Arial"/>
          <w:b/>
        </w:rPr>
      </w:pPr>
      <w:r w:rsidRPr="00F81AEA">
        <w:rPr>
          <w:rFonts w:ascii="Arial" w:hAnsi="Arial" w:cs="Arial"/>
          <w:b/>
        </w:rPr>
        <w:t>Report to be considered</w:t>
      </w:r>
    </w:p>
    <w:p w:rsidR="00E9402B" w:rsidRPr="00F81AEA" w:rsidRDefault="00E9402B" w:rsidP="00F81AEA">
      <w:pPr>
        <w:rPr>
          <w:rFonts w:ascii="Arial" w:hAnsi="Arial" w:cs="Arial"/>
        </w:rPr>
      </w:pPr>
    </w:p>
    <w:sectPr w:rsidR="00E9402B" w:rsidRPr="00F81AEA"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AEA"/>
    <w:rsid w:val="00E9402B"/>
    <w:rsid w:val="00F81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EA"/>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2022-06-07T20:08:00Z</dcterms:created>
  <dcterms:modified xsi:type="dcterms:W3CDTF">2022-06-07T20:09:00Z</dcterms:modified>
</cp:coreProperties>
</file>