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3E" w:rsidRPr="00F879DE" w:rsidRDefault="00F879DE" w:rsidP="00F879DE">
      <w:pPr>
        <w:spacing w:after="0" w:line="240" w:lineRule="auto"/>
        <w:rPr>
          <w:rFonts w:ascii="Arial" w:hAnsi="Arial" w:cs="Arial"/>
          <w:b/>
          <w:bCs/>
          <w:sz w:val="20"/>
          <w:szCs w:val="20"/>
        </w:rPr>
      </w:pPr>
      <w:r w:rsidRPr="00F879DE">
        <w:rPr>
          <w:rFonts w:ascii="Arial" w:hAnsi="Arial" w:cs="Arial"/>
          <w:b/>
          <w:bCs/>
          <w:sz w:val="20"/>
          <w:szCs w:val="20"/>
        </w:rPr>
        <w:t>Report of the Portfolio Committee on Defence and Military Veterans on</w:t>
      </w:r>
      <w:r>
        <w:rPr>
          <w:rFonts w:ascii="Arial" w:hAnsi="Arial" w:cs="Arial"/>
          <w:b/>
          <w:bCs/>
          <w:sz w:val="20"/>
          <w:szCs w:val="20"/>
        </w:rPr>
        <w:t xml:space="preserve"> Budget Vote 26 Department o</w:t>
      </w:r>
      <w:r w:rsidRPr="00F879DE">
        <w:rPr>
          <w:rFonts w:ascii="Arial" w:hAnsi="Arial" w:cs="Arial"/>
          <w:b/>
          <w:bCs/>
          <w:sz w:val="20"/>
          <w:szCs w:val="20"/>
        </w:rPr>
        <w:t>f Military Veterans Dated 11 May 2022</w:t>
      </w:r>
    </w:p>
    <w:p w:rsidR="0084743E" w:rsidRPr="00F879DE" w:rsidRDefault="0084743E" w:rsidP="00F879DE">
      <w:pPr>
        <w:autoSpaceDE w:val="0"/>
        <w:autoSpaceDN w:val="0"/>
        <w:adjustRightInd w:val="0"/>
        <w:spacing w:after="0" w:line="240" w:lineRule="auto"/>
        <w:rPr>
          <w:rFonts w:ascii="Arial" w:hAnsi="Arial" w:cs="Arial"/>
          <w:sz w:val="20"/>
          <w:szCs w:val="20"/>
        </w:rPr>
      </w:pPr>
    </w:p>
    <w:p w:rsidR="0084743E" w:rsidRPr="00F879DE" w:rsidRDefault="0084743E"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The Portfolio Committee on Defence and Military Veterans (PCODMV), having considered Budget Vote 26</w:t>
      </w:r>
      <w:r w:rsidR="00386B49" w:rsidRPr="00F879DE">
        <w:rPr>
          <w:rFonts w:ascii="Arial" w:hAnsi="Arial" w:cs="Arial"/>
          <w:sz w:val="20"/>
          <w:szCs w:val="20"/>
        </w:rPr>
        <w:t>,</w:t>
      </w:r>
      <w:r w:rsidRPr="00F879DE">
        <w:rPr>
          <w:rFonts w:ascii="Arial" w:hAnsi="Arial" w:cs="Arial"/>
          <w:sz w:val="20"/>
          <w:szCs w:val="20"/>
        </w:rPr>
        <w:t xml:space="preserve"> Military Veterans, and its 2022/23 Annual Performance Plan</w:t>
      </w:r>
      <w:r w:rsidR="00386B49" w:rsidRPr="00F879DE">
        <w:rPr>
          <w:rFonts w:ascii="Arial" w:hAnsi="Arial" w:cs="Arial"/>
          <w:sz w:val="20"/>
          <w:szCs w:val="20"/>
        </w:rPr>
        <w:t xml:space="preserve"> (APP)</w:t>
      </w:r>
      <w:r w:rsidRPr="00F879DE">
        <w:rPr>
          <w:rFonts w:ascii="Arial" w:hAnsi="Arial" w:cs="Arial"/>
          <w:sz w:val="20"/>
          <w:szCs w:val="20"/>
        </w:rPr>
        <w:t xml:space="preserve"> on </w:t>
      </w:r>
      <w:r w:rsidR="005A3FCE" w:rsidRPr="00F879DE">
        <w:rPr>
          <w:rFonts w:ascii="Arial" w:hAnsi="Arial" w:cs="Arial"/>
          <w:sz w:val="20"/>
          <w:szCs w:val="20"/>
        </w:rPr>
        <w:t xml:space="preserve">11 May </w:t>
      </w:r>
      <w:r w:rsidRPr="00F879DE">
        <w:rPr>
          <w:rFonts w:ascii="Arial" w:hAnsi="Arial" w:cs="Arial"/>
          <w:sz w:val="20"/>
          <w:szCs w:val="20"/>
        </w:rPr>
        <w:t>202</w:t>
      </w:r>
      <w:r w:rsidR="005A3FCE" w:rsidRPr="00F879DE">
        <w:rPr>
          <w:rFonts w:ascii="Arial" w:hAnsi="Arial" w:cs="Arial"/>
          <w:sz w:val="20"/>
          <w:szCs w:val="20"/>
        </w:rPr>
        <w:t>2</w:t>
      </w:r>
      <w:r w:rsidR="00386B49" w:rsidRPr="00F879DE">
        <w:rPr>
          <w:rFonts w:ascii="Arial" w:hAnsi="Arial" w:cs="Arial"/>
          <w:sz w:val="20"/>
          <w:szCs w:val="20"/>
        </w:rPr>
        <w:t>,</w:t>
      </w:r>
      <w:r w:rsidRPr="00F879DE">
        <w:rPr>
          <w:rFonts w:ascii="Arial" w:hAnsi="Arial" w:cs="Arial"/>
          <w:sz w:val="20"/>
          <w:szCs w:val="20"/>
        </w:rPr>
        <w:t xml:space="preserve"> reports as follows: </w:t>
      </w:r>
    </w:p>
    <w:p w:rsidR="0084743E" w:rsidRPr="00F879DE" w:rsidRDefault="0084743E" w:rsidP="00F879DE">
      <w:pPr>
        <w:spacing w:after="0" w:line="240" w:lineRule="auto"/>
        <w:outlineLvl w:val="0"/>
        <w:rPr>
          <w:rFonts w:ascii="Arial" w:hAnsi="Arial" w:cs="Arial"/>
          <w:sz w:val="20"/>
          <w:szCs w:val="20"/>
        </w:rPr>
      </w:pPr>
    </w:p>
    <w:p w:rsidR="0084743E" w:rsidRPr="00F879DE" w:rsidRDefault="0084743E" w:rsidP="00F879DE">
      <w:pPr>
        <w:spacing w:after="0" w:line="240" w:lineRule="auto"/>
        <w:outlineLvl w:val="0"/>
        <w:rPr>
          <w:rFonts w:ascii="Arial" w:eastAsia="Arial Unicode MS" w:hAnsi="Arial" w:cs="Arial"/>
          <w:b/>
          <w:sz w:val="20"/>
          <w:szCs w:val="20"/>
          <w:u w:color="000000"/>
        </w:rPr>
      </w:pPr>
      <w:r w:rsidRPr="00F879DE">
        <w:rPr>
          <w:rFonts w:ascii="Arial" w:eastAsia="Arial Unicode MS" w:hAnsi="Arial" w:cs="Arial"/>
          <w:b/>
          <w:sz w:val="20"/>
          <w:szCs w:val="20"/>
          <w:u w:color="000000"/>
        </w:rPr>
        <w:t>1.</w:t>
      </w:r>
      <w:r w:rsidRPr="00F879DE">
        <w:rPr>
          <w:rFonts w:ascii="Arial" w:eastAsia="Arial Unicode MS" w:hAnsi="Arial" w:cs="Arial"/>
          <w:b/>
          <w:sz w:val="20"/>
          <w:szCs w:val="20"/>
          <w:u w:color="000000"/>
        </w:rPr>
        <w:tab/>
        <w:t xml:space="preserve">INTRODUCTION </w:t>
      </w:r>
    </w:p>
    <w:p w:rsidR="0084743E" w:rsidRPr="00F879DE" w:rsidRDefault="0084743E" w:rsidP="00F879DE">
      <w:pPr>
        <w:autoSpaceDE w:val="0"/>
        <w:autoSpaceDN w:val="0"/>
        <w:adjustRightInd w:val="0"/>
        <w:spacing w:after="0" w:line="240" w:lineRule="auto"/>
        <w:rPr>
          <w:rFonts w:ascii="Arial" w:hAnsi="Arial" w:cs="Arial"/>
          <w:b/>
          <w:bCs/>
          <w:sz w:val="20"/>
          <w:szCs w:val="20"/>
        </w:rPr>
      </w:pPr>
    </w:p>
    <w:p w:rsidR="0084743E" w:rsidRPr="00F879DE" w:rsidRDefault="0084743E" w:rsidP="00F879DE">
      <w:pPr>
        <w:autoSpaceDE w:val="0"/>
        <w:autoSpaceDN w:val="0"/>
        <w:adjustRightInd w:val="0"/>
        <w:spacing w:after="0" w:line="240" w:lineRule="auto"/>
        <w:rPr>
          <w:rFonts w:ascii="Arial" w:hAnsi="Arial" w:cs="Arial"/>
          <w:b/>
          <w:bCs/>
          <w:sz w:val="20"/>
          <w:szCs w:val="20"/>
        </w:rPr>
      </w:pPr>
      <w:r w:rsidRPr="00F879DE">
        <w:rPr>
          <w:rFonts w:ascii="Arial" w:hAnsi="Arial" w:cs="Arial"/>
          <w:b/>
          <w:bCs/>
          <w:sz w:val="20"/>
          <w:szCs w:val="20"/>
        </w:rPr>
        <w:t>1.1</w:t>
      </w:r>
      <w:r w:rsidRPr="00F879DE">
        <w:rPr>
          <w:rFonts w:ascii="Arial" w:hAnsi="Arial" w:cs="Arial"/>
          <w:b/>
          <w:bCs/>
          <w:sz w:val="20"/>
          <w:szCs w:val="20"/>
        </w:rPr>
        <w:tab/>
        <w:t>Mandate of the Committee</w:t>
      </w:r>
    </w:p>
    <w:p w:rsidR="0084743E" w:rsidRPr="00F879DE" w:rsidRDefault="0084743E" w:rsidP="00F879DE">
      <w:pPr>
        <w:autoSpaceDE w:val="0"/>
        <w:autoSpaceDN w:val="0"/>
        <w:adjustRightInd w:val="0"/>
        <w:spacing w:after="0" w:line="240" w:lineRule="auto"/>
        <w:rPr>
          <w:rFonts w:ascii="Arial" w:hAnsi="Arial" w:cs="Arial"/>
          <w:sz w:val="20"/>
          <w:szCs w:val="20"/>
        </w:rPr>
      </w:pPr>
    </w:p>
    <w:p w:rsidR="0084743E" w:rsidRPr="00F879DE" w:rsidRDefault="0084743E"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Section 55 (2) of the Constitution of the Republic of South Africa (1996) states that “The National Assembly must provide for mechanisms (a) to ensure that all executive organs of state in the national sphere of government are accountable to it and (b) to maintain oversight of (i) the exercise of national executive authority, including the implementation of legislation; and (ii) any organ of state.” </w:t>
      </w:r>
    </w:p>
    <w:p w:rsidR="0084743E" w:rsidRPr="00F879DE" w:rsidRDefault="0084743E" w:rsidP="00F879DE">
      <w:pPr>
        <w:autoSpaceDE w:val="0"/>
        <w:autoSpaceDN w:val="0"/>
        <w:adjustRightInd w:val="0"/>
        <w:spacing w:after="0" w:line="240" w:lineRule="auto"/>
        <w:rPr>
          <w:rFonts w:ascii="Arial" w:hAnsi="Arial" w:cs="Arial"/>
          <w:b/>
          <w:sz w:val="20"/>
          <w:szCs w:val="20"/>
        </w:rPr>
      </w:pPr>
    </w:p>
    <w:p w:rsidR="0084743E" w:rsidRPr="00F879DE" w:rsidRDefault="0084743E" w:rsidP="00F879DE">
      <w:pPr>
        <w:spacing w:after="0" w:line="240" w:lineRule="auto"/>
        <w:rPr>
          <w:rFonts w:ascii="Arial" w:hAnsi="Arial" w:cs="Arial"/>
          <w:b/>
          <w:sz w:val="20"/>
          <w:szCs w:val="20"/>
        </w:rPr>
      </w:pPr>
      <w:r w:rsidRPr="00F879DE">
        <w:rPr>
          <w:rFonts w:ascii="Arial" w:hAnsi="Arial" w:cs="Arial"/>
          <w:b/>
          <w:sz w:val="20"/>
          <w:szCs w:val="20"/>
        </w:rPr>
        <w:t>1.2</w:t>
      </w:r>
      <w:r w:rsidRPr="00F879DE">
        <w:rPr>
          <w:rFonts w:ascii="Arial" w:hAnsi="Arial" w:cs="Arial"/>
          <w:b/>
          <w:sz w:val="20"/>
          <w:szCs w:val="20"/>
        </w:rPr>
        <w:tab/>
        <w:t xml:space="preserve">Process </w:t>
      </w:r>
    </w:p>
    <w:p w:rsidR="0084743E" w:rsidRPr="00F879DE" w:rsidRDefault="0084743E" w:rsidP="00F879DE">
      <w:pPr>
        <w:spacing w:after="0" w:line="240" w:lineRule="auto"/>
        <w:rPr>
          <w:rFonts w:ascii="Arial" w:hAnsi="Arial" w:cs="Arial"/>
          <w:b/>
          <w:sz w:val="20"/>
          <w:szCs w:val="20"/>
        </w:rPr>
      </w:pPr>
    </w:p>
    <w:p w:rsidR="00870DBB" w:rsidRPr="00F879DE" w:rsidRDefault="0084743E" w:rsidP="00F879DE">
      <w:pPr>
        <w:spacing w:after="0" w:line="240" w:lineRule="auto"/>
        <w:rPr>
          <w:rFonts w:ascii="Arial" w:hAnsi="Arial" w:cs="Arial"/>
          <w:sz w:val="20"/>
          <w:szCs w:val="20"/>
        </w:rPr>
      </w:pPr>
      <w:r w:rsidRPr="00F879DE">
        <w:rPr>
          <w:rFonts w:ascii="Arial" w:hAnsi="Arial" w:cs="Arial"/>
          <w:sz w:val="20"/>
          <w:szCs w:val="20"/>
        </w:rPr>
        <w:t xml:space="preserve">The Portfolio Committee considered the Department of Military Veterans’ 2022/23 </w:t>
      </w:r>
      <w:r w:rsidR="00386B49" w:rsidRPr="00F879DE">
        <w:rPr>
          <w:rFonts w:ascii="Arial" w:hAnsi="Arial" w:cs="Arial"/>
          <w:sz w:val="20"/>
          <w:szCs w:val="20"/>
        </w:rPr>
        <w:t>APP</w:t>
      </w:r>
      <w:r w:rsidRPr="00F879DE">
        <w:rPr>
          <w:rFonts w:ascii="Arial" w:hAnsi="Arial" w:cs="Arial"/>
          <w:sz w:val="20"/>
          <w:szCs w:val="20"/>
        </w:rPr>
        <w:t xml:space="preserve"> as well as its 2022/23 budgetary allocation on </w:t>
      </w:r>
      <w:r w:rsidR="003B71B6" w:rsidRPr="00F879DE">
        <w:rPr>
          <w:rFonts w:ascii="Arial" w:hAnsi="Arial" w:cs="Arial"/>
          <w:sz w:val="20"/>
          <w:szCs w:val="20"/>
        </w:rPr>
        <w:t xml:space="preserve">20 April and </w:t>
      </w:r>
      <w:r w:rsidR="005A3FCE" w:rsidRPr="00F879DE">
        <w:rPr>
          <w:rFonts w:ascii="Arial" w:hAnsi="Arial" w:cs="Arial"/>
          <w:sz w:val="20"/>
          <w:szCs w:val="20"/>
        </w:rPr>
        <w:t xml:space="preserve">11 May </w:t>
      </w:r>
      <w:r w:rsidRPr="00F879DE">
        <w:rPr>
          <w:rFonts w:ascii="Arial" w:hAnsi="Arial" w:cs="Arial"/>
          <w:sz w:val="20"/>
          <w:szCs w:val="20"/>
        </w:rPr>
        <w:t>202</w:t>
      </w:r>
      <w:r w:rsidR="005A3FCE" w:rsidRPr="00F879DE">
        <w:rPr>
          <w:rFonts w:ascii="Arial" w:hAnsi="Arial" w:cs="Arial"/>
          <w:sz w:val="20"/>
          <w:szCs w:val="20"/>
        </w:rPr>
        <w:t>2</w:t>
      </w:r>
      <w:r w:rsidRPr="00F879DE">
        <w:rPr>
          <w:rFonts w:ascii="Arial" w:hAnsi="Arial" w:cs="Arial"/>
          <w:sz w:val="20"/>
          <w:szCs w:val="20"/>
        </w:rPr>
        <w:t>. The Committee made several observations that led to recommendations to the DMV, to enhance their performance for the remain</w:t>
      </w:r>
      <w:r w:rsidR="00870DBB" w:rsidRPr="00F879DE">
        <w:rPr>
          <w:rFonts w:ascii="Arial" w:hAnsi="Arial" w:cs="Arial"/>
          <w:sz w:val="20"/>
          <w:szCs w:val="20"/>
        </w:rPr>
        <w:t>d</w:t>
      </w:r>
      <w:r w:rsidRPr="00F879DE">
        <w:rPr>
          <w:rFonts w:ascii="Arial" w:hAnsi="Arial" w:cs="Arial"/>
          <w:sz w:val="20"/>
          <w:szCs w:val="20"/>
        </w:rPr>
        <w:t>e</w:t>
      </w:r>
      <w:r w:rsidR="00870DBB" w:rsidRPr="00F879DE">
        <w:rPr>
          <w:rFonts w:ascii="Arial" w:hAnsi="Arial" w:cs="Arial"/>
          <w:sz w:val="20"/>
          <w:szCs w:val="20"/>
        </w:rPr>
        <w:t>r</w:t>
      </w:r>
      <w:r w:rsidRPr="00F879DE">
        <w:rPr>
          <w:rFonts w:ascii="Arial" w:hAnsi="Arial" w:cs="Arial"/>
          <w:sz w:val="20"/>
          <w:szCs w:val="20"/>
        </w:rPr>
        <w:t xml:space="preserve"> of 202</w:t>
      </w:r>
      <w:r w:rsidR="00870DBB" w:rsidRPr="00F879DE">
        <w:rPr>
          <w:rFonts w:ascii="Arial" w:hAnsi="Arial" w:cs="Arial"/>
          <w:sz w:val="20"/>
          <w:szCs w:val="20"/>
        </w:rPr>
        <w:t>2</w:t>
      </w:r>
      <w:r w:rsidRPr="00F879DE">
        <w:rPr>
          <w:rFonts w:ascii="Arial" w:hAnsi="Arial" w:cs="Arial"/>
          <w:sz w:val="20"/>
          <w:szCs w:val="20"/>
        </w:rPr>
        <w:t>/2</w:t>
      </w:r>
      <w:r w:rsidR="00870DBB" w:rsidRPr="00F879DE">
        <w:rPr>
          <w:rFonts w:ascii="Arial" w:hAnsi="Arial" w:cs="Arial"/>
          <w:sz w:val="20"/>
          <w:szCs w:val="20"/>
        </w:rPr>
        <w:t>3</w:t>
      </w:r>
      <w:r w:rsidRPr="00F879DE">
        <w:rPr>
          <w:rFonts w:ascii="Arial" w:hAnsi="Arial" w:cs="Arial"/>
          <w:sz w:val="20"/>
          <w:szCs w:val="20"/>
        </w:rPr>
        <w:t>.</w:t>
      </w:r>
      <w:r w:rsidR="00870DBB" w:rsidRPr="00F879DE">
        <w:rPr>
          <w:rFonts w:ascii="Arial" w:hAnsi="Arial" w:cs="Arial"/>
          <w:sz w:val="20"/>
          <w:szCs w:val="20"/>
        </w:rPr>
        <w:t xml:space="preserve"> The Department of Military Veterans (DMV) submitted its APP for 2022/23 to Parliament on 9 March 2022. The Department’s annual budgetary allocation is outlined in National Treasury’s 2022/23 Estimates of National Expenditure (ENE) as Vote 26. </w:t>
      </w:r>
    </w:p>
    <w:p w:rsidR="00870DBB" w:rsidRPr="00F879DE" w:rsidRDefault="00870DBB" w:rsidP="00F879DE">
      <w:pPr>
        <w:spacing w:after="0" w:line="240" w:lineRule="auto"/>
        <w:rPr>
          <w:rFonts w:ascii="Arial" w:hAnsi="Arial" w:cs="Arial"/>
          <w:b/>
          <w:sz w:val="20"/>
          <w:szCs w:val="20"/>
        </w:rPr>
      </w:pPr>
      <w:r w:rsidRPr="00F879DE">
        <w:rPr>
          <w:rFonts w:ascii="Arial" w:hAnsi="Arial" w:cs="Arial"/>
          <w:sz w:val="20"/>
          <w:szCs w:val="20"/>
        </w:rPr>
        <w:t xml:space="preserve"> </w:t>
      </w:r>
      <w:r w:rsidRPr="00F879DE">
        <w:rPr>
          <w:rFonts w:ascii="Arial" w:hAnsi="Arial" w:cs="Arial"/>
          <w:b/>
          <w:sz w:val="20"/>
          <w:szCs w:val="20"/>
        </w:rPr>
        <w:t>2.</w:t>
      </w:r>
      <w:r w:rsidRPr="00F879DE">
        <w:rPr>
          <w:rFonts w:ascii="Arial" w:hAnsi="Arial" w:cs="Arial"/>
          <w:b/>
          <w:sz w:val="20"/>
          <w:szCs w:val="20"/>
        </w:rPr>
        <w:tab/>
        <w:t xml:space="preserve">FOREWORD BY THE MINISTER AND DEPUTY MINISTER </w:t>
      </w:r>
    </w:p>
    <w:p w:rsidR="00870DBB" w:rsidRPr="00F879DE" w:rsidRDefault="00870DBB" w:rsidP="00F879DE">
      <w:pPr>
        <w:pStyle w:val="Default"/>
        <w:rPr>
          <w:bCs/>
          <w:color w:val="auto"/>
          <w:sz w:val="20"/>
          <w:szCs w:val="20"/>
        </w:rPr>
      </w:pPr>
      <w:r w:rsidRPr="00F879DE">
        <w:rPr>
          <w:bCs/>
          <w:color w:val="auto"/>
          <w:sz w:val="20"/>
          <w:szCs w:val="20"/>
        </w:rPr>
        <w:t xml:space="preserve">The Minister points out that the Department’s priorities are, </w:t>
      </w:r>
      <w:r w:rsidRPr="00F879DE">
        <w:rPr>
          <w:bCs/>
          <w:i/>
          <w:color w:val="auto"/>
          <w:sz w:val="20"/>
          <w:szCs w:val="20"/>
        </w:rPr>
        <w:t>inter alia</w:t>
      </w:r>
      <w:r w:rsidRPr="00F879DE">
        <w:rPr>
          <w:bCs/>
          <w:color w:val="auto"/>
          <w:sz w:val="20"/>
          <w:szCs w:val="20"/>
        </w:rPr>
        <w:t xml:space="preserve">: </w:t>
      </w:r>
    </w:p>
    <w:p w:rsidR="00870DBB" w:rsidRPr="00F879DE" w:rsidRDefault="00870DBB" w:rsidP="00F879DE">
      <w:pPr>
        <w:pStyle w:val="Default"/>
        <w:rPr>
          <w:bCs/>
          <w:color w:val="auto"/>
          <w:sz w:val="20"/>
          <w:szCs w:val="20"/>
        </w:rPr>
      </w:pPr>
    </w:p>
    <w:p w:rsidR="00870DBB" w:rsidRPr="00F879DE" w:rsidRDefault="00870DBB" w:rsidP="00F879DE">
      <w:pPr>
        <w:pStyle w:val="Default"/>
        <w:numPr>
          <w:ilvl w:val="0"/>
          <w:numId w:val="7"/>
        </w:numPr>
        <w:rPr>
          <w:color w:val="auto"/>
          <w:sz w:val="20"/>
          <w:szCs w:val="20"/>
        </w:rPr>
      </w:pPr>
      <w:r w:rsidRPr="00F879DE">
        <w:rPr>
          <w:color w:val="auto"/>
          <w:sz w:val="20"/>
          <w:szCs w:val="20"/>
        </w:rPr>
        <w:t xml:space="preserve">Economic Transformation and Job Creation for Military Veterans; </w:t>
      </w:r>
    </w:p>
    <w:p w:rsidR="00870DBB" w:rsidRPr="00F879DE" w:rsidRDefault="00870DBB" w:rsidP="00F879DE">
      <w:pPr>
        <w:pStyle w:val="ListParagraph"/>
        <w:numPr>
          <w:ilvl w:val="0"/>
          <w:numId w:val="7"/>
        </w:num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Consolidating the social wage through reliable and quality basis services;</w:t>
      </w:r>
    </w:p>
    <w:p w:rsidR="00870DBB" w:rsidRPr="00F879DE" w:rsidRDefault="00870DBB" w:rsidP="00F879DE">
      <w:pPr>
        <w:pStyle w:val="ListParagraph"/>
        <w:numPr>
          <w:ilvl w:val="0"/>
          <w:numId w:val="7"/>
        </w:num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Development and promulgation of regulations on the Advisory Council, Appeal Board and the National Military Veterans Association; and</w:t>
      </w:r>
    </w:p>
    <w:p w:rsidR="00870DBB" w:rsidRPr="00F879DE" w:rsidRDefault="00870DBB" w:rsidP="00F879DE">
      <w:pPr>
        <w:pStyle w:val="ListParagraph"/>
        <w:numPr>
          <w:ilvl w:val="0"/>
          <w:numId w:val="7"/>
        </w:numPr>
        <w:autoSpaceDE w:val="0"/>
        <w:autoSpaceDN w:val="0"/>
        <w:adjustRightInd w:val="0"/>
        <w:spacing w:after="0" w:line="240" w:lineRule="auto"/>
        <w:rPr>
          <w:rFonts w:ascii="Arial" w:hAnsi="Arial" w:cs="Arial"/>
          <w:bCs/>
          <w:sz w:val="20"/>
          <w:szCs w:val="20"/>
        </w:rPr>
      </w:pPr>
      <w:r w:rsidRPr="00F879DE">
        <w:rPr>
          <w:rFonts w:ascii="Arial" w:hAnsi="Arial" w:cs="Arial"/>
          <w:sz w:val="20"/>
          <w:szCs w:val="20"/>
        </w:rPr>
        <w:t>The finalisation and implementation of its desired organisational design to support its mandate.</w:t>
      </w:r>
      <w:r w:rsidRPr="00F879DE">
        <w:rPr>
          <w:rFonts w:ascii="Arial" w:hAnsi="Arial" w:cs="Arial"/>
          <w:bCs/>
          <w:sz w:val="20"/>
          <w:szCs w:val="20"/>
        </w:rPr>
        <w:t xml:space="preserve">  </w:t>
      </w:r>
    </w:p>
    <w:p w:rsidR="00870DBB" w:rsidRPr="00F879DE" w:rsidRDefault="00870DBB" w:rsidP="00F879DE">
      <w:pPr>
        <w:pStyle w:val="Default"/>
        <w:rPr>
          <w:bCs/>
          <w:color w:val="auto"/>
          <w:sz w:val="20"/>
          <w:szCs w:val="20"/>
        </w:rPr>
      </w:pPr>
    </w:p>
    <w:p w:rsidR="00870DBB" w:rsidRPr="00F879DE" w:rsidRDefault="00870DBB" w:rsidP="00F879DE">
      <w:pPr>
        <w:autoSpaceDE w:val="0"/>
        <w:autoSpaceDN w:val="0"/>
        <w:adjustRightInd w:val="0"/>
        <w:spacing w:after="0" w:line="240" w:lineRule="auto"/>
        <w:rPr>
          <w:rFonts w:ascii="Arial" w:hAnsi="Arial" w:cs="Arial"/>
          <w:sz w:val="20"/>
          <w:szCs w:val="20"/>
        </w:rPr>
      </w:pPr>
      <w:r w:rsidRPr="00F879DE">
        <w:rPr>
          <w:rFonts w:ascii="Arial" w:hAnsi="Arial" w:cs="Arial"/>
          <w:bCs/>
          <w:sz w:val="20"/>
          <w:szCs w:val="20"/>
        </w:rPr>
        <w:t xml:space="preserve">It is indicated that the DMV will </w:t>
      </w:r>
      <w:r w:rsidRPr="00F879DE">
        <w:rPr>
          <w:rFonts w:ascii="Arial" w:hAnsi="Arial" w:cs="Arial"/>
          <w:sz w:val="20"/>
          <w:szCs w:val="20"/>
        </w:rPr>
        <w:t xml:space="preserve">support the governance and accountability protocols to </w:t>
      </w:r>
      <w:r w:rsidRPr="00F879DE">
        <w:rPr>
          <w:rFonts w:ascii="Arial" w:hAnsi="Arial" w:cs="Arial"/>
          <w:i/>
          <w:sz w:val="20"/>
          <w:szCs w:val="20"/>
        </w:rPr>
        <w:t>maintain an unqualified audit opinion</w:t>
      </w:r>
      <w:r w:rsidRPr="00F879DE">
        <w:rPr>
          <w:rFonts w:ascii="Arial" w:hAnsi="Arial" w:cs="Arial"/>
          <w:sz w:val="20"/>
          <w:szCs w:val="20"/>
        </w:rPr>
        <w:t xml:space="preserve">. The development and implementation of the </w:t>
      </w:r>
      <w:r w:rsidRPr="00F879DE">
        <w:rPr>
          <w:rFonts w:ascii="Arial" w:hAnsi="Arial" w:cs="Arial"/>
          <w:i/>
          <w:sz w:val="20"/>
          <w:szCs w:val="20"/>
        </w:rPr>
        <w:t>Integrated Database Management System (IDMS)</w:t>
      </w:r>
      <w:r w:rsidRPr="00F879DE">
        <w:rPr>
          <w:rFonts w:ascii="Arial" w:hAnsi="Arial" w:cs="Arial"/>
          <w:sz w:val="20"/>
          <w:szCs w:val="20"/>
        </w:rPr>
        <w:t xml:space="preserve"> will be done in phases, and the registration phase has been completed, followed by the education support benefit phase in April 2022 and all other benefits throughout the year. “It will be officially rolled out in October 2022.”</w:t>
      </w:r>
    </w:p>
    <w:p w:rsidR="00870DBB" w:rsidRPr="00F879DE" w:rsidRDefault="00954B86"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The DMV is</w:t>
      </w:r>
      <w:r w:rsidR="00870DBB" w:rsidRPr="00F879DE">
        <w:rPr>
          <w:rFonts w:ascii="Arial" w:hAnsi="Arial" w:cs="Arial"/>
          <w:sz w:val="20"/>
          <w:szCs w:val="20"/>
        </w:rPr>
        <w:t xml:space="preserve"> looking at a new </w:t>
      </w:r>
      <w:r w:rsidR="00870DBB" w:rsidRPr="00F879DE">
        <w:rPr>
          <w:rFonts w:ascii="Arial" w:hAnsi="Arial" w:cs="Arial"/>
          <w:i/>
          <w:sz w:val="20"/>
          <w:szCs w:val="20"/>
        </w:rPr>
        <w:t>sustainable development and empowerment agenda</w:t>
      </w:r>
      <w:r w:rsidR="00870DBB" w:rsidRPr="00F879DE">
        <w:rPr>
          <w:rFonts w:ascii="Arial" w:hAnsi="Arial" w:cs="Arial"/>
          <w:sz w:val="20"/>
          <w:szCs w:val="20"/>
        </w:rPr>
        <w:t xml:space="preserve"> for Military Veterans to enable them to sustain themselves with minimal assistance from the Department. This will include a revamped procurement process that will favour Military Veterans, and improved financial systems to make payment of service providers more efficient and effective. </w:t>
      </w:r>
    </w:p>
    <w:p w:rsidR="00870DBB" w:rsidRPr="00F879DE" w:rsidRDefault="00870DBB" w:rsidP="00F879DE">
      <w:pPr>
        <w:autoSpaceDE w:val="0"/>
        <w:autoSpaceDN w:val="0"/>
        <w:adjustRightInd w:val="0"/>
        <w:spacing w:after="0" w:line="240" w:lineRule="auto"/>
        <w:rPr>
          <w:rFonts w:ascii="Arial" w:hAnsi="Arial" w:cs="Arial"/>
          <w:sz w:val="20"/>
          <w:szCs w:val="20"/>
        </w:rPr>
      </w:pPr>
      <w:r w:rsidRPr="00F879DE">
        <w:rPr>
          <w:rFonts w:ascii="Arial" w:hAnsi="Arial" w:cs="Arial"/>
          <w:bCs/>
          <w:sz w:val="20"/>
          <w:szCs w:val="20"/>
        </w:rPr>
        <w:t xml:space="preserve">The DMV is benchmarking </w:t>
      </w:r>
      <w:r w:rsidRPr="00F879DE">
        <w:rPr>
          <w:rFonts w:ascii="Arial" w:hAnsi="Arial" w:cs="Arial"/>
          <w:sz w:val="20"/>
          <w:szCs w:val="20"/>
        </w:rPr>
        <w:t xml:space="preserve">with the DOD on </w:t>
      </w:r>
      <w:r w:rsidRPr="00F879DE">
        <w:rPr>
          <w:rFonts w:ascii="Arial" w:hAnsi="Arial" w:cs="Arial"/>
          <w:i/>
          <w:sz w:val="20"/>
          <w:szCs w:val="20"/>
        </w:rPr>
        <w:t>medical cover</w:t>
      </w:r>
      <w:r w:rsidRPr="00F879DE">
        <w:rPr>
          <w:rFonts w:ascii="Arial" w:hAnsi="Arial" w:cs="Arial"/>
          <w:sz w:val="20"/>
          <w:szCs w:val="20"/>
        </w:rPr>
        <w:t xml:space="preserve"> for regular force members which continues to cover them and their families upon retirement. A costing exercise using low cost medical scheme options has been done. The DMV has embarked on a project to publish and print manuscripts of Military Veterans to document their experiences and this is done in partnership with the Human Sciences Research Council (HSRC).  The Department is currently working on the verification process of Military Veterans before they can be registered on the database and this will be done through a personal interview process. “</w:t>
      </w:r>
      <w:r w:rsidRPr="00F879DE">
        <w:rPr>
          <w:rFonts w:ascii="Arial" w:hAnsi="Arial" w:cs="Arial"/>
          <w:i/>
          <w:sz w:val="20"/>
          <w:szCs w:val="20"/>
        </w:rPr>
        <w:t>The Department will not accept any new application and this process is a once off.</w:t>
      </w:r>
      <w:r w:rsidRPr="00F879DE">
        <w:rPr>
          <w:rFonts w:ascii="Arial" w:hAnsi="Arial" w:cs="Arial"/>
          <w:sz w:val="20"/>
          <w:szCs w:val="20"/>
        </w:rPr>
        <w:t>” They will work on finalising the cleansing of the Military Veterans database for budgeting purposes in their quest to accelerate the disbursement of Military Veteran’s benefits.</w:t>
      </w:r>
    </w:p>
    <w:p w:rsidR="000C5BC8" w:rsidRPr="00F879DE" w:rsidRDefault="000C5BC8" w:rsidP="00F879DE">
      <w:pPr>
        <w:pStyle w:val="Default"/>
        <w:rPr>
          <w:bCs/>
          <w:color w:val="auto"/>
          <w:sz w:val="20"/>
          <w:szCs w:val="20"/>
        </w:rPr>
      </w:pPr>
      <w:r w:rsidRPr="00F879DE">
        <w:rPr>
          <w:bCs/>
          <w:color w:val="auto"/>
          <w:sz w:val="20"/>
          <w:szCs w:val="20"/>
        </w:rPr>
        <w:t>The Deputy Minister</w:t>
      </w:r>
      <w:r w:rsidR="00954B86" w:rsidRPr="00F879DE">
        <w:rPr>
          <w:bCs/>
          <w:color w:val="auto"/>
          <w:sz w:val="20"/>
          <w:szCs w:val="20"/>
        </w:rPr>
        <w:t>,</w:t>
      </w:r>
      <w:r w:rsidRPr="00F879DE">
        <w:rPr>
          <w:bCs/>
          <w:color w:val="auto"/>
          <w:sz w:val="20"/>
          <w:szCs w:val="20"/>
        </w:rPr>
        <w:t xml:space="preserve"> in turn, points out the four key benefits which the DMV will focus on regarding its efficiencies:</w:t>
      </w:r>
    </w:p>
    <w:p w:rsidR="000C5BC8" w:rsidRPr="00F879DE" w:rsidRDefault="000C5BC8" w:rsidP="00F879DE">
      <w:pPr>
        <w:pStyle w:val="Default"/>
        <w:rPr>
          <w:bCs/>
          <w:color w:val="auto"/>
          <w:sz w:val="20"/>
          <w:szCs w:val="20"/>
        </w:rPr>
      </w:pPr>
    </w:p>
    <w:p w:rsidR="000C5BC8" w:rsidRPr="00F879DE" w:rsidRDefault="000C5BC8" w:rsidP="00F879DE">
      <w:pPr>
        <w:pStyle w:val="ListParagraph"/>
        <w:numPr>
          <w:ilvl w:val="0"/>
          <w:numId w:val="8"/>
        </w:num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housing,  </w:t>
      </w:r>
    </w:p>
    <w:p w:rsidR="000C5BC8" w:rsidRPr="00F879DE" w:rsidRDefault="000C5BC8" w:rsidP="00F879DE">
      <w:pPr>
        <w:pStyle w:val="ListParagraph"/>
        <w:numPr>
          <w:ilvl w:val="0"/>
          <w:numId w:val="8"/>
        </w:num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education, training, skills development,</w:t>
      </w:r>
    </w:p>
    <w:p w:rsidR="000C5BC8" w:rsidRPr="00F879DE" w:rsidRDefault="000C5BC8" w:rsidP="00F879DE">
      <w:pPr>
        <w:pStyle w:val="ListParagraph"/>
        <w:numPr>
          <w:ilvl w:val="0"/>
          <w:numId w:val="8"/>
        </w:num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access to health care by Military Veterans; and their dependants; and </w:t>
      </w:r>
    </w:p>
    <w:p w:rsidR="000C5BC8" w:rsidRPr="00F879DE" w:rsidRDefault="000C5BC8" w:rsidP="00F879DE">
      <w:pPr>
        <w:pStyle w:val="ListParagraph"/>
        <w:numPr>
          <w:ilvl w:val="0"/>
          <w:numId w:val="8"/>
        </w:numPr>
        <w:autoSpaceDE w:val="0"/>
        <w:autoSpaceDN w:val="0"/>
        <w:adjustRightInd w:val="0"/>
        <w:spacing w:after="0" w:line="240" w:lineRule="auto"/>
        <w:rPr>
          <w:rFonts w:ascii="Arial" w:hAnsi="Arial" w:cs="Arial"/>
          <w:bCs/>
          <w:sz w:val="20"/>
          <w:szCs w:val="20"/>
        </w:rPr>
      </w:pPr>
      <w:r w:rsidRPr="00F879DE">
        <w:rPr>
          <w:rFonts w:ascii="Arial" w:hAnsi="Arial" w:cs="Arial"/>
          <w:sz w:val="20"/>
          <w:szCs w:val="20"/>
        </w:rPr>
        <w:t>implementing initiatives to improve the delivery of the services it provides.</w:t>
      </w:r>
    </w:p>
    <w:p w:rsidR="000C5BC8" w:rsidRPr="00F879DE" w:rsidRDefault="000C5BC8" w:rsidP="00F879DE">
      <w:pPr>
        <w:pStyle w:val="Default"/>
        <w:rPr>
          <w:bCs/>
          <w:color w:val="auto"/>
          <w:sz w:val="20"/>
          <w:szCs w:val="20"/>
        </w:rPr>
      </w:pPr>
    </w:p>
    <w:p w:rsidR="000C5BC8" w:rsidRPr="00F879DE" w:rsidRDefault="000C5BC8" w:rsidP="00F879DE">
      <w:pPr>
        <w:pStyle w:val="Default"/>
        <w:rPr>
          <w:bCs/>
          <w:color w:val="auto"/>
          <w:sz w:val="20"/>
          <w:szCs w:val="20"/>
        </w:rPr>
      </w:pPr>
      <w:r w:rsidRPr="00F879DE">
        <w:rPr>
          <w:bCs/>
          <w:color w:val="auto"/>
          <w:sz w:val="20"/>
          <w:szCs w:val="20"/>
        </w:rPr>
        <w:t xml:space="preserve">He also refers to the plan for an automated database which has earnestly started with the assistance of SITA. Reference is also made to the intended expansion of the medical benefit to dependents. He outlines that the transport, compensation and pension policies will be finalised. Other policies will be aligned with those of other relevant government departments to increase access in particularly rural areas. </w:t>
      </w:r>
    </w:p>
    <w:p w:rsidR="000C5BC8" w:rsidRPr="00F879DE" w:rsidRDefault="000C5BC8" w:rsidP="00F879DE">
      <w:pPr>
        <w:autoSpaceDE w:val="0"/>
        <w:autoSpaceDN w:val="0"/>
        <w:adjustRightInd w:val="0"/>
        <w:spacing w:after="0" w:line="240" w:lineRule="auto"/>
        <w:rPr>
          <w:rFonts w:ascii="Arial" w:hAnsi="Arial" w:cs="Arial"/>
          <w:sz w:val="20"/>
          <w:szCs w:val="20"/>
        </w:rPr>
      </w:pPr>
    </w:p>
    <w:p w:rsidR="0084743E" w:rsidRPr="00F879DE" w:rsidRDefault="0084743E" w:rsidP="00F879DE">
      <w:pPr>
        <w:spacing w:after="0" w:line="240" w:lineRule="auto"/>
        <w:ind w:right="-285"/>
        <w:outlineLvl w:val="0"/>
        <w:rPr>
          <w:rFonts w:ascii="Arial" w:eastAsia="Arial Unicode MS" w:hAnsi="Arial" w:cs="Arial"/>
          <w:b/>
          <w:color w:val="000000"/>
          <w:sz w:val="20"/>
          <w:szCs w:val="20"/>
          <w:u w:color="000000"/>
        </w:rPr>
      </w:pPr>
      <w:r w:rsidRPr="00F879DE">
        <w:rPr>
          <w:rFonts w:ascii="Arial" w:hAnsi="Arial" w:cs="Arial"/>
          <w:b/>
          <w:sz w:val="20"/>
          <w:szCs w:val="20"/>
        </w:rPr>
        <w:lastRenderedPageBreak/>
        <w:t xml:space="preserve">3. </w:t>
      </w:r>
      <w:r w:rsidRPr="00F879DE">
        <w:rPr>
          <w:rFonts w:ascii="Arial" w:hAnsi="Arial" w:cs="Arial"/>
          <w:b/>
          <w:sz w:val="20"/>
          <w:szCs w:val="20"/>
        </w:rPr>
        <w:tab/>
      </w:r>
      <w:r w:rsidRPr="00F879DE">
        <w:rPr>
          <w:rFonts w:ascii="Arial" w:eastAsia="Arial Unicode MS" w:hAnsi="Arial" w:cs="Arial"/>
          <w:b/>
          <w:color w:val="000000"/>
          <w:sz w:val="20"/>
          <w:szCs w:val="20"/>
          <w:u w:color="000000"/>
        </w:rPr>
        <w:t xml:space="preserve">MANDATE, OBJECTIVE AND CONTRIBUTIONS OF THE DMV </w:t>
      </w:r>
    </w:p>
    <w:p w:rsidR="0084743E" w:rsidRPr="00F879DE" w:rsidRDefault="0084743E" w:rsidP="00F879DE">
      <w:pPr>
        <w:spacing w:after="0" w:line="240" w:lineRule="auto"/>
        <w:ind w:right="-285"/>
        <w:outlineLvl w:val="0"/>
        <w:rPr>
          <w:rFonts w:ascii="Arial" w:eastAsia="Arial Unicode MS" w:hAnsi="Arial" w:cs="Arial"/>
          <w:color w:val="000000"/>
          <w:sz w:val="20"/>
          <w:szCs w:val="20"/>
          <w:u w:color="000000"/>
        </w:rPr>
      </w:pPr>
    </w:p>
    <w:p w:rsidR="0084743E" w:rsidRPr="00F879DE" w:rsidRDefault="0084743E" w:rsidP="00F879DE">
      <w:pPr>
        <w:spacing w:after="0" w:line="240" w:lineRule="auto"/>
        <w:ind w:right="-285"/>
        <w:outlineLvl w:val="0"/>
        <w:rPr>
          <w:rFonts w:ascii="Arial" w:eastAsia="Arial Unicode MS" w:hAnsi="Arial" w:cs="Arial"/>
          <w:color w:val="000000"/>
          <w:sz w:val="20"/>
          <w:szCs w:val="20"/>
          <w:u w:color="000000"/>
        </w:rPr>
      </w:pPr>
      <w:r w:rsidRPr="00F879DE">
        <w:rPr>
          <w:rFonts w:ascii="Arial" w:eastAsia="Arial Unicode MS" w:hAnsi="Arial" w:cs="Arial"/>
          <w:b/>
          <w:color w:val="000000"/>
          <w:sz w:val="20"/>
          <w:szCs w:val="20"/>
          <w:u w:color="000000"/>
        </w:rPr>
        <w:t>3.1</w:t>
      </w:r>
      <w:r w:rsidRPr="00F879DE">
        <w:rPr>
          <w:rFonts w:ascii="Arial" w:eastAsia="Arial Unicode MS" w:hAnsi="Arial" w:cs="Arial"/>
          <w:b/>
          <w:color w:val="000000"/>
          <w:sz w:val="20"/>
          <w:szCs w:val="20"/>
          <w:u w:color="000000"/>
        </w:rPr>
        <w:tab/>
        <w:t>Mandate of the Department of Military Veterans</w:t>
      </w:r>
    </w:p>
    <w:p w:rsidR="0084743E" w:rsidRPr="00F879DE" w:rsidRDefault="0084743E" w:rsidP="00F879DE">
      <w:pPr>
        <w:spacing w:after="0" w:line="240" w:lineRule="auto"/>
        <w:ind w:right="-285"/>
        <w:outlineLvl w:val="0"/>
        <w:rPr>
          <w:rFonts w:ascii="Arial" w:eastAsia="Arial Unicode MS" w:hAnsi="Arial" w:cs="Arial"/>
          <w:color w:val="000000"/>
          <w:sz w:val="20"/>
          <w:szCs w:val="20"/>
          <w:u w:color="000000"/>
        </w:rPr>
      </w:pPr>
    </w:p>
    <w:p w:rsidR="0084743E" w:rsidRPr="00F879DE" w:rsidRDefault="0084743E" w:rsidP="00F879DE">
      <w:pPr>
        <w:spacing w:after="0" w:line="240" w:lineRule="auto"/>
        <w:ind w:right="-1"/>
        <w:outlineLvl w:val="0"/>
        <w:rPr>
          <w:rFonts w:ascii="Arial" w:eastAsia="Arial Unicode MS" w:hAnsi="Arial" w:cs="Arial"/>
          <w:color w:val="000000"/>
          <w:sz w:val="20"/>
          <w:szCs w:val="20"/>
          <w:u w:color="000000"/>
        </w:rPr>
      </w:pPr>
      <w:r w:rsidRPr="00F879DE">
        <w:rPr>
          <w:rFonts w:ascii="Arial" w:eastAsia="Arial Unicode MS" w:hAnsi="Arial" w:cs="Arial"/>
          <w:color w:val="000000"/>
          <w:sz w:val="20"/>
          <w:szCs w:val="20"/>
          <w:u w:color="000000"/>
        </w:rPr>
        <w:t xml:space="preserve">The DMV derives its legislative mandate from the Military Veterans Act (18 of 2011), which requires it to provide national policy and standards on socio-economic support to military veterans and their dependants, including benefits and entitlements to help realise a dignified, unified, empowered and self-sufficient community of military veterans. </w:t>
      </w:r>
      <w:r w:rsidRPr="00F879DE">
        <w:rPr>
          <w:rFonts w:ascii="Arial" w:eastAsia="Arial Unicode MS" w:hAnsi="Arial" w:cs="Arial"/>
          <w:color w:val="000000"/>
          <w:sz w:val="20"/>
          <w:szCs w:val="20"/>
          <w:u w:color="000000"/>
        </w:rPr>
        <w:cr/>
      </w:r>
    </w:p>
    <w:p w:rsidR="0084743E" w:rsidRPr="00F879DE" w:rsidRDefault="0084743E" w:rsidP="00F879DE">
      <w:pPr>
        <w:spacing w:after="0" w:line="240" w:lineRule="auto"/>
        <w:ind w:right="-1"/>
        <w:outlineLvl w:val="0"/>
        <w:rPr>
          <w:rFonts w:ascii="Arial" w:eastAsia="Arial Unicode MS" w:hAnsi="Arial" w:cs="Arial"/>
          <w:b/>
          <w:color w:val="000000"/>
          <w:sz w:val="20"/>
          <w:szCs w:val="20"/>
          <w:u w:color="000000"/>
        </w:rPr>
      </w:pPr>
      <w:r w:rsidRPr="00F879DE">
        <w:rPr>
          <w:rFonts w:ascii="Arial" w:eastAsia="Arial Unicode MS" w:hAnsi="Arial" w:cs="Arial"/>
          <w:b/>
          <w:color w:val="000000"/>
          <w:sz w:val="20"/>
          <w:szCs w:val="20"/>
          <w:u w:color="000000"/>
        </w:rPr>
        <w:t>3.2</w:t>
      </w:r>
      <w:r w:rsidRPr="00F879DE">
        <w:rPr>
          <w:rFonts w:ascii="Arial" w:eastAsia="Arial Unicode MS" w:hAnsi="Arial" w:cs="Arial"/>
          <w:color w:val="000000"/>
          <w:sz w:val="20"/>
          <w:szCs w:val="20"/>
          <w:u w:color="000000"/>
        </w:rPr>
        <w:tab/>
      </w:r>
      <w:r w:rsidRPr="00F879DE">
        <w:rPr>
          <w:rFonts w:ascii="Arial" w:eastAsia="Arial Unicode MS" w:hAnsi="Arial" w:cs="Arial"/>
          <w:b/>
          <w:color w:val="000000"/>
          <w:sz w:val="20"/>
          <w:szCs w:val="20"/>
          <w:u w:color="000000"/>
        </w:rPr>
        <w:t>Main Objective of the Department of Military Veterans</w:t>
      </w:r>
    </w:p>
    <w:p w:rsidR="0084743E" w:rsidRPr="00F879DE" w:rsidRDefault="0084743E" w:rsidP="00F879DE">
      <w:pPr>
        <w:spacing w:after="0" w:line="240" w:lineRule="auto"/>
        <w:ind w:right="-1"/>
        <w:outlineLvl w:val="0"/>
        <w:rPr>
          <w:rFonts w:ascii="Arial" w:eastAsia="Arial Unicode MS" w:hAnsi="Arial" w:cs="Arial"/>
          <w:b/>
          <w:color w:val="000000"/>
          <w:sz w:val="20"/>
          <w:szCs w:val="20"/>
          <w:u w:color="000000"/>
        </w:rPr>
      </w:pPr>
    </w:p>
    <w:p w:rsidR="0084743E" w:rsidRPr="00F879DE" w:rsidRDefault="0084743E" w:rsidP="00F879DE">
      <w:pPr>
        <w:spacing w:after="0" w:line="240" w:lineRule="auto"/>
        <w:ind w:right="-1"/>
        <w:outlineLvl w:val="0"/>
        <w:rPr>
          <w:rFonts w:ascii="Arial" w:eastAsia="Arial Unicode MS" w:hAnsi="Arial" w:cs="Arial"/>
          <w:color w:val="000000"/>
          <w:sz w:val="20"/>
          <w:szCs w:val="20"/>
          <w:u w:color="000000"/>
        </w:rPr>
      </w:pPr>
      <w:r w:rsidRPr="00F879DE">
        <w:rPr>
          <w:rFonts w:ascii="Arial" w:eastAsia="Arial Unicode MS" w:hAnsi="Arial" w:cs="Arial"/>
          <w:color w:val="000000"/>
          <w:sz w:val="20"/>
          <w:szCs w:val="20"/>
          <w:u w:color="000000"/>
        </w:rPr>
        <w:t xml:space="preserve">The main objective of the </w:t>
      </w:r>
      <w:r w:rsidR="00954B86" w:rsidRPr="00F879DE">
        <w:rPr>
          <w:rFonts w:ascii="Arial" w:eastAsia="Arial Unicode MS" w:hAnsi="Arial" w:cs="Arial"/>
          <w:color w:val="000000"/>
          <w:sz w:val="20"/>
          <w:szCs w:val="20"/>
          <w:u w:color="000000"/>
        </w:rPr>
        <w:t>DMV</w:t>
      </w:r>
      <w:r w:rsidRPr="00F879DE">
        <w:rPr>
          <w:rFonts w:ascii="Arial" w:eastAsia="Arial Unicode MS" w:hAnsi="Arial" w:cs="Arial"/>
          <w:color w:val="000000"/>
          <w:sz w:val="20"/>
          <w:szCs w:val="20"/>
          <w:u w:color="000000"/>
        </w:rPr>
        <w:t xml:space="preserve"> is to provide national policy and standards on socio-economic support to Military veterans and their dependants, as well as policies and standards on heritage and empowerment programmes including those that contribute to nation-building and reconciliation.</w:t>
      </w:r>
    </w:p>
    <w:p w:rsidR="0084743E" w:rsidRPr="00F879DE" w:rsidRDefault="0084743E" w:rsidP="00F879DE">
      <w:pPr>
        <w:pStyle w:val="ListParagraph"/>
        <w:spacing w:after="0" w:line="240" w:lineRule="auto"/>
        <w:ind w:left="0" w:right="4"/>
        <w:outlineLvl w:val="0"/>
        <w:rPr>
          <w:rFonts w:ascii="Arial" w:eastAsia="Arial Unicode MS" w:hAnsi="Arial" w:cs="Arial"/>
          <w:b/>
          <w:color w:val="000000"/>
          <w:sz w:val="20"/>
          <w:szCs w:val="20"/>
          <w:u w:color="000000"/>
          <w:lang w:eastAsia="en-ZA"/>
        </w:rPr>
      </w:pPr>
    </w:p>
    <w:p w:rsidR="0084743E" w:rsidRPr="00F879DE" w:rsidRDefault="0084743E" w:rsidP="00F879DE">
      <w:pPr>
        <w:pStyle w:val="ListParagraph"/>
        <w:spacing w:after="0" w:line="240" w:lineRule="auto"/>
        <w:ind w:left="0" w:right="4"/>
        <w:outlineLvl w:val="0"/>
        <w:rPr>
          <w:rFonts w:ascii="Arial" w:eastAsia="Arial Unicode MS" w:hAnsi="Arial" w:cs="Arial"/>
          <w:b/>
          <w:color w:val="000000"/>
          <w:sz w:val="20"/>
          <w:szCs w:val="20"/>
          <w:u w:color="000000"/>
          <w:lang w:eastAsia="en-ZA"/>
        </w:rPr>
      </w:pPr>
      <w:r w:rsidRPr="00F879DE">
        <w:rPr>
          <w:rFonts w:ascii="Arial" w:eastAsia="Arial Unicode MS" w:hAnsi="Arial" w:cs="Arial"/>
          <w:b/>
          <w:color w:val="000000"/>
          <w:sz w:val="20"/>
          <w:szCs w:val="20"/>
          <w:u w:color="000000"/>
          <w:lang w:eastAsia="en-ZA"/>
        </w:rPr>
        <w:t>3.3</w:t>
      </w:r>
      <w:r w:rsidRPr="00F879DE">
        <w:rPr>
          <w:rFonts w:ascii="Arial" w:eastAsia="Arial Unicode MS" w:hAnsi="Arial" w:cs="Arial"/>
          <w:b/>
          <w:color w:val="000000"/>
          <w:sz w:val="20"/>
          <w:szCs w:val="20"/>
          <w:u w:color="000000"/>
          <w:lang w:eastAsia="en-ZA"/>
        </w:rPr>
        <w:tab/>
      </w:r>
      <w:r w:rsidR="00847CD4" w:rsidRPr="00F879DE">
        <w:rPr>
          <w:rFonts w:ascii="Arial" w:eastAsia="Arial Unicode MS" w:hAnsi="Arial" w:cs="Arial"/>
          <w:b/>
          <w:color w:val="000000"/>
          <w:sz w:val="20"/>
          <w:szCs w:val="20"/>
          <w:u w:color="000000"/>
          <w:lang w:eastAsia="en-ZA"/>
        </w:rPr>
        <w:t xml:space="preserve">The State of the Nation Address, </w:t>
      </w:r>
      <w:r w:rsidRPr="00F879DE">
        <w:rPr>
          <w:rFonts w:ascii="Arial" w:eastAsia="Arial Unicode MS" w:hAnsi="Arial" w:cs="Arial"/>
          <w:b/>
          <w:color w:val="000000"/>
          <w:sz w:val="20"/>
          <w:szCs w:val="20"/>
          <w:u w:color="000000"/>
          <w:lang w:eastAsia="en-ZA"/>
        </w:rPr>
        <w:t xml:space="preserve">National Development Plan, Medium Term Strategic </w:t>
      </w:r>
      <w:r w:rsidR="00847CD4" w:rsidRPr="00F879DE">
        <w:rPr>
          <w:rFonts w:ascii="Arial" w:eastAsia="Arial Unicode MS" w:hAnsi="Arial" w:cs="Arial"/>
          <w:b/>
          <w:color w:val="000000"/>
          <w:sz w:val="20"/>
          <w:szCs w:val="20"/>
          <w:u w:color="000000"/>
          <w:lang w:eastAsia="en-ZA"/>
        </w:rPr>
        <w:tab/>
        <w:t xml:space="preserve">Framework and </w:t>
      </w:r>
      <w:r w:rsidRPr="00F879DE">
        <w:rPr>
          <w:rFonts w:ascii="Arial" w:eastAsia="Arial Unicode MS" w:hAnsi="Arial" w:cs="Arial"/>
          <w:b/>
          <w:color w:val="000000"/>
          <w:sz w:val="20"/>
          <w:szCs w:val="20"/>
          <w:u w:color="000000"/>
          <w:lang w:eastAsia="en-ZA"/>
        </w:rPr>
        <w:t xml:space="preserve">the Executive Authority Priorities </w:t>
      </w:r>
    </w:p>
    <w:p w:rsidR="0084743E" w:rsidRPr="00F879DE" w:rsidRDefault="0084743E" w:rsidP="00F879DE">
      <w:pPr>
        <w:pStyle w:val="ListParagraph"/>
        <w:spacing w:after="0" w:line="240" w:lineRule="auto"/>
        <w:ind w:left="0" w:right="4"/>
        <w:outlineLvl w:val="0"/>
        <w:rPr>
          <w:rFonts w:ascii="Arial" w:eastAsia="Arial Unicode MS" w:hAnsi="Arial" w:cs="Arial"/>
          <w:b/>
          <w:color w:val="000000"/>
          <w:sz w:val="20"/>
          <w:szCs w:val="20"/>
          <w:u w:color="000000"/>
          <w:lang w:eastAsia="en-ZA"/>
        </w:rPr>
      </w:pPr>
    </w:p>
    <w:p w:rsidR="0084743E" w:rsidRPr="00F879DE" w:rsidRDefault="0084743E" w:rsidP="00F879DE">
      <w:pPr>
        <w:pStyle w:val="ListParagraph"/>
        <w:spacing w:after="0" w:line="240" w:lineRule="auto"/>
        <w:ind w:left="0" w:right="4"/>
        <w:outlineLvl w:val="0"/>
        <w:rPr>
          <w:rFonts w:ascii="Arial" w:eastAsia="Arial Unicode MS" w:hAnsi="Arial" w:cs="Arial"/>
          <w:color w:val="000000"/>
          <w:sz w:val="20"/>
          <w:szCs w:val="20"/>
          <w:u w:color="000000"/>
          <w:lang w:eastAsia="en-ZA"/>
        </w:rPr>
      </w:pPr>
      <w:r w:rsidRPr="00F879DE">
        <w:rPr>
          <w:rFonts w:ascii="Arial" w:eastAsia="Arial Unicode MS" w:hAnsi="Arial" w:cs="Arial"/>
          <w:color w:val="000000"/>
          <w:sz w:val="20"/>
          <w:szCs w:val="20"/>
          <w:u w:color="000000"/>
          <w:lang w:eastAsia="en-ZA"/>
        </w:rPr>
        <w:t xml:space="preserve">The DMV’s </w:t>
      </w:r>
      <w:r w:rsidR="00954B86" w:rsidRPr="00F879DE">
        <w:rPr>
          <w:rFonts w:ascii="Arial" w:eastAsia="Arial Unicode MS" w:hAnsi="Arial" w:cs="Arial"/>
          <w:color w:val="000000"/>
          <w:sz w:val="20"/>
          <w:szCs w:val="20"/>
          <w:u w:color="000000"/>
          <w:lang w:eastAsia="en-ZA"/>
        </w:rPr>
        <w:t xml:space="preserve">2022/23 </w:t>
      </w:r>
      <w:r w:rsidR="00847CD4" w:rsidRPr="00F879DE">
        <w:rPr>
          <w:rFonts w:ascii="Arial" w:eastAsia="Arial Unicode MS" w:hAnsi="Arial" w:cs="Arial"/>
          <w:color w:val="000000"/>
          <w:sz w:val="20"/>
          <w:szCs w:val="20"/>
          <w:u w:color="000000"/>
          <w:lang w:eastAsia="en-ZA"/>
        </w:rPr>
        <w:t>APP makes reference to the State of the Nation Address (SONA)</w:t>
      </w:r>
      <w:r w:rsidR="00954B86" w:rsidRPr="00F879DE">
        <w:rPr>
          <w:rFonts w:ascii="Arial" w:eastAsia="Arial Unicode MS" w:hAnsi="Arial" w:cs="Arial"/>
          <w:color w:val="000000"/>
          <w:sz w:val="20"/>
          <w:szCs w:val="20"/>
          <w:u w:color="000000"/>
          <w:lang w:eastAsia="en-ZA"/>
        </w:rPr>
        <w:t>,</w:t>
      </w:r>
      <w:r w:rsidR="00847CD4" w:rsidRPr="00F879DE">
        <w:rPr>
          <w:rFonts w:ascii="Arial" w:eastAsia="Arial Unicode MS" w:hAnsi="Arial" w:cs="Arial"/>
          <w:color w:val="000000"/>
          <w:sz w:val="20"/>
          <w:szCs w:val="20"/>
          <w:u w:color="000000"/>
          <w:lang w:eastAsia="en-ZA"/>
        </w:rPr>
        <w:t xml:space="preserve"> </w:t>
      </w:r>
      <w:r w:rsidR="00954B86" w:rsidRPr="00F879DE">
        <w:rPr>
          <w:rFonts w:ascii="Arial" w:eastAsia="Arial Unicode MS" w:hAnsi="Arial" w:cs="Arial"/>
          <w:color w:val="000000"/>
          <w:sz w:val="20"/>
          <w:szCs w:val="20"/>
          <w:u w:color="000000"/>
          <w:lang w:eastAsia="en-ZA"/>
        </w:rPr>
        <w:t xml:space="preserve">the Medium-term </w:t>
      </w:r>
      <w:r w:rsidRPr="00F879DE">
        <w:rPr>
          <w:rFonts w:ascii="Arial" w:eastAsia="Arial Unicode MS" w:hAnsi="Arial" w:cs="Arial"/>
          <w:color w:val="000000"/>
          <w:sz w:val="20"/>
          <w:szCs w:val="20"/>
          <w:u w:color="000000"/>
          <w:lang w:eastAsia="en-ZA"/>
        </w:rPr>
        <w:t>Strategic Plan 2020 – 2025</w:t>
      </w:r>
      <w:r w:rsidR="00954B86" w:rsidRPr="00F879DE">
        <w:rPr>
          <w:rFonts w:ascii="Arial" w:eastAsia="Arial Unicode MS" w:hAnsi="Arial" w:cs="Arial"/>
          <w:color w:val="000000"/>
          <w:sz w:val="20"/>
          <w:szCs w:val="20"/>
          <w:u w:color="000000"/>
          <w:lang w:eastAsia="en-ZA"/>
        </w:rPr>
        <w:t xml:space="preserve"> and the National Development Plan (NDP)</w:t>
      </w:r>
      <w:r w:rsidR="00847CD4" w:rsidRPr="00F879DE">
        <w:rPr>
          <w:rFonts w:ascii="Arial" w:eastAsia="Arial Unicode MS" w:hAnsi="Arial" w:cs="Arial"/>
          <w:color w:val="000000"/>
          <w:sz w:val="20"/>
          <w:szCs w:val="20"/>
          <w:u w:color="000000"/>
          <w:lang w:eastAsia="en-ZA"/>
        </w:rPr>
        <w:t xml:space="preserve">. </w:t>
      </w:r>
    </w:p>
    <w:p w:rsidR="00847CD4" w:rsidRPr="00F879DE" w:rsidRDefault="00847CD4" w:rsidP="00F879DE">
      <w:pPr>
        <w:pStyle w:val="ListParagraph"/>
        <w:spacing w:after="0" w:line="240" w:lineRule="auto"/>
        <w:ind w:left="0" w:right="4"/>
        <w:outlineLvl w:val="0"/>
        <w:rPr>
          <w:rFonts w:ascii="Arial" w:eastAsia="Arial Unicode MS" w:hAnsi="Arial" w:cs="Arial"/>
          <w:color w:val="000000"/>
          <w:sz w:val="20"/>
          <w:szCs w:val="20"/>
          <w:u w:color="000000"/>
          <w:lang w:eastAsia="en-ZA"/>
        </w:rPr>
      </w:pPr>
    </w:p>
    <w:p w:rsidR="00847CD4" w:rsidRPr="00F879DE" w:rsidRDefault="00847CD4" w:rsidP="00F879DE">
      <w:pPr>
        <w:pStyle w:val="ListParagraph"/>
        <w:numPr>
          <w:ilvl w:val="0"/>
          <w:numId w:val="6"/>
        </w:numPr>
        <w:autoSpaceDE w:val="0"/>
        <w:autoSpaceDN w:val="0"/>
        <w:adjustRightInd w:val="0"/>
        <w:spacing w:after="0" w:line="240" w:lineRule="auto"/>
        <w:rPr>
          <w:rFonts w:ascii="Arial" w:hAnsi="Arial" w:cs="Arial"/>
          <w:b/>
          <w:sz w:val="20"/>
          <w:szCs w:val="20"/>
        </w:rPr>
      </w:pPr>
      <w:r w:rsidRPr="00F879DE">
        <w:rPr>
          <w:rFonts w:ascii="Arial" w:hAnsi="Arial" w:cs="Arial"/>
          <w:b/>
          <w:sz w:val="20"/>
          <w:szCs w:val="20"/>
        </w:rPr>
        <w:t xml:space="preserve">State of the Nation Address </w:t>
      </w:r>
    </w:p>
    <w:p w:rsidR="005A3FCE" w:rsidRPr="00F879DE" w:rsidRDefault="00847CD4"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The DMV </w:t>
      </w:r>
      <w:r w:rsidR="003B71B6" w:rsidRPr="00F879DE">
        <w:rPr>
          <w:rFonts w:ascii="Arial" w:hAnsi="Arial" w:cs="Arial"/>
          <w:sz w:val="20"/>
          <w:szCs w:val="20"/>
        </w:rPr>
        <w:t xml:space="preserve">2022/23 </w:t>
      </w:r>
      <w:r w:rsidRPr="00F879DE">
        <w:rPr>
          <w:rFonts w:ascii="Arial" w:hAnsi="Arial" w:cs="Arial"/>
          <w:sz w:val="20"/>
          <w:szCs w:val="20"/>
        </w:rPr>
        <w:t xml:space="preserve">APP states that </w:t>
      </w:r>
      <w:r w:rsidR="005A3FCE" w:rsidRPr="00F879DE">
        <w:rPr>
          <w:rFonts w:ascii="Arial" w:hAnsi="Arial" w:cs="Arial"/>
          <w:sz w:val="20"/>
          <w:szCs w:val="20"/>
        </w:rPr>
        <w:t xml:space="preserve">the department </w:t>
      </w:r>
      <w:r w:rsidRPr="00F879DE">
        <w:rPr>
          <w:rFonts w:ascii="Arial" w:hAnsi="Arial" w:cs="Arial"/>
          <w:sz w:val="20"/>
          <w:szCs w:val="20"/>
        </w:rPr>
        <w:t xml:space="preserve">contributes to six MTSF priorities and the priorities announced by the President in the 2021 SONA which are: Priority 1: Capable, ethical and developmental state; Priority 2: Economic transformation and job creation; Priority 3: Education, skills and health; Priority 4: Consolidating social wage through reliable and basic services; Priority 5: Spatial development, human settlements and local government; and Priority 6: Social cohesion and safer communities. </w:t>
      </w:r>
    </w:p>
    <w:p w:rsidR="005A3FCE" w:rsidRPr="00F879DE" w:rsidRDefault="005A3FCE" w:rsidP="00F879DE">
      <w:pPr>
        <w:autoSpaceDE w:val="0"/>
        <w:autoSpaceDN w:val="0"/>
        <w:adjustRightInd w:val="0"/>
        <w:spacing w:after="0" w:line="240" w:lineRule="auto"/>
        <w:rPr>
          <w:rFonts w:ascii="Arial" w:hAnsi="Arial" w:cs="Arial"/>
          <w:sz w:val="20"/>
          <w:szCs w:val="20"/>
        </w:rPr>
      </w:pPr>
    </w:p>
    <w:p w:rsidR="00847CD4" w:rsidRPr="00F879DE" w:rsidRDefault="00847CD4"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The</w:t>
      </w:r>
      <w:r w:rsidR="00954B86" w:rsidRPr="00F879DE">
        <w:rPr>
          <w:rFonts w:ascii="Arial" w:hAnsi="Arial" w:cs="Arial"/>
          <w:sz w:val="20"/>
          <w:szCs w:val="20"/>
        </w:rPr>
        <w:t xml:space="preserve"> DMV</w:t>
      </w:r>
      <w:r w:rsidRPr="00F879DE">
        <w:rPr>
          <w:rFonts w:ascii="Arial" w:hAnsi="Arial" w:cs="Arial"/>
          <w:sz w:val="20"/>
          <w:szCs w:val="20"/>
        </w:rPr>
        <w:t xml:space="preserve"> also state</w:t>
      </w:r>
      <w:r w:rsidR="00954B86" w:rsidRPr="00F879DE">
        <w:rPr>
          <w:rFonts w:ascii="Arial" w:hAnsi="Arial" w:cs="Arial"/>
          <w:sz w:val="20"/>
          <w:szCs w:val="20"/>
        </w:rPr>
        <w:t>s</w:t>
      </w:r>
      <w:r w:rsidRPr="00F879DE">
        <w:rPr>
          <w:rFonts w:ascii="Arial" w:hAnsi="Arial" w:cs="Arial"/>
          <w:sz w:val="20"/>
          <w:szCs w:val="20"/>
        </w:rPr>
        <w:t xml:space="preserve"> that</w:t>
      </w:r>
      <w:r w:rsidR="00954B86" w:rsidRPr="00F879DE">
        <w:rPr>
          <w:rFonts w:ascii="Arial" w:hAnsi="Arial" w:cs="Arial"/>
          <w:sz w:val="20"/>
          <w:szCs w:val="20"/>
        </w:rPr>
        <w:t>,</w:t>
      </w:r>
      <w:r w:rsidRPr="00F879DE">
        <w:rPr>
          <w:rFonts w:ascii="Arial" w:hAnsi="Arial" w:cs="Arial"/>
          <w:sz w:val="20"/>
          <w:szCs w:val="20"/>
        </w:rPr>
        <w:t xml:space="preserve"> within the context of a developmental state as envisaged in the </w:t>
      </w:r>
      <w:r w:rsidR="005A3FCE" w:rsidRPr="00F879DE">
        <w:rPr>
          <w:rFonts w:ascii="Arial" w:hAnsi="Arial" w:cs="Arial"/>
          <w:sz w:val="20"/>
          <w:szCs w:val="20"/>
        </w:rPr>
        <w:t xml:space="preserve">NDP </w:t>
      </w:r>
      <w:r w:rsidRPr="00F879DE">
        <w:rPr>
          <w:rFonts w:ascii="Arial" w:hAnsi="Arial" w:cs="Arial"/>
          <w:sz w:val="20"/>
          <w:szCs w:val="20"/>
        </w:rPr>
        <w:t>Vision 2030 and the SONA, the Department acknowledges the importance of the objective of building a fully functional Department in order to enable it to provide the socio-economic support services and benefits to Military Veterans where necessary their dependants in an effective, efficient and sustainable manner.</w:t>
      </w:r>
    </w:p>
    <w:p w:rsidR="005A3FCE" w:rsidRPr="00F879DE" w:rsidRDefault="005A3FCE" w:rsidP="00F879DE">
      <w:pPr>
        <w:autoSpaceDE w:val="0"/>
        <w:autoSpaceDN w:val="0"/>
        <w:adjustRightInd w:val="0"/>
        <w:spacing w:after="0" w:line="240" w:lineRule="auto"/>
        <w:rPr>
          <w:rFonts w:ascii="Arial" w:hAnsi="Arial" w:cs="Arial"/>
          <w:sz w:val="20"/>
          <w:szCs w:val="20"/>
        </w:rPr>
      </w:pPr>
    </w:p>
    <w:p w:rsidR="00847CD4" w:rsidRPr="00F879DE" w:rsidRDefault="00847CD4"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Reference is also made to the 2022 SONA which unveiled the government’s plans and priorities for the coming year. The President stated in his 2022 SONA that the country remains focused on the priorities identified in the State of the Nation Address last year, among others, a massive rollout of infrastructure. Furthermore, around 80% of all the people employed in South Africa are employed in the private sector. This priority is linked to section 5 (1) (e) and (f) of the Military Veterans Act which requires the department to facilitate advice on business opportunities for the Military Veterans.</w:t>
      </w:r>
    </w:p>
    <w:p w:rsidR="00847CD4" w:rsidRPr="00F879DE" w:rsidRDefault="00847CD4" w:rsidP="00F879DE">
      <w:pPr>
        <w:pStyle w:val="ListParagraph"/>
        <w:spacing w:after="0" w:line="240" w:lineRule="auto"/>
        <w:ind w:left="0" w:right="4"/>
        <w:outlineLvl w:val="0"/>
        <w:rPr>
          <w:rFonts w:ascii="Arial" w:eastAsia="Arial Unicode MS" w:hAnsi="Arial" w:cs="Arial"/>
          <w:color w:val="000000"/>
          <w:sz w:val="20"/>
          <w:szCs w:val="20"/>
          <w:u w:color="000000"/>
          <w:lang w:eastAsia="en-ZA"/>
        </w:rPr>
      </w:pPr>
    </w:p>
    <w:p w:rsidR="00847CD4" w:rsidRPr="00F879DE" w:rsidRDefault="00847CD4" w:rsidP="00F879DE">
      <w:pPr>
        <w:pStyle w:val="ListParagraph"/>
        <w:spacing w:after="0" w:line="240" w:lineRule="auto"/>
        <w:ind w:left="0" w:right="4"/>
        <w:outlineLvl w:val="0"/>
        <w:rPr>
          <w:rFonts w:ascii="Arial" w:eastAsia="Arial Unicode MS" w:hAnsi="Arial" w:cs="Arial"/>
          <w:color w:val="000000"/>
          <w:sz w:val="20"/>
          <w:szCs w:val="20"/>
          <w:u w:color="000000"/>
          <w:lang w:eastAsia="en-ZA"/>
        </w:rPr>
      </w:pPr>
      <w:r w:rsidRPr="00F879DE">
        <w:rPr>
          <w:rFonts w:ascii="Arial" w:eastAsia="Arial Unicode MS" w:hAnsi="Arial" w:cs="Arial"/>
          <w:color w:val="000000"/>
          <w:sz w:val="20"/>
          <w:szCs w:val="20"/>
          <w:u w:color="000000"/>
          <w:lang w:eastAsia="en-ZA"/>
        </w:rPr>
        <w:t>It lists the contributions to the NDP, the Medium Term Strategic Framework Outcomes and the Executive Authority Priorities in a tabular format, as follows:</w:t>
      </w:r>
    </w:p>
    <w:p w:rsidR="00982A66" w:rsidRPr="00F879DE" w:rsidRDefault="00BA664C" w:rsidP="00F879DE">
      <w:pPr>
        <w:spacing w:after="0" w:line="240" w:lineRule="auto"/>
        <w:rPr>
          <w:rFonts w:ascii="Arial" w:hAnsi="Arial" w:cs="Arial"/>
          <w:sz w:val="20"/>
          <w:szCs w:val="20"/>
          <w:u w:color="000000"/>
          <w:lang w:eastAsia="en-ZA"/>
        </w:rPr>
      </w:pPr>
      <w:r w:rsidRPr="00F879DE">
        <w:rPr>
          <w:rFonts w:ascii="Arial" w:hAnsi="Arial" w:cs="Arial"/>
          <w:b/>
          <w:noProof/>
          <w:sz w:val="20"/>
          <w:szCs w:val="20"/>
          <w:u w:color="000000"/>
          <w:lang w:val="en-US"/>
        </w:rPr>
        <w:drawing>
          <wp:anchor distT="0" distB="0" distL="114300" distR="114300" simplePos="0" relativeHeight="251669504" behindDoc="1" locked="0" layoutInCell="1" allowOverlap="1">
            <wp:simplePos x="0" y="0"/>
            <wp:positionH relativeFrom="column">
              <wp:posOffset>588010</wp:posOffset>
            </wp:positionH>
            <wp:positionV relativeFrom="paragraph">
              <wp:posOffset>117475</wp:posOffset>
            </wp:positionV>
            <wp:extent cx="5092700" cy="1151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92700" cy="1151890"/>
                    </a:xfrm>
                    <a:prstGeom prst="rect">
                      <a:avLst/>
                    </a:prstGeom>
                    <a:noFill/>
                    <a:ln>
                      <a:noFill/>
                    </a:ln>
                  </pic:spPr>
                </pic:pic>
              </a:graphicData>
            </a:graphic>
          </wp:anchor>
        </w:drawing>
      </w:r>
    </w:p>
    <w:p w:rsidR="00BA664C" w:rsidRPr="00F879DE" w:rsidRDefault="00BA664C" w:rsidP="00F879DE">
      <w:pPr>
        <w:spacing w:after="0" w:line="240" w:lineRule="auto"/>
        <w:rPr>
          <w:rFonts w:ascii="Arial" w:hAnsi="Arial" w:cs="Arial"/>
          <w:b/>
          <w:bCs/>
          <w:sz w:val="20"/>
          <w:szCs w:val="20"/>
          <w:u w:color="000000"/>
          <w:lang w:eastAsia="en-ZA"/>
        </w:rPr>
      </w:pPr>
    </w:p>
    <w:p w:rsidR="00BA664C" w:rsidRPr="00F879DE" w:rsidRDefault="00BA664C" w:rsidP="00F879DE">
      <w:pPr>
        <w:spacing w:after="0" w:line="240" w:lineRule="auto"/>
        <w:rPr>
          <w:rFonts w:ascii="Arial" w:hAnsi="Arial" w:cs="Arial"/>
          <w:b/>
          <w:bCs/>
          <w:sz w:val="20"/>
          <w:szCs w:val="20"/>
          <w:u w:color="000000"/>
          <w:lang w:eastAsia="en-ZA"/>
        </w:rPr>
      </w:pPr>
    </w:p>
    <w:p w:rsidR="00BA664C" w:rsidRPr="00F879DE" w:rsidRDefault="00BA664C" w:rsidP="00F879DE">
      <w:pPr>
        <w:spacing w:after="0" w:line="240" w:lineRule="auto"/>
        <w:rPr>
          <w:rFonts w:ascii="Arial" w:hAnsi="Arial" w:cs="Arial"/>
          <w:b/>
          <w:bCs/>
          <w:sz w:val="20"/>
          <w:szCs w:val="20"/>
          <w:u w:color="000000"/>
          <w:lang w:eastAsia="en-ZA"/>
        </w:rPr>
      </w:pPr>
      <w:r w:rsidRPr="00F879DE">
        <w:rPr>
          <w:rFonts w:ascii="Arial" w:eastAsia="Arial Unicode MS" w:hAnsi="Arial" w:cs="Arial"/>
          <w:b/>
          <w:noProof/>
          <w:color w:val="000000"/>
          <w:sz w:val="20"/>
          <w:szCs w:val="20"/>
          <w:u w:color="000000"/>
          <w:lang w:val="en-US"/>
        </w:rPr>
        <w:lastRenderedPageBreak/>
        <w:drawing>
          <wp:anchor distT="0" distB="0" distL="114300" distR="114300" simplePos="0" relativeHeight="251671552" behindDoc="1" locked="0" layoutInCell="1" allowOverlap="1">
            <wp:simplePos x="0" y="0"/>
            <wp:positionH relativeFrom="column">
              <wp:posOffset>588010</wp:posOffset>
            </wp:positionH>
            <wp:positionV relativeFrom="paragraph">
              <wp:posOffset>391795</wp:posOffset>
            </wp:positionV>
            <wp:extent cx="5092700" cy="4921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92700" cy="4921250"/>
                    </a:xfrm>
                    <a:prstGeom prst="rect">
                      <a:avLst/>
                    </a:prstGeom>
                    <a:noFill/>
                    <a:ln>
                      <a:noFill/>
                    </a:ln>
                  </pic:spPr>
                </pic:pic>
              </a:graphicData>
            </a:graphic>
          </wp:anchor>
        </w:drawing>
      </w:r>
    </w:p>
    <w:p w:rsidR="00BA664C" w:rsidRPr="00F879DE" w:rsidRDefault="00BA664C" w:rsidP="00F879DE">
      <w:pPr>
        <w:spacing w:after="0" w:line="240" w:lineRule="auto"/>
        <w:rPr>
          <w:rFonts w:ascii="Arial" w:eastAsia="Arial Unicode MS" w:hAnsi="Arial" w:cs="Arial"/>
          <w:b/>
          <w:color w:val="000000"/>
          <w:sz w:val="20"/>
          <w:szCs w:val="20"/>
          <w:u w:color="000000"/>
          <w:lang w:eastAsia="en-ZA"/>
        </w:rPr>
      </w:pPr>
      <w:r w:rsidRPr="00F879DE">
        <w:rPr>
          <w:rFonts w:ascii="Arial" w:hAnsi="Arial" w:cs="Arial"/>
          <w:b/>
          <w:bCs/>
          <w:sz w:val="20"/>
          <w:szCs w:val="20"/>
          <w:u w:color="000000"/>
          <w:lang w:eastAsia="en-ZA"/>
        </w:rPr>
        <w:t xml:space="preserve">Table 1: </w:t>
      </w:r>
      <w:r w:rsidRPr="00F879DE">
        <w:rPr>
          <w:rFonts w:ascii="Arial" w:eastAsia="Arial Unicode MS" w:hAnsi="Arial" w:cs="Arial"/>
          <w:b/>
          <w:color w:val="000000"/>
          <w:sz w:val="20"/>
          <w:szCs w:val="20"/>
          <w:u w:color="000000"/>
          <w:lang w:eastAsia="en-ZA"/>
        </w:rPr>
        <w:t>DMV contributions to the NDP, MTSF and Executive Authority’s Priorities</w:t>
      </w:r>
    </w:p>
    <w:p w:rsidR="007F78BB" w:rsidRPr="00F879DE" w:rsidRDefault="007F78BB" w:rsidP="00F879DE">
      <w:pPr>
        <w:spacing w:after="0" w:line="240" w:lineRule="auto"/>
        <w:rPr>
          <w:rFonts w:ascii="Arial" w:eastAsia="Arial Unicode MS" w:hAnsi="Arial" w:cs="Arial"/>
          <w:b/>
          <w:color w:val="000000"/>
          <w:sz w:val="20"/>
          <w:szCs w:val="20"/>
          <w:u w:color="000000"/>
          <w:lang w:eastAsia="en-ZA"/>
        </w:rPr>
      </w:pPr>
    </w:p>
    <w:p w:rsidR="007F78BB" w:rsidRPr="00F879DE" w:rsidRDefault="007F78BB" w:rsidP="00F879DE">
      <w:pPr>
        <w:spacing w:after="0" w:line="240" w:lineRule="auto"/>
        <w:rPr>
          <w:rFonts w:ascii="Arial" w:hAnsi="Arial" w:cs="Arial"/>
          <w:b/>
          <w:bCs/>
          <w:sz w:val="20"/>
          <w:szCs w:val="20"/>
          <w:u w:color="000000"/>
          <w:lang w:eastAsia="en-ZA"/>
        </w:rPr>
      </w:pPr>
    </w:p>
    <w:p w:rsidR="0084743E" w:rsidRPr="00F879DE" w:rsidRDefault="0084743E" w:rsidP="00F879DE">
      <w:pPr>
        <w:tabs>
          <w:tab w:val="left" w:pos="720"/>
          <w:tab w:val="left" w:pos="1440"/>
          <w:tab w:val="left" w:pos="2160"/>
          <w:tab w:val="left" w:pos="2880"/>
          <w:tab w:val="left" w:pos="3600"/>
          <w:tab w:val="left" w:pos="4320"/>
          <w:tab w:val="left" w:pos="5040"/>
          <w:tab w:val="left" w:pos="5779"/>
        </w:tabs>
        <w:spacing w:after="0" w:line="240" w:lineRule="auto"/>
        <w:ind w:right="4"/>
        <w:outlineLvl w:val="0"/>
        <w:rPr>
          <w:rFonts w:ascii="Arial" w:eastAsia="Arial Unicode MS" w:hAnsi="Arial" w:cs="Arial"/>
          <w:b/>
          <w:bCs/>
          <w:color w:val="000000"/>
          <w:sz w:val="20"/>
          <w:szCs w:val="20"/>
          <w:u w:color="000000"/>
          <w:lang w:eastAsia="en-ZA"/>
        </w:rPr>
      </w:pPr>
      <w:r w:rsidRPr="00F879DE">
        <w:rPr>
          <w:rFonts w:ascii="Arial" w:eastAsia="Arial Unicode MS" w:hAnsi="Arial" w:cs="Arial"/>
          <w:b/>
          <w:bCs/>
          <w:color w:val="000000"/>
          <w:sz w:val="20"/>
          <w:szCs w:val="20"/>
          <w:u w:color="000000"/>
          <w:lang w:eastAsia="en-ZA"/>
        </w:rPr>
        <w:t>4.</w:t>
      </w:r>
      <w:r w:rsidRPr="00F879DE">
        <w:rPr>
          <w:rFonts w:ascii="Arial" w:eastAsia="Arial Unicode MS" w:hAnsi="Arial" w:cs="Arial"/>
          <w:b/>
          <w:bCs/>
          <w:color w:val="000000"/>
          <w:sz w:val="20"/>
          <w:szCs w:val="20"/>
          <w:u w:color="000000"/>
          <w:lang w:eastAsia="en-ZA"/>
        </w:rPr>
        <w:tab/>
      </w:r>
      <w:r w:rsidR="00CD112B" w:rsidRPr="00F879DE">
        <w:rPr>
          <w:rFonts w:ascii="Arial" w:eastAsia="Arial Unicode MS" w:hAnsi="Arial" w:cs="Arial"/>
          <w:b/>
          <w:color w:val="000000"/>
          <w:spacing w:val="6"/>
          <w:sz w:val="20"/>
          <w:szCs w:val="20"/>
          <w:u w:color="000000"/>
          <w:lang w:val="en-GB" w:eastAsia="en-ZA"/>
        </w:rPr>
        <w:t>COMMITTEE 2021/22 BUDGET REPORT</w:t>
      </w:r>
      <w:r w:rsidR="00CD112B" w:rsidRPr="00F879DE">
        <w:rPr>
          <w:rFonts w:ascii="Arial" w:eastAsia="Arial Unicode MS" w:hAnsi="Arial" w:cs="Arial"/>
          <w:b/>
          <w:bCs/>
          <w:color w:val="000000"/>
          <w:sz w:val="20"/>
          <w:szCs w:val="20"/>
          <w:u w:color="000000"/>
          <w:lang w:eastAsia="en-ZA"/>
        </w:rPr>
        <w:t xml:space="preserve"> </w:t>
      </w:r>
    </w:p>
    <w:p w:rsidR="0084743E" w:rsidRPr="00F879DE" w:rsidRDefault="0084743E" w:rsidP="00F879DE">
      <w:pPr>
        <w:spacing w:after="0" w:line="240" w:lineRule="auto"/>
        <w:ind w:right="4"/>
        <w:outlineLvl w:val="0"/>
        <w:rPr>
          <w:rFonts w:ascii="Arial" w:eastAsia="Arial Unicode MS" w:hAnsi="Arial" w:cs="Arial"/>
          <w:b/>
          <w:bCs/>
          <w:color w:val="000000"/>
          <w:sz w:val="20"/>
          <w:szCs w:val="20"/>
          <w:u w:color="000000"/>
          <w:lang w:eastAsia="en-ZA"/>
        </w:rPr>
      </w:pPr>
    </w:p>
    <w:p w:rsidR="00CD112B" w:rsidRPr="00F879DE" w:rsidRDefault="00CD112B" w:rsidP="00F879DE">
      <w:pPr>
        <w:autoSpaceDE w:val="0"/>
        <w:autoSpaceDN w:val="0"/>
        <w:adjustRightInd w:val="0"/>
        <w:spacing w:after="0" w:line="240" w:lineRule="auto"/>
        <w:rPr>
          <w:rFonts w:ascii="Arial" w:eastAsia="Times New Roman" w:hAnsi="Arial" w:cs="Arial"/>
          <w:color w:val="000000"/>
          <w:spacing w:val="6"/>
          <w:sz w:val="20"/>
          <w:szCs w:val="20"/>
          <w:lang w:val="en-GB" w:eastAsia="en-ZA"/>
        </w:rPr>
      </w:pPr>
      <w:r w:rsidRPr="00F879DE">
        <w:rPr>
          <w:rFonts w:ascii="Arial" w:eastAsia="Times New Roman" w:hAnsi="Arial" w:cs="Arial"/>
          <w:color w:val="000000"/>
          <w:spacing w:val="6"/>
          <w:sz w:val="20"/>
          <w:szCs w:val="20"/>
          <w:lang w:val="en-GB" w:eastAsia="en-ZA"/>
        </w:rPr>
        <w:t>In order to include a holistic review by the Committee, past recommendations are included. The Committee made the following recommendations in terms of the 2021/22 APP of the D</w:t>
      </w:r>
      <w:r w:rsidR="00B111DD" w:rsidRPr="00F879DE">
        <w:rPr>
          <w:rFonts w:ascii="Arial" w:eastAsia="Times New Roman" w:hAnsi="Arial" w:cs="Arial"/>
          <w:color w:val="000000"/>
          <w:spacing w:val="6"/>
          <w:sz w:val="20"/>
          <w:szCs w:val="20"/>
          <w:lang w:val="en-GB" w:eastAsia="en-ZA"/>
        </w:rPr>
        <w:t>MV</w:t>
      </w:r>
      <w:r w:rsidRPr="00F879DE">
        <w:rPr>
          <w:rFonts w:ascii="Arial" w:eastAsia="Times New Roman" w:hAnsi="Arial" w:cs="Arial"/>
          <w:color w:val="000000"/>
          <w:spacing w:val="6"/>
          <w:sz w:val="20"/>
          <w:szCs w:val="20"/>
          <w:lang w:val="en-GB" w:eastAsia="en-ZA"/>
        </w:rPr>
        <w:t>:</w:t>
      </w:r>
    </w:p>
    <w:p w:rsidR="00CD112B" w:rsidRPr="00F879DE" w:rsidRDefault="00CD112B" w:rsidP="00F879DE">
      <w:pPr>
        <w:spacing w:after="0" w:line="240" w:lineRule="auto"/>
        <w:rPr>
          <w:rFonts w:ascii="Arial" w:hAnsi="Arial" w:cs="Arial"/>
          <w:sz w:val="20"/>
          <w:szCs w:val="20"/>
          <w:lang w:val="en-GB"/>
        </w:rPr>
      </w:pP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t xml:space="preserve">Committee agreed that since it has not received any official report on the PTT, the DMV should, at its next engagement with the Committee, provide a detailed report on its interaction with the PTT and what is exactly is expected from the DMV. </w:t>
      </w: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t xml:space="preserve">The DMV should provide the Committee with a report on all provincial offices, including its location, functionality, the staff and their qualification levels by the end of June 2021. In addition, the Committee requires an indication of the timeframes for finalising all provincial offices. </w:t>
      </w: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t xml:space="preserve">The Committee recommends that the DMV should report whether the qualifications of all Senior Management Service (SMS) members have been verified with South African Qualifications Authority (SAQA), and if some are outstanding, when these will be completed. The DMV should also, going forward, on a regular basis, report whether progress is being made to address the organisational culture and the lack of a spirit of team work. </w:t>
      </w: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t xml:space="preserve">It was recommended that the DMV should address the inadequate legislative and policy risk as a matter of urgency, as it is central to addressing various other challenges to effectively deliver benefits to military veterans and their dependents. </w:t>
      </w: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t xml:space="preserve">The Committee recommends that the Department should provide it with the names, titles and contact details of all senior officials in order to allow Members to direct their queries from military veterans to the relevant section/branch speedily. </w:t>
      </w: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lastRenderedPageBreak/>
        <w:t>It is recommended that the DMV should provide the Committee with a report on how the targets were determined, the specific reasons for adjustments and specifically whether these were adjusted in line with the allocated budget for FY2021/22, by the end of June 2021.</w:t>
      </w: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t xml:space="preserve">The Department was encouraged to state up front whether the various policies are appropriately funded by National Treasury, otherwise it will defeat its purpose if these are not funded or underfunded. </w:t>
      </w: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t>The Department should, in writing, provide the Committee with the timeframes for filling all vacancies as well as whether it intends to acknowledge previous service from both former non-statutory forces and statutory force members.</w:t>
      </w:r>
    </w:p>
    <w:p w:rsidR="00BA664C" w:rsidRPr="00F879DE" w:rsidRDefault="00BA664C" w:rsidP="00F879DE">
      <w:pPr>
        <w:pStyle w:val="BodyText3"/>
        <w:numPr>
          <w:ilvl w:val="0"/>
          <w:numId w:val="5"/>
        </w:numPr>
        <w:spacing w:after="0"/>
        <w:ind w:right="-1"/>
        <w:rPr>
          <w:rFonts w:cs="Arial"/>
          <w:sz w:val="20"/>
          <w:szCs w:val="20"/>
        </w:rPr>
      </w:pPr>
      <w:r w:rsidRPr="00F879DE">
        <w:rPr>
          <w:rFonts w:cs="Arial"/>
          <w:sz w:val="20"/>
          <w:szCs w:val="20"/>
        </w:rPr>
        <w:t>The Committee recommends that the Department should provide it with specific information on how it plans to strengthen relationships with sister departments, given that this issue has been consistently raised since the advent of the 6</w:t>
      </w:r>
      <w:r w:rsidRPr="00F879DE">
        <w:rPr>
          <w:rFonts w:cs="Arial"/>
          <w:sz w:val="20"/>
          <w:szCs w:val="20"/>
          <w:vertAlign w:val="superscript"/>
        </w:rPr>
        <w:t>th</w:t>
      </w:r>
      <w:r w:rsidRPr="00F879DE">
        <w:rPr>
          <w:rFonts w:cs="Arial"/>
          <w:sz w:val="20"/>
          <w:szCs w:val="20"/>
        </w:rPr>
        <w:t xml:space="preserve"> Parliament. </w:t>
      </w:r>
    </w:p>
    <w:p w:rsidR="00255A3D" w:rsidRPr="00F879DE" w:rsidRDefault="00255A3D" w:rsidP="00F879DE">
      <w:pPr>
        <w:pStyle w:val="BodyText3"/>
        <w:spacing w:after="0"/>
        <w:ind w:right="-1"/>
        <w:rPr>
          <w:rFonts w:cs="Arial"/>
          <w:b/>
          <w:sz w:val="20"/>
          <w:szCs w:val="20"/>
        </w:rPr>
      </w:pPr>
    </w:p>
    <w:p w:rsidR="0084743E" w:rsidRPr="00F879DE" w:rsidRDefault="0084743E" w:rsidP="00F879DE">
      <w:pPr>
        <w:pStyle w:val="BodyText3"/>
        <w:spacing w:after="0"/>
        <w:ind w:right="-1"/>
        <w:rPr>
          <w:rFonts w:cs="Arial"/>
          <w:b/>
          <w:sz w:val="20"/>
          <w:szCs w:val="20"/>
        </w:rPr>
      </w:pPr>
      <w:r w:rsidRPr="00F879DE">
        <w:rPr>
          <w:rFonts w:cs="Arial"/>
          <w:b/>
          <w:sz w:val="20"/>
          <w:szCs w:val="20"/>
        </w:rPr>
        <w:t>5.</w:t>
      </w:r>
      <w:r w:rsidRPr="00F879DE">
        <w:rPr>
          <w:rFonts w:cs="Arial"/>
          <w:b/>
          <w:sz w:val="20"/>
          <w:szCs w:val="20"/>
        </w:rPr>
        <w:tab/>
        <w:t>DMVs ANNUAL PERFORMANCE PLAN 202</w:t>
      </w:r>
      <w:r w:rsidR="000C5BC8" w:rsidRPr="00F879DE">
        <w:rPr>
          <w:rFonts w:cs="Arial"/>
          <w:b/>
          <w:sz w:val="20"/>
          <w:szCs w:val="20"/>
        </w:rPr>
        <w:t>2</w:t>
      </w:r>
      <w:r w:rsidRPr="00F879DE">
        <w:rPr>
          <w:rFonts w:cs="Arial"/>
          <w:b/>
          <w:sz w:val="20"/>
          <w:szCs w:val="20"/>
        </w:rPr>
        <w:t>/2</w:t>
      </w:r>
      <w:r w:rsidR="000C5BC8" w:rsidRPr="00F879DE">
        <w:rPr>
          <w:rFonts w:cs="Arial"/>
          <w:b/>
          <w:sz w:val="20"/>
          <w:szCs w:val="20"/>
        </w:rPr>
        <w:t>3</w:t>
      </w:r>
      <w:r w:rsidRPr="00F879DE">
        <w:rPr>
          <w:rFonts w:cs="Arial"/>
          <w:b/>
          <w:sz w:val="20"/>
          <w:szCs w:val="20"/>
        </w:rPr>
        <w:t xml:space="preserve"> </w:t>
      </w:r>
    </w:p>
    <w:p w:rsidR="0084743E" w:rsidRPr="00F879DE" w:rsidRDefault="0084743E" w:rsidP="00F879DE">
      <w:pPr>
        <w:spacing w:after="0" w:line="240" w:lineRule="auto"/>
        <w:rPr>
          <w:rFonts w:ascii="Arial" w:hAnsi="Arial" w:cs="Arial"/>
          <w:sz w:val="20"/>
          <w:szCs w:val="20"/>
        </w:rPr>
      </w:pPr>
      <w:r w:rsidRPr="00F879DE">
        <w:rPr>
          <w:rFonts w:ascii="Arial" w:hAnsi="Arial" w:cs="Arial"/>
          <w:sz w:val="20"/>
          <w:szCs w:val="20"/>
        </w:rPr>
        <w:t>The Department of Military Veterans’ APP 202</w:t>
      </w:r>
      <w:r w:rsidR="00BA664C" w:rsidRPr="00F879DE">
        <w:rPr>
          <w:rFonts w:ascii="Arial" w:hAnsi="Arial" w:cs="Arial"/>
          <w:sz w:val="20"/>
          <w:szCs w:val="20"/>
        </w:rPr>
        <w:t>2</w:t>
      </w:r>
      <w:r w:rsidRPr="00F879DE">
        <w:rPr>
          <w:rFonts w:ascii="Arial" w:hAnsi="Arial" w:cs="Arial"/>
          <w:sz w:val="20"/>
          <w:szCs w:val="20"/>
        </w:rPr>
        <w:t>/2</w:t>
      </w:r>
      <w:r w:rsidR="00BA664C" w:rsidRPr="00F879DE">
        <w:rPr>
          <w:rFonts w:ascii="Arial" w:hAnsi="Arial" w:cs="Arial"/>
          <w:sz w:val="20"/>
          <w:szCs w:val="20"/>
        </w:rPr>
        <w:t>3</w:t>
      </w:r>
      <w:r w:rsidRPr="00F879DE">
        <w:rPr>
          <w:rFonts w:ascii="Arial" w:hAnsi="Arial" w:cs="Arial"/>
          <w:sz w:val="20"/>
          <w:szCs w:val="20"/>
        </w:rPr>
        <w:t xml:space="preserve"> consists of four main parts namely the DMV Mandate; the DMV Strategic Focus; Measuring DMV Performance and the Technical Indicator Descriptions</w:t>
      </w:r>
      <w:r w:rsidR="007F78BB" w:rsidRPr="00F879DE">
        <w:rPr>
          <w:rFonts w:ascii="Arial" w:hAnsi="Arial" w:cs="Arial"/>
          <w:sz w:val="20"/>
          <w:szCs w:val="20"/>
        </w:rPr>
        <w:t>, with the first three parts being discussed below</w:t>
      </w:r>
      <w:r w:rsidRPr="00F879DE">
        <w:rPr>
          <w:rFonts w:ascii="Arial" w:hAnsi="Arial" w:cs="Arial"/>
          <w:sz w:val="20"/>
          <w:szCs w:val="20"/>
        </w:rPr>
        <w:t>.</w:t>
      </w:r>
    </w:p>
    <w:p w:rsidR="0084743E" w:rsidRPr="00F879DE" w:rsidRDefault="0084743E" w:rsidP="00F879DE">
      <w:pPr>
        <w:spacing w:after="0" w:line="240" w:lineRule="auto"/>
        <w:rPr>
          <w:rFonts w:ascii="Arial" w:hAnsi="Arial" w:cs="Arial"/>
          <w:b/>
          <w:sz w:val="20"/>
          <w:szCs w:val="20"/>
        </w:rPr>
      </w:pPr>
      <w:r w:rsidRPr="00F879DE">
        <w:rPr>
          <w:rFonts w:ascii="Arial" w:hAnsi="Arial" w:cs="Arial"/>
          <w:b/>
          <w:sz w:val="20"/>
          <w:szCs w:val="20"/>
        </w:rPr>
        <w:t>5.1.</w:t>
      </w:r>
      <w:r w:rsidRPr="00F879DE">
        <w:rPr>
          <w:rFonts w:ascii="Arial" w:hAnsi="Arial" w:cs="Arial"/>
          <w:b/>
          <w:sz w:val="20"/>
          <w:szCs w:val="20"/>
        </w:rPr>
        <w:tab/>
        <w:t xml:space="preserve">  Part A: DMV Mandate</w:t>
      </w:r>
    </w:p>
    <w:p w:rsidR="000C5BC8" w:rsidRPr="00F879DE" w:rsidRDefault="000C5BC8" w:rsidP="00F879DE">
      <w:pPr>
        <w:spacing w:after="0" w:line="240" w:lineRule="auto"/>
        <w:rPr>
          <w:rFonts w:ascii="Arial" w:hAnsi="Arial" w:cs="Arial"/>
          <w:sz w:val="20"/>
          <w:szCs w:val="20"/>
        </w:rPr>
      </w:pPr>
      <w:r w:rsidRPr="00F879DE">
        <w:rPr>
          <w:rFonts w:ascii="Arial" w:hAnsi="Arial" w:cs="Arial"/>
          <w:sz w:val="20"/>
          <w:szCs w:val="20"/>
        </w:rPr>
        <w:t xml:space="preserve">This section lists the Constitutional mandate as derived from the 1996 Constitution and refers to its legislative mandate originating in the Military Veterans Act (No. 18 of 2011), the Military Veterans Benefits Regulations and several other acts and policies that relate to its mandate. They also list various institutional policies including the White Paper on Military Veterans, a Beneficiary Support Services Policy and the Subsidised Public Transport Policy. The DMV also states that it does not have any relevant court rulings. </w:t>
      </w:r>
      <w:r w:rsidRPr="00F879DE">
        <w:rPr>
          <w:rFonts w:ascii="Arial" w:hAnsi="Arial" w:cs="Arial"/>
          <w:bCs/>
          <w:sz w:val="20"/>
          <w:szCs w:val="20"/>
        </w:rPr>
        <w:t>The APP points out that the White Paper on Military Veterans will be focused on in the 5-year period.</w:t>
      </w:r>
    </w:p>
    <w:p w:rsidR="0084743E" w:rsidRPr="00F879DE" w:rsidRDefault="0084743E" w:rsidP="00F879DE">
      <w:pPr>
        <w:pStyle w:val="ListParagraph"/>
        <w:spacing w:after="0" w:line="240" w:lineRule="auto"/>
        <w:rPr>
          <w:rFonts w:ascii="Arial" w:hAnsi="Arial" w:cs="Arial"/>
          <w:sz w:val="20"/>
          <w:szCs w:val="20"/>
          <w:lang w:val="en-GB"/>
        </w:rPr>
      </w:pPr>
    </w:p>
    <w:p w:rsidR="0084743E" w:rsidRPr="00F879DE" w:rsidRDefault="0084743E" w:rsidP="00F879DE">
      <w:pPr>
        <w:spacing w:after="0" w:line="240" w:lineRule="auto"/>
        <w:rPr>
          <w:rFonts w:ascii="Arial" w:hAnsi="Arial" w:cs="Arial"/>
          <w:b/>
          <w:sz w:val="20"/>
          <w:szCs w:val="20"/>
        </w:rPr>
      </w:pPr>
      <w:r w:rsidRPr="00F879DE">
        <w:rPr>
          <w:rFonts w:ascii="Arial" w:hAnsi="Arial" w:cs="Arial"/>
          <w:b/>
          <w:sz w:val="20"/>
          <w:szCs w:val="20"/>
        </w:rPr>
        <w:t xml:space="preserve">5.2 </w:t>
      </w:r>
      <w:r w:rsidRPr="00F879DE">
        <w:rPr>
          <w:rFonts w:ascii="Arial" w:hAnsi="Arial" w:cs="Arial"/>
          <w:b/>
          <w:sz w:val="20"/>
          <w:szCs w:val="20"/>
        </w:rPr>
        <w:tab/>
        <w:t>Part B: DMV Strategic Focus</w:t>
      </w:r>
    </w:p>
    <w:p w:rsidR="0084743E" w:rsidRPr="00F879DE" w:rsidRDefault="0084743E" w:rsidP="00F879DE">
      <w:pPr>
        <w:spacing w:after="0" w:line="240" w:lineRule="auto"/>
        <w:rPr>
          <w:rFonts w:ascii="Arial" w:hAnsi="Arial" w:cs="Arial"/>
          <w:sz w:val="20"/>
          <w:szCs w:val="20"/>
        </w:rPr>
      </w:pPr>
      <w:r w:rsidRPr="00F879DE">
        <w:rPr>
          <w:rFonts w:ascii="Arial" w:hAnsi="Arial" w:cs="Arial"/>
          <w:sz w:val="20"/>
          <w:szCs w:val="20"/>
        </w:rPr>
        <w:t xml:space="preserve">This Part deals with the DMV’s vision, mission, organisational values, situational analysis, external environment analysis, and internal environment analysis. </w:t>
      </w:r>
    </w:p>
    <w:p w:rsidR="00E335AE" w:rsidRPr="00F879DE" w:rsidRDefault="000C5BC8" w:rsidP="00F879DE">
      <w:pPr>
        <w:pStyle w:val="Heading3"/>
        <w:spacing w:before="0" w:line="240" w:lineRule="auto"/>
        <w:rPr>
          <w:rFonts w:ascii="Arial" w:eastAsiaTheme="minorHAnsi" w:hAnsi="Arial" w:cs="Arial"/>
          <w:b/>
          <w:color w:val="auto"/>
          <w:spacing w:val="0"/>
          <w:sz w:val="20"/>
          <w:szCs w:val="20"/>
          <w:lang w:val="en-ZA" w:eastAsia="en-US"/>
        </w:rPr>
      </w:pPr>
      <w:r w:rsidRPr="00F879DE">
        <w:rPr>
          <w:rFonts w:ascii="Arial" w:eastAsiaTheme="minorHAnsi" w:hAnsi="Arial" w:cs="Arial"/>
          <w:b/>
          <w:color w:val="auto"/>
          <w:spacing w:val="0"/>
          <w:sz w:val="20"/>
          <w:szCs w:val="20"/>
          <w:lang w:val="en-ZA" w:eastAsia="en-US"/>
        </w:rPr>
        <w:t>5.2.</w:t>
      </w:r>
      <w:r w:rsidR="00E335AE" w:rsidRPr="00F879DE">
        <w:rPr>
          <w:rFonts w:ascii="Arial" w:eastAsiaTheme="minorHAnsi" w:hAnsi="Arial" w:cs="Arial"/>
          <w:b/>
          <w:color w:val="auto"/>
          <w:spacing w:val="0"/>
          <w:sz w:val="20"/>
          <w:szCs w:val="20"/>
          <w:lang w:val="en-ZA" w:eastAsia="en-US"/>
        </w:rPr>
        <w:t>1</w:t>
      </w:r>
      <w:r w:rsidRPr="00F879DE">
        <w:rPr>
          <w:rFonts w:ascii="Arial" w:eastAsiaTheme="minorHAnsi" w:hAnsi="Arial" w:cs="Arial"/>
          <w:b/>
          <w:color w:val="auto"/>
          <w:spacing w:val="0"/>
          <w:sz w:val="20"/>
          <w:szCs w:val="20"/>
          <w:lang w:val="en-ZA" w:eastAsia="en-US"/>
        </w:rPr>
        <w:tab/>
        <w:t xml:space="preserve">Situational analysis </w:t>
      </w:r>
    </w:p>
    <w:p w:rsidR="00E335AE" w:rsidRPr="00F879DE" w:rsidRDefault="00E335AE" w:rsidP="00F879DE">
      <w:pPr>
        <w:spacing w:after="0" w:line="240" w:lineRule="auto"/>
        <w:rPr>
          <w:rFonts w:ascii="Arial" w:hAnsi="Arial" w:cs="Arial"/>
          <w:sz w:val="20"/>
          <w:szCs w:val="20"/>
        </w:rPr>
      </w:pPr>
    </w:p>
    <w:p w:rsidR="000C5BC8" w:rsidRPr="00F879DE" w:rsidRDefault="000C5BC8"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The DMV’s APP refers to the NDP 2030 Vision and points out that the APP aims to reinforce the role played by military veterans in the past and creating awareness of current benefits.</w:t>
      </w:r>
    </w:p>
    <w:p w:rsidR="000C5BC8" w:rsidRPr="00F879DE" w:rsidRDefault="000C5BC8" w:rsidP="00F879DE">
      <w:pPr>
        <w:autoSpaceDE w:val="0"/>
        <w:autoSpaceDN w:val="0"/>
        <w:adjustRightInd w:val="0"/>
        <w:spacing w:after="0" w:line="240" w:lineRule="auto"/>
        <w:rPr>
          <w:rFonts w:ascii="Arial" w:hAnsi="Arial" w:cs="Arial"/>
          <w:b/>
          <w:sz w:val="20"/>
          <w:szCs w:val="20"/>
        </w:rPr>
      </w:pPr>
      <w:r w:rsidRPr="00F879DE">
        <w:rPr>
          <w:rFonts w:ascii="Arial" w:hAnsi="Arial" w:cs="Arial"/>
          <w:b/>
          <w:sz w:val="20"/>
          <w:szCs w:val="20"/>
        </w:rPr>
        <w:t xml:space="preserve">Updated Situation Analysis </w:t>
      </w:r>
    </w:p>
    <w:p w:rsidR="000C5BC8" w:rsidRPr="00F879DE" w:rsidRDefault="000C5BC8"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The </w:t>
      </w:r>
      <w:r w:rsidR="003D470F" w:rsidRPr="00F879DE">
        <w:rPr>
          <w:rFonts w:ascii="Arial" w:hAnsi="Arial" w:cs="Arial"/>
          <w:sz w:val="20"/>
          <w:szCs w:val="20"/>
        </w:rPr>
        <w:t xml:space="preserve">2022/23 </w:t>
      </w:r>
      <w:r w:rsidRPr="00F879DE">
        <w:rPr>
          <w:rFonts w:ascii="Arial" w:hAnsi="Arial" w:cs="Arial"/>
          <w:sz w:val="20"/>
          <w:szCs w:val="20"/>
        </w:rPr>
        <w:t xml:space="preserve">APP – as with the three previous APPs - outlines the DMV’s contribution to the Executive Authority (EA) Priorities, National Development Plan (NDP) Vision 2030 and Medium Term Strategic Framework (MTSF) Priorities 2019-2024 under the heading Updated Situational Analysis. The EA priorities align with the various benefits, and these are linked to the relevant NDP chapters which are further expounded upon in the MTSF priorities such as Priority 2: economic transformation, etc. </w:t>
      </w:r>
    </w:p>
    <w:p w:rsidR="000C5BC8" w:rsidRPr="00F879DE" w:rsidRDefault="000C5BC8" w:rsidP="00F879DE">
      <w:pPr>
        <w:autoSpaceDE w:val="0"/>
        <w:autoSpaceDN w:val="0"/>
        <w:adjustRightInd w:val="0"/>
        <w:spacing w:after="0" w:line="240" w:lineRule="auto"/>
        <w:rPr>
          <w:rFonts w:ascii="Arial" w:hAnsi="Arial" w:cs="Arial"/>
          <w:b/>
          <w:sz w:val="20"/>
          <w:szCs w:val="20"/>
        </w:rPr>
      </w:pPr>
      <w:r w:rsidRPr="00F879DE">
        <w:rPr>
          <w:rFonts w:ascii="Arial" w:hAnsi="Arial" w:cs="Arial"/>
          <w:b/>
          <w:sz w:val="20"/>
          <w:szCs w:val="20"/>
        </w:rPr>
        <w:t xml:space="preserve">External Environment </w:t>
      </w:r>
    </w:p>
    <w:p w:rsidR="000C5BC8" w:rsidRPr="00F879DE" w:rsidRDefault="000C5BC8"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This section </w:t>
      </w:r>
      <w:r w:rsidR="00AB71C6" w:rsidRPr="00F879DE">
        <w:rPr>
          <w:rFonts w:ascii="Arial" w:hAnsi="Arial" w:cs="Arial"/>
          <w:sz w:val="20"/>
          <w:szCs w:val="20"/>
        </w:rPr>
        <w:t xml:space="preserve">of the APP </w:t>
      </w:r>
      <w:r w:rsidRPr="00F879DE">
        <w:rPr>
          <w:rFonts w:ascii="Arial" w:hAnsi="Arial" w:cs="Arial"/>
          <w:sz w:val="20"/>
          <w:szCs w:val="20"/>
        </w:rPr>
        <w:t>explains the impact of the Covid-19 pandemic and stresses that the DMV has not been spared in this regard. Reference is made to their intention to improve on their Occupational Health and Safety (OHS) measures; appropriate flexible working arrangements and the provision of tools of trade to employees. Interestingly, its states that its mandate remained the same over the five-year period even under Covid-19. Reference is made to the DMV taking into cognisance the negative audit findings in the Health unit by the AGSA and that it is working towards remedial actions that will enhance good governance and accountability. It acknowledges that only 2 091 houses have been built since inception and that it plans to fast track the delivery through partnerships and collaboration.</w:t>
      </w:r>
    </w:p>
    <w:p w:rsidR="000C5BC8" w:rsidRPr="00F879DE" w:rsidRDefault="000C5BC8" w:rsidP="00F879DE">
      <w:pPr>
        <w:autoSpaceDE w:val="0"/>
        <w:autoSpaceDN w:val="0"/>
        <w:adjustRightInd w:val="0"/>
        <w:spacing w:after="0" w:line="240" w:lineRule="auto"/>
        <w:rPr>
          <w:rFonts w:ascii="Arial" w:hAnsi="Arial" w:cs="Arial"/>
          <w:i/>
          <w:sz w:val="20"/>
          <w:szCs w:val="20"/>
        </w:rPr>
      </w:pPr>
      <w:r w:rsidRPr="00F879DE">
        <w:rPr>
          <w:rFonts w:ascii="Arial" w:hAnsi="Arial" w:cs="Arial"/>
          <w:sz w:val="20"/>
          <w:szCs w:val="20"/>
        </w:rPr>
        <w:t>The APP points out that there it needs to be biased on the provision of benefits to Non-Statutory Forces (NSF), given the prejudices and imbalances of the past, but that this cannot be done without support of solid legislation. It states that “[t]</w:t>
      </w:r>
      <w:r w:rsidRPr="00F879DE">
        <w:rPr>
          <w:rFonts w:ascii="Arial" w:hAnsi="Arial" w:cs="Arial"/>
          <w:i/>
          <w:sz w:val="20"/>
          <w:szCs w:val="20"/>
        </w:rPr>
        <w:t>he Act has to be extremely clear and explicit as to how to handle matters affecting both Statutory Forces (SF) and Non Statutory Forces (NSF) members.”</w:t>
      </w:r>
    </w:p>
    <w:p w:rsidR="000C5BC8" w:rsidRPr="00F879DE" w:rsidRDefault="000C5BC8"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The APP lists various challenges over the years faced by the DMV in the delivery of benefits and proceeds to list these, followed by the mitigating steps being undertaken.</w:t>
      </w:r>
      <w:r w:rsidR="00E335AE" w:rsidRPr="00F879DE">
        <w:rPr>
          <w:rFonts w:ascii="Arial" w:hAnsi="Arial" w:cs="Arial"/>
          <w:sz w:val="20"/>
          <w:szCs w:val="20"/>
        </w:rPr>
        <w:t xml:space="preserve"> </w:t>
      </w:r>
      <w:r w:rsidRPr="00F879DE">
        <w:rPr>
          <w:rFonts w:ascii="Arial" w:hAnsi="Arial" w:cs="Arial"/>
          <w:sz w:val="20"/>
          <w:szCs w:val="20"/>
        </w:rPr>
        <w:t>In the process it laments the lack of an Integrated Information Management System, the structural constraints, as well as the fact that contract workers do not have the tools of trade to conduct their business remotely. It points out that Education support has been migrated from Programme 2 to 3 but that there are currently no financial and human resources shifted despite the ESM branch already having started with some activities.</w:t>
      </w:r>
    </w:p>
    <w:p w:rsidR="0084743E" w:rsidRPr="00F879DE" w:rsidRDefault="007F78BB" w:rsidP="00F879DE">
      <w:pPr>
        <w:autoSpaceDE w:val="0"/>
        <w:autoSpaceDN w:val="0"/>
        <w:adjustRightInd w:val="0"/>
        <w:spacing w:after="0" w:line="240" w:lineRule="auto"/>
        <w:rPr>
          <w:rFonts w:ascii="Arial" w:hAnsi="Arial" w:cs="Arial"/>
          <w:b/>
          <w:sz w:val="20"/>
          <w:szCs w:val="20"/>
        </w:rPr>
      </w:pPr>
      <w:r w:rsidRPr="00F879DE">
        <w:rPr>
          <w:rFonts w:ascii="Arial" w:hAnsi="Arial" w:cs="Arial"/>
          <w:sz w:val="20"/>
          <w:szCs w:val="20"/>
        </w:rPr>
        <w:t xml:space="preserve">Reference is made to </w:t>
      </w:r>
      <w:r w:rsidR="000C5BC8" w:rsidRPr="00F879DE">
        <w:rPr>
          <w:rFonts w:ascii="Arial" w:hAnsi="Arial" w:cs="Arial"/>
          <w:sz w:val="20"/>
          <w:szCs w:val="20"/>
        </w:rPr>
        <w:t xml:space="preserve">the High level DMV Database Registration Process </w:t>
      </w:r>
      <w:r w:rsidRPr="00F879DE">
        <w:rPr>
          <w:rFonts w:ascii="Arial" w:hAnsi="Arial" w:cs="Arial"/>
          <w:sz w:val="20"/>
          <w:szCs w:val="20"/>
        </w:rPr>
        <w:t xml:space="preserve">which </w:t>
      </w:r>
      <w:r w:rsidR="000C5BC8" w:rsidRPr="00F879DE">
        <w:rPr>
          <w:rFonts w:ascii="Arial" w:hAnsi="Arial" w:cs="Arial"/>
          <w:sz w:val="20"/>
          <w:szCs w:val="20"/>
        </w:rPr>
        <w:t>outlines the requirements to be registered, followed by a provincial breakdown where military veterans reside as well as a racial and gender breakdown of military veterans. It states that 76% of military veterans hail from SF’s with 24% from NSFs and that, given the history, there is a need for urgent intervention to “redress” the injustices of the past. The concentration of military veterans in the Gauteng Province constitutes 30% of the DMV population and necessitates the speeding up of establishing/enhancing provincial offices.</w:t>
      </w:r>
      <w:r w:rsidR="000C5BC8" w:rsidRPr="00F879DE">
        <w:rPr>
          <w:rFonts w:ascii="Arial" w:hAnsi="Arial" w:cs="Arial"/>
          <w:b/>
          <w:sz w:val="20"/>
          <w:szCs w:val="20"/>
        </w:rPr>
        <w:t xml:space="preserve"> </w:t>
      </w:r>
    </w:p>
    <w:p w:rsidR="00255A3D" w:rsidRPr="00F879DE" w:rsidRDefault="000C5BC8" w:rsidP="00F879DE">
      <w:pPr>
        <w:pStyle w:val="Heading3"/>
        <w:spacing w:before="0" w:line="240" w:lineRule="auto"/>
        <w:rPr>
          <w:rFonts w:ascii="Arial" w:eastAsiaTheme="minorHAnsi" w:hAnsi="Arial" w:cs="Arial"/>
          <w:b/>
          <w:color w:val="auto"/>
          <w:spacing w:val="0"/>
          <w:sz w:val="20"/>
          <w:szCs w:val="20"/>
          <w:lang w:val="en-ZA" w:eastAsia="en-US"/>
        </w:rPr>
      </w:pPr>
      <w:r w:rsidRPr="00F879DE">
        <w:rPr>
          <w:rFonts w:ascii="Arial" w:eastAsiaTheme="minorHAnsi" w:hAnsi="Arial" w:cs="Arial"/>
          <w:b/>
          <w:color w:val="auto"/>
          <w:spacing w:val="0"/>
          <w:sz w:val="20"/>
          <w:szCs w:val="20"/>
          <w:lang w:val="en-ZA" w:eastAsia="en-US"/>
        </w:rPr>
        <w:lastRenderedPageBreak/>
        <w:t>Internal Environment</w:t>
      </w:r>
    </w:p>
    <w:p w:rsidR="00255A3D" w:rsidRPr="00F879DE" w:rsidRDefault="00255A3D" w:rsidP="00F879DE">
      <w:pPr>
        <w:spacing w:after="0" w:line="240" w:lineRule="auto"/>
        <w:rPr>
          <w:rFonts w:ascii="Arial" w:hAnsi="Arial" w:cs="Arial"/>
          <w:sz w:val="20"/>
          <w:szCs w:val="20"/>
        </w:rPr>
      </w:pPr>
    </w:p>
    <w:p w:rsidR="00E335AE" w:rsidRPr="00F879DE" w:rsidRDefault="000C5BC8" w:rsidP="00F879DE">
      <w:pPr>
        <w:autoSpaceDE w:val="0"/>
        <w:autoSpaceDN w:val="0"/>
        <w:adjustRightInd w:val="0"/>
        <w:spacing w:after="0" w:line="240" w:lineRule="auto"/>
        <w:rPr>
          <w:rFonts w:ascii="Arial" w:hAnsi="Arial" w:cs="Arial"/>
          <w:b/>
          <w:sz w:val="20"/>
          <w:szCs w:val="20"/>
        </w:rPr>
      </w:pPr>
      <w:r w:rsidRPr="00F879DE">
        <w:rPr>
          <w:rFonts w:ascii="Arial" w:hAnsi="Arial" w:cs="Arial"/>
          <w:sz w:val="20"/>
          <w:szCs w:val="20"/>
        </w:rPr>
        <w:t xml:space="preserve">This section </w:t>
      </w:r>
      <w:r w:rsidR="00AB71C6" w:rsidRPr="00F879DE">
        <w:rPr>
          <w:rFonts w:ascii="Arial" w:hAnsi="Arial" w:cs="Arial"/>
          <w:sz w:val="20"/>
          <w:szCs w:val="20"/>
        </w:rPr>
        <w:t xml:space="preserve">of the APP </w:t>
      </w:r>
      <w:r w:rsidRPr="00F879DE">
        <w:rPr>
          <w:rFonts w:ascii="Arial" w:hAnsi="Arial" w:cs="Arial"/>
          <w:sz w:val="20"/>
          <w:szCs w:val="20"/>
        </w:rPr>
        <w:t>discusses various issues such as the work of the Presidential Task Team (PTT), especially its work on reviewing legislation and the need to ensure that the Consensus Document is implemented as a government-wide programme. It also outlines its intention to link up with the District Service Delivery Model (SDM), as it “</w:t>
      </w:r>
      <w:r w:rsidRPr="00F879DE">
        <w:rPr>
          <w:rFonts w:ascii="Arial" w:hAnsi="Arial" w:cs="Arial"/>
          <w:i/>
          <w:sz w:val="20"/>
          <w:szCs w:val="20"/>
        </w:rPr>
        <w:t>will contribute to an empowered and self-sufficient community of military veterans.</w:t>
      </w:r>
      <w:r w:rsidRPr="00F879DE">
        <w:rPr>
          <w:rFonts w:ascii="Arial" w:hAnsi="Arial" w:cs="Arial"/>
          <w:sz w:val="20"/>
          <w:szCs w:val="20"/>
        </w:rPr>
        <w:t xml:space="preserve">” </w:t>
      </w:r>
    </w:p>
    <w:p w:rsidR="00AB71C6" w:rsidRPr="00F879DE" w:rsidRDefault="00AB71C6" w:rsidP="00F879DE">
      <w:pPr>
        <w:autoSpaceDE w:val="0"/>
        <w:autoSpaceDN w:val="0"/>
        <w:adjustRightInd w:val="0"/>
        <w:spacing w:after="0" w:line="240" w:lineRule="auto"/>
        <w:rPr>
          <w:rFonts w:ascii="Arial" w:hAnsi="Arial" w:cs="Arial"/>
          <w:b/>
          <w:sz w:val="20"/>
          <w:szCs w:val="20"/>
        </w:rPr>
      </w:pPr>
    </w:p>
    <w:p w:rsidR="0084743E" w:rsidRPr="00F879DE" w:rsidRDefault="0084743E" w:rsidP="00F879DE">
      <w:pPr>
        <w:autoSpaceDE w:val="0"/>
        <w:autoSpaceDN w:val="0"/>
        <w:adjustRightInd w:val="0"/>
        <w:spacing w:after="0" w:line="240" w:lineRule="auto"/>
        <w:rPr>
          <w:rFonts w:ascii="Arial" w:hAnsi="Arial" w:cs="Arial"/>
          <w:b/>
          <w:sz w:val="20"/>
          <w:szCs w:val="20"/>
        </w:rPr>
      </w:pPr>
      <w:r w:rsidRPr="00F879DE">
        <w:rPr>
          <w:rFonts w:ascii="Arial" w:hAnsi="Arial" w:cs="Arial"/>
          <w:b/>
          <w:sz w:val="20"/>
          <w:szCs w:val="20"/>
        </w:rPr>
        <w:t xml:space="preserve">5.3 </w:t>
      </w:r>
      <w:r w:rsidRPr="00F879DE">
        <w:rPr>
          <w:rFonts w:ascii="Arial" w:hAnsi="Arial" w:cs="Arial"/>
          <w:b/>
          <w:sz w:val="20"/>
          <w:szCs w:val="20"/>
        </w:rPr>
        <w:tab/>
        <w:t>Part C: Measuring DMV Performance</w:t>
      </w:r>
    </w:p>
    <w:p w:rsidR="0084743E" w:rsidRPr="00F879DE" w:rsidRDefault="0084743E"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This section is divided into four note-worthy subsections namely Institutional Performance Information; Key risks and mitigations; and Public entities.</w:t>
      </w:r>
    </w:p>
    <w:p w:rsidR="0084743E" w:rsidRPr="00F879DE" w:rsidRDefault="0084743E" w:rsidP="00F879DE">
      <w:pPr>
        <w:autoSpaceDE w:val="0"/>
        <w:autoSpaceDN w:val="0"/>
        <w:adjustRightInd w:val="0"/>
        <w:spacing w:after="0" w:line="240" w:lineRule="auto"/>
        <w:rPr>
          <w:rFonts w:ascii="Arial" w:hAnsi="Arial" w:cs="Arial"/>
          <w:b/>
          <w:sz w:val="20"/>
          <w:szCs w:val="20"/>
        </w:rPr>
      </w:pPr>
      <w:r w:rsidRPr="00F879DE">
        <w:rPr>
          <w:rFonts w:ascii="Arial" w:hAnsi="Arial" w:cs="Arial"/>
          <w:b/>
          <w:sz w:val="20"/>
          <w:szCs w:val="20"/>
        </w:rPr>
        <w:t>5.3.1</w:t>
      </w:r>
      <w:r w:rsidRPr="00F879DE">
        <w:rPr>
          <w:rFonts w:ascii="Arial" w:hAnsi="Arial" w:cs="Arial"/>
          <w:b/>
          <w:sz w:val="20"/>
          <w:szCs w:val="20"/>
        </w:rPr>
        <w:tab/>
        <w:t xml:space="preserve">Institutional Performance Information </w:t>
      </w:r>
    </w:p>
    <w:p w:rsidR="0084743E" w:rsidRPr="00F879DE" w:rsidRDefault="0084743E"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The APP sets out the DMV’s contribution </w:t>
      </w:r>
      <w:r w:rsidR="00847CD4" w:rsidRPr="00F879DE">
        <w:rPr>
          <w:rFonts w:ascii="Arial" w:hAnsi="Arial" w:cs="Arial"/>
          <w:sz w:val="20"/>
          <w:szCs w:val="20"/>
        </w:rPr>
        <w:t xml:space="preserve">in relation to </w:t>
      </w:r>
      <w:r w:rsidRPr="00F879DE">
        <w:rPr>
          <w:rFonts w:ascii="Arial" w:hAnsi="Arial" w:cs="Arial"/>
          <w:sz w:val="20"/>
          <w:szCs w:val="20"/>
        </w:rPr>
        <w:t xml:space="preserve">the Executive Authority’s Priorities, the </w:t>
      </w:r>
      <w:r w:rsidR="00AB71C6" w:rsidRPr="00F879DE">
        <w:rPr>
          <w:rFonts w:ascii="Arial" w:hAnsi="Arial" w:cs="Arial"/>
          <w:sz w:val="20"/>
          <w:szCs w:val="20"/>
        </w:rPr>
        <w:t>NDP</w:t>
      </w:r>
      <w:r w:rsidRPr="00F879DE">
        <w:rPr>
          <w:rFonts w:ascii="Arial" w:hAnsi="Arial" w:cs="Arial"/>
          <w:sz w:val="20"/>
          <w:szCs w:val="20"/>
        </w:rPr>
        <w:t xml:space="preserve"> Vision 2030, and the </w:t>
      </w:r>
      <w:r w:rsidR="00AB71C6" w:rsidRPr="00F879DE">
        <w:rPr>
          <w:rFonts w:ascii="Arial" w:hAnsi="Arial" w:cs="Arial"/>
          <w:sz w:val="20"/>
          <w:szCs w:val="20"/>
        </w:rPr>
        <w:t>MTSF</w:t>
      </w:r>
      <w:r w:rsidRPr="00F879DE">
        <w:rPr>
          <w:rFonts w:ascii="Arial" w:hAnsi="Arial" w:cs="Arial"/>
          <w:sz w:val="20"/>
          <w:szCs w:val="20"/>
        </w:rPr>
        <w:t xml:space="preserve"> 2019 – 2024 Priorities.</w:t>
      </w:r>
    </w:p>
    <w:p w:rsidR="00E335AE" w:rsidRPr="00F879DE" w:rsidRDefault="00E335AE" w:rsidP="00F879DE">
      <w:pPr>
        <w:autoSpaceDE w:val="0"/>
        <w:autoSpaceDN w:val="0"/>
        <w:adjustRightInd w:val="0"/>
        <w:spacing w:after="0" w:line="240" w:lineRule="auto"/>
        <w:rPr>
          <w:rFonts w:ascii="Arial" w:hAnsi="Arial" w:cs="Arial"/>
          <w:b/>
          <w:sz w:val="20"/>
          <w:szCs w:val="20"/>
        </w:rPr>
      </w:pPr>
      <w:r w:rsidRPr="00F879DE">
        <w:rPr>
          <w:rFonts w:ascii="Arial" w:hAnsi="Arial" w:cs="Arial"/>
          <w:b/>
          <w:sz w:val="20"/>
          <w:szCs w:val="20"/>
        </w:rPr>
        <w:t xml:space="preserve">Budget Programme Structure </w:t>
      </w:r>
    </w:p>
    <w:p w:rsidR="00E335AE" w:rsidRPr="00F879DE" w:rsidRDefault="00E335AE"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The APP indicates that no amendments or additions have been made in Programme 1 which consists of 6 sub-programmes. Programme 2 saw three amendments in its three sub-programme relating to either ensuring it reflects the correct intent of the sub-programme or to ensure that funds allocated are made visible to ensure accountability. Programme 3 with its three sub-programmes, did not have any amendments. </w:t>
      </w:r>
    </w:p>
    <w:p w:rsidR="00E335AE" w:rsidRPr="00F879DE" w:rsidRDefault="0084743E" w:rsidP="00F879DE">
      <w:pPr>
        <w:pStyle w:val="Heading1"/>
        <w:spacing w:before="0" w:line="240" w:lineRule="auto"/>
        <w:rPr>
          <w:rFonts w:ascii="Arial" w:hAnsi="Arial" w:cs="Arial"/>
          <w:b/>
          <w:color w:val="auto"/>
          <w:sz w:val="20"/>
          <w:szCs w:val="20"/>
        </w:rPr>
      </w:pPr>
      <w:r w:rsidRPr="00F879DE">
        <w:rPr>
          <w:rFonts w:ascii="Arial" w:hAnsi="Arial" w:cs="Arial"/>
          <w:b/>
          <w:color w:val="auto"/>
          <w:sz w:val="20"/>
          <w:szCs w:val="20"/>
        </w:rPr>
        <w:t xml:space="preserve">6. </w:t>
      </w:r>
      <w:r w:rsidRPr="00F879DE">
        <w:rPr>
          <w:rFonts w:ascii="Arial" w:hAnsi="Arial" w:cs="Arial"/>
          <w:b/>
          <w:color w:val="auto"/>
          <w:sz w:val="20"/>
          <w:szCs w:val="20"/>
        </w:rPr>
        <w:tab/>
      </w:r>
      <w:r w:rsidR="00E335AE" w:rsidRPr="00F879DE">
        <w:rPr>
          <w:rFonts w:ascii="Arial" w:hAnsi="Arial" w:cs="Arial"/>
          <w:b/>
          <w:color w:val="auto"/>
          <w:sz w:val="20"/>
          <w:szCs w:val="20"/>
        </w:rPr>
        <w:t>DMV PROGRAMMES FOR FY2022/23</w:t>
      </w:r>
    </w:p>
    <w:p w:rsidR="00E335AE" w:rsidRPr="00F879DE" w:rsidRDefault="00E335AE" w:rsidP="00F879DE">
      <w:pPr>
        <w:autoSpaceDE w:val="0"/>
        <w:autoSpaceDN w:val="0"/>
        <w:adjustRightInd w:val="0"/>
        <w:spacing w:after="0" w:line="240" w:lineRule="auto"/>
        <w:rPr>
          <w:rFonts w:ascii="Arial" w:hAnsi="Arial" w:cs="Arial"/>
          <w:sz w:val="20"/>
          <w:szCs w:val="20"/>
        </w:rPr>
      </w:pPr>
    </w:p>
    <w:p w:rsidR="00E335AE" w:rsidRPr="00F879DE" w:rsidRDefault="00E335AE" w:rsidP="00F879DE">
      <w:pPr>
        <w:autoSpaceDE w:val="0"/>
        <w:autoSpaceDN w:val="0"/>
        <w:adjustRightInd w:val="0"/>
        <w:spacing w:after="0" w:line="240" w:lineRule="auto"/>
        <w:rPr>
          <w:rFonts w:ascii="Arial" w:hAnsi="Arial" w:cs="Arial"/>
          <w:b/>
          <w:sz w:val="20"/>
          <w:szCs w:val="20"/>
        </w:rPr>
      </w:pPr>
      <w:r w:rsidRPr="00F879DE">
        <w:rPr>
          <w:rFonts w:ascii="Arial" w:hAnsi="Arial" w:cs="Arial"/>
          <w:sz w:val="20"/>
          <w:szCs w:val="20"/>
        </w:rPr>
        <w:t>The 2022/23 of Estimates of National Expenditure (ENE), Vote 26</w:t>
      </w:r>
      <w:r w:rsidR="00AB71C6" w:rsidRPr="00F879DE">
        <w:rPr>
          <w:rFonts w:ascii="Arial" w:hAnsi="Arial" w:cs="Arial"/>
          <w:sz w:val="20"/>
          <w:szCs w:val="20"/>
        </w:rPr>
        <w:t>:</w:t>
      </w:r>
      <w:r w:rsidRPr="00F879DE">
        <w:rPr>
          <w:rFonts w:ascii="Arial" w:hAnsi="Arial" w:cs="Arial"/>
          <w:sz w:val="20"/>
          <w:szCs w:val="20"/>
        </w:rPr>
        <w:t xml:space="preserve"> Military Veterans, states that the purpose of the Vote is to formulate policies and standards aimed at providing a comprehensive delivery system to military veterans and their dependants in recognition of their role in the democratisation of South Africa. As such, the DMV will over the medium term, continue to focus on providing key benefits such as health care, housing, education, training and skills development programmes to military veterans and their dependants. </w:t>
      </w:r>
    </w:p>
    <w:p w:rsidR="00E335AE" w:rsidRPr="00F879DE" w:rsidRDefault="00E335AE" w:rsidP="00F879DE">
      <w:pPr>
        <w:pStyle w:val="Heading1"/>
        <w:spacing w:before="0" w:line="240" w:lineRule="auto"/>
        <w:rPr>
          <w:rFonts w:ascii="Arial" w:hAnsi="Arial" w:cs="Arial"/>
          <w:b/>
          <w:color w:val="auto"/>
          <w:sz w:val="20"/>
          <w:szCs w:val="20"/>
        </w:rPr>
      </w:pPr>
      <w:r w:rsidRPr="00F879DE">
        <w:rPr>
          <w:rFonts w:ascii="Arial" w:hAnsi="Arial" w:cs="Arial"/>
          <w:b/>
          <w:color w:val="auto"/>
          <w:sz w:val="20"/>
          <w:szCs w:val="20"/>
        </w:rPr>
        <w:t>6.1</w:t>
      </w:r>
      <w:r w:rsidRPr="00F879DE">
        <w:rPr>
          <w:rFonts w:ascii="Arial" w:hAnsi="Arial" w:cs="Arial"/>
          <w:b/>
          <w:color w:val="auto"/>
          <w:sz w:val="20"/>
          <w:szCs w:val="20"/>
        </w:rPr>
        <w:tab/>
        <w:t xml:space="preserve">Programmes and sub-programmes </w:t>
      </w:r>
    </w:p>
    <w:p w:rsidR="00E335AE" w:rsidRPr="00F879DE" w:rsidRDefault="00E335AE" w:rsidP="00F879DE">
      <w:pPr>
        <w:pStyle w:val="Heading3"/>
        <w:spacing w:before="0" w:line="240" w:lineRule="auto"/>
        <w:rPr>
          <w:rFonts w:ascii="Arial" w:hAnsi="Arial" w:cs="Arial"/>
          <w:b/>
          <w:color w:val="auto"/>
          <w:sz w:val="20"/>
          <w:szCs w:val="20"/>
        </w:rPr>
      </w:pPr>
    </w:p>
    <w:p w:rsidR="00E335AE" w:rsidRPr="00F879DE" w:rsidRDefault="00E335AE" w:rsidP="00F879DE">
      <w:pPr>
        <w:pStyle w:val="Heading3"/>
        <w:spacing w:before="0" w:line="240" w:lineRule="auto"/>
        <w:rPr>
          <w:rFonts w:ascii="Arial" w:hAnsi="Arial" w:cs="Arial"/>
          <w:b/>
          <w:color w:val="auto"/>
          <w:sz w:val="20"/>
          <w:szCs w:val="20"/>
        </w:rPr>
      </w:pPr>
      <w:r w:rsidRPr="00F879DE">
        <w:rPr>
          <w:rFonts w:ascii="Arial" w:hAnsi="Arial" w:cs="Arial"/>
          <w:b/>
          <w:color w:val="auto"/>
          <w:sz w:val="20"/>
          <w:szCs w:val="20"/>
        </w:rPr>
        <w:t>6.1.1</w:t>
      </w:r>
      <w:r w:rsidRPr="00F879DE">
        <w:rPr>
          <w:rFonts w:ascii="Arial" w:hAnsi="Arial" w:cs="Arial"/>
          <w:b/>
          <w:color w:val="auto"/>
          <w:sz w:val="20"/>
          <w:szCs w:val="20"/>
        </w:rPr>
        <w:tab/>
        <w:t>Overview of the 2022/23 Budget and MTEF Estimates</w:t>
      </w:r>
    </w:p>
    <w:p w:rsidR="00D360D5" w:rsidRPr="00F879DE" w:rsidRDefault="00D360D5" w:rsidP="00F879DE">
      <w:pPr>
        <w:spacing w:after="0" w:line="240" w:lineRule="auto"/>
        <w:rPr>
          <w:rFonts w:ascii="Arial" w:hAnsi="Arial" w:cs="Arial"/>
          <w:sz w:val="20"/>
          <w:szCs w:val="20"/>
          <w:lang w:val="en-GB" w:eastAsia="en-GB"/>
        </w:rPr>
      </w:pPr>
    </w:p>
    <w:p w:rsidR="00AB71C6" w:rsidRPr="00F879DE" w:rsidRDefault="00AB71C6" w:rsidP="00F879DE">
      <w:pPr>
        <w:spacing w:after="0" w:line="240" w:lineRule="auto"/>
        <w:rPr>
          <w:rFonts w:ascii="Arial" w:hAnsi="Arial" w:cs="Arial"/>
          <w:sz w:val="20"/>
          <w:szCs w:val="20"/>
        </w:rPr>
      </w:pPr>
      <w:r w:rsidRPr="00F879DE">
        <w:rPr>
          <w:rFonts w:ascii="Arial" w:hAnsi="Arial" w:cs="Arial"/>
          <w:sz w:val="20"/>
          <w:szCs w:val="20"/>
        </w:rPr>
        <w:t>The APP emphasises that the DMV is now under Vote 26 in the ENE to ensure it accounts for its own budget with its own accounting and budgeting systems. The Department’s budget will increase from R666.4 million to R692.8 3 million over the medium-term (2022/23 to 2024/25). Programmes 2 and 3, the two main delivery programmes will be allocated around 80% of the budget to assist the DMV to deliver on its mandate.</w:t>
      </w:r>
    </w:p>
    <w:p w:rsidR="00A82832" w:rsidRPr="00F879DE" w:rsidRDefault="00A82832" w:rsidP="00F879DE">
      <w:pPr>
        <w:spacing w:after="0" w:line="240" w:lineRule="auto"/>
        <w:rPr>
          <w:rFonts w:ascii="Arial" w:hAnsi="Arial" w:cs="Arial"/>
          <w:sz w:val="20"/>
          <w:szCs w:val="20"/>
        </w:rPr>
      </w:pPr>
    </w:p>
    <w:p w:rsidR="00A82832" w:rsidRPr="00F879DE" w:rsidRDefault="00A82832" w:rsidP="00F879DE">
      <w:pPr>
        <w:spacing w:after="0" w:line="240" w:lineRule="auto"/>
        <w:rPr>
          <w:rFonts w:ascii="Arial" w:hAnsi="Arial" w:cs="Arial"/>
          <w:sz w:val="20"/>
          <w:szCs w:val="20"/>
        </w:rPr>
      </w:pPr>
    </w:p>
    <w:p w:rsidR="00A82832" w:rsidRPr="00F879DE" w:rsidRDefault="00A82832" w:rsidP="00F879DE">
      <w:pPr>
        <w:spacing w:after="0" w:line="240" w:lineRule="auto"/>
        <w:rPr>
          <w:rFonts w:ascii="Arial" w:hAnsi="Arial" w:cs="Arial"/>
          <w:sz w:val="20"/>
          <w:szCs w:val="20"/>
        </w:rPr>
      </w:pPr>
    </w:p>
    <w:p w:rsidR="00A82832" w:rsidRPr="00F879DE" w:rsidRDefault="00A82832" w:rsidP="00F879DE">
      <w:pPr>
        <w:spacing w:after="0" w:line="240" w:lineRule="auto"/>
        <w:rPr>
          <w:rFonts w:ascii="Arial" w:hAnsi="Arial" w:cs="Arial"/>
          <w:sz w:val="20"/>
          <w:szCs w:val="20"/>
          <w:lang w:val="en-GB" w:eastAsia="en-GB"/>
        </w:rPr>
      </w:pPr>
      <w:r w:rsidRPr="00F879DE">
        <w:rPr>
          <w:rFonts w:ascii="Arial" w:hAnsi="Arial" w:cs="Arial"/>
          <w:noProof/>
          <w:sz w:val="20"/>
          <w:szCs w:val="20"/>
          <w:lang w:val="en-US"/>
        </w:rPr>
        <w:drawing>
          <wp:anchor distT="0" distB="0" distL="114300" distR="114300" simplePos="0" relativeHeight="251673600" behindDoc="0" locked="0" layoutInCell="1" allowOverlap="1">
            <wp:simplePos x="0" y="0"/>
            <wp:positionH relativeFrom="column">
              <wp:posOffset>232410</wp:posOffset>
            </wp:positionH>
            <wp:positionV relativeFrom="paragraph">
              <wp:posOffset>276860</wp:posOffset>
            </wp:positionV>
            <wp:extent cx="5682615" cy="15849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82615" cy="1584960"/>
                    </a:xfrm>
                    <a:prstGeom prst="rect">
                      <a:avLst/>
                    </a:prstGeom>
                    <a:noFill/>
                    <a:ln>
                      <a:noFill/>
                    </a:ln>
                  </pic:spPr>
                </pic:pic>
              </a:graphicData>
            </a:graphic>
          </wp:anchor>
        </w:drawing>
      </w:r>
    </w:p>
    <w:p w:rsidR="00E335AE" w:rsidRPr="00F879DE" w:rsidRDefault="00E335AE" w:rsidP="00F879DE">
      <w:pPr>
        <w:spacing w:after="0" w:line="240" w:lineRule="auto"/>
        <w:rPr>
          <w:rFonts w:ascii="Arial" w:hAnsi="Arial" w:cs="Arial"/>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9"/>
        <w:gridCol w:w="1647"/>
        <w:gridCol w:w="992"/>
        <w:gridCol w:w="1003"/>
        <w:gridCol w:w="1025"/>
      </w:tblGrid>
      <w:tr w:rsidR="00E335AE" w:rsidRPr="00F879DE" w:rsidTr="00C5608F">
        <w:trPr>
          <w:trHeight w:val="394"/>
          <w:jc w:val="center"/>
        </w:trPr>
        <w:tc>
          <w:tcPr>
            <w:tcW w:w="8926" w:type="dxa"/>
            <w:gridSpan w:val="5"/>
            <w:shd w:val="clear" w:color="auto" w:fill="9CC2E5" w:themeFill="accent1" w:themeFillTint="99"/>
            <w:noWrap/>
            <w:vAlign w:val="bottom"/>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VOTE 26: MILITARY VETERANS</w:t>
            </w:r>
          </w:p>
        </w:tc>
      </w:tr>
      <w:tr w:rsidR="00E335AE" w:rsidRPr="00F879DE" w:rsidTr="00C5608F">
        <w:trPr>
          <w:trHeight w:val="413"/>
          <w:jc w:val="center"/>
        </w:trPr>
        <w:tc>
          <w:tcPr>
            <w:tcW w:w="4259" w:type="dxa"/>
            <w:shd w:val="clear" w:color="auto" w:fill="BDD6EE" w:themeFill="accent1" w:themeFillTint="66"/>
            <w:noWrap/>
            <w:vAlign w:val="bottom"/>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Programme</w:t>
            </w:r>
          </w:p>
        </w:tc>
        <w:tc>
          <w:tcPr>
            <w:tcW w:w="4667" w:type="dxa"/>
            <w:gridSpan w:val="4"/>
            <w:shd w:val="clear" w:color="auto" w:fill="EDEDED" w:themeFill="accent3" w:themeFillTint="33"/>
            <w:vAlign w:val="center"/>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Budget</w:t>
            </w:r>
          </w:p>
        </w:tc>
      </w:tr>
      <w:tr w:rsidR="00E335AE" w:rsidRPr="00F879DE" w:rsidTr="00D360D5">
        <w:trPr>
          <w:trHeight w:val="255"/>
          <w:jc w:val="center"/>
        </w:trPr>
        <w:tc>
          <w:tcPr>
            <w:tcW w:w="4259" w:type="dxa"/>
            <w:shd w:val="clear" w:color="auto" w:fill="BDD6EE" w:themeFill="accent1" w:themeFillTint="66"/>
            <w:noWrap/>
            <w:vAlign w:val="bottom"/>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R million</w:t>
            </w:r>
          </w:p>
        </w:tc>
        <w:tc>
          <w:tcPr>
            <w:tcW w:w="1647" w:type="dxa"/>
            <w:shd w:val="clear" w:color="auto" w:fill="EDEDED" w:themeFill="accent3" w:themeFillTint="33"/>
            <w:noWrap/>
            <w:vAlign w:val="bottom"/>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2021/22</w:t>
            </w:r>
          </w:p>
        </w:tc>
        <w:tc>
          <w:tcPr>
            <w:tcW w:w="992" w:type="dxa"/>
            <w:shd w:val="clear" w:color="auto" w:fill="EDEDED" w:themeFill="accent3" w:themeFillTint="33"/>
            <w:noWrap/>
            <w:vAlign w:val="bottom"/>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 of budget</w:t>
            </w:r>
          </w:p>
        </w:tc>
        <w:tc>
          <w:tcPr>
            <w:tcW w:w="1003" w:type="dxa"/>
            <w:shd w:val="clear" w:color="auto" w:fill="EDEDED" w:themeFill="accent3" w:themeFillTint="33"/>
            <w:vAlign w:val="bottom"/>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2022/23</w:t>
            </w:r>
          </w:p>
        </w:tc>
        <w:tc>
          <w:tcPr>
            <w:tcW w:w="1025" w:type="dxa"/>
            <w:shd w:val="clear" w:color="auto" w:fill="EDEDED" w:themeFill="accent3" w:themeFillTint="33"/>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 of budget</w:t>
            </w:r>
          </w:p>
        </w:tc>
      </w:tr>
      <w:tr w:rsidR="00E335AE" w:rsidRPr="00F879DE" w:rsidTr="00D360D5">
        <w:trPr>
          <w:trHeight w:val="255"/>
          <w:jc w:val="center"/>
        </w:trPr>
        <w:tc>
          <w:tcPr>
            <w:tcW w:w="4259" w:type="dxa"/>
            <w:shd w:val="clear" w:color="auto" w:fill="BDD6EE" w:themeFill="accent1" w:themeFillTint="66"/>
            <w:noWrap/>
            <w:vAlign w:val="bottom"/>
            <w:hideMark/>
          </w:tcPr>
          <w:p w:rsidR="00E335AE" w:rsidRPr="00F879DE" w:rsidRDefault="00E335AE" w:rsidP="00F879DE">
            <w:pPr>
              <w:spacing w:after="0" w:line="240" w:lineRule="auto"/>
              <w:rPr>
                <w:rFonts w:ascii="Arial" w:hAnsi="Arial" w:cs="Arial"/>
                <w:b/>
                <w:bCs/>
                <w:sz w:val="20"/>
                <w:szCs w:val="20"/>
                <w:lang w:eastAsia="en-ZA"/>
              </w:rPr>
            </w:pPr>
          </w:p>
        </w:tc>
        <w:tc>
          <w:tcPr>
            <w:tcW w:w="1647" w:type="dxa"/>
            <w:shd w:val="clear" w:color="auto" w:fill="EDEDED" w:themeFill="accent3" w:themeFillTint="33"/>
            <w:noWrap/>
            <w:vAlign w:val="bottom"/>
            <w:hideMark/>
          </w:tcPr>
          <w:p w:rsidR="00E335AE" w:rsidRPr="00F879DE" w:rsidRDefault="00E335AE" w:rsidP="00F879DE">
            <w:pPr>
              <w:spacing w:after="0" w:line="240" w:lineRule="auto"/>
              <w:rPr>
                <w:rFonts w:ascii="Arial" w:hAnsi="Arial" w:cs="Arial"/>
                <w:sz w:val="20"/>
                <w:szCs w:val="20"/>
                <w:lang w:eastAsia="en-ZA"/>
              </w:rPr>
            </w:pPr>
          </w:p>
        </w:tc>
        <w:tc>
          <w:tcPr>
            <w:tcW w:w="992" w:type="dxa"/>
            <w:shd w:val="clear" w:color="auto" w:fill="EDEDED" w:themeFill="accent3" w:themeFillTint="33"/>
            <w:noWrap/>
            <w:vAlign w:val="bottom"/>
          </w:tcPr>
          <w:p w:rsidR="00E335AE" w:rsidRPr="00F879DE" w:rsidRDefault="00E335AE" w:rsidP="00F879DE">
            <w:pPr>
              <w:spacing w:after="0" w:line="240" w:lineRule="auto"/>
              <w:rPr>
                <w:rFonts w:ascii="Arial" w:hAnsi="Arial" w:cs="Arial"/>
                <w:sz w:val="20"/>
                <w:szCs w:val="20"/>
                <w:lang w:eastAsia="en-ZA"/>
              </w:rPr>
            </w:pPr>
          </w:p>
        </w:tc>
        <w:tc>
          <w:tcPr>
            <w:tcW w:w="1003" w:type="dxa"/>
            <w:shd w:val="clear" w:color="auto" w:fill="EDEDED" w:themeFill="accent3" w:themeFillTint="33"/>
            <w:vAlign w:val="bottom"/>
          </w:tcPr>
          <w:p w:rsidR="00E335AE" w:rsidRPr="00F879DE" w:rsidRDefault="00E335AE" w:rsidP="00F879DE">
            <w:pPr>
              <w:spacing w:after="0" w:line="240" w:lineRule="auto"/>
              <w:rPr>
                <w:rFonts w:ascii="Arial" w:hAnsi="Arial" w:cs="Arial"/>
                <w:sz w:val="20"/>
                <w:szCs w:val="20"/>
                <w:lang w:eastAsia="en-ZA"/>
              </w:rPr>
            </w:pPr>
          </w:p>
        </w:tc>
        <w:tc>
          <w:tcPr>
            <w:tcW w:w="1025" w:type="dxa"/>
            <w:shd w:val="clear" w:color="auto" w:fill="EDEDED" w:themeFill="accent3" w:themeFillTint="33"/>
          </w:tcPr>
          <w:p w:rsidR="00E335AE" w:rsidRPr="00F879DE" w:rsidRDefault="00E335AE" w:rsidP="00F879DE">
            <w:pPr>
              <w:spacing w:after="0" w:line="240" w:lineRule="auto"/>
              <w:rPr>
                <w:rFonts w:ascii="Arial" w:hAnsi="Arial" w:cs="Arial"/>
                <w:sz w:val="20"/>
                <w:szCs w:val="20"/>
                <w:lang w:eastAsia="en-ZA"/>
              </w:rPr>
            </w:pPr>
          </w:p>
        </w:tc>
      </w:tr>
      <w:tr w:rsidR="00E335AE" w:rsidRPr="00F879DE" w:rsidTr="00D360D5">
        <w:trPr>
          <w:trHeight w:val="255"/>
          <w:jc w:val="center"/>
        </w:trPr>
        <w:tc>
          <w:tcPr>
            <w:tcW w:w="4259" w:type="dxa"/>
            <w:shd w:val="clear" w:color="auto" w:fill="BDD6EE" w:themeFill="accent1" w:themeFillTint="66"/>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 xml:space="preserve">Programme 1: Administration </w:t>
            </w:r>
          </w:p>
        </w:tc>
        <w:tc>
          <w:tcPr>
            <w:tcW w:w="1647" w:type="dxa"/>
            <w:shd w:val="clear" w:color="auto" w:fill="EDEDED" w:themeFill="accent3" w:themeFillTint="33"/>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 xml:space="preserve">  132.9</w:t>
            </w:r>
          </w:p>
        </w:tc>
        <w:tc>
          <w:tcPr>
            <w:tcW w:w="992" w:type="dxa"/>
            <w:shd w:val="clear" w:color="auto" w:fill="EDEDED" w:themeFill="accent3" w:themeFillTint="33"/>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rPr>
              <w:t>21.88 %</w:t>
            </w:r>
          </w:p>
        </w:tc>
        <w:tc>
          <w:tcPr>
            <w:tcW w:w="1003" w:type="dxa"/>
            <w:shd w:val="clear" w:color="auto" w:fill="EDEDED" w:themeFill="accent3" w:themeFillTint="33"/>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133.3</w:t>
            </w:r>
          </w:p>
        </w:tc>
        <w:tc>
          <w:tcPr>
            <w:tcW w:w="1025" w:type="dxa"/>
            <w:shd w:val="clear" w:color="auto" w:fill="EDEDED" w:themeFill="accent3" w:themeFillTint="33"/>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rPr>
              <w:t>20.24%</w:t>
            </w:r>
          </w:p>
        </w:tc>
      </w:tr>
      <w:tr w:rsidR="00E335AE" w:rsidRPr="00F879DE" w:rsidTr="00D360D5">
        <w:trPr>
          <w:trHeight w:val="255"/>
          <w:jc w:val="center"/>
        </w:trPr>
        <w:tc>
          <w:tcPr>
            <w:tcW w:w="4259" w:type="dxa"/>
            <w:shd w:val="clear" w:color="auto" w:fill="BDD6EE" w:themeFill="accent1" w:themeFillTint="66"/>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Programme 2: Socio-economic Support</w:t>
            </w:r>
          </w:p>
        </w:tc>
        <w:tc>
          <w:tcPr>
            <w:tcW w:w="1647" w:type="dxa"/>
            <w:shd w:val="clear" w:color="auto" w:fill="EDEDED" w:themeFill="accent3" w:themeFillTint="33"/>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305.3</w:t>
            </w:r>
          </w:p>
        </w:tc>
        <w:tc>
          <w:tcPr>
            <w:tcW w:w="992" w:type="dxa"/>
            <w:shd w:val="clear" w:color="auto" w:fill="EDEDED" w:themeFill="accent3" w:themeFillTint="33"/>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rPr>
              <w:t>50.26 %</w:t>
            </w:r>
          </w:p>
        </w:tc>
        <w:tc>
          <w:tcPr>
            <w:tcW w:w="1003" w:type="dxa"/>
            <w:shd w:val="clear" w:color="auto" w:fill="EDEDED" w:themeFill="accent3" w:themeFillTint="33"/>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378.6</w:t>
            </w:r>
          </w:p>
        </w:tc>
        <w:tc>
          <w:tcPr>
            <w:tcW w:w="1025" w:type="dxa"/>
            <w:shd w:val="clear" w:color="auto" w:fill="EDEDED" w:themeFill="accent3" w:themeFillTint="33"/>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rPr>
              <w:t>57.10 %</w:t>
            </w:r>
            <w:r w:rsidRPr="00F879DE" w:rsidDel="008334F7">
              <w:rPr>
                <w:rFonts w:ascii="Arial" w:hAnsi="Arial" w:cs="Arial"/>
                <w:sz w:val="20"/>
                <w:szCs w:val="20"/>
                <w:lang w:eastAsia="en-ZA"/>
              </w:rPr>
              <w:t xml:space="preserve"> </w:t>
            </w:r>
          </w:p>
        </w:tc>
      </w:tr>
      <w:tr w:rsidR="00E335AE" w:rsidRPr="00F879DE" w:rsidTr="00D360D5">
        <w:trPr>
          <w:trHeight w:val="255"/>
          <w:jc w:val="center"/>
        </w:trPr>
        <w:tc>
          <w:tcPr>
            <w:tcW w:w="4259" w:type="dxa"/>
            <w:shd w:val="clear" w:color="auto" w:fill="BDD6EE" w:themeFill="accent1" w:themeFillTint="66"/>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Programme 3: Empowerment &amp;Stakeholder</w:t>
            </w:r>
          </w:p>
        </w:tc>
        <w:tc>
          <w:tcPr>
            <w:tcW w:w="1647" w:type="dxa"/>
            <w:shd w:val="clear" w:color="auto" w:fill="EDEDED" w:themeFill="accent3" w:themeFillTint="33"/>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 xml:space="preserve">  169.2</w:t>
            </w:r>
          </w:p>
        </w:tc>
        <w:tc>
          <w:tcPr>
            <w:tcW w:w="992" w:type="dxa"/>
            <w:shd w:val="clear" w:color="auto" w:fill="EDEDED" w:themeFill="accent3" w:themeFillTint="33"/>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rPr>
              <w:t>27.86 %</w:t>
            </w:r>
          </w:p>
        </w:tc>
        <w:tc>
          <w:tcPr>
            <w:tcW w:w="1003" w:type="dxa"/>
            <w:shd w:val="clear" w:color="auto" w:fill="EDEDED" w:themeFill="accent3" w:themeFillTint="33"/>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154.4</w:t>
            </w:r>
          </w:p>
        </w:tc>
        <w:tc>
          <w:tcPr>
            <w:tcW w:w="1025" w:type="dxa"/>
            <w:shd w:val="clear" w:color="auto" w:fill="EDEDED" w:themeFill="accent3" w:themeFillTint="33"/>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rPr>
              <w:t>23.29 %</w:t>
            </w:r>
          </w:p>
        </w:tc>
      </w:tr>
      <w:tr w:rsidR="00E335AE" w:rsidRPr="00F879DE" w:rsidTr="00D360D5">
        <w:trPr>
          <w:trHeight w:val="255"/>
          <w:jc w:val="center"/>
        </w:trPr>
        <w:tc>
          <w:tcPr>
            <w:tcW w:w="4259" w:type="dxa"/>
            <w:shd w:val="clear" w:color="auto" w:fill="BDD6EE" w:themeFill="accent1" w:themeFillTint="66"/>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TOTAL</w:t>
            </w:r>
          </w:p>
        </w:tc>
        <w:tc>
          <w:tcPr>
            <w:tcW w:w="1647" w:type="dxa"/>
            <w:shd w:val="clear" w:color="auto" w:fill="EDEDED" w:themeFill="accent3" w:themeFillTint="33"/>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b/>
                <w:sz w:val="20"/>
                <w:szCs w:val="20"/>
                <w:lang w:eastAsia="en-ZA"/>
              </w:rPr>
              <w:t xml:space="preserve">  607.4</w:t>
            </w:r>
          </w:p>
        </w:tc>
        <w:tc>
          <w:tcPr>
            <w:tcW w:w="992" w:type="dxa"/>
            <w:shd w:val="clear" w:color="auto" w:fill="EDEDED" w:themeFill="accent3" w:themeFillTint="33"/>
            <w:noWrap/>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100%</w:t>
            </w:r>
          </w:p>
        </w:tc>
        <w:tc>
          <w:tcPr>
            <w:tcW w:w="1003" w:type="dxa"/>
            <w:shd w:val="clear" w:color="auto" w:fill="EDEDED" w:themeFill="accent3" w:themeFillTint="33"/>
            <w:vAlign w:val="bottom"/>
          </w:tcPr>
          <w:p w:rsidR="00E335AE" w:rsidRPr="00F879DE" w:rsidRDefault="00E335AE" w:rsidP="00F879DE">
            <w:pPr>
              <w:spacing w:after="0" w:line="240" w:lineRule="auto"/>
              <w:rPr>
                <w:rFonts w:ascii="Arial" w:hAnsi="Arial" w:cs="Arial"/>
                <w:b/>
                <w:sz w:val="20"/>
                <w:szCs w:val="20"/>
                <w:lang w:eastAsia="en-ZA"/>
              </w:rPr>
            </w:pPr>
            <w:r w:rsidRPr="00F879DE">
              <w:rPr>
                <w:rFonts w:ascii="Arial" w:hAnsi="Arial" w:cs="Arial"/>
                <w:b/>
                <w:sz w:val="20"/>
                <w:szCs w:val="20"/>
                <w:lang w:eastAsia="en-ZA"/>
              </w:rPr>
              <w:t>666.3</w:t>
            </w:r>
          </w:p>
        </w:tc>
        <w:tc>
          <w:tcPr>
            <w:tcW w:w="1025" w:type="dxa"/>
            <w:shd w:val="clear" w:color="auto" w:fill="EDEDED" w:themeFill="accent3" w:themeFillTint="33"/>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100%</w:t>
            </w:r>
          </w:p>
        </w:tc>
      </w:tr>
    </w:tbl>
    <w:p w:rsidR="00E335AE" w:rsidRPr="00F879DE" w:rsidRDefault="00E335AE" w:rsidP="00F879DE">
      <w:pPr>
        <w:spacing w:after="0" w:line="240" w:lineRule="auto"/>
        <w:rPr>
          <w:rFonts w:ascii="Arial" w:hAnsi="Arial" w:cs="Arial"/>
          <w:sz w:val="20"/>
          <w:szCs w:val="20"/>
          <w:lang w:eastAsia="en-ZA"/>
        </w:rPr>
      </w:pPr>
    </w:p>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lastRenderedPageBreak/>
        <w:t xml:space="preserve">The table above indicates that 50.26% of the budget in 2021 went to Programme 2 while this increased to 57.10 % for 2022. Besides Programme 2 being the largest with a R378.6 million allocation, it is also the main service delivery programme as it disburses eight of the eleven Military Veterans’ benefits. Programme 3, the other service delivery programme, is allocated the second largest portion of the budget with 23.29%, a decrease of R14.8 m while the Administration Programme receives around 20.24%, down from 21.88% in the previous </w:t>
      </w:r>
      <w:r w:rsidR="00A82832" w:rsidRPr="00F879DE">
        <w:rPr>
          <w:rFonts w:ascii="Arial" w:hAnsi="Arial" w:cs="Arial"/>
          <w:sz w:val="20"/>
          <w:szCs w:val="20"/>
        </w:rPr>
        <w:t>financial year</w:t>
      </w:r>
      <w:r w:rsidRPr="00F879DE">
        <w:rPr>
          <w:rFonts w:ascii="Arial" w:hAnsi="Arial" w:cs="Arial"/>
          <w:sz w:val="20"/>
          <w:szCs w:val="20"/>
        </w:rPr>
        <w:t>.</w:t>
      </w:r>
    </w:p>
    <w:tbl>
      <w:tblPr>
        <w:tblW w:w="90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939"/>
        <w:gridCol w:w="939"/>
        <w:gridCol w:w="1276"/>
        <w:gridCol w:w="1276"/>
        <w:gridCol w:w="1134"/>
        <w:gridCol w:w="1197"/>
      </w:tblGrid>
      <w:tr w:rsidR="00E335AE" w:rsidRPr="00F879DE" w:rsidTr="00E335AE">
        <w:trPr>
          <w:trHeight w:val="255"/>
          <w:jc w:val="right"/>
        </w:trPr>
        <w:tc>
          <w:tcPr>
            <w:tcW w:w="9031" w:type="dxa"/>
            <w:gridSpan w:val="7"/>
            <w:shd w:val="clear" w:color="auto" w:fill="9CC2E5" w:themeFill="accent1" w:themeFillTint="99"/>
            <w:noWrap/>
            <w:vAlign w:val="bottom"/>
            <w:hideMark/>
          </w:tcPr>
          <w:p w:rsidR="00E335AE" w:rsidRPr="00F879DE" w:rsidRDefault="00E335AE" w:rsidP="00F879DE">
            <w:pPr>
              <w:spacing w:after="0" w:line="240" w:lineRule="auto"/>
              <w:rPr>
                <w:rFonts w:ascii="Arial" w:hAnsi="Arial" w:cs="Arial"/>
                <w:b/>
                <w:sz w:val="20"/>
                <w:szCs w:val="20"/>
                <w:lang w:eastAsia="en-ZA"/>
              </w:rPr>
            </w:pPr>
            <w:r w:rsidRPr="00F879DE">
              <w:rPr>
                <w:rFonts w:ascii="Arial" w:hAnsi="Arial" w:cs="Arial"/>
                <w:b/>
                <w:sz w:val="20"/>
                <w:szCs w:val="20"/>
                <w:lang w:eastAsia="en-ZA"/>
              </w:rPr>
              <w:t>VOTE 26: MILITARY VETERANS</w:t>
            </w:r>
          </w:p>
        </w:tc>
      </w:tr>
      <w:tr w:rsidR="00E335AE" w:rsidRPr="00F879DE" w:rsidTr="00E335AE">
        <w:trPr>
          <w:trHeight w:val="765"/>
          <w:jc w:val="right"/>
        </w:trPr>
        <w:tc>
          <w:tcPr>
            <w:tcW w:w="2272" w:type="dxa"/>
            <w:shd w:val="clear" w:color="auto" w:fill="DEEAF6" w:themeFill="accent1" w:themeFillTint="33"/>
            <w:noWrap/>
            <w:vAlign w:val="bottom"/>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Programme</w:t>
            </w:r>
          </w:p>
        </w:tc>
        <w:tc>
          <w:tcPr>
            <w:tcW w:w="1876" w:type="dxa"/>
            <w:gridSpan w:val="2"/>
            <w:tcBorders>
              <w:bottom w:val="single" w:sz="4" w:space="0" w:color="auto"/>
            </w:tcBorders>
            <w:shd w:val="clear" w:color="auto" w:fill="EDEDED" w:themeFill="accent3" w:themeFillTint="33"/>
            <w:vAlign w:val="center"/>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Budget</w:t>
            </w:r>
          </w:p>
        </w:tc>
        <w:tc>
          <w:tcPr>
            <w:tcW w:w="1276" w:type="dxa"/>
            <w:vMerge w:val="restart"/>
            <w:shd w:val="clear" w:color="auto" w:fill="EDEDED" w:themeFill="accent3" w:themeFillTint="33"/>
            <w:vAlign w:val="center"/>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Nominal Increase / Decrease in 2022/23</w:t>
            </w:r>
          </w:p>
        </w:tc>
        <w:tc>
          <w:tcPr>
            <w:tcW w:w="1276" w:type="dxa"/>
            <w:vMerge w:val="restart"/>
            <w:shd w:val="clear" w:color="auto" w:fill="EDEDED" w:themeFill="accent3" w:themeFillTint="33"/>
            <w:vAlign w:val="center"/>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Real Increase / Decrease in 2022/23</w:t>
            </w:r>
          </w:p>
        </w:tc>
        <w:tc>
          <w:tcPr>
            <w:tcW w:w="1134" w:type="dxa"/>
            <w:vMerge w:val="restart"/>
            <w:shd w:val="clear" w:color="auto" w:fill="EDEDED" w:themeFill="accent3" w:themeFillTint="33"/>
            <w:vAlign w:val="center"/>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Nominal Percent change in 2022/23</w:t>
            </w:r>
          </w:p>
        </w:tc>
        <w:tc>
          <w:tcPr>
            <w:tcW w:w="1197" w:type="dxa"/>
            <w:vMerge w:val="restart"/>
            <w:shd w:val="clear" w:color="auto" w:fill="EDEDED" w:themeFill="accent3" w:themeFillTint="33"/>
            <w:vAlign w:val="center"/>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Real Percent change in 2022/23</w:t>
            </w:r>
          </w:p>
        </w:tc>
      </w:tr>
      <w:tr w:rsidR="00E335AE" w:rsidRPr="00F879DE" w:rsidTr="00E335AE">
        <w:trPr>
          <w:trHeight w:val="255"/>
          <w:jc w:val="right"/>
        </w:trPr>
        <w:tc>
          <w:tcPr>
            <w:tcW w:w="2272" w:type="dxa"/>
            <w:shd w:val="clear" w:color="auto" w:fill="DEEAF6" w:themeFill="accent1" w:themeFillTint="33"/>
            <w:noWrap/>
            <w:vAlign w:val="bottom"/>
            <w:hideMark/>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R million</w:t>
            </w:r>
          </w:p>
        </w:tc>
        <w:tc>
          <w:tcPr>
            <w:tcW w:w="938" w:type="dxa"/>
            <w:shd w:val="clear" w:color="auto" w:fill="EDEDED" w:themeFill="accent3" w:themeFillTint="33"/>
            <w:noWrap/>
            <w:vAlign w:val="bottom"/>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2021/22</w:t>
            </w:r>
          </w:p>
        </w:tc>
        <w:tc>
          <w:tcPr>
            <w:tcW w:w="938" w:type="dxa"/>
            <w:shd w:val="clear" w:color="auto" w:fill="EDEDED" w:themeFill="accent3" w:themeFillTint="33"/>
            <w:noWrap/>
            <w:vAlign w:val="bottom"/>
          </w:tcPr>
          <w:p w:rsidR="00E335AE" w:rsidRPr="00F879DE" w:rsidRDefault="00E335AE" w:rsidP="00F879DE">
            <w:pPr>
              <w:spacing w:after="0" w:line="240" w:lineRule="auto"/>
              <w:rPr>
                <w:rFonts w:ascii="Arial" w:hAnsi="Arial" w:cs="Arial"/>
                <w:b/>
                <w:bCs/>
                <w:sz w:val="20"/>
                <w:szCs w:val="20"/>
                <w:lang w:eastAsia="en-ZA"/>
              </w:rPr>
            </w:pPr>
            <w:r w:rsidRPr="00F879DE">
              <w:rPr>
                <w:rFonts w:ascii="Arial" w:hAnsi="Arial" w:cs="Arial"/>
                <w:b/>
                <w:bCs/>
                <w:sz w:val="20"/>
                <w:szCs w:val="20"/>
                <w:lang w:eastAsia="en-ZA"/>
              </w:rPr>
              <w:t>2022/23</w:t>
            </w:r>
          </w:p>
        </w:tc>
        <w:tc>
          <w:tcPr>
            <w:tcW w:w="1276" w:type="dxa"/>
            <w:vMerge/>
            <w:vAlign w:val="center"/>
            <w:hideMark/>
          </w:tcPr>
          <w:p w:rsidR="00E335AE" w:rsidRPr="00F879DE" w:rsidRDefault="00E335AE" w:rsidP="00F879DE">
            <w:pPr>
              <w:spacing w:after="0" w:line="240" w:lineRule="auto"/>
              <w:rPr>
                <w:rFonts w:ascii="Arial" w:hAnsi="Arial" w:cs="Arial"/>
                <w:b/>
                <w:bCs/>
                <w:sz w:val="20"/>
                <w:szCs w:val="20"/>
                <w:lang w:eastAsia="en-ZA"/>
              </w:rPr>
            </w:pPr>
          </w:p>
        </w:tc>
        <w:tc>
          <w:tcPr>
            <w:tcW w:w="1276" w:type="dxa"/>
            <w:vMerge/>
            <w:vAlign w:val="center"/>
            <w:hideMark/>
          </w:tcPr>
          <w:p w:rsidR="00E335AE" w:rsidRPr="00F879DE" w:rsidRDefault="00E335AE" w:rsidP="00F879DE">
            <w:pPr>
              <w:spacing w:after="0" w:line="240" w:lineRule="auto"/>
              <w:rPr>
                <w:rFonts w:ascii="Arial" w:hAnsi="Arial" w:cs="Arial"/>
                <w:b/>
                <w:bCs/>
                <w:sz w:val="20"/>
                <w:szCs w:val="20"/>
                <w:lang w:eastAsia="en-ZA"/>
              </w:rPr>
            </w:pPr>
          </w:p>
        </w:tc>
        <w:tc>
          <w:tcPr>
            <w:tcW w:w="1134" w:type="dxa"/>
            <w:vMerge/>
            <w:vAlign w:val="center"/>
            <w:hideMark/>
          </w:tcPr>
          <w:p w:rsidR="00E335AE" w:rsidRPr="00F879DE" w:rsidRDefault="00E335AE" w:rsidP="00F879DE">
            <w:pPr>
              <w:spacing w:after="0" w:line="240" w:lineRule="auto"/>
              <w:rPr>
                <w:rFonts w:ascii="Arial" w:hAnsi="Arial" w:cs="Arial"/>
                <w:b/>
                <w:bCs/>
                <w:sz w:val="20"/>
                <w:szCs w:val="20"/>
                <w:lang w:eastAsia="en-ZA"/>
              </w:rPr>
            </w:pPr>
          </w:p>
        </w:tc>
        <w:tc>
          <w:tcPr>
            <w:tcW w:w="1197" w:type="dxa"/>
            <w:vMerge/>
            <w:vAlign w:val="center"/>
            <w:hideMark/>
          </w:tcPr>
          <w:p w:rsidR="00E335AE" w:rsidRPr="00F879DE" w:rsidRDefault="00E335AE" w:rsidP="00F879DE">
            <w:pPr>
              <w:spacing w:after="0" w:line="240" w:lineRule="auto"/>
              <w:rPr>
                <w:rFonts w:ascii="Arial" w:hAnsi="Arial" w:cs="Arial"/>
                <w:b/>
                <w:bCs/>
                <w:sz w:val="20"/>
                <w:szCs w:val="20"/>
                <w:lang w:eastAsia="en-ZA"/>
              </w:rPr>
            </w:pPr>
          </w:p>
        </w:tc>
      </w:tr>
      <w:tr w:rsidR="00E335AE" w:rsidRPr="00F879DE" w:rsidTr="00E335AE">
        <w:trPr>
          <w:trHeight w:val="255"/>
          <w:jc w:val="right"/>
        </w:trPr>
        <w:tc>
          <w:tcPr>
            <w:tcW w:w="2272" w:type="dxa"/>
            <w:shd w:val="clear" w:color="auto" w:fill="DEEAF6" w:themeFill="accent1" w:themeFillTint="33"/>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 xml:space="preserve">Programme 1: Administration </w:t>
            </w:r>
          </w:p>
        </w:tc>
        <w:tc>
          <w:tcPr>
            <w:tcW w:w="938" w:type="dxa"/>
            <w:shd w:val="clear" w:color="auto" w:fill="auto"/>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 xml:space="preserve">  132.9</w:t>
            </w:r>
          </w:p>
        </w:tc>
        <w:tc>
          <w:tcPr>
            <w:tcW w:w="938" w:type="dxa"/>
            <w:shd w:val="clear" w:color="auto" w:fill="auto"/>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133.3</w:t>
            </w:r>
          </w:p>
        </w:tc>
        <w:tc>
          <w:tcPr>
            <w:tcW w:w="1276" w:type="dxa"/>
            <w:shd w:val="clear" w:color="auto" w:fill="auto"/>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rPr>
              <w:t xml:space="preserve"> 0.4</w:t>
            </w:r>
          </w:p>
        </w:tc>
        <w:tc>
          <w:tcPr>
            <w:tcW w:w="1276"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  5.3</w:t>
            </w:r>
          </w:p>
        </w:tc>
        <w:tc>
          <w:tcPr>
            <w:tcW w:w="1134"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0.30 %</w:t>
            </w:r>
          </w:p>
        </w:tc>
        <w:tc>
          <w:tcPr>
            <w:tcW w:w="1197"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-4.02 %</w:t>
            </w:r>
          </w:p>
        </w:tc>
      </w:tr>
      <w:tr w:rsidR="00E335AE" w:rsidRPr="00F879DE" w:rsidTr="00E335AE">
        <w:trPr>
          <w:trHeight w:val="255"/>
          <w:jc w:val="right"/>
        </w:trPr>
        <w:tc>
          <w:tcPr>
            <w:tcW w:w="2272" w:type="dxa"/>
            <w:shd w:val="clear" w:color="auto" w:fill="DEEAF6" w:themeFill="accent1" w:themeFillTint="33"/>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Programme 2: Socio-economic Support</w:t>
            </w:r>
          </w:p>
        </w:tc>
        <w:tc>
          <w:tcPr>
            <w:tcW w:w="938" w:type="dxa"/>
            <w:shd w:val="clear" w:color="auto" w:fill="auto"/>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305.3</w:t>
            </w:r>
          </w:p>
        </w:tc>
        <w:tc>
          <w:tcPr>
            <w:tcW w:w="938" w:type="dxa"/>
            <w:shd w:val="clear" w:color="auto" w:fill="auto"/>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378.6</w:t>
            </w:r>
          </w:p>
        </w:tc>
        <w:tc>
          <w:tcPr>
            <w:tcW w:w="1276"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 xml:space="preserve">  73.3</w:t>
            </w:r>
          </w:p>
        </w:tc>
        <w:tc>
          <w:tcPr>
            <w:tcW w:w="1276"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 xml:space="preserve">  57.0</w:t>
            </w:r>
          </w:p>
        </w:tc>
        <w:tc>
          <w:tcPr>
            <w:tcW w:w="1134"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24.01 %</w:t>
            </w:r>
          </w:p>
        </w:tc>
        <w:tc>
          <w:tcPr>
            <w:tcW w:w="1197"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18.67 %</w:t>
            </w:r>
          </w:p>
        </w:tc>
      </w:tr>
      <w:tr w:rsidR="00E335AE" w:rsidRPr="00F879DE" w:rsidTr="00E335AE">
        <w:trPr>
          <w:trHeight w:val="255"/>
          <w:jc w:val="right"/>
        </w:trPr>
        <w:tc>
          <w:tcPr>
            <w:tcW w:w="2272" w:type="dxa"/>
            <w:shd w:val="clear" w:color="auto" w:fill="DEEAF6" w:themeFill="accent1" w:themeFillTint="33"/>
            <w:noWrap/>
            <w:vAlign w:val="bottom"/>
            <w:hideMark/>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Programme 3: Empowerment &amp;Stakeholder</w:t>
            </w:r>
          </w:p>
        </w:tc>
        <w:tc>
          <w:tcPr>
            <w:tcW w:w="938" w:type="dxa"/>
            <w:shd w:val="clear" w:color="auto" w:fill="auto"/>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 xml:space="preserve">  169.2</w:t>
            </w:r>
          </w:p>
        </w:tc>
        <w:tc>
          <w:tcPr>
            <w:tcW w:w="938" w:type="dxa"/>
            <w:shd w:val="clear" w:color="auto" w:fill="auto"/>
            <w:noWrap/>
            <w:vAlign w:val="bottom"/>
          </w:tcPr>
          <w:p w:rsidR="00E335AE" w:rsidRPr="00F879DE" w:rsidRDefault="00E335AE" w:rsidP="00F879DE">
            <w:pPr>
              <w:spacing w:after="0" w:line="240" w:lineRule="auto"/>
              <w:rPr>
                <w:rFonts w:ascii="Arial" w:hAnsi="Arial" w:cs="Arial"/>
                <w:sz w:val="20"/>
                <w:szCs w:val="20"/>
                <w:lang w:eastAsia="en-ZA"/>
              </w:rPr>
            </w:pPr>
            <w:r w:rsidRPr="00F879DE">
              <w:rPr>
                <w:rFonts w:ascii="Arial" w:hAnsi="Arial" w:cs="Arial"/>
                <w:sz w:val="20"/>
                <w:szCs w:val="20"/>
                <w:lang w:eastAsia="en-ZA"/>
              </w:rPr>
              <w:t>154.4</w:t>
            </w:r>
          </w:p>
        </w:tc>
        <w:tc>
          <w:tcPr>
            <w:tcW w:w="1276"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  14.8</w:t>
            </w:r>
          </w:p>
        </w:tc>
        <w:tc>
          <w:tcPr>
            <w:tcW w:w="1276"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  21.4</w:t>
            </w:r>
          </w:p>
        </w:tc>
        <w:tc>
          <w:tcPr>
            <w:tcW w:w="1134"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-8.75 %</w:t>
            </w:r>
          </w:p>
        </w:tc>
        <w:tc>
          <w:tcPr>
            <w:tcW w:w="1197" w:type="dxa"/>
            <w:shd w:val="clear" w:color="auto" w:fill="auto"/>
            <w:noWrap/>
            <w:vAlign w:val="bottom"/>
            <w:hideMark/>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-12.68 %</w:t>
            </w:r>
          </w:p>
        </w:tc>
      </w:tr>
      <w:tr w:rsidR="00E335AE" w:rsidRPr="00F879DE" w:rsidTr="00E335AE">
        <w:trPr>
          <w:trHeight w:val="255"/>
          <w:jc w:val="right"/>
        </w:trPr>
        <w:tc>
          <w:tcPr>
            <w:tcW w:w="2272" w:type="dxa"/>
            <w:shd w:val="clear" w:color="auto" w:fill="DEEAF6" w:themeFill="accent1" w:themeFillTint="33"/>
            <w:noWrap/>
            <w:vAlign w:val="bottom"/>
          </w:tcPr>
          <w:p w:rsidR="00E335AE" w:rsidRPr="00F879DE" w:rsidRDefault="00E335AE" w:rsidP="00F879DE">
            <w:pPr>
              <w:spacing w:after="0" w:line="240" w:lineRule="auto"/>
              <w:rPr>
                <w:rFonts w:ascii="Arial" w:hAnsi="Arial" w:cs="Arial"/>
                <w:b/>
                <w:sz w:val="20"/>
                <w:szCs w:val="20"/>
                <w:lang w:eastAsia="en-ZA"/>
              </w:rPr>
            </w:pPr>
            <w:r w:rsidRPr="00F879DE">
              <w:rPr>
                <w:rFonts w:ascii="Arial" w:hAnsi="Arial" w:cs="Arial"/>
                <w:b/>
                <w:sz w:val="20"/>
                <w:szCs w:val="20"/>
                <w:lang w:eastAsia="en-ZA"/>
              </w:rPr>
              <w:t>TOTAL</w:t>
            </w:r>
          </w:p>
        </w:tc>
        <w:tc>
          <w:tcPr>
            <w:tcW w:w="938" w:type="dxa"/>
            <w:shd w:val="clear" w:color="auto" w:fill="auto"/>
            <w:noWrap/>
            <w:vAlign w:val="bottom"/>
          </w:tcPr>
          <w:p w:rsidR="00E335AE" w:rsidRPr="00F879DE" w:rsidRDefault="00E335AE" w:rsidP="00F879DE">
            <w:pPr>
              <w:spacing w:after="0" w:line="240" w:lineRule="auto"/>
              <w:rPr>
                <w:rFonts w:ascii="Arial" w:hAnsi="Arial" w:cs="Arial"/>
                <w:b/>
                <w:sz w:val="20"/>
                <w:szCs w:val="20"/>
                <w:lang w:eastAsia="en-ZA"/>
              </w:rPr>
            </w:pPr>
            <w:r w:rsidRPr="00F879DE">
              <w:rPr>
                <w:rFonts w:ascii="Arial" w:hAnsi="Arial" w:cs="Arial"/>
                <w:b/>
                <w:sz w:val="20"/>
                <w:szCs w:val="20"/>
                <w:lang w:eastAsia="en-ZA"/>
              </w:rPr>
              <w:t xml:space="preserve">  607.4</w:t>
            </w:r>
          </w:p>
        </w:tc>
        <w:tc>
          <w:tcPr>
            <w:tcW w:w="938" w:type="dxa"/>
            <w:shd w:val="clear" w:color="auto" w:fill="auto"/>
            <w:noWrap/>
            <w:vAlign w:val="bottom"/>
          </w:tcPr>
          <w:p w:rsidR="00E335AE" w:rsidRPr="00F879DE" w:rsidRDefault="00E335AE" w:rsidP="00F879DE">
            <w:pPr>
              <w:spacing w:after="0" w:line="240" w:lineRule="auto"/>
              <w:rPr>
                <w:rFonts w:ascii="Arial" w:hAnsi="Arial" w:cs="Arial"/>
                <w:b/>
                <w:sz w:val="20"/>
                <w:szCs w:val="20"/>
                <w:lang w:eastAsia="en-ZA"/>
              </w:rPr>
            </w:pPr>
            <w:r w:rsidRPr="00F879DE">
              <w:rPr>
                <w:rFonts w:ascii="Arial" w:hAnsi="Arial" w:cs="Arial"/>
                <w:b/>
                <w:sz w:val="20"/>
                <w:szCs w:val="20"/>
                <w:lang w:eastAsia="en-ZA"/>
              </w:rPr>
              <w:t>666.3</w:t>
            </w:r>
          </w:p>
        </w:tc>
        <w:tc>
          <w:tcPr>
            <w:tcW w:w="1276" w:type="dxa"/>
            <w:shd w:val="clear" w:color="auto" w:fill="auto"/>
            <w:noWrap/>
            <w:vAlign w:val="bottom"/>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 xml:space="preserve">  55.6</w:t>
            </w:r>
          </w:p>
        </w:tc>
        <w:tc>
          <w:tcPr>
            <w:tcW w:w="1276" w:type="dxa"/>
            <w:shd w:val="clear" w:color="auto" w:fill="auto"/>
            <w:noWrap/>
            <w:vAlign w:val="bottom"/>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 xml:space="preserve">  27.0</w:t>
            </w:r>
          </w:p>
        </w:tc>
        <w:tc>
          <w:tcPr>
            <w:tcW w:w="1134" w:type="dxa"/>
            <w:shd w:val="clear" w:color="auto" w:fill="auto"/>
            <w:noWrap/>
            <w:vAlign w:val="bottom"/>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9.2 %</w:t>
            </w:r>
          </w:p>
        </w:tc>
        <w:tc>
          <w:tcPr>
            <w:tcW w:w="1197" w:type="dxa"/>
            <w:shd w:val="clear" w:color="auto" w:fill="auto"/>
            <w:noWrap/>
            <w:vAlign w:val="bottom"/>
          </w:tcPr>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4.45 %</w:t>
            </w:r>
          </w:p>
        </w:tc>
      </w:tr>
    </w:tbl>
    <w:p w:rsidR="00E335AE" w:rsidRPr="00F879DE" w:rsidRDefault="00E335AE" w:rsidP="00F879DE">
      <w:pPr>
        <w:spacing w:after="0" w:line="240" w:lineRule="auto"/>
        <w:rPr>
          <w:rFonts w:ascii="Arial" w:hAnsi="Arial" w:cs="Arial"/>
          <w:sz w:val="20"/>
          <w:szCs w:val="20"/>
        </w:rPr>
      </w:pPr>
    </w:p>
    <w:p w:rsidR="00E335AE" w:rsidRPr="00F879DE" w:rsidRDefault="00E335AE" w:rsidP="00F879DE">
      <w:pPr>
        <w:spacing w:after="0" w:line="240" w:lineRule="auto"/>
        <w:rPr>
          <w:rFonts w:ascii="Arial" w:hAnsi="Arial" w:cs="Arial"/>
          <w:sz w:val="20"/>
          <w:szCs w:val="20"/>
        </w:rPr>
      </w:pPr>
      <w:r w:rsidRPr="00F879DE">
        <w:rPr>
          <w:rFonts w:ascii="Arial" w:hAnsi="Arial" w:cs="Arial"/>
          <w:sz w:val="20"/>
          <w:szCs w:val="20"/>
        </w:rPr>
        <w:t>The DMV’s 2022/23 budget has increased with R55.6 million from the previous year in nominal terms and in real terms with 4.45% after adjustment for inflation. The biggest increase in nominal terms was in Programme 2 with R73.3 million or 24.01% from the previous year, well above the inflation rate. Programme 3, the other service delivery programmes has however seen a decrease of R14.8 million or 8.75% in nominal terms. Programme 1 on the other hand saw an increase of around R400 000 which translate to a real decrease of 4.02%.</w:t>
      </w:r>
    </w:p>
    <w:p w:rsidR="00E335AE" w:rsidRPr="00F879DE" w:rsidRDefault="00E335AE" w:rsidP="00F879DE">
      <w:pPr>
        <w:pStyle w:val="Heading3"/>
        <w:spacing w:before="0" w:line="240" w:lineRule="auto"/>
        <w:rPr>
          <w:rFonts w:ascii="Arial" w:hAnsi="Arial" w:cs="Arial"/>
          <w:b/>
          <w:color w:val="auto"/>
          <w:sz w:val="20"/>
          <w:szCs w:val="20"/>
        </w:rPr>
      </w:pPr>
      <w:r w:rsidRPr="00F879DE">
        <w:rPr>
          <w:rFonts w:ascii="Arial" w:hAnsi="Arial" w:cs="Arial"/>
          <w:b/>
          <w:color w:val="auto"/>
          <w:sz w:val="20"/>
          <w:szCs w:val="20"/>
        </w:rPr>
        <w:t>6.1.2</w:t>
      </w:r>
      <w:r w:rsidRPr="00F879DE">
        <w:rPr>
          <w:rFonts w:ascii="Arial" w:hAnsi="Arial" w:cs="Arial"/>
          <w:b/>
          <w:color w:val="auto"/>
          <w:sz w:val="20"/>
          <w:szCs w:val="20"/>
        </w:rPr>
        <w:tab/>
        <w:t xml:space="preserve">Programme 1: Administration </w:t>
      </w:r>
    </w:p>
    <w:p w:rsidR="00E335AE" w:rsidRPr="00F879DE" w:rsidRDefault="00E335AE" w:rsidP="00F879DE">
      <w:pPr>
        <w:autoSpaceDE w:val="0"/>
        <w:autoSpaceDN w:val="0"/>
        <w:adjustRightInd w:val="0"/>
        <w:spacing w:after="0" w:line="240" w:lineRule="auto"/>
        <w:rPr>
          <w:rFonts w:ascii="Arial" w:hAnsi="Arial" w:cs="Arial"/>
          <w:b/>
          <w:sz w:val="20"/>
          <w:szCs w:val="20"/>
        </w:rPr>
      </w:pPr>
    </w:p>
    <w:p w:rsidR="00E335AE" w:rsidRPr="00F879DE" w:rsidRDefault="00E335AE" w:rsidP="00F879DE">
      <w:pPr>
        <w:autoSpaceDE w:val="0"/>
        <w:autoSpaceDN w:val="0"/>
        <w:adjustRightInd w:val="0"/>
        <w:spacing w:after="0" w:line="240" w:lineRule="auto"/>
        <w:rPr>
          <w:rFonts w:ascii="Arial" w:hAnsi="Arial" w:cs="Arial"/>
          <w:b/>
          <w:sz w:val="20"/>
          <w:szCs w:val="20"/>
        </w:rPr>
      </w:pPr>
      <w:r w:rsidRPr="00F879DE">
        <w:rPr>
          <w:rFonts w:ascii="Arial" w:hAnsi="Arial" w:cs="Arial"/>
          <w:b/>
          <w:sz w:val="20"/>
          <w:szCs w:val="20"/>
        </w:rPr>
        <w:t xml:space="preserve">Purpose and performance targets </w:t>
      </w:r>
    </w:p>
    <w:p w:rsidR="00E335AE" w:rsidRPr="00F879DE" w:rsidRDefault="00E335AE"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The main purpose of the programme is to provide management and strategic administration support to the Ministry, and overall management of the department. The following table shows the Programme’s annual and quarterly performance targets for FY2022/23 to FY2023/24. </w:t>
      </w:r>
    </w:p>
    <w:p w:rsidR="00D360D5" w:rsidRPr="00F879DE" w:rsidRDefault="00A82832" w:rsidP="00F879DE">
      <w:pPr>
        <w:spacing w:after="0" w:line="240" w:lineRule="auto"/>
        <w:ind w:left="-142"/>
        <w:rPr>
          <w:rFonts w:ascii="Arial" w:hAnsi="Arial" w:cs="Arial"/>
          <w:b/>
          <w:sz w:val="20"/>
          <w:szCs w:val="20"/>
        </w:rPr>
      </w:pPr>
      <w:r w:rsidRPr="00F879DE">
        <w:rPr>
          <w:rFonts w:ascii="Arial" w:hAnsi="Arial" w:cs="Arial"/>
          <w:noProof/>
          <w:sz w:val="20"/>
          <w:szCs w:val="20"/>
          <w:lang w:val="en-US"/>
        </w:rPr>
        <w:drawing>
          <wp:anchor distT="0" distB="0" distL="114300" distR="114300" simplePos="0" relativeHeight="251664384" behindDoc="0" locked="0" layoutInCell="1" allowOverlap="1">
            <wp:simplePos x="0" y="0"/>
            <wp:positionH relativeFrom="column">
              <wp:posOffset>368300</wp:posOffset>
            </wp:positionH>
            <wp:positionV relativeFrom="paragraph">
              <wp:posOffset>29845</wp:posOffset>
            </wp:positionV>
            <wp:extent cx="5731510" cy="1875362"/>
            <wp:effectExtent l="0" t="0" r="25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1875362"/>
                    </a:xfrm>
                    <a:prstGeom prst="rect">
                      <a:avLst/>
                    </a:prstGeom>
                    <a:noFill/>
                    <a:ln>
                      <a:noFill/>
                    </a:ln>
                  </pic:spPr>
                </pic:pic>
              </a:graphicData>
            </a:graphic>
          </wp:anchor>
        </w:drawing>
      </w:r>
    </w:p>
    <w:p w:rsidR="00D360D5" w:rsidRPr="00F879DE" w:rsidRDefault="00D360D5" w:rsidP="00F879DE">
      <w:pPr>
        <w:spacing w:after="0" w:line="240" w:lineRule="auto"/>
        <w:ind w:left="-142"/>
        <w:rPr>
          <w:rFonts w:ascii="Arial" w:hAnsi="Arial" w:cs="Arial"/>
          <w:b/>
          <w:sz w:val="20"/>
          <w:szCs w:val="20"/>
        </w:rPr>
      </w:pPr>
    </w:p>
    <w:p w:rsidR="00D360D5" w:rsidRPr="00F879DE" w:rsidRDefault="00D360D5" w:rsidP="00F879DE">
      <w:pPr>
        <w:spacing w:after="0" w:line="240" w:lineRule="auto"/>
        <w:ind w:left="-142"/>
        <w:rPr>
          <w:rFonts w:ascii="Arial" w:hAnsi="Arial" w:cs="Arial"/>
          <w:b/>
          <w:sz w:val="20"/>
          <w:szCs w:val="20"/>
        </w:rPr>
      </w:pPr>
    </w:p>
    <w:p w:rsidR="00D360D5" w:rsidRPr="00F879DE" w:rsidRDefault="00D360D5" w:rsidP="00F879DE">
      <w:pPr>
        <w:spacing w:after="0" w:line="240" w:lineRule="auto"/>
        <w:ind w:left="-142"/>
        <w:rPr>
          <w:rFonts w:ascii="Arial" w:hAnsi="Arial" w:cs="Arial"/>
          <w:b/>
          <w:sz w:val="20"/>
          <w:szCs w:val="20"/>
        </w:rPr>
      </w:pPr>
    </w:p>
    <w:p w:rsidR="00D360D5" w:rsidRPr="00F879DE" w:rsidRDefault="00D360D5" w:rsidP="00F879DE">
      <w:pPr>
        <w:spacing w:after="0" w:line="240" w:lineRule="auto"/>
        <w:ind w:left="-142"/>
        <w:rPr>
          <w:rFonts w:ascii="Arial" w:hAnsi="Arial" w:cs="Arial"/>
          <w:b/>
          <w:sz w:val="20"/>
          <w:szCs w:val="20"/>
        </w:rPr>
      </w:pPr>
    </w:p>
    <w:p w:rsidR="00D360D5" w:rsidRPr="00F879DE" w:rsidRDefault="00D360D5" w:rsidP="00F879DE">
      <w:pPr>
        <w:spacing w:after="0" w:line="240" w:lineRule="auto"/>
        <w:ind w:left="-142"/>
        <w:rPr>
          <w:rFonts w:ascii="Arial" w:hAnsi="Arial" w:cs="Arial"/>
          <w:b/>
          <w:sz w:val="20"/>
          <w:szCs w:val="20"/>
        </w:rPr>
      </w:pPr>
    </w:p>
    <w:p w:rsidR="00A82832" w:rsidRPr="00F879DE" w:rsidRDefault="00A82832" w:rsidP="00F879DE">
      <w:pPr>
        <w:spacing w:after="0" w:line="240" w:lineRule="auto"/>
        <w:ind w:left="-142"/>
        <w:rPr>
          <w:rFonts w:ascii="Arial" w:hAnsi="Arial" w:cs="Arial"/>
          <w:b/>
          <w:sz w:val="20"/>
          <w:szCs w:val="20"/>
        </w:rPr>
      </w:pPr>
    </w:p>
    <w:p w:rsidR="00D360D5" w:rsidRPr="00F879DE" w:rsidRDefault="00A82832" w:rsidP="00F879DE">
      <w:pPr>
        <w:spacing w:after="0" w:line="240" w:lineRule="auto"/>
        <w:ind w:left="-142"/>
        <w:rPr>
          <w:rFonts w:ascii="Arial" w:hAnsi="Arial" w:cs="Arial"/>
          <w:b/>
          <w:sz w:val="20"/>
          <w:szCs w:val="20"/>
        </w:rPr>
      </w:pPr>
      <w:r w:rsidRPr="00F879DE">
        <w:rPr>
          <w:rFonts w:ascii="Arial" w:hAnsi="Arial" w:cs="Arial"/>
          <w:b/>
          <w:noProof/>
          <w:sz w:val="20"/>
          <w:szCs w:val="20"/>
          <w:lang w:val="en-US"/>
        </w:rPr>
        <w:drawing>
          <wp:anchor distT="0" distB="0" distL="114300" distR="114300" simplePos="0" relativeHeight="251665408" behindDoc="1" locked="0" layoutInCell="1" allowOverlap="1">
            <wp:simplePos x="0" y="0"/>
            <wp:positionH relativeFrom="column">
              <wp:posOffset>259715</wp:posOffset>
            </wp:positionH>
            <wp:positionV relativeFrom="paragraph">
              <wp:posOffset>334010</wp:posOffset>
            </wp:positionV>
            <wp:extent cx="5725744" cy="1384479"/>
            <wp:effectExtent l="0" t="0" r="8890" b="6350"/>
            <wp:wrapTight wrapText="bothSides">
              <wp:wrapPolygon edited="0">
                <wp:start x="0" y="0"/>
                <wp:lineTo x="0" y="21402"/>
                <wp:lineTo x="21562" y="21402"/>
                <wp:lineTo x="2156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5744" cy="1384479"/>
                    </a:xfrm>
                    <a:prstGeom prst="rect">
                      <a:avLst/>
                    </a:prstGeom>
                    <a:noFill/>
                    <a:ln>
                      <a:noFill/>
                    </a:ln>
                  </pic:spPr>
                </pic:pic>
              </a:graphicData>
            </a:graphic>
          </wp:anchor>
        </w:drawing>
      </w:r>
      <w:r w:rsidR="00D360D5" w:rsidRPr="00F879DE">
        <w:rPr>
          <w:rFonts w:ascii="Arial" w:hAnsi="Arial" w:cs="Arial"/>
          <w:b/>
          <w:sz w:val="20"/>
          <w:szCs w:val="20"/>
        </w:rPr>
        <w:t>Programme 1: Budgetary allocation</w:t>
      </w:r>
    </w:p>
    <w:p w:rsidR="0084743E" w:rsidRPr="00F879DE" w:rsidRDefault="00E335AE" w:rsidP="00F879DE">
      <w:pPr>
        <w:spacing w:after="0" w:line="240" w:lineRule="auto"/>
        <w:rPr>
          <w:rFonts w:ascii="Arial" w:hAnsi="Arial" w:cs="Arial"/>
          <w:sz w:val="20"/>
          <w:szCs w:val="20"/>
        </w:rPr>
      </w:pPr>
      <w:r w:rsidRPr="00F879DE">
        <w:rPr>
          <w:rFonts w:ascii="Arial" w:hAnsi="Arial" w:cs="Arial"/>
          <w:sz w:val="20"/>
          <w:szCs w:val="20"/>
        </w:rPr>
        <w:t>The Programme’s budget increased from R132.9m in 2021/22 to R133.3m in 2022/23. This is mainly attributed to an increase in the Corporate Services sub-programme from R64.5</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to R71.7</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The increase in the Corporate Services subprogramme should be seen against the background that in the previous financial year it had a reduction of R10.6</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It is however concerning that Internal Audit’s allocation has decreased given the dire need to have a fully capacitated Internal Audit Function and the imminent appointment of consultants and external auditors to strengthen this function. Similarly, the R2.1 million decrease in the </w:t>
      </w:r>
      <w:r w:rsidRPr="00F879DE">
        <w:rPr>
          <w:rFonts w:ascii="Arial" w:hAnsi="Arial" w:cs="Arial"/>
          <w:sz w:val="20"/>
          <w:szCs w:val="20"/>
          <w:lang w:eastAsia="en-ZA"/>
        </w:rPr>
        <w:t>Sub-programme 5: Strategic Planning, Policy, M&amp;E, is concerning when noting the Auditor-General’s comments on this aspect relating to policies and procedures</w:t>
      </w:r>
    </w:p>
    <w:p w:rsidR="0084743E" w:rsidRPr="00F879DE" w:rsidRDefault="0084743E" w:rsidP="00F879DE">
      <w:pPr>
        <w:spacing w:after="0" w:line="240" w:lineRule="auto"/>
        <w:rPr>
          <w:rFonts w:ascii="Arial" w:hAnsi="Arial" w:cs="Arial"/>
          <w:sz w:val="20"/>
          <w:szCs w:val="20"/>
        </w:rPr>
      </w:pPr>
      <w:r w:rsidRPr="00F879DE">
        <w:rPr>
          <w:rFonts w:ascii="Arial" w:hAnsi="Arial" w:cs="Arial"/>
          <w:sz w:val="20"/>
          <w:szCs w:val="20"/>
        </w:rPr>
        <w:t xml:space="preserve">The table above indicates that 49.6% of the budget in 2020 went to Programme 2 while this increased to 58.9 % for 2021. Besides Programme 2 being the largest with a R385.9 million allocations, it is also the main </w:t>
      </w:r>
      <w:r w:rsidRPr="00F879DE">
        <w:rPr>
          <w:rFonts w:ascii="Arial" w:hAnsi="Arial" w:cs="Arial"/>
          <w:sz w:val="20"/>
          <w:szCs w:val="20"/>
        </w:rPr>
        <w:lastRenderedPageBreak/>
        <w:t xml:space="preserve">service delivery programme as it disburses eight of the eleven Military Veterans’ benefits. Programme 3, the other service delivery programme, is allocated the second largest portion of the budget with 21%, while the Administration Programme will receive around 20%. </w:t>
      </w:r>
    </w:p>
    <w:p w:rsidR="00A82832" w:rsidRPr="00F879DE" w:rsidRDefault="00A82832" w:rsidP="00F879DE">
      <w:pPr>
        <w:spacing w:after="0" w:line="240" w:lineRule="auto"/>
        <w:rPr>
          <w:rFonts w:ascii="Arial" w:hAnsi="Arial" w:cs="Arial"/>
          <w:sz w:val="20"/>
          <w:szCs w:val="20"/>
        </w:rPr>
      </w:pPr>
    </w:p>
    <w:p w:rsidR="0084743E" w:rsidRPr="00F879DE" w:rsidRDefault="0084743E" w:rsidP="00F879DE">
      <w:pPr>
        <w:spacing w:after="0" w:line="240" w:lineRule="auto"/>
        <w:rPr>
          <w:rFonts w:ascii="Arial" w:hAnsi="Arial" w:cs="Arial"/>
          <w:b/>
          <w:sz w:val="20"/>
          <w:szCs w:val="20"/>
        </w:rPr>
      </w:pPr>
      <w:r w:rsidRPr="00F879DE">
        <w:rPr>
          <w:rFonts w:ascii="Arial" w:hAnsi="Arial" w:cs="Arial"/>
          <w:b/>
          <w:sz w:val="20"/>
          <w:szCs w:val="20"/>
        </w:rPr>
        <w:t>6.1.3</w:t>
      </w:r>
      <w:r w:rsidRPr="00F879DE">
        <w:rPr>
          <w:rFonts w:ascii="Arial" w:hAnsi="Arial" w:cs="Arial"/>
          <w:b/>
          <w:sz w:val="20"/>
          <w:szCs w:val="20"/>
        </w:rPr>
        <w:tab/>
        <w:t xml:space="preserve">Programme 2: Socio-economic Support </w:t>
      </w:r>
    </w:p>
    <w:p w:rsidR="00E335AE" w:rsidRPr="00F879DE" w:rsidRDefault="00E335AE" w:rsidP="00F879DE">
      <w:pPr>
        <w:autoSpaceDE w:val="0"/>
        <w:autoSpaceDN w:val="0"/>
        <w:adjustRightInd w:val="0"/>
        <w:spacing w:after="0" w:line="240" w:lineRule="auto"/>
        <w:rPr>
          <w:rFonts w:ascii="Arial" w:hAnsi="Arial" w:cs="Arial"/>
          <w:b/>
          <w:sz w:val="20"/>
          <w:szCs w:val="20"/>
        </w:rPr>
      </w:pPr>
      <w:r w:rsidRPr="00F879DE">
        <w:rPr>
          <w:rFonts w:ascii="Arial" w:hAnsi="Arial" w:cs="Arial"/>
          <w:b/>
          <w:sz w:val="20"/>
          <w:szCs w:val="20"/>
        </w:rPr>
        <w:t xml:space="preserve">Purpose and performance targets </w:t>
      </w:r>
    </w:p>
    <w:p w:rsidR="00E335AE" w:rsidRPr="00F879DE" w:rsidRDefault="00E335AE"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The main purpose of the programme is to develop and monitor the implementation of legislation, policy frameworks and service delivery cooperation agreements on compensation for injury in military service, counselling, education, healthcare, public transport, pension and housing benefits to Military Veterans eligible for such support.  Programme 2: Socio-economic Support lists the following annual and quarterly targets:</w:t>
      </w:r>
    </w:p>
    <w:p w:rsidR="00E335AE" w:rsidRPr="00F879DE" w:rsidRDefault="00E335AE" w:rsidP="00F879DE">
      <w:pPr>
        <w:spacing w:after="0" w:line="240" w:lineRule="auto"/>
        <w:rPr>
          <w:rFonts w:ascii="Arial" w:hAnsi="Arial" w:cs="Arial"/>
          <w:sz w:val="20"/>
          <w:szCs w:val="20"/>
        </w:rPr>
      </w:pPr>
      <w:r w:rsidRPr="00F879DE">
        <w:rPr>
          <w:rFonts w:ascii="Arial" w:hAnsi="Arial" w:cs="Arial"/>
          <w:noProof/>
          <w:sz w:val="20"/>
          <w:szCs w:val="20"/>
          <w:lang w:val="en-US"/>
        </w:rPr>
        <w:drawing>
          <wp:anchor distT="0" distB="0" distL="114300" distR="114300" simplePos="0" relativeHeight="251662336" behindDoc="1" locked="0" layoutInCell="1" allowOverlap="1">
            <wp:simplePos x="0" y="0"/>
            <wp:positionH relativeFrom="margin">
              <wp:align>right</wp:align>
            </wp:positionH>
            <wp:positionV relativeFrom="paragraph">
              <wp:posOffset>290195</wp:posOffset>
            </wp:positionV>
            <wp:extent cx="5718810" cy="2548255"/>
            <wp:effectExtent l="0" t="0" r="0" b="4445"/>
            <wp:wrapTight wrapText="bothSides">
              <wp:wrapPolygon edited="0">
                <wp:start x="0" y="0"/>
                <wp:lineTo x="0" y="21476"/>
                <wp:lineTo x="21514" y="21476"/>
                <wp:lineTo x="215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8810" cy="2548255"/>
                    </a:xfrm>
                    <a:prstGeom prst="rect">
                      <a:avLst/>
                    </a:prstGeom>
                    <a:noFill/>
                    <a:ln>
                      <a:noFill/>
                    </a:ln>
                  </pic:spPr>
                </pic:pic>
              </a:graphicData>
            </a:graphic>
          </wp:anchor>
        </w:drawing>
      </w:r>
      <w:r w:rsidRPr="00F879DE">
        <w:rPr>
          <w:rFonts w:ascii="Arial" w:hAnsi="Arial" w:cs="Arial"/>
          <w:noProof/>
          <w:sz w:val="20"/>
          <w:szCs w:val="20"/>
          <w:lang w:val="en-US"/>
        </w:rPr>
        <w:drawing>
          <wp:anchor distT="0" distB="0" distL="114300" distR="114300" simplePos="0" relativeHeight="251663360" behindDoc="0" locked="0" layoutInCell="1" allowOverlap="1">
            <wp:simplePos x="0" y="0"/>
            <wp:positionH relativeFrom="margin">
              <wp:align>right</wp:align>
            </wp:positionH>
            <wp:positionV relativeFrom="paragraph">
              <wp:posOffset>2751875</wp:posOffset>
            </wp:positionV>
            <wp:extent cx="5731510" cy="130007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1300070"/>
                    </a:xfrm>
                    <a:prstGeom prst="rect">
                      <a:avLst/>
                    </a:prstGeom>
                    <a:noFill/>
                    <a:ln>
                      <a:noFill/>
                    </a:ln>
                  </pic:spPr>
                </pic:pic>
              </a:graphicData>
            </a:graphic>
          </wp:anchor>
        </w:drawing>
      </w:r>
    </w:p>
    <w:p w:rsidR="00E335AE" w:rsidRPr="00F879DE" w:rsidRDefault="00E335AE" w:rsidP="00F879DE">
      <w:pPr>
        <w:autoSpaceDE w:val="0"/>
        <w:autoSpaceDN w:val="0"/>
        <w:adjustRightInd w:val="0"/>
        <w:spacing w:after="0" w:line="240" w:lineRule="auto"/>
        <w:rPr>
          <w:rFonts w:ascii="Arial" w:hAnsi="Arial" w:cs="Arial"/>
          <w:sz w:val="20"/>
          <w:szCs w:val="20"/>
        </w:rPr>
      </w:pPr>
    </w:p>
    <w:p w:rsidR="00E335AE" w:rsidRPr="00F879DE" w:rsidRDefault="00E335AE" w:rsidP="00F879DE">
      <w:pPr>
        <w:autoSpaceDE w:val="0"/>
        <w:autoSpaceDN w:val="0"/>
        <w:adjustRightInd w:val="0"/>
        <w:spacing w:after="0" w:line="240" w:lineRule="auto"/>
        <w:rPr>
          <w:rFonts w:ascii="Arial" w:hAnsi="Arial" w:cs="Arial"/>
          <w:sz w:val="20"/>
          <w:szCs w:val="20"/>
        </w:rPr>
      </w:pPr>
    </w:p>
    <w:p w:rsidR="00E335AE" w:rsidRPr="00F879DE" w:rsidRDefault="00E335AE" w:rsidP="00F879DE">
      <w:pPr>
        <w:autoSpaceDE w:val="0"/>
        <w:autoSpaceDN w:val="0"/>
        <w:adjustRightInd w:val="0"/>
        <w:spacing w:after="0" w:line="240" w:lineRule="auto"/>
        <w:rPr>
          <w:rFonts w:ascii="Arial" w:hAnsi="Arial" w:cs="Arial"/>
          <w:sz w:val="20"/>
          <w:szCs w:val="20"/>
        </w:rPr>
      </w:pPr>
    </w:p>
    <w:p w:rsidR="00E335AE" w:rsidRPr="00F879DE" w:rsidRDefault="00E335AE" w:rsidP="00F879DE">
      <w:pPr>
        <w:autoSpaceDE w:val="0"/>
        <w:autoSpaceDN w:val="0"/>
        <w:adjustRightInd w:val="0"/>
        <w:spacing w:after="0" w:line="240" w:lineRule="auto"/>
        <w:rPr>
          <w:rFonts w:ascii="Arial" w:hAnsi="Arial" w:cs="Arial"/>
          <w:sz w:val="20"/>
          <w:szCs w:val="20"/>
        </w:rPr>
      </w:pPr>
    </w:p>
    <w:p w:rsidR="00E335AE" w:rsidRPr="00F879DE" w:rsidRDefault="00E335AE" w:rsidP="00F879DE">
      <w:pPr>
        <w:autoSpaceDE w:val="0"/>
        <w:autoSpaceDN w:val="0"/>
        <w:adjustRightInd w:val="0"/>
        <w:spacing w:after="0" w:line="240" w:lineRule="auto"/>
        <w:rPr>
          <w:rFonts w:ascii="Arial" w:hAnsi="Arial" w:cs="Arial"/>
          <w:sz w:val="20"/>
          <w:szCs w:val="20"/>
        </w:rPr>
      </w:pPr>
    </w:p>
    <w:p w:rsidR="00E335AE" w:rsidRPr="00F879DE" w:rsidRDefault="00E335AE" w:rsidP="00F879DE">
      <w:pPr>
        <w:autoSpaceDE w:val="0"/>
        <w:autoSpaceDN w:val="0"/>
        <w:adjustRightInd w:val="0"/>
        <w:spacing w:after="0" w:line="240" w:lineRule="auto"/>
        <w:rPr>
          <w:rFonts w:ascii="Arial" w:hAnsi="Arial" w:cs="Arial"/>
          <w:sz w:val="20"/>
          <w:szCs w:val="20"/>
        </w:rPr>
      </w:pPr>
    </w:p>
    <w:p w:rsidR="00E335AE" w:rsidRPr="00F879DE" w:rsidRDefault="00E335AE" w:rsidP="00F879DE">
      <w:pPr>
        <w:autoSpaceDE w:val="0"/>
        <w:autoSpaceDN w:val="0"/>
        <w:adjustRightInd w:val="0"/>
        <w:spacing w:after="0" w:line="240" w:lineRule="auto"/>
        <w:rPr>
          <w:rFonts w:ascii="Arial" w:hAnsi="Arial" w:cs="Arial"/>
          <w:sz w:val="20"/>
          <w:szCs w:val="20"/>
        </w:rPr>
      </w:pPr>
    </w:p>
    <w:p w:rsidR="00E335AE" w:rsidRPr="00F879DE" w:rsidRDefault="00E335AE" w:rsidP="00F879DE">
      <w:pPr>
        <w:autoSpaceDE w:val="0"/>
        <w:autoSpaceDN w:val="0"/>
        <w:adjustRightInd w:val="0"/>
        <w:spacing w:after="0" w:line="240" w:lineRule="auto"/>
        <w:rPr>
          <w:rFonts w:ascii="Arial" w:hAnsi="Arial" w:cs="Arial"/>
          <w:sz w:val="20"/>
          <w:szCs w:val="20"/>
        </w:rPr>
      </w:pPr>
    </w:p>
    <w:p w:rsidR="0084743E" w:rsidRPr="00F879DE" w:rsidRDefault="0084743E" w:rsidP="00F879DE">
      <w:pPr>
        <w:autoSpaceDE w:val="0"/>
        <w:autoSpaceDN w:val="0"/>
        <w:adjustRightInd w:val="0"/>
        <w:spacing w:after="0" w:line="240" w:lineRule="auto"/>
        <w:rPr>
          <w:rFonts w:ascii="Arial" w:hAnsi="Arial" w:cs="Arial"/>
          <w:noProof/>
          <w:sz w:val="20"/>
          <w:szCs w:val="20"/>
          <w:lang w:eastAsia="en-ZA"/>
        </w:rPr>
      </w:pPr>
    </w:p>
    <w:p w:rsidR="00E335AE" w:rsidRPr="00F879DE" w:rsidRDefault="00E335AE" w:rsidP="00F879DE">
      <w:pPr>
        <w:autoSpaceDE w:val="0"/>
        <w:autoSpaceDN w:val="0"/>
        <w:adjustRightInd w:val="0"/>
        <w:spacing w:after="0" w:line="240" w:lineRule="auto"/>
        <w:rPr>
          <w:rFonts w:ascii="Arial" w:hAnsi="Arial" w:cs="Arial"/>
          <w:noProof/>
          <w:sz w:val="20"/>
          <w:szCs w:val="20"/>
          <w:lang w:eastAsia="en-ZA"/>
        </w:rPr>
      </w:pPr>
    </w:p>
    <w:p w:rsidR="00E335AE" w:rsidRPr="00F879DE" w:rsidRDefault="00E335AE" w:rsidP="00F879DE">
      <w:pPr>
        <w:autoSpaceDE w:val="0"/>
        <w:autoSpaceDN w:val="0"/>
        <w:adjustRightInd w:val="0"/>
        <w:spacing w:after="0" w:line="240" w:lineRule="auto"/>
        <w:rPr>
          <w:rFonts w:ascii="Arial" w:hAnsi="Arial" w:cs="Arial"/>
          <w:noProof/>
          <w:sz w:val="20"/>
          <w:szCs w:val="20"/>
          <w:lang w:eastAsia="en-ZA"/>
        </w:rPr>
      </w:pPr>
    </w:p>
    <w:p w:rsidR="00E335AE" w:rsidRPr="00F879DE" w:rsidRDefault="00E335AE" w:rsidP="00F879DE">
      <w:pPr>
        <w:autoSpaceDE w:val="0"/>
        <w:autoSpaceDN w:val="0"/>
        <w:adjustRightInd w:val="0"/>
        <w:spacing w:after="0" w:line="240" w:lineRule="auto"/>
        <w:rPr>
          <w:rFonts w:ascii="Arial" w:hAnsi="Arial" w:cs="Arial"/>
          <w:noProof/>
          <w:sz w:val="20"/>
          <w:szCs w:val="20"/>
          <w:lang w:eastAsia="en-ZA"/>
        </w:rPr>
      </w:pPr>
    </w:p>
    <w:p w:rsidR="00E335AE" w:rsidRPr="00F879DE" w:rsidRDefault="00E335AE" w:rsidP="00F879DE">
      <w:pPr>
        <w:autoSpaceDE w:val="0"/>
        <w:autoSpaceDN w:val="0"/>
        <w:adjustRightInd w:val="0"/>
        <w:spacing w:after="0" w:line="240" w:lineRule="auto"/>
        <w:rPr>
          <w:rFonts w:ascii="Arial" w:hAnsi="Arial" w:cs="Arial"/>
          <w:noProof/>
          <w:sz w:val="20"/>
          <w:szCs w:val="20"/>
          <w:lang w:eastAsia="en-ZA"/>
        </w:rPr>
      </w:pPr>
    </w:p>
    <w:p w:rsidR="00E335AE" w:rsidRPr="00F879DE" w:rsidRDefault="00E335AE" w:rsidP="00F879DE">
      <w:pPr>
        <w:autoSpaceDE w:val="0"/>
        <w:autoSpaceDN w:val="0"/>
        <w:adjustRightInd w:val="0"/>
        <w:spacing w:after="0" w:line="240" w:lineRule="auto"/>
        <w:rPr>
          <w:rFonts w:ascii="Arial" w:hAnsi="Arial" w:cs="Arial"/>
          <w:sz w:val="20"/>
          <w:szCs w:val="20"/>
        </w:rPr>
      </w:pPr>
    </w:p>
    <w:p w:rsidR="00D360D5" w:rsidRPr="00F879DE" w:rsidRDefault="00D360D5" w:rsidP="00F879DE">
      <w:pPr>
        <w:spacing w:after="0" w:line="240" w:lineRule="auto"/>
        <w:rPr>
          <w:rFonts w:ascii="Arial" w:hAnsi="Arial" w:cs="Arial"/>
          <w:b/>
          <w:sz w:val="20"/>
          <w:szCs w:val="20"/>
        </w:rPr>
      </w:pPr>
      <w:r w:rsidRPr="00F879DE">
        <w:rPr>
          <w:rFonts w:ascii="Arial" w:hAnsi="Arial" w:cs="Arial"/>
          <w:b/>
          <w:sz w:val="20"/>
          <w:szCs w:val="20"/>
        </w:rPr>
        <w:t>Programme 2: Budgetary allocation</w:t>
      </w:r>
    </w:p>
    <w:p w:rsidR="00D360D5" w:rsidRPr="00F879DE" w:rsidRDefault="00D360D5" w:rsidP="00F879DE">
      <w:pPr>
        <w:autoSpaceDE w:val="0"/>
        <w:autoSpaceDN w:val="0"/>
        <w:adjustRightInd w:val="0"/>
        <w:spacing w:after="0" w:line="240" w:lineRule="auto"/>
        <w:rPr>
          <w:rFonts w:ascii="Arial" w:hAnsi="Arial" w:cs="Arial"/>
          <w:sz w:val="20"/>
          <w:szCs w:val="20"/>
        </w:rPr>
      </w:pPr>
      <w:r w:rsidRPr="00F879DE">
        <w:rPr>
          <w:rFonts w:ascii="Arial" w:hAnsi="Arial" w:cs="Arial"/>
          <w:b/>
          <w:noProof/>
          <w:sz w:val="20"/>
          <w:szCs w:val="20"/>
          <w:lang w:val="en-US"/>
        </w:rPr>
        <w:drawing>
          <wp:anchor distT="0" distB="0" distL="114300" distR="114300" simplePos="0" relativeHeight="251666432" behindDoc="1" locked="0" layoutInCell="1" allowOverlap="1">
            <wp:simplePos x="0" y="0"/>
            <wp:positionH relativeFrom="margin">
              <wp:align>right</wp:align>
            </wp:positionH>
            <wp:positionV relativeFrom="paragraph">
              <wp:posOffset>252730</wp:posOffset>
            </wp:positionV>
            <wp:extent cx="6117590" cy="1468755"/>
            <wp:effectExtent l="0" t="0" r="0" b="0"/>
            <wp:wrapTight wrapText="bothSides">
              <wp:wrapPolygon edited="0">
                <wp:start x="0" y="0"/>
                <wp:lineTo x="0" y="21292"/>
                <wp:lineTo x="21524" y="21292"/>
                <wp:lineTo x="2152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17590" cy="1468755"/>
                    </a:xfrm>
                    <a:prstGeom prst="rect">
                      <a:avLst/>
                    </a:prstGeom>
                    <a:noFill/>
                    <a:ln>
                      <a:noFill/>
                    </a:ln>
                  </pic:spPr>
                </pic:pic>
              </a:graphicData>
            </a:graphic>
          </wp:anchor>
        </w:drawing>
      </w:r>
    </w:p>
    <w:p w:rsidR="00D360D5" w:rsidRPr="00F879DE" w:rsidRDefault="00D360D5" w:rsidP="00F879DE">
      <w:pPr>
        <w:spacing w:after="0" w:line="240" w:lineRule="auto"/>
        <w:rPr>
          <w:rFonts w:ascii="Arial" w:hAnsi="Arial" w:cs="Arial"/>
          <w:sz w:val="20"/>
          <w:szCs w:val="20"/>
        </w:rPr>
      </w:pPr>
    </w:p>
    <w:p w:rsidR="00F232A3" w:rsidRPr="00F879DE" w:rsidRDefault="00F232A3" w:rsidP="00F879DE">
      <w:pPr>
        <w:spacing w:after="0" w:line="240" w:lineRule="auto"/>
        <w:rPr>
          <w:rFonts w:ascii="Arial" w:hAnsi="Arial" w:cs="Arial"/>
          <w:b/>
          <w:sz w:val="20"/>
          <w:szCs w:val="20"/>
        </w:rPr>
      </w:pPr>
      <w:r w:rsidRPr="00F879DE">
        <w:rPr>
          <w:rFonts w:ascii="Arial" w:hAnsi="Arial" w:cs="Arial"/>
          <w:sz w:val="20"/>
          <w:szCs w:val="20"/>
        </w:rPr>
        <w:t>Programme 2, the main service delivery programme, saw its budget increased by R73.3</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for 2022/23 These are mainly attributed to the increases in the three sub-programmes Database and Benefits Management sub-programme from R17.5</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to R32.8</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the Healthcare and Wellbeing Support sub-programme from R91.6</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to R115.1</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and the Socio-economic Support Management sub-programme from R196.1</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to R230.7</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These increases should be welcomed in the main service delivery programme and it is hoped that the increases will be justified by appropriate spending that increase the allocation of these benefits to deserving military veterans. </w:t>
      </w:r>
    </w:p>
    <w:p w:rsidR="00F232A3" w:rsidRPr="00F879DE" w:rsidRDefault="00F232A3" w:rsidP="00F879DE">
      <w:pPr>
        <w:pStyle w:val="Heading3"/>
        <w:spacing w:before="0" w:line="240" w:lineRule="auto"/>
        <w:rPr>
          <w:rFonts w:ascii="Arial" w:hAnsi="Arial" w:cs="Arial"/>
          <w:color w:val="auto"/>
          <w:sz w:val="20"/>
          <w:szCs w:val="20"/>
        </w:rPr>
      </w:pPr>
      <w:r w:rsidRPr="00F879DE">
        <w:rPr>
          <w:rFonts w:ascii="Arial" w:hAnsi="Arial" w:cs="Arial"/>
          <w:b/>
          <w:color w:val="auto"/>
          <w:sz w:val="20"/>
          <w:szCs w:val="20"/>
        </w:rPr>
        <w:t>6.1.4</w:t>
      </w:r>
      <w:r w:rsidRPr="00F879DE">
        <w:rPr>
          <w:rFonts w:ascii="Arial" w:hAnsi="Arial" w:cs="Arial"/>
          <w:b/>
          <w:color w:val="auto"/>
          <w:sz w:val="20"/>
          <w:szCs w:val="20"/>
        </w:rPr>
        <w:tab/>
        <w:t xml:space="preserve">Programme 3: Empowerment and Stakeholder Management </w:t>
      </w:r>
      <w:r w:rsidRPr="00F879DE">
        <w:rPr>
          <w:rFonts w:ascii="Arial" w:hAnsi="Arial" w:cs="Arial"/>
          <w:b/>
          <w:color w:val="auto"/>
          <w:sz w:val="20"/>
          <w:szCs w:val="20"/>
        </w:rPr>
        <w:tab/>
      </w:r>
      <w:r w:rsidRPr="00F879DE">
        <w:rPr>
          <w:rFonts w:ascii="Arial" w:hAnsi="Arial" w:cs="Arial"/>
          <w:b/>
          <w:color w:val="auto"/>
          <w:sz w:val="20"/>
          <w:szCs w:val="20"/>
        </w:rPr>
        <w:tab/>
      </w:r>
      <w:r w:rsidRPr="00F879DE">
        <w:rPr>
          <w:rFonts w:ascii="Arial" w:hAnsi="Arial" w:cs="Arial"/>
          <w:b/>
          <w:color w:val="auto"/>
          <w:sz w:val="20"/>
          <w:szCs w:val="20"/>
        </w:rPr>
        <w:tab/>
      </w:r>
      <w:r w:rsidRPr="00F879DE">
        <w:rPr>
          <w:rFonts w:ascii="Arial" w:hAnsi="Arial" w:cs="Arial"/>
          <w:color w:val="auto"/>
          <w:sz w:val="20"/>
          <w:szCs w:val="20"/>
        </w:rPr>
        <w:t xml:space="preserve">      </w:t>
      </w:r>
    </w:p>
    <w:p w:rsidR="00F232A3" w:rsidRPr="00F879DE" w:rsidRDefault="00F232A3" w:rsidP="00F879DE">
      <w:pPr>
        <w:spacing w:after="0" w:line="240" w:lineRule="auto"/>
        <w:rPr>
          <w:rFonts w:ascii="Arial" w:hAnsi="Arial" w:cs="Arial"/>
          <w:b/>
          <w:sz w:val="20"/>
          <w:szCs w:val="20"/>
        </w:rPr>
      </w:pPr>
    </w:p>
    <w:p w:rsidR="00F232A3" w:rsidRPr="00F879DE" w:rsidRDefault="00F232A3" w:rsidP="00F879DE">
      <w:pPr>
        <w:spacing w:after="0" w:line="240" w:lineRule="auto"/>
        <w:rPr>
          <w:rFonts w:ascii="Arial" w:hAnsi="Arial" w:cs="Arial"/>
          <w:b/>
          <w:sz w:val="20"/>
          <w:szCs w:val="20"/>
        </w:rPr>
      </w:pPr>
      <w:r w:rsidRPr="00F879DE">
        <w:rPr>
          <w:rFonts w:ascii="Arial" w:hAnsi="Arial" w:cs="Arial"/>
          <w:b/>
          <w:sz w:val="20"/>
          <w:szCs w:val="20"/>
        </w:rPr>
        <w:t xml:space="preserve">Purpose and performance targets </w:t>
      </w:r>
    </w:p>
    <w:p w:rsidR="00D360D5" w:rsidRPr="00F879DE" w:rsidRDefault="00F232A3"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lastRenderedPageBreak/>
        <w:t>The main purpose of this programme is to manage and facilitate the implementation of military veteran empowerment and stakeholder management programmes. The APP lists the following performance targets for 2022/23 to 2023/24:</w:t>
      </w:r>
    </w:p>
    <w:p w:rsidR="00F232A3" w:rsidRPr="00F879DE" w:rsidRDefault="00F232A3" w:rsidP="00F879DE">
      <w:pPr>
        <w:autoSpaceDE w:val="0"/>
        <w:autoSpaceDN w:val="0"/>
        <w:adjustRightInd w:val="0"/>
        <w:spacing w:after="0" w:line="240" w:lineRule="auto"/>
        <w:rPr>
          <w:rFonts w:ascii="Arial" w:hAnsi="Arial" w:cs="Arial"/>
          <w:sz w:val="20"/>
          <w:szCs w:val="20"/>
        </w:rPr>
      </w:pPr>
    </w:p>
    <w:p w:rsidR="00F232A3" w:rsidRPr="00F879DE" w:rsidRDefault="00F232A3" w:rsidP="00F879DE">
      <w:pPr>
        <w:autoSpaceDE w:val="0"/>
        <w:autoSpaceDN w:val="0"/>
        <w:adjustRightInd w:val="0"/>
        <w:spacing w:after="0" w:line="240" w:lineRule="auto"/>
        <w:rPr>
          <w:rFonts w:ascii="Arial" w:hAnsi="Arial" w:cs="Arial"/>
          <w:sz w:val="20"/>
          <w:szCs w:val="20"/>
        </w:rPr>
      </w:pPr>
    </w:p>
    <w:p w:rsidR="00F232A3" w:rsidRPr="00F879DE" w:rsidRDefault="00F232A3" w:rsidP="00F879DE">
      <w:pPr>
        <w:autoSpaceDE w:val="0"/>
        <w:autoSpaceDN w:val="0"/>
        <w:adjustRightInd w:val="0"/>
        <w:spacing w:after="0" w:line="240" w:lineRule="auto"/>
        <w:rPr>
          <w:rFonts w:ascii="Arial" w:hAnsi="Arial" w:cs="Arial"/>
          <w:sz w:val="20"/>
          <w:szCs w:val="20"/>
        </w:rPr>
      </w:pPr>
    </w:p>
    <w:p w:rsidR="00F232A3" w:rsidRPr="00F879DE" w:rsidRDefault="00F232A3" w:rsidP="00F879DE">
      <w:pPr>
        <w:autoSpaceDE w:val="0"/>
        <w:autoSpaceDN w:val="0"/>
        <w:adjustRightInd w:val="0"/>
        <w:spacing w:after="0" w:line="240" w:lineRule="auto"/>
        <w:rPr>
          <w:rFonts w:ascii="Arial" w:hAnsi="Arial" w:cs="Arial"/>
          <w:sz w:val="20"/>
          <w:szCs w:val="20"/>
        </w:rPr>
      </w:pPr>
    </w:p>
    <w:p w:rsidR="00D360D5" w:rsidRPr="00F879DE" w:rsidRDefault="00D360D5" w:rsidP="00F879DE">
      <w:pPr>
        <w:spacing w:after="0" w:line="240" w:lineRule="auto"/>
        <w:rPr>
          <w:rFonts w:ascii="Arial" w:hAnsi="Arial" w:cs="Arial"/>
          <w:b/>
          <w:sz w:val="20"/>
          <w:szCs w:val="20"/>
        </w:rPr>
      </w:pPr>
    </w:p>
    <w:p w:rsidR="00D360D5" w:rsidRPr="00F879DE" w:rsidRDefault="00D360D5" w:rsidP="00F879DE">
      <w:pPr>
        <w:spacing w:after="0" w:line="240" w:lineRule="auto"/>
        <w:rPr>
          <w:rFonts w:ascii="Arial" w:hAnsi="Arial" w:cs="Arial"/>
          <w:b/>
          <w:sz w:val="20"/>
          <w:szCs w:val="20"/>
        </w:rPr>
      </w:pPr>
    </w:p>
    <w:p w:rsidR="00D360D5" w:rsidRPr="00F879DE" w:rsidRDefault="00D360D5" w:rsidP="00F879DE">
      <w:pPr>
        <w:spacing w:after="0" w:line="240" w:lineRule="auto"/>
        <w:rPr>
          <w:rFonts w:ascii="Arial" w:hAnsi="Arial" w:cs="Arial"/>
          <w:b/>
          <w:sz w:val="20"/>
          <w:szCs w:val="20"/>
        </w:rPr>
      </w:pPr>
      <w:r w:rsidRPr="00F879DE">
        <w:rPr>
          <w:rFonts w:ascii="Arial" w:hAnsi="Arial" w:cs="Arial"/>
          <w:noProof/>
          <w:sz w:val="20"/>
          <w:szCs w:val="20"/>
          <w:lang w:val="en-US"/>
        </w:rPr>
        <w:drawing>
          <wp:anchor distT="0" distB="0" distL="114300" distR="114300" simplePos="0" relativeHeight="251667456" behindDoc="1" locked="0" layoutInCell="1" allowOverlap="1">
            <wp:simplePos x="0" y="0"/>
            <wp:positionH relativeFrom="column">
              <wp:posOffset>1127</wp:posOffset>
            </wp:positionH>
            <wp:positionV relativeFrom="paragraph">
              <wp:posOffset>-1636636</wp:posOffset>
            </wp:positionV>
            <wp:extent cx="5731510" cy="1776898"/>
            <wp:effectExtent l="0" t="0" r="2540" b="0"/>
            <wp:wrapTight wrapText="bothSides">
              <wp:wrapPolygon edited="0">
                <wp:start x="0" y="0"/>
                <wp:lineTo x="0" y="21307"/>
                <wp:lineTo x="21538" y="21307"/>
                <wp:lineTo x="215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1776898"/>
                    </a:xfrm>
                    <a:prstGeom prst="rect">
                      <a:avLst/>
                    </a:prstGeom>
                    <a:noFill/>
                    <a:ln>
                      <a:noFill/>
                    </a:ln>
                  </pic:spPr>
                </pic:pic>
              </a:graphicData>
            </a:graphic>
          </wp:anchor>
        </w:drawing>
      </w:r>
    </w:p>
    <w:p w:rsidR="00F232A3" w:rsidRPr="00F879DE" w:rsidRDefault="00F232A3" w:rsidP="00F879DE">
      <w:pPr>
        <w:spacing w:after="0" w:line="240" w:lineRule="auto"/>
        <w:rPr>
          <w:rFonts w:ascii="Arial" w:hAnsi="Arial" w:cs="Arial"/>
          <w:b/>
          <w:sz w:val="20"/>
          <w:szCs w:val="20"/>
        </w:rPr>
      </w:pPr>
      <w:r w:rsidRPr="00F879DE">
        <w:rPr>
          <w:rFonts w:ascii="Arial" w:hAnsi="Arial" w:cs="Arial"/>
          <w:b/>
          <w:sz w:val="20"/>
          <w:szCs w:val="20"/>
        </w:rPr>
        <w:t>Programme 3: Budgetary allocation</w:t>
      </w:r>
    </w:p>
    <w:p w:rsidR="00F232A3" w:rsidRPr="00F879DE" w:rsidRDefault="00F232A3" w:rsidP="00F879DE">
      <w:pPr>
        <w:spacing w:after="0" w:line="240" w:lineRule="auto"/>
        <w:rPr>
          <w:rFonts w:ascii="Arial" w:hAnsi="Arial" w:cs="Arial"/>
          <w:sz w:val="20"/>
          <w:szCs w:val="20"/>
        </w:rPr>
      </w:pPr>
      <w:r w:rsidRPr="00F879DE">
        <w:rPr>
          <w:rFonts w:ascii="Arial" w:hAnsi="Arial" w:cs="Arial"/>
          <w:sz w:val="20"/>
          <w:szCs w:val="20"/>
        </w:rPr>
        <w:t>The programme consists of three sub-programmes, namely a) Provincial Offices and Stakeholder Relations; b) Empowerment and Skills Development; and c) Heritage, Memorials, Burials and Honours.</w:t>
      </w:r>
    </w:p>
    <w:p w:rsidR="00F232A3" w:rsidRPr="00F879DE" w:rsidRDefault="00F232A3" w:rsidP="00F879DE">
      <w:pPr>
        <w:spacing w:after="0" w:line="240" w:lineRule="auto"/>
        <w:rPr>
          <w:rFonts w:ascii="Arial" w:hAnsi="Arial" w:cs="Arial"/>
          <w:sz w:val="20"/>
          <w:szCs w:val="20"/>
        </w:rPr>
      </w:pPr>
    </w:p>
    <w:p w:rsidR="00D360D5" w:rsidRPr="00F879DE" w:rsidRDefault="00D360D5" w:rsidP="00F879DE">
      <w:pPr>
        <w:spacing w:after="0" w:line="240" w:lineRule="auto"/>
        <w:rPr>
          <w:rFonts w:ascii="Arial" w:hAnsi="Arial" w:cs="Arial"/>
          <w:sz w:val="20"/>
          <w:szCs w:val="20"/>
        </w:rPr>
      </w:pPr>
    </w:p>
    <w:p w:rsidR="00D360D5" w:rsidRPr="00F879DE" w:rsidRDefault="00D360D5" w:rsidP="00F879DE">
      <w:pPr>
        <w:spacing w:after="0" w:line="240" w:lineRule="auto"/>
        <w:rPr>
          <w:rFonts w:ascii="Arial" w:hAnsi="Arial" w:cs="Arial"/>
          <w:sz w:val="20"/>
          <w:szCs w:val="20"/>
        </w:rPr>
      </w:pPr>
    </w:p>
    <w:p w:rsidR="00D360D5" w:rsidRPr="00F879DE" w:rsidRDefault="00D360D5" w:rsidP="00F879DE">
      <w:pPr>
        <w:spacing w:after="0" w:line="240" w:lineRule="auto"/>
        <w:rPr>
          <w:rFonts w:ascii="Arial" w:hAnsi="Arial" w:cs="Arial"/>
          <w:sz w:val="20"/>
          <w:szCs w:val="20"/>
        </w:rPr>
      </w:pPr>
    </w:p>
    <w:p w:rsidR="00D360D5" w:rsidRPr="00F879DE" w:rsidRDefault="00D360D5" w:rsidP="00F879DE">
      <w:pPr>
        <w:spacing w:after="0" w:line="240" w:lineRule="auto"/>
        <w:rPr>
          <w:rFonts w:ascii="Arial" w:hAnsi="Arial" w:cs="Arial"/>
          <w:sz w:val="20"/>
          <w:szCs w:val="20"/>
        </w:rPr>
      </w:pPr>
    </w:p>
    <w:p w:rsidR="00D360D5" w:rsidRPr="00F879DE" w:rsidRDefault="00D360D5" w:rsidP="00F879DE">
      <w:pPr>
        <w:spacing w:after="0" w:line="240" w:lineRule="auto"/>
        <w:rPr>
          <w:rFonts w:ascii="Arial" w:hAnsi="Arial" w:cs="Arial"/>
          <w:sz w:val="20"/>
          <w:szCs w:val="20"/>
        </w:rPr>
      </w:pPr>
    </w:p>
    <w:p w:rsidR="00D360D5" w:rsidRPr="00F879DE" w:rsidRDefault="00D360D5" w:rsidP="00F879DE">
      <w:pPr>
        <w:spacing w:after="0" w:line="240" w:lineRule="auto"/>
        <w:rPr>
          <w:rFonts w:ascii="Arial" w:hAnsi="Arial" w:cs="Arial"/>
          <w:sz w:val="20"/>
          <w:szCs w:val="20"/>
        </w:rPr>
      </w:pPr>
      <w:r w:rsidRPr="00F879DE">
        <w:rPr>
          <w:rFonts w:ascii="Arial" w:hAnsi="Arial" w:cs="Arial"/>
          <w:noProof/>
          <w:sz w:val="20"/>
          <w:szCs w:val="20"/>
          <w:lang w:val="en-US"/>
        </w:rPr>
        <w:drawing>
          <wp:anchor distT="0" distB="0" distL="114300" distR="114300" simplePos="0" relativeHeight="251668480" behindDoc="0" locked="0" layoutInCell="1" allowOverlap="1">
            <wp:simplePos x="0" y="0"/>
            <wp:positionH relativeFrom="column">
              <wp:posOffset>1127</wp:posOffset>
            </wp:positionH>
            <wp:positionV relativeFrom="paragraph">
              <wp:posOffset>-1553639</wp:posOffset>
            </wp:positionV>
            <wp:extent cx="5731165" cy="1688592"/>
            <wp:effectExtent l="0" t="0" r="317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165" cy="1688592"/>
                    </a:xfrm>
                    <a:prstGeom prst="rect">
                      <a:avLst/>
                    </a:prstGeom>
                    <a:noFill/>
                    <a:ln>
                      <a:noFill/>
                    </a:ln>
                  </pic:spPr>
                </pic:pic>
              </a:graphicData>
            </a:graphic>
          </wp:anchor>
        </w:drawing>
      </w:r>
    </w:p>
    <w:p w:rsidR="00F232A3" w:rsidRPr="00F879DE" w:rsidRDefault="00F232A3" w:rsidP="00F879DE">
      <w:pPr>
        <w:spacing w:after="0" w:line="240" w:lineRule="auto"/>
        <w:rPr>
          <w:rFonts w:ascii="Arial" w:hAnsi="Arial" w:cs="Arial"/>
          <w:sz w:val="20"/>
          <w:szCs w:val="20"/>
        </w:rPr>
      </w:pPr>
      <w:r w:rsidRPr="00F879DE">
        <w:rPr>
          <w:rFonts w:ascii="Arial" w:hAnsi="Arial" w:cs="Arial"/>
          <w:sz w:val="20"/>
          <w:szCs w:val="20"/>
        </w:rPr>
        <w:t>The budgetary allocation for Programme 3 decreases with R14.8</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or 8.75% in nominal terms, which is mainly attributed to the decrease in subprogramme 2 from R66.8</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to R61.6</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and subprogramme 3 from R37.3</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to R27</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between the previous and current financial years. The latter is crucial for the Department if it wants to fulfil its obligation to honour and memorialise military veterans for their contributions. Subprogramme 1, which hosts the Provincial Offices, sees a slight increase from R65.2</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to R65.9</w:t>
      </w:r>
      <w:r w:rsidR="00A82832" w:rsidRPr="00F879DE">
        <w:rPr>
          <w:rFonts w:ascii="Arial" w:hAnsi="Arial" w:cs="Arial"/>
          <w:sz w:val="20"/>
          <w:szCs w:val="20"/>
        </w:rPr>
        <w:t xml:space="preserve"> </w:t>
      </w:r>
      <w:r w:rsidRPr="00F879DE">
        <w:rPr>
          <w:rFonts w:ascii="Arial" w:hAnsi="Arial" w:cs="Arial"/>
          <w:sz w:val="20"/>
          <w:szCs w:val="20"/>
        </w:rPr>
        <w:t>m</w:t>
      </w:r>
      <w:r w:rsidR="00A82832" w:rsidRPr="00F879DE">
        <w:rPr>
          <w:rFonts w:ascii="Arial" w:hAnsi="Arial" w:cs="Arial"/>
          <w:sz w:val="20"/>
          <w:szCs w:val="20"/>
        </w:rPr>
        <w:t>illion</w:t>
      </w:r>
      <w:r w:rsidRPr="00F879DE">
        <w:rPr>
          <w:rFonts w:ascii="Arial" w:hAnsi="Arial" w:cs="Arial"/>
          <w:sz w:val="20"/>
          <w:szCs w:val="20"/>
        </w:rPr>
        <w:t xml:space="preserve">, but given the importance placed on these Offices it is hoped that the allocation is sufficient and that these funds will be optimally spend in line with its purpose.  </w:t>
      </w:r>
    </w:p>
    <w:p w:rsidR="00A82832" w:rsidRPr="00F879DE" w:rsidRDefault="00A82832" w:rsidP="00F879DE">
      <w:pPr>
        <w:spacing w:after="0" w:line="240" w:lineRule="auto"/>
        <w:rPr>
          <w:rFonts w:ascii="Arial" w:hAnsi="Arial" w:cs="Arial"/>
          <w:sz w:val="20"/>
          <w:szCs w:val="20"/>
        </w:rPr>
      </w:pPr>
    </w:p>
    <w:p w:rsidR="00255A3D" w:rsidRPr="00F879DE" w:rsidRDefault="00255A3D" w:rsidP="00F879DE">
      <w:pPr>
        <w:spacing w:after="0" w:line="240" w:lineRule="auto"/>
        <w:rPr>
          <w:rFonts w:ascii="Arial" w:hAnsi="Arial" w:cs="Arial"/>
          <w:sz w:val="20"/>
          <w:szCs w:val="20"/>
        </w:rPr>
      </w:pPr>
    </w:p>
    <w:p w:rsidR="00255A3D" w:rsidRPr="00F879DE" w:rsidRDefault="00255A3D" w:rsidP="00F879DE">
      <w:pPr>
        <w:spacing w:after="0" w:line="240" w:lineRule="auto"/>
        <w:rPr>
          <w:rFonts w:ascii="Arial" w:hAnsi="Arial" w:cs="Arial"/>
          <w:sz w:val="20"/>
          <w:szCs w:val="20"/>
        </w:rPr>
      </w:pPr>
    </w:p>
    <w:p w:rsidR="00F232A3" w:rsidRPr="00F879DE" w:rsidRDefault="0084743E" w:rsidP="00F879DE">
      <w:pPr>
        <w:pStyle w:val="Heading1"/>
        <w:spacing w:before="0" w:line="240" w:lineRule="auto"/>
        <w:rPr>
          <w:rFonts w:ascii="Arial" w:eastAsiaTheme="minorHAnsi" w:hAnsi="Arial" w:cs="Arial"/>
          <w:b/>
          <w:color w:val="auto"/>
          <w:spacing w:val="0"/>
          <w:sz w:val="20"/>
          <w:szCs w:val="20"/>
          <w:lang w:val="en-ZA" w:eastAsia="en-US"/>
        </w:rPr>
      </w:pPr>
      <w:r w:rsidRPr="00F879DE">
        <w:rPr>
          <w:rFonts w:ascii="Arial" w:hAnsi="Arial" w:cs="Arial"/>
          <w:b/>
          <w:color w:val="auto"/>
          <w:sz w:val="20"/>
          <w:szCs w:val="20"/>
        </w:rPr>
        <w:t>7.</w:t>
      </w:r>
      <w:r w:rsidRPr="00F879DE">
        <w:rPr>
          <w:rFonts w:ascii="Arial" w:hAnsi="Arial" w:cs="Arial"/>
          <w:b/>
          <w:color w:val="auto"/>
          <w:sz w:val="20"/>
          <w:szCs w:val="20"/>
        </w:rPr>
        <w:tab/>
      </w:r>
      <w:r w:rsidR="00F232A3" w:rsidRPr="00F879DE">
        <w:rPr>
          <w:rFonts w:ascii="Arial" w:eastAsiaTheme="minorHAnsi" w:hAnsi="Arial" w:cs="Arial"/>
          <w:b/>
          <w:color w:val="auto"/>
          <w:spacing w:val="0"/>
          <w:sz w:val="20"/>
          <w:szCs w:val="20"/>
          <w:lang w:val="en-ZA" w:eastAsia="en-US"/>
        </w:rPr>
        <w:t xml:space="preserve">HUMAN RESOURCES </w:t>
      </w:r>
    </w:p>
    <w:p w:rsidR="00F232A3" w:rsidRPr="00F879DE" w:rsidRDefault="00F232A3" w:rsidP="00F879DE">
      <w:pPr>
        <w:autoSpaceDE w:val="0"/>
        <w:autoSpaceDN w:val="0"/>
        <w:adjustRightInd w:val="0"/>
        <w:spacing w:after="0" w:line="240" w:lineRule="auto"/>
        <w:rPr>
          <w:rFonts w:ascii="Arial" w:hAnsi="Arial" w:cs="Arial"/>
          <w:b/>
          <w:sz w:val="20"/>
          <w:szCs w:val="20"/>
        </w:rPr>
      </w:pPr>
    </w:p>
    <w:p w:rsidR="00F232A3" w:rsidRPr="00F879DE" w:rsidRDefault="00F232A3"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 xml:space="preserve">The APP outlines the total staff including vacancies as 155 with the current staff being 129; vacancies at 26; contract workers at 48 with no interns, totalling 203. It further states that as at March 2021 it had filled 124 posts and that it has an established structure of 169 approved posts. </w:t>
      </w:r>
    </w:p>
    <w:p w:rsidR="00D360D5" w:rsidRPr="00F879DE" w:rsidRDefault="00D360D5" w:rsidP="00F879DE">
      <w:pPr>
        <w:autoSpaceDE w:val="0"/>
        <w:autoSpaceDN w:val="0"/>
        <w:adjustRightInd w:val="0"/>
        <w:spacing w:after="0" w:line="240" w:lineRule="auto"/>
        <w:rPr>
          <w:rFonts w:ascii="Arial" w:hAnsi="Arial" w:cs="Arial"/>
          <w:sz w:val="20"/>
          <w:szCs w:val="20"/>
        </w:rPr>
      </w:pPr>
    </w:p>
    <w:tbl>
      <w:tblPr>
        <w:tblStyle w:val="TableGrid"/>
        <w:tblW w:w="9068" w:type="dxa"/>
        <w:jc w:val="center"/>
        <w:tblLook w:val="04A0"/>
      </w:tblPr>
      <w:tblGrid>
        <w:gridCol w:w="1856"/>
        <w:gridCol w:w="1699"/>
        <w:gridCol w:w="1554"/>
        <w:gridCol w:w="1689"/>
        <w:gridCol w:w="1135"/>
        <w:gridCol w:w="1135"/>
      </w:tblGrid>
      <w:tr w:rsidR="00F232A3" w:rsidRPr="00F879DE" w:rsidTr="00C5608F">
        <w:trPr>
          <w:jc w:val="center"/>
        </w:trPr>
        <w:tc>
          <w:tcPr>
            <w:tcW w:w="1856" w:type="dxa"/>
            <w:tcBorders>
              <w:bottom w:val="single" w:sz="4" w:space="0" w:color="auto"/>
            </w:tcBorders>
            <w:shd w:val="clear" w:color="auto" w:fill="70AD47" w:themeFill="accent6"/>
          </w:tcPr>
          <w:p w:rsidR="00F232A3" w:rsidRPr="00F879DE" w:rsidRDefault="00F232A3" w:rsidP="00F879DE">
            <w:pPr>
              <w:autoSpaceDE w:val="0"/>
              <w:autoSpaceDN w:val="0"/>
              <w:adjustRightInd w:val="0"/>
              <w:rPr>
                <w:rFonts w:ascii="Arial" w:hAnsi="Arial" w:cs="Arial"/>
                <w:sz w:val="20"/>
                <w:szCs w:val="20"/>
              </w:rPr>
            </w:pPr>
          </w:p>
        </w:tc>
        <w:tc>
          <w:tcPr>
            <w:tcW w:w="1699" w:type="dxa"/>
            <w:tcBorders>
              <w:bottom w:val="single" w:sz="4" w:space="0" w:color="auto"/>
            </w:tcBorders>
            <w:shd w:val="clear" w:color="auto" w:fill="70AD47" w:themeFill="accent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Permanent</w:t>
            </w:r>
          </w:p>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Employees</w:t>
            </w:r>
          </w:p>
        </w:tc>
        <w:tc>
          <w:tcPr>
            <w:tcW w:w="1554" w:type="dxa"/>
            <w:tcBorders>
              <w:bottom w:val="single" w:sz="4" w:space="0" w:color="auto"/>
            </w:tcBorders>
            <w:shd w:val="clear" w:color="auto" w:fill="70AD47" w:themeFill="accent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Contract</w:t>
            </w:r>
          </w:p>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Workers</w:t>
            </w:r>
          </w:p>
        </w:tc>
        <w:tc>
          <w:tcPr>
            <w:tcW w:w="1689" w:type="dxa"/>
            <w:tcBorders>
              <w:bottom w:val="single" w:sz="4" w:space="0" w:color="auto"/>
            </w:tcBorders>
            <w:shd w:val="clear" w:color="auto" w:fill="70AD47" w:themeFill="accent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Vacancies</w:t>
            </w:r>
          </w:p>
        </w:tc>
        <w:tc>
          <w:tcPr>
            <w:tcW w:w="1135" w:type="dxa"/>
            <w:tcBorders>
              <w:bottom w:val="single" w:sz="4" w:space="0" w:color="auto"/>
            </w:tcBorders>
            <w:shd w:val="clear" w:color="auto" w:fill="70AD47" w:themeFill="accent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Interns</w:t>
            </w:r>
          </w:p>
        </w:tc>
        <w:tc>
          <w:tcPr>
            <w:tcW w:w="1135" w:type="dxa"/>
            <w:tcBorders>
              <w:bottom w:val="single" w:sz="4" w:space="0" w:color="auto"/>
            </w:tcBorders>
            <w:shd w:val="clear" w:color="auto" w:fill="70AD47" w:themeFill="accent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Total</w:t>
            </w:r>
          </w:p>
        </w:tc>
      </w:tr>
      <w:tr w:rsidR="00F232A3" w:rsidRPr="00F879DE" w:rsidTr="00C5608F">
        <w:trPr>
          <w:jc w:val="center"/>
        </w:trPr>
        <w:tc>
          <w:tcPr>
            <w:tcW w:w="1856" w:type="dxa"/>
            <w:tcBorders>
              <w:bottom w:val="single" w:sz="4" w:space="0" w:color="auto"/>
            </w:tcBorders>
            <w:shd w:val="clear" w:color="auto" w:fill="C5E0B3" w:themeFill="accent6" w:themeFillTint="6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FY2020/21</w:t>
            </w:r>
          </w:p>
        </w:tc>
        <w:tc>
          <w:tcPr>
            <w:tcW w:w="1699" w:type="dxa"/>
            <w:tcBorders>
              <w:bottom w:val="single" w:sz="4" w:space="0" w:color="auto"/>
            </w:tcBorders>
            <w:shd w:val="clear" w:color="auto" w:fill="C5E0B3" w:themeFill="accent6" w:themeFillTint="6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144</w:t>
            </w:r>
          </w:p>
        </w:tc>
        <w:tc>
          <w:tcPr>
            <w:tcW w:w="1554" w:type="dxa"/>
            <w:tcBorders>
              <w:bottom w:val="single" w:sz="4" w:space="0" w:color="auto"/>
            </w:tcBorders>
            <w:shd w:val="clear" w:color="auto" w:fill="C5E0B3" w:themeFill="accent6" w:themeFillTint="6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63</w:t>
            </w:r>
          </w:p>
        </w:tc>
        <w:tc>
          <w:tcPr>
            <w:tcW w:w="1689" w:type="dxa"/>
            <w:tcBorders>
              <w:bottom w:val="single" w:sz="4" w:space="0" w:color="auto"/>
            </w:tcBorders>
            <w:shd w:val="clear" w:color="auto" w:fill="C5E0B3" w:themeFill="accent6" w:themeFillTint="6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26</w:t>
            </w:r>
          </w:p>
        </w:tc>
        <w:tc>
          <w:tcPr>
            <w:tcW w:w="1135" w:type="dxa"/>
            <w:tcBorders>
              <w:bottom w:val="single" w:sz="4" w:space="0" w:color="auto"/>
            </w:tcBorders>
            <w:shd w:val="clear" w:color="auto" w:fill="C5E0B3" w:themeFill="accent6" w:themeFillTint="6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28</w:t>
            </w:r>
          </w:p>
        </w:tc>
        <w:tc>
          <w:tcPr>
            <w:tcW w:w="1135" w:type="dxa"/>
            <w:tcBorders>
              <w:bottom w:val="single" w:sz="4" w:space="0" w:color="auto"/>
            </w:tcBorders>
            <w:shd w:val="clear" w:color="auto" w:fill="C5E0B3" w:themeFill="accent6" w:themeFillTint="66"/>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261</w:t>
            </w:r>
          </w:p>
        </w:tc>
      </w:tr>
      <w:tr w:rsidR="00F232A3" w:rsidRPr="00F879DE" w:rsidTr="00C5608F">
        <w:trPr>
          <w:jc w:val="center"/>
        </w:trPr>
        <w:tc>
          <w:tcPr>
            <w:tcW w:w="1856"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FY2021/22</w:t>
            </w:r>
          </w:p>
        </w:tc>
        <w:tc>
          <w:tcPr>
            <w:tcW w:w="1699"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128</w:t>
            </w:r>
          </w:p>
        </w:tc>
        <w:tc>
          <w:tcPr>
            <w:tcW w:w="1554"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61</w:t>
            </w:r>
          </w:p>
        </w:tc>
        <w:tc>
          <w:tcPr>
            <w:tcW w:w="1689"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43</w:t>
            </w:r>
          </w:p>
        </w:tc>
        <w:tc>
          <w:tcPr>
            <w:tcW w:w="1135"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14</w:t>
            </w:r>
          </w:p>
        </w:tc>
        <w:tc>
          <w:tcPr>
            <w:tcW w:w="1135"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264</w:t>
            </w:r>
          </w:p>
        </w:tc>
      </w:tr>
      <w:tr w:rsidR="00F232A3" w:rsidRPr="00F879DE" w:rsidTr="00C5608F">
        <w:trPr>
          <w:jc w:val="center"/>
        </w:trPr>
        <w:tc>
          <w:tcPr>
            <w:tcW w:w="1856"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FY2022/23</w:t>
            </w:r>
          </w:p>
        </w:tc>
        <w:tc>
          <w:tcPr>
            <w:tcW w:w="1699"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129</w:t>
            </w:r>
          </w:p>
        </w:tc>
        <w:tc>
          <w:tcPr>
            <w:tcW w:w="1554"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48</w:t>
            </w:r>
          </w:p>
        </w:tc>
        <w:tc>
          <w:tcPr>
            <w:tcW w:w="1689"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26</w:t>
            </w:r>
          </w:p>
        </w:tc>
        <w:tc>
          <w:tcPr>
            <w:tcW w:w="1135"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0</w:t>
            </w:r>
          </w:p>
        </w:tc>
        <w:tc>
          <w:tcPr>
            <w:tcW w:w="1135" w:type="dxa"/>
            <w:shd w:val="clear" w:color="auto" w:fill="E2EFD9" w:themeFill="accent6" w:themeFillTint="33"/>
          </w:tcPr>
          <w:p w:rsidR="00F232A3" w:rsidRPr="00F879DE" w:rsidRDefault="00F232A3" w:rsidP="00F879DE">
            <w:pPr>
              <w:autoSpaceDE w:val="0"/>
              <w:autoSpaceDN w:val="0"/>
              <w:adjustRightInd w:val="0"/>
              <w:rPr>
                <w:rFonts w:ascii="Arial" w:hAnsi="Arial" w:cs="Arial"/>
                <w:sz w:val="20"/>
                <w:szCs w:val="20"/>
              </w:rPr>
            </w:pPr>
            <w:r w:rsidRPr="00F879DE">
              <w:rPr>
                <w:rFonts w:ascii="Arial" w:hAnsi="Arial" w:cs="Arial"/>
                <w:sz w:val="20"/>
                <w:szCs w:val="20"/>
              </w:rPr>
              <w:t>203</w:t>
            </w:r>
          </w:p>
        </w:tc>
      </w:tr>
    </w:tbl>
    <w:p w:rsidR="00F232A3" w:rsidRPr="00F879DE" w:rsidRDefault="00F232A3" w:rsidP="00F879DE">
      <w:pPr>
        <w:autoSpaceDE w:val="0"/>
        <w:autoSpaceDN w:val="0"/>
        <w:adjustRightInd w:val="0"/>
        <w:spacing w:after="0" w:line="240" w:lineRule="auto"/>
        <w:rPr>
          <w:rFonts w:ascii="Arial" w:hAnsi="Arial" w:cs="Arial"/>
          <w:sz w:val="20"/>
          <w:szCs w:val="20"/>
        </w:rPr>
      </w:pPr>
    </w:p>
    <w:p w:rsidR="0084743E" w:rsidRPr="00F879DE" w:rsidRDefault="00F232A3" w:rsidP="00F879DE">
      <w:pPr>
        <w:autoSpaceDE w:val="0"/>
        <w:autoSpaceDN w:val="0"/>
        <w:adjustRightInd w:val="0"/>
        <w:spacing w:after="0" w:line="240" w:lineRule="auto"/>
        <w:rPr>
          <w:rFonts w:ascii="Arial" w:hAnsi="Arial" w:cs="Arial"/>
          <w:b/>
          <w:sz w:val="20"/>
          <w:szCs w:val="20"/>
        </w:rPr>
      </w:pPr>
      <w:r w:rsidRPr="00F879DE">
        <w:rPr>
          <w:rFonts w:ascii="Arial" w:hAnsi="Arial" w:cs="Arial"/>
          <w:sz w:val="20"/>
          <w:szCs w:val="20"/>
        </w:rPr>
        <w:t xml:space="preserve">The APP outlines the total staff including vacancies as 155 with the current staff being 129; vacancies at 26; contract workers at 48 with no interns, totalling 203. It further states that as at March 2021 it had filled 124 </w:t>
      </w:r>
      <w:r w:rsidRPr="00F879DE">
        <w:rPr>
          <w:rFonts w:ascii="Arial" w:hAnsi="Arial" w:cs="Arial"/>
          <w:sz w:val="20"/>
          <w:szCs w:val="20"/>
        </w:rPr>
        <w:lastRenderedPageBreak/>
        <w:t>posts and that it has an established structure of 169 approved posts. The Table shows a decrease of 15 permanent staff over the last three years, which is concerning given the already delicate situation with the retention of personnel as well as the number of vacancies. The latter has decreased from 43 to 26 but is still concerning as some of these vacancies are at the top level of the Department, which lead to leadership instability. High vacancy levels at management level has specifically been raised by the AGSA as a concern in previous audit findings.</w:t>
      </w:r>
    </w:p>
    <w:p w:rsidR="001363D2" w:rsidRPr="00F879DE" w:rsidRDefault="00F232A3" w:rsidP="00F879DE">
      <w:pPr>
        <w:pStyle w:val="Heading1"/>
        <w:spacing w:before="0" w:line="240" w:lineRule="auto"/>
        <w:rPr>
          <w:rFonts w:ascii="Arial" w:eastAsiaTheme="minorHAnsi" w:hAnsi="Arial" w:cs="Arial"/>
          <w:b/>
          <w:color w:val="auto"/>
          <w:spacing w:val="0"/>
          <w:sz w:val="20"/>
          <w:szCs w:val="20"/>
          <w:lang w:val="en-ZA" w:eastAsia="en-US"/>
        </w:rPr>
      </w:pPr>
      <w:r w:rsidRPr="00F879DE">
        <w:rPr>
          <w:rFonts w:ascii="Arial" w:hAnsi="Arial" w:cs="Arial"/>
          <w:b/>
          <w:color w:val="auto"/>
          <w:sz w:val="20"/>
          <w:szCs w:val="20"/>
        </w:rPr>
        <w:t>8</w:t>
      </w:r>
      <w:r w:rsidRPr="00F879DE">
        <w:rPr>
          <w:rFonts w:ascii="Arial" w:hAnsi="Arial" w:cs="Arial"/>
          <w:color w:val="auto"/>
          <w:sz w:val="20"/>
          <w:szCs w:val="20"/>
        </w:rPr>
        <w:t xml:space="preserve">. </w:t>
      </w:r>
      <w:r w:rsidR="001363D2" w:rsidRPr="00F879DE">
        <w:rPr>
          <w:rFonts w:ascii="Arial" w:hAnsi="Arial" w:cs="Arial"/>
          <w:color w:val="auto"/>
          <w:sz w:val="20"/>
          <w:szCs w:val="20"/>
        </w:rPr>
        <w:t xml:space="preserve"> </w:t>
      </w:r>
      <w:r w:rsidR="001363D2" w:rsidRPr="00F879DE">
        <w:rPr>
          <w:rFonts w:ascii="Arial" w:hAnsi="Arial" w:cs="Arial"/>
          <w:b/>
          <w:color w:val="auto"/>
          <w:sz w:val="20"/>
          <w:szCs w:val="20"/>
        </w:rPr>
        <w:t>KEY RISKS AND MITIGATIONS</w:t>
      </w:r>
    </w:p>
    <w:p w:rsidR="001363D2" w:rsidRPr="00F879DE" w:rsidRDefault="001363D2" w:rsidP="00F879DE">
      <w:pPr>
        <w:autoSpaceDE w:val="0"/>
        <w:autoSpaceDN w:val="0"/>
        <w:adjustRightInd w:val="0"/>
        <w:spacing w:after="0" w:line="240" w:lineRule="auto"/>
        <w:rPr>
          <w:rFonts w:ascii="Arial" w:hAnsi="Arial" w:cs="Arial"/>
          <w:sz w:val="20"/>
          <w:szCs w:val="20"/>
        </w:rPr>
      </w:pPr>
    </w:p>
    <w:p w:rsidR="001363D2" w:rsidRPr="00F879DE" w:rsidRDefault="001363D2" w:rsidP="00F879DE">
      <w:pPr>
        <w:autoSpaceDE w:val="0"/>
        <w:autoSpaceDN w:val="0"/>
        <w:adjustRightInd w:val="0"/>
        <w:spacing w:after="0" w:line="240" w:lineRule="auto"/>
        <w:rPr>
          <w:rFonts w:ascii="Arial" w:hAnsi="Arial" w:cs="Arial"/>
          <w:sz w:val="20"/>
          <w:szCs w:val="20"/>
        </w:rPr>
      </w:pPr>
      <w:r w:rsidRPr="00F879DE">
        <w:rPr>
          <w:rFonts w:ascii="Arial" w:hAnsi="Arial" w:cs="Arial"/>
          <w:sz w:val="20"/>
          <w:szCs w:val="20"/>
        </w:rPr>
        <w:t>This section deals with the Key risks and Mitigating factors in the Department. Importantly, as in previous APPs, the Department states that it will strive to ensure that a culture of risk management is institutionalised to reduce risk exposure. They will regularly monitor and scrutinise these risks.</w:t>
      </w:r>
    </w:p>
    <w:tbl>
      <w:tblPr>
        <w:tblStyle w:val="TableGrid1"/>
        <w:tblW w:w="0" w:type="auto"/>
        <w:tblLook w:val="04A0"/>
      </w:tblPr>
      <w:tblGrid>
        <w:gridCol w:w="1413"/>
        <w:gridCol w:w="3260"/>
        <w:gridCol w:w="4343"/>
      </w:tblGrid>
      <w:tr w:rsidR="001363D2" w:rsidRPr="00F879DE" w:rsidTr="00C5608F">
        <w:tc>
          <w:tcPr>
            <w:tcW w:w="1413" w:type="dxa"/>
            <w:shd w:val="clear" w:color="auto" w:fill="70AD47" w:themeFill="accent6"/>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b/>
                <w:sz w:val="20"/>
                <w:szCs w:val="20"/>
              </w:rPr>
              <w:t>OUTCOME</w:t>
            </w:r>
          </w:p>
        </w:tc>
        <w:tc>
          <w:tcPr>
            <w:tcW w:w="3260" w:type="dxa"/>
            <w:shd w:val="clear" w:color="auto" w:fill="70AD47" w:themeFill="accent6"/>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b/>
                <w:sz w:val="20"/>
                <w:szCs w:val="20"/>
              </w:rPr>
              <w:t>KEY RISKS</w:t>
            </w:r>
          </w:p>
        </w:tc>
        <w:tc>
          <w:tcPr>
            <w:tcW w:w="4343" w:type="dxa"/>
            <w:shd w:val="clear" w:color="auto" w:fill="70AD47" w:themeFill="accent6"/>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b/>
                <w:sz w:val="20"/>
                <w:szCs w:val="20"/>
              </w:rPr>
              <w:t>RISK MITIGATION</w:t>
            </w:r>
          </w:p>
        </w:tc>
      </w:tr>
      <w:tr w:rsidR="001363D2" w:rsidRPr="00F879DE" w:rsidTr="00C5608F">
        <w:tc>
          <w:tcPr>
            <w:tcW w:w="1413" w:type="dxa"/>
            <w:vMerge w:val="restart"/>
            <w:shd w:val="clear" w:color="auto" w:fill="C5E0B3" w:themeFill="accent6" w:themeFillTint="66"/>
          </w:tcPr>
          <w:p w:rsidR="001363D2" w:rsidRPr="00F879DE" w:rsidRDefault="001363D2" w:rsidP="00F879DE">
            <w:pPr>
              <w:autoSpaceDE w:val="0"/>
              <w:autoSpaceDN w:val="0"/>
              <w:adjustRightInd w:val="0"/>
              <w:rPr>
                <w:rFonts w:ascii="Arial" w:hAnsi="Arial" w:cs="Arial"/>
                <w:sz w:val="20"/>
                <w:szCs w:val="20"/>
              </w:rPr>
            </w:pPr>
          </w:p>
          <w:p w:rsidR="001363D2" w:rsidRPr="00F879DE" w:rsidRDefault="001363D2" w:rsidP="00F879DE">
            <w:pPr>
              <w:autoSpaceDE w:val="0"/>
              <w:autoSpaceDN w:val="0"/>
              <w:adjustRightInd w:val="0"/>
              <w:rPr>
                <w:rFonts w:ascii="Arial" w:hAnsi="Arial" w:cs="Arial"/>
                <w:sz w:val="20"/>
                <w:szCs w:val="20"/>
              </w:rPr>
            </w:pPr>
          </w:p>
          <w:p w:rsidR="001363D2" w:rsidRPr="00F879DE" w:rsidRDefault="001363D2" w:rsidP="00F879DE">
            <w:pPr>
              <w:autoSpaceDE w:val="0"/>
              <w:autoSpaceDN w:val="0"/>
              <w:adjustRightInd w:val="0"/>
              <w:rPr>
                <w:rFonts w:ascii="Arial" w:hAnsi="Arial" w:cs="Arial"/>
                <w:sz w:val="20"/>
                <w:szCs w:val="20"/>
              </w:rPr>
            </w:pPr>
          </w:p>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shd w:val="clear" w:color="auto" w:fill="C5E0B3" w:themeFill="accent6" w:themeFillTint="66"/>
              </w:rPr>
              <w:t>Socio-economic status of military veterans’ community improved and sustained</w:t>
            </w:r>
          </w:p>
        </w:tc>
        <w:tc>
          <w:tcPr>
            <w:tcW w:w="3260" w:type="dxa"/>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sz w:val="20"/>
                <w:szCs w:val="20"/>
              </w:rPr>
              <w:t xml:space="preserve">Inadequate and non-integrated business systems to support the strategy of the department. </w:t>
            </w:r>
          </w:p>
        </w:tc>
        <w:tc>
          <w:tcPr>
            <w:tcW w:w="4343" w:type="dxa"/>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sz w:val="20"/>
                <w:szCs w:val="20"/>
              </w:rPr>
              <w:t xml:space="preserve">Successful adoption and implementation of integrated business system </w:t>
            </w:r>
          </w:p>
        </w:tc>
      </w:tr>
      <w:tr w:rsidR="001363D2" w:rsidRPr="00F879DE" w:rsidTr="00C5608F">
        <w:tc>
          <w:tcPr>
            <w:tcW w:w="1413" w:type="dxa"/>
            <w:vMerge/>
            <w:shd w:val="clear" w:color="auto" w:fill="C5E0B3" w:themeFill="accent6" w:themeFillTint="66"/>
          </w:tcPr>
          <w:p w:rsidR="001363D2" w:rsidRPr="00F879DE" w:rsidRDefault="001363D2" w:rsidP="00F879DE">
            <w:pPr>
              <w:autoSpaceDE w:val="0"/>
              <w:autoSpaceDN w:val="0"/>
              <w:adjustRightInd w:val="0"/>
              <w:rPr>
                <w:rFonts w:ascii="Arial" w:hAnsi="Arial" w:cs="Arial"/>
                <w:b/>
                <w:sz w:val="20"/>
                <w:szCs w:val="20"/>
              </w:rPr>
            </w:pPr>
          </w:p>
        </w:tc>
        <w:tc>
          <w:tcPr>
            <w:tcW w:w="3260" w:type="dxa"/>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sz w:val="20"/>
                <w:szCs w:val="20"/>
              </w:rPr>
              <w:t>Instability at leadership level.</w:t>
            </w:r>
          </w:p>
        </w:tc>
        <w:tc>
          <w:tcPr>
            <w:tcW w:w="4343" w:type="dxa"/>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sz w:val="20"/>
                <w:szCs w:val="20"/>
              </w:rPr>
              <w:t xml:space="preserve">Strict adherence by all to the DPSA stated period of filling SMS vacancies </w:t>
            </w:r>
          </w:p>
        </w:tc>
      </w:tr>
      <w:tr w:rsidR="001363D2" w:rsidRPr="00F879DE" w:rsidTr="00C5608F">
        <w:tc>
          <w:tcPr>
            <w:tcW w:w="1413" w:type="dxa"/>
            <w:vMerge/>
            <w:shd w:val="clear" w:color="auto" w:fill="C5E0B3" w:themeFill="accent6" w:themeFillTint="66"/>
          </w:tcPr>
          <w:p w:rsidR="001363D2" w:rsidRPr="00F879DE" w:rsidRDefault="001363D2" w:rsidP="00F879DE">
            <w:pPr>
              <w:autoSpaceDE w:val="0"/>
              <w:autoSpaceDN w:val="0"/>
              <w:adjustRightInd w:val="0"/>
              <w:rPr>
                <w:rFonts w:ascii="Arial" w:hAnsi="Arial" w:cs="Arial"/>
                <w:b/>
                <w:sz w:val="20"/>
                <w:szCs w:val="20"/>
              </w:rPr>
            </w:pPr>
          </w:p>
        </w:tc>
        <w:tc>
          <w:tcPr>
            <w:tcW w:w="3260" w:type="dxa"/>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sz w:val="20"/>
                <w:szCs w:val="20"/>
              </w:rPr>
              <w:t>Misalignment of the organizational structure with the Service Delivery Model (SDM).</w:t>
            </w:r>
          </w:p>
        </w:tc>
        <w:tc>
          <w:tcPr>
            <w:tcW w:w="4343" w:type="dxa"/>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sz w:val="20"/>
                <w:szCs w:val="20"/>
              </w:rPr>
              <w:t xml:space="preserve">Finalisation of the approval of the Act which will determine the departmental structure </w:t>
            </w:r>
          </w:p>
        </w:tc>
      </w:tr>
      <w:tr w:rsidR="001363D2" w:rsidRPr="00F879DE" w:rsidTr="00C5608F">
        <w:tc>
          <w:tcPr>
            <w:tcW w:w="1413" w:type="dxa"/>
            <w:vMerge/>
            <w:shd w:val="clear" w:color="auto" w:fill="C5E0B3" w:themeFill="accent6" w:themeFillTint="66"/>
          </w:tcPr>
          <w:p w:rsidR="001363D2" w:rsidRPr="00F879DE" w:rsidRDefault="001363D2" w:rsidP="00F879DE">
            <w:pPr>
              <w:autoSpaceDE w:val="0"/>
              <w:autoSpaceDN w:val="0"/>
              <w:adjustRightInd w:val="0"/>
              <w:rPr>
                <w:rFonts w:ascii="Arial" w:hAnsi="Arial" w:cs="Arial"/>
                <w:b/>
                <w:sz w:val="20"/>
                <w:szCs w:val="20"/>
              </w:rPr>
            </w:pPr>
          </w:p>
        </w:tc>
        <w:tc>
          <w:tcPr>
            <w:tcW w:w="3260" w:type="dxa"/>
            <w:vMerge w:val="restart"/>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Gaps in the current MVs legislation and policy framework</w:t>
            </w:r>
          </w:p>
        </w:tc>
        <w:tc>
          <w:tcPr>
            <w:tcW w:w="4343" w:type="dxa"/>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Introduce amendments to Military</w:t>
            </w:r>
          </w:p>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Veterans Act 18 of 2011</w:t>
            </w:r>
          </w:p>
        </w:tc>
      </w:tr>
      <w:tr w:rsidR="001363D2" w:rsidRPr="00F879DE" w:rsidTr="00C5608F">
        <w:tc>
          <w:tcPr>
            <w:tcW w:w="1413" w:type="dxa"/>
            <w:vMerge/>
            <w:shd w:val="clear" w:color="auto" w:fill="C5E0B3" w:themeFill="accent6" w:themeFillTint="66"/>
          </w:tcPr>
          <w:p w:rsidR="001363D2" w:rsidRPr="00F879DE" w:rsidRDefault="001363D2" w:rsidP="00F879DE">
            <w:pPr>
              <w:autoSpaceDE w:val="0"/>
              <w:autoSpaceDN w:val="0"/>
              <w:adjustRightInd w:val="0"/>
              <w:rPr>
                <w:rFonts w:ascii="Arial" w:hAnsi="Arial" w:cs="Arial"/>
                <w:b/>
                <w:sz w:val="20"/>
                <w:szCs w:val="20"/>
              </w:rPr>
            </w:pPr>
          </w:p>
        </w:tc>
        <w:tc>
          <w:tcPr>
            <w:tcW w:w="3260" w:type="dxa"/>
            <w:vMerge/>
          </w:tcPr>
          <w:p w:rsidR="001363D2" w:rsidRPr="00F879DE" w:rsidRDefault="001363D2" w:rsidP="00F879DE">
            <w:pPr>
              <w:autoSpaceDE w:val="0"/>
              <w:autoSpaceDN w:val="0"/>
              <w:adjustRightInd w:val="0"/>
              <w:rPr>
                <w:rFonts w:ascii="Arial" w:hAnsi="Arial" w:cs="Arial"/>
                <w:sz w:val="20"/>
                <w:szCs w:val="20"/>
              </w:rPr>
            </w:pPr>
          </w:p>
        </w:tc>
        <w:tc>
          <w:tcPr>
            <w:tcW w:w="4343" w:type="dxa"/>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Alignment of the regulations to the Act and introduction of other sec 24 regulations</w:t>
            </w:r>
          </w:p>
        </w:tc>
      </w:tr>
      <w:tr w:rsidR="001363D2" w:rsidRPr="00F879DE" w:rsidTr="00C5608F">
        <w:tc>
          <w:tcPr>
            <w:tcW w:w="1413" w:type="dxa"/>
            <w:vMerge/>
            <w:shd w:val="clear" w:color="auto" w:fill="C5E0B3" w:themeFill="accent6" w:themeFillTint="66"/>
          </w:tcPr>
          <w:p w:rsidR="001363D2" w:rsidRPr="00F879DE" w:rsidRDefault="001363D2" w:rsidP="00F879DE">
            <w:pPr>
              <w:autoSpaceDE w:val="0"/>
              <w:autoSpaceDN w:val="0"/>
              <w:adjustRightInd w:val="0"/>
              <w:rPr>
                <w:rFonts w:ascii="Arial" w:hAnsi="Arial" w:cs="Arial"/>
                <w:b/>
                <w:sz w:val="20"/>
                <w:szCs w:val="20"/>
              </w:rPr>
            </w:pPr>
          </w:p>
        </w:tc>
        <w:tc>
          <w:tcPr>
            <w:tcW w:w="3260" w:type="dxa"/>
            <w:vMerge/>
          </w:tcPr>
          <w:p w:rsidR="001363D2" w:rsidRPr="00F879DE" w:rsidRDefault="001363D2" w:rsidP="00F879DE">
            <w:pPr>
              <w:autoSpaceDE w:val="0"/>
              <w:autoSpaceDN w:val="0"/>
              <w:adjustRightInd w:val="0"/>
              <w:rPr>
                <w:rFonts w:ascii="Arial" w:hAnsi="Arial" w:cs="Arial"/>
                <w:sz w:val="20"/>
                <w:szCs w:val="20"/>
              </w:rPr>
            </w:pPr>
          </w:p>
        </w:tc>
        <w:tc>
          <w:tcPr>
            <w:tcW w:w="4343" w:type="dxa"/>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Development of policies in line with the Amended Act.</w:t>
            </w:r>
          </w:p>
        </w:tc>
      </w:tr>
      <w:tr w:rsidR="001363D2" w:rsidRPr="00F879DE" w:rsidTr="00C5608F">
        <w:tc>
          <w:tcPr>
            <w:tcW w:w="1413" w:type="dxa"/>
            <w:vMerge/>
            <w:shd w:val="clear" w:color="auto" w:fill="C5E0B3" w:themeFill="accent6" w:themeFillTint="66"/>
          </w:tcPr>
          <w:p w:rsidR="001363D2" w:rsidRPr="00F879DE" w:rsidRDefault="001363D2" w:rsidP="00F879DE">
            <w:pPr>
              <w:autoSpaceDE w:val="0"/>
              <w:autoSpaceDN w:val="0"/>
              <w:adjustRightInd w:val="0"/>
              <w:rPr>
                <w:rFonts w:ascii="Arial" w:hAnsi="Arial" w:cs="Arial"/>
                <w:b/>
                <w:sz w:val="20"/>
                <w:szCs w:val="20"/>
              </w:rPr>
            </w:pPr>
          </w:p>
        </w:tc>
        <w:tc>
          <w:tcPr>
            <w:tcW w:w="3260" w:type="dxa"/>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Inadequate stakeholder management</w:t>
            </w:r>
          </w:p>
        </w:tc>
        <w:tc>
          <w:tcPr>
            <w:tcW w:w="4343" w:type="dxa"/>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Develop and implement stakeholder</w:t>
            </w:r>
          </w:p>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management strategy framework</w:t>
            </w:r>
          </w:p>
        </w:tc>
      </w:tr>
      <w:tr w:rsidR="001363D2" w:rsidRPr="00F879DE" w:rsidTr="00C5608F">
        <w:tc>
          <w:tcPr>
            <w:tcW w:w="1413" w:type="dxa"/>
            <w:vMerge/>
            <w:shd w:val="clear" w:color="auto" w:fill="C5E0B3" w:themeFill="accent6" w:themeFillTint="66"/>
          </w:tcPr>
          <w:p w:rsidR="001363D2" w:rsidRPr="00F879DE" w:rsidRDefault="001363D2" w:rsidP="00F879DE">
            <w:pPr>
              <w:autoSpaceDE w:val="0"/>
              <w:autoSpaceDN w:val="0"/>
              <w:adjustRightInd w:val="0"/>
              <w:rPr>
                <w:rFonts w:ascii="Arial" w:hAnsi="Arial" w:cs="Arial"/>
                <w:b/>
                <w:sz w:val="20"/>
                <w:szCs w:val="20"/>
              </w:rPr>
            </w:pPr>
          </w:p>
        </w:tc>
        <w:tc>
          <w:tcPr>
            <w:tcW w:w="3260" w:type="dxa"/>
          </w:tcPr>
          <w:p w:rsidR="001363D2" w:rsidRPr="00F879DE" w:rsidRDefault="001363D2" w:rsidP="00F879DE">
            <w:pPr>
              <w:autoSpaceDE w:val="0"/>
              <w:autoSpaceDN w:val="0"/>
              <w:adjustRightInd w:val="0"/>
              <w:rPr>
                <w:rFonts w:ascii="Arial" w:hAnsi="Arial" w:cs="Arial"/>
                <w:b/>
                <w:sz w:val="20"/>
                <w:szCs w:val="20"/>
              </w:rPr>
            </w:pPr>
            <w:r w:rsidRPr="00F879DE">
              <w:rPr>
                <w:rFonts w:ascii="Arial" w:hAnsi="Arial" w:cs="Arial"/>
                <w:sz w:val="20"/>
                <w:szCs w:val="20"/>
              </w:rPr>
              <w:t>Fraud and corruption within the Department</w:t>
            </w:r>
          </w:p>
        </w:tc>
        <w:tc>
          <w:tcPr>
            <w:tcW w:w="4343" w:type="dxa"/>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Implementation of an integrated fraud and corruption risk management process</w:t>
            </w:r>
          </w:p>
        </w:tc>
      </w:tr>
      <w:tr w:rsidR="001363D2" w:rsidRPr="00F879DE" w:rsidTr="00C5608F">
        <w:tc>
          <w:tcPr>
            <w:tcW w:w="1413" w:type="dxa"/>
            <w:vMerge/>
            <w:shd w:val="clear" w:color="auto" w:fill="C5E0B3" w:themeFill="accent6" w:themeFillTint="66"/>
          </w:tcPr>
          <w:p w:rsidR="001363D2" w:rsidRPr="00F879DE" w:rsidRDefault="001363D2" w:rsidP="00F879DE">
            <w:pPr>
              <w:autoSpaceDE w:val="0"/>
              <w:autoSpaceDN w:val="0"/>
              <w:adjustRightInd w:val="0"/>
              <w:rPr>
                <w:rFonts w:ascii="Arial" w:hAnsi="Arial" w:cs="Arial"/>
                <w:b/>
                <w:sz w:val="20"/>
                <w:szCs w:val="20"/>
              </w:rPr>
            </w:pPr>
          </w:p>
        </w:tc>
        <w:tc>
          <w:tcPr>
            <w:tcW w:w="3260" w:type="dxa"/>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Business interruptions</w:t>
            </w:r>
          </w:p>
        </w:tc>
        <w:tc>
          <w:tcPr>
            <w:tcW w:w="4343" w:type="dxa"/>
          </w:tcPr>
          <w:p w:rsidR="001363D2" w:rsidRPr="00F879DE" w:rsidRDefault="001363D2" w:rsidP="00F879DE">
            <w:pPr>
              <w:autoSpaceDE w:val="0"/>
              <w:autoSpaceDN w:val="0"/>
              <w:adjustRightInd w:val="0"/>
              <w:rPr>
                <w:rFonts w:ascii="Arial" w:hAnsi="Arial" w:cs="Arial"/>
                <w:sz w:val="20"/>
                <w:szCs w:val="20"/>
              </w:rPr>
            </w:pPr>
            <w:r w:rsidRPr="00F879DE">
              <w:rPr>
                <w:rFonts w:ascii="Arial" w:hAnsi="Arial" w:cs="Arial"/>
                <w:sz w:val="20"/>
                <w:szCs w:val="20"/>
              </w:rPr>
              <w:t>Approve and implement business continuity management framework</w:t>
            </w:r>
          </w:p>
        </w:tc>
      </w:tr>
    </w:tbl>
    <w:p w:rsidR="001363D2" w:rsidRPr="00F879DE" w:rsidRDefault="001363D2" w:rsidP="00F879DE">
      <w:pPr>
        <w:autoSpaceDE w:val="0"/>
        <w:autoSpaceDN w:val="0"/>
        <w:adjustRightInd w:val="0"/>
        <w:spacing w:after="0" w:line="240" w:lineRule="auto"/>
        <w:rPr>
          <w:rFonts w:ascii="Arial" w:hAnsi="Arial" w:cs="Arial"/>
          <w:sz w:val="20"/>
          <w:szCs w:val="20"/>
        </w:rPr>
      </w:pPr>
    </w:p>
    <w:p w:rsidR="0084743E" w:rsidRPr="00F879DE" w:rsidRDefault="00F232A3" w:rsidP="00F879DE">
      <w:pPr>
        <w:spacing w:after="0" w:line="240" w:lineRule="auto"/>
        <w:rPr>
          <w:rFonts w:ascii="Arial" w:hAnsi="Arial" w:cs="Arial"/>
          <w:b/>
          <w:sz w:val="20"/>
          <w:szCs w:val="20"/>
        </w:rPr>
      </w:pPr>
      <w:r w:rsidRPr="00F879DE">
        <w:rPr>
          <w:rFonts w:ascii="Arial" w:hAnsi="Arial" w:cs="Arial"/>
          <w:b/>
          <w:sz w:val="20"/>
          <w:szCs w:val="20"/>
        </w:rPr>
        <w:t xml:space="preserve">9. </w:t>
      </w:r>
      <w:r w:rsidR="0084743E" w:rsidRPr="00F879DE">
        <w:rPr>
          <w:rFonts w:ascii="Arial" w:hAnsi="Arial" w:cs="Arial"/>
          <w:b/>
          <w:sz w:val="20"/>
          <w:szCs w:val="20"/>
        </w:rPr>
        <w:tab/>
        <w:t>COMMITTEE OBSERVATIONS</w:t>
      </w:r>
    </w:p>
    <w:p w:rsidR="0084743E" w:rsidRPr="00F879DE" w:rsidRDefault="0084743E" w:rsidP="00F879DE">
      <w:pPr>
        <w:spacing w:after="0" w:line="240" w:lineRule="auto"/>
        <w:rPr>
          <w:rFonts w:ascii="Arial" w:hAnsi="Arial" w:cs="Arial"/>
          <w:sz w:val="20"/>
          <w:szCs w:val="20"/>
          <w:lang w:val="en-GB"/>
        </w:rPr>
      </w:pPr>
    </w:p>
    <w:p w:rsidR="0084743E" w:rsidRPr="00F879DE" w:rsidRDefault="0084743E" w:rsidP="00F879DE">
      <w:pPr>
        <w:autoSpaceDE w:val="0"/>
        <w:autoSpaceDN w:val="0"/>
        <w:adjustRightInd w:val="0"/>
        <w:spacing w:after="0" w:line="240" w:lineRule="auto"/>
        <w:rPr>
          <w:rFonts w:ascii="Arial" w:hAnsi="Arial" w:cs="Arial"/>
          <w:sz w:val="20"/>
          <w:szCs w:val="20"/>
          <w:lang w:val="en-GB"/>
        </w:rPr>
      </w:pPr>
      <w:r w:rsidRPr="00F879DE">
        <w:rPr>
          <w:rFonts w:ascii="Arial" w:hAnsi="Arial" w:cs="Arial"/>
          <w:sz w:val="20"/>
          <w:szCs w:val="20"/>
          <w:lang w:val="en-GB"/>
        </w:rPr>
        <w:t>During deliberations with the Department of Military Veterans on 11 May 202</w:t>
      </w:r>
      <w:r w:rsidR="002451C9" w:rsidRPr="00F879DE">
        <w:rPr>
          <w:rFonts w:ascii="Arial" w:hAnsi="Arial" w:cs="Arial"/>
          <w:sz w:val="20"/>
          <w:szCs w:val="20"/>
          <w:lang w:val="en-GB"/>
        </w:rPr>
        <w:t>2</w:t>
      </w:r>
      <w:r w:rsidRPr="00F879DE">
        <w:rPr>
          <w:rFonts w:ascii="Arial" w:hAnsi="Arial" w:cs="Arial"/>
          <w:sz w:val="20"/>
          <w:szCs w:val="20"/>
          <w:lang w:val="en-GB"/>
        </w:rPr>
        <w:t xml:space="preserve">, Members of the PCODMV made several observations related to the budgetary allocation, the performance indicators and the targets in the </w:t>
      </w:r>
      <w:r w:rsidR="00625062" w:rsidRPr="00F879DE">
        <w:rPr>
          <w:rFonts w:ascii="Arial" w:hAnsi="Arial" w:cs="Arial"/>
          <w:sz w:val="20"/>
          <w:szCs w:val="20"/>
          <w:lang w:val="en-GB"/>
        </w:rPr>
        <w:t>APP</w:t>
      </w:r>
      <w:r w:rsidRPr="00F879DE">
        <w:rPr>
          <w:rFonts w:ascii="Arial" w:hAnsi="Arial" w:cs="Arial"/>
          <w:sz w:val="20"/>
          <w:szCs w:val="20"/>
          <w:lang w:val="en-GB"/>
        </w:rPr>
        <w:t xml:space="preserve"> of the Department. The following were noted:</w:t>
      </w:r>
    </w:p>
    <w:p w:rsidR="00517EB0" w:rsidRPr="00F879DE" w:rsidRDefault="003B71B6" w:rsidP="00F879DE">
      <w:pPr>
        <w:pStyle w:val="ListParagraph"/>
        <w:numPr>
          <w:ilvl w:val="0"/>
          <w:numId w:val="20"/>
        </w:numPr>
        <w:autoSpaceDE w:val="0"/>
        <w:autoSpaceDN w:val="0"/>
        <w:adjustRightInd w:val="0"/>
        <w:spacing w:after="0" w:line="240" w:lineRule="auto"/>
        <w:rPr>
          <w:rFonts w:ascii="Arial" w:hAnsi="Arial" w:cs="Arial"/>
          <w:color w:val="000000"/>
          <w:sz w:val="20"/>
          <w:szCs w:val="20"/>
        </w:rPr>
      </w:pPr>
      <w:r w:rsidRPr="00F879DE">
        <w:rPr>
          <w:rFonts w:ascii="Arial" w:hAnsi="Arial" w:cs="Arial"/>
          <w:color w:val="000000"/>
          <w:sz w:val="20"/>
          <w:szCs w:val="20"/>
        </w:rPr>
        <w:t>One of the main concern</w:t>
      </w:r>
      <w:r w:rsidR="002B58B5" w:rsidRPr="00F879DE">
        <w:rPr>
          <w:rFonts w:ascii="Arial" w:hAnsi="Arial" w:cs="Arial"/>
          <w:color w:val="000000"/>
          <w:sz w:val="20"/>
          <w:szCs w:val="20"/>
        </w:rPr>
        <w:t>s</w:t>
      </w:r>
      <w:r w:rsidRPr="00F879DE">
        <w:rPr>
          <w:rFonts w:ascii="Arial" w:hAnsi="Arial" w:cs="Arial"/>
          <w:color w:val="000000"/>
          <w:sz w:val="20"/>
          <w:szCs w:val="20"/>
        </w:rPr>
        <w:t xml:space="preserve"> expressed by the Committee is the access by military veterans and their dependents to the benefits as outlined in Section 5 of the Military Veterans Act. </w:t>
      </w:r>
      <w:r w:rsidR="00255A3D" w:rsidRPr="00F879DE">
        <w:rPr>
          <w:rFonts w:ascii="Arial" w:hAnsi="Arial" w:cs="Arial"/>
          <w:color w:val="000000"/>
          <w:sz w:val="20"/>
          <w:szCs w:val="20"/>
        </w:rPr>
        <w:t xml:space="preserve">As </w:t>
      </w:r>
      <w:r w:rsidRPr="00F879DE">
        <w:rPr>
          <w:rFonts w:ascii="Arial" w:hAnsi="Arial" w:cs="Arial"/>
          <w:color w:val="000000"/>
          <w:sz w:val="20"/>
          <w:szCs w:val="20"/>
        </w:rPr>
        <w:t>the Department plan</w:t>
      </w:r>
      <w:r w:rsidR="00255A3D" w:rsidRPr="00F879DE">
        <w:rPr>
          <w:rFonts w:ascii="Arial" w:hAnsi="Arial" w:cs="Arial"/>
          <w:color w:val="000000"/>
          <w:sz w:val="20"/>
          <w:szCs w:val="20"/>
        </w:rPr>
        <w:t>s</w:t>
      </w:r>
      <w:r w:rsidRPr="00F879DE">
        <w:rPr>
          <w:rFonts w:ascii="Arial" w:hAnsi="Arial" w:cs="Arial"/>
          <w:color w:val="000000"/>
          <w:sz w:val="20"/>
          <w:szCs w:val="20"/>
        </w:rPr>
        <w:t xml:space="preserve"> to decentralise some of its functions to provincial offices, </w:t>
      </w:r>
      <w:r w:rsidR="002B58B5" w:rsidRPr="00F879DE">
        <w:rPr>
          <w:rFonts w:ascii="Arial" w:hAnsi="Arial" w:cs="Arial"/>
          <w:color w:val="000000"/>
          <w:sz w:val="20"/>
          <w:szCs w:val="20"/>
        </w:rPr>
        <w:t>the Committee enquired about the</w:t>
      </w:r>
      <w:r w:rsidRPr="00F879DE">
        <w:rPr>
          <w:rFonts w:ascii="Arial" w:hAnsi="Arial" w:cs="Arial"/>
          <w:color w:val="000000"/>
          <w:sz w:val="20"/>
          <w:szCs w:val="20"/>
        </w:rPr>
        <w:t xml:space="preserve"> functioning and especially capacitation of these offices. The DMV indicated that only two provincial offices are not fully functional but that they are in the process of capacitating </w:t>
      </w:r>
      <w:r w:rsidR="00255A3D" w:rsidRPr="00F879DE">
        <w:rPr>
          <w:rFonts w:ascii="Arial" w:hAnsi="Arial" w:cs="Arial"/>
          <w:color w:val="000000"/>
          <w:sz w:val="20"/>
          <w:szCs w:val="20"/>
        </w:rPr>
        <w:t xml:space="preserve">and resourcing </w:t>
      </w:r>
      <w:r w:rsidRPr="00F879DE">
        <w:rPr>
          <w:rFonts w:ascii="Arial" w:hAnsi="Arial" w:cs="Arial"/>
          <w:color w:val="000000"/>
          <w:sz w:val="20"/>
          <w:szCs w:val="20"/>
        </w:rPr>
        <w:t xml:space="preserve">these offices. </w:t>
      </w:r>
    </w:p>
    <w:p w:rsidR="002B58B5" w:rsidRPr="00F879DE" w:rsidRDefault="00517EB0" w:rsidP="00F879DE">
      <w:pPr>
        <w:pStyle w:val="ListParagraph"/>
        <w:numPr>
          <w:ilvl w:val="0"/>
          <w:numId w:val="20"/>
        </w:numPr>
        <w:autoSpaceDE w:val="0"/>
        <w:autoSpaceDN w:val="0"/>
        <w:adjustRightInd w:val="0"/>
        <w:spacing w:after="0" w:line="240" w:lineRule="auto"/>
        <w:rPr>
          <w:rFonts w:ascii="Arial" w:hAnsi="Arial" w:cs="Arial"/>
          <w:i/>
          <w:color w:val="000000"/>
          <w:sz w:val="20"/>
          <w:szCs w:val="20"/>
        </w:rPr>
      </w:pPr>
      <w:r w:rsidRPr="00F879DE">
        <w:rPr>
          <w:rFonts w:ascii="Arial" w:hAnsi="Arial" w:cs="Arial"/>
          <w:color w:val="000000"/>
          <w:sz w:val="20"/>
          <w:szCs w:val="20"/>
        </w:rPr>
        <w:t>Concern was once again raised about the vacancies</w:t>
      </w:r>
      <w:r w:rsidR="00625062" w:rsidRPr="00F879DE">
        <w:rPr>
          <w:rFonts w:ascii="Arial" w:hAnsi="Arial" w:cs="Arial"/>
          <w:color w:val="000000"/>
          <w:sz w:val="20"/>
          <w:szCs w:val="20"/>
        </w:rPr>
        <w:t>,</w:t>
      </w:r>
      <w:r w:rsidRPr="00F879DE">
        <w:rPr>
          <w:rFonts w:ascii="Arial" w:hAnsi="Arial" w:cs="Arial"/>
          <w:color w:val="000000"/>
          <w:sz w:val="20"/>
          <w:szCs w:val="20"/>
        </w:rPr>
        <w:t xml:space="preserve"> </w:t>
      </w:r>
      <w:r w:rsidR="00625062" w:rsidRPr="00F879DE">
        <w:rPr>
          <w:rFonts w:ascii="Arial" w:hAnsi="Arial" w:cs="Arial"/>
          <w:color w:val="000000"/>
          <w:sz w:val="20"/>
          <w:szCs w:val="20"/>
        </w:rPr>
        <w:t xml:space="preserve">especially </w:t>
      </w:r>
      <w:r w:rsidRPr="00F879DE">
        <w:rPr>
          <w:rFonts w:ascii="Arial" w:hAnsi="Arial" w:cs="Arial"/>
          <w:color w:val="000000"/>
          <w:sz w:val="20"/>
          <w:szCs w:val="20"/>
        </w:rPr>
        <w:t>at senior management level</w:t>
      </w:r>
      <w:r w:rsidR="00625062" w:rsidRPr="00F879DE">
        <w:rPr>
          <w:rFonts w:ascii="Arial" w:hAnsi="Arial" w:cs="Arial"/>
          <w:color w:val="000000"/>
          <w:sz w:val="20"/>
          <w:szCs w:val="20"/>
        </w:rPr>
        <w:t>,</w:t>
      </w:r>
      <w:r w:rsidRPr="00F879DE">
        <w:rPr>
          <w:rFonts w:ascii="Arial" w:hAnsi="Arial" w:cs="Arial"/>
          <w:color w:val="000000"/>
          <w:sz w:val="20"/>
          <w:szCs w:val="20"/>
        </w:rPr>
        <w:t xml:space="preserve"> and in particular the lengthy periods it takes to fill these positions. The Department agreed with this assertion and admit that they have a high turn-around of personnel where people sometimes just stay a few months. They plan to host team b</w:t>
      </w:r>
      <w:r w:rsidR="00D53396" w:rsidRPr="00F879DE">
        <w:rPr>
          <w:rFonts w:ascii="Arial" w:hAnsi="Arial" w:cs="Arial"/>
          <w:color w:val="000000"/>
          <w:sz w:val="20"/>
          <w:szCs w:val="20"/>
        </w:rPr>
        <w:t xml:space="preserve">uilding </w:t>
      </w:r>
      <w:r w:rsidRPr="00F879DE">
        <w:rPr>
          <w:rFonts w:ascii="Arial" w:hAnsi="Arial" w:cs="Arial"/>
          <w:color w:val="000000"/>
          <w:sz w:val="20"/>
          <w:szCs w:val="20"/>
        </w:rPr>
        <w:t xml:space="preserve">sessions to try and address this situation and </w:t>
      </w:r>
      <w:r w:rsidR="00625062" w:rsidRPr="00F879DE">
        <w:rPr>
          <w:rFonts w:ascii="Arial" w:hAnsi="Arial" w:cs="Arial"/>
          <w:color w:val="000000"/>
          <w:sz w:val="20"/>
          <w:szCs w:val="20"/>
        </w:rPr>
        <w:t xml:space="preserve">improve </w:t>
      </w:r>
      <w:r w:rsidRPr="00F879DE">
        <w:rPr>
          <w:rFonts w:ascii="Arial" w:hAnsi="Arial" w:cs="Arial"/>
          <w:color w:val="000000"/>
          <w:sz w:val="20"/>
          <w:szCs w:val="20"/>
        </w:rPr>
        <w:t xml:space="preserve">how the various employees relate to one another. </w:t>
      </w:r>
    </w:p>
    <w:p w:rsidR="005F37B4" w:rsidRPr="00F879DE" w:rsidRDefault="00D53396" w:rsidP="00F879DE">
      <w:pPr>
        <w:pStyle w:val="ListParagraph"/>
        <w:numPr>
          <w:ilvl w:val="0"/>
          <w:numId w:val="20"/>
        </w:numPr>
        <w:autoSpaceDE w:val="0"/>
        <w:autoSpaceDN w:val="0"/>
        <w:adjustRightInd w:val="0"/>
        <w:spacing w:after="0" w:line="240" w:lineRule="auto"/>
        <w:rPr>
          <w:rFonts w:ascii="Arial" w:hAnsi="Arial" w:cs="Arial"/>
          <w:i/>
          <w:color w:val="000000"/>
          <w:sz w:val="20"/>
          <w:szCs w:val="20"/>
        </w:rPr>
      </w:pPr>
      <w:r w:rsidRPr="00F879DE">
        <w:rPr>
          <w:rFonts w:ascii="Arial" w:hAnsi="Arial" w:cs="Arial"/>
          <w:color w:val="000000"/>
          <w:sz w:val="20"/>
          <w:szCs w:val="20"/>
        </w:rPr>
        <w:t xml:space="preserve">The AGSA expressed concern on how the Department manage its moveable assets and the Committee enquired about the progress to address these concerns and whether there are any challenges in this regard. It was indicated that an </w:t>
      </w:r>
      <w:r w:rsidR="005F37B4" w:rsidRPr="00F879DE">
        <w:rPr>
          <w:rFonts w:ascii="Arial" w:hAnsi="Arial" w:cs="Arial"/>
          <w:color w:val="000000"/>
          <w:sz w:val="20"/>
          <w:szCs w:val="20"/>
        </w:rPr>
        <w:t>external</w:t>
      </w:r>
      <w:r w:rsidRPr="00F879DE">
        <w:rPr>
          <w:rFonts w:ascii="Arial" w:hAnsi="Arial" w:cs="Arial"/>
          <w:color w:val="000000"/>
          <w:sz w:val="20"/>
          <w:szCs w:val="20"/>
        </w:rPr>
        <w:t xml:space="preserve"> service provider is </w:t>
      </w:r>
      <w:r w:rsidR="005F37B4" w:rsidRPr="00F879DE">
        <w:rPr>
          <w:rFonts w:ascii="Arial" w:hAnsi="Arial" w:cs="Arial"/>
          <w:color w:val="000000"/>
          <w:sz w:val="20"/>
          <w:szCs w:val="20"/>
        </w:rPr>
        <w:t>assisting</w:t>
      </w:r>
      <w:r w:rsidRPr="00F879DE">
        <w:rPr>
          <w:rFonts w:ascii="Arial" w:hAnsi="Arial" w:cs="Arial"/>
          <w:color w:val="000000"/>
          <w:sz w:val="20"/>
          <w:szCs w:val="20"/>
        </w:rPr>
        <w:t xml:space="preserve"> the Department in this regard and that</w:t>
      </w:r>
      <w:r w:rsidR="002B58B5" w:rsidRPr="00F879DE">
        <w:rPr>
          <w:rFonts w:ascii="Arial" w:hAnsi="Arial" w:cs="Arial"/>
          <w:color w:val="000000"/>
          <w:sz w:val="20"/>
          <w:szCs w:val="20"/>
        </w:rPr>
        <w:t xml:space="preserve"> the Department </w:t>
      </w:r>
      <w:r w:rsidRPr="00F879DE">
        <w:rPr>
          <w:rFonts w:ascii="Arial" w:hAnsi="Arial" w:cs="Arial"/>
          <w:color w:val="000000"/>
          <w:sz w:val="20"/>
          <w:szCs w:val="20"/>
        </w:rPr>
        <w:t>has also established an internal asset verification team, but that the H</w:t>
      </w:r>
      <w:r w:rsidR="00625062" w:rsidRPr="00F879DE">
        <w:rPr>
          <w:rFonts w:ascii="Arial" w:hAnsi="Arial" w:cs="Arial"/>
          <w:color w:val="000000"/>
          <w:sz w:val="20"/>
          <w:szCs w:val="20"/>
        </w:rPr>
        <w:t xml:space="preserve">uman </w:t>
      </w:r>
      <w:r w:rsidRPr="00F879DE">
        <w:rPr>
          <w:rFonts w:ascii="Arial" w:hAnsi="Arial" w:cs="Arial"/>
          <w:color w:val="000000"/>
          <w:sz w:val="20"/>
          <w:szCs w:val="20"/>
        </w:rPr>
        <w:t>R</w:t>
      </w:r>
      <w:r w:rsidR="00625062" w:rsidRPr="00F879DE">
        <w:rPr>
          <w:rFonts w:ascii="Arial" w:hAnsi="Arial" w:cs="Arial"/>
          <w:color w:val="000000"/>
          <w:sz w:val="20"/>
          <w:szCs w:val="20"/>
        </w:rPr>
        <w:t>esources</w:t>
      </w:r>
      <w:r w:rsidRPr="00F879DE">
        <w:rPr>
          <w:rFonts w:ascii="Arial" w:hAnsi="Arial" w:cs="Arial"/>
          <w:color w:val="000000"/>
          <w:sz w:val="20"/>
          <w:szCs w:val="20"/>
        </w:rPr>
        <w:t xml:space="preserve"> capacity hampers them to speedily clear these queries. </w:t>
      </w:r>
    </w:p>
    <w:p w:rsidR="005F37B4" w:rsidRPr="00F879DE" w:rsidRDefault="005F37B4"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 xml:space="preserve">Members expressed concern around the roll-out of the pensions as it was previously indicated that it would commence in April 2022, as well </w:t>
      </w:r>
      <w:r w:rsidR="00625062" w:rsidRPr="00F879DE">
        <w:rPr>
          <w:rFonts w:ascii="Arial" w:hAnsi="Arial" w:cs="Arial"/>
          <w:color w:val="000000"/>
          <w:sz w:val="20"/>
          <w:szCs w:val="20"/>
        </w:rPr>
        <w:t xml:space="preserve">as </w:t>
      </w:r>
      <w:r w:rsidRPr="00F879DE">
        <w:rPr>
          <w:rFonts w:ascii="Arial" w:hAnsi="Arial" w:cs="Arial"/>
          <w:color w:val="000000"/>
          <w:sz w:val="20"/>
          <w:szCs w:val="20"/>
        </w:rPr>
        <w:t xml:space="preserve">whether this has been properly budgeted for and the quantum that can be expected. It was explained that a principal monthly amount of R4 942 has been determined and that this will be linked to annual </w:t>
      </w:r>
      <w:r w:rsidR="00CB3852" w:rsidRPr="00F879DE">
        <w:rPr>
          <w:rFonts w:ascii="Arial" w:hAnsi="Arial" w:cs="Arial"/>
          <w:color w:val="000000"/>
          <w:sz w:val="20"/>
          <w:szCs w:val="20"/>
        </w:rPr>
        <w:t xml:space="preserve">adjustments as </w:t>
      </w:r>
      <w:r w:rsidR="007F78BB" w:rsidRPr="00F879DE">
        <w:rPr>
          <w:rFonts w:ascii="Arial" w:hAnsi="Arial" w:cs="Arial"/>
          <w:color w:val="000000"/>
          <w:sz w:val="20"/>
          <w:szCs w:val="20"/>
        </w:rPr>
        <w:t>announced</w:t>
      </w:r>
      <w:r w:rsidR="00CB3852" w:rsidRPr="00F879DE">
        <w:rPr>
          <w:rFonts w:ascii="Arial" w:hAnsi="Arial" w:cs="Arial"/>
          <w:color w:val="000000"/>
          <w:sz w:val="20"/>
          <w:szCs w:val="20"/>
        </w:rPr>
        <w:t xml:space="preserve"> by the Minister of Finance. </w:t>
      </w:r>
    </w:p>
    <w:p w:rsidR="002D39F8" w:rsidRPr="00F879DE" w:rsidRDefault="002D39F8"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Consequence Management</w:t>
      </w:r>
      <w:r w:rsidR="00625062" w:rsidRPr="00F879DE">
        <w:rPr>
          <w:rFonts w:ascii="Arial" w:hAnsi="Arial" w:cs="Arial"/>
          <w:color w:val="000000"/>
          <w:sz w:val="20"/>
          <w:szCs w:val="20"/>
        </w:rPr>
        <w:t>,</w:t>
      </w:r>
      <w:r w:rsidRPr="00F879DE">
        <w:rPr>
          <w:rFonts w:ascii="Arial" w:hAnsi="Arial" w:cs="Arial"/>
          <w:color w:val="000000"/>
          <w:sz w:val="20"/>
          <w:szCs w:val="20"/>
        </w:rPr>
        <w:t xml:space="preserve"> especially regarding implicated officials</w:t>
      </w:r>
      <w:r w:rsidR="00625062" w:rsidRPr="00F879DE">
        <w:rPr>
          <w:rFonts w:ascii="Arial" w:hAnsi="Arial" w:cs="Arial"/>
          <w:color w:val="000000"/>
          <w:sz w:val="20"/>
          <w:szCs w:val="20"/>
        </w:rPr>
        <w:t>,</w:t>
      </w:r>
      <w:r w:rsidRPr="00F879DE">
        <w:rPr>
          <w:rFonts w:ascii="Arial" w:hAnsi="Arial" w:cs="Arial"/>
          <w:color w:val="000000"/>
          <w:sz w:val="20"/>
          <w:szCs w:val="20"/>
        </w:rPr>
        <w:t xml:space="preserve"> was noted as a crucial aspect of good governance and</w:t>
      </w:r>
      <w:r w:rsidR="00625062" w:rsidRPr="00F879DE">
        <w:rPr>
          <w:rFonts w:ascii="Arial" w:hAnsi="Arial" w:cs="Arial"/>
          <w:color w:val="000000"/>
          <w:sz w:val="20"/>
          <w:szCs w:val="20"/>
        </w:rPr>
        <w:t>,</w:t>
      </w:r>
      <w:r w:rsidRPr="00F879DE">
        <w:rPr>
          <w:rFonts w:ascii="Arial" w:hAnsi="Arial" w:cs="Arial"/>
          <w:color w:val="000000"/>
          <w:sz w:val="20"/>
          <w:szCs w:val="20"/>
        </w:rPr>
        <w:t xml:space="preserve"> in this regard, questions were raised around the continued suspension of </w:t>
      </w:r>
      <w:r w:rsidR="002B58B5" w:rsidRPr="00F879DE">
        <w:rPr>
          <w:rFonts w:ascii="Arial" w:hAnsi="Arial" w:cs="Arial"/>
          <w:color w:val="000000"/>
          <w:sz w:val="20"/>
          <w:szCs w:val="20"/>
        </w:rPr>
        <w:lastRenderedPageBreak/>
        <w:t xml:space="preserve">the </w:t>
      </w:r>
      <w:r w:rsidRPr="00F879DE">
        <w:rPr>
          <w:rFonts w:ascii="Arial" w:hAnsi="Arial" w:cs="Arial"/>
          <w:color w:val="000000"/>
          <w:sz w:val="20"/>
          <w:szCs w:val="20"/>
        </w:rPr>
        <w:t xml:space="preserve">four senior officials. The response was that this issue is being addressed and that they are hopeful it will be concluded in the near future. </w:t>
      </w:r>
    </w:p>
    <w:p w:rsidR="00737B23" w:rsidRPr="00F879DE" w:rsidRDefault="00737B23"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 xml:space="preserve">Concern was raised </w:t>
      </w:r>
      <w:r w:rsidR="00C5608F" w:rsidRPr="00F879DE">
        <w:rPr>
          <w:rFonts w:ascii="Arial" w:hAnsi="Arial" w:cs="Arial"/>
          <w:color w:val="000000"/>
          <w:sz w:val="20"/>
          <w:szCs w:val="20"/>
        </w:rPr>
        <w:t xml:space="preserve">about </w:t>
      </w:r>
      <w:r w:rsidRPr="00F879DE">
        <w:rPr>
          <w:rFonts w:ascii="Arial" w:hAnsi="Arial" w:cs="Arial"/>
          <w:color w:val="000000"/>
          <w:sz w:val="20"/>
          <w:szCs w:val="20"/>
        </w:rPr>
        <w:t xml:space="preserve">the lack of capacity in the Internal Audit </w:t>
      </w:r>
      <w:r w:rsidR="007032B1" w:rsidRPr="00F879DE">
        <w:rPr>
          <w:rFonts w:ascii="Arial" w:hAnsi="Arial" w:cs="Arial"/>
          <w:color w:val="000000"/>
          <w:sz w:val="20"/>
          <w:szCs w:val="20"/>
        </w:rPr>
        <w:t xml:space="preserve">(IA) </w:t>
      </w:r>
      <w:r w:rsidRPr="00F879DE">
        <w:rPr>
          <w:rFonts w:ascii="Arial" w:hAnsi="Arial" w:cs="Arial"/>
          <w:color w:val="000000"/>
          <w:sz w:val="20"/>
          <w:szCs w:val="20"/>
        </w:rPr>
        <w:t xml:space="preserve">function and that the </w:t>
      </w:r>
      <w:r w:rsidR="007032B1" w:rsidRPr="00F879DE">
        <w:rPr>
          <w:rFonts w:ascii="Arial" w:hAnsi="Arial" w:cs="Arial"/>
          <w:color w:val="000000"/>
          <w:sz w:val="20"/>
          <w:szCs w:val="20"/>
        </w:rPr>
        <w:t xml:space="preserve">IA functionary is the acting CFO, and especially whether this issue is being addressed with the urgency it deserves. It was pointed out that this issue is being addressed as the Department is in agreement that the potential conflict of interest in this case, is a concern and </w:t>
      </w:r>
      <w:r w:rsidR="00C5608F" w:rsidRPr="00F879DE">
        <w:rPr>
          <w:rFonts w:ascii="Arial" w:hAnsi="Arial" w:cs="Arial"/>
          <w:color w:val="000000"/>
          <w:sz w:val="20"/>
          <w:szCs w:val="20"/>
        </w:rPr>
        <w:t xml:space="preserve">that it </w:t>
      </w:r>
      <w:r w:rsidR="007032B1" w:rsidRPr="00F879DE">
        <w:rPr>
          <w:rFonts w:ascii="Arial" w:hAnsi="Arial" w:cs="Arial"/>
          <w:color w:val="000000"/>
          <w:sz w:val="20"/>
          <w:szCs w:val="20"/>
        </w:rPr>
        <w:t>will be</w:t>
      </w:r>
      <w:r w:rsidR="00C5608F" w:rsidRPr="00F879DE">
        <w:rPr>
          <w:rFonts w:ascii="Arial" w:hAnsi="Arial" w:cs="Arial"/>
          <w:color w:val="000000"/>
          <w:sz w:val="20"/>
          <w:szCs w:val="20"/>
        </w:rPr>
        <w:t xml:space="preserve"> addressed by </w:t>
      </w:r>
      <w:r w:rsidR="007032B1" w:rsidRPr="00F879DE">
        <w:rPr>
          <w:rFonts w:ascii="Arial" w:hAnsi="Arial" w:cs="Arial"/>
          <w:color w:val="000000"/>
          <w:sz w:val="20"/>
          <w:szCs w:val="20"/>
        </w:rPr>
        <w:t>utilising the IA Executive in another position for a year</w:t>
      </w:r>
      <w:r w:rsidR="00C5608F" w:rsidRPr="00F879DE">
        <w:rPr>
          <w:rFonts w:ascii="Arial" w:hAnsi="Arial" w:cs="Arial"/>
          <w:color w:val="000000"/>
          <w:sz w:val="20"/>
          <w:szCs w:val="20"/>
        </w:rPr>
        <w:t xml:space="preserve"> – the so-called </w:t>
      </w:r>
      <w:r w:rsidR="00055A2D" w:rsidRPr="00F879DE">
        <w:rPr>
          <w:rFonts w:ascii="Arial" w:hAnsi="Arial" w:cs="Arial"/>
          <w:color w:val="000000"/>
          <w:sz w:val="20"/>
          <w:szCs w:val="20"/>
        </w:rPr>
        <w:t>‘</w:t>
      </w:r>
      <w:r w:rsidR="00C5608F" w:rsidRPr="00F879DE">
        <w:rPr>
          <w:rFonts w:ascii="Arial" w:hAnsi="Arial" w:cs="Arial"/>
          <w:color w:val="000000"/>
          <w:sz w:val="20"/>
          <w:szCs w:val="20"/>
        </w:rPr>
        <w:t>cool off period</w:t>
      </w:r>
      <w:r w:rsidR="00055A2D" w:rsidRPr="00F879DE">
        <w:rPr>
          <w:rFonts w:ascii="Arial" w:hAnsi="Arial" w:cs="Arial"/>
          <w:color w:val="000000"/>
          <w:sz w:val="20"/>
          <w:szCs w:val="20"/>
        </w:rPr>
        <w:t>’</w:t>
      </w:r>
      <w:r w:rsidR="00C5608F" w:rsidRPr="00F879DE">
        <w:rPr>
          <w:rFonts w:ascii="Arial" w:hAnsi="Arial" w:cs="Arial"/>
          <w:color w:val="000000"/>
          <w:sz w:val="20"/>
          <w:szCs w:val="20"/>
        </w:rPr>
        <w:t xml:space="preserve"> - </w:t>
      </w:r>
      <w:r w:rsidR="007032B1" w:rsidRPr="00F879DE">
        <w:rPr>
          <w:rFonts w:ascii="Arial" w:hAnsi="Arial" w:cs="Arial"/>
          <w:color w:val="000000"/>
          <w:sz w:val="20"/>
          <w:szCs w:val="20"/>
        </w:rPr>
        <w:t xml:space="preserve"> to address this concern.</w:t>
      </w:r>
    </w:p>
    <w:p w:rsidR="0067405A" w:rsidRPr="00F879DE" w:rsidRDefault="00C5608F"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 xml:space="preserve">The Committee found it problematic </w:t>
      </w:r>
      <w:r w:rsidR="0067405A" w:rsidRPr="00F879DE">
        <w:rPr>
          <w:rFonts w:ascii="Arial" w:hAnsi="Arial" w:cs="Arial"/>
          <w:color w:val="000000"/>
          <w:sz w:val="20"/>
          <w:szCs w:val="20"/>
        </w:rPr>
        <w:t xml:space="preserve">that the Department reduces targets due to various reasons, but do not inform the Committee what the consequences and impact are on the beneficiaries, especially since it is clear that the beneficiaries </w:t>
      </w:r>
      <w:r w:rsidR="0023197E" w:rsidRPr="00F879DE">
        <w:rPr>
          <w:rFonts w:ascii="Arial" w:hAnsi="Arial" w:cs="Arial"/>
          <w:color w:val="000000"/>
          <w:sz w:val="20"/>
          <w:szCs w:val="20"/>
        </w:rPr>
        <w:t xml:space="preserve">are still in </w:t>
      </w:r>
      <w:r w:rsidR="00A1180E" w:rsidRPr="00F879DE">
        <w:rPr>
          <w:rFonts w:ascii="Arial" w:hAnsi="Arial" w:cs="Arial"/>
          <w:color w:val="000000"/>
          <w:sz w:val="20"/>
          <w:szCs w:val="20"/>
        </w:rPr>
        <w:t xml:space="preserve">dire </w:t>
      </w:r>
      <w:r w:rsidR="0023197E" w:rsidRPr="00F879DE">
        <w:rPr>
          <w:rFonts w:ascii="Arial" w:hAnsi="Arial" w:cs="Arial"/>
          <w:color w:val="000000"/>
          <w:sz w:val="20"/>
          <w:szCs w:val="20"/>
        </w:rPr>
        <w:t xml:space="preserve">need of these benefits. </w:t>
      </w:r>
    </w:p>
    <w:p w:rsidR="002D416D" w:rsidRPr="00F879DE" w:rsidRDefault="002D416D"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 xml:space="preserve">Clarification was sought around the funding of especially school and higher education students, the different kinds of funding between public and private institutions and how it is ensured that students referred </w:t>
      </w:r>
      <w:r w:rsidR="000E6DF8" w:rsidRPr="00F879DE">
        <w:rPr>
          <w:rFonts w:ascii="Arial" w:hAnsi="Arial" w:cs="Arial"/>
          <w:color w:val="000000"/>
          <w:sz w:val="20"/>
          <w:szCs w:val="20"/>
        </w:rPr>
        <w:t xml:space="preserve">by </w:t>
      </w:r>
      <w:r w:rsidRPr="00F879DE">
        <w:rPr>
          <w:rFonts w:ascii="Arial" w:hAnsi="Arial" w:cs="Arial"/>
          <w:color w:val="000000"/>
          <w:sz w:val="20"/>
          <w:szCs w:val="20"/>
        </w:rPr>
        <w:t>the DMV to NSFAS</w:t>
      </w:r>
      <w:r w:rsidR="00A1180E" w:rsidRPr="00F879DE">
        <w:rPr>
          <w:rFonts w:ascii="Arial" w:hAnsi="Arial" w:cs="Arial"/>
          <w:color w:val="000000"/>
          <w:sz w:val="20"/>
          <w:szCs w:val="20"/>
        </w:rPr>
        <w:t>,</w:t>
      </w:r>
      <w:r w:rsidRPr="00F879DE">
        <w:rPr>
          <w:rFonts w:ascii="Arial" w:hAnsi="Arial" w:cs="Arial"/>
          <w:color w:val="000000"/>
          <w:sz w:val="20"/>
          <w:szCs w:val="20"/>
        </w:rPr>
        <w:t xml:space="preserve"> are effectively being taken care of. While indicating the different amounts being paid to the different institutions, the Department acknowledged there were backlogs in payments to NSFAS but </w:t>
      </w:r>
      <w:r w:rsidR="00A1180E" w:rsidRPr="00F879DE">
        <w:rPr>
          <w:rFonts w:ascii="Arial" w:hAnsi="Arial" w:cs="Arial"/>
          <w:color w:val="000000"/>
          <w:sz w:val="20"/>
          <w:szCs w:val="20"/>
        </w:rPr>
        <w:t xml:space="preserve">stressed </w:t>
      </w:r>
      <w:r w:rsidRPr="00F879DE">
        <w:rPr>
          <w:rFonts w:ascii="Arial" w:hAnsi="Arial" w:cs="Arial"/>
          <w:color w:val="000000"/>
          <w:sz w:val="20"/>
          <w:szCs w:val="20"/>
        </w:rPr>
        <w:t xml:space="preserve">that they are in the process of addressing it. </w:t>
      </w:r>
    </w:p>
    <w:p w:rsidR="00055A2D" w:rsidRPr="00F879DE" w:rsidRDefault="00055A2D"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Members raised questions around the capacity of the DMV to look after the needs of learners and children of military veterans with special needs. It was indicated that these learners and children are provided for and</w:t>
      </w:r>
      <w:r w:rsidR="00A1180E" w:rsidRPr="00F879DE">
        <w:rPr>
          <w:rFonts w:ascii="Arial" w:hAnsi="Arial" w:cs="Arial"/>
          <w:color w:val="000000"/>
          <w:sz w:val="20"/>
          <w:szCs w:val="20"/>
        </w:rPr>
        <w:t xml:space="preserve"> where applicable, </w:t>
      </w:r>
      <w:r w:rsidRPr="00F879DE">
        <w:rPr>
          <w:rFonts w:ascii="Arial" w:hAnsi="Arial" w:cs="Arial"/>
          <w:color w:val="000000"/>
          <w:sz w:val="20"/>
          <w:szCs w:val="20"/>
        </w:rPr>
        <w:t xml:space="preserve">increased payments are facilitated through the </w:t>
      </w:r>
      <w:r w:rsidR="007F78BB" w:rsidRPr="00F879DE">
        <w:rPr>
          <w:rFonts w:ascii="Arial" w:hAnsi="Arial" w:cs="Arial"/>
          <w:color w:val="000000"/>
          <w:sz w:val="20"/>
          <w:szCs w:val="20"/>
        </w:rPr>
        <w:t xml:space="preserve">Accounting </w:t>
      </w:r>
      <w:r w:rsidRPr="00F879DE">
        <w:rPr>
          <w:rFonts w:ascii="Arial" w:hAnsi="Arial" w:cs="Arial"/>
          <w:color w:val="000000"/>
          <w:sz w:val="20"/>
          <w:szCs w:val="20"/>
        </w:rPr>
        <w:t>Officer’s approval.</w:t>
      </w:r>
    </w:p>
    <w:p w:rsidR="00B15979" w:rsidRPr="00F879DE" w:rsidRDefault="00B15979"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 xml:space="preserve">The Committee noted the concerns raised by the Accounting Officer regarding the Department’s interaction with the </w:t>
      </w:r>
      <w:r w:rsidR="00A1180E" w:rsidRPr="00F879DE">
        <w:rPr>
          <w:rFonts w:ascii="Arial" w:hAnsi="Arial" w:cs="Arial"/>
          <w:color w:val="000000"/>
          <w:sz w:val="20"/>
          <w:szCs w:val="20"/>
        </w:rPr>
        <w:t xml:space="preserve">Department’s </w:t>
      </w:r>
      <w:r w:rsidRPr="00F879DE">
        <w:rPr>
          <w:rFonts w:ascii="Arial" w:hAnsi="Arial" w:cs="Arial"/>
          <w:color w:val="000000"/>
          <w:sz w:val="20"/>
          <w:szCs w:val="20"/>
        </w:rPr>
        <w:t xml:space="preserve">Executive Authority in relation to concurrence between the two parties. </w:t>
      </w:r>
    </w:p>
    <w:p w:rsidR="00C07630" w:rsidRPr="00F879DE" w:rsidRDefault="00C07630"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 xml:space="preserve">In relation to the District Development Model, concern was expressed that the Department is not very clear about its role </w:t>
      </w:r>
      <w:r w:rsidR="00BA78D7" w:rsidRPr="00F879DE">
        <w:rPr>
          <w:rFonts w:ascii="Arial" w:hAnsi="Arial" w:cs="Arial"/>
          <w:color w:val="000000"/>
          <w:sz w:val="20"/>
          <w:szCs w:val="20"/>
        </w:rPr>
        <w:t xml:space="preserve">and plans </w:t>
      </w:r>
      <w:r w:rsidRPr="00F879DE">
        <w:rPr>
          <w:rFonts w:ascii="Arial" w:hAnsi="Arial" w:cs="Arial"/>
          <w:color w:val="000000"/>
          <w:sz w:val="20"/>
          <w:szCs w:val="20"/>
        </w:rPr>
        <w:t>in this regard and</w:t>
      </w:r>
      <w:r w:rsidR="00055A2D" w:rsidRPr="00F879DE">
        <w:rPr>
          <w:rFonts w:ascii="Arial" w:hAnsi="Arial" w:cs="Arial"/>
          <w:color w:val="000000"/>
          <w:sz w:val="20"/>
          <w:szCs w:val="20"/>
        </w:rPr>
        <w:t>,</w:t>
      </w:r>
      <w:r w:rsidRPr="00F879DE">
        <w:rPr>
          <w:rFonts w:ascii="Arial" w:hAnsi="Arial" w:cs="Arial"/>
          <w:color w:val="000000"/>
          <w:sz w:val="20"/>
          <w:szCs w:val="20"/>
        </w:rPr>
        <w:t xml:space="preserve"> in particular</w:t>
      </w:r>
      <w:r w:rsidR="00055A2D" w:rsidRPr="00F879DE">
        <w:rPr>
          <w:rFonts w:ascii="Arial" w:hAnsi="Arial" w:cs="Arial"/>
          <w:color w:val="000000"/>
          <w:sz w:val="20"/>
          <w:szCs w:val="20"/>
        </w:rPr>
        <w:t>,</w:t>
      </w:r>
      <w:r w:rsidRPr="00F879DE">
        <w:rPr>
          <w:rFonts w:ascii="Arial" w:hAnsi="Arial" w:cs="Arial"/>
          <w:color w:val="000000"/>
          <w:sz w:val="20"/>
          <w:szCs w:val="20"/>
        </w:rPr>
        <w:t xml:space="preserve"> how to engage </w:t>
      </w:r>
      <w:r w:rsidR="00BA78D7" w:rsidRPr="00F879DE">
        <w:rPr>
          <w:rFonts w:ascii="Arial" w:hAnsi="Arial" w:cs="Arial"/>
          <w:color w:val="000000"/>
          <w:sz w:val="20"/>
          <w:szCs w:val="20"/>
        </w:rPr>
        <w:t>municipalities</w:t>
      </w:r>
      <w:r w:rsidRPr="00F879DE">
        <w:rPr>
          <w:rFonts w:ascii="Arial" w:hAnsi="Arial" w:cs="Arial"/>
          <w:color w:val="000000"/>
          <w:sz w:val="20"/>
          <w:szCs w:val="20"/>
        </w:rPr>
        <w:t>, as such plans</w:t>
      </w:r>
      <w:r w:rsidR="00BA78D7" w:rsidRPr="00F879DE">
        <w:rPr>
          <w:rFonts w:ascii="Arial" w:hAnsi="Arial" w:cs="Arial"/>
          <w:color w:val="000000"/>
          <w:sz w:val="20"/>
          <w:szCs w:val="20"/>
        </w:rPr>
        <w:t xml:space="preserve"> need to manifest clearly in the relevant Integrated Development Plans of municipalities. </w:t>
      </w:r>
    </w:p>
    <w:p w:rsidR="00BA78D7" w:rsidRPr="00F879DE" w:rsidRDefault="00BA78D7" w:rsidP="00F879DE">
      <w:pPr>
        <w:pStyle w:val="ListParagraph"/>
        <w:numPr>
          <w:ilvl w:val="0"/>
          <w:numId w:val="20"/>
        </w:numPr>
        <w:spacing w:after="0" w:line="240" w:lineRule="auto"/>
        <w:rPr>
          <w:rFonts w:ascii="Arial" w:hAnsi="Arial" w:cs="Arial"/>
          <w:color w:val="000000"/>
          <w:sz w:val="20"/>
          <w:szCs w:val="20"/>
        </w:rPr>
      </w:pPr>
      <w:r w:rsidRPr="00F879DE">
        <w:rPr>
          <w:rFonts w:ascii="Arial" w:hAnsi="Arial" w:cs="Arial"/>
          <w:color w:val="000000"/>
          <w:sz w:val="20"/>
          <w:szCs w:val="20"/>
        </w:rPr>
        <w:t xml:space="preserve">Questions were raised around the application of the means test as this is a statutory requirement to deliver benefits to military veterans. The response was that the military veteran organisations have objected to its implementation and </w:t>
      </w:r>
      <w:r w:rsidR="00BF6C9F" w:rsidRPr="00F879DE">
        <w:rPr>
          <w:rFonts w:ascii="Arial" w:hAnsi="Arial" w:cs="Arial"/>
          <w:color w:val="000000"/>
          <w:sz w:val="20"/>
          <w:szCs w:val="20"/>
        </w:rPr>
        <w:t xml:space="preserve">that it is currently </w:t>
      </w:r>
      <w:r w:rsidRPr="00F879DE">
        <w:rPr>
          <w:rFonts w:ascii="Arial" w:hAnsi="Arial" w:cs="Arial"/>
          <w:color w:val="000000"/>
          <w:sz w:val="20"/>
          <w:szCs w:val="20"/>
        </w:rPr>
        <w:t xml:space="preserve">not being implemented, but will be addressed in the amendment </w:t>
      </w:r>
      <w:r w:rsidR="00A1180E" w:rsidRPr="00F879DE">
        <w:rPr>
          <w:rFonts w:ascii="Arial" w:hAnsi="Arial" w:cs="Arial"/>
          <w:color w:val="000000"/>
          <w:sz w:val="20"/>
          <w:szCs w:val="20"/>
        </w:rPr>
        <w:t>b</w:t>
      </w:r>
      <w:r w:rsidRPr="00F879DE">
        <w:rPr>
          <w:rFonts w:ascii="Arial" w:hAnsi="Arial" w:cs="Arial"/>
          <w:color w:val="000000"/>
          <w:sz w:val="20"/>
          <w:szCs w:val="20"/>
        </w:rPr>
        <w:t xml:space="preserve">ill.  </w:t>
      </w:r>
    </w:p>
    <w:p w:rsidR="00517EB0" w:rsidRPr="00F879DE" w:rsidRDefault="00C97BC2" w:rsidP="00F879DE">
      <w:pPr>
        <w:pStyle w:val="ListParagraph"/>
        <w:numPr>
          <w:ilvl w:val="0"/>
          <w:numId w:val="20"/>
        </w:numPr>
        <w:autoSpaceDE w:val="0"/>
        <w:autoSpaceDN w:val="0"/>
        <w:adjustRightInd w:val="0"/>
        <w:spacing w:after="0" w:line="240" w:lineRule="auto"/>
        <w:rPr>
          <w:rFonts w:ascii="Arial" w:hAnsi="Arial" w:cs="Arial"/>
          <w:sz w:val="20"/>
          <w:szCs w:val="20"/>
          <w:lang w:val="en-GB"/>
        </w:rPr>
      </w:pPr>
      <w:r w:rsidRPr="00F879DE">
        <w:rPr>
          <w:rFonts w:ascii="Arial" w:hAnsi="Arial" w:cs="Arial"/>
          <w:color w:val="000000"/>
          <w:sz w:val="20"/>
          <w:szCs w:val="20"/>
        </w:rPr>
        <w:t>Concern was expressed about the role of the Presidential Task Team on Military Veterans, as it appear</w:t>
      </w:r>
      <w:r w:rsidR="00BF6C9F" w:rsidRPr="00F879DE">
        <w:rPr>
          <w:rFonts w:ascii="Arial" w:hAnsi="Arial" w:cs="Arial"/>
          <w:color w:val="000000"/>
          <w:sz w:val="20"/>
          <w:szCs w:val="20"/>
        </w:rPr>
        <w:t>s</w:t>
      </w:r>
      <w:r w:rsidRPr="00F879DE">
        <w:rPr>
          <w:rFonts w:ascii="Arial" w:hAnsi="Arial" w:cs="Arial"/>
          <w:color w:val="000000"/>
          <w:sz w:val="20"/>
          <w:szCs w:val="20"/>
        </w:rPr>
        <w:t xml:space="preserve"> as if the Department depends on it to do its work and address the relevant challenges. It was acknowledged that there are weaknesses, hence the institution of the Task Team, but </w:t>
      </w:r>
      <w:r w:rsidR="00EC3FD5" w:rsidRPr="00F879DE">
        <w:rPr>
          <w:rFonts w:ascii="Arial" w:hAnsi="Arial" w:cs="Arial"/>
          <w:color w:val="000000"/>
          <w:sz w:val="20"/>
          <w:szCs w:val="20"/>
        </w:rPr>
        <w:t xml:space="preserve">the Department felt that </w:t>
      </w:r>
      <w:r w:rsidRPr="00F879DE">
        <w:rPr>
          <w:rFonts w:ascii="Arial" w:hAnsi="Arial" w:cs="Arial"/>
          <w:color w:val="000000"/>
          <w:sz w:val="20"/>
          <w:szCs w:val="20"/>
        </w:rPr>
        <w:t xml:space="preserve">it does not mean that </w:t>
      </w:r>
      <w:r w:rsidR="00EC3FD5" w:rsidRPr="00F879DE">
        <w:rPr>
          <w:rFonts w:ascii="Arial" w:hAnsi="Arial" w:cs="Arial"/>
          <w:color w:val="000000"/>
          <w:sz w:val="20"/>
          <w:szCs w:val="20"/>
        </w:rPr>
        <w:t xml:space="preserve">they are abdicating their responsibilities, </w:t>
      </w:r>
      <w:r w:rsidRPr="00F879DE">
        <w:rPr>
          <w:rFonts w:ascii="Arial" w:hAnsi="Arial" w:cs="Arial"/>
          <w:color w:val="000000"/>
          <w:sz w:val="20"/>
          <w:szCs w:val="20"/>
        </w:rPr>
        <w:t xml:space="preserve">as the Task Team only assist to address challenges in particular related to the whole-government approach and specifically </w:t>
      </w:r>
      <w:r w:rsidR="00EC3FD5" w:rsidRPr="00F879DE">
        <w:rPr>
          <w:rFonts w:ascii="Arial" w:hAnsi="Arial" w:cs="Arial"/>
          <w:color w:val="000000"/>
          <w:sz w:val="20"/>
          <w:szCs w:val="20"/>
        </w:rPr>
        <w:t xml:space="preserve">in the </w:t>
      </w:r>
      <w:r w:rsidRPr="00F879DE">
        <w:rPr>
          <w:rFonts w:ascii="Arial" w:hAnsi="Arial" w:cs="Arial"/>
          <w:color w:val="000000"/>
          <w:sz w:val="20"/>
          <w:szCs w:val="20"/>
        </w:rPr>
        <w:t>Intergovernmental relations</w:t>
      </w:r>
      <w:r w:rsidR="00EC3FD5" w:rsidRPr="00F879DE">
        <w:rPr>
          <w:rFonts w:ascii="Arial" w:hAnsi="Arial" w:cs="Arial"/>
          <w:color w:val="000000"/>
          <w:sz w:val="20"/>
          <w:szCs w:val="20"/>
        </w:rPr>
        <w:t xml:space="preserve"> environment</w:t>
      </w:r>
      <w:r w:rsidRPr="00F879DE">
        <w:rPr>
          <w:rFonts w:ascii="Arial" w:hAnsi="Arial" w:cs="Arial"/>
          <w:color w:val="000000"/>
          <w:sz w:val="20"/>
          <w:szCs w:val="20"/>
        </w:rPr>
        <w:t xml:space="preserve">. </w:t>
      </w:r>
    </w:p>
    <w:p w:rsidR="005F37B4" w:rsidRPr="00F879DE" w:rsidRDefault="005F37B4" w:rsidP="00F879DE">
      <w:pPr>
        <w:autoSpaceDE w:val="0"/>
        <w:autoSpaceDN w:val="0"/>
        <w:adjustRightInd w:val="0"/>
        <w:spacing w:after="0" w:line="240" w:lineRule="auto"/>
        <w:ind w:left="360"/>
        <w:rPr>
          <w:rFonts w:ascii="Arial" w:hAnsi="Arial" w:cs="Arial"/>
          <w:sz w:val="20"/>
          <w:szCs w:val="20"/>
          <w:lang w:val="en-GB"/>
        </w:rPr>
      </w:pPr>
    </w:p>
    <w:p w:rsidR="0084743E" w:rsidRPr="00F879DE" w:rsidRDefault="003F647C" w:rsidP="00F879DE">
      <w:pPr>
        <w:spacing w:after="0" w:line="240" w:lineRule="auto"/>
        <w:rPr>
          <w:rFonts w:ascii="Arial" w:hAnsi="Arial" w:cs="Arial"/>
          <w:b/>
          <w:sz w:val="20"/>
          <w:szCs w:val="20"/>
          <w:lang w:val="en-GB"/>
        </w:rPr>
      </w:pPr>
      <w:r w:rsidRPr="00F879DE">
        <w:rPr>
          <w:rFonts w:ascii="Arial" w:hAnsi="Arial" w:cs="Arial"/>
          <w:b/>
          <w:sz w:val="20"/>
          <w:szCs w:val="20"/>
          <w:lang w:val="en-GB"/>
        </w:rPr>
        <w:t>10</w:t>
      </w:r>
      <w:r w:rsidR="0084743E" w:rsidRPr="00F879DE">
        <w:rPr>
          <w:rFonts w:ascii="Arial" w:hAnsi="Arial" w:cs="Arial"/>
          <w:b/>
          <w:sz w:val="20"/>
          <w:szCs w:val="20"/>
          <w:lang w:val="en-GB"/>
        </w:rPr>
        <w:t>.</w:t>
      </w:r>
      <w:r w:rsidR="0084743E" w:rsidRPr="00F879DE">
        <w:rPr>
          <w:rFonts w:ascii="Arial" w:hAnsi="Arial" w:cs="Arial"/>
          <w:b/>
          <w:sz w:val="20"/>
          <w:szCs w:val="20"/>
          <w:lang w:val="en-GB"/>
        </w:rPr>
        <w:tab/>
        <w:t>RECOMMENDATIONS</w:t>
      </w:r>
    </w:p>
    <w:p w:rsidR="0084743E" w:rsidRPr="00F879DE" w:rsidRDefault="0084743E" w:rsidP="00F879DE">
      <w:pPr>
        <w:spacing w:after="0" w:line="240" w:lineRule="auto"/>
        <w:rPr>
          <w:rFonts w:ascii="Arial" w:hAnsi="Arial" w:cs="Arial"/>
          <w:sz w:val="20"/>
          <w:szCs w:val="20"/>
          <w:lang w:val="en-GB"/>
        </w:rPr>
      </w:pPr>
    </w:p>
    <w:p w:rsidR="003F647C" w:rsidRPr="00F879DE" w:rsidRDefault="0084743E" w:rsidP="00F879DE">
      <w:pPr>
        <w:spacing w:after="0" w:line="240" w:lineRule="auto"/>
        <w:rPr>
          <w:rFonts w:ascii="Arial" w:hAnsi="Arial" w:cs="Arial"/>
          <w:sz w:val="20"/>
          <w:szCs w:val="20"/>
          <w:lang w:val="en-GB"/>
        </w:rPr>
      </w:pPr>
      <w:r w:rsidRPr="00F879DE">
        <w:rPr>
          <w:rFonts w:ascii="Arial" w:hAnsi="Arial" w:cs="Arial"/>
          <w:sz w:val="20"/>
          <w:szCs w:val="20"/>
          <w:lang w:val="en-GB"/>
        </w:rPr>
        <w:t>The PCODMV identified the following areas that will be subject to monitoring by the Committee throughout the 202</w:t>
      </w:r>
      <w:r w:rsidR="002451C9" w:rsidRPr="00F879DE">
        <w:rPr>
          <w:rFonts w:ascii="Arial" w:hAnsi="Arial" w:cs="Arial"/>
          <w:sz w:val="20"/>
          <w:szCs w:val="20"/>
          <w:lang w:val="en-GB"/>
        </w:rPr>
        <w:t>2</w:t>
      </w:r>
      <w:r w:rsidRPr="00F879DE">
        <w:rPr>
          <w:rFonts w:ascii="Arial" w:hAnsi="Arial" w:cs="Arial"/>
          <w:sz w:val="20"/>
          <w:szCs w:val="20"/>
          <w:lang w:val="en-GB"/>
        </w:rPr>
        <w:t>/2</w:t>
      </w:r>
      <w:r w:rsidR="002451C9" w:rsidRPr="00F879DE">
        <w:rPr>
          <w:rFonts w:ascii="Arial" w:hAnsi="Arial" w:cs="Arial"/>
          <w:sz w:val="20"/>
          <w:szCs w:val="20"/>
          <w:lang w:val="en-GB"/>
        </w:rPr>
        <w:t>3</w:t>
      </w:r>
      <w:r w:rsidRPr="00F879DE">
        <w:rPr>
          <w:rFonts w:ascii="Arial" w:hAnsi="Arial" w:cs="Arial"/>
          <w:sz w:val="20"/>
          <w:szCs w:val="20"/>
          <w:lang w:val="en-GB"/>
        </w:rPr>
        <w:t xml:space="preserve"> financial year and beyond:</w:t>
      </w:r>
    </w:p>
    <w:p w:rsidR="003B71B6" w:rsidRPr="00F879DE" w:rsidRDefault="003B71B6" w:rsidP="00F879DE">
      <w:pPr>
        <w:spacing w:after="0" w:line="240" w:lineRule="auto"/>
        <w:rPr>
          <w:rFonts w:ascii="Arial" w:hAnsi="Arial" w:cs="Arial"/>
          <w:sz w:val="20"/>
          <w:szCs w:val="20"/>
          <w:lang w:val="en-GB"/>
        </w:rPr>
      </w:pPr>
    </w:p>
    <w:p w:rsidR="003B71B6" w:rsidRPr="00F879DE" w:rsidRDefault="003B71B6"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 xml:space="preserve">The Committee recommends, as in the past, that the DMV should speed up the capacitation </w:t>
      </w:r>
      <w:r w:rsidR="00255A3D" w:rsidRPr="00F879DE">
        <w:rPr>
          <w:rFonts w:ascii="Arial" w:hAnsi="Arial" w:cs="Arial"/>
          <w:sz w:val="20"/>
          <w:szCs w:val="20"/>
          <w:lang w:val="en-GB"/>
        </w:rPr>
        <w:t xml:space="preserve">and resourcing </w:t>
      </w:r>
      <w:r w:rsidRPr="00F879DE">
        <w:rPr>
          <w:rFonts w:ascii="Arial" w:hAnsi="Arial" w:cs="Arial"/>
          <w:sz w:val="20"/>
          <w:szCs w:val="20"/>
          <w:lang w:val="en-GB"/>
        </w:rPr>
        <w:t xml:space="preserve">of all provincial offices </w:t>
      </w:r>
      <w:r w:rsidR="00517EB0" w:rsidRPr="00F879DE">
        <w:rPr>
          <w:rFonts w:ascii="Arial" w:hAnsi="Arial" w:cs="Arial"/>
          <w:sz w:val="20"/>
          <w:szCs w:val="20"/>
          <w:lang w:val="en-GB"/>
        </w:rPr>
        <w:t xml:space="preserve">during this financial year, as it has been informed of such attempts for the last five years. </w:t>
      </w:r>
      <w:r w:rsidR="002B58B5" w:rsidRPr="00F879DE">
        <w:rPr>
          <w:rFonts w:ascii="Arial" w:hAnsi="Arial" w:cs="Arial"/>
          <w:sz w:val="20"/>
          <w:szCs w:val="20"/>
          <w:lang w:val="en-GB"/>
        </w:rPr>
        <w:t>In addition, it should report on all leases at its next quarterly engagement with the Committee.</w:t>
      </w:r>
    </w:p>
    <w:p w:rsidR="00CC1A53" w:rsidRPr="00F879DE" w:rsidRDefault="00255A3D"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It i</w:t>
      </w:r>
      <w:r w:rsidR="00CC1A53" w:rsidRPr="00F879DE">
        <w:rPr>
          <w:rFonts w:ascii="Arial" w:hAnsi="Arial" w:cs="Arial"/>
          <w:sz w:val="20"/>
          <w:szCs w:val="20"/>
          <w:lang w:val="en-GB"/>
        </w:rPr>
        <w:t xml:space="preserve">s recommended that the DMV </w:t>
      </w:r>
      <w:r w:rsidRPr="00F879DE">
        <w:rPr>
          <w:rFonts w:ascii="Arial" w:hAnsi="Arial" w:cs="Arial"/>
          <w:sz w:val="20"/>
          <w:szCs w:val="20"/>
          <w:lang w:val="en-GB"/>
        </w:rPr>
        <w:t xml:space="preserve">interrogate </w:t>
      </w:r>
      <w:r w:rsidR="00CC1A53" w:rsidRPr="00F879DE">
        <w:rPr>
          <w:rFonts w:ascii="Arial" w:hAnsi="Arial" w:cs="Arial"/>
          <w:sz w:val="20"/>
          <w:szCs w:val="20"/>
          <w:lang w:val="en-GB"/>
        </w:rPr>
        <w:t>their Organisational Culture during the team building sessions to address some of the reasons why recently</w:t>
      </w:r>
      <w:r w:rsidR="002B58B5" w:rsidRPr="00F879DE">
        <w:rPr>
          <w:rFonts w:ascii="Arial" w:hAnsi="Arial" w:cs="Arial"/>
          <w:sz w:val="20"/>
          <w:szCs w:val="20"/>
          <w:lang w:val="en-GB"/>
        </w:rPr>
        <w:t>-</w:t>
      </w:r>
      <w:r w:rsidR="00CC1A53" w:rsidRPr="00F879DE">
        <w:rPr>
          <w:rFonts w:ascii="Arial" w:hAnsi="Arial" w:cs="Arial"/>
          <w:sz w:val="20"/>
          <w:szCs w:val="20"/>
          <w:lang w:val="en-GB"/>
        </w:rPr>
        <w:t>appointed personnel</w:t>
      </w:r>
      <w:r w:rsidR="00055A2D" w:rsidRPr="00F879DE">
        <w:rPr>
          <w:rFonts w:ascii="Arial" w:hAnsi="Arial" w:cs="Arial"/>
          <w:sz w:val="20"/>
          <w:szCs w:val="20"/>
          <w:lang w:val="en-GB"/>
        </w:rPr>
        <w:t>,</w:t>
      </w:r>
      <w:r w:rsidR="00CC1A53" w:rsidRPr="00F879DE">
        <w:rPr>
          <w:rFonts w:ascii="Arial" w:hAnsi="Arial" w:cs="Arial"/>
          <w:sz w:val="20"/>
          <w:szCs w:val="20"/>
          <w:lang w:val="en-GB"/>
        </w:rPr>
        <w:t xml:space="preserve"> in some cases</w:t>
      </w:r>
      <w:r w:rsidR="002B58B5" w:rsidRPr="00F879DE">
        <w:rPr>
          <w:rFonts w:ascii="Arial" w:hAnsi="Arial" w:cs="Arial"/>
          <w:sz w:val="20"/>
          <w:szCs w:val="20"/>
          <w:lang w:val="en-GB"/>
        </w:rPr>
        <w:t>,</w:t>
      </w:r>
      <w:r w:rsidR="00CC1A53" w:rsidRPr="00F879DE">
        <w:rPr>
          <w:rFonts w:ascii="Arial" w:hAnsi="Arial" w:cs="Arial"/>
          <w:sz w:val="20"/>
          <w:szCs w:val="20"/>
          <w:lang w:val="en-GB"/>
        </w:rPr>
        <w:t xml:space="preserve"> leave soon after their appointment. The Department should indicate to the Committee whether its H</w:t>
      </w:r>
      <w:r w:rsidR="00055A2D" w:rsidRPr="00F879DE">
        <w:rPr>
          <w:rFonts w:ascii="Arial" w:hAnsi="Arial" w:cs="Arial"/>
          <w:sz w:val="20"/>
          <w:szCs w:val="20"/>
          <w:lang w:val="en-GB"/>
        </w:rPr>
        <w:t>u</w:t>
      </w:r>
      <w:r w:rsidR="00CC1A53" w:rsidRPr="00F879DE">
        <w:rPr>
          <w:rFonts w:ascii="Arial" w:hAnsi="Arial" w:cs="Arial"/>
          <w:sz w:val="20"/>
          <w:szCs w:val="20"/>
          <w:lang w:val="en-GB"/>
        </w:rPr>
        <w:t>man Resources Plan has a retention strategy and especially how well it is being implemented</w:t>
      </w:r>
      <w:r w:rsidR="00D53396" w:rsidRPr="00F879DE">
        <w:rPr>
          <w:rFonts w:ascii="Arial" w:hAnsi="Arial" w:cs="Arial"/>
          <w:sz w:val="20"/>
          <w:szCs w:val="20"/>
          <w:lang w:val="en-GB"/>
        </w:rPr>
        <w:t xml:space="preserve"> if it is in place</w:t>
      </w:r>
      <w:r w:rsidR="002B58B5" w:rsidRPr="00F879DE">
        <w:rPr>
          <w:rFonts w:ascii="Arial" w:hAnsi="Arial" w:cs="Arial"/>
          <w:sz w:val="20"/>
          <w:szCs w:val="20"/>
          <w:lang w:val="en-GB"/>
        </w:rPr>
        <w:t>, at the next quarterly meeting</w:t>
      </w:r>
      <w:r w:rsidR="00D53396" w:rsidRPr="00F879DE">
        <w:rPr>
          <w:rFonts w:ascii="Arial" w:hAnsi="Arial" w:cs="Arial"/>
          <w:sz w:val="20"/>
          <w:szCs w:val="20"/>
          <w:lang w:val="en-GB"/>
        </w:rPr>
        <w:t xml:space="preserve">. </w:t>
      </w:r>
      <w:r w:rsidR="00CC1A53" w:rsidRPr="00F879DE">
        <w:rPr>
          <w:rFonts w:ascii="Arial" w:hAnsi="Arial" w:cs="Arial"/>
          <w:sz w:val="20"/>
          <w:szCs w:val="20"/>
          <w:lang w:val="en-GB"/>
        </w:rPr>
        <w:t xml:space="preserve"> </w:t>
      </w:r>
    </w:p>
    <w:p w:rsidR="00D53396" w:rsidRPr="00F879DE" w:rsidRDefault="00D53396"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The Committee recommends that the Department prioritise</w:t>
      </w:r>
      <w:r w:rsidR="00A1180E" w:rsidRPr="00F879DE">
        <w:rPr>
          <w:rFonts w:ascii="Arial" w:hAnsi="Arial" w:cs="Arial"/>
          <w:sz w:val="20"/>
          <w:szCs w:val="20"/>
          <w:lang w:val="en-GB"/>
        </w:rPr>
        <w:t>s</w:t>
      </w:r>
      <w:r w:rsidRPr="00F879DE">
        <w:rPr>
          <w:rFonts w:ascii="Arial" w:hAnsi="Arial" w:cs="Arial"/>
          <w:sz w:val="20"/>
          <w:szCs w:val="20"/>
          <w:lang w:val="en-GB"/>
        </w:rPr>
        <w:t xml:space="preserve"> the verification of its moveable assets to address the audit query as this will also allow them to ensure that all these assets are </w:t>
      </w:r>
      <w:r w:rsidR="00A1180E" w:rsidRPr="00F879DE">
        <w:rPr>
          <w:rFonts w:ascii="Arial" w:hAnsi="Arial" w:cs="Arial"/>
          <w:sz w:val="20"/>
          <w:szCs w:val="20"/>
          <w:lang w:val="en-GB"/>
        </w:rPr>
        <w:t xml:space="preserve">properly </w:t>
      </w:r>
      <w:r w:rsidRPr="00F879DE">
        <w:rPr>
          <w:rFonts w:ascii="Arial" w:hAnsi="Arial" w:cs="Arial"/>
          <w:sz w:val="20"/>
          <w:szCs w:val="20"/>
          <w:lang w:val="en-GB"/>
        </w:rPr>
        <w:t xml:space="preserve">accounted for and not open to </w:t>
      </w:r>
      <w:r w:rsidR="002B58B5" w:rsidRPr="00F879DE">
        <w:rPr>
          <w:rFonts w:ascii="Arial" w:hAnsi="Arial" w:cs="Arial"/>
          <w:sz w:val="20"/>
          <w:szCs w:val="20"/>
          <w:lang w:val="en-GB"/>
        </w:rPr>
        <w:t>abuse</w:t>
      </w:r>
      <w:r w:rsidRPr="00F879DE">
        <w:rPr>
          <w:rFonts w:ascii="Arial" w:hAnsi="Arial" w:cs="Arial"/>
          <w:sz w:val="20"/>
          <w:szCs w:val="20"/>
          <w:lang w:val="en-GB"/>
        </w:rPr>
        <w:t xml:space="preserve">. </w:t>
      </w:r>
    </w:p>
    <w:p w:rsidR="00CB3852" w:rsidRPr="00F879DE" w:rsidRDefault="00CB3852"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 xml:space="preserve">The determination of the monthly quantum for the pensions was welcomed and the Committee encouraged the Department to move speedily </w:t>
      </w:r>
      <w:r w:rsidR="002B58B5" w:rsidRPr="00F879DE">
        <w:rPr>
          <w:rFonts w:ascii="Arial" w:hAnsi="Arial" w:cs="Arial"/>
          <w:sz w:val="20"/>
          <w:szCs w:val="20"/>
          <w:lang w:val="en-GB"/>
        </w:rPr>
        <w:t xml:space="preserve">to roll out </w:t>
      </w:r>
      <w:r w:rsidRPr="00F879DE">
        <w:rPr>
          <w:rFonts w:ascii="Arial" w:hAnsi="Arial" w:cs="Arial"/>
          <w:sz w:val="20"/>
          <w:szCs w:val="20"/>
          <w:lang w:val="en-GB"/>
        </w:rPr>
        <w:t xml:space="preserve">this </w:t>
      </w:r>
      <w:r w:rsidR="002B58B5" w:rsidRPr="00F879DE">
        <w:rPr>
          <w:rFonts w:ascii="Arial" w:hAnsi="Arial" w:cs="Arial"/>
          <w:sz w:val="20"/>
          <w:szCs w:val="20"/>
          <w:lang w:val="en-GB"/>
        </w:rPr>
        <w:t xml:space="preserve">benefit based on the </w:t>
      </w:r>
      <w:r w:rsidRPr="00F879DE">
        <w:rPr>
          <w:rFonts w:ascii="Arial" w:hAnsi="Arial" w:cs="Arial"/>
          <w:sz w:val="20"/>
          <w:szCs w:val="20"/>
          <w:lang w:val="en-GB"/>
        </w:rPr>
        <w:t xml:space="preserve">dire situation of many military veterans. </w:t>
      </w:r>
    </w:p>
    <w:p w:rsidR="002D39F8" w:rsidRPr="00F879DE" w:rsidRDefault="002D39F8"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 xml:space="preserve">It is recommended that against the background of the already restricted Human Resources capacity, and the continued number of vacancies at especially senior management level; that the suspension of the four senior officials should be addressed as a matter of urgency. This </w:t>
      </w:r>
      <w:r w:rsidR="00A1180E" w:rsidRPr="00F879DE">
        <w:rPr>
          <w:rFonts w:ascii="Arial" w:hAnsi="Arial" w:cs="Arial"/>
          <w:sz w:val="20"/>
          <w:szCs w:val="20"/>
          <w:lang w:val="en-GB"/>
        </w:rPr>
        <w:t xml:space="preserve">because </w:t>
      </w:r>
      <w:r w:rsidRPr="00F879DE">
        <w:rPr>
          <w:rFonts w:ascii="Arial" w:hAnsi="Arial" w:cs="Arial"/>
          <w:sz w:val="20"/>
          <w:szCs w:val="20"/>
          <w:lang w:val="en-GB"/>
        </w:rPr>
        <w:t xml:space="preserve">the Department has previously justified its poor performance and underspending on a lack of sufficient HR capacity. </w:t>
      </w:r>
      <w:r w:rsidR="00055A2D" w:rsidRPr="00F879DE">
        <w:rPr>
          <w:rFonts w:ascii="Arial" w:hAnsi="Arial" w:cs="Arial"/>
          <w:sz w:val="20"/>
          <w:szCs w:val="20"/>
          <w:lang w:val="en-GB"/>
        </w:rPr>
        <w:t xml:space="preserve">Quarterly feedback on the resolution of the suspensions </w:t>
      </w:r>
      <w:r w:rsidR="00A1180E" w:rsidRPr="00F879DE">
        <w:rPr>
          <w:rFonts w:ascii="Arial" w:hAnsi="Arial" w:cs="Arial"/>
          <w:sz w:val="20"/>
          <w:szCs w:val="20"/>
          <w:lang w:val="en-GB"/>
        </w:rPr>
        <w:t xml:space="preserve">and filling of vacancies </w:t>
      </w:r>
      <w:r w:rsidR="00055A2D" w:rsidRPr="00F879DE">
        <w:rPr>
          <w:rFonts w:ascii="Arial" w:hAnsi="Arial" w:cs="Arial"/>
          <w:sz w:val="20"/>
          <w:szCs w:val="20"/>
          <w:lang w:val="en-GB"/>
        </w:rPr>
        <w:t>should be provided.</w:t>
      </w:r>
    </w:p>
    <w:p w:rsidR="007032B1" w:rsidRPr="00F879DE" w:rsidRDefault="007032B1"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lastRenderedPageBreak/>
        <w:t>The Committee once again urged the Department to ad</w:t>
      </w:r>
      <w:r w:rsidR="00A1180E" w:rsidRPr="00F879DE">
        <w:rPr>
          <w:rFonts w:ascii="Arial" w:hAnsi="Arial" w:cs="Arial"/>
          <w:sz w:val="20"/>
          <w:szCs w:val="20"/>
          <w:lang w:val="en-GB"/>
        </w:rPr>
        <w:t>dress the challenges in the IA D</w:t>
      </w:r>
      <w:r w:rsidRPr="00F879DE">
        <w:rPr>
          <w:rFonts w:ascii="Arial" w:hAnsi="Arial" w:cs="Arial"/>
          <w:sz w:val="20"/>
          <w:szCs w:val="20"/>
          <w:lang w:val="en-GB"/>
        </w:rPr>
        <w:t xml:space="preserve">ivision as soon as possible given its crucial role in being an early warning system as well as assisting with good governance. </w:t>
      </w:r>
    </w:p>
    <w:p w:rsidR="0023197E" w:rsidRPr="00F879DE" w:rsidRDefault="0023197E"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 xml:space="preserve">It was stressed that the Department should endeavour to deliver benefits as </w:t>
      </w:r>
      <w:r w:rsidR="000E6DF8" w:rsidRPr="00F879DE">
        <w:rPr>
          <w:rFonts w:ascii="Arial" w:hAnsi="Arial" w:cs="Arial"/>
          <w:sz w:val="20"/>
          <w:szCs w:val="20"/>
          <w:lang w:val="en-GB"/>
        </w:rPr>
        <w:t>humanely</w:t>
      </w:r>
      <w:r w:rsidRPr="00F879DE">
        <w:rPr>
          <w:rFonts w:ascii="Arial" w:hAnsi="Arial" w:cs="Arial"/>
          <w:sz w:val="20"/>
          <w:szCs w:val="20"/>
          <w:lang w:val="en-GB"/>
        </w:rPr>
        <w:t xml:space="preserve"> and efficiently as possible as the lack thereof may be </w:t>
      </w:r>
      <w:r w:rsidR="00A1180E" w:rsidRPr="00F879DE">
        <w:rPr>
          <w:rFonts w:ascii="Arial" w:hAnsi="Arial" w:cs="Arial"/>
          <w:sz w:val="20"/>
          <w:szCs w:val="20"/>
          <w:lang w:val="en-GB"/>
        </w:rPr>
        <w:t xml:space="preserve">in some cases, </w:t>
      </w:r>
      <w:r w:rsidRPr="00F879DE">
        <w:rPr>
          <w:rFonts w:ascii="Arial" w:hAnsi="Arial" w:cs="Arial"/>
          <w:sz w:val="20"/>
          <w:szCs w:val="20"/>
          <w:lang w:val="en-GB"/>
        </w:rPr>
        <w:t xml:space="preserve">a matter of life and death for </w:t>
      </w:r>
      <w:r w:rsidRPr="00F879DE">
        <w:rPr>
          <w:rFonts w:ascii="Arial" w:hAnsi="Arial" w:cs="Arial"/>
          <w:color w:val="000000"/>
          <w:sz w:val="20"/>
          <w:szCs w:val="20"/>
        </w:rPr>
        <w:t xml:space="preserve">beneficiaries </w:t>
      </w:r>
      <w:r w:rsidR="000E6DF8" w:rsidRPr="00F879DE">
        <w:rPr>
          <w:rFonts w:ascii="Arial" w:hAnsi="Arial" w:cs="Arial"/>
          <w:color w:val="000000"/>
          <w:sz w:val="20"/>
          <w:szCs w:val="20"/>
        </w:rPr>
        <w:t xml:space="preserve">who </w:t>
      </w:r>
      <w:r w:rsidRPr="00F879DE">
        <w:rPr>
          <w:rFonts w:ascii="Arial" w:hAnsi="Arial" w:cs="Arial"/>
          <w:color w:val="000000"/>
          <w:sz w:val="20"/>
          <w:szCs w:val="20"/>
        </w:rPr>
        <w:t>are often due to their age, in dire straits.</w:t>
      </w:r>
    </w:p>
    <w:p w:rsidR="002D416D" w:rsidRPr="00F879DE" w:rsidRDefault="002D416D"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 xml:space="preserve">The Committee </w:t>
      </w:r>
      <w:r w:rsidR="00B15979" w:rsidRPr="00F879DE">
        <w:rPr>
          <w:rFonts w:ascii="Arial" w:hAnsi="Arial" w:cs="Arial"/>
          <w:sz w:val="20"/>
          <w:szCs w:val="20"/>
          <w:lang w:val="en-GB"/>
        </w:rPr>
        <w:t xml:space="preserve">recommended that </w:t>
      </w:r>
      <w:r w:rsidRPr="00F879DE">
        <w:rPr>
          <w:rFonts w:ascii="Arial" w:hAnsi="Arial" w:cs="Arial"/>
          <w:sz w:val="20"/>
          <w:szCs w:val="20"/>
          <w:lang w:val="en-GB"/>
        </w:rPr>
        <w:t xml:space="preserve">the DMV should clear the backlog payments to </w:t>
      </w:r>
      <w:r w:rsidR="00B15979" w:rsidRPr="00F879DE">
        <w:rPr>
          <w:rFonts w:ascii="Arial" w:hAnsi="Arial" w:cs="Arial"/>
          <w:sz w:val="20"/>
          <w:szCs w:val="20"/>
          <w:lang w:val="en-GB"/>
        </w:rPr>
        <w:t xml:space="preserve">NSFAS as soon as possible as some date back as far as 2018, </w:t>
      </w:r>
      <w:r w:rsidRPr="00F879DE">
        <w:rPr>
          <w:rFonts w:ascii="Arial" w:hAnsi="Arial" w:cs="Arial"/>
          <w:sz w:val="20"/>
          <w:szCs w:val="20"/>
          <w:lang w:val="en-GB"/>
        </w:rPr>
        <w:t>to ensure that students are accommodated and not being penalised</w:t>
      </w:r>
      <w:r w:rsidR="000E6DF8" w:rsidRPr="00F879DE">
        <w:rPr>
          <w:rFonts w:ascii="Arial" w:hAnsi="Arial" w:cs="Arial"/>
          <w:sz w:val="20"/>
          <w:szCs w:val="20"/>
          <w:lang w:val="en-GB"/>
        </w:rPr>
        <w:t xml:space="preserve"> due </w:t>
      </w:r>
      <w:r w:rsidRPr="00F879DE">
        <w:rPr>
          <w:rFonts w:ascii="Arial" w:hAnsi="Arial" w:cs="Arial"/>
          <w:sz w:val="20"/>
          <w:szCs w:val="20"/>
          <w:lang w:val="en-GB"/>
        </w:rPr>
        <w:t xml:space="preserve">system problems between the Department and NSFAS. </w:t>
      </w:r>
      <w:r w:rsidR="00B15979" w:rsidRPr="00F879DE">
        <w:rPr>
          <w:rFonts w:ascii="Arial" w:hAnsi="Arial" w:cs="Arial"/>
          <w:sz w:val="20"/>
          <w:szCs w:val="20"/>
          <w:lang w:val="en-GB"/>
        </w:rPr>
        <w:t xml:space="preserve">The Department should provide a progress report in this regard </w:t>
      </w:r>
      <w:r w:rsidR="000E6DF8" w:rsidRPr="00F879DE">
        <w:rPr>
          <w:rFonts w:ascii="Arial" w:hAnsi="Arial" w:cs="Arial"/>
          <w:sz w:val="20"/>
          <w:szCs w:val="20"/>
          <w:lang w:val="en-GB"/>
        </w:rPr>
        <w:t xml:space="preserve">at </w:t>
      </w:r>
      <w:r w:rsidR="00B15979" w:rsidRPr="00F879DE">
        <w:rPr>
          <w:rFonts w:ascii="Arial" w:hAnsi="Arial" w:cs="Arial"/>
          <w:sz w:val="20"/>
          <w:szCs w:val="20"/>
          <w:lang w:val="en-GB"/>
        </w:rPr>
        <w:t xml:space="preserve">their next quarterly engagement with the Committee. </w:t>
      </w:r>
    </w:p>
    <w:p w:rsidR="007F78BB" w:rsidRPr="00F879DE" w:rsidRDefault="007F78BB"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 xml:space="preserve">The Committee expressed its appreciation for the manner in which the DMV reported that they are assisting children of military veterans with special needs, and encouraged </w:t>
      </w:r>
      <w:r w:rsidR="00A1180E" w:rsidRPr="00F879DE">
        <w:rPr>
          <w:rFonts w:ascii="Arial" w:hAnsi="Arial" w:cs="Arial"/>
          <w:sz w:val="20"/>
          <w:szCs w:val="20"/>
          <w:lang w:val="en-GB"/>
        </w:rPr>
        <w:t xml:space="preserve">them </w:t>
      </w:r>
      <w:r w:rsidRPr="00F879DE">
        <w:rPr>
          <w:rFonts w:ascii="Arial" w:hAnsi="Arial" w:cs="Arial"/>
          <w:sz w:val="20"/>
          <w:szCs w:val="20"/>
          <w:lang w:val="en-GB"/>
        </w:rPr>
        <w:t xml:space="preserve">to continue ensuring that their needs are provided for.   </w:t>
      </w:r>
    </w:p>
    <w:p w:rsidR="00B15979" w:rsidRPr="00F879DE" w:rsidRDefault="00B15979"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 xml:space="preserve">The Committee advised that the Executive Authority and the </w:t>
      </w:r>
      <w:r w:rsidR="00C07630" w:rsidRPr="00F879DE">
        <w:rPr>
          <w:rFonts w:ascii="Arial" w:hAnsi="Arial" w:cs="Arial"/>
          <w:sz w:val="20"/>
          <w:szCs w:val="20"/>
          <w:lang w:val="en-GB"/>
        </w:rPr>
        <w:t xml:space="preserve">Department should </w:t>
      </w:r>
      <w:r w:rsidR="000E6DF8" w:rsidRPr="00F879DE">
        <w:rPr>
          <w:rFonts w:ascii="Arial" w:hAnsi="Arial" w:cs="Arial"/>
          <w:sz w:val="20"/>
          <w:szCs w:val="20"/>
          <w:lang w:val="en-GB"/>
        </w:rPr>
        <w:t xml:space="preserve">address the issue of concurrence </w:t>
      </w:r>
      <w:r w:rsidR="00C07630" w:rsidRPr="00F879DE">
        <w:rPr>
          <w:rFonts w:ascii="Arial" w:hAnsi="Arial" w:cs="Arial"/>
          <w:sz w:val="20"/>
          <w:szCs w:val="20"/>
          <w:lang w:val="en-GB"/>
        </w:rPr>
        <w:t xml:space="preserve">and </w:t>
      </w:r>
      <w:r w:rsidR="00A1180E" w:rsidRPr="00F879DE">
        <w:rPr>
          <w:rFonts w:ascii="Arial" w:hAnsi="Arial" w:cs="Arial"/>
          <w:sz w:val="20"/>
          <w:szCs w:val="20"/>
          <w:lang w:val="en-GB"/>
        </w:rPr>
        <w:t xml:space="preserve">that they </w:t>
      </w:r>
      <w:r w:rsidR="00C07630" w:rsidRPr="00F879DE">
        <w:rPr>
          <w:rFonts w:ascii="Arial" w:hAnsi="Arial" w:cs="Arial"/>
          <w:sz w:val="20"/>
          <w:szCs w:val="20"/>
          <w:lang w:val="en-GB"/>
        </w:rPr>
        <w:t xml:space="preserve">ensure that </w:t>
      </w:r>
      <w:r w:rsidR="00A1180E" w:rsidRPr="00F879DE">
        <w:rPr>
          <w:rFonts w:ascii="Arial" w:hAnsi="Arial" w:cs="Arial"/>
          <w:sz w:val="20"/>
          <w:szCs w:val="20"/>
          <w:lang w:val="en-GB"/>
        </w:rPr>
        <w:t xml:space="preserve">they are in </w:t>
      </w:r>
      <w:r w:rsidR="000E6DF8" w:rsidRPr="00F879DE">
        <w:rPr>
          <w:rFonts w:ascii="Arial" w:hAnsi="Arial" w:cs="Arial"/>
          <w:sz w:val="20"/>
          <w:szCs w:val="20"/>
          <w:lang w:val="en-GB"/>
        </w:rPr>
        <w:t>agreement</w:t>
      </w:r>
      <w:r w:rsidR="00A1180E" w:rsidRPr="00F879DE">
        <w:rPr>
          <w:rFonts w:ascii="Arial" w:hAnsi="Arial" w:cs="Arial"/>
          <w:sz w:val="20"/>
          <w:szCs w:val="20"/>
          <w:lang w:val="en-GB"/>
        </w:rPr>
        <w:t xml:space="preserve">, </w:t>
      </w:r>
      <w:r w:rsidR="00C07630" w:rsidRPr="00F879DE">
        <w:rPr>
          <w:rFonts w:ascii="Arial" w:hAnsi="Arial" w:cs="Arial"/>
          <w:sz w:val="20"/>
          <w:szCs w:val="20"/>
          <w:lang w:val="en-GB"/>
        </w:rPr>
        <w:t xml:space="preserve">before </w:t>
      </w:r>
      <w:r w:rsidR="00A1180E" w:rsidRPr="00F879DE">
        <w:rPr>
          <w:rFonts w:ascii="Arial" w:hAnsi="Arial" w:cs="Arial"/>
          <w:sz w:val="20"/>
          <w:szCs w:val="20"/>
          <w:lang w:val="en-GB"/>
        </w:rPr>
        <w:t xml:space="preserve">they </w:t>
      </w:r>
      <w:r w:rsidR="00C07630" w:rsidRPr="00F879DE">
        <w:rPr>
          <w:rFonts w:ascii="Arial" w:hAnsi="Arial" w:cs="Arial"/>
          <w:sz w:val="20"/>
          <w:szCs w:val="20"/>
          <w:lang w:val="en-GB"/>
        </w:rPr>
        <w:t>engag</w:t>
      </w:r>
      <w:r w:rsidR="00A1180E" w:rsidRPr="00F879DE">
        <w:rPr>
          <w:rFonts w:ascii="Arial" w:hAnsi="Arial" w:cs="Arial"/>
          <w:sz w:val="20"/>
          <w:szCs w:val="20"/>
          <w:lang w:val="en-GB"/>
        </w:rPr>
        <w:t>e</w:t>
      </w:r>
      <w:r w:rsidR="00C07630" w:rsidRPr="00F879DE">
        <w:rPr>
          <w:rFonts w:ascii="Arial" w:hAnsi="Arial" w:cs="Arial"/>
          <w:sz w:val="20"/>
          <w:szCs w:val="20"/>
          <w:lang w:val="en-GB"/>
        </w:rPr>
        <w:t xml:space="preserve"> the Committee. </w:t>
      </w:r>
    </w:p>
    <w:p w:rsidR="00BA78D7" w:rsidRPr="00F879DE" w:rsidRDefault="00C97BC2"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 xml:space="preserve">The Department was advised to properly engage with municipalities with regards to the </w:t>
      </w:r>
      <w:r w:rsidR="000E6DF8" w:rsidRPr="00F879DE">
        <w:rPr>
          <w:rFonts w:ascii="Arial" w:hAnsi="Arial" w:cs="Arial"/>
          <w:sz w:val="20"/>
          <w:szCs w:val="20"/>
          <w:lang w:val="en-GB"/>
        </w:rPr>
        <w:t>District</w:t>
      </w:r>
      <w:r w:rsidRPr="00F879DE">
        <w:rPr>
          <w:rFonts w:ascii="Arial" w:hAnsi="Arial" w:cs="Arial"/>
          <w:sz w:val="20"/>
          <w:szCs w:val="20"/>
          <w:lang w:val="en-GB"/>
        </w:rPr>
        <w:t xml:space="preserve"> Development Model, to ensure that the needs of military veterans are optimally catered </w:t>
      </w:r>
      <w:r w:rsidR="00A1180E" w:rsidRPr="00F879DE">
        <w:rPr>
          <w:rFonts w:ascii="Arial" w:hAnsi="Arial" w:cs="Arial"/>
          <w:sz w:val="20"/>
          <w:szCs w:val="20"/>
          <w:lang w:val="en-GB"/>
        </w:rPr>
        <w:t xml:space="preserve">and provided </w:t>
      </w:r>
      <w:r w:rsidRPr="00F879DE">
        <w:rPr>
          <w:rFonts w:ascii="Arial" w:hAnsi="Arial" w:cs="Arial"/>
          <w:sz w:val="20"/>
          <w:szCs w:val="20"/>
          <w:lang w:val="en-GB"/>
        </w:rPr>
        <w:t>for at this level of government.</w:t>
      </w:r>
    </w:p>
    <w:p w:rsidR="00C97BC2" w:rsidRPr="00F879DE" w:rsidRDefault="00C97BC2"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Given that the means test has been put on hold, the Committee advised that the Department speed up the finalisation of the amendment bill to ensure that benefits are more effectively delivered to military veterans.</w:t>
      </w:r>
      <w:r w:rsidR="00533C52" w:rsidRPr="00F879DE">
        <w:rPr>
          <w:rFonts w:ascii="Arial" w:hAnsi="Arial" w:cs="Arial"/>
          <w:sz w:val="20"/>
          <w:szCs w:val="20"/>
          <w:lang w:val="en-GB"/>
        </w:rPr>
        <w:t xml:space="preserve"> </w:t>
      </w:r>
    </w:p>
    <w:p w:rsidR="005F37B4" w:rsidRPr="00F879DE" w:rsidRDefault="005F37B4" w:rsidP="00F879DE">
      <w:pPr>
        <w:pStyle w:val="ListParagraph"/>
        <w:numPr>
          <w:ilvl w:val="0"/>
          <w:numId w:val="18"/>
        </w:numPr>
        <w:spacing w:after="0" w:line="240" w:lineRule="auto"/>
        <w:ind w:left="720"/>
        <w:rPr>
          <w:rFonts w:ascii="Arial" w:hAnsi="Arial" w:cs="Arial"/>
          <w:sz w:val="20"/>
          <w:szCs w:val="20"/>
          <w:lang w:val="en-GB"/>
        </w:rPr>
      </w:pPr>
      <w:r w:rsidRPr="00F879DE">
        <w:rPr>
          <w:rFonts w:ascii="Arial" w:hAnsi="Arial" w:cs="Arial"/>
          <w:sz w:val="20"/>
          <w:szCs w:val="20"/>
          <w:lang w:val="en-GB"/>
        </w:rPr>
        <w:t>While appreciating the work and progress made by the Presidential Task Team on Military Veterans, the Committee encourage</w:t>
      </w:r>
      <w:r w:rsidR="00BF6C9F" w:rsidRPr="00F879DE">
        <w:rPr>
          <w:rFonts w:ascii="Arial" w:hAnsi="Arial" w:cs="Arial"/>
          <w:sz w:val="20"/>
          <w:szCs w:val="20"/>
          <w:lang w:val="en-GB"/>
        </w:rPr>
        <w:t>s</w:t>
      </w:r>
      <w:r w:rsidRPr="00F879DE">
        <w:rPr>
          <w:rFonts w:ascii="Arial" w:hAnsi="Arial" w:cs="Arial"/>
          <w:sz w:val="20"/>
          <w:szCs w:val="20"/>
          <w:lang w:val="en-GB"/>
        </w:rPr>
        <w:t xml:space="preserve"> the Department to </w:t>
      </w:r>
      <w:r w:rsidR="00EC3FD5" w:rsidRPr="00F879DE">
        <w:rPr>
          <w:rFonts w:ascii="Arial" w:hAnsi="Arial" w:cs="Arial"/>
          <w:sz w:val="20"/>
          <w:szCs w:val="20"/>
          <w:lang w:val="en-GB"/>
        </w:rPr>
        <w:t xml:space="preserve">utilise </w:t>
      </w:r>
      <w:r w:rsidRPr="00F879DE">
        <w:rPr>
          <w:rFonts w:ascii="Arial" w:hAnsi="Arial" w:cs="Arial"/>
          <w:sz w:val="20"/>
          <w:szCs w:val="20"/>
          <w:lang w:val="en-GB"/>
        </w:rPr>
        <w:t xml:space="preserve">this opportunity to its fullest to solicit the </w:t>
      </w:r>
      <w:r w:rsidR="00EC3FD5" w:rsidRPr="00F879DE">
        <w:rPr>
          <w:rFonts w:ascii="Arial" w:hAnsi="Arial" w:cs="Arial"/>
          <w:sz w:val="20"/>
          <w:szCs w:val="20"/>
          <w:lang w:val="en-GB"/>
        </w:rPr>
        <w:t xml:space="preserve">continued </w:t>
      </w:r>
      <w:r w:rsidRPr="00F879DE">
        <w:rPr>
          <w:rFonts w:ascii="Arial" w:hAnsi="Arial" w:cs="Arial"/>
          <w:sz w:val="20"/>
          <w:szCs w:val="20"/>
          <w:lang w:val="en-GB"/>
        </w:rPr>
        <w:t>support of other departments</w:t>
      </w:r>
      <w:r w:rsidR="00BF6C9F" w:rsidRPr="00F879DE">
        <w:rPr>
          <w:rFonts w:ascii="Arial" w:hAnsi="Arial" w:cs="Arial"/>
          <w:sz w:val="20"/>
          <w:szCs w:val="20"/>
          <w:lang w:val="en-GB"/>
        </w:rPr>
        <w:t xml:space="preserve">, </w:t>
      </w:r>
      <w:r w:rsidRPr="00F879DE">
        <w:rPr>
          <w:rFonts w:ascii="Arial" w:hAnsi="Arial" w:cs="Arial"/>
          <w:sz w:val="20"/>
          <w:szCs w:val="20"/>
          <w:lang w:val="en-GB"/>
        </w:rPr>
        <w:t>the provincial and local government</w:t>
      </w:r>
      <w:r w:rsidR="00BF6C9F" w:rsidRPr="00F879DE">
        <w:rPr>
          <w:rFonts w:ascii="Arial" w:hAnsi="Arial" w:cs="Arial"/>
          <w:sz w:val="20"/>
          <w:szCs w:val="20"/>
          <w:lang w:val="en-GB"/>
        </w:rPr>
        <w:t>s</w:t>
      </w:r>
      <w:r w:rsidRPr="00F879DE">
        <w:rPr>
          <w:rFonts w:ascii="Arial" w:hAnsi="Arial" w:cs="Arial"/>
          <w:sz w:val="20"/>
          <w:szCs w:val="20"/>
          <w:lang w:val="en-GB"/>
        </w:rPr>
        <w:t xml:space="preserve">, to ensure that benefits are delivered speedier and effectively. </w:t>
      </w:r>
    </w:p>
    <w:p w:rsidR="003B71B6" w:rsidRPr="00F879DE" w:rsidRDefault="003B71B6" w:rsidP="00F879DE">
      <w:pPr>
        <w:spacing w:after="0" w:line="240" w:lineRule="auto"/>
        <w:rPr>
          <w:rFonts w:ascii="Arial" w:hAnsi="Arial" w:cs="Arial"/>
          <w:sz w:val="20"/>
          <w:szCs w:val="20"/>
          <w:lang w:val="en-GB"/>
        </w:rPr>
      </w:pPr>
    </w:p>
    <w:p w:rsidR="003F647C" w:rsidRPr="00F879DE" w:rsidRDefault="003F647C" w:rsidP="00F879DE">
      <w:pPr>
        <w:spacing w:after="0" w:line="240" w:lineRule="auto"/>
        <w:rPr>
          <w:rFonts w:ascii="Arial" w:hAnsi="Arial" w:cs="Arial"/>
          <w:sz w:val="20"/>
          <w:szCs w:val="20"/>
          <w:lang w:val="en-GB"/>
        </w:rPr>
      </w:pPr>
    </w:p>
    <w:p w:rsidR="0084743E" w:rsidRPr="00F879DE" w:rsidRDefault="0084743E" w:rsidP="00F879DE">
      <w:pPr>
        <w:spacing w:after="0" w:line="240" w:lineRule="auto"/>
        <w:rPr>
          <w:rFonts w:ascii="Arial" w:hAnsi="Arial" w:cs="Arial"/>
          <w:sz w:val="20"/>
          <w:szCs w:val="20"/>
          <w:lang w:val="en-GB"/>
        </w:rPr>
      </w:pPr>
    </w:p>
    <w:p w:rsidR="00C5608F" w:rsidRPr="00F879DE" w:rsidRDefault="0084743E" w:rsidP="00F879DE">
      <w:pPr>
        <w:autoSpaceDE w:val="0"/>
        <w:autoSpaceDN w:val="0"/>
        <w:adjustRightInd w:val="0"/>
        <w:spacing w:after="0" w:line="240" w:lineRule="auto"/>
        <w:rPr>
          <w:rFonts w:ascii="Arial" w:hAnsi="Arial" w:cs="Arial"/>
          <w:sz w:val="20"/>
          <w:szCs w:val="20"/>
        </w:rPr>
      </w:pPr>
      <w:r w:rsidRPr="00F879DE">
        <w:rPr>
          <w:rFonts w:ascii="Arial" w:hAnsi="Arial" w:cs="Arial"/>
          <w:b/>
          <w:i/>
          <w:sz w:val="20"/>
          <w:szCs w:val="20"/>
          <w:lang w:val="en-GB"/>
        </w:rPr>
        <w:t xml:space="preserve">Report to be considered. </w:t>
      </w:r>
    </w:p>
    <w:sectPr w:rsidR="00C5608F" w:rsidRPr="00F879DE" w:rsidSect="00C5608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3D6" w:rsidRDefault="00B763D6" w:rsidP="00870DBB">
      <w:pPr>
        <w:spacing w:after="0" w:line="240" w:lineRule="auto"/>
      </w:pPr>
      <w:r>
        <w:separator/>
      </w:r>
    </w:p>
  </w:endnote>
  <w:endnote w:type="continuationSeparator" w:id="0">
    <w:p w:rsidR="00B763D6" w:rsidRDefault="00B763D6" w:rsidP="00870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3D6" w:rsidRDefault="00B763D6" w:rsidP="00870DBB">
      <w:pPr>
        <w:spacing w:after="0" w:line="240" w:lineRule="auto"/>
      </w:pPr>
      <w:r>
        <w:separator/>
      </w:r>
    </w:p>
  </w:footnote>
  <w:footnote w:type="continuationSeparator" w:id="0">
    <w:p w:rsidR="00B763D6" w:rsidRDefault="00B763D6" w:rsidP="00870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DF4"/>
    <w:multiLevelType w:val="hybridMultilevel"/>
    <w:tmpl w:val="4FB41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D83F91"/>
    <w:multiLevelType w:val="hybridMultilevel"/>
    <w:tmpl w:val="A112DD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E464801"/>
    <w:multiLevelType w:val="hybridMultilevel"/>
    <w:tmpl w:val="2A30D1B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5227FA6"/>
    <w:multiLevelType w:val="hybridMultilevel"/>
    <w:tmpl w:val="9CCCED94"/>
    <w:lvl w:ilvl="0" w:tplc="1C09001B">
      <w:start w:val="1"/>
      <w:numFmt w:val="lowerRoman"/>
      <w:lvlText w:val="%1."/>
      <w:lvlJc w:val="right"/>
      <w:pPr>
        <w:ind w:left="-207" w:hanging="360"/>
      </w:pPr>
      <w:rPr>
        <w:rFonts w:hint="default"/>
      </w:rPr>
    </w:lvl>
    <w:lvl w:ilvl="1" w:tplc="1C090019" w:tentative="1">
      <w:start w:val="1"/>
      <w:numFmt w:val="lowerLetter"/>
      <w:lvlText w:val="%2."/>
      <w:lvlJc w:val="left"/>
      <w:pPr>
        <w:ind w:left="513" w:hanging="360"/>
      </w:pPr>
    </w:lvl>
    <w:lvl w:ilvl="2" w:tplc="1C09001B" w:tentative="1">
      <w:start w:val="1"/>
      <w:numFmt w:val="lowerRoman"/>
      <w:lvlText w:val="%3."/>
      <w:lvlJc w:val="right"/>
      <w:pPr>
        <w:ind w:left="1233" w:hanging="180"/>
      </w:pPr>
    </w:lvl>
    <w:lvl w:ilvl="3" w:tplc="1C09000F" w:tentative="1">
      <w:start w:val="1"/>
      <w:numFmt w:val="decimal"/>
      <w:lvlText w:val="%4."/>
      <w:lvlJc w:val="left"/>
      <w:pPr>
        <w:ind w:left="1953" w:hanging="360"/>
      </w:pPr>
    </w:lvl>
    <w:lvl w:ilvl="4" w:tplc="1C090019" w:tentative="1">
      <w:start w:val="1"/>
      <w:numFmt w:val="lowerLetter"/>
      <w:lvlText w:val="%5."/>
      <w:lvlJc w:val="left"/>
      <w:pPr>
        <w:ind w:left="2673" w:hanging="360"/>
      </w:pPr>
    </w:lvl>
    <w:lvl w:ilvl="5" w:tplc="1C09001B" w:tentative="1">
      <w:start w:val="1"/>
      <w:numFmt w:val="lowerRoman"/>
      <w:lvlText w:val="%6."/>
      <w:lvlJc w:val="right"/>
      <w:pPr>
        <w:ind w:left="3393" w:hanging="180"/>
      </w:pPr>
    </w:lvl>
    <w:lvl w:ilvl="6" w:tplc="1C09000F" w:tentative="1">
      <w:start w:val="1"/>
      <w:numFmt w:val="decimal"/>
      <w:lvlText w:val="%7."/>
      <w:lvlJc w:val="left"/>
      <w:pPr>
        <w:ind w:left="4113" w:hanging="360"/>
      </w:pPr>
    </w:lvl>
    <w:lvl w:ilvl="7" w:tplc="1C090019" w:tentative="1">
      <w:start w:val="1"/>
      <w:numFmt w:val="lowerLetter"/>
      <w:lvlText w:val="%8."/>
      <w:lvlJc w:val="left"/>
      <w:pPr>
        <w:ind w:left="4833" w:hanging="360"/>
      </w:pPr>
    </w:lvl>
    <w:lvl w:ilvl="8" w:tplc="1C09001B" w:tentative="1">
      <w:start w:val="1"/>
      <w:numFmt w:val="lowerRoman"/>
      <w:lvlText w:val="%9."/>
      <w:lvlJc w:val="right"/>
      <w:pPr>
        <w:ind w:left="5553" w:hanging="180"/>
      </w:pPr>
    </w:lvl>
  </w:abstractNum>
  <w:abstractNum w:abstractNumId="4">
    <w:nsid w:val="165C0A03"/>
    <w:multiLevelType w:val="hybridMultilevel"/>
    <w:tmpl w:val="A8F2B7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91452EA"/>
    <w:multiLevelType w:val="hybridMultilevel"/>
    <w:tmpl w:val="49583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D4E023A"/>
    <w:multiLevelType w:val="hybridMultilevel"/>
    <w:tmpl w:val="8312CCD0"/>
    <w:lvl w:ilvl="0" w:tplc="6D1063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1474662"/>
    <w:multiLevelType w:val="hybridMultilevel"/>
    <w:tmpl w:val="AB7639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106A12"/>
    <w:multiLevelType w:val="hybridMultilevel"/>
    <w:tmpl w:val="EF763EC2"/>
    <w:lvl w:ilvl="0" w:tplc="2B9A2C24">
      <w:numFmt w:val="bullet"/>
      <w:lvlText w:val="•"/>
      <w:lvlJc w:val="left"/>
      <w:pPr>
        <w:ind w:left="720" w:hanging="360"/>
      </w:pPr>
      <w:rPr>
        <w:rFonts w:ascii="MyriadPro-Bold" w:eastAsiaTheme="minorHAnsi" w:hAnsi="MyriadPro-Bold" w:cs="MyriadPro-Bold" w:hint="default"/>
        <w:b/>
        <w:color w:val="9D763E"/>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B767F3F"/>
    <w:multiLevelType w:val="hybridMultilevel"/>
    <w:tmpl w:val="F3C44BA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B9E7975"/>
    <w:multiLevelType w:val="hybridMultilevel"/>
    <w:tmpl w:val="9760A1EA"/>
    <w:lvl w:ilvl="0" w:tplc="2B9A2C24">
      <w:numFmt w:val="bullet"/>
      <w:lvlText w:val="•"/>
      <w:lvlJc w:val="left"/>
      <w:pPr>
        <w:ind w:left="720" w:hanging="360"/>
      </w:pPr>
      <w:rPr>
        <w:rFonts w:ascii="MyriadPro-Bold" w:eastAsiaTheme="minorHAnsi" w:hAnsi="MyriadPro-Bold" w:cs="MyriadPro-Bold" w:hint="default"/>
        <w:b/>
        <w:color w:val="9D763E"/>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F705AB"/>
    <w:multiLevelType w:val="hybridMultilevel"/>
    <w:tmpl w:val="5F943B06"/>
    <w:lvl w:ilvl="0" w:tplc="1C09001B">
      <w:start w:val="1"/>
      <w:numFmt w:val="lowerRoman"/>
      <w:lvlText w:val="%1."/>
      <w:lvlJc w:val="righ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32F47D3A"/>
    <w:multiLevelType w:val="hybridMultilevel"/>
    <w:tmpl w:val="458A53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0D3015"/>
    <w:multiLevelType w:val="hybridMultilevel"/>
    <w:tmpl w:val="A5868B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D1A1F99"/>
    <w:multiLevelType w:val="hybridMultilevel"/>
    <w:tmpl w:val="A080D7BC"/>
    <w:lvl w:ilvl="0" w:tplc="033A231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DB71D3F"/>
    <w:multiLevelType w:val="hybridMultilevel"/>
    <w:tmpl w:val="856AAD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0487DC4"/>
    <w:multiLevelType w:val="hybridMultilevel"/>
    <w:tmpl w:val="A6603D54"/>
    <w:lvl w:ilvl="0" w:tplc="2F34244A">
      <w:start w:val="1"/>
      <w:numFmt w:val="lowerRoman"/>
      <w:lvlText w:val="%1."/>
      <w:lvlJc w:val="left"/>
      <w:pPr>
        <w:ind w:left="720" w:hanging="72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1DB5A34"/>
    <w:multiLevelType w:val="hybridMultilevel"/>
    <w:tmpl w:val="1402F754"/>
    <w:lvl w:ilvl="0" w:tplc="DABAD1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B2D3B1B"/>
    <w:multiLevelType w:val="hybridMultilevel"/>
    <w:tmpl w:val="AF92E5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E571F5A"/>
    <w:multiLevelType w:val="hybridMultilevel"/>
    <w:tmpl w:val="05E0C9B2"/>
    <w:lvl w:ilvl="0" w:tplc="1C09001B">
      <w:start w:val="1"/>
      <w:numFmt w:val="lowerRoman"/>
      <w:lvlText w:val="%1."/>
      <w:lvlJc w:val="righ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FCD21B0"/>
    <w:multiLevelType w:val="hybridMultilevel"/>
    <w:tmpl w:val="84041138"/>
    <w:lvl w:ilvl="0" w:tplc="D326F6DC">
      <w:start w:val="1"/>
      <w:numFmt w:val="lowerRoman"/>
      <w:lvlText w:val="%1."/>
      <w:lvlJc w:val="right"/>
      <w:pPr>
        <w:ind w:left="720" w:hanging="360"/>
      </w:pPr>
      <w:rPr>
        <w:rFonts w:ascii="Times New Roman" w:hAnsi="Times New Roman" w:cs="Times New Roman"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3"/>
  </w:num>
  <w:num w:numId="5">
    <w:abstractNumId w:val="11"/>
  </w:num>
  <w:num w:numId="6">
    <w:abstractNumId w:val="1"/>
  </w:num>
  <w:num w:numId="7">
    <w:abstractNumId w:val="10"/>
  </w:num>
  <w:num w:numId="8">
    <w:abstractNumId w:val="8"/>
  </w:num>
  <w:num w:numId="9">
    <w:abstractNumId w:val="5"/>
  </w:num>
  <w:num w:numId="10">
    <w:abstractNumId w:val="4"/>
  </w:num>
  <w:num w:numId="11">
    <w:abstractNumId w:val="13"/>
  </w:num>
  <w:num w:numId="12">
    <w:abstractNumId w:val="2"/>
  </w:num>
  <w:num w:numId="13">
    <w:abstractNumId w:val="6"/>
  </w:num>
  <w:num w:numId="14">
    <w:abstractNumId w:val="19"/>
  </w:num>
  <w:num w:numId="15">
    <w:abstractNumId w:val="7"/>
  </w:num>
  <w:num w:numId="16">
    <w:abstractNumId w:val="9"/>
  </w:num>
  <w:num w:numId="17">
    <w:abstractNumId w:val="18"/>
  </w:num>
  <w:num w:numId="18">
    <w:abstractNumId w:val="17"/>
  </w:num>
  <w:num w:numId="19">
    <w:abstractNumId w:val="16"/>
  </w:num>
  <w:num w:numId="20">
    <w:abstractNumId w:val="2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4743E"/>
    <w:rsid w:val="00055A2D"/>
    <w:rsid w:val="000916C5"/>
    <w:rsid w:val="000C5BC8"/>
    <w:rsid w:val="000E6DF8"/>
    <w:rsid w:val="00117B53"/>
    <w:rsid w:val="001363D2"/>
    <w:rsid w:val="0023197E"/>
    <w:rsid w:val="00234BEC"/>
    <w:rsid w:val="002451C9"/>
    <w:rsid w:val="00255A3D"/>
    <w:rsid w:val="00286CAB"/>
    <w:rsid w:val="002B58B5"/>
    <w:rsid w:val="002D39F8"/>
    <w:rsid w:val="002D416D"/>
    <w:rsid w:val="00386B49"/>
    <w:rsid w:val="003B2D60"/>
    <w:rsid w:val="003B71B6"/>
    <w:rsid w:val="003D470F"/>
    <w:rsid w:val="003F2E23"/>
    <w:rsid w:val="003F647C"/>
    <w:rsid w:val="00517EB0"/>
    <w:rsid w:val="00533C52"/>
    <w:rsid w:val="005A3FCE"/>
    <w:rsid w:val="005E18D5"/>
    <w:rsid w:val="005F37B4"/>
    <w:rsid w:val="00602DFD"/>
    <w:rsid w:val="00622C6B"/>
    <w:rsid w:val="00625062"/>
    <w:rsid w:val="0067405A"/>
    <w:rsid w:val="0069776A"/>
    <w:rsid w:val="006B7047"/>
    <w:rsid w:val="007032B1"/>
    <w:rsid w:val="007059D8"/>
    <w:rsid w:val="00737B23"/>
    <w:rsid w:val="007619B6"/>
    <w:rsid w:val="007B6808"/>
    <w:rsid w:val="007F78BB"/>
    <w:rsid w:val="0084743E"/>
    <w:rsid w:val="00847CD4"/>
    <w:rsid w:val="00870DBB"/>
    <w:rsid w:val="00893C69"/>
    <w:rsid w:val="008C0FCD"/>
    <w:rsid w:val="00926F7E"/>
    <w:rsid w:val="00954B86"/>
    <w:rsid w:val="00982A66"/>
    <w:rsid w:val="00A06663"/>
    <w:rsid w:val="00A1180E"/>
    <w:rsid w:val="00A8263C"/>
    <w:rsid w:val="00A82832"/>
    <w:rsid w:val="00AB71C6"/>
    <w:rsid w:val="00AC2203"/>
    <w:rsid w:val="00B111DD"/>
    <w:rsid w:val="00B15979"/>
    <w:rsid w:val="00B3622F"/>
    <w:rsid w:val="00B6002F"/>
    <w:rsid w:val="00B763D6"/>
    <w:rsid w:val="00B83A4D"/>
    <w:rsid w:val="00BA664C"/>
    <w:rsid w:val="00BA78D7"/>
    <w:rsid w:val="00BF6C9F"/>
    <w:rsid w:val="00C07630"/>
    <w:rsid w:val="00C5608F"/>
    <w:rsid w:val="00C97BC2"/>
    <w:rsid w:val="00CB3852"/>
    <w:rsid w:val="00CC1A53"/>
    <w:rsid w:val="00CD112B"/>
    <w:rsid w:val="00D31F76"/>
    <w:rsid w:val="00D360D5"/>
    <w:rsid w:val="00D53396"/>
    <w:rsid w:val="00E335AE"/>
    <w:rsid w:val="00E63609"/>
    <w:rsid w:val="00EC3FD5"/>
    <w:rsid w:val="00F15A9A"/>
    <w:rsid w:val="00F232A3"/>
    <w:rsid w:val="00F834B9"/>
    <w:rsid w:val="00F84778"/>
    <w:rsid w:val="00F879DE"/>
    <w:rsid w:val="00F936DF"/>
    <w:rsid w:val="00FB3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3E"/>
  </w:style>
  <w:style w:type="paragraph" w:styleId="Heading1">
    <w:name w:val="heading 1"/>
    <w:basedOn w:val="Normal"/>
    <w:next w:val="Normal"/>
    <w:link w:val="Heading1Char"/>
    <w:uiPriority w:val="9"/>
    <w:qFormat/>
    <w:rsid w:val="00E335AE"/>
    <w:pPr>
      <w:keepNext/>
      <w:keepLines/>
      <w:spacing w:before="240" w:after="0" w:line="280" w:lineRule="exact"/>
      <w:outlineLvl w:val="0"/>
    </w:pPr>
    <w:rPr>
      <w:rFonts w:asciiTheme="majorHAnsi" w:eastAsiaTheme="majorEastAsia" w:hAnsiTheme="majorHAnsi" w:cstheme="majorBidi"/>
      <w:color w:val="2E74B5" w:themeColor="accent1" w:themeShade="BF"/>
      <w:spacing w:val="6"/>
      <w:sz w:val="32"/>
      <w:szCs w:val="32"/>
      <w:lang w:val="en-GB" w:eastAsia="en-GB"/>
    </w:rPr>
  </w:style>
  <w:style w:type="paragraph" w:styleId="Heading3">
    <w:name w:val="heading 3"/>
    <w:basedOn w:val="Normal"/>
    <w:next w:val="Normal"/>
    <w:link w:val="Heading3Char"/>
    <w:uiPriority w:val="9"/>
    <w:unhideWhenUsed/>
    <w:qFormat/>
    <w:rsid w:val="000C5BC8"/>
    <w:pPr>
      <w:keepNext/>
      <w:keepLines/>
      <w:spacing w:before="40" w:after="0" w:line="280" w:lineRule="exact"/>
      <w:outlineLvl w:val="2"/>
    </w:pPr>
    <w:rPr>
      <w:rFonts w:asciiTheme="majorHAnsi" w:eastAsiaTheme="majorEastAsia" w:hAnsiTheme="majorHAnsi" w:cstheme="majorBidi"/>
      <w:color w:val="1F4D78" w:themeColor="accent1" w:themeShade="7F"/>
      <w:spacing w:val="6"/>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hapter Numbering,List Paragraph - 2,Riana Table Bullets 1,Bullets"/>
    <w:basedOn w:val="Normal"/>
    <w:link w:val="ListParagraphChar"/>
    <w:uiPriority w:val="34"/>
    <w:qFormat/>
    <w:rsid w:val="0084743E"/>
    <w:pPr>
      <w:ind w:left="720"/>
      <w:contextualSpacing/>
    </w:pPr>
  </w:style>
  <w:style w:type="character" w:customStyle="1" w:styleId="ListParagraphChar">
    <w:name w:val="List Paragraph Char"/>
    <w:aliases w:val="Chapter Numbering Char,List Paragraph - 2 Char,Riana Table Bullets 1 Char,Bullets Char"/>
    <w:link w:val="ListParagraph"/>
    <w:uiPriority w:val="34"/>
    <w:locked/>
    <w:rsid w:val="0084743E"/>
  </w:style>
  <w:style w:type="paragraph" w:customStyle="1" w:styleId="Default">
    <w:name w:val="Default"/>
    <w:rsid w:val="0084743E"/>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84743E"/>
    <w:pPr>
      <w:spacing w:after="120" w:line="240" w:lineRule="auto"/>
    </w:pPr>
    <w:rPr>
      <w:rFonts w:ascii="Arial" w:eastAsia="Times New Roman" w:hAnsi="Arial" w:cs="Times New Roman"/>
      <w:color w:val="001F00"/>
      <w:spacing w:val="6"/>
      <w:sz w:val="16"/>
      <w:szCs w:val="16"/>
      <w:lang w:val="en-GB" w:eastAsia="en-GB"/>
    </w:rPr>
  </w:style>
  <w:style w:type="character" w:customStyle="1" w:styleId="BodyText3Char">
    <w:name w:val="Body Text 3 Char"/>
    <w:basedOn w:val="DefaultParagraphFont"/>
    <w:link w:val="BodyText3"/>
    <w:rsid w:val="0084743E"/>
    <w:rPr>
      <w:rFonts w:ascii="Arial" w:eastAsia="Times New Roman" w:hAnsi="Arial" w:cs="Times New Roman"/>
      <w:color w:val="001F00"/>
      <w:spacing w:val="6"/>
      <w:sz w:val="16"/>
      <w:szCs w:val="16"/>
      <w:lang w:val="en-GB" w:eastAsia="en-GB"/>
    </w:rPr>
  </w:style>
  <w:style w:type="paragraph" w:styleId="FootnoteText">
    <w:name w:val="footnote text"/>
    <w:basedOn w:val="Normal"/>
    <w:link w:val="FootnoteTextChar"/>
    <w:unhideWhenUsed/>
    <w:rsid w:val="00870DBB"/>
    <w:pPr>
      <w:spacing w:after="0" w:line="240" w:lineRule="auto"/>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rsid w:val="00870DBB"/>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unhideWhenUsed/>
    <w:rsid w:val="00870DBB"/>
    <w:rPr>
      <w:vertAlign w:val="superscript"/>
    </w:rPr>
  </w:style>
  <w:style w:type="character" w:customStyle="1" w:styleId="Heading3Char">
    <w:name w:val="Heading 3 Char"/>
    <w:basedOn w:val="DefaultParagraphFont"/>
    <w:link w:val="Heading3"/>
    <w:uiPriority w:val="9"/>
    <w:rsid w:val="000C5BC8"/>
    <w:rPr>
      <w:rFonts w:asciiTheme="majorHAnsi" w:eastAsiaTheme="majorEastAsia" w:hAnsiTheme="majorHAnsi" w:cstheme="majorBidi"/>
      <w:color w:val="1F4D78" w:themeColor="accent1" w:themeShade="7F"/>
      <w:spacing w:val="6"/>
      <w:sz w:val="24"/>
      <w:szCs w:val="24"/>
      <w:lang w:val="en-GB" w:eastAsia="en-GB"/>
    </w:rPr>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2E74B5" w:themeColor="accent1" w:themeShade="BF"/>
      <w:spacing w:val="6"/>
      <w:sz w:val="32"/>
      <w:szCs w:val="32"/>
      <w:lang w:val="en-GB" w:eastAsia="en-GB"/>
    </w:rPr>
  </w:style>
  <w:style w:type="table" w:customStyle="1" w:styleId="TableGrid1">
    <w:name w:val="Table Grid1"/>
    <w:basedOn w:val="TableNormal"/>
    <w:next w:val="TableGrid"/>
    <w:uiPriority w:val="39"/>
    <w:rsid w:val="00136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1B6"/>
    <w:rPr>
      <w:rFonts w:ascii="Segoe UI" w:hAnsi="Segoe UI" w:cs="Segoe UI"/>
      <w:sz w:val="18"/>
      <w:szCs w:val="18"/>
    </w:rPr>
  </w:style>
  <w:style w:type="character" w:styleId="CommentReference">
    <w:name w:val="annotation reference"/>
    <w:basedOn w:val="DefaultParagraphFont"/>
    <w:uiPriority w:val="99"/>
    <w:semiHidden/>
    <w:unhideWhenUsed/>
    <w:rsid w:val="00954B86"/>
    <w:rPr>
      <w:sz w:val="16"/>
      <w:szCs w:val="16"/>
    </w:rPr>
  </w:style>
  <w:style w:type="paragraph" w:styleId="CommentText">
    <w:name w:val="annotation text"/>
    <w:basedOn w:val="Normal"/>
    <w:link w:val="CommentTextChar"/>
    <w:uiPriority w:val="99"/>
    <w:semiHidden/>
    <w:unhideWhenUsed/>
    <w:rsid w:val="00954B86"/>
    <w:pPr>
      <w:spacing w:line="240" w:lineRule="auto"/>
    </w:pPr>
    <w:rPr>
      <w:sz w:val="20"/>
      <w:szCs w:val="20"/>
    </w:rPr>
  </w:style>
  <w:style w:type="character" w:customStyle="1" w:styleId="CommentTextChar">
    <w:name w:val="Comment Text Char"/>
    <w:basedOn w:val="DefaultParagraphFont"/>
    <w:link w:val="CommentText"/>
    <w:uiPriority w:val="99"/>
    <w:semiHidden/>
    <w:rsid w:val="00954B86"/>
    <w:rPr>
      <w:sz w:val="20"/>
      <w:szCs w:val="20"/>
    </w:rPr>
  </w:style>
  <w:style w:type="paragraph" w:styleId="CommentSubject">
    <w:name w:val="annotation subject"/>
    <w:basedOn w:val="CommentText"/>
    <w:next w:val="CommentText"/>
    <w:link w:val="CommentSubjectChar"/>
    <w:uiPriority w:val="99"/>
    <w:semiHidden/>
    <w:unhideWhenUsed/>
    <w:rsid w:val="00954B86"/>
    <w:rPr>
      <w:b/>
      <w:bCs/>
    </w:rPr>
  </w:style>
  <w:style w:type="character" w:customStyle="1" w:styleId="CommentSubjectChar">
    <w:name w:val="Comment Subject Char"/>
    <w:basedOn w:val="CommentTextChar"/>
    <w:link w:val="CommentSubject"/>
    <w:uiPriority w:val="99"/>
    <w:semiHidden/>
    <w:rsid w:val="00954B8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6C69B-9107-4F99-9E95-427C3CC1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2022-06-07T09:15:00Z</dcterms:created>
  <dcterms:modified xsi:type="dcterms:W3CDTF">2022-06-07T09:15:00Z</dcterms:modified>
</cp:coreProperties>
</file>