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DD" w:rsidRPr="00520A07" w:rsidRDefault="00520A07" w:rsidP="00520A07">
      <w:r>
        <w:rPr>
          <w:rStyle w:val="Strong"/>
          <w:rFonts w:ascii="Helvetica" w:hAnsi="Helvetica" w:cs="Helvetica"/>
          <w:color w:val="202020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SELECT COMMITTEE ON TRANSPORT WELCOMES SANRAL’S HORIZON 2030 STRATEGY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Parliament, Wednesday, 7 October 2020</w:t>
      </w:r>
      <w:r>
        <w:rPr>
          <w:rFonts w:ascii="Helvetica" w:hAnsi="Helvetica" w:cs="Helvetica"/>
          <w:color w:val="202020"/>
          <w:shd w:val="clear" w:color="auto" w:fill="FFFFFF"/>
        </w:rPr>
        <w:t> – The Select Committee on Transport, Public Service and Administration and Public Works and Infrastructure today welcomed the briefing by South African National Roads Agency SOC Limited (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) on its Horizon 2030 Strategy. This strategy is a long-term plan for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which articulates its vision and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strategical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and tactical interventions needed to deliver on its mandate.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manages more than 22 000 km of roads that are estimated at a net asset value of R251.6 billion.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Chairperson of the committee, Mr Kenneth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Mmoiemang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, said “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plays a major role in the construction and recovery plan and in investment and infrastructure”.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current economic situation has marginalised the poor and working class and the committee is pleased that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places a high focus on community development and local employment, sourcing workers for projects from nearby communities, thus providing some relief to the poor.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committee heard that funding has been negatively impacted due to the e-Tolls issue which is still not being resolved, which resulted in low payment compliance. The impact of Covid-19 and lockdown regulations impacted on the non-toll allocation which was reduced by R1.1billion. However,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has assured the committee that it is financially stable till October 2021.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committee noted the update which was provided on the high socio-economic flagship projects such as the N2 Wild Coast-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Msikaba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Bridge project which is underway, whilst the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Mtentu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Bridge has been re-tendered. Tenders have been issued for consulting engineering design services for the N1/N2/R300 Cape Town routes. On the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Moloto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R573 project, it was reported that the Gauteng portion has been transferred to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, the Phase 1 of the project has been completed in Mpumalanga, whilst the project in Limpopo has been affected by the contractor undergoing business rescue. The N2/N3 Durban project is also underway with six more project packages to be tendered over the next six months.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The Chairperson appreciated the manner in which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interacted with the committee and has given them two weeks to submit detailed responses to questions which were asked today.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hd w:val="clear" w:color="auto" w:fill="FFFFFF"/>
        </w:rPr>
        <w:t>ISSUED BY THE PARLIAMENTARY COMMUNICATION SERVICES ON BEHALF OF THE CHAIRPERSON OF THE SELECT COMMITTEE ON TRANSPORT, PUBLIC SERVICE AND ADMINISTRATION AND PUBLIC WORKS AND INFRASTRUCTURE, MR KENNY MMOIEMANG.</w:t>
      </w:r>
      <w:proofErr w:type="gramEnd"/>
    </w:p>
    <w:sectPr w:rsidR="005645DD" w:rsidRPr="00520A07" w:rsidSect="0056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EC8"/>
    <w:rsid w:val="00520A07"/>
    <w:rsid w:val="005645DD"/>
    <w:rsid w:val="008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2020-10-08T11:25:00Z</dcterms:created>
  <dcterms:modified xsi:type="dcterms:W3CDTF">2020-10-08T11:25:00Z</dcterms:modified>
</cp:coreProperties>
</file>