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61" w:rsidRPr="009B69D1" w:rsidRDefault="009B69D1" w:rsidP="00C42461">
      <w:pPr>
        <w:spacing w:before="100" w:beforeAutospacing="1" w:after="240"/>
        <w:jc w:val="both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b/>
          <w:sz w:val="24"/>
          <w:szCs w:val="24"/>
        </w:rPr>
        <w:t xml:space="preserve">Information as per the </w:t>
      </w:r>
      <w:r w:rsidR="00C42461" w:rsidRPr="009B69D1">
        <w:rPr>
          <w:rFonts w:ascii="Century Gothic" w:hAnsi="Century Gothic" w:cs="Arial"/>
          <w:b/>
          <w:sz w:val="24"/>
          <w:szCs w:val="24"/>
        </w:rPr>
        <w:t>Deliberations on the Municipal Systems Amendment Bill</w:t>
      </w:r>
      <w:r w:rsidR="00470053" w:rsidRPr="009B69D1">
        <w:rPr>
          <w:rFonts w:ascii="Century Gothic" w:hAnsi="Century Gothic" w:cs="Arial"/>
          <w:b/>
          <w:sz w:val="24"/>
          <w:szCs w:val="24"/>
        </w:rPr>
        <w:t xml:space="preserve"> (MSA Bill)</w:t>
      </w:r>
      <w:r>
        <w:rPr>
          <w:rFonts w:ascii="Century Gothic" w:hAnsi="Century Gothic" w:cs="Arial"/>
          <w:b/>
          <w:sz w:val="24"/>
          <w:szCs w:val="24"/>
        </w:rPr>
        <w:t xml:space="preserve"> – held on 30 July 2020</w:t>
      </w:r>
    </w:p>
    <w:p w:rsidR="00C42461" w:rsidRPr="009B69D1" w:rsidRDefault="00C42461" w:rsidP="00470053">
      <w:pPr>
        <w:pStyle w:val="ListParagraph"/>
        <w:numPr>
          <w:ilvl w:val="0"/>
          <w:numId w:val="2"/>
        </w:numPr>
        <w:spacing w:before="100" w:beforeAutospacing="1" w:after="240"/>
        <w:ind w:left="450" w:hanging="450"/>
        <w:jc w:val="both"/>
        <w:rPr>
          <w:rFonts w:ascii="Century Gothic" w:hAnsi="Century Gothic" w:cs="Arial"/>
          <w:sz w:val="24"/>
          <w:szCs w:val="24"/>
          <w:lang w:val="en-US"/>
        </w:rPr>
      </w:pPr>
      <w:r w:rsidRPr="009B69D1">
        <w:rPr>
          <w:rFonts w:ascii="Century Gothic" w:hAnsi="Century Gothic" w:cs="Arial"/>
          <w:sz w:val="24"/>
          <w:szCs w:val="24"/>
        </w:rPr>
        <w:t>Documentary evidence of public consultation on the proposal to make managers reporting to MMs permanent</w:t>
      </w:r>
    </w:p>
    <w:p w:rsidR="009B69D1" w:rsidRPr="009B69D1" w:rsidRDefault="009B69D1" w:rsidP="009B69D1">
      <w:pPr>
        <w:pStyle w:val="ListParagraph"/>
        <w:spacing w:before="100" w:beforeAutospacing="1" w:after="240"/>
        <w:ind w:left="450"/>
        <w:jc w:val="both"/>
        <w:rPr>
          <w:rFonts w:ascii="Century Gothic" w:hAnsi="Century Gothic" w:cs="Arial"/>
          <w:sz w:val="24"/>
          <w:szCs w:val="24"/>
          <w:lang w:val="en-US"/>
        </w:rPr>
      </w:pPr>
    </w:p>
    <w:p w:rsidR="005676AD" w:rsidRDefault="005676AD" w:rsidP="00587436">
      <w:pPr>
        <w:pStyle w:val="ListParagraph"/>
        <w:numPr>
          <w:ilvl w:val="1"/>
          <w:numId w:val="5"/>
        </w:numPr>
        <w:spacing w:before="100" w:beforeAutospacing="1" w:after="240"/>
        <w:jc w:val="both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t>List of stakeholders</w:t>
      </w:r>
      <w:r w:rsidR="00F03B11">
        <w:rPr>
          <w:rFonts w:ascii="Century Gothic" w:hAnsi="Century Gothic" w:cs="Arial"/>
          <w:sz w:val="24"/>
          <w:szCs w:val="24"/>
          <w:lang w:val="en-US"/>
        </w:rPr>
        <w:t xml:space="preserve"> widely consulted </w:t>
      </w:r>
      <w:r>
        <w:rPr>
          <w:rFonts w:ascii="Century Gothic" w:hAnsi="Century Gothic" w:cs="Arial"/>
          <w:sz w:val="24"/>
          <w:szCs w:val="24"/>
          <w:lang w:val="en-US"/>
        </w:rPr>
        <w:t xml:space="preserve">on the Bill - </w:t>
      </w:r>
      <w:r w:rsidRPr="00587436">
        <w:rPr>
          <w:rFonts w:ascii="Century Gothic" w:hAnsi="Century Gothic" w:cs="Arial"/>
          <w:sz w:val="24"/>
          <w:szCs w:val="24"/>
          <w:lang w:val="en-US"/>
        </w:rPr>
        <w:t xml:space="preserve">Annexure </w:t>
      </w:r>
      <w:r w:rsidRPr="00FD1E5F">
        <w:rPr>
          <w:rFonts w:ascii="Century Gothic" w:hAnsi="Century Gothic" w:cs="Arial"/>
          <w:b/>
          <w:sz w:val="24"/>
          <w:szCs w:val="24"/>
          <w:lang w:val="en-US"/>
        </w:rPr>
        <w:t>“A”</w:t>
      </w:r>
      <w:r w:rsidRPr="00587436">
        <w:rPr>
          <w:rFonts w:ascii="Century Gothic" w:hAnsi="Century Gothic" w:cs="Arial"/>
          <w:sz w:val="24"/>
          <w:szCs w:val="24"/>
          <w:lang w:val="en-US"/>
        </w:rPr>
        <w:t>;</w:t>
      </w:r>
      <w:r>
        <w:rPr>
          <w:rFonts w:ascii="Century Gothic" w:hAnsi="Century Gothic" w:cs="Arial"/>
          <w:sz w:val="24"/>
          <w:szCs w:val="24"/>
          <w:lang w:val="en-US"/>
        </w:rPr>
        <w:t xml:space="preserve"> </w:t>
      </w:r>
    </w:p>
    <w:p w:rsidR="00587436" w:rsidRDefault="00587436" w:rsidP="00587436">
      <w:pPr>
        <w:pStyle w:val="ListParagraph"/>
        <w:numPr>
          <w:ilvl w:val="1"/>
          <w:numId w:val="5"/>
        </w:numPr>
        <w:spacing w:before="100" w:beforeAutospacing="1" w:after="240"/>
        <w:jc w:val="both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t>Matrix of the Public comments received on the Municipal Systems Amendment Bill</w:t>
      </w:r>
      <w:r w:rsidRPr="00587436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>
        <w:rPr>
          <w:rFonts w:ascii="Century Gothic" w:hAnsi="Century Gothic" w:cs="Arial"/>
          <w:sz w:val="24"/>
          <w:szCs w:val="24"/>
          <w:lang w:val="en-US"/>
        </w:rPr>
        <w:t xml:space="preserve">- </w:t>
      </w:r>
      <w:r w:rsidR="00470053" w:rsidRPr="00587436">
        <w:rPr>
          <w:rFonts w:ascii="Century Gothic" w:hAnsi="Century Gothic" w:cs="Arial"/>
          <w:sz w:val="24"/>
          <w:szCs w:val="24"/>
          <w:lang w:val="en-US"/>
        </w:rPr>
        <w:t xml:space="preserve">Annexure </w:t>
      </w:r>
      <w:r w:rsidR="00470053" w:rsidRPr="00FD1E5F">
        <w:rPr>
          <w:rFonts w:ascii="Century Gothic" w:hAnsi="Century Gothic" w:cs="Arial"/>
          <w:b/>
          <w:sz w:val="24"/>
          <w:szCs w:val="24"/>
          <w:lang w:val="en-US"/>
        </w:rPr>
        <w:t>“</w:t>
      </w:r>
      <w:r w:rsidR="005676AD">
        <w:rPr>
          <w:rFonts w:ascii="Century Gothic" w:hAnsi="Century Gothic" w:cs="Arial"/>
          <w:b/>
          <w:sz w:val="24"/>
          <w:szCs w:val="24"/>
          <w:lang w:val="en-US"/>
        </w:rPr>
        <w:t>B</w:t>
      </w:r>
      <w:r w:rsidR="00470053" w:rsidRPr="00FD1E5F">
        <w:rPr>
          <w:rFonts w:ascii="Century Gothic" w:hAnsi="Century Gothic" w:cs="Arial"/>
          <w:b/>
          <w:sz w:val="24"/>
          <w:szCs w:val="24"/>
          <w:lang w:val="en-US"/>
        </w:rPr>
        <w:t>”</w:t>
      </w:r>
      <w:r w:rsidRPr="00587436">
        <w:rPr>
          <w:rFonts w:ascii="Century Gothic" w:hAnsi="Century Gothic" w:cs="Arial"/>
          <w:sz w:val="24"/>
          <w:szCs w:val="24"/>
          <w:lang w:val="en-US"/>
        </w:rPr>
        <w:t>;</w:t>
      </w:r>
    </w:p>
    <w:p w:rsidR="00FD1E5F" w:rsidRPr="003E38FB" w:rsidRDefault="00FD1E5F" w:rsidP="00FD1E5F">
      <w:pPr>
        <w:pStyle w:val="ListParagraph"/>
        <w:numPr>
          <w:ilvl w:val="1"/>
          <w:numId w:val="5"/>
        </w:numPr>
        <w:spacing w:before="100" w:beforeAutospacing="1" w:after="240"/>
        <w:jc w:val="both"/>
        <w:rPr>
          <w:rFonts w:ascii="Century Gothic" w:hAnsi="Century Gothic" w:cs="Arial"/>
          <w:bCs/>
          <w:sz w:val="24"/>
          <w:szCs w:val="24"/>
          <w:lang w:val="en-US"/>
        </w:rPr>
      </w:pPr>
      <w:r w:rsidRPr="00FD1E5F">
        <w:rPr>
          <w:rFonts w:ascii="Century Gothic" w:hAnsi="Century Gothic" w:cs="Arial"/>
          <w:bCs/>
          <w:sz w:val="24"/>
          <w:szCs w:val="24"/>
        </w:rPr>
        <w:t xml:space="preserve">National Economic Development and </w:t>
      </w:r>
      <w:r w:rsidR="003E38FB" w:rsidRPr="00FD1E5F">
        <w:rPr>
          <w:rFonts w:ascii="Century Gothic" w:hAnsi="Century Gothic" w:cs="Arial"/>
          <w:bCs/>
          <w:sz w:val="24"/>
          <w:szCs w:val="24"/>
        </w:rPr>
        <w:t>Labour</w:t>
      </w:r>
      <w:r w:rsidRPr="00FD1E5F">
        <w:rPr>
          <w:rFonts w:ascii="Century Gothic" w:hAnsi="Century Gothic" w:cs="Arial"/>
          <w:bCs/>
          <w:sz w:val="24"/>
          <w:szCs w:val="24"/>
        </w:rPr>
        <w:t xml:space="preserve"> Council ( NEDLAC )</w:t>
      </w:r>
      <w:r>
        <w:rPr>
          <w:rFonts w:ascii="Century Gothic" w:hAnsi="Century Gothic" w:cs="Arial"/>
          <w:bCs/>
          <w:sz w:val="24"/>
          <w:szCs w:val="24"/>
        </w:rPr>
        <w:t xml:space="preserve"> report</w:t>
      </w:r>
      <w:r>
        <w:rPr>
          <w:rFonts w:ascii="Century Gothic" w:hAnsi="Century Gothic" w:cs="Arial"/>
          <w:sz w:val="24"/>
          <w:szCs w:val="24"/>
          <w:lang w:val="en-US"/>
        </w:rPr>
        <w:t xml:space="preserve">- </w:t>
      </w:r>
      <w:r w:rsidRPr="00587436">
        <w:rPr>
          <w:rFonts w:ascii="Century Gothic" w:hAnsi="Century Gothic" w:cs="Arial"/>
          <w:sz w:val="24"/>
          <w:szCs w:val="24"/>
          <w:lang w:val="en-US"/>
        </w:rPr>
        <w:t xml:space="preserve">Annexure </w:t>
      </w:r>
      <w:r w:rsidRPr="00FD1E5F">
        <w:rPr>
          <w:rFonts w:ascii="Century Gothic" w:hAnsi="Century Gothic" w:cs="Arial"/>
          <w:b/>
          <w:sz w:val="24"/>
          <w:szCs w:val="24"/>
          <w:lang w:val="en-US"/>
        </w:rPr>
        <w:t>“</w:t>
      </w:r>
      <w:r w:rsidR="005676AD">
        <w:rPr>
          <w:rFonts w:ascii="Century Gothic" w:hAnsi="Century Gothic" w:cs="Arial"/>
          <w:b/>
          <w:sz w:val="24"/>
          <w:szCs w:val="24"/>
          <w:lang w:val="en-US"/>
        </w:rPr>
        <w:t>C</w:t>
      </w:r>
      <w:r w:rsidRPr="00FD1E5F">
        <w:rPr>
          <w:rFonts w:ascii="Century Gothic" w:hAnsi="Century Gothic" w:cs="Arial"/>
          <w:b/>
          <w:sz w:val="24"/>
          <w:szCs w:val="24"/>
          <w:lang w:val="en-US"/>
        </w:rPr>
        <w:t>”</w:t>
      </w:r>
      <w:r w:rsidRPr="00FD1E5F">
        <w:rPr>
          <w:rFonts w:ascii="Century Gothic" w:hAnsi="Century Gothic" w:cs="Arial"/>
          <w:sz w:val="24"/>
          <w:szCs w:val="24"/>
          <w:lang w:val="en-US"/>
        </w:rPr>
        <w:t>;</w:t>
      </w:r>
    </w:p>
    <w:p w:rsidR="00587436" w:rsidRPr="00587436" w:rsidRDefault="00587436" w:rsidP="00FD1E5F">
      <w:pPr>
        <w:pStyle w:val="ListParagraph"/>
        <w:spacing w:before="100" w:beforeAutospacing="1" w:after="240"/>
        <w:ind w:left="1170"/>
        <w:jc w:val="both"/>
        <w:rPr>
          <w:rFonts w:ascii="Century Gothic" w:hAnsi="Century Gothic" w:cs="Arial"/>
          <w:sz w:val="24"/>
          <w:szCs w:val="24"/>
          <w:lang w:val="en-US"/>
        </w:rPr>
      </w:pPr>
    </w:p>
    <w:p w:rsidR="00C42461" w:rsidRDefault="00C42461" w:rsidP="00470053">
      <w:pPr>
        <w:pStyle w:val="ListParagraph"/>
        <w:numPr>
          <w:ilvl w:val="0"/>
          <w:numId w:val="2"/>
        </w:numPr>
        <w:spacing w:before="100" w:beforeAutospacing="1" w:after="240"/>
        <w:ind w:left="450" w:hanging="450"/>
        <w:jc w:val="both"/>
        <w:rPr>
          <w:rFonts w:ascii="Century Gothic" w:hAnsi="Century Gothic" w:cs="Arial"/>
          <w:sz w:val="24"/>
          <w:szCs w:val="24"/>
        </w:rPr>
      </w:pPr>
      <w:r w:rsidRPr="009B69D1">
        <w:rPr>
          <w:rFonts w:ascii="Century Gothic" w:hAnsi="Century Gothic" w:cs="Arial"/>
          <w:sz w:val="24"/>
          <w:szCs w:val="24"/>
        </w:rPr>
        <w:t>Case studies on how the current arrangement of fixed term contracts is affecting municipalities negatively.</w:t>
      </w:r>
    </w:p>
    <w:p w:rsidR="00587436" w:rsidRDefault="00587436" w:rsidP="00587436">
      <w:pPr>
        <w:pStyle w:val="ListParagraph"/>
        <w:spacing w:before="100" w:beforeAutospacing="1" w:after="240"/>
        <w:ind w:left="450"/>
        <w:jc w:val="both"/>
        <w:rPr>
          <w:rFonts w:ascii="Century Gothic" w:hAnsi="Century Gothic" w:cs="Arial"/>
          <w:sz w:val="24"/>
          <w:szCs w:val="24"/>
        </w:rPr>
      </w:pPr>
    </w:p>
    <w:p w:rsidR="00587436" w:rsidRDefault="00587436" w:rsidP="00587436">
      <w:pPr>
        <w:pStyle w:val="ListParagraph"/>
        <w:numPr>
          <w:ilvl w:val="1"/>
          <w:numId w:val="6"/>
        </w:numPr>
        <w:spacing w:before="100" w:beforeAutospacing="1" w:after="240"/>
        <w:ind w:hanging="63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Institute of Local Government and Management </w:t>
      </w:r>
      <w:r w:rsidR="00FD1E5F">
        <w:rPr>
          <w:rFonts w:ascii="Century Gothic" w:hAnsi="Century Gothic" w:cs="Arial"/>
          <w:sz w:val="24"/>
          <w:szCs w:val="24"/>
        </w:rPr>
        <w:t>(</w:t>
      </w:r>
      <w:proofErr w:type="spellStart"/>
      <w:r w:rsidR="00FD1E5F">
        <w:rPr>
          <w:rFonts w:ascii="Century Gothic" w:hAnsi="Century Gothic" w:cs="Arial"/>
          <w:sz w:val="24"/>
          <w:szCs w:val="24"/>
        </w:rPr>
        <w:t>iLGM</w:t>
      </w:r>
      <w:proofErr w:type="spellEnd"/>
      <w:r w:rsidR="00FD1E5F">
        <w:rPr>
          <w:rFonts w:ascii="Century Gothic" w:hAnsi="Century Gothic" w:cs="Arial"/>
          <w:sz w:val="24"/>
          <w:szCs w:val="24"/>
        </w:rPr>
        <w:t xml:space="preserve">) </w:t>
      </w:r>
      <w:r>
        <w:rPr>
          <w:rFonts w:ascii="Century Gothic" w:hAnsi="Century Gothic" w:cs="Arial"/>
          <w:sz w:val="24"/>
          <w:szCs w:val="24"/>
        </w:rPr>
        <w:t>on permanency of senior managers</w:t>
      </w:r>
      <w:r w:rsidR="00FD1E5F">
        <w:rPr>
          <w:rFonts w:ascii="Century Gothic" w:hAnsi="Century Gothic" w:cs="Arial"/>
          <w:sz w:val="24"/>
          <w:szCs w:val="24"/>
        </w:rPr>
        <w:t xml:space="preserve"> </w:t>
      </w:r>
      <w:r w:rsidR="00FD1E5F">
        <w:rPr>
          <w:rFonts w:ascii="Century Gothic" w:hAnsi="Century Gothic" w:cs="Arial"/>
          <w:sz w:val="24"/>
          <w:szCs w:val="24"/>
          <w:lang w:val="en-US"/>
        </w:rPr>
        <w:t xml:space="preserve">- </w:t>
      </w:r>
      <w:r w:rsidR="00FD1E5F" w:rsidRPr="00587436">
        <w:rPr>
          <w:rFonts w:ascii="Century Gothic" w:hAnsi="Century Gothic" w:cs="Arial"/>
          <w:sz w:val="24"/>
          <w:szCs w:val="24"/>
          <w:lang w:val="en-US"/>
        </w:rPr>
        <w:t xml:space="preserve">Annexure </w:t>
      </w:r>
      <w:r w:rsidR="00A00275">
        <w:rPr>
          <w:rFonts w:ascii="Century Gothic" w:hAnsi="Century Gothic" w:cs="Arial"/>
          <w:b/>
          <w:sz w:val="24"/>
          <w:szCs w:val="24"/>
          <w:lang w:val="en-US"/>
        </w:rPr>
        <w:t>“</w:t>
      </w:r>
      <w:r w:rsidR="005676AD">
        <w:rPr>
          <w:rFonts w:ascii="Century Gothic" w:hAnsi="Century Gothic" w:cs="Arial"/>
          <w:b/>
          <w:sz w:val="24"/>
          <w:szCs w:val="24"/>
          <w:lang w:val="en-US"/>
        </w:rPr>
        <w:t>D</w:t>
      </w:r>
      <w:r w:rsidR="00A00275">
        <w:rPr>
          <w:rFonts w:ascii="Century Gothic" w:hAnsi="Century Gothic" w:cs="Arial"/>
          <w:b/>
          <w:sz w:val="24"/>
          <w:szCs w:val="24"/>
          <w:lang w:val="en-US"/>
        </w:rPr>
        <w:t>”</w:t>
      </w:r>
      <w:r>
        <w:rPr>
          <w:rFonts w:ascii="Century Gothic" w:hAnsi="Century Gothic" w:cs="Arial"/>
          <w:sz w:val="24"/>
          <w:szCs w:val="24"/>
        </w:rPr>
        <w:t>;</w:t>
      </w:r>
    </w:p>
    <w:p w:rsidR="00FD1E5F" w:rsidRPr="003E38FB" w:rsidRDefault="00587436" w:rsidP="00FD1E5F">
      <w:pPr>
        <w:pStyle w:val="ListParagraph"/>
        <w:numPr>
          <w:ilvl w:val="1"/>
          <w:numId w:val="6"/>
        </w:numPr>
        <w:spacing w:before="100" w:beforeAutospacing="1" w:after="240"/>
        <w:ind w:hanging="630"/>
        <w:jc w:val="both"/>
        <w:rPr>
          <w:rFonts w:ascii="Century Gothic" w:hAnsi="Century Gothic" w:cs="Arial"/>
          <w:bCs/>
          <w:sz w:val="24"/>
          <w:szCs w:val="24"/>
          <w:lang w:val="en-US"/>
        </w:rPr>
      </w:pPr>
      <w:r w:rsidRPr="00587436">
        <w:rPr>
          <w:rFonts w:ascii="Century Gothic" w:hAnsi="Century Gothic" w:cs="Arial"/>
          <w:sz w:val="24"/>
          <w:szCs w:val="24"/>
        </w:rPr>
        <w:t xml:space="preserve">Western Cape Department of Local and Provincial Government: </w:t>
      </w:r>
      <w:r w:rsidRPr="00587436">
        <w:rPr>
          <w:rFonts w:ascii="Century Gothic" w:hAnsi="Century Gothic" w:cs="Arial"/>
          <w:sz w:val="24"/>
          <w:szCs w:val="24"/>
          <w:lang w:val="en-US"/>
        </w:rPr>
        <w:t xml:space="preserve">Motivation for the permanent appointment of Managers directly accountable to </w:t>
      </w:r>
      <w:r>
        <w:rPr>
          <w:rFonts w:ascii="Century Gothic" w:hAnsi="Century Gothic" w:cs="Arial"/>
          <w:sz w:val="24"/>
          <w:szCs w:val="24"/>
          <w:lang w:val="en-US"/>
        </w:rPr>
        <w:t>Municipal Managers</w:t>
      </w:r>
      <w:r w:rsidR="00FD1E5F">
        <w:rPr>
          <w:rFonts w:ascii="Century Gothic" w:hAnsi="Century Gothic" w:cs="Arial"/>
          <w:sz w:val="24"/>
          <w:szCs w:val="24"/>
          <w:lang w:val="en-US"/>
        </w:rPr>
        <w:t xml:space="preserve"> - </w:t>
      </w:r>
      <w:r w:rsidR="00FD1E5F" w:rsidRPr="00587436">
        <w:rPr>
          <w:rFonts w:ascii="Century Gothic" w:hAnsi="Century Gothic" w:cs="Arial"/>
          <w:sz w:val="24"/>
          <w:szCs w:val="24"/>
          <w:lang w:val="en-US"/>
        </w:rPr>
        <w:t xml:space="preserve">Annexure </w:t>
      </w:r>
      <w:r w:rsidR="00A00275">
        <w:rPr>
          <w:rFonts w:ascii="Century Gothic" w:hAnsi="Century Gothic" w:cs="Arial"/>
          <w:b/>
          <w:sz w:val="24"/>
          <w:szCs w:val="24"/>
          <w:lang w:val="en-US"/>
        </w:rPr>
        <w:t>“</w:t>
      </w:r>
      <w:r w:rsidR="005676AD">
        <w:rPr>
          <w:rFonts w:ascii="Century Gothic" w:hAnsi="Century Gothic" w:cs="Arial"/>
          <w:b/>
          <w:sz w:val="24"/>
          <w:szCs w:val="24"/>
          <w:lang w:val="en-US"/>
        </w:rPr>
        <w:t>E</w:t>
      </w:r>
      <w:r w:rsidR="003E38FB">
        <w:rPr>
          <w:rFonts w:ascii="Century Gothic" w:hAnsi="Century Gothic" w:cs="Arial"/>
          <w:b/>
          <w:sz w:val="24"/>
          <w:szCs w:val="24"/>
          <w:lang w:val="en-US"/>
        </w:rPr>
        <w:t>”</w:t>
      </w:r>
      <w:r>
        <w:rPr>
          <w:rFonts w:ascii="Century Gothic" w:hAnsi="Century Gothic" w:cs="Arial"/>
          <w:sz w:val="24"/>
          <w:szCs w:val="24"/>
          <w:lang w:val="en-US"/>
        </w:rPr>
        <w:t>; and</w:t>
      </w:r>
    </w:p>
    <w:p w:rsidR="003E38FB" w:rsidRPr="00A00275" w:rsidRDefault="00A00275" w:rsidP="00A00275">
      <w:pPr>
        <w:pStyle w:val="ListParagraph"/>
        <w:numPr>
          <w:ilvl w:val="1"/>
          <w:numId w:val="6"/>
        </w:numPr>
        <w:spacing w:before="100" w:beforeAutospacing="1" w:after="240"/>
        <w:jc w:val="both"/>
        <w:rPr>
          <w:rFonts w:ascii="Century Gothic" w:hAnsi="Century Gothic" w:cs="Arial"/>
          <w:bCs/>
          <w:sz w:val="24"/>
          <w:szCs w:val="24"/>
          <w:lang w:val="en-US"/>
        </w:rPr>
      </w:pPr>
      <w:r>
        <w:rPr>
          <w:rFonts w:ascii="Century Gothic" w:hAnsi="Century Gothic" w:cs="Arial"/>
          <w:bCs/>
          <w:sz w:val="24"/>
          <w:szCs w:val="24"/>
          <w:lang w:val="en-US"/>
        </w:rPr>
        <w:t xml:space="preserve">PDG </w:t>
      </w:r>
      <w:r w:rsidRPr="003E38FB">
        <w:rPr>
          <w:rFonts w:ascii="Century Gothic" w:hAnsi="Century Gothic" w:cs="Arial"/>
          <w:bCs/>
          <w:sz w:val="24"/>
          <w:szCs w:val="24"/>
          <w:lang w:val="en-US"/>
        </w:rPr>
        <w:t>Research Study into the lessons learnt from, and the impact of, linking contracts of municipal managers to a municipal electoral term</w:t>
      </w:r>
      <w:r>
        <w:rPr>
          <w:rFonts w:ascii="Century Gothic" w:hAnsi="Century Gothic" w:cs="Arial"/>
          <w:sz w:val="24"/>
          <w:szCs w:val="24"/>
          <w:lang w:val="en-US"/>
        </w:rPr>
        <w:t xml:space="preserve">- </w:t>
      </w:r>
      <w:r w:rsidRPr="00587436">
        <w:rPr>
          <w:rFonts w:ascii="Century Gothic" w:hAnsi="Century Gothic" w:cs="Arial"/>
          <w:sz w:val="24"/>
          <w:szCs w:val="24"/>
          <w:lang w:val="en-US"/>
        </w:rPr>
        <w:t xml:space="preserve">Annexure </w:t>
      </w:r>
      <w:r>
        <w:rPr>
          <w:rFonts w:ascii="Century Gothic" w:hAnsi="Century Gothic" w:cs="Arial"/>
          <w:b/>
          <w:sz w:val="24"/>
          <w:szCs w:val="24"/>
          <w:lang w:val="en-US"/>
        </w:rPr>
        <w:t>“</w:t>
      </w:r>
      <w:r w:rsidR="00F03B11">
        <w:rPr>
          <w:rFonts w:ascii="Century Gothic" w:hAnsi="Century Gothic" w:cs="Arial"/>
          <w:b/>
          <w:sz w:val="24"/>
          <w:szCs w:val="24"/>
          <w:lang w:val="en-US"/>
        </w:rPr>
        <w:t>F</w:t>
      </w:r>
      <w:r w:rsidRPr="00FD1E5F">
        <w:rPr>
          <w:rFonts w:ascii="Century Gothic" w:hAnsi="Century Gothic" w:cs="Arial"/>
          <w:b/>
          <w:sz w:val="24"/>
          <w:szCs w:val="24"/>
          <w:lang w:val="en-US"/>
        </w:rPr>
        <w:t>”</w:t>
      </w:r>
      <w:r w:rsidRPr="00FD1E5F">
        <w:rPr>
          <w:rFonts w:ascii="Century Gothic" w:hAnsi="Century Gothic" w:cs="Arial"/>
          <w:sz w:val="24"/>
          <w:szCs w:val="24"/>
          <w:lang w:val="en-US"/>
        </w:rPr>
        <w:t>;</w:t>
      </w:r>
    </w:p>
    <w:p w:rsidR="00FD1E5F" w:rsidRPr="00FD1E5F" w:rsidRDefault="00FD1E5F" w:rsidP="00FD1E5F">
      <w:pPr>
        <w:pStyle w:val="ListParagraph"/>
        <w:spacing w:before="100" w:beforeAutospacing="1" w:after="240"/>
        <w:ind w:left="1080"/>
        <w:jc w:val="both"/>
        <w:rPr>
          <w:rFonts w:ascii="Century Gothic" w:hAnsi="Century Gothic" w:cs="Arial"/>
          <w:bCs/>
          <w:sz w:val="24"/>
          <w:szCs w:val="24"/>
          <w:lang w:val="en-US"/>
        </w:rPr>
      </w:pPr>
    </w:p>
    <w:p w:rsidR="00FD1E5F" w:rsidRDefault="00FD1E5F" w:rsidP="00C42461">
      <w:pPr>
        <w:pStyle w:val="ListParagraph"/>
        <w:numPr>
          <w:ilvl w:val="0"/>
          <w:numId w:val="6"/>
        </w:numPr>
        <w:spacing w:before="100" w:beforeAutospacing="1" w:after="24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 Office of the Chief State Law Advisor (OCSLA) will provide the </w:t>
      </w:r>
      <w:r w:rsidR="00C42461" w:rsidRPr="00FD1E5F">
        <w:rPr>
          <w:rFonts w:ascii="Century Gothic" w:hAnsi="Century Gothic" w:cs="Arial"/>
          <w:sz w:val="24"/>
          <w:szCs w:val="24"/>
        </w:rPr>
        <w:t>Legally opinion</w:t>
      </w:r>
      <w:r>
        <w:rPr>
          <w:rFonts w:ascii="Century Gothic" w:hAnsi="Century Gothic" w:cs="Arial"/>
          <w:sz w:val="24"/>
          <w:szCs w:val="24"/>
        </w:rPr>
        <w:t xml:space="preserve"> to the Portfolio Committee on CoGTA</w:t>
      </w:r>
      <w:r w:rsidR="00C42461" w:rsidRPr="00FD1E5F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in respect of the</w:t>
      </w:r>
      <w:r w:rsidR="00C42461" w:rsidRPr="00FD1E5F">
        <w:rPr>
          <w:rFonts w:ascii="Century Gothic" w:hAnsi="Century Gothic" w:cs="Arial"/>
          <w:sz w:val="24"/>
          <w:szCs w:val="24"/>
        </w:rPr>
        <w:t xml:space="preserve"> constitutionality and fairness of making managers reporting to MMs permanent while MMs remain on fixed contracts</w:t>
      </w:r>
      <w:r>
        <w:rPr>
          <w:rFonts w:ascii="Century Gothic" w:hAnsi="Century Gothic" w:cs="Arial"/>
          <w:sz w:val="24"/>
          <w:szCs w:val="24"/>
        </w:rPr>
        <w:t>.</w:t>
      </w:r>
    </w:p>
    <w:p w:rsidR="00FD1E5F" w:rsidRDefault="00FD1E5F" w:rsidP="00FD1E5F">
      <w:pPr>
        <w:pStyle w:val="ListParagraph"/>
        <w:spacing w:before="100" w:beforeAutospacing="1" w:after="240"/>
        <w:ind w:left="390"/>
        <w:jc w:val="both"/>
        <w:rPr>
          <w:rFonts w:ascii="Century Gothic" w:hAnsi="Century Gothic" w:cs="Arial"/>
          <w:sz w:val="24"/>
          <w:szCs w:val="24"/>
        </w:rPr>
      </w:pPr>
    </w:p>
    <w:p w:rsidR="00C42461" w:rsidRPr="00FD1E5F" w:rsidRDefault="00441FEA" w:rsidP="00FD1E5F">
      <w:pPr>
        <w:pStyle w:val="ListParagraph"/>
        <w:numPr>
          <w:ilvl w:val="0"/>
          <w:numId w:val="6"/>
        </w:numPr>
        <w:spacing w:before="100" w:beforeAutospacing="1" w:after="240"/>
        <w:jc w:val="both"/>
        <w:rPr>
          <w:rFonts w:ascii="Century Gothic" w:hAnsi="Century Gothic" w:cs="Arial"/>
          <w:sz w:val="24"/>
          <w:szCs w:val="24"/>
        </w:rPr>
      </w:pPr>
      <w:r w:rsidRPr="00441FEA">
        <w:rPr>
          <w:rFonts w:ascii="Century Gothic" w:hAnsi="Century Gothic" w:cs="Arial"/>
          <w:sz w:val="24"/>
          <w:szCs w:val="24"/>
          <w:lang w:val="en-ZA"/>
        </w:rPr>
        <w:t>The authority to employ personnel in local government vests in the municipal council in terms of section 160(1)(d) of the Constitution</w:t>
      </w:r>
      <w:r w:rsidR="005676AD">
        <w:rPr>
          <w:rFonts w:ascii="Century Gothic" w:hAnsi="Century Gothic" w:cs="Arial"/>
          <w:sz w:val="24"/>
          <w:szCs w:val="24"/>
          <w:lang w:val="en-ZA"/>
        </w:rPr>
        <w:t xml:space="preserve"> of the Republic of South Africa, 1996</w:t>
      </w:r>
      <w:r w:rsidRPr="00441FEA">
        <w:rPr>
          <w:rFonts w:ascii="Century Gothic" w:hAnsi="Century Gothic" w:cs="Arial"/>
          <w:sz w:val="24"/>
          <w:szCs w:val="24"/>
          <w:lang w:val="en-ZA"/>
        </w:rPr>
        <w:t xml:space="preserve">, but only subject to national and provincial legislation. </w:t>
      </w:r>
      <w:r w:rsidRPr="00441FEA">
        <w:rPr>
          <w:rFonts w:ascii="Century Gothic" w:hAnsi="Century Gothic" w:cs="Arial"/>
          <w:sz w:val="24"/>
          <w:szCs w:val="24"/>
          <w:lang w:val="en-US"/>
        </w:rPr>
        <w:t xml:space="preserve">Section 82(1) of the Municipal Structures Act, 1998 (the Structures Act) empowers the municipal council of a municipality to </w:t>
      </w:r>
      <w:r w:rsidRPr="00441FEA">
        <w:rPr>
          <w:rFonts w:ascii="Century Gothic" w:hAnsi="Century Gothic" w:cs="Arial"/>
          <w:sz w:val="24"/>
          <w:szCs w:val="24"/>
        </w:rPr>
        <w:t>appoint a municipal manager who is the head of the administration and accounting officer for municipality, and</w:t>
      </w:r>
      <w:r w:rsidRPr="00441FEA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Pr="00441FEA">
        <w:rPr>
          <w:rFonts w:ascii="Century Gothic" w:hAnsi="Century Gothic" w:cs="Arial"/>
          <w:sz w:val="24"/>
          <w:szCs w:val="24"/>
        </w:rPr>
        <w:t>when necessary, an acting municipal manager.</w:t>
      </w:r>
      <w:r w:rsidRPr="00441FEA">
        <w:rPr>
          <w:rFonts w:ascii="Century Gothic" w:hAnsi="Century Gothic" w:cs="Arial"/>
          <w:sz w:val="24"/>
          <w:szCs w:val="24"/>
          <w:lang w:val="en-US"/>
        </w:rPr>
        <w:t xml:space="preserve">  </w:t>
      </w:r>
      <w:r w:rsidR="003E38FB">
        <w:rPr>
          <w:rFonts w:ascii="Century Gothic" w:hAnsi="Century Gothic" w:cs="Arial"/>
          <w:sz w:val="24"/>
          <w:szCs w:val="24"/>
          <w:lang w:val="en-US"/>
        </w:rPr>
        <w:t>However, s</w:t>
      </w:r>
      <w:proofErr w:type="spellStart"/>
      <w:r w:rsidR="00FD1E5F">
        <w:rPr>
          <w:rFonts w:ascii="Century Gothic" w:hAnsi="Century Gothic" w:cs="Arial"/>
          <w:sz w:val="24"/>
          <w:szCs w:val="24"/>
        </w:rPr>
        <w:t>ame</w:t>
      </w:r>
      <w:proofErr w:type="spellEnd"/>
      <w:r w:rsidR="00FD1E5F">
        <w:rPr>
          <w:rFonts w:ascii="Century Gothic" w:hAnsi="Century Gothic" w:cs="Arial"/>
          <w:sz w:val="24"/>
          <w:szCs w:val="24"/>
        </w:rPr>
        <w:t xml:space="preserve"> as item 3, the OCSLA </w:t>
      </w:r>
      <w:r w:rsidR="00C42461" w:rsidRPr="00FD1E5F">
        <w:rPr>
          <w:rFonts w:ascii="Century Gothic" w:hAnsi="Century Gothic" w:cs="Arial"/>
          <w:sz w:val="24"/>
          <w:szCs w:val="24"/>
        </w:rPr>
        <w:t xml:space="preserve">will </w:t>
      </w:r>
      <w:r w:rsidR="005676AD">
        <w:rPr>
          <w:rFonts w:ascii="Century Gothic" w:hAnsi="Century Gothic" w:cs="Arial"/>
          <w:sz w:val="24"/>
          <w:szCs w:val="24"/>
        </w:rPr>
        <w:t>provide</w:t>
      </w:r>
      <w:r w:rsidR="00FD1E5F">
        <w:rPr>
          <w:rFonts w:ascii="Century Gothic" w:hAnsi="Century Gothic" w:cs="Arial"/>
          <w:sz w:val="24"/>
          <w:szCs w:val="24"/>
        </w:rPr>
        <w:t xml:space="preserve"> a submission in the form of </w:t>
      </w:r>
      <w:r w:rsidR="005676AD">
        <w:rPr>
          <w:rFonts w:ascii="Century Gothic" w:hAnsi="Century Gothic" w:cs="Arial"/>
          <w:sz w:val="24"/>
          <w:szCs w:val="24"/>
        </w:rPr>
        <w:t>a</w:t>
      </w:r>
      <w:r w:rsidR="00FD1E5F">
        <w:rPr>
          <w:rFonts w:ascii="Century Gothic" w:hAnsi="Century Gothic" w:cs="Arial"/>
          <w:sz w:val="24"/>
          <w:szCs w:val="24"/>
        </w:rPr>
        <w:t xml:space="preserve"> </w:t>
      </w:r>
      <w:r w:rsidR="00C42461" w:rsidRPr="00FD1E5F">
        <w:rPr>
          <w:rFonts w:ascii="Century Gothic" w:hAnsi="Century Gothic" w:cs="Arial"/>
          <w:sz w:val="24"/>
          <w:szCs w:val="24"/>
        </w:rPr>
        <w:t xml:space="preserve">Legal opinion on the extent to which the proposed clause on permanent contracts is in harmony with section 151(2) of the constitution </w:t>
      </w:r>
    </w:p>
    <w:p w:rsidR="008D6CE1" w:rsidRPr="009B69D1" w:rsidRDefault="008D6CE1">
      <w:pPr>
        <w:rPr>
          <w:rFonts w:ascii="Century Gothic" w:hAnsi="Century Gothic" w:cs="Arial"/>
          <w:sz w:val="24"/>
          <w:szCs w:val="24"/>
        </w:rPr>
      </w:pPr>
    </w:p>
    <w:sectPr w:rsidR="008D6CE1" w:rsidRPr="009B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919"/>
    <w:multiLevelType w:val="hybridMultilevel"/>
    <w:tmpl w:val="3F60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6E06"/>
    <w:multiLevelType w:val="multilevel"/>
    <w:tmpl w:val="5896C3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311C345C"/>
    <w:multiLevelType w:val="hybridMultilevel"/>
    <w:tmpl w:val="FCB8D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55D1"/>
    <w:multiLevelType w:val="hybridMultilevel"/>
    <w:tmpl w:val="0EF67216"/>
    <w:lvl w:ilvl="0" w:tplc="017C73F4">
      <w:start w:val="1"/>
      <w:numFmt w:val="lowerLetter"/>
      <w:lvlText w:val="(%1)"/>
      <w:lvlJc w:val="left"/>
      <w:pPr>
        <w:ind w:left="117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A1B3C8C"/>
    <w:multiLevelType w:val="hybridMultilevel"/>
    <w:tmpl w:val="1292C54A"/>
    <w:lvl w:ilvl="0" w:tplc="017C73F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E339A"/>
    <w:multiLevelType w:val="multilevel"/>
    <w:tmpl w:val="C97422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E0"/>
    <w:rsid w:val="00090224"/>
    <w:rsid w:val="000B554B"/>
    <w:rsid w:val="001513C1"/>
    <w:rsid w:val="00223CB0"/>
    <w:rsid w:val="00267A1F"/>
    <w:rsid w:val="00381964"/>
    <w:rsid w:val="003E38FB"/>
    <w:rsid w:val="00441FEA"/>
    <w:rsid w:val="00470053"/>
    <w:rsid w:val="0052608E"/>
    <w:rsid w:val="005676AD"/>
    <w:rsid w:val="00587436"/>
    <w:rsid w:val="006B58A9"/>
    <w:rsid w:val="006E6778"/>
    <w:rsid w:val="00806B77"/>
    <w:rsid w:val="00816EE0"/>
    <w:rsid w:val="008C17F4"/>
    <w:rsid w:val="008D6CE1"/>
    <w:rsid w:val="009B69D1"/>
    <w:rsid w:val="00A00275"/>
    <w:rsid w:val="00BC27DE"/>
    <w:rsid w:val="00C42461"/>
    <w:rsid w:val="00EE5F6A"/>
    <w:rsid w:val="00F03B11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5B13C-5618-464F-940F-73A18876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Nhlamulo Mathye</dc:creator>
  <cp:keywords/>
  <dc:description/>
  <cp:lastModifiedBy>Shereen Cassiem</cp:lastModifiedBy>
  <cp:revision>2</cp:revision>
  <dcterms:created xsi:type="dcterms:W3CDTF">2020-08-18T16:39:00Z</dcterms:created>
  <dcterms:modified xsi:type="dcterms:W3CDTF">2020-08-18T16:39:00Z</dcterms:modified>
</cp:coreProperties>
</file>