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02B7B" w14:textId="7A14AA71" w:rsidR="00D13246" w:rsidRPr="00E76E53" w:rsidRDefault="00E76E53" w:rsidP="0043654B">
      <w:pPr>
        <w:spacing w:line="360" w:lineRule="auto"/>
        <w:ind w:left="-540"/>
        <w:jc w:val="both"/>
        <w:rPr>
          <w:rFonts w:ascii="Times New Roman" w:hAnsi="Times New Roman"/>
          <w:b/>
          <w:color w:val="auto"/>
          <w:sz w:val="28"/>
          <w:szCs w:val="28"/>
          <w:lang w:val="en-ZA"/>
        </w:rPr>
      </w:pPr>
      <w:bookmarkStart w:id="0" w:name="_GoBack"/>
      <w:r w:rsidRPr="00E76E53">
        <w:rPr>
          <w:rFonts w:ascii="Times New Roman" w:hAnsi="Times New Roman"/>
          <w:b/>
          <w:sz w:val="28"/>
          <w:szCs w:val="28"/>
          <w:lang w:val="en-ZA"/>
        </w:rPr>
        <w:t xml:space="preserve">1. </w:t>
      </w:r>
      <w:r w:rsidR="00D13246" w:rsidRPr="00E76E53">
        <w:rPr>
          <w:rFonts w:ascii="Times New Roman" w:hAnsi="Times New Roman"/>
          <w:b/>
          <w:sz w:val="28"/>
          <w:szCs w:val="28"/>
          <w:lang w:val="en-ZA"/>
        </w:rPr>
        <w:t>REPORT OF THE STANDING COMMITTEE ON APPROPRIATIONS ON THE ADJ</w:t>
      </w:r>
      <w:r w:rsidR="001B0159" w:rsidRPr="00E76E53">
        <w:rPr>
          <w:rFonts w:ascii="Times New Roman" w:hAnsi="Times New Roman"/>
          <w:b/>
          <w:sz w:val="28"/>
          <w:szCs w:val="28"/>
          <w:lang w:val="en-ZA"/>
        </w:rPr>
        <w:t>USTMENTS APPROPRIATION BILL [B16 – 2019</w:t>
      </w:r>
      <w:r w:rsidR="00D13246" w:rsidRPr="00E76E53">
        <w:rPr>
          <w:rFonts w:ascii="Times New Roman" w:hAnsi="Times New Roman"/>
          <w:b/>
          <w:sz w:val="28"/>
          <w:szCs w:val="28"/>
          <w:lang w:val="en-ZA"/>
        </w:rPr>
        <w:t xml:space="preserve">] [NATIONAL </w:t>
      </w:r>
      <w:r w:rsidR="00091F6A" w:rsidRPr="00E76E53">
        <w:rPr>
          <w:rFonts w:ascii="Times New Roman" w:hAnsi="Times New Roman"/>
          <w:b/>
          <w:sz w:val="28"/>
          <w:szCs w:val="28"/>
          <w:lang w:val="en-ZA"/>
        </w:rPr>
        <w:t xml:space="preserve">ASSEMBLY (SECTION 77)], </w:t>
      </w:r>
      <w:r w:rsidR="00091F6A" w:rsidRPr="00E76E53">
        <w:rPr>
          <w:rFonts w:ascii="Times New Roman" w:hAnsi="Times New Roman"/>
          <w:b/>
          <w:color w:val="auto"/>
          <w:sz w:val="28"/>
          <w:szCs w:val="28"/>
          <w:lang w:val="en-ZA"/>
        </w:rPr>
        <w:t xml:space="preserve">DATED </w:t>
      </w:r>
      <w:r w:rsidR="00162927" w:rsidRPr="00E76E53">
        <w:rPr>
          <w:rFonts w:ascii="Times New Roman" w:hAnsi="Times New Roman"/>
          <w:b/>
          <w:color w:val="auto"/>
          <w:sz w:val="28"/>
          <w:szCs w:val="28"/>
          <w:lang w:val="en-ZA"/>
        </w:rPr>
        <w:t>3 DECEMBER</w:t>
      </w:r>
      <w:r w:rsidR="001B0159" w:rsidRPr="00E76E53">
        <w:rPr>
          <w:rFonts w:ascii="Times New Roman" w:hAnsi="Times New Roman"/>
          <w:b/>
          <w:color w:val="auto"/>
          <w:sz w:val="28"/>
          <w:szCs w:val="28"/>
          <w:lang w:val="en-ZA"/>
        </w:rPr>
        <w:t xml:space="preserve"> 2019</w:t>
      </w:r>
      <w:r w:rsidR="00D13246" w:rsidRPr="00E76E53">
        <w:rPr>
          <w:rFonts w:ascii="Times New Roman" w:hAnsi="Times New Roman"/>
          <w:b/>
          <w:color w:val="auto"/>
          <w:sz w:val="28"/>
          <w:szCs w:val="28"/>
          <w:lang w:val="en-ZA"/>
        </w:rPr>
        <w:t xml:space="preserve"> </w:t>
      </w:r>
    </w:p>
    <w:p w14:paraId="67B0E858" w14:textId="77777777" w:rsidR="00D13246" w:rsidRPr="0043654B" w:rsidRDefault="00D13246" w:rsidP="0043654B">
      <w:pPr>
        <w:spacing w:line="360" w:lineRule="auto"/>
        <w:jc w:val="both"/>
        <w:rPr>
          <w:rFonts w:ascii="Times New Roman" w:hAnsi="Times New Roman"/>
          <w:b/>
          <w:sz w:val="24"/>
          <w:szCs w:val="24"/>
          <w:lang w:val="en-ZA"/>
        </w:rPr>
      </w:pPr>
    </w:p>
    <w:p w14:paraId="1FAFB119" w14:textId="781318F0" w:rsidR="005515E4" w:rsidRDefault="00162927" w:rsidP="00F61CC0">
      <w:pPr>
        <w:spacing w:line="360" w:lineRule="auto"/>
        <w:ind w:left="-540"/>
        <w:jc w:val="both"/>
        <w:rPr>
          <w:rFonts w:ascii="Times New Roman" w:hAnsi="Times New Roman"/>
          <w:sz w:val="24"/>
          <w:szCs w:val="24"/>
          <w:lang w:val="en-ZA"/>
        </w:rPr>
      </w:pPr>
      <w:r>
        <w:rPr>
          <w:rFonts w:ascii="Times New Roman" w:hAnsi="Times New Roman"/>
          <w:sz w:val="24"/>
          <w:szCs w:val="24"/>
          <w:lang w:val="en-ZA"/>
        </w:rPr>
        <w:t>Having considered the Adjustments Appropriation Bill [B16-2019], referred to in terms of s</w:t>
      </w:r>
      <w:r w:rsidRPr="00162927">
        <w:rPr>
          <w:rFonts w:ascii="Times New Roman" w:hAnsi="Times New Roman"/>
          <w:sz w:val="24"/>
          <w:szCs w:val="24"/>
          <w:lang w:val="en-ZA"/>
        </w:rPr>
        <w:t xml:space="preserve">ection 12 (15) of the </w:t>
      </w:r>
      <w:r w:rsidRPr="00162927">
        <w:rPr>
          <w:rFonts w:ascii="Times New Roman" w:hAnsi="Times New Roman"/>
          <w:sz w:val="24"/>
          <w:szCs w:val="24"/>
        </w:rPr>
        <w:t>Money Bills and Related Matters Act No. 9 of 2009 (as amended by the Money Bills Amendments Procedure and Related Matters Act, No 13 of 2018</w:t>
      </w:r>
      <w:r>
        <w:rPr>
          <w:rFonts w:ascii="Times New Roman" w:hAnsi="Times New Roman"/>
          <w:sz w:val="24"/>
          <w:szCs w:val="24"/>
        </w:rPr>
        <w:t>), the Standing Committee on Appropriations</w:t>
      </w:r>
      <w:r w:rsidR="00D13246" w:rsidRPr="0043654B">
        <w:rPr>
          <w:rFonts w:ascii="Times New Roman" w:hAnsi="Times New Roman"/>
          <w:sz w:val="24"/>
          <w:szCs w:val="24"/>
          <w:lang w:val="en-ZA"/>
        </w:rPr>
        <w:t xml:space="preserve"> reports as follows:</w:t>
      </w:r>
    </w:p>
    <w:p w14:paraId="68C20FAC" w14:textId="77777777" w:rsidR="005515E4" w:rsidRDefault="005515E4" w:rsidP="00F61CC0">
      <w:pPr>
        <w:spacing w:line="360" w:lineRule="auto"/>
        <w:ind w:left="-540"/>
        <w:jc w:val="both"/>
        <w:rPr>
          <w:rFonts w:ascii="Times New Roman" w:hAnsi="Times New Roman"/>
          <w:sz w:val="24"/>
          <w:szCs w:val="24"/>
          <w:lang w:val="en-ZA"/>
        </w:rPr>
      </w:pPr>
    </w:p>
    <w:p w14:paraId="513BE372" w14:textId="40B3148D" w:rsidR="00D13246" w:rsidRPr="005515E4" w:rsidRDefault="00D13246" w:rsidP="009B73C7">
      <w:pPr>
        <w:pStyle w:val="ListParagraph"/>
        <w:numPr>
          <w:ilvl w:val="0"/>
          <w:numId w:val="1"/>
        </w:numPr>
        <w:spacing w:line="360" w:lineRule="auto"/>
        <w:jc w:val="both"/>
        <w:rPr>
          <w:rFonts w:ascii="Times New Roman" w:hAnsi="Times New Roman"/>
          <w:sz w:val="24"/>
          <w:szCs w:val="24"/>
          <w:lang w:val="en-ZA"/>
        </w:rPr>
      </w:pPr>
      <w:r w:rsidRPr="005515E4">
        <w:rPr>
          <w:rFonts w:ascii="Times New Roman" w:hAnsi="Times New Roman"/>
          <w:b/>
          <w:sz w:val="24"/>
          <w:szCs w:val="24"/>
          <w:lang w:val="en-ZA"/>
        </w:rPr>
        <w:t>Introduction</w:t>
      </w:r>
    </w:p>
    <w:p w14:paraId="01917E3C" w14:textId="77777777" w:rsidR="00D13246" w:rsidRPr="0043654B" w:rsidRDefault="00D13246" w:rsidP="00F61CC0">
      <w:pPr>
        <w:spacing w:line="360" w:lineRule="auto"/>
        <w:jc w:val="both"/>
        <w:rPr>
          <w:rFonts w:ascii="Times New Roman" w:hAnsi="Times New Roman"/>
          <w:sz w:val="24"/>
          <w:szCs w:val="24"/>
          <w:lang w:val="en-ZA"/>
        </w:rPr>
      </w:pPr>
    </w:p>
    <w:p w14:paraId="45A473E7" w14:textId="2BF99C9E" w:rsidR="00D13246" w:rsidRPr="0043654B" w:rsidRDefault="00D13246" w:rsidP="00F61CC0">
      <w:pPr>
        <w:spacing w:line="360" w:lineRule="auto"/>
        <w:ind w:left="-540"/>
        <w:jc w:val="both"/>
        <w:rPr>
          <w:rFonts w:ascii="Times New Roman" w:hAnsi="Times New Roman"/>
          <w:sz w:val="24"/>
          <w:szCs w:val="24"/>
          <w:lang w:val="en-ZA"/>
        </w:rPr>
      </w:pPr>
      <w:r w:rsidRPr="0043654B">
        <w:rPr>
          <w:rFonts w:ascii="Times New Roman" w:hAnsi="Times New Roman"/>
          <w:sz w:val="24"/>
          <w:szCs w:val="24"/>
          <w:lang w:val="en-ZA"/>
        </w:rPr>
        <w:t>The Minister of Finance tabled the Medium Term Budget Policy Stat</w:t>
      </w:r>
      <w:r w:rsidR="005C21FC">
        <w:rPr>
          <w:rFonts w:ascii="Times New Roman" w:hAnsi="Times New Roman"/>
          <w:sz w:val="24"/>
          <w:szCs w:val="24"/>
          <w:lang w:val="en-ZA"/>
        </w:rPr>
        <w:t>ement (MTBPS) on 30 October 2019</w:t>
      </w:r>
      <w:r w:rsidRPr="0043654B">
        <w:rPr>
          <w:rFonts w:ascii="Times New Roman" w:hAnsi="Times New Roman"/>
          <w:sz w:val="24"/>
          <w:szCs w:val="24"/>
          <w:lang w:val="en-ZA"/>
        </w:rPr>
        <w:t>, outlining the budget priorities of government for the</w:t>
      </w:r>
      <w:r w:rsidR="00091F6A" w:rsidRPr="0043654B">
        <w:rPr>
          <w:rFonts w:ascii="Times New Roman" w:hAnsi="Times New Roman"/>
          <w:sz w:val="24"/>
          <w:szCs w:val="24"/>
          <w:lang w:val="en-ZA"/>
        </w:rPr>
        <w:t xml:space="preserve"> medium term estimates. The 201</w:t>
      </w:r>
      <w:r w:rsidR="005C21FC">
        <w:rPr>
          <w:rFonts w:ascii="Times New Roman" w:hAnsi="Times New Roman"/>
          <w:sz w:val="24"/>
          <w:szCs w:val="24"/>
          <w:lang w:val="en-ZA"/>
        </w:rPr>
        <w:t>9</w:t>
      </w:r>
      <w:r w:rsidRPr="0043654B">
        <w:rPr>
          <w:rFonts w:ascii="Times New Roman" w:hAnsi="Times New Roman"/>
          <w:sz w:val="24"/>
          <w:szCs w:val="24"/>
          <w:lang w:val="en-ZA"/>
        </w:rPr>
        <w:t xml:space="preserve"> MTBPS was tabled in Parliament with the Adj</w:t>
      </w:r>
      <w:r w:rsidR="00E25E61">
        <w:rPr>
          <w:rFonts w:ascii="Times New Roman" w:hAnsi="Times New Roman"/>
          <w:sz w:val="24"/>
          <w:szCs w:val="24"/>
          <w:lang w:val="en-ZA"/>
        </w:rPr>
        <w:t>ustment</w:t>
      </w:r>
      <w:r w:rsidR="003C3DB4">
        <w:rPr>
          <w:rFonts w:ascii="Times New Roman" w:hAnsi="Times New Roman"/>
          <w:sz w:val="24"/>
          <w:szCs w:val="24"/>
          <w:lang w:val="en-ZA"/>
        </w:rPr>
        <w:t>s Appropriation Bill [B16</w:t>
      </w:r>
      <w:r w:rsidR="005C21FC">
        <w:rPr>
          <w:rFonts w:ascii="Times New Roman" w:hAnsi="Times New Roman"/>
          <w:sz w:val="24"/>
          <w:szCs w:val="24"/>
          <w:lang w:val="en-ZA"/>
        </w:rPr>
        <w:t xml:space="preserve"> - 2019</w:t>
      </w:r>
      <w:r w:rsidRPr="0043654B">
        <w:rPr>
          <w:rFonts w:ascii="Times New Roman" w:hAnsi="Times New Roman"/>
          <w:sz w:val="24"/>
          <w:szCs w:val="24"/>
          <w:lang w:val="en-ZA"/>
        </w:rPr>
        <w:t xml:space="preserve">]. </w:t>
      </w:r>
      <w:r w:rsidRPr="00162927">
        <w:rPr>
          <w:rFonts w:ascii="Times New Roman" w:hAnsi="Times New Roman"/>
          <w:sz w:val="24"/>
          <w:szCs w:val="24"/>
          <w:lang w:val="en-ZA"/>
        </w:rPr>
        <w:t xml:space="preserve">Section 12 (15) of the </w:t>
      </w:r>
      <w:r w:rsidR="00162927" w:rsidRPr="00162927">
        <w:rPr>
          <w:rFonts w:ascii="Times New Roman" w:hAnsi="Times New Roman"/>
          <w:sz w:val="24"/>
          <w:szCs w:val="24"/>
        </w:rPr>
        <w:t>Money Bills and Related Matters Act No. 9 of 2009 (as amended by the Money Bills Amendments Procedure and Related Matters Act, No 13 of 2018)</w:t>
      </w:r>
      <w:r w:rsidR="005C21FC">
        <w:rPr>
          <w:rFonts w:ascii="Times New Roman" w:hAnsi="Times New Roman"/>
          <w:sz w:val="24"/>
          <w:szCs w:val="24"/>
          <w:lang w:val="en-ZA"/>
        </w:rPr>
        <w:t xml:space="preserve"> </w:t>
      </w:r>
      <w:r w:rsidRPr="0043654B">
        <w:rPr>
          <w:rFonts w:ascii="Times New Roman" w:hAnsi="Times New Roman"/>
          <w:sz w:val="24"/>
          <w:szCs w:val="24"/>
          <w:lang w:val="en-ZA"/>
        </w:rPr>
        <w:t xml:space="preserve">provides that </w:t>
      </w:r>
      <w:r w:rsidR="005C21FC">
        <w:rPr>
          <w:rFonts w:ascii="Times New Roman" w:hAnsi="Times New Roman"/>
          <w:sz w:val="24"/>
          <w:szCs w:val="24"/>
          <w:lang w:val="en-ZA"/>
        </w:rPr>
        <w:t>“</w:t>
      </w:r>
      <w:r w:rsidRPr="0043654B">
        <w:rPr>
          <w:rFonts w:ascii="Times New Roman" w:hAnsi="Times New Roman"/>
          <w:sz w:val="24"/>
          <w:szCs w:val="24"/>
          <w:lang w:val="en-ZA"/>
        </w:rPr>
        <w:t>in the event of a revised fiscal framework, an Adjustments Appropriation Bill must be referred to the Committee on Appropriations in the National Assembly only after the Division of Revenue Amendment Bill has been passed by P</w:t>
      </w:r>
      <w:r w:rsidR="00E25E61">
        <w:rPr>
          <w:rFonts w:ascii="Times New Roman" w:hAnsi="Times New Roman"/>
          <w:sz w:val="24"/>
          <w:szCs w:val="24"/>
          <w:lang w:val="en-ZA"/>
        </w:rPr>
        <w:t>arliament.</w:t>
      </w:r>
      <w:r w:rsidR="005C21FC">
        <w:rPr>
          <w:rFonts w:ascii="Times New Roman" w:hAnsi="Times New Roman"/>
          <w:sz w:val="24"/>
          <w:szCs w:val="24"/>
          <w:lang w:val="en-ZA"/>
        </w:rPr>
        <w:t>”</w:t>
      </w:r>
      <w:r w:rsidR="00E25E61">
        <w:rPr>
          <w:rFonts w:ascii="Times New Roman" w:hAnsi="Times New Roman"/>
          <w:sz w:val="24"/>
          <w:szCs w:val="24"/>
          <w:lang w:val="en-ZA"/>
        </w:rPr>
        <w:t xml:space="preserve"> Acc</w:t>
      </w:r>
      <w:r w:rsidR="006F1BE7">
        <w:rPr>
          <w:rFonts w:ascii="Times New Roman" w:hAnsi="Times New Roman"/>
          <w:sz w:val="24"/>
          <w:szCs w:val="24"/>
          <w:lang w:val="en-ZA"/>
        </w:rPr>
        <w:t>ordingly, the National Assembly referred the 2019 Adjustments Appropriation Bill</w:t>
      </w:r>
      <w:r w:rsidR="00162927">
        <w:rPr>
          <w:rFonts w:ascii="Times New Roman" w:hAnsi="Times New Roman"/>
          <w:sz w:val="24"/>
          <w:szCs w:val="24"/>
          <w:lang w:val="en-ZA"/>
        </w:rPr>
        <w:t xml:space="preserve"> (the Bill)</w:t>
      </w:r>
      <w:r w:rsidR="006F1BE7">
        <w:rPr>
          <w:rFonts w:ascii="Times New Roman" w:hAnsi="Times New Roman"/>
          <w:sz w:val="24"/>
          <w:szCs w:val="24"/>
          <w:lang w:val="en-ZA"/>
        </w:rPr>
        <w:t xml:space="preserve"> to the Standing Committee on Appropriations (the Committee)</w:t>
      </w:r>
      <w:r w:rsidR="002275DF" w:rsidRPr="0043654B">
        <w:rPr>
          <w:rFonts w:ascii="Times New Roman" w:hAnsi="Times New Roman"/>
          <w:sz w:val="24"/>
          <w:szCs w:val="24"/>
          <w:lang w:val="en-ZA"/>
        </w:rPr>
        <w:t xml:space="preserve"> on</w:t>
      </w:r>
      <w:r w:rsidR="00E25E61">
        <w:rPr>
          <w:rFonts w:ascii="Times New Roman" w:hAnsi="Times New Roman"/>
          <w:sz w:val="24"/>
          <w:szCs w:val="24"/>
          <w:lang w:val="en-ZA"/>
        </w:rPr>
        <w:t xml:space="preserve"> </w:t>
      </w:r>
      <w:r w:rsidR="00162927">
        <w:rPr>
          <w:rFonts w:ascii="Times New Roman" w:hAnsi="Times New Roman"/>
          <w:sz w:val="24"/>
          <w:szCs w:val="24"/>
          <w:lang w:val="en-ZA"/>
        </w:rPr>
        <w:t>13</w:t>
      </w:r>
      <w:r w:rsidR="006F1BE7">
        <w:rPr>
          <w:rFonts w:ascii="Times New Roman" w:hAnsi="Times New Roman"/>
          <w:sz w:val="24"/>
          <w:szCs w:val="24"/>
          <w:lang w:val="en-ZA"/>
        </w:rPr>
        <w:t xml:space="preserve"> November 2019</w:t>
      </w:r>
      <w:r w:rsidRPr="0043654B">
        <w:rPr>
          <w:rFonts w:ascii="Times New Roman" w:hAnsi="Times New Roman"/>
          <w:sz w:val="24"/>
          <w:szCs w:val="24"/>
          <w:lang w:val="en-ZA"/>
        </w:rPr>
        <w:t>, for consideration and report.</w:t>
      </w:r>
    </w:p>
    <w:p w14:paraId="50FF2FEC" w14:textId="77777777" w:rsidR="0017491D" w:rsidRPr="0043654B" w:rsidRDefault="0017491D" w:rsidP="0043654B">
      <w:pPr>
        <w:spacing w:line="360" w:lineRule="auto"/>
        <w:jc w:val="both"/>
        <w:rPr>
          <w:rFonts w:ascii="Times New Roman" w:hAnsi="Times New Roman"/>
          <w:sz w:val="24"/>
          <w:szCs w:val="24"/>
          <w:highlight w:val="yellow"/>
          <w:lang w:val="en-ZA"/>
        </w:rPr>
      </w:pPr>
    </w:p>
    <w:p w14:paraId="0D3A3F5A" w14:textId="26868241" w:rsidR="005515E4" w:rsidRPr="00162927" w:rsidRDefault="00DD4915" w:rsidP="005515E4">
      <w:pPr>
        <w:spacing w:line="360" w:lineRule="auto"/>
        <w:ind w:left="-540"/>
        <w:jc w:val="both"/>
        <w:rPr>
          <w:rFonts w:ascii="Times New Roman" w:hAnsi="Times New Roman"/>
          <w:color w:val="auto"/>
          <w:sz w:val="24"/>
          <w:szCs w:val="24"/>
          <w:lang w:val="en-ZA"/>
        </w:rPr>
      </w:pPr>
      <w:r w:rsidRPr="00EB25F6">
        <w:rPr>
          <w:rFonts w:ascii="Times New Roman" w:hAnsi="Times New Roman"/>
          <w:sz w:val="24"/>
          <w:szCs w:val="24"/>
          <w:lang w:val="en-ZA"/>
        </w:rPr>
        <w:t>To facilitate public participation</w:t>
      </w:r>
      <w:r w:rsidR="00833DB1">
        <w:rPr>
          <w:rFonts w:ascii="Times New Roman" w:hAnsi="Times New Roman"/>
          <w:sz w:val="24"/>
          <w:szCs w:val="24"/>
          <w:lang w:val="en-ZA"/>
        </w:rPr>
        <w:t xml:space="preserve"> and involvement</w:t>
      </w:r>
      <w:r w:rsidRPr="00EB25F6">
        <w:rPr>
          <w:rFonts w:ascii="Times New Roman" w:hAnsi="Times New Roman"/>
          <w:sz w:val="24"/>
          <w:szCs w:val="24"/>
          <w:lang w:val="en-ZA"/>
        </w:rPr>
        <w:t>, an advertisement was published in national and co</w:t>
      </w:r>
      <w:r w:rsidR="00091F6A" w:rsidRPr="00EB25F6">
        <w:rPr>
          <w:rFonts w:ascii="Times New Roman" w:hAnsi="Times New Roman"/>
          <w:sz w:val="24"/>
          <w:szCs w:val="24"/>
          <w:lang w:val="en-ZA"/>
        </w:rPr>
        <w:t>mmunity newspapers</w:t>
      </w:r>
      <w:r w:rsidR="00091F6A" w:rsidRPr="00162927">
        <w:rPr>
          <w:rFonts w:ascii="Times New Roman" w:hAnsi="Times New Roman"/>
          <w:sz w:val="24"/>
          <w:szCs w:val="24"/>
          <w:lang w:val="en-ZA"/>
        </w:rPr>
        <w:t xml:space="preserve"> from </w:t>
      </w:r>
      <w:r w:rsidR="00162927" w:rsidRPr="00162927">
        <w:rPr>
          <w:rFonts w:ascii="Times New Roman" w:hAnsi="Times New Roman"/>
          <w:sz w:val="24"/>
          <w:szCs w:val="24"/>
          <w:lang w:val="en-ZA"/>
        </w:rPr>
        <w:t>3 to 8</w:t>
      </w:r>
      <w:r w:rsidR="00945A02" w:rsidRPr="00162927">
        <w:rPr>
          <w:rFonts w:ascii="Times New Roman" w:hAnsi="Times New Roman"/>
          <w:sz w:val="24"/>
          <w:szCs w:val="24"/>
          <w:lang w:val="en-ZA"/>
        </w:rPr>
        <w:t xml:space="preserve"> November 2019</w:t>
      </w:r>
      <w:r w:rsidR="00945A02" w:rsidRPr="00945A02">
        <w:rPr>
          <w:rFonts w:ascii="Times New Roman" w:hAnsi="Times New Roman"/>
          <w:color w:val="FF0000"/>
          <w:sz w:val="24"/>
          <w:szCs w:val="24"/>
          <w:lang w:val="en-ZA"/>
        </w:rPr>
        <w:t xml:space="preserve"> </w:t>
      </w:r>
      <w:r w:rsidRPr="00EB25F6">
        <w:rPr>
          <w:rFonts w:ascii="Times New Roman" w:hAnsi="Times New Roman"/>
          <w:sz w:val="24"/>
          <w:szCs w:val="24"/>
          <w:lang w:val="en-ZA"/>
        </w:rPr>
        <w:t xml:space="preserve">inviting general public </w:t>
      </w:r>
      <w:r w:rsidR="00833DB1">
        <w:rPr>
          <w:rFonts w:ascii="Times New Roman" w:hAnsi="Times New Roman"/>
          <w:sz w:val="24"/>
          <w:szCs w:val="24"/>
          <w:lang w:val="en-ZA"/>
        </w:rPr>
        <w:t xml:space="preserve">and all interested stakeholders to make written submissions and </w:t>
      </w:r>
      <w:r w:rsidRPr="00EB25F6">
        <w:rPr>
          <w:rFonts w:ascii="Times New Roman" w:hAnsi="Times New Roman"/>
          <w:sz w:val="24"/>
          <w:szCs w:val="24"/>
          <w:lang w:val="en-ZA"/>
        </w:rPr>
        <w:t xml:space="preserve">comments </w:t>
      </w:r>
      <w:r w:rsidR="00162927">
        <w:rPr>
          <w:rFonts w:ascii="Times New Roman" w:hAnsi="Times New Roman"/>
          <w:sz w:val="24"/>
          <w:szCs w:val="24"/>
          <w:lang w:val="en-ZA"/>
        </w:rPr>
        <w:t>on the Bill.</w:t>
      </w:r>
      <w:r w:rsidR="00C76E93" w:rsidRPr="00945A02">
        <w:rPr>
          <w:rFonts w:ascii="Times New Roman" w:hAnsi="Times New Roman"/>
          <w:color w:val="FF0000"/>
          <w:sz w:val="24"/>
          <w:szCs w:val="24"/>
          <w:lang w:val="en-ZA"/>
        </w:rPr>
        <w:t xml:space="preserve"> </w:t>
      </w:r>
      <w:r w:rsidR="00162927">
        <w:rPr>
          <w:rFonts w:ascii="Times New Roman" w:hAnsi="Times New Roman"/>
          <w:color w:val="auto"/>
          <w:sz w:val="24"/>
          <w:szCs w:val="24"/>
          <w:lang w:val="en-ZA"/>
        </w:rPr>
        <w:t>The O</w:t>
      </w:r>
      <w:r w:rsidR="00162927" w:rsidRPr="00162927">
        <w:rPr>
          <w:rFonts w:ascii="Times New Roman" w:hAnsi="Times New Roman"/>
          <w:color w:val="auto"/>
          <w:sz w:val="24"/>
          <w:szCs w:val="24"/>
          <w:lang w:val="en-ZA"/>
        </w:rPr>
        <w:t>rganisation Undoing Tax Abuse, the Congress of Sout</w:t>
      </w:r>
      <w:r w:rsidR="00DF14BB">
        <w:rPr>
          <w:rFonts w:ascii="Times New Roman" w:hAnsi="Times New Roman"/>
          <w:color w:val="auto"/>
          <w:sz w:val="24"/>
          <w:szCs w:val="24"/>
          <w:lang w:val="en-ZA"/>
        </w:rPr>
        <w:t xml:space="preserve">h African Trade Unions, </w:t>
      </w:r>
      <w:r w:rsidR="00162927" w:rsidRPr="00162927">
        <w:rPr>
          <w:rFonts w:ascii="Times New Roman" w:hAnsi="Times New Roman"/>
          <w:color w:val="auto"/>
          <w:sz w:val="24"/>
          <w:szCs w:val="24"/>
          <w:lang w:val="en-ZA"/>
        </w:rPr>
        <w:t>Bu</w:t>
      </w:r>
      <w:r w:rsidR="00162927">
        <w:rPr>
          <w:rFonts w:ascii="Times New Roman" w:hAnsi="Times New Roman"/>
          <w:color w:val="auto"/>
          <w:sz w:val="24"/>
          <w:szCs w:val="24"/>
          <w:lang w:val="en-ZA"/>
        </w:rPr>
        <w:t>dget Justice Coalition</w:t>
      </w:r>
      <w:r w:rsidR="00DF14BB">
        <w:rPr>
          <w:rFonts w:ascii="Times New Roman" w:hAnsi="Times New Roman"/>
          <w:color w:val="auto"/>
          <w:sz w:val="24"/>
          <w:szCs w:val="24"/>
          <w:lang w:val="en-ZA"/>
        </w:rPr>
        <w:t>, and Fields of Green for All</w:t>
      </w:r>
      <w:r w:rsidR="00162927">
        <w:rPr>
          <w:rFonts w:ascii="Times New Roman" w:hAnsi="Times New Roman"/>
          <w:color w:val="auto"/>
          <w:sz w:val="24"/>
          <w:szCs w:val="24"/>
          <w:lang w:val="en-ZA"/>
        </w:rPr>
        <w:t xml:space="preserve"> made comments</w:t>
      </w:r>
      <w:r w:rsidR="00162927" w:rsidRPr="00162927">
        <w:rPr>
          <w:rFonts w:ascii="Times New Roman" w:hAnsi="Times New Roman"/>
          <w:color w:val="auto"/>
          <w:sz w:val="24"/>
          <w:szCs w:val="24"/>
          <w:lang w:val="en-ZA"/>
        </w:rPr>
        <w:t xml:space="preserve"> on the Bill</w:t>
      </w:r>
      <w:r w:rsidR="00162927">
        <w:rPr>
          <w:rFonts w:ascii="Times New Roman" w:hAnsi="Times New Roman"/>
          <w:color w:val="auto"/>
          <w:sz w:val="24"/>
          <w:szCs w:val="24"/>
          <w:lang w:val="en-ZA"/>
        </w:rPr>
        <w:t xml:space="preserve"> in response to the aforementioned advertisement</w:t>
      </w:r>
      <w:r w:rsidR="00162927" w:rsidRPr="00162927">
        <w:rPr>
          <w:rFonts w:ascii="Times New Roman" w:hAnsi="Times New Roman"/>
          <w:color w:val="auto"/>
          <w:sz w:val="24"/>
          <w:szCs w:val="24"/>
          <w:lang w:val="en-ZA"/>
        </w:rPr>
        <w:t>.</w:t>
      </w:r>
      <w:r w:rsidR="00162927">
        <w:rPr>
          <w:rFonts w:ascii="Times New Roman" w:hAnsi="Times New Roman"/>
          <w:color w:val="auto"/>
          <w:sz w:val="24"/>
          <w:szCs w:val="24"/>
          <w:lang w:val="en-ZA"/>
        </w:rPr>
        <w:t xml:space="preserve"> Public Hearings were held in Parliament on 29 November 2019.</w:t>
      </w:r>
      <w:r w:rsidR="00162927" w:rsidRPr="00162927">
        <w:rPr>
          <w:rFonts w:ascii="Times New Roman" w:hAnsi="Times New Roman"/>
          <w:color w:val="auto"/>
          <w:sz w:val="24"/>
          <w:szCs w:val="24"/>
          <w:lang w:val="en-ZA"/>
        </w:rPr>
        <w:t xml:space="preserve"> </w:t>
      </w:r>
      <w:r w:rsidR="00BE631B" w:rsidRPr="0043654B">
        <w:rPr>
          <w:rFonts w:ascii="Times New Roman" w:hAnsi="Times New Roman"/>
          <w:sz w:val="24"/>
          <w:szCs w:val="24"/>
          <w:lang w:val="en-ZA"/>
        </w:rPr>
        <w:t>In addition to National Treasury</w:t>
      </w:r>
      <w:r w:rsidR="00611BA8">
        <w:rPr>
          <w:rFonts w:ascii="Times New Roman" w:hAnsi="Times New Roman"/>
          <w:sz w:val="24"/>
          <w:szCs w:val="24"/>
          <w:lang w:val="en-ZA"/>
        </w:rPr>
        <w:t>’s</w:t>
      </w:r>
      <w:r w:rsidR="00BE631B" w:rsidRPr="0043654B">
        <w:rPr>
          <w:rFonts w:ascii="Times New Roman" w:hAnsi="Times New Roman"/>
          <w:sz w:val="24"/>
          <w:szCs w:val="24"/>
          <w:lang w:val="en-ZA"/>
        </w:rPr>
        <w:t xml:space="preserve"> briefing the Committee on the Bill in its entirety</w:t>
      </w:r>
      <w:r w:rsidR="00162927">
        <w:rPr>
          <w:rFonts w:ascii="Times New Roman" w:hAnsi="Times New Roman"/>
          <w:sz w:val="24"/>
          <w:szCs w:val="24"/>
          <w:lang w:val="en-ZA"/>
        </w:rPr>
        <w:t xml:space="preserve">, </w:t>
      </w:r>
      <w:r w:rsidR="00BE631B" w:rsidRPr="00162927">
        <w:rPr>
          <w:rFonts w:ascii="Times New Roman" w:hAnsi="Times New Roman"/>
          <w:color w:val="auto"/>
          <w:sz w:val="24"/>
          <w:szCs w:val="24"/>
          <w:lang w:val="en-ZA"/>
        </w:rPr>
        <w:t xml:space="preserve">the Departments of </w:t>
      </w:r>
      <w:r w:rsidR="00611BA8" w:rsidRPr="00162927">
        <w:rPr>
          <w:rFonts w:ascii="Times New Roman" w:hAnsi="Times New Roman"/>
          <w:color w:val="auto"/>
          <w:sz w:val="24"/>
          <w:szCs w:val="24"/>
          <w:lang w:val="en-ZA"/>
        </w:rPr>
        <w:t>Transport,</w:t>
      </w:r>
      <w:r w:rsidR="00162927" w:rsidRPr="00162927">
        <w:rPr>
          <w:rFonts w:ascii="Times New Roman" w:hAnsi="Times New Roman"/>
          <w:color w:val="auto"/>
          <w:sz w:val="24"/>
          <w:szCs w:val="24"/>
          <w:lang w:val="en-ZA"/>
        </w:rPr>
        <w:t xml:space="preserve"> Health, Water </w:t>
      </w:r>
      <w:r w:rsidR="00162927" w:rsidRPr="00162927">
        <w:rPr>
          <w:rFonts w:ascii="Times New Roman" w:hAnsi="Times New Roman"/>
          <w:color w:val="auto"/>
          <w:sz w:val="24"/>
          <w:szCs w:val="24"/>
          <w:lang w:val="en-ZA"/>
        </w:rPr>
        <w:lastRenderedPageBreak/>
        <w:t xml:space="preserve">and Sanitation and Cooperative Governance </w:t>
      </w:r>
      <w:r w:rsidR="00C93968" w:rsidRPr="00162927">
        <w:rPr>
          <w:rFonts w:ascii="Times New Roman" w:hAnsi="Times New Roman"/>
          <w:color w:val="auto"/>
          <w:sz w:val="24"/>
          <w:szCs w:val="24"/>
          <w:lang w:val="en-ZA"/>
        </w:rPr>
        <w:t xml:space="preserve">were </w:t>
      </w:r>
      <w:r w:rsidR="00833DB1">
        <w:rPr>
          <w:rFonts w:ascii="Times New Roman" w:hAnsi="Times New Roman"/>
          <w:color w:val="auto"/>
          <w:sz w:val="24"/>
          <w:szCs w:val="24"/>
          <w:lang w:val="en-ZA"/>
        </w:rPr>
        <w:t xml:space="preserve">all </w:t>
      </w:r>
      <w:r w:rsidR="00BE631B" w:rsidRPr="00162927">
        <w:rPr>
          <w:rFonts w:ascii="Times New Roman" w:hAnsi="Times New Roman"/>
          <w:color w:val="auto"/>
          <w:sz w:val="24"/>
          <w:szCs w:val="24"/>
          <w:lang w:val="en-ZA"/>
        </w:rPr>
        <w:t>invited to make oral presentation</w:t>
      </w:r>
      <w:r w:rsidR="00174087" w:rsidRPr="00162927">
        <w:rPr>
          <w:rFonts w:ascii="Times New Roman" w:hAnsi="Times New Roman"/>
          <w:color w:val="auto"/>
          <w:sz w:val="24"/>
          <w:szCs w:val="24"/>
          <w:lang w:val="en-ZA"/>
        </w:rPr>
        <w:t>s</w:t>
      </w:r>
      <w:r w:rsidR="00C93968" w:rsidRPr="00162927">
        <w:rPr>
          <w:rFonts w:ascii="Times New Roman" w:hAnsi="Times New Roman"/>
          <w:color w:val="auto"/>
          <w:sz w:val="24"/>
          <w:szCs w:val="24"/>
          <w:lang w:val="en-ZA"/>
        </w:rPr>
        <w:t xml:space="preserve"> on the Adjustments Appropriation Bill</w:t>
      </w:r>
      <w:r w:rsidR="00BE631B" w:rsidRPr="00162927">
        <w:rPr>
          <w:rFonts w:ascii="Times New Roman" w:hAnsi="Times New Roman"/>
          <w:color w:val="auto"/>
          <w:sz w:val="24"/>
          <w:szCs w:val="24"/>
          <w:lang w:val="en-ZA"/>
        </w:rPr>
        <w:t xml:space="preserve">.  </w:t>
      </w:r>
    </w:p>
    <w:p w14:paraId="44888E6D" w14:textId="460D5AB3" w:rsidR="006C6575" w:rsidRDefault="006C6575" w:rsidP="005515E4">
      <w:pPr>
        <w:spacing w:line="360" w:lineRule="auto"/>
        <w:ind w:left="-540"/>
        <w:jc w:val="both"/>
        <w:rPr>
          <w:rFonts w:ascii="Times New Roman" w:hAnsi="Times New Roman"/>
          <w:color w:val="FF0000"/>
          <w:sz w:val="24"/>
          <w:szCs w:val="24"/>
          <w:lang w:val="en-ZA"/>
        </w:rPr>
      </w:pPr>
    </w:p>
    <w:p w14:paraId="095D58A7" w14:textId="2856C66C" w:rsidR="006C6575" w:rsidRPr="00164843" w:rsidRDefault="006C6575" w:rsidP="00F61CC0">
      <w:pPr>
        <w:spacing w:line="360" w:lineRule="auto"/>
        <w:ind w:left="-540"/>
        <w:jc w:val="both"/>
        <w:rPr>
          <w:rFonts w:ascii="Times New Roman" w:hAnsi="Times New Roman"/>
          <w:color w:val="auto"/>
          <w:sz w:val="24"/>
          <w:szCs w:val="24"/>
          <w:lang w:val="en-ZA"/>
        </w:rPr>
      </w:pPr>
      <w:r w:rsidRPr="00164843">
        <w:rPr>
          <w:rFonts w:ascii="Times New Roman" w:hAnsi="Times New Roman"/>
          <w:color w:val="auto"/>
          <w:sz w:val="24"/>
          <w:szCs w:val="24"/>
          <w:lang w:val="en-ZA"/>
        </w:rPr>
        <w:t>Section 43 (1) of the Public Finance Management Act of 1999 (PFMA) allows Accounting Officers to utilise a saving in the amount appropriated under a main division (programme) within a vote to defray excess expenditure under another main division within the same vote. However, sub</w:t>
      </w:r>
      <w:r w:rsidR="0012570A">
        <w:rPr>
          <w:rFonts w:ascii="Times New Roman" w:hAnsi="Times New Roman"/>
          <w:color w:val="auto"/>
          <w:sz w:val="24"/>
          <w:szCs w:val="24"/>
          <w:lang w:val="en-ZA"/>
        </w:rPr>
        <w:t>-</w:t>
      </w:r>
      <w:r w:rsidRPr="00164843">
        <w:rPr>
          <w:rFonts w:ascii="Times New Roman" w:hAnsi="Times New Roman"/>
          <w:color w:val="auto"/>
          <w:sz w:val="24"/>
          <w:szCs w:val="24"/>
          <w:lang w:val="en-ZA"/>
        </w:rPr>
        <w:t>section 2 of the same provision suggests that the saving to be utilised may not exceed 8 per cent of the amount appropriated under that main division. Importantly, section 43(4)(b) does not allow the utilisation of funds from the amount which is specifically earmarked for transfer payments to another institution or entity, and (c) nor that funds earmarked for capital expenditure may defray current payments. All virements that exceed 8 per cent must be approved by Parliament</w:t>
      </w:r>
      <w:r w:rsidR="00C626DF" w:rsidRPr="00164843">
        <w:rPr>
          <w:rFonts w:ascii="Times New Roman" w:hAnsi="Times New Roman"/>
          <w:color w:val="auto"/>
          <w:sz w:val="24"/>
          <w:szCs w:val="24"/>
          <w:lang w:val="en-ZA"/>
        </w:rPr>
        <w:t xml:space="preserve">. To this end, the Committee identified the </w:t>
      </w:r>
      <w:r w:rsidR="00C626DF" w:rsidRPr="003241CD">
        <w:rPr>
          <w:rFonts w:ascii="Times New Roman" w:hAnsi="Times New Roman"/>
          <w:color w:val="auto"/>
          <w:sz w:val="24"/>
          <w:szCs w:val="24"/>
          <w:lang w:val="en-ZA"/>
        </w:rPr>
        <w:t>16 departments</w:t>
      </w:r>
      <w:r w:rsidR="00C626DF" w:rsidRPr="00164843">
        <w:rPr>
          <w:rFonts w:ascii="Times New Roman" w:hAnsi="Times New Roman"/>
          <w:color w:val="auto"/>
          <w:sz w:val="24"/>
          <w:szCs w:val="24"/>
          <w:lang w:val="en-ZA"/>
        </w:rPr>
        <w:t xml:space="preserve"> that have exceeded the 8 per cent requirement of the PFMA and National Treasury supplied the reasons for these virements. These departments were the Presidency, Communications, Planning, Monitoring and Evaluation, Public Enterprises, Women, Higher Education and Training, Health, Social Development, Military Veterans, Independent Police Investigative Directorate, Justice and Constitutional Development, Agriculture Forestry and Fisheries,</w:t>
      </w:r>
      <w:r w:rsidR="002C2BD8" w:rsidRPr="00164843">
        <w:rPr>
          <w:rFonts w:ascii="Times New Roman" w:hAnsi="Times New Roman"/>
          <w:color w:val="auto"/>
          <w:sz w:val="24"/>
          <w:szCs w:val="24"/>
          <w:lang w:val="en-ZA"/>
        </w:rPr>
        <w:t xml:space="preserve"> Labour, Small Business Development, Telecommunications</w:t>
      </w:r>
      <w:r w:rsidR="00D61B34" w:rsidRPr="00164843">
        <w:rPr>
          <w:rFonts w:ascii="Times New Roman" w:hAnsi="Times New Roman"/>
          <w:color w:val="auto"/>
          <w:sz w:val="24"/>
          <w:szCs w:val="24"/>
          <w:lang w:val="en-ZA"/>
        </w:rPr>
        <w:t xml:space="preserve">, </w:t>
      </w:r>
      <w:r w:rsidR="002C2BD8" w:rsidRPr="00164843">
        <w:rPr>
          <w:rFonts w:ascii="Times New Roman" w:hAnsi="Times New Roman"/>
          <w:color w:val="auto"/>
          <w:sz w:val="24"/>
          <w:szCs w:val="24"/>
          <w:lang w:val="en-ZA"/>
        </w:rPr>
        <w:t xml:space="preserve">and Postal Services, </w:t>
      </w:r>
      <w:r w:rsidR="00D61B34" w:rsidRPr="00164843">
        <w:rPr>
          <w:rFonts w:ascii="Times New Roman" w:hAnsi="Times New Roman"/>
          <w:color w:val="auto"/>
          <w:sz w:val="24"/>
          <w:szCs w:val="24"/>
          <w:lang w:val="en-ZA"/>
        </w:rPr>
        <w:t xml:space="preserve">Cooperative Governance and Traditional Affairs and </w:t>
      </w:r>
      <w:r w:rsidR="002C2BD8" w:rsidRPr="00164843">
        <w:rPr>
          <w:rFonts w:ascii="Times New Roman" w:hAnsi="Times New Roman"/>
          <w:color w:val="auto"/>
          <w:sz w:val="24"/>
          <w:szCs w:val="24"/>
          <w:lang w:val="en-ZA"/>
        </w:rPr>
        <w:t>Trade and Industry</w:t>
      </w:r>
      <w:r w:rsidR="003241CD">
        <w:rPr>
          <w:rFonts w:ascii="Times New Roman" w:hAnsi="Times New Roman"/>
          <w:color w:val="auto"/>
          <w:sz w:val="24"/>
          <w:szCs w:val="24"/>
          <w:lang w:val="en-ZA"/>
        </w:rPr>
        <w:t>.</w:t>
      </w:r>
    </w:p>
    <w:p w14:paraId="6BCD3156" w14:textId="77777777" w:rsidR="005515E4" w:rsidRDefault="005515E4" w:rsidP="00F61CC0">
      <w:pPr>
        <w:spacing w:line="360" w:lineRule="auto"/>
        <w:ind w:left="-540"/>
        <w:jc w:val="both"/>
        <w:rPr>
          <w:rFonts w:ascii="Times New Roman" w:hAnsi="Times New Roman"/>
          <w:color w:val="FF0000"/>
          <w:sz w:val="24"/>
          <w:szCs w:val="24"/>
          <w:lang w:val="en-ZA"/>
        </w:rPr>
      </w:pPr>
    </w:p>
    <w:p w14:paraId="262132CC" w14:textId="161FD794" w:rsidR="006208C6" w:rsidRPr="00164843" w:rsidRDefault="00C07EA9" w:rsidP="009B73C7">
      <w:pPr>
        <w:pStyle w:val="ListParagraph"/>
        <w:numPr>
          <w:ilvl w:val="0"/>
          <w:numId w:val="1"/>
        </w:numPr>
        <w:spacing w:line="360" w:lineRule="auto"/>
        <w:jc w:val="both"/>
        <w:rPr>
          <w:rFonts w:ascii="Times New Roman" w:hAnsi="Times New Roman"/>
          <w:b/>
          <w:color w:val="auto"/>
          <w:sz w:val="24"/>
          <w:szCs w:val="24"/>
          <w:lang w:val="en-ZA"/>
        </w:rPr>
      </w:pPr>
      <w:r w:rsidRPr="00164843">
        <w:rPr>
          <w:rFonts w:ascii="Times New Roman" w:hAnsi="Times New Roman"/>
          <w:b/>
          <w:color w:val="auto"/>
          <w:sz w:val="24"/>
          <w:szCs w:val="24"/>
          <w:lang w:val="en-ZA"/>
        </w:rPr>
        <w:t>Overview of 2019</w:t>
      </w:r>
      <w:r w:rsidR="006208C6" w:rsidRPr="00164843">
        <w:rPr>
          <w:rFonts w:ascii="Times New Roman" w:hAnsi="Times New Roman"/>
          <w:b/>
          <w:color w:val="auto"/>
          <w:sz w:val="24"/>
          <w:szCs w:val="24"/>
          <w:lang w:val="en-ZA"/>
        </w:rPr>
        <w:t xml:space="preserve"> budget adjustments</w:t>
      </w:r>
    </w:p>
    <w:p w14:paraId="28BD7EF3" w14:textId="77777777" w:rsidR="006208C6" w:rsidRPr="001869B0" w:rsidRDefault="006208C6" w:rsidP="00F61CC0">
      <w:pPr>
        <w:spacing w:line="360" w:lineRule="auto"/>
        <w:jc w:val="both"/>
        <w:rPr>
          <w:rFonts w:ascii="Times New Roman" w:hAnsi="Times New Roman"/>
          <w:color w:val="auto"/>
          <w:sz w:val="24"/>
          <w:szCs w:val="24"/>
          <w:lang w:val="en-ZA"/>
        </w:rPr>
      </w:pPr>
    </w:p>
    <w:p w14:paraId="4D78CE68" w14:textId="1087E220" w:rsidR="006208C6" w:rsidRPr="008B46F5" w:rsidRDefault="008E33DA" w:rsidP="00162927">
      <w:pPr>
        <w:pStyle w:val="ListParagraph"/>
        <w:spacing w:line="360" w:lineRule="auto"/>
        <w:ind w:left="-810" w:firstLine="243"/>
        <w:jc w:val="both"/>
        <w:rPr>
          <w:rFonts w:ascii="Times New Roman" w:hAnsi="Times New Roman"/>
          <w:b/>
          <w:color w:val="auto"/>
          <w:sz w:val="24"/>
          <w:szCs w:val="24"/>
          <w:lang w:val="en-ZA"/>
        </w:rPr>
      </w:pPr>
      <w:r w:rsidRPr="0012570A">
        <w:rPr>
          <w:rFonts w:ascii="Times New Roman" w:hAnsi="Times New Roman"/>
          <w:b/>
          <w:color w:val="auto"/>
          <w:sz w:val="24"/>
          <w:szCs w:val="24"/>
          <w:lang w:val="en-ZA"/>
        </w:rPr>
        <w:t>Table 1</w:t>
      </w:r>
      <w:r w:rsidR="005515E4" w:rsidRPr="00621A3E">
        <w:rPr>
          <w:rFonts w:ascii="Times New Roman" w:hAnsi="Times New Roman"/>
          <w:b/>
          <w:color w:val="auto"/>
          <w:sz w:val="24"/>
          <w:szCs w:val="24"/>
          <w:lang w:val="en-ZA"/>
        </w:rPr>
        <w:t xml:space="preserve">: </w:t>
      </w:r>
      <w:r w:rsidR="005515E4" w:rsidRPr="008B46F5">
        <w:rPr>
          <w:rFonts w:ascii="Times New Roman" w:hAnsi="Times New Roman"/>
          <w:b/>
          <w:color w:val="auto"/>
          <w:sz w:val="24"/>
          <w:szCs w:val="24"/>
          <w:lang w:val="en-ZA"/>
        </w:rPr>
        <w:t>E</w:t>
      </w:r>
      <w:r w:rsidR="006208C6" w:rsidRPr="008B46F5">
        <w:rPr>
          <w:rFonts w:ascii="Times New Roman" w:hAnsi="Times New Roman"/>
          <w:b/>
          <w:color w:val="auto"/>
          <w:sz w:val="24"/>
          <w:szCs w:val="24"/>
          <w:lang w:val="en-ZA"/>
        </w:rPr>
        <w:t>xpenditure earmarked in the 2019</w:t>
      </w:r>
      <w:r w:rsidR="005515E4" w:rsidRPr="008B46F5">
        <w:rPr>
          <w:rFonts w:ascii="Times New Roman" w:hAnsi="Times New Roman"/>
          <w:b/>
          <w:color w:val="auto"/>
          <w:sz w:val="24"/>
          <w:szCs w:val="24"/>
          <w:lang w:val="en-ZA"/>
        </w:rPr>
        <w:t xml:space="preserve"> Budget speech for future allocation</w:t>
      </w:r>
    </w:p>
    <w:tbl>
      <w:tblPr>
        <w:tblW w:w="9356" w:type="dxa"/>
        <w:tblInd w:w="-577" w:type="dxa"/>
        <w:tblLook w:val="04A0" w:firstRow="1" w:lastRow="0" w:firstColumn="1" w:lastColumn="0" w:noHBand="0" w:noVBand="1"/>
      </w:tblPr>
      <w:tblGrid>
        <w:gridCol w:w="976"/>
        <w:gridCol w:w="7191"/>
        <w:gridCol w:w="1189"/>
      </w:tblGrid>
      <w:tr w:rsidR="006208C6" w:rsidRPr="001869B0" w14:paraId="69BAD757" w14:textId="77777777" w:rsidTr="00164843">
        <w:trPr>
          <w:trHeight w:val="235"/>
        </w:trPr>
        <w:tc>
          <w:tcPr>
            <w:tcW w:w="8167" w:type="dxa"/>
            <w:gridSpan w:val="2"/>
            <w:tcBorders>
              <w:top w:val="single" w:sz="8" w:space="0" w:color="auto"/>
              <w:left w:val="single" w:sz="8" w:space="0" w:color="auto"/>
              <w:bottom w:val="single" w:sz="4" w:space="0" w:color="auto"/>
              <w:right w:val="nil"/>
            </w:tcBorders>
            <w:shd w:val="clear" w:color="auto" w:fill="auto"/>
            <w:noWrap/>
            <w:vAlign w:val="center"/>
            <w:hideMark/>
          </w:tcPr>
          <w:p w14:paraId="187716B4"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Vote and description of expenditure</w:t>
            </w:r>
          </w:p>
        </w:tc>
        <w:tc>
          <w:tcPr>
            <w:tcW w:w="118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BAEBDFA" w14:textId="77777777" w:rsidR="006208C6" w:rsidRPr="001869B0" w:rsidRDefault="006208C6" w:rsidP="006208C6">
            <w:pPr>
              <w:spacing w:line="240" w:lineRule="auto"/>
              <w:jc w:val="right"/>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R thousand</w:t>
            </w:r>
          </w:p>
        </w:tc>
      </w:tr>
      <w:tr w:rsidR="006208C6" w:rsidRPr="001869B0" w14:paraId="324BD1AC" w14:textId="77777777" w:rsidTr="00164843">
        <w:trPr>
          <w:trHeight w:val="235"/>
        </w:trPr>
        <w:tc>
          <w:tcPr>
            <w:tcW w:w="976" w:type="dxa"/>
            <w:tcBorders>
              <w:top w:val="nil"/>
              <w:left w:val="single" w:sz="8" w:space="0" w:color="auto"/>
              <w:bottom w:val="nil"/>
              <w:right w:val="nil"/>
            </w:tcBorders>
            <w:shd w:val="clear" w:color="auto" w:fill="auto"/>
            <w:hideMark/>
          </w:tcPr>
          <w:p w14:paraId="3FE4154C"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3</w:t>
            </w:r>
          </w:p>
        </w:tc>
        <w:tc>
          <w:tcPr>
            <w:tcW w:w="7191" w:type="dxa"/>
            <w:tcBorders>
              <w:top w:val="nil"/>
              <w:left w:val="nil"/>
              <w:bottom w:val="nil"/>
              <w:right w:val="nil"/>
            </w:tcBorders>
            <w:shd w:val="clear" w:color="auto" w:fill="auto"/>
            <w:noWrap/>
            <w:hideMark/>
          </w:tcPr>
          <w:p w14:paraId="2C11E5A5"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Communications</w:t>
            </w:r>
          </w:p>
        </w:tc>
        <w:tc>
          <w:tcPr>
            <w:tcW w:w="1189" w:type="dxa"/>
            <w:tcBorders>
              <w:top w:val="nil"/>
              <w:left w:val="single" w:sz="4" w:space="0" w:color="auto"/>
              <w:bottom w:val="nil"/>
              <w:right w:val="single" w:sz="8" w:space="0" w:color="auto"/>
            </w:tcBorders>
            <w:shd w:val="clear" w:color="auto" w:fill="auto"/>
            <w:hideMark/>
          </w:tcPr>
          <w:p w14:paraId="45A3A709" w14:textId="04D3DD60" w:rsidR="006208C6" w:rsidRPr="001869B0" w:rsidRDefault="006208C6" w:rsidP="006208C6">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3,200,000 </w:t>
            </w:r>
          </w:p>
        </w:tc>
      </w:tr>
      <w:tr w:rsidR="006208C6" w:rsidRPr="001869B0" w14:paraId="5BD6404D" w14:textId="77777777" w:rsidTr="00164843">
        <w:trPr>
          <w:trHeight w:val="235"/>
        </w:trPr>
        <w:tc>
          <w:tcPr>
            <w:tcW w:w="976" w:type="dxa"/>
            <w:tcBorders>
              <w:top w:val="nil"/>
              <w:left w:val="single" w:sz="8" w:space="0" w:color="auto"/>
              <w:bottom w:val="nil"/>
              <w:right w:val="nil"/>
            </w:tcBorders>
            <w:shd w:val="clear" w:color="auto" w:fill="auto"/>
            <w:noWrap/>
            <w:hideMark/>
          </w:tcPr>
          <w:p w14:paraId="21B77F50"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 </w:t>
            </w:r>
          </w:p>
        </w:tc>
        <w:tc>
          <w:tcPr>
            <w:tcW w:w="7191" w:type="dxa"/>
            <w:tcBorders>
              <w:top w:val="nil"/>
              <w:left w:val="nil"/>
              <w:bottom w:val="nil"/>
              <w:right w:val="nil"/>
            </w:tcBorders>
            <w:shd w:val="clear" w:color="auto" w:fill="auto"/>
            <w:hideMark/>
          </w:tcPr>
          <w:p w14:paraId="179BF303" w14:textId="77777777" w:rsidR="006208C6" w:rsidRPr="001869B0" w:rsidRDefault="006208C6" w:rsidP="006208C6">
            <w:pPr>
              <w:spacing w:line="240" w:lineRule="auto"/>
              <w:rPr>
                <w:rFonts w:ascii="Arial Narrow" w:hAnsi="Arial Narrow" w:cs="Calibri"/>
                <w:color w:val="auto"/>
                <w:spacing w:val="0"/>
                <w:sz w:val="22"/>
                <w:szCs w:val="20"/>
                <w:lang w:val="en-US" w:eastAsia="en-US"/>
              </w:rPr>
            </w:pPr>
            <w:r w:rsidRPr="001869B0">
              <w:rPr>
                <w:rFonts w:ascii="Arial Narrow" w:hAnsi="Arial Narrow" w:cs="Calibri"/>
                <w:color w:val="auto"/>
                <w:spacing w:val="0"/>
                <w:sz w:val="22"/>
                <w:szCs w:val="20"/>
                <w:lang w:val="en-US" w:eastAsia="en-US"/>
              </w:rPr>
              <w:t>R3.2 billion for the South African Broadcasting Corporation</w:t>
            </w:r>
          </w:p>
        </w:tc>
        <w:tc>
          <w:tcPr>
            <w:tcW w:w="1189" w:type="dxa"/>
            <w:tcBorders>
              <w:top w:val="nil"/>
              <w:left w:val="single" w:sz="4" w:space="0" w:color="auto"/>
              <w:bottom w:val="nil"/>
              <w:right w:val="single" w:sz="8" w:space="0" w:color="auto"/>
            </w:tcBorders>
            <w:shd w:val="clear" w:color="auto" w:fill="auto"/>
            <w:noWrap/>
            <w:vAlign w:val="center"/>
            <w:hideMark/>
          </w:tcPr>
          <w:p w14:paraId="54C6707D" w14:textId="77777777" w:rsidR="006208C6" w:rsidRPr="001869B0" w:rsidRDefault="006208C6" w:rsidP="006208C6">
            <w:pPr>
              <w:spacing w:line="240" w:lineRule="auto"/>
              <w:jc w:val="right"/>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6208C6" w:rsidRPr="001869B0" w14:paraId="62A81198" w14:textId="77777777" w:rsidTr="00164843">
        <w:trPr>
          <w:trHeight w:val="235"/>
        </w:trPr>
        <w:tc>
          <w:tcPr>
            <w:tcW w:w="976" w:type="dxa"/>
            <w:tcBorders>
              <w:top w:val="nil"/>
              <w:left w:val="single" w:sz="8" w:space="0" w:color="auto"/>
              <w:bottom w:val="nil"/>
              <w:right w:val="nil"/>
            </w:tcBorders>
            <w:shd w:val="clear" w:color="auto" w:fill="auto"/>
            <w:hideMark/>
          </w:tcPr>
          <w:p w14:paraId="456DC275"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7</w:t>
            </w:r>
          </w:p>
        </w:tc>
        <w:tc>
          <w:tcPr>
            <w:tcW w:w="7191" w:type="dxa"/>
            <w:tcBorders>
              <w:top w:val="nil"/>
              <w:left w:val="nil"/>
              <w:bottom w:val="nil"/>
              <w:right w:val="nil"/>
            </w:tcBorders>
            <w:shd w:val="clear" w:color="auto" w:fill="auto"/>
            <w:noWrap/>
            <w:hideMark/>
          </w:tcPr>
          <w:p w14:paraId="1EC9DF58"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National Treasury</w:t>
            </w:r>
          </w:p>
        </w:tc>
        <w:tc>
          <w:tcPr>
            <w:tcW w:w="1189" w:type="dxa"/>
            <w:tcBorders>
              <w:top w:val="nil"/>
              <w:left w:val="single" w:sz="4" w:space="0" w:color="auto"/>
              <w:bottom w:val="nil"/>
              <w:right w:val="single" w:sz="8" w:space="0" w:color="auto"/>
            </w:tcBorders>
            <w:shd w:val="clear" w:color="auto" w:fill="auto"/>
            <w:hideMark/>
          </w:tcPr>
          <w:p w14:paraId="4189E878" w14:textId="77777777" w:rsidR="006208C6" w:rsidRPr="001869B0" w:rsidRDefault="006208C6" w:rsidP="006208C6">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100,000 </w:t>
            </w:r>
          </w:p>
        </w:tc>
      </w:tr>
      <w:tr w:rsidR="006208C6" w:rsidRPr="001869B0" w14:paraId="0587132C" w14:textId="77777777" w:rsidTr="00164843">
        <w:trPr>
          <w:trHeight w:val="462"/>
        </w:trPr>
        <w:tc>
          <w:tcPr>
            <w:tcW w:w="976" w:type="dxa"/>
            <w:tcBorders>
              <w:top w:val="nil"/>
              <w:left w:val="single" w:sz="8" w:space="0" w:color="auto"/>
              <w:bottom w:val="nil"/>
              <w:right w:val="nil"/>
            </w:tcBorders>
            <w:shd w:val="clear" w:color="auto" w:fill="auto"/>
            <w:noWrap/>
            <w:hideMark/>
          </w:tcPr>
          <w:p w14:paraId="64B7D16D"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 </w:t>
            </w:r>
          </w:p>
        </w:tc>
        <w:tc>
          <w:tcPr>
            <w:tcW w:w="7191" w:type="dxa"/>
            <w:tcBorders>
              <w:top w:val="nil"/>
              <w:left w:val="nil"/>
              <w:bottom w:val="nil"/>
              <w:right w:val="nil"/>
            </w:tcBorders>
            <w:shd w:val="clear" w:color="auto" w:fill="auto"/>
            <w:hideMark/>
          </w:tcPr>
          <w:p w14:paraId="7AEA414C" w14:textId="77777777" w:rsidR="006208C6" w:rsidRPr="001869B0" w:rsidRDefault="006208C6" w:rsidP="006208C6">
            <w:pPr>
              <w:spacing w:line="240" w:lineRule="auto"/>
              <w:rPr>
                <w:rFonts w:ascii="Arial Narrow" w:hAnsi="Arial Narrow" w:cs="Calibri"/>
                <w:color w:val="auto"/>
                <w:spacing w:val="0"/>
                <w:sz w:val="22"/>
                <w:szCs w:val="20"/>
                <w:lang w:val="en-US" w:eastAsia="en-US"/>
              </w:rPr>
            </w:pPr>
            <w:r w:rsidRPr="001869B0">
              <w:rPr>
                <w:rFonts w:ascii="Arial Narrow" w:hAnsi="Arial Narrow" w:cs="Calibri"/>
                <w:color w:val="auto"/>
                <w:spacing w:val="0"/>
                <w:sz w:val="22"/>
                <w:szCs w:val="20"/>
                <w:lang w:val="en-US" w:eastAsia="en-US"/>
              </w:rPr>
              <w:t>R100 million for project preparation for the Infrastructure Fund implementation unit to assist public sector institutions with project planning and appraisal</w:t>
            </w:r>
          </w:p>
        </w:tc>
        <w:tc>
          <w:tcPr>
            <w:tcW w:w="1189" w:type="dxa"/>
            <w:tcBorders>
              <w:top w:val="nil"/>
              <w:left w:val="single" w:sz="4" w:space="0" w:color="auto"/>
              <w:bottom w:val="nil"/>
              <w:right w:val="single" w:sz="8" w:space="0" w:color="auto"/>
            </w:tcBorders>
            <w:shd w:val="clear" w:color="auto" w:fill="auto"/>
            <w:hideMark/>
          </w:tcPr>
          <w:p w14:paraId="07D806BC" w14:textId="77777777" w:rsidR="006208C6" w:rsidRPr="001869B0" w:rsidRDefault="006208C6" w:rsidP="006208C6">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w:t>
            </w:r>
          </w:p>
        </w:tc>
      </w:tr>
      <w:tr w:rsidR="006208C6" w:rsidRPr="001869B0" w14:paraId="031DC9EB" w14:textId="77777777" w:rsidTr="00164843">
        <w:trPr>
          <w:trHeight w:val="235"/>
        </w:trPr>
        <w:tc>
          <w:tcPr>
            <w:tcW w:w="976" w:type="dxa"/>
            <w:tcBorders>
              <w:top w:val="nil"/>
              <w:left w:val="single" w:sz="8" w:space="0" w:color="auto"/>
              <w:bottom w:val="nil"/>
              <w:right w:val="nil"/>
            </w:tcBorders>
            <w:shd w:val="clear" w:color="auto" w:fill="auto"/>
            <w:hideMark/>
          </w:tcPr>
          <w:p w14:paraId="29F72D4B"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9</w:t>
            </w:r>
          </w:p>
        </w:tc>
        <w:tc>
          <w:tcPr>
            <w:tcW w:w="7191" w:type="dxa"/>
            <w:tcBorders>
              <w:top w:val="nil"/>
              <w:left w:val="nil"/>
              <w:bottom w:val="nil"/>
              <w:right w:val="nil"/>
            </w:tcBorders>
            <w:shd w:val="clear" w:color="auto" w:fill="auto"/>
            <w:noWrap/>
            <w:hideMark/>
          </w:tcPr>
          <w:p w14:paraId="0A915377"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Public Enterprises</w:t>
            </w:r>
          </w:p>
        </w:tc>
        <w:tc>
          <w:tcPr>
            <w:tcW w:w="1189" w:type="dxa"/>
            <w:tcBorders>
              <w:top w:val="nil"/>
              <w:left w:val="single" w:sz="4" w:space="0" w:color="auto"/>
              <w:bottom w:val="nil"/>
              <w:right w:val="single" w:sz="8" w:space="0" w:color="auto"/>
            </w:tcBorders>
            <w:shd w:val="clear" w:color="auto" w:fill="auto"/>
            <w:hideMark/>
          </w:tcPr>
          <w:p w14:paraId="043BBF12" w14:textId="77777777" w:rsidR="006208C6" w:rsidRPr="001869B0" w:rsidRDefault="006208C6" w:rsidP="006208C6">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12,948,000 </w:t>
            </w:r>
          </w:p>
        </w:tc>
      </w:tr>
      <w:tr w:rsidR="006208C6" w:rsidRPr="001869B0" w14:paraId="7D0297C3" w14:textId="77777777" w:rsidTr="00164843">
        <w:trPr>
          <w:trHeight w:val="462"/>
        </w:trPr>
        <w:tc>
          <w:tcPr>
            <w:tcW w:w="976" w:type="dxa"/>
            <w:tcBorders>
              <w:top w:val="nil"/>
              <w:left w:val="single" w:sz="8" w:space="0" w:color="auto"/>
              <w:bottom w:val="nil"/>
              <w:right w:val="nil"/>
            </w:tcBorders>
            <w:shd w:val="clear" w:color="auto" w:fill="auto"/>
            <w:noWrap/>
            <w:hideMark/>
          </w:tcPr>
          <w:p w14:paraId="28D7EE93"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 </w:t>
            </w:r>
          </w:p>
        </w:tc>
        <w:tc>
          <w:tcPr>
            <w:tcW w:w="7191" w:type="dxa"/>
            <w:tcBorders>
              <w:top w:val="nil"/>
              <w:left w:val="nil"/>
              <w:bottom w:val="nil"/>
              <w:right w:val="nil"/>
            </w:tcBorders>
            <w:shd w:val="clear" w:color="auto" w:fill="auto"/>
            <w:hideMark/>
          </w:tcPr>
          <w:p w14:paraId="7EE84BB4" w14:textId="77777777" w:rsidR="006208C6" w:rsidRPr="001869B0" w:rsidRDefault="006208C6" w:rsidP="006208C6">
            <w:pPr>
              <w:spacing w:line="240" w:lineRule="auto"/>
              <w:rPr>
                <w:rFonts w:ascii="Arial Narrow" w:hAnsi="Arial Narrow" w:cs="Calibri"/>
                <w:color w:val="auto"/>
                <w:spacing w:val="0"/>
                <w:sz w:val="22"/>
                <w:szCs w:val="20"/>
                <w:lang w:val="en-US" w:eastAsia="en-US"/>
              </w:rPr>
            </w:pPr>
            <w:r w:rsidRPr="001869B0">
              <w:rPr>
                <w:rFonts w:ascii="Arial Narrow" w:hAnsi="Arial Narrow" w:cs="Calibri"/>
                <w:color w:val="auto"/>
                <w:spacing w:val="0"/>
                <w:sz w:val="22"/>
                <w:szCs w:val="20"/>
                <w:lang w:val="en-US" w:eastAsia="en-US"/>
              </w:rPr>
              <w:t xml:space="preserve">R5.348 billion for Eskom, R5.5 billion for South African Airways, R1.8 billion for Denel and R300 million South African Express </w:t>
            </w:r>
          </w:p>
        </w:tc>
        <w:tc>
          <w:tcPr>
            <w:tcW w:w="1189" w:type="dxa"/>
            <w:tcBorders>
              <w:top w:val="nil"/>
              <w:left w:val="single" w:sz="4" w:space="0" w:color="auto"/>
              <w:bottom w:val="nil"/>
              <w:right w:val="single" w:sz="8" w:space="0" w:color="auto"/>
            </w:tcBorders>
            <w:shd w:val="clear" w:color="auto" w:fill="auto"/>
            <w:hideMark/>
          </w:tcPr>
          <w:p w14:paraId="30AD221E" w14:textId="77777777" w:rsidR="006208C6" w:rsidRPr="001869B0" w:rsidRDefault="006208C6" w:rsidP="006208C6">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w:t>
            </w:r>
          </w:p>
        </w:tc>
      </w:tr>
      <w:tr w:rsidR="006208C6" w:rsidRPr="001869B0" w14:paraId="3DF03D18" w14:textId="77777777" w:rsidTr="00164843">
        <w:trPr>
          <w:trHeight w:val="235"/>
        </w:trPr>
        <w:tc>
          <w:tcPr>
            <w:tcW w:w="976" w:type="dxa"/>
            <w:tcBorders>
              <w:top w:val="nil"/>
              <w:left w:val="single" w:sz="8" w:space="0" w:color="auto"/>
              <w:bottom w:val="nil"/>
              <w:right w:val="nil"/>
            </w:tcBorders>
            <w:shd w:val="clear" w:color="auto" w:fill="auto"/>
            <w:hideMark/>
          </w:tcPr>
          <w:p w14:paraId="6784FCE3"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11</w:t>
            </w:r>
          </w:p>
        </w:tc>
        <w:tc>
          <w:tcPr>
            <w:tcW w:w="7191" w:type="dxa"/>
            <w:tcBorders>
              <w:top w:val="nil"/>
              <w:left w:val="nil"/>
              <w:bottom w:val="nil"/>
              <w:right w:val="nil"/>
            </w:tcBorders>
            <w:shd w:val="clear" w:color="auto" w:fill="auto"/>
            <w:noWrap/>
            <w:hideMark/>
          </w:tcPr>
          <w:p w14:paraId="73E683C7"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Public Works</w:t>
            </w:r>
          </w:p>
        </w:tc>
        <w:tc>
          <w:tcPr>
            <w:tcW w:w="1189" w:type="dxa"/>
            <w:tcBorders>
              <w:top w:val="nil"/>
              <w:left w:val="single" w:sz="4" w:space="0" w:color="auto"/>
              <w:bottom w:val="nil"/>
              <w:right w:val="single" w:sz="8" w:space="0" w:color="auto"/>
            </w:tcBorders>
            <w:shd w:val="clear" w:color="auto" w:fill="auto"/>
            <w:hideMark/>
          </w:tcPr>
          <w:p w14:paraId="6D5A5809" w14:textId="77777777" w:rsidR="006208C6" w:rsidRPr="001869B0" w:rsidRDefault="006208C6" w:rsidP="006208C6">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100,000 </w:t>
            </w:r>
          </w:p>
        </w:tc>
      </w:tr>
      <w:tr w:rsidR="006208C6" w:rsidRPr="001869B0" w14:paraId="1E55FD52" w14:textId="77777777" w:rsidTr="00164843">
        <w:trPr>
          <w:trHeight w:val="235"/>
        </w:trPr>
        <w:tc>
          <w:tcPr>
            <w:tcW w:w="976" w:type="dxa"/>
            <w:tcBorders>
              <w:top w:val="nil"/>
              <w:left w:val="single" w:sz="8" w:space="0" w:color="auto"/>
              <w:bottom w:val="nil"/>
              <w:right w:val="nil"/>
            </w:tcBorders>
            <w:shd w:val="clear" w:color="auto" w:fill="auto"/>
            <w:noWrap/>
            <w:hideMark/>
          </w:tcPr>
          <w:p w14:paraId="446483E1"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 </w:t>
            </w:r>
          </w:p>
        </w:tc>
        <w:tc>
          <w:tcPr>
            <w:tcW w:w="7191" w:type="dxa"/>
            <w:tcBorders>
              <w:top w:val="nil"/>
              <w:left w:val="nil"/>
              <w:bottom w:val="nil"/>
              <w:right w:val="nil"/>
            </w:tcBorders>
            <w:shd w:val="clear" w:color="auto" w:fill="auto"/>
            <w:hideMark/>
          </w:tcPr>
          <w:p w14:paraId="5F24377D" w14:textId="77777777" w:rsidR="006208C6" w:rsidRPr="001869B0" w:rsidRDefault="006208C6" w:rsidP="006208C6">
            <w:pPr>
              <w:spacing w:line="240" w:lineRule="auto"/>
              <w:rPr>
                <w:rFonts w:ascii="Arial Narrow" w:hAnsi="Arial Narrow" w:cs="Calibri"/>
                <w:color w:val="auto"/>
                <w:spacing w:val="0"/>
                <w:sz w:val="22"/>
                <w:szCs w:val="20"/>
                <w:lang w:val="en-US" w:eastAsia="en-US"/>
              </w:rPr>
            </w:pPr>
            <w:r w:rsidRPr="001869B0">
              <w:rPr>
                <w:rFonts w:ascii="Arial Narrow" w:hAnsi="Arial Narrow" w:cs="Calibri"/>
                <w:color w:val="auto"/>
                <w:spacing w:val="0"/>
                <w:sz w:val="22"/>
                <w:szCs w:val="20"/>
                <w:lang w:val="en-US" w:eastAsia="en-US"/>
              </w:rPr>
              <w:t>R100 million for the small harbours programme</w:t>
            </w:r>
          </w:p>
        </w:tc>
        <w:tc>
          <w:tcPr>
            <w:tcW w:w="1189" w:type="dxa"/>
            <w:tcBorders>
              <w:top w:val="nil"/>
              <w:left w:val="single" w:sz="4" w:space="0" w:color="auto"/>
              <w:bottom w:val="nil"/>
              <w:right w:val="single" w:sz="8" w:space="0" w:color="auto"/>
            </w:tcBorders>
            <w:shd w:val="clear" w:color="auto" w:fill="auto"/>
            <w:hideMark/>
          </w:tcPr>
          <w:p w14:paraId="0B718DB5" w14:textId="77777777" w:rsidR="006208C6" w:rsidRPr="001869B0" w:rsidRDefault="006208C6" w:rsidP="006208C6">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w:t>
            </w:r>
          </w:p>
        </w:tc>
      </w:tr>
      <w:tr w:rsidR="006208C6" w:rsidRPr="001869B0" w14:paraId="09589D70" w14:textId="77777777" w:rsidTr="00164843">
        <w:trPr>
          <w:trHeight w:val="235"/>
        </w:trPr>
        <w:tc>
          <w:tcPr>
            <w:tcW w:w="976" w:type="dxa"/>
            <w:tcBorders>
              <w:top w:val="nil"/>
              <w:left w:val="single" w:sz="8" w:space="0" w:color="auto"/>
              <w:bottom w:val="nil"/>
              <w:right w:val="nil"/>
            </w:tcBorders>
            <w:shd w:val="clear" w:color="auto" w:fill="auto"/>
            <w:hideMark/>
          </w:tcPr>
          <w:p w14:paraId="63E3FED7"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15</w:t>
            </w:r>
          </w:p>
        </w:tc>
        <w:tc>
          <w:tcPr>
            <w:tcW w:w="7191" w:type="dxa"/>
            <w:tcBorders>
              <w:top w:val="nil"/>
              <w:left w:val="nil"/>
              <w:bottom w:val="nil"/>
              <w:right w:val="nil"/>
            </w:tcBorders>
            <w:shd w:val="clear" w:color="auto" w:fill="auto"/>
            <w:noWrap/>
            <w:hideMark/>
          </w:tcPr>
          <w:p w14:paraId="3CB465F5"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Higher Education and Training</w:t>
            </w:r>
          </w:p>
        </w:tc>
        <w:tc>
          <w:tcPr>
            <w:tcW w:w="1189" w:type="dxa"/>
            <w:tcBorders>
              <w:top w:val="nil"/>
              <w:left w:val="single" w:sz="4" w:space="0" w:color="auto"/>
              <w:bottom w:val="nil"/>
              <w:right w:val="single" w:sz="8" w:space="0" w:color="auto"/>
            </w:tcBorders>
            <w:shd w:val="clear" w:color="auto" w:fill="auto"/>
            <w:hideMark/>
          </w:tcPr>
          <w:p w14:paraId="6FB83866" w14:textId="77777777" w:rsidR="006208C6" w:rsidRPr="001869B0" w:rsidRDefault="006208C6" w:rsidP="006208C6">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429,800 </w:t>
            </w:r>
          </w:p>
        </w:tc>
      </w:tr>
      <w:tr w:rsidR="006208C6" w:rsidRPr="001869B0" w14:paraId="11C69BC4" w14:textId="77777777" w:rsidTr="00164843">
        <w:trPr>
          <w:trHeight w:val="235"/>
        </w:trPr>
        <w:tc>
          <w:tcPr>
            <w:tcW w:w="976" w:type="dxa"/>
            <w:tcBorders>
              <w:top w:val="nil"/>
              <w:left w:val="single" w:sz="8" w:space="0" w:color="auto"/>
              <w:bottom w:val="nil"/>
              <w:right w:val="nil"/>
            </w:tcBorders>
            <w:shd w:val="clear" w:color="auto" w:fill="auto"/>
            <w:noWrap/>
            <w:hideMark/>
          </w:tcPr>
          <w:p w14:paraId="279C993F"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lastRenderedPageBreak/>
              <w:t> </w:t>
            </w:r>
          </w:p>
        </w:tc>
        <w:tc>
          <w:tcPr>
            <w:tcW w:w="7191" w:type="dxa"/>
            <w:tcBorders>
              <w:top w:val="nil"/>
              <w:left w:val="nil"/>
              <w:bottom w:val="nil"/>
              <w:right w:val="nil"/>
            </w:tcBorders>
            <w:shd w:val="clear" w:color="auto" w:fill="auto"/>
            <w:hideMark/>
          </w:tcPr>
          <w:p w14:paraId="3DAFCB45" w14:textId="77777777" w:rsidR="006208C6" w:rsidRPr="001869B0" w:rsidRDefault="006208C6" w:rsidP="006208C6">
            <w:pPr>
              <w:spacing w:line="240" w:lineRule="auto"/>
              <w:rPr>
                <w:rFonts w:ascii="Arial Narrow" w:hAnsi="Arial Narrow" w:cs="Calibri"/>
                <w:color w:val="auto"/>
                <w:spacing w:val="0"/>
                <w:sz w:val="22"/>
                <w:szCs w:val="20"/>
                <w:lang w:val="en-US" w:eastAsia="en-US"/>
              </w:rPr>
            </w:pPr>
            <w:r w:rsidRPr="001869B0">
              <w:rPr>
                <w:rFonts w:ascii="Arial Narrow" w:hAnsi="Arial Narrow" w:cs="Calibri"/>
                <w:color w:val="auto"/>
                <w:spacing w:val="0"/>
                <w:sz w:val="22"/>
                <w:szCs w:val="20"/>
                <w:lang w:val="en-US" w:eastAsia="en-US"/>
              </w:rPr>
              <w:t>R429.8 million for the student housing infrastructure programme</w:t>
            </w:r>
          </w:p>
        </w:tc>
        <w:tc>
          <w:tcPr>
            <w:tcW w:w="1189" w:type="dxa"/>
            <w:tcBorders>
              <w:top w:val="nil"/>
              <w:left w:val="single" w:sz="4" w:space="0" w:color="auto"/>
              <w:bottom w:val="nil"/>
              <w:right w:val="single" w:sz="8" w:space="0" w:color="auto"/>
            </w:tcBorders>
            <w:shd w:val="clear" w:color="auto" w:fill="auto"/>
            <w:hideMark/>
          </w:tcPr>
          <w:p w14:paraId="1C15F78D" w14:textId="77777777" w:rsidR="006208C6" w:rsidRPr="001869B0" w:rsidRDefault="006208C6" w:rsidP="006208C6">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w:t>
            </w:r>
          </w:p>
        </w:tc>
      </w:tr>
      <w:tr w:rsidR="006208C6" w:rsidRPr="001869B0" w14:paraId="36D952BE" w14:textId="77777777" w:rsidTr="00164843">
        <w:trPr>
          <w:trHeight w:val="341"/>
        </w:trPr>
        <w:tc>
          <w:tcPr>
            <w:tcW w:w="8167" w:type="dxa"/>
            <w:gridSpan w:val="2"/>
            <w:tcBorders>
              <w:top w:val="single" w:sz="4" w:space="0" w:color="auto"/>
              <w:left w:val="single" w:sz="8" w:space="0" w:color="auto"/>
              <w:bottom w:val="single" w:sz="8" w:space="0" w:color="auto"/>
              <w:right w:val="nil"/>
            </w:tcBorders>
            <w:shd w:val="clear" w:color="auto" w:fill="auto"/>
            <w:vAlign w:val="bottom"/>
            <w:hideMark/>
          </w:tcPr>
          <w:p w14:paraId="0B5262E2" w14:textId="77777777" w:rsidR="006208C6" w:rsidRPr="001869B0" w:rsidRDefault="006208C6" w:rsidP="006208C6">
            <w:pPr>
              <w:spacing w:line="240" w:lineRule="auto"/>
              <w:rPr>
                <w:rFonts w:ascii="Arial Narrow" w:hAnsi="Arial Narrow" w:cs="Calibri"/>
                <w:b/>
                <w:bCs/>
                <w:color w:val="auto"/>
                <w:spacing w:val="0"/>
                <w:sz w:val="22"/>
                <w:szCs w:val="20"/>
                <w:lang w:val="en-US" w:eastAsia="en-US"/>
              </w:rPr>
            </w:pPr>
            <w:r w:rsidRPr="001869B0">
              <w:rPr>
                <w:rFonts w:ascii="Arial Narrow" w:hAnsi="Arial Narrow" w:cs="Calibri"/>
                <w:b/>
                <w:bCs/>
                <w:color w:val="auto"/>
                <w:spacing w:val="0"/>
                <w:sz w:val="22"/>
                <w:szCs w:val="20"/>
                <w:lang w:val="en-US" w:eastAsia="en-US"/>
              </w:rPr>
              <w:t>Total</w:t>
            </w:r>
          </w:p>
        </w:tc>
        <w:tc>
          <w:tcPr>
            <w:tcW w:w="1189"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72A81FD0" w14:textId="77777777" w:rsidR="006208C6" w:rsidRPr="001869B0" w:rsidRDefault="006208C6" w:rsidP="006208C6">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16,777,800 </w:t>
            </w:r>
          </w:p>
        </w:tc>
      </w:tr>
    </w:tbl>
    <w:p w14:paraId="373ABC8C" w14:textId="73F716C8" w:rsidR="006208C6" w:rsidRPr="001869B0" w:rsidRDefault="006208C6" w:rsidP="006208C6">
      <w:pPr>
        <w:spacing w:line="360" w:lineRule="auto"/>
        <w:ind w:left="-810"/>
        <w:jc w:val="both"/>
        <w:rPr>
          <w:rFonts w:ascii="Times New Roman" w:hAnsi="Times New Roman"/>
          <w:i/>
          <w:color w:val="auto"/>
          <w:sz w:val="24"/>
          <w:szCs w:val="24"/>
          <w:lang w:val="en-ZA"/>
        </w:rPr>
      </w:pPr>
      <w:r w:rsidRPr="001869B0">
        <w:rPr>
          <w:rFonts w:ascii="Times New Roman" w:hAnsi="Times New Roman"/>
          <w:i/>
          <w:color w:val="auto"/>
          <w:sz w:val="24"/>
          <w:szCs w:val="24"/>
          <w:lang w:val="en-ZA"/>
        </w:rPr>
        <w:t xml:space="preserve">Source: National Treasury </w:t>
      </w:r>
      <w:r w:rsidR="00744A40" w:rsidRPr="001869B0">
        <w:rPr>
          <w:rFonts w:ascii="Times New Roman" w:hAnsi="Times New Roman"/>
          <w:i/>
          <w:color w:val="auto"/>
          <w:sz w:val="24"/>
          <w:szCs w:val="24"/>
          <w:lang w:val="en-ZA"/>
        </w:rPr>
        <w:t>(2019) Adjustment</w:t>
      </w:r>
      <w:r w:rsidR="00621A3E">
        <w:rPr>
          <w:rFonts w:ascii="Times New Roman" w:hAnsi="Times New Roman"/>
          <w:i/>
          <w:color w:val="auto"/>
          <w:sz w:val="24"/>
          <w:szCs w:val="24"/>
          <w:lang w:val="en-ZA"/>
        </w:rPr>
        <w:t>s</w:t>
      </w:r>
      <w:r w:rsidR="00744A40" w:rsidRPr="001869B0">
        <w:rPr>
          <w:rFonts w:ascii="Times New Roman" w:hAnsi="Times New Roman"/>
          <w:i/>
          <w:color w:val="auto"/>
          <w:sz w:val="24"/>
          <w:szCs w:val="24"/>
          <w:lang w:val="en-ZA"/>
        </w:rPr>
        <w:t xml:space="preserve"> Appropriation Bill </w:t>
      </w:r>
    </w:p>
    <w:p w14:paraId="4887A8B3" w14:textId="6AB8CF6A" w:rsidR="00F86936" w:rsidRPr="001869B0" w:rsidRDefault="00F86936" w:rsidP="00D92E9D">
      <w:pPr>
        <w:spacing w:before="240" w:after="240" w:line="240" w:lineRule="auto"/>
        <w:jc w:val="both"/>
        <w:rPr>
          <w:rFonts w:ascii="Times New Roman" w:hAnsi="Times New Roman"/>
          <w:color w:val="auto"/>
          <w:sz w:val="24"/>
          <w:szCs w:val="24"/>
          <w:lang w:val="en-ZA"/>
        </w:rPr>
      </w:pPr>
    </w:p>
    <w:tbl>
      <w:tblPr>
        <w:tblpPr w:leftFromText="180" w:rightFromText="180" w:vertAnchor="text" w:horzAnchor="margin" w:tblpXSpec="center" w:tblpY="550"/>
        <w:tblW w:w="9705" w:type="dxa"/>
        <w:tblLook w:val="04A0" w:firstRow="1" w:lastRow="0" w:firstColumn="1" w:lastColumn="0" w:noHBand="0" w:noVBand="1"/>
      </w:tblPr>
      <w:tblGrid>
        <w:gridCol w:w="399"/>
        <w:gridCol w:w="7873"/>
        <w:gridCol w:w="1531"/>
      </w:tblGrid>
      <w:tr w:rsidR="00D92E9D" w:rsidRPr="001869B0" w14:paraId="2B90BF6C" w14:textId="77777777" w:rsidTr="00164843">
        <w:trPr>
          <w:trHeight w:val="247"/>
        </w:trPr>
        <w:tc>
          <w:tcPr>
            <w:tcW w:w="8174" w:type="dxa"/>
            <w:gridSpan w:val="2"/>
            <w:tcBorders>
              <w:top w:val="single" w:sz="8" w:space="0" w:color="auto"/>
              <w:left w:val="single" w:sz="8" w:space="0" w:color="auto"/>
              <w:bottom w:val="single" w:sz="4" w:space="0" w:color="auto"/>
              <w:right w:val="nil"/>
            </w:tcBorders>
            <w:shd w:val="clear" w:color="auto" w:fill="auto"/>
            <w:noWrap/>
            <w:vAlign w:val="center"/>
            <w:hideMark/>
          </w:tcPr>
          <w:p w14:paraId="37D3232D" w14:textId="77777777" w:rsidR="00D92E9D" w:rsidRPr="001869B0" w:rsidRDefault="00D92E9D" w:rsidP="00D92E9D">
            <w:pPr>
              <w:spacing w:before="240" w:after="240"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Vote and description of expenditure</w:t>
            </w:r>
          </w:p>
        </w:tc>
        <w:tc>
          <w:tcPr>
            <w:tcW w:w="153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9F949CB" w14:textId="77777777" w:rsidR="00D92E9D" w:rsidRPr="001869B0" w:rsidRDefault="00D92E9D" w:rsidP="00D92E9D">
            <w:pPr>
              <w:spacing w:before="240" w:after="240" w:line="240" w:lineRule="auto"/>
              <w:jc w:val="right"/>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R thousand</w:t>
            </w:r>
          </w:p>
        </w:tc>
      </w:tr>
      <w:tr w:rsidR="00D92E9D" w:rsidRPr="001869B0" w14:paraId="452EB32E" w14:textId="77777777" w:rsidTr="00164843">
        <w:trPr>
          <w:trHeight w:val="247"/>
        </w:trPr>
        <w:tc>
          <w:tcPr>
            <w:tcW w:w="301" w:type="dxa"/>
            <w:tcBorders>
              <w:top w:val="nil"/>
              <w:left w:val="single" w:sz="8" w:space="0" w:color="auto"/>
              <w:bottom w:val="nil"/>
              <w:right w:val="nil"/>
            </w:tcBorders>
            <w:shd w:val="clear" w:color="auto" w:fill="auto"/>
            <w:hideMark/>
          </w:tcPr>
          <w:p w14:paraId="6B0C616E"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16</w:t>
            </w:r>
          </w:p>
        </w:tc>
        <w:tc>
          <w:tcPr>
            <w:tcW w:w="7873" w:type="dxa"/>
            <w:tcBorders>
              <w:top w:val="nil"/>
              <w:left w:val="nil"/>
              <w:bottom w:val="nil"/>
              <w:right w:val="nil"/>
            </w:tcBorders>
            <w:shd w:val="clear" w:color="auto" w:fill="auto"/>
            <w:noWrap/>
            <w:hideMark/>
          </w:tcPr>
          <w:p w14:paraId="5502B8F0"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Health </w:t>
            </w:r>
          </w:p>
        </w:tc>
        <w:tc>
          <w:tcPr>
            <w:tcW w:w="1531" w:type="dxa"/>
            <w:tcBorders>
              <w:top w:val="nil"/>
              <w:left w:val="single" w:sz="4" w:space="0" w:color="auto"/>
              <w:bottom w:val="nil"/>
              <w:right w:val="single" w:sz="8" w:space="0" w:color="auto"/>
            </w:tcBorders>
            <w:shd w:val="clear" w:color="auto" w:fill="auto"/>
            <w:hideMark/>
          </w:tcPr>
          <w:p w14:paraId="647DB251"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89,300 </w:t>
            </w:r>
          </w:p>
        </w:tc>
      </w:tr>
      <w:tr w:rsidR="00D92E9D" w:rsidRPr="001869B0" w14:paraId="691CFCE2" w14:textId="77777777" w:rsidTr="00164843">
        <w:trPr>
          <w:trHeight w:val="247"/>
        </w:trPr>
        <w:tc>
          <w:tcPr>
            <w:tcW w:w="301" w:type="dxa"/>
            <w:tcBorders>
              <w:top w:val="nil"/>
              <w:left w:val="single" w:sz="8" w:space="0" w:color="auto"/>
              <w:bottom w:val="nil"/>
              <w:right w:val="nil"/>
            </w:tcBorders>
            <w:shd w:val="clear" w:color="auto" w:fill="auto"/>
            <w:noWrap/>
            <w:hideMark/>
          </w:tcPr>
          <w:p w14:paraId="2B9CB8D0" w14:textId="77777777" w:rsidR="00D92E9D" w:rsidRPr="001869B0" w:rsidRDefault="00D92E9D" w:rsidP="00D92E9D">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w:t>
            </w:r>
          </w:p>
        </w:tc>
        <w:tc>
          <w:tcPr>
            <w:tcW w:w="7873" w:type="dxa"/>
            <w:tcBorders>
              <w:top w:val="nil"/>
              <w:left w:val="nil"/>
              <w:bottom w:val="nil"/>
              <w:right w:val="nil"/>
            </w:tcBorders>
            <w:shd w:val="clear" w:color="auto" w:fill="auto"/>
            <w:hideMark/>
          </w:tcPr>
          <w:p w14:paraId="366AD9E1" w14:textId="77777777" w:rsidR="00D92E9D" w:rsidRPr="001869B0" w:rsidRDefault="00D92E9D" w:rsidP="00D92E9D">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R89.3 million for medical equipment in the Limpopo</w:t>
            </w:r>
          </w:p>
        </w:tc>
        <w:tc>
          <w:tcPr>
            <w:tcW w:w="1531" w:type="dxa"/>
            <w:tcBorders>
              <w:top w:val="nil"/>
              <w:left w:val="single" w:sz="4" w:space="0" w:color="auto"/>
              <w:bottom w:val="nil"/>
              <w:right w:val="single" w:sz="8" w:space="0" w:color="auto"/>
            </w:tcBorders>
            <w:shd w:val="clear" w:color="auto" w:fill="auto"/>
            <w:noWrap/>
            <w:hideMark/>
          </w:tcPr>
          <w:p w14:paraId="3C35702B" w14:textId="77777777" w:rsidR="00D92E9D" w:rsidRPr="001869B0" w:rsidRDefault="00D92E9D" w:rsidP="00D92E9D">
            <w:pPr>
              <w:spacing w:line="240" w:lineRule="auto"/>
              <w:jc w:val="right"/>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w:t>
            </w:r>
          </w:p>
        </w:tc>
      </w:tr>
      <w:tr w:rsidR="00D92E9D" w:rsidRPr="001869B0" w14:paraId="51DA100B" w14:textId="77777777" w:rsidTr="00164843">
        <w:trPr>
          <w:trHeight w:val="247"/>
        </w:trPr>
        <w:tc>
          <w:tcPr>
            <w:tcW w:w="301" w:type="dxa"/>
            <w:tcBorders>
              <w:top w:val="nil"/>
              <w:left w:val="single" w:sz="8" w:space="0" w:color="auto"/>
              <w:bottom w:val="nil"/>
              <w:right w:val="nil"/>
            </w:tcBorders>
            <w:shd w:val="clear" w:color="auto" w:fill="auto"/>
            <w:hideMark/>
          </w:tcPr>
          <w:p w14:paraId="181E4D16"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18</w:t>
            </w:r>
          </w:p>
        </w:tc>
        <w:tc>
          <w:tcPr>
            <w:tcW w:w="7873" w:type="dxa"/>
            <w:tcBorders>
              <w:top w:val="nil"/>
              <w:left w:val="nil"/>
              <w:bottom w:val="nil"/>
              <w:right w:val="nil"/>
            </w:tcBorders>
            <w:shd w:val="clear" w:color="auto" w:fill="auto"/>
            <w:noWrap/>
            <w:hideMark/>
          </w:tcPr>
          <w:p w14:paraId="5D7FF672"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Correctional Services</w:t>
            </w:r>
          </w:p>
        </w:tc>
        <w:tc>
          <w:tcPr>
            <w:tcW w:w="1531" w:type="dxa"/>
            <w:tcBorders>
              <w:top w:val="nil"/>
              <w:left w:val="single" w:sz="4" w:space="0" w:color="auto"/>
              <w:bottom w:val="nil"/>
              <w:right w:val="single" w:sz="8" w:space="0" w:color="auto"/>
            </w:tcBorders>
            <w:shd w:val="clear" w:color="auto" w:fill="auto"/>
            <w:hideMark/>
          </w:tcPr>
          <w:p w14:paraId="111E48C3"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8,800 </w:t>
            </w:r>
          </w:p>
        </w:tc>
      </w:tr>
      <w:tr w:rsidR="00D92E9D" w:rsidRPr="001869B0" w14:paraId="025B87CC" w14:textId="77777777" w:rsidTr="00164843">
        <w:trPr>
          <w:trHeight w:val="247"/>
        </w:trPr>
        <w:tc>
          <w:tcPr>
            <w:tcW w:w="301" w:type="dxa"/>
            <w:tcBorders>
              <w:top w:val="nil"/>
              <w:left w:val="single" w:sz="8" w:space="0" w:color="auto"/>
              <w:bottom w:val="nil"/>
              <w:right w:val="nil"/>
            </w:tcBorders>
            <w:shd w:val="clear" w:color="auto" w:fill="auto"/>
            <w:noWrap/>
            <w:hideMark/>
          </w:tcPr>
          <w:p w14:paraId="35A66078" w14:textId="77777777" w:rsidR="00D92E9D" w:rsidRPr="001869B0" w:rsidRDefault="00D92E9D" w:rsidP="00D92E9D">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w:t>
            </w:r>
          </w:p>
        </w:tc>
        <w:tc>
          <w:tcPr>
            <w:tcW w:w="7873" w:type="dxa"/>
            <w:tcBorders>
              <w:top w:val="nil"/>
              <w:left w:val="nil"/>
              <w:bottom w:val="nil"/>
              <w:right w:val="nil"/>
            </w:tcBorders>
            <w:shd w:val="clear" w:color="auto" w:fill="auto"/>
            <w:hideMark/>
          </w:tcPr>
          <w:p w14:paraId="4ACFB9B4" w14:textId="77777777" w:rsidR="00D92E9D" w:rsidRPr="001869B0" w:rsidRDefault="00D92E9D" w:rsidP="00D92E9D">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R8.8 million for vehicles</w:t>
            </w:r>
          </w:p>
        </w:tc>
        <w:tc>
          <w:tcPr>
            <w:tcW w:w="1531" w:type="dxa"/>
            <w:tcBorders>
              <w:top w:val="nil"/>
              <w:left w:val="single" w:sz="4" w:space="0" w:color="auto"/>
              <w:bottom w:val="nil"/>
              <w:right w:val="single" w:sz="8" w:space="0" w:color="auto"/>
            </w:tcBorders>
            <w:shd w:val="clear" w:color="auto" w:fill="auto"/>
            <w:noWrap/>
            <w:hideMark/>
          </w:tcPr>
          <w:p w14:paraId="1E140DA0" w14:textId="77777777" w:rsidR="00D92E9D" w:rsidRPr="001869B0" w:rsidRDefault="00D92E9D" w:rsidP="00D92E9D">
            <w:pPr>
              <w:spacing w:line="240" w:lineRule="auto"/>
              <w:jc w:val="right"/>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w:t>
            </w:r>
          </w:p>
        </w:tc>
      </w:tr>
      <w:tr w:rsidR="00D92E9D" w:rsidRPr="001869B0" w14:paraId="5F41D533" w14:textId="77777777" w:rsidTr="00164843">
        <w:trPr>
          <w:trHeight w:val="247"/>
        </w:trPr>
        <w:tc>
          <w:tcPr>
            <w:tcW w:w="301" w:type="dxa"/>
            <w:tcBorders>
              <w:top w:val="nil"/>
              <w:left w:val="single" w:sz="8" w:space="0" w:color="auto"/>
              <w:bottom w:val="nil"/>
              <w:right w:val="nil"/>
            </w:tcBorders>
            <w:shd w:val="clear" w:color="auto" w:fill="auto"/>
            <w:hideMark/>
          </w:tcPr>
          <w:p w14:paraId="0C755A54"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24</w:t>
            </w:r>
          </w:p>
        </w:tc>
        <w:tc>
          <w:tcPr>
            <w:tcW w:w="7873" w:type="dxa"/>
            <w:tcBorders>
              <w:top w:val="nil"/>
              <w:left w:val="nil"/>
              <w:bottom w:val="nil"/>
              <w:right w:val="nil"/>
            </w:tcBorders>
            <w:shd w:val="clear" w:color="auto" w:fill="auto"/>
            <w:noWrap/>
            <w:hideMark/>
          </w:tcPr>
          <w:p w14:paraId="0D170B5C"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Agriculture, Forestry and Fisheries</w:t>
            </w:r>
          </w:p>
        </w:tc>
        <w:tc>
          <w:tcPr>
            <w:tcW w:w="1531" w:type="dxa"/>
            <w:tcBorders>
              <w:top w:val="nil"/>
              <w:left w:val="single" w:sz="4" w:space="0" w:color="auto"/>
              <w:bottom w:val="nil"/>
              <w:right w:val="single" w:sz="8" w:space="0" w:color="auto"/>
            </w:tcBorders>
            <w:shd w:val="clear" w:color="auto" w:fill="auto"/>
            <w:hideMark/>
          </w:tcPr>
          <w:p w14:paraId="481B6D6D"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4,900 </w:t>
            </w:r>
          </w:p>
        </w:tc>
      </w:tr>
      <w:tr w:rsidR="00D92E9D" w:rsidRPr="001869B0" w14:paraId="7C68A164" w14:textId="77777777" w:rsidTr="00164843">
        <w:trPr>
          <w:trHeight w:val="247"/>
        </w:trPr>
        <w:tc>
          <w:tcPr>
            <w:tcW w:w="301" w:type="dxa"/>
            <w:tcBorders>
              <w:top w:val="nil"/>
              <w:left w:val="single" w:sz="8" w:space="0" w:color="auto"/>
              <w:bottom w:val="nil"/>
              <w:right w:val="nil"/>
            </w:tcBorders>
            <w:shd w:val="clear" w:color="auto" w:fill="auto"/>
            <w:noWrap/>
            <w:hideMark/>
          </w:tcPr>
          <w:p w14:paraId="7B9D0055" w14:textId="77777777" w:rsidR="00D92E9D" w:rsidRPr="001869B0" w:rsidRDefault="00D92E9D" w:rsidP="00D92E9D">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w:t>
            </w:r>
          </w:p>
        </w:tc>
        <w:tc>
          <w:tcPr>
            <w:tcW w:w="7873" w:type="dxa"/>
            <w:tcBorders>
              <w:top w:val="nil"/>
              <w:left w:val="nil"/>
              <w:bottom w:val="nil"/>
              <w:right w:val="nil"/>
            </w:tcBorders>
            <w:shd w:val="clear" w:color="auto" w:fill="auto"/>
            <w:hideMark/>
          </w:tcPr>
          <w:p w14:paraId="5122B1EB" w14:textId="77777777" w:rsidR="00D92E9D" w:rsidRPr="001869B0" w:rsidRDefault="00D92E9D" w:rsidP="00D92E9D">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R4.9 million for upgrading laboratory infrastructure and equipment</w:t>
            </w:r>
          </w:p>
        </w:tc>
        <w:tc>
          <w:tcPr>
            <w:tcW w:w="1531" w:type="dxa"/>
            <w:tcBorders>
              <w:top w:val="nil"/>
              <w:left w:val="single" w:sz="4" w:space="0" w:color="auto"/>
              <w:bottom w:val="nil"/>
              <w:right w:val="single" w:sz="8" w:space="0" w:color="auto"/>
            </w:tcBorders>
            <w:shd w:val="clear" w:color="auto" w:fill="auto"/>
            <w:noWrap/>
            <w:hideMark/>
          </w:tcPr>
          <w:p w14:paraId="3B1053B9" w14:textId="77777777" w:rsidR="00D92E9D" w:rsidRPr="001869B0" w:rsidRDefault="00D92E9D" w:rsidP="00D92E9D">
            <w:pPr>
              <w:spacing w:line="240" w:lineRule="auto"/>
              <w:jc w:val="right"/>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w:t>
            </w:r>
          </w:p>
        </w:tc>
      </w:tr>
      <w:tr w:rsidR="00D92E9D" w:rsidRPr="001869B0" w14:paraId="25C0A7FD" w14:textId="77777777" w:rsidTr="00164843">
        <w:trPr>
          <w:trHeight w:val="247"/>
        </w:trPr>
        <w:tc>
          <w:tcPr>
            <w:tcW w:w="301" w:type="dxa"/>
            <w:tcBorders>
              <w:top w:val="nil"/>
              <w:left w:val="single" w:sz="8" w:space="0" w:color="auto"/>
              <w:bottom w:val="nil"/>
              <w:right w:val="nil"/>
            </w:tcBorders>
            <w:shd w:val="clear" w:color="auto" w:fill="auto"/>
            <w:hideMark/>
          </w:tcPr>
          <w:p w14:paraId="55047A94"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36</w:t>
            </w:r>
          </w:p>
        </w:tc>
        <w:tc>
          <w:tcPr>
            <w:tcW w:w="7873" w:type="dxa"/>
            <w:tcBorders>
              <w:top w:val="nil"/>
              <w:left w:val="nil"/>
              <w:bottom w:val="nil"/>
              <w:right w:val="nil"/>
            </w:tcBorders>
            <w:shd w:val="clear" w:color="auto" w:fill="auto"/>
            <w:noWrap/>
            <w:hideMark/>
          </w:tcPr>
          <w:p w14:paraId="27DF6658"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Water and Sanitation</w:t>
            </w:r>
          </w:p>
        </w:tc>
        <w:tc>
          <w:tcPr>
            <w:tcW w:w="1531" w:type="dxa"/>
            <w:tcBorders>
              <w:top w:val="nil"/>
              <w:left w:val="single" w:sz="4" w:space="0" w:color="auto"/>
              <w:bottom w:val="nil"/>
              <w:right w:val="single" w:sz="8" w:space="0" w:color="auto"/>
            </w:tcBorders>
            <w:shd w:val="clear" w:color="auto" w:fill="auto"/>
            <w:hideMark/>
          </w:tcPr>
          <w:p w14:paraId="40660AFF"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241,927 </w:t>
            </w:r>
          </w:p>
        </w:tc>
      </w:tr>
      <w:tr w:rsidR="00D92E9D" w:rsidRPr="001869B0" w14:paraId="56C23296" w14:textId="77777777" w:rsidTr="00164843">
        <w:trPr>
          <w:trHeight w:val="502"/>
        </w:trPr>
        <w:tc>
          <w:tcPr>
            <w:tcW w:w="301" w:type="dxa"/>
            <w:tcBorders>
              <w:top w:val="nil"/>
              <w:left w:val="single" w:sz="8" w:space="0" w:color="auto"/>
              <w:bottom w:val="nil"/>
              <w:right w:val="nil"/>
            </w:tcBorders>
            <w:shd w:val="clear" w:color="auto" w:fill="auto"/>
            <w:noWrap/>
            <w:hideMark/>
          </w:tcPr>
          <w:p w14:paraId="6AF95618" w14:textId="77777777" w:rsidR="00D92E9D" w:rsidRPr="001869B0" w:rsidRDefault="00D92E9D" w:rsidP="00D92E9D">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w:t>
            </w:r>
          </w:p>
        </w:tc>
        <w:tc>
          <w:tcPr>
            <w:tcW w:w="7873" w:type="dxa"/>
            <w:tcBorders>
              <w:top w:val="nil"/>
              <w:left w:val="nil"/>
              <w:bottom w:val="nil"/>
              <w:right w:val="nil"/>
            </w:tcBorders>
            <w:shd w:val="clear" w:color="auto" w:fill="auto"/>
            <w:hideMark/>
          </w:tcPr>
          <w:p w14:paraId="7A68D7F8" w14:textId="77777777" w:rsidR="00D92E9D" w:rsidRPr="001869B0" w:rsidRDefault="00D92E9D" w:rsidP="00D92E9D">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R241.927 million for the emergency Vaal River system pollution remediation intervention project in the Emfuleni municipality, Gauteng</w:t>
            </w:r>
          </w:p>
        </w:tc>
        <w:tc>
          <w:tcPr>
            <w:tcW w:w="1531" w:type="dxa"/>
            <w:tcBorders>
              <w:top w:val="nil"/>
              <w:left w:val="single" w:sz="4" w:space="0" w:color="auto"/>
              <w:bottom w:val="nil"/>
              <w:right w:val="single" w:sz="8" w:space="0" w:color="auto"/>
            </w:tcBorders>
            <w:shd w:val="clear" w:color="auto" w:fill="auto"/>
            <w:hideMark/>
          </w:tcPr>
          <w:p w14:paraId="23322BAC"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D92E9D" w:rsidRPr="001869B0" w14:paraId="2E2D0DD4" w14:textId="77777777" w:rsidTr="00164843">
        <w:trPr>
          <w:trHeight w:val="247"/>
        </w:trPr>
        <w:tc>
          <w:tcPr>
            <w:tcW w:w="8174" w:type="dxa"/>
            <w:gridSpan w:val="2"/>
            <w:tcBorders>
              <w:top w:val="single" w:sz="4" w:space="0" w:color="auto"/>
              <w:left w:val="single" w:sz="8" w:space="0" w:color="auto"/>
              <w:bottom w:val="single" w:sz="8" w:space="0" w:color="auto"/>
              <w:right w:val="nil"/>
            </w:tcBorders>
            <w:shd w:val="clear" w:color="auto" w:fill="auto"/>
            <w:vAlign w:val="bottom"/>
            <w:hideMark/>
          </w:tcPr>
          <w:p w14:paraId="731B7ACF"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Total </w:t>
            </w:r>
          </w:p>
        </w:tc>
        <w:tc>
          <w:tcPr>
            <w:tcW w:w="1531"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00433AA2" w14:textId="77777777" w:rsidR="00D92E9D" w:rsidRPr="001869B0" w:rsidRDefault="00D92E9D" w:rsidP="00D92E9D">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344,927 </w:t>
            </w:r>
          </w:p>
        </w:tc>
      </w:tr>
    </w:tbl>
    <w:p w14:paraId="5669EA7B" w14:textId="738CFBEC" w:rsidR="006208C6" w:rsidRPr="001869B0" w:rsidRDefault="008E33DA" w:rsidP="00D92E9D">
      <w:pPr>
        <w:spacing w:line="360" w:lineRule="auto"/>
        <w:ind w:left="-810"/>
        <w:jc w:val="both"/>
        <w:rPr>
          <w:rFonts w:ascii="Times New Roman" w:hAnsi="Times New Roman"/>
          <w:b/>
          <w:color w:val="auto"/>
          <w:sz w:val="24"/>
          <w:szCs w:val="24"/>
          <w:lang w:val="en-ZA"/>
        </w:rPr>
      </w:pPr>
      <w:r w:rsidRPr="001869B0">
        <w:rPr>
          <w:rFonts w:ascii="Times New Roman" w:hAnsi="Times New Roman"/>
          <w:b/>
          <w:color w:val="auto"/>
          <w:sz w:val="24"/>
          <w:szCs w:val="24"/>
          <w:lang w:val="en-ZA"/>
        </w:rPr>
        <w:t>Table 2</w:t>
      </w:r>
      <w:r w:rsidR="00D92E9D" w:rsidRPr="001869B0">
        <w:rPr>
          <w:rFonts w:ascii="Times New Roman" w:hAnsi="Times New Roman"/>
          <w:b/>
          <w:color w:val="auto"/>
          <w:sz w:val="24"/>
          <w:szCs w:val="24"/>
          <w:lang w:val="en-ZA"/>
        </w:rPr>
        <w:t>: Roll-overs</w:t>
      </w:r>
    </w:p>
    <w:p w14:paraId="4E246BE8" w14:textId="70EA1334" w:rsidR="004A527C" w:rsidRPr="001869B0" w:rsidRDefault="004A527C" w:rsidP="004A527C">
      <w:pPr>
        <w:spacing w:line="360" w:lineRule="auto"/>
        <w:ind w:left="-810"/>
        <w:jc w:val="both"/>
        <w:rPr>
          <w:rFonts w:ascii="Times New Roman" w:hAnsi="Times New Roman"/>
          <w:i/>
          <w:color w:val="auto"/>
          <w:sz w:val="24"/>
          <w:szCs w:val="24"/>
          <w:lang w:val="en-ZA"/>
        </w:rPr>
      </w:pPr>
      <w:r w:rsidRPr="001869B0">
        <w:rPr>
          <w:rFonts w:ascii="Times New Roman" w:hAnsi="Times New Roman"/>
          <w:i/>
          <w:color w:val="auto"/>
          <w:sz w:val="24"/>
          <w:szCs w:val="24"/>
          <w:lang w:val="en-ZA"/>
        </w:rPr>
        <w:t>Source: National Treasury (2019) Adjustment Appropriation Bill</w:t>
      </w:r>
    </w:p>
    <w:p w14:paraId="15014C0B" w14:textId="72C4351E" w:rsidR="00D92E9D" w:rsidRPr="001869B0" w:rsidRDefault="00D92E9D" w:rsidP="00D92E9D">
      <w:pPr>
        <w:spacing w:line="360" w:lineRule="auto"/>
        <w:ind w:left="-810"/>
        <w:jc w:val="both"/>
        <w:rPr>
          <w:rFonts w:ascii="Times New Roman" w:hAnsi="Times New Roman"/>
          <w:color w:val="auto"/>
          <w:sz w:val="24"/>
          <w:szCs w:val="24"/>
          <w:lang w:val="en-ZA"/>
        </w:rPr>
      </w:pPr>
    </w:p>
    <w:p w14:paraId="6F9FB1D0" w14:textId="7D28D472" w:rsidR="004A527C" w:rsidRPr="001869B0" w:rsidRDefault="008E33DA" w:rsidP="00D92E9D">
      <w:pPr>
        <w:spacing w:line="360" w:lineRule="auto"/>
        <w:ind w:left="-810"/>
        <w:jc w:val="both"/>
        <w:rPr>
          <w:rFonts w:ascii="Times New Roman" w:hAnsi="Times New Roman"/>
          <w:b/>
          <w:color w:val="auto"/>
          <w:sz w:val="24"/>
          <w:szCs w:val="24"/>
          <w:lang w:val="en-ZA"/>
        </w:rPr>
      </w:pPr>
      <w:r w:rsidRPr="001869B0">
        <w:rPr>
          <w:rFonts w:ascii="Times New Roman" w:hAnsi="Times New Roman"/>
          <w:b/>
          <w:color w:val="auto"/>
          <w:sz w:val="24"/>
          <w:szCs w:val="24"/>
          <w:lang w:val="en-ZA"/>
        </w:rPr>
        <w:t>Table 3</w:t>
      </w:r>
      <w:r w:rsidR="004A527C" w:rsidRPr="001869B0">
        <w:rPr>
          <w:rFonts w:ascii="Times New Roman" w:hAnsi="Times New Roman"/>
          <w:b/>
          <w:color w:val="auto"/>
          <w:sz w:val="24"/>
          <w:szCs w:val="24"/>
          <w:lang w:val="en-ZA"/>
        </w:rPr>
        <w:t>: Self-financing expenditure</w:t>
      </w:r>
    </w:p>
    <w:p w14:paraId="4DA4FF69" w14:textId="0D4C49BA" w:rsidR="004A527C" w:rsidRPr="001869B0" w:rsidRDefault="004A527C" w:rsidP="004A527C">
      <w:pPr>
        <w:spacing w:line="360" w:lineRule="auto"/>
        <w:ind w:left="-990"/>
        <w:jc w:val="both"/>
        <w:rPr>
          <w:rFonts w:ascii="Times New Roman" w:hAnsi="Times New Roman"/>
          <w:i/>
          <w:color w:val="auto"/>
          <w:sz w:val="24"/>
          <w:szCs w:val="24"/>
          <w:lang w:val="en-ZA"/>
        </w:rPr>
      </w:pPr>
      <w:r w:rsidRPr="001869B0">
        <w:rPr>
          <w:rFonts w:ascii="Times New Roman" w:hAnsi="Times New Roman"/>
          <w:i/>
          <w:color w:val="auto"/>
          <w:sz w:val="24"/>
          <w:szCs w:val="24"/>
          <w:lang w:val="en-ZA"/>
        </w:rPr>
        <w:t>Source: National Treasury (2019) Adjustment</w:t>
      </w:r>
      <w:r w:rsidR="00621A3E">
        <w:rPr>
          <w:rFonts w:ascii="Times New Roman" w:hAnsi="Times New Roman"/>
          <w:i/>
          <w:color w:val="auto"/>
          <w:sz w:val="24"/>
          <w:szCs w:val="24"/>
          <w:lang w:val="en-ZA"/>
        </w:rPr>
        <w:t>s</w:t>
      </w:r>
      <w:r w:rsidRPr="001869B0">
        <w:rPr>
          <w:rFonts w:ascii="Times New Roman" w:hAnsi="Times New Roman"/>
          <w:i/>
          <w:color w:val="auto"/>
          <w:sz w:val="24"/>
          <w:szCs w:val="24"/>
          <w:lang w:val="en-ZA"/>
        </w:rPr>
        <w:t xml:space="preserve"> Appropriation Bill</w:t>
      </w:r>
    </w:p>
    <w:tbl>
      <w:tblPr>
        <w:tblpPr w:leftFromText="180" w:rightFromText="180" w:vertAnchor="text" w:horzAnchor="margin" w:tblpXSpec="center" w:tblpY="-352"/>
        <w:tblW w:w="9953" w:type="dxa"/>
        <w:tblLook w:val="04A0" w:firstRow="1" w:lastRow="0" w:firstColumn="1" w:lastColumn="0" w:noHBand="0" w:noVBand="1"/>
      </w:tblPr>
      <w:tblGrid>
        <w:gridCol w:w="399"/>
        <w:gridCol w:w="7994"/>
        <w:gridCol w:w="1560"/>
      </w:tblGrid>
      <w:tr w:rsidR="004A527C" w:rsidRPr="001869B0" w14:paraId="74CC4546" w14:textId="77777777" w:rsidTr="00164843">
        <w:trPr>
          <w:trHeight w:val="249"/>
        </w:trPr>
        <w:tc>
          <w:tcPr>
            <w:tcW w:w="8393" w:type="dxa"/>
            <w:gridSpan w:val="2"/>
            <w:tcBorders>
              <w:top w:val="single" w:sz="8" w:space="0" w:color="auto"/>
              <w:left w:val="single" w:sz="8" w:space="0" w:color="auto"/>
              <w:bottom w:val="single" w:sz="4" w:space="0" w:color="auto"/>
              <w:right w:val="nil"/>
            </w:tcBorders>
            <w:shd w:val="clear" w:color="auto" w:fill="auto"/>
            <w:noWrap/>
            <w:vAlign w:val="center"/>
            <w:hideMark/>
          </w:tcPr>
          <w:p w14:paraId="21FCD92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lastRenderedPageBreak/>
              <w:t>Vote and description of expenditure</w:t>
            </w:r>
          </w:p>
        </w:tc>
        <w:tc>
          <w:tcPr>
            <w:tcW w:w="156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C236450" w14:textId="77777777" w:rsidR="004A527C" w:rsidRPr="001869B0" w:rsidRDefault="004A527C" w:rsidP="004A527C">
            <w:pPr>
              <w:spacing w:line="240" w:lineRule="auto"/>
              <w:jc w:val="right"/>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R thousand</w:t>
            </w:r>
          </w:p>
        </w:tc>
      </w:tr>
      <w:tr w:rsidR="004A527C" w:rsidRPr="001869B0" w14:paraId="2761226B" w14:textId="77777777" w:rsidTr="00164843">
        <w:trPr>
          <w:trHeight w:val="249"/>
        </w:trPr>
        <w:tc>
          <w:tcPr>
            <w:tcW w:w="399" w:type="dxa"/>
            <w:tcBorders>
              <w:top w:val="nil"/>
              <w:left w:val="single" w:sz="8" w:space="0" w:color="auto"/>
              <w:bottom w:val="nil"/>
              <w:right w:val="nil"/>
            </w:tcBorders>
            <w:shd w:val="clear" w:color="auto" w:fill="auto"/>
            <w:hideMark/>
          </w:tcPr>
          <w:p w14:paraId="5B8A842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w:t>
            </w:r>
          </w:p>
        </w:tc>
        <w:tc>
          <w:tcPr>
            <w:tcW w:w="7994" w:type="dxa"/>
            <w:tcBorders>
              <w:top w:val="nil"/>
              <w:left w:val="nil"/>
              <w:bottom w:val="nil"/>
              <w:right w:val="nil"/>
            </w:tcBorders>
            <w:shd w:val="clear" w:color="auto" w:fill="auto"/>
            <w:noWrap/>
            <w:hideMark/>
          </w:tcPr>
          <w:p w14:paraId="6BFC40B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Communications</w:t>
            </w:r>
          </w:p>
        </w:tc>
        <w:tc>
          <w:tcPr>
            <w:tcW w:w="1560" w:type="dxa"/>
            <w:tcBorders>
              <w:top w:val="nil"/>
              <w:left w:val="single" w:sz="4" w:space="0" w:color="auto"/>
              <w:bottom w:val="nil"/>
              <w:right w:val="single" w:sz="8" w:space="0" w:color="auto"/>
            </w:tcBorders>
            <w:shd w:val="clear" w:color="auto" w:fill="auto"/>
            <w:hideMark/>
          </w:tcPr>
          <w:p w14:paraId="474B1B3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2,000 </w:t>
            </w:r>
          </w:p>
        </w:tc>
      </w:tr>
      <w:tr w:rsidR="004A527C" w:rsidRPr="001869B0" w14:paraId="5D15BC5A" w14:textId="77777777" w:rsidTr="00164843">
        <w:trPr>
          <w:trHeight w:val="500"/>
        </w:trPr>
        <w:tc>
          <w:tcPr>
            <w:tcW w:w="399" w:type="dxa"/>
            <w:tcBorders>
              <w:top w:val="nil"/>
              <w:left w:val="single" w:sz="8" w:space="0" w:color="auto"/>
              <w:bottom w:val="nil"/>
              <w:right w:val="nil"/>
            </w:tcBorders>
            <w:shd w:val="clear" w:color="auto" w:fill="auto"/>
            <w:noWrap/>
            <w:hideMark/>
          </w:tcPr>
          <w:p w14:paraId="5472373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994" w:type="dxa"/>
            <w:tcBorders>
              <w:top w:val="nil"/>
              <w:left w:val="nil"/>
              <w:bottom w:val="nil"/>
              <w:right w:val="nil"/>
            </w:tcBorders>
            <w:shd w:val="clear" w:color="auto" w:fill="auto"/>
            <w:hideMark/>
          </w:tcPr>
          <w:p w14:paraId="3CBE0D3B"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xml:space="preserve">Expenditure by the Government Communication and Information System to produce the Vuk'uzenzele newspaper, which is funded from revenue generated through the sale of advertising space in the newspaper </w:t>
            </w:r>
          </w:p>
        </w:tc>
        <w:tc>
          <w:tcPr>
            <w:tcW w:w="1560" w:type="dxa"/>
            <w:tcBorders>
              <w:top w:val="nil"/>
              <w:left w:val="single" w:sz="4" w:space="0" w:color="auto"/>
              <w:bottom w:val="nil"/>
              <w:right w:val="single" w:sz="8" w:space="0" w:color="auto"/>
            </w:tcBorders>
            <w:shd w:val="clear" w:color="auto" w:fill="auto"/>
            <w:noWrap/>
            <w:hideMark/>
          </w:tcPr>
          <w:p w14:paraId="620E63C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219302F3" w14:textId="77777777" w:rsidTr="00164843">
        <w:trPr>
          <w:trHeight w:val="192"/>
        </w:trPr>
        <w:tc>
          <w:tcPr>
            <w:tcW w:w="399" w:type="dxa"/>
            <w:tcBorders>
              <w:top w:val="nil"/>
              <w:left w:val="single" w:sz="8" w:space="0" w:color="auto"/>
              <w:bottom w:val="nil"/>
              <w:right w:val="nil"/>
            </w:tcBorders>
            <w:shd w:val="clear" w:color="auto" w:fill="auto"/>
            <w:hideMark/>
          </w:tcPr>
          <w:p w14:paraId="25E7AF59"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5</w:t>
            </w:r>
          </w:p>
        </w:tc>
        <w:tc>
          <w:tcPr>
            <w:tcW w:w="7994" w:type="dxa"/>
            <w:tcBorders>
              <w:top w:val="nil"/>
              <w:left w:val="nil"/>
              <w:bottom w:val="nil"/>
              <w:right w:val="nil"/>
            </w:tcBorders>
            <w:shd w:val="clear" w:color="auto" w:fill="auto"/>
            <w:noWrap/>
            <w:hideMark/>
          </w:tcPr>
          <w:p w14:paraId="443EBD5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Home Affairs</w:t>
            </w:r>
          </w:p>
        </w:tc>
        <w:tc>
          <w:tcPr>
            <w:tcW w:w="1560" w:type="dxa"/>
            <w:tcBorders>
              <w:top w:val="nil"/>
              <w:left w:val="single" w:sz="4" w:space="0" w:color="auto"/>
              <w:bottom w:val="nil"/>
              <w:right w:val="single" w:sz="8" w:space="0" w:color="auto"/>
            </w:tcBorders>
            <w:shd w:val="clear" w:color="auto" w:fill="auto"/>
            <w:noWrap/>
            <w:hideMark/>
          </w:tcPr>
          <w:p w14:paraId="35F20AB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1,188,000  </w:t>
            </w:r>
          </w:p>
        </w:tc>
      </w:tr>
      <w:tr w:rsidR="004A527C" w:rsidRPr="001869B0" w14:paraId="4A114B7F" w14:textId="77777777" w:rsidTr="00164843">
        <w:trPr>
          <w:trHeight w:val="249"/>
        </w:trPr>
        <w:tc>
          <w:tcPr>
            <w:tcW w:w="399" w:type="dxa"/>
            <w:tcBorders>
              <w:top w:val="nil"/>
              <w:left w:val="single" w:sz="8" w:space="0" w:color="auto"/>
              <w:bottom w:val="nil"/>
              <w:right w:val="nil"/>
            </w:tcBorders>
            <w:shd w:val="clear" w:color="auto" w:fill="auto"/>
            <w:noWrap/>
            <w:hideMark/>
          </w:tcPr>
          <w:p w14:paraId="1FE4FBA5"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994" w:type="dxa"/>
            <w:tcBorders>
              <w:top w:val="nil"/>
              <w:left w:val="nil"/>
              <w:bottom w:val="nil"/>
              <w:right w:val="nil"/>
            </w:tcBorders>
            <w:shd w:val="clear" w:color="auto" w:fill="auto"/>
            <w:hideMark/>
          </w:tcPr>
          <w:p w14:paraId="2E96BAD7"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Expenditure incurred issuing official documents, which is defrayed by revenue generated from issuing the documents</w:t>
            </w:r>
          </w:p>
        </w:tc>
        <w:tc>
          <w:tcPr>
            <w:tcW w:w="1560" w:type="dxa"/>
            <w:tcBorders>
              <w:top w:val="nil"/>
              <w:left w:val="single" w:sz="4" w:space="0" w:color="auto"/>
              <w:bottom w:val="nil"/>
              <w:right w:val="single" w:sz="8" w:space="0" w:color="auto"/>
            </w:tcBorders>
            <w:shd w:val="clear" w:color="auto" w:fill="auto"/>
            <w:hideMark/>
          </w:tcPr>
          <w:p w14:paraId="678A9209"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521EFD67" w14:textId="77777777" w:rsidTr="00164843">
        <w:trPr>
          <w:trHeight w:val="249"/>
        </w:trPr>
        <w:tc>
          <w:tcPr>
            <w:tcW w:w="399" w:type="dxa"/>
            <w:tcBorders>
              <w:top w:val="nil"/>
              <w:left w:val="single" w:sz="8" w:space="0" w:color="auto"/>
              <w:bottom w:val="nil"/>
              <w:right w:val="nil"/>
            </w:tcBorders>
            <w:shd w:val="clear" w:color="auto" w:fill="auto"/>
            <w:hideMark/>
          </w:tcPr>
          <w:p w14:paraId="148A140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18</w:t>
            </w:r>
          </w:p>
        </w:tc>
        <w:tc>
          <w:tcPr>
            <w:tcW w:w="7994" w:type="dxa"/>
            <w:tcBorders>
              <w:top w:val="nil"/>
              <w:left w:val="nil"/>
              <w:bottom w:val="nil"/>
              <w:right w:val="nil"/>
            </w:tcBorders>
            <w:shd w:val="clear" w:color="auto" w:fill="auto"/>
            <w:noWrap/>
            <w:hideMark/>
          </w:tcPr>
          <w:p w14:paraId="102E9EDE"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Correctional Services</w:t>
            </w:r>
          </w:p>
        </w:tc>
        <w:tc>
          <w:tcPr>
            <w:tcW w:w="1560" w:type="dxa"/>
            <w:tcBorders>
              <w:top w:val="nil"/>
              <w:left w:val="single" w:sz="4" w:space="0" w:color="auto"/>
              <w:bottom w:val="nil"/>
              <w:right w:val="single" w:sz="8" w:space="0" w:color="auto"/>
            </w:tcBorders>
            <w:shd w:val="clear" w:color="auto" w:fill="auto"/>
            <w:noWrap/>
            <w:hideMark/>
          </w:tcPr>
          <w:p w14:paraId="67917413"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444  </w:t>
            </w:r>
          </w:p>
        </w:tc>
      </w:tr>
      <w:tr w:rsidR="004A527C" w:rsidRPr="001869B0" w14:paraId="76DA2C37" w14:textId="77777777" w:rsidTr="00164843">
        <w:trPr>
          <w:trHeight w:val="249"/>
        </w:trPr>
        <w:tc>
          <w:tcPr>
            <w:tcW w:w="399" w:type="dxa"/>
            <w:tcBorders>
              <w:top w:val="nil"/>
              <w:left w:val="single" w:sz="8" w:space="0" w:color="auto"/>
              <w:bottom w:val="nil"/>
              <w:right w:val="nil"/>
            </w:tcBorders>
            <w:shd w:val="clear" w:color="auto" w:fill="auto"/>
            <w:noWrap/>
            <w:hideMark/>
          </w:tcPr>
          <w:p w14:paraId="09EC45F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994" w:type="dxa"/>
            <w:tcBorders>
              <w:top w:val="nil"/>
              <w:left w:val="nil"/>
              <w:bottom w:val="nil"/>
              <w:right w:val="nil"/>
            </w:tcBorders>
            <w:shd w:val="clear" w:color="auto" w:fill="auto"/>
            <w:hideMark/>
          </w:tcPr>
          <w:p w14:paraId="4844DDA3"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Expenditure for offender gratuities, which is funded from revenue generated from the hiring out of offender labour</w:t>
            </w:r>
          </w:p>
        </w:tc>
        <w:tc>
          <w:tcPr>
            <w:tcW w:w="1560" w:type="dxa"/>
            <w:tcBorders>
              <w:top w:val="nil"/>
              <w:left w:val="single" w:sz="4" w:space="0" w:color="auto"/>
              <w:bottom w:val="nil"/>
              <w:right w:val="single" w:sz="8" w:space="0" w:color="auto"/>
            </w:tcBorders>
            <w:shd w:val="clear" w:color="auto" w:fill="auto"/>
            <w:hideMark/>
          </w:tcPr>
          <w:p w14:paraId="14F785F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3A7A2561" w14:textId="77777777" w:rsidTr="00164843">
        <w:trPr>
          <w:trHeight w:val="249"/>
        </w:trPr>
        <w:tc>
          <w:tcPr>
            <w:tcW w:w="399" w:type="dxa"/>
            <w:tcBorders>
              <w:top w:val="nil"/>
              <w:left w:val="single" w:sz="8" w:space="0" w:color="auto"/>
              <w:bottom w:val="nil"/>
              <w:right w:val="nil"/>
            </w:tcBorders>
            <w:shd w:val="clear" w:color="auto" w:fill="auto"/>
            <w:hideMark/>
          </w:tcPr>
          <w:p w14:paraId="2ADF26A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19</w:t>
            </w:r>
          </w:p>
        </w:tc>
        <w:tc>
          <w:tcPr>
            <w:tcW w:w="7994" w:type="dxa"/>
            <w:tcBorders>
              <w:top w:val="nil"/>
              <w:left w:val="nil"/>
              <w:bottom w:val="nil"/>
              <w:right w:val="nil"/>
            </w:tcBorders>
            <w:shd w:val="clear" w:color="auto" w:fill="auto"/>
            <w:noWrap/>
            <w:hideMark/>
          </w:tcPr>
          <w:p w14:paraId="4DD9B0A6"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Defence and Military Veterans</w:t>
            </w:r>
          </w:p>
        </w:tc>
        <w:tc>
          <w:tcPr>
            <w:tcW w:w="1560" w:type="dxa"/>
            <w:tcBorders>
              <w:top w:val="nil"/>
              <w:left w:val="single" w:sz="4" w:space="0" w:color="auto"/>
              <w:bottom w:val="nil"/>
              <w:right w:val="single" w:sz="8" w:space="0" w:color="auto"/>
            </w:tcBorders>
            <w:shd w:val="clear" w:color="auto" w:fill="auto"/>
            <w:noWrap/>
            <w:hideMark/>
          </w:tcPr>
          <w:p w14:paraId="335AB90E" w14:textId="76FF4882"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385,140  </w:t>
            </w:r>
          </w:p>
        </w:tc>
      </w:tr>
      <w:tr w:rsidR="004A527C" w:rsidRPr="001869B0" w14:paraId="4EE58783" w14:textId="77777777" w:rsidTr="00164843">
        <w:trPr>
          <w:trHeight w:val="574"/>
        </w:trPr>
        <w:tc>
          <w:tcPr>
            <w:tcW w:w="399" w:type="dxa"/>
            <w:tcBorders>
              <w:top w:val="nil"/>
              <w:left w:val="single" w:sz="8" w:space="0" w:color="auto"/>
              <w:bottom w:val="nil"/>
              <w:right w:val="nil"/>
            </w:tcBorders>
            <w:shd w:val="clear" w:color="auto" w:fill="auto"/>
            <w:noWrap/>
            <w:hideMark/>
          </w:tcPr>
          <w:p w14:paraId="7AF8C52A"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994" w:type="dxa"/>
            <w:tcBorders>
              <w:top w:val="nil"/>
              <w:left w:val="nil"/>
              <w:bottom w:val="nil"/>
              <w:right w:val="nil"/>
            </w:tcBorders>
            <w:shd w:val="clear" w:color="auto" w:fill="auto"/>
            <w:hideMark/>
          </w:tcPr>
          <w:p w14:paraId="34B0CEAD"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Expenditure for defence activities, which is defrayed from reimbursements from the United Nations for South Africa’s contribution towards peace support operations, and the sale of equipment and spares procured through the special defence account</w:t>
            </w:r>
          </w:p>
        </w:tc>
        <w:tc>
          <w:tcPr>
            <w:tcW w:w="1560" w:type="dxa"/>
            <w:tcBorders>
              <w:top w:val="nil"/>
              <w:left w:val="single" w:sz="4" w:space="0" w:color="auto"/>
              <w:bottom w:val="nil"/>
              <w:right w:val="single" w:sz="8" w:space="0" w:color="auto"/>
            </w:tcBorders>
            <w:shd w:val="clear" w:color="auto" w:fill="auto"/>
            <w:hideMark/>
          </w:tcPr>
          <w:p w14:paraId="7DF5846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6D9B36A9" w14:textId="77777777" w:rsidTr="00164843">
        <w:trPr>
          <w:trHeight w:val="249"/>
        </w:trPr>
        <w:tc>
          <w:tcPr>
            <w:tcW w:w="399" w:type="dxa"/>
            <w:tcBorders>
              <w:top w:val="nil"/>
              <w:left w:val="single" w:sz="8" w:space="0" w:color="auto"/>
              <w:bottom w:val="nil"/>
              <w:right w:val="nil"/>
            </w:tcBorders>
            <w:shd w:val="clear" w:color="auto" w:fill="auto"/>
            <w:hideMark/>
          </w:tcPr>
          <w:p w14:paraId="568C7EA3"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27</w:t>
            </w:r>
          </w:p>
        </w:tc>
        <w:tc>
          <w:tcPr>
            <w:tcW w:w="7994" w:type="dxa"/>
            <w:tcBorders>
              <w:top w:val="nil"/>
              <w:left w:val="nil"/>
              <w:bottom w:val="nil"/>
              <w:right w:val="nil"/>
            </w:tcBorders>
            <w:shd w:val="clear" w:color="auto" w:fill="auto"/>
            <w:noWrap/>
            <w:hideMark/>
          </w:tcPr>
          <w:p w14:paraId="66E30915"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Environmental Affairs</w:t>
            </w:r>
          </w:p>
        </w:tc>
        <w:tc>
          <w:tcPr>
            <w:tcW w:w="1560" w:type="dxa"/>
            <w:tcBorders>
              <w:top w:val="nil"/>
              <w:left w:val="single" w:sz="4" w:space="0" w:color="auto"/>
              <w:bottom w:val="nil"/>
              <w:right w:val="single" w:sz="8" w:space="0" w:color="auto"/>
            </w:tcBorders>
            <w:shd w:val="clear" w:color="auto" w:fill="auto"/>
            <w:hideMark/>
          </w:tcPr>
          <w:p w14:paraId="2EE04A9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4,000 </w:t>
            </w:r>
          </w:p>
        </w:tc>
      </w:tr>
      <w:tr w:rsidR="004A527C" w:rsidRPr="001869B0" w14:paraId="15DE3031" w14:textId="77777777" w:rsidTr="00164843">
        <w:trPr>
          <w:trHeight w:val="323"/>
        </w:trPr>
        <w:tc>
          <w:tcPr>
            <w:tcW w:w="399" w:type="dxa"/>
            <w:tcBorders>
              <w:top w:val="nil"/>
              <w:left w:val="single" w:sz="8" w:space="0" w:color="auto"/>
              <w:bottom w:val="nil"/>
              <w:right w:val="nil"/>
            </w:tcBorders>
            <w:shd w:val="clear" w:color="auto" w:fill="auto"/>
            <w:noWrap/>
            <w:hideMark/>
          </w:tcPr>
          <w:p w14:paraId="768CD220"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994" w:type="dxa"/>
            <w:tcBorders>
              <w:top w:val="nil"/>
              <w:left w:val="nil"/>
              <w:bottom w:val="nil"/>
              <w:right w:val="nil"/>
            </w:tcBorders>
            <w:shd w:val="clear" w:color="auto" w:fill="auto"/>
            <w:hideMark/>
          </w:tcPr>
          <w:p w14:paraId="136602A6"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Expenditure for the South African Elephant Research Project, which is funded from revenue generated from the sale of ivory</w:t>
            </w:r>
          </w:p>
        </w:tc>
        <w:tc>
          <w:tcPr>
            <w:tcW w:w="1560" w:type="dxa"/>
            <w:tcBorders>
              <w:top w:val="nil"/>
              <w:left w:val="single" w:sz="4" w:space="0" w:color="auto"/>
              <w:bottom w:val="nil"/>
              <w:right w:val="single" w:sz="8" w:space="0" w:color="auto"/>
            </w:tcBorders>
            <w:shd w:val="clear" w:color="auto" w:fill="auto"/>
            <w:noWrap/>
            <w:hideMark/>
          </w:tcPr>
          <w:p w14:paraId="4B8058D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7D518563" w14:textId="77777777" w:rsidTr="00164843">
        <w:trPr>
          <w:trHeight w:val="249"/>
        </w:trPr>
        <w:tc>
          <w:tcPr>
            <w:tcW w:w="399" w:type="dxa"/>
            <w:tcBorders>
              <w:top w:val="nil"/>
              <w:left w:val="single" w:sz="8" w:space="0" w:color="auto"/>
              <w:bottom w:val="nil"/>
              <w:right w:val="nil"/>
            </w:tcBorders>
            <w:shd w:val="clear" w:color="auto" w:fill="auto"/>
            <w:hideMark/>
          </w:tcPr>
          <w:p w14:paraId="07EB7EBA"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34</w:t>
            </w:r>
          </w:p>
        </w:tc>
        <w:tc>
          <w:tcPr>
            <w:tcW w:w="7994" w:type="dxa"/>
            <w:tcBorders>
              <w:top w:val="nil"/>
              <w:left w:val="nil"/>
              <w:bottom w:val="nil"/>
              <w:right w:val="nil"/>
            </w:tcBorders>
            <w:shd w:val="clear" w:color="auto" w:fill="auto"/>
            <w:noWrap/>
            <w:hideMark/>
          </w:tcPr>
          <w:p w14:paraId="70695E83"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Trade and Industry</w:t>
            </w:r>
          </w:p>
        </w:tc>
        <w:tc>
          <w:tcPr>
            <w:tcW w:w="1560" w:type="dxa"/>
            <w:tcBorders>
              <w:top w:val="nil"/>
              <w:left w:val="single" w:sz="4" w:space="0" w:color="auto"/>
              <w:bottom w:val="nil"/>
              <w:right w:val="single" w:sz="8" w:space="0" w:color="auto"/>
            </w:tcBorders>
            <w:shd w:val="clear" w:color="auto" w:fill="auto"/>
            <w:hideMark/>
          </w:tcPr>
          <w:p w14:paraId="155BC99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75,700 </w:t>
            </w:r>
          </w:p>
        </w:tc>
      </w:tr>
      <w:tr w:rsidR="004A527C" w:rsidRPr="001869B0" w14:paraId="0DCAF0D9" w14:textId="77777777" w:rsidTr="00164843">
        <w:trPr>
          <w:trHeight w:val="515"/>
        </w:trPr>
        <w:tc>
          <w:tcPr>
            <w:tcW w:w="399" w:type="dxa"/>
            <w:tcBorders>
              <w:top w:val="nil"/>
              <w:left w:val="single" w:sz="8" w:space="0" w:color="auto"/>
              <w:bottom w:val="nil"/>
              <w:right w:val="nil"/>
            </w:tcBorders>
            <w:shd w:val="clear" w:color="auto" w:fill="auto"/>
            <w:noWrap/>
            <w:hideMark/>
          </w:tcPr>
          <w:p w14:paraId="3B771782"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994" w:type="dxa"/>
            <w:tcBorders>
              <w:top w:val="nil"/>
              <w:left w:val="nil"/>
              <w:bottom w:val="nil"/>
              <w:right w:val="nil"/>
            </w:tcBorders>
            <w:shd w:val="clear" w:color="auto" w:fill="auto"/>
            <w:hideMark/>
          </w:tcPr>
          <w:p w14:paraId="62CDA978"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Unitary payment in respect of the public-private partnership for shared campus accommodation, which is funded from unitary payments received from public entities</w:t>
            </w:r>
          </w:p>
        </w:tc>
        <w:tc>
          <w:tcPr>
            <w:tcW w:w="1560" w:type="dxa"/>
            <w:tcBorders>
              <w:top w:val="nil"/>
              <w:left w:val="single" w:sz="4" w:space="0" w:color="auto"/>
              <w:bottom w:val="nil"/>
              <w:right w:val="single" w:sz="8" w:space="0" w:color="auto"/>
            </w:tcBorders>
            <w:shd w:val="clear" w:color="auto" w:fill="auto"/>
            <w:noWrap/>
            <w:hideMark/>
          </w:tcPr>
          <w:p w14:paraId="06EB593B"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7C7B70F9" w14:textId="77777777" w:rsidTr="00164843">
        <w:trPr>
          <w:trHeight w:val="249"/>
        </w:trPr>
        <w:tc>
          <w:tcPr>
            <w:tcW w:w="8393" w:type="dxa"/>
            <w:gridSpan w:val="2"/>
            <w:tcBorders>
              <w:top w:val="single" w:sz="4" w:space="0" w:color="auto"/>
              <w:left w:val="single" w:sz="8" w:space="0" w:color="auto"/>
              <w:bottom w:val="single" w:sz="8" w:space="0" w:color="auto"/>
              <w:right w:val="nil"/>
            </w:tcBorders>
            <w:shd w:val="clear" w:color="auto" w:fill="auto"/>
            <w:noWrap/>
            <w:hideMark/>
          </w:tcPr>
          <w:p w14:paraId="3D86621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Total</w:t>
            </w:r>
          </w:p>
        </w:tc>
        <w:tc>
          <w:tcPr>
            <w:tcW w:w="1560" w:type="dxa"/>
            <w:tcBorders>
              <w:top w:val="single" w:sz="4" w:space="0" w:color="auto"/>
              <w:left w:val="single" w:sz="4" w:space="0" w:color="auto"/>
              <w:bottom w:val="single" w:sz="8" w:space="0" w:color="auto"/>
              <w:right w:val="single" w:sz="8" w:space="0" w:color="auto"/>
            </w:tcBorders>
            <w:shd w:val="clear" w:color="auto" w:fill="auto"/>
            <w:noWrap/>
            <w:hideMark/>
          </w:tcPr>
          <w:p w14:paraId="676DDB1A"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1,655,284  </w:t>
            </w:r>
          </w:p>
        </w:tc>
      </w:tr>
    </w:tbl>
    <w:p w14:paraId="506363C2" w14:textId="5F78A693" w:rsidR="004A527C" w:rsidRPr="001869B0" w:rsidRDefault="004A527C" w:rsidP="00D92E9D">
      <w:pPr>
        <w:spacing w:line="360" w:lineRule="auto"/>
        <w:ind w:left="-810"/>
        <w:jc w:val="both"/>
        <w:rPr>
          <w:rFonts w:asciiTheme="minorHAnsi" w:eastAsiaTheme="minorHAnsi" w:hAnsiTheme="minorHAnsi" w:cstheme="minorBidi"/>
          <w:color w:val="auto"/>
          <w:spacing w:val="0"/>
          <w:sz w:val="22"/>
          <w:szCs w:val="22"/>
          <w:lang w:val="en-ZA" w:eastAsia="en-US"/>
        </w:rPr>
      </w:pPr>
      <w:r w:rsidRPr="001869B0">
        <w:rPr>
          <w:color w:val="auto"/>
          <w:lang w:val="en-ZA"/>
        </w:rPr>
        <w:fldChar w:fldCharType="begin"/>
      </w:r>
      <w:r w:rsidRPr="001869B0">
        <w:rPr>
          <w:color w:val="auto"/>
          <w:lang w:val="en-ZA"/>
        </w:rPr>
        <w:instrText xml:space="preserve"> LINK Excel.SheetMacroEnabled.12 "C:\\Users\\smagagula\\Desktop\\Parliament Work\\Appropriations Committee\\Committee Acctivities 2019\\Medium Term Budget Policy Statement\\MTPBS 2019\\AENE19 Introduction Tables 1 to 8.xlsm" "Table 5!R3C2:R16C4" \a \f 4 \h  \* MERGEFORMAT </w:instrText>
      </w:r>
      <w:r w:rsidRPr="001869B0">
        <w:rPr>
          <w:color w:val="auto"/>
          <w:lang w:val="en-ZA"/>
        </w:rPr>
        <w:fldChar w:fldCharType="separate"/>
      </w:r>
    </w:p>
    <w:p w14:paraId="33DEAE4B" w14:textId="54AE1475" w:rsidR="004A527C" w:rsidRPr="001869B0" w:rsidRDefault="004A527C" w:rsidP="00D92E9D">
      <w:pPr>
        <w:spacing w:line="360" w:lineRule="auto"/>
        <w:ind w:left="-810"/>
        <w:jc w:val="both"/>
        <w:rPr>
          <w:rFonts w:ascii="Times New Roman" w:eastAsiaTheme="minorHAnsi" w:hAnsi="Times New Roman"/>
          <w:b/>
          <w:color w:val="auto"/>
          <w:spacing w:val="0"/>
          <w:sz w:val="22"/>
          <w:szCs w:val="22"/>
          <w:lang w:val="en-ZA" w:eastAsia="en-US"/>
        </w:rPr>
      </w:pPr>
      <w:r w:rsidRPr="001869B0">
        <w:rPr>
          <w:rFonts w:ascii="Times New Roman" w:hAnsi="Times New Roman"/>
          <w:color w:val="auto"/>
          <w:sz w:val="24"/>
          <w:szCs w:val="24"/>
          <w:lang w:val="en-ZA"/>
        </w:rPr>
        <w:fldChar w:fldCharType="end"/>
      </w:r>
      <w:r w:rsidR="008E33DA" w:rsidRPr="001869B0">
        <w:rPr>
          <w:rFonts w:ascii="Times New Roman" w:hAnsi="Times New Roman"/>
          <w:b/>
          <w:color w:val="auto"/>
          <w:sz w:val="24"/>
          <w:lang w:val="en-ZA"/>
        </w:rPr>
        <w:t>Table 4</w:t>
      </w:r>
      <w:r w:rsidR="00A842D0" w:rsidRPr="001869B0">
        <w:rPr>
          <w:rFonts w:ascii="Times New Roman" w:hAnsi="Times New Roman"/>
          <w:b/>
          <w:color w:val="auto"/>
          <w:sz w:val="24"/>
          <w:lang w:val="en-ZA"/>
        </w:rPr>
        <w:t xml:space="preserve">: Declared unspent funds and projected underspending </w:t>
      </w:r>
      <w:r w:rsidRPr="001869B0">
        <w:rPr>
          <w:rFonts w:ascii="Times New Roman" w:hAnsi="Times New Roman"/>
          <w:b/>
          <w:color w:val="auto"/>
          <w:lang w:val="en-ZA"/>
        </w:rPr>
        <w:fldChar w:fldCharType="begin"/>
      </w:r>
      <w:r w:rsidRPr="001869B0">
        <w:rPr>
          <w:rFonts w:ascii="Times New Roman" w:hAnsi="Times New Roman"/>
          <w:b/>
          <w:color w:val="auto"/>
          <w:lang w:val="en-ZA"/>
        </w:rPr>
        <w:instrText xml:space="preserve"> LINK Excel.SheetMacroEnabled.12 "C:\\Users\\smagagula\\Desktop\\Parliament Work\\Appropriations Committee\\Committee Acctivities 2019\\Medium Term Budget Policy Statement\\MTPBS 2019\\AENE19 Introduction Tables 1 to 8.xlsm" "Table 6!R5C3:R66C5" \a \f 4 \h </w:instrText>
      </w:r>
      <w:r w:rsidR="00A842D0" w:rsidRPr="001869B0">
        <w:rPr>
          <w:rFonts w:ascii="Times New Roman" w:hAnsi="Times New Roman"/>
          <w:b/>
          <w:color w:val="auto"/>
          <w:lang w:val="en-ZA"/>
        </w:rPr>
        <w:instrText xml:space="preserve"> \* MERGEFORMAT </w:instrText>
      </w:r>
      <w:r w:rsidRPr="001869B0">
        <w:rPr>
          <w:rFonts w:ascii="Times New Roman" w:hAnsi="Times New Roman"/>
          <w:b/>
          <w:color w:val="auto"/>
          <w:lang w:val="en-ZA"/>
        </w:rPr>
        <w:fldChar w:fldCharType="separate"/>
      </w:r>
    </w:p>
    <w:tbl>
      <w:tblPr>
        <w:tblW w:w="8988" w:type="dxa"/>
        <w:tblLook w:val="04A0" w:firstRow="1" w:lastRow="0" w:firstColumn="1" w:lastColumn="0" w:noHBand="0" w:noVBand="1"/>
      </w:tblPr>
      <w:tblGrid>
        <w:gridCol w:w="425"/>
        <w:gridCol w:w="7165"/>
        <w:gridCol w:w="1398"/>
      </w:tblGrid>
      <w:tr w:rsidR="004A527C" w:rsidRPr="001869B0" w14:paraId="7BDC80DE" w14:textId="77777777" w:rsidTr="00A842D0">
        <w:trPr>
          <w:trHeight w:val="252"/>
        </w:trPr>
        <w:tc>
          <w:tcPr>
            <w:tcW w:w="7590" w:type="dxa"/>
            <w:gridSpan w:val="2"/>
            <w:tcBorders>
              <w:top w:val="single" w:sz="8" w:space="0" w:color="auto"/>
              <w:left w:val="single" w:sz="8" w:space="0" w:color="auto"/>
              <w:bottom w:val="single" w:sz="4" w:space="0" w:color="auto"/>
              <w:right w:val="nil"/>
            </w:tcBorders>
            <w:shd w:val="clear" w:color="auto" w:fill="auto"/>
            <w:noWrap/>
            <w:vAlign w:val="center"/>
            <w:hideMark/>
          </w:tcPr>
          <w:p w14:paraId="26889449" w14:textId="54935989"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Vote and description of expenditure</w:t>
            </w:r>
          </w:p>
        </w:tc>
        <w:tc>
          <w:tcPr>
            <w:tcW w:w="139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0AD8537" w14:textId="77777777" w:rsidR="004A527C" w:rsidRPr="001869B0" w:rsidRDefault="004A527C" w:rsidP="004A527C">
            <w:pPr>
              <w:spacing w:line="240" w:lineRule="auto"/>
              <w:jc w:val="right"/>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R thousand</w:t>
            </w:r>
          </w:p>
        </w:tc>
      </w:tr>
      <w:tr w:rsidR="004A527C" w:rsidRPr="001869B0" w14:paraId="5EA6D77B" w14:textId="77777777" w:rsidTr="00A842D0">
        <w:trPr>
          <w:trHeight w:val="252"/>
        </w:trPr>
        <w:tc>
          <w:tcPr>
            <w:tcW w:w="425" w:type="dxa"/>
            <w:tcBorders>
              <w:top w:val="nil"/>
              <w:left w:val="single" w:sz="8" w:space="0" w:color="auto"/>
              <w:bottom w:val="nil"/>
              <w:right w:val="nil"/>
            </w:tcBorders>
            <w:shd w:val="clear" w:color="auto" w:fill="auto"/>
            <w:noWrap/>
            <w:vAlign w:val="center"/>
            <w:hideMark/>
          </w:tcPr>
          <w:p w14:paraId="5548C872" w14:textId="77777777" w:rsidR="004A527C" w:rsidRPr="001869B0" w:rsidRDefault="004A527C" w:rsidP="00A842D0">
            <w:pPr>
              <w:spacing w:line="240" w:lineRule="auto"/>
              <w:ind w:left="-930"/>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w:t>
            </w:r>
          </w:p>
        </w:tc>
        <w:tc>
          <w:tcPr>
            <w:tcW w:w="7165" w:type="dxa"/>
            <w:tcBorders>
              <w:top w:val="nil"/>
              <w:left w:val="nil"/>
              <w:bottom w:val="nil"/>
              <w:right w:val="nil"/>
            </w:tcBorders>
            <w:shd w:val="clear" w:color="auto" w:fill="auto"/>
            <w:noWrap/>
            <w:vAlign w:val="center"/>
            <w:hideMark/>
          </w:tcPr>
          <w:p w14:paraId="643EAABC"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Communications</w:t>
            </w:r>
          </w:p>
        </w:tc>
        <w:tc>
          <w:tcPr>
            <w:tcW w:w="1398" w:type="dxa"/>
            <w:tcBorders>
              <w:top w:val="nil"/>
              <w:left w:val="single" w:sz="4" w:space="0" w:color="auto"/>
              <w:bottom w:val="nil"/>
              <w:right w:val="single" w:sz="8" w:space="0" w:color="auto"/>
            </w:tcBorders>
            <w:shd w:val="clear" w:color="auto" w:fill="auto"/>
            <w:vAlign w:val="bottom"/>
            <w:hideMark/>
          </w:tcPr>
          <w:p w14:paraId="5328C8A9"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5,000  </w:t>
            </w:r>
          </w:p>
        </w:tc>
      </w:tr>
      <w:tr w:rsidR="004A527C" w:rsidRPr="001869B0" w14:paraId="32ACC5C1" w14:textId="77777777" w:rsidTr="00A842D0">
        <w:trPr>
          <w:trHeight w:val="252"/>
        </w:trPr>
        <w:tc>
          <w:tcPr>
            <w:tcW w:w="425" w:type="dxa"/>
            <w:tcBorders>
              <w:top w:val="nil"/>
              <w:left w:val="single" w:sz="8" w:space="0" w:color="auto"/>
              <w:bottom w:val="nil"/>
              <w:right w:val="nil"/>
            </w:tcBorders>
            <w:shd w:val="clear" w:color="auto" w:fill="auto"/>
            <w:noWrap/>
            <w:vAlign w:val="center"/>
            <w:hideMark/>
          </w:tcPr>
          <w:p w14:paraId="41A56C9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noWrap/>
            <w:vAlign w:val="center"/>
            <w:hideMark/>
          </w:tcPr>
          <w:p w14:paraId="0243ADB5"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xml:space="preserve">R5 million from  compensation of employees (Government Communication Information System) </w:t>
            </w:r>
          </w:p>
        </w:tc>
        <w:tc>
          <w:tcPr>
            <w:tcW w:w="1398" w:type="dxa"/>
            <w:tcBorders>
              <w:top w:val="nil"/>
              <w:left w:val="single" w:sz="4" w:space="0" w:color="auto"/>
              <w:bottom w:val="nil"/>
              <w:right w:val="single" w:sz="8" w:space="0" w:color="auto"/>
            </w:tcBorders>
            <w:shd w:val="clear" w:color="auto" w:fill="auto"/>
            <w:noWrap/>
            <w:vAlign w:val="center"/>
            <w:hideMark/>
          </w:tcPr>
          <w:p w14:paraId="796BABDA" w14:textId="77777777" w:rsidR="004A527C" w:rsidRPr="001869B0" w:rsidRDefault="004A527C" w:rsidP="004A527C">
            <w:pPr>
              <w:spacing w:line="240" w:lineRule="auto"/>
              <w:jc w:val="right"/>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6E249B6A" w14:textId="77777777" w:rsidTr="00A842D0">
        <w:trPr>
          <w:trHeight w:val="252"/>
        </w:trPr>
        <w:tc>
          <w:tcPr>
            <w:tcW w:w="425" w:type="dxa"/>
            <w:tcBorders>
              <w:top w:val="nil"/>
              <w:left w:val="single" w:sz="8" w:space="0" w:color="auto"/>
              <w:bottom w:val="nil"/>
              <w:right w:val="nil"/>
            </w:tcBorders>
            <w:shd w:val="clear" w:color="auto" w:fill="auto"/>
            <w:noWrap/>
            <w:vAlign w:val="center"/>
            <w:hideMark/>
          </w:tcPr>
          <w:p w14:paraId="292B5BC0"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4</w:t>
            </w:r>
          </w:p>
        </w:tc>
        <w:tc>
          <w:tcPr>
            <w:tcW w:w="7165" w:type="dxa"/>
            <w:tcBorders>
              <w:top w:val="nil"/>
              <w:left w:val="nil"/>
              <w:bottom w:val="nil"/>
              <w:right w:val="nil"/>
            </w:tcBorders>
            <w:shd w:val="clear" w:color="auto" w:fill="auto"/>
            <w:noWrap/>
            <w:vAlign w:val="center"/>
            <w:hideMark/>
          </w:tcPr>
          <w:p w14:paraId="7F6B980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Cooperative Governance and Traditional Affairs</w:t>
            </w:r>
          </w:p>
        </w:tc>
        <w:tc>
          <w:tcPr>
            <w:tcW w:w="1398" w:type="dxa"/>
            <w:tcBorders>
              <w:top w:val="nil"/>
              <w:left w:val="single" w:sz="4" w:space="0" w:color="auto"/>
              <w:bottom w:val="nil"/>
              <w:right w:val="single" w:sz="8" w:space="0" w:color="auto"/>
            </w:tcBorders>
            <w:shd w:val="clear" w:color="auto" w:fill="auto"/>
            <w:vAlign w:val="bottom"/>
            <w:hideMark/>
          </w:tcPr>
          <w:p w14:paraId="5DB46F7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310,500  </w:t>
            </w:r>
          </w:p>
        </w:tc>
      </w:tr>
      <w:tr w:rsidR="004A527C" w:rsidRPr="001869B0" w14:paraId="72DFADDE" w14:textId="77777777" w:rsidTr="00A842D0">
        <w:trPr>
          <w:trHeight w:val="461"/>
        </w:trPr>
        <w:tc>
          <w:tcPr>
            <w:tcW w:w="425" w:type="dxa"/>
            <w:tcBorders>
              <w:top w:val="nil"/>
              <w:left w:val="single" w:sz="8" w:space="0" w:color="auto"/>
              <w:bottom w:val="nil"/>
              <w:right w:val="nil"/>
            </w:tcBorders>
            <w:shd w:val="clear" w:color="auto" w:fill="auto"/>
            <w:noWrap/>
            <w:vAlign w:val="center"/>
            <w:hideMark/>
          </w:tcPr>
          <w:p w14:paraId="0D6B2F6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vAlign w:val="center"/>
            <w:hideMark/>
          </w:tcPr>
          <w:p w14:paraId="6405C8CC" w14:textId="71F93D9A"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R300 million from the Co</w:t>
            </w:r>
            <w:r w:rsidR="00164843">
              <w:rPr>
                <w:rFonts w:ascii="Arial Narrow" w:hAnsi="Arial Narrow" w:cs="Calibri"/>
                <w:color w:val="auto"/>
                <w:spacing w:val="0"/>
                <w:sz w:val="20"/>
                <w:szCs w:val="20"/>
                <w:lang w:val="en-US" w:eastAsia="en-US"/>
              </w:rPr>
              <w:t>mmunity Work Programme</w:t>
            </w:r>
            <w:r w:rsidRPr="001869B0">
              <w:rPr>
                <w:rFonts w:ascii="Arial Narrow" w:hAnsi="Arial Narrow" w:cs="Calibri"/>
                <w:color w:val="auto"/>
                <w:spacing w:val="0"/>
                <w:sz w:val="20"/>
                <w:szCs w:val="20"/>
                <w:lang w:val="en-US" w:eastAsia="en-US"/>
              </w:rPr>
              <w:t xml:space="preserve"> and R10.5 million from the municipal systems improvement grant</w:t>
            </w:r>
          </w:p>
        </w:tc>
        <w:tc>
          <w:tcPr>
            <w:tcW w:w="1398" w:type="dxa"/>
            <w:tcBorders>
              <w:top w:val="nil"/>
              <w:left w:val="single" w:sz="4" w:space="0" w:color="auto"/>
              <w:bottom w:val="nil"/>
              <w:right w:val="single" w:sz="8" w:space="0" w:color="auto"/>
            </w:tcBorders>
            <w:shd w:val="clear" w:color="auto" w:fill="auto"/>
            <w:noWrap/>
            <w:vAlign w:val="center"/>
            <w:hideMark/>
          </w:tcPr>
          <w:p w14:paraId="4CF52029" w14:textId="77777777" w:rsidR="004A527C" w:rsidRPr="001869B0" w:rsidRDefault="004A527C" w:rsidP="004A527C">
            <w:pPr>
              <w:spacing w:line="240" w:lineRule="auto"/>
              <w:jc w:val="right"/>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722C7AB7" w14:textId="77777777" w:rsidTr="00A842D0">
        <w:trPr>
          <w:trHeight w:val="252"/>
        </w:trPr>
        <w:tc>
          <w:tcPr>
            <w:tcW w:w="425" w:type="dxa"/>
            <w:tcBorders>
              <w:top w:val="nil"/>
              <w:left w:val="single" w:sz="8" w:space="0" w:color="auto"/>
              <w:bottom w:val="nil"/>
              <w:right w:val="nil"/>
            </w:tcBorders>
            <w:shd w:val="clear" w:color="auto" w:fill="auto"/>
            <w:hideMark/>
          </w:tcPr>
          <w:p w14:paraId="0A1E09D9"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7</w:t>
            </w:r>
          </w:p>
        </w:tc>
        <w:tc>
          <w:tcPr>
            <w:tcW w:w="7165" w:type="dxa"/>
            <w:tcBorders>
              <w:top w:val="nil"/>
              <w:left w:val="nil"/>
              <w:bottom w:val="nil"/>
              <w:right w:val="nil"/>
            </w:tcBorders>
            <w:shd w:val="clear" w:color="auto" w:fill="auto"/>
            <w:hideMark/>
          </w:tcPr>
          <w:p w14:paraId="3D6C8866"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National Treasury</w:t>
            </w:r>
          </w:p>
        </w:tc>
        <w:tc>
          <w:tcPr>
            <w:tcW w:w="1398" w:type="dxa"/>
            <w:tcBorders>
              <w:top w:val="nil"/>
              <w:left w:val="single" w:sz="4" w:space="0" w:color="auto"/>
              <w:bottom w:val="nil"/>
              <w:right w:val="single" w:sz="8" w:space="0" w:color="auto"/>
            </w:tcBorders>
            <w:shd w:val="clear" w:color="auto" w:fill="auto"/>
            <w:vAlign w:val="bottom"/>
            <w:hideMark/>
          </w:tcPr>
          <w:p w14:paraId="07B97E3C"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179,359  </w:t>
            </w:r>
          </w:p>
        </w:tc>
      </w:tr>
      <w:tr w:rsidR="004A527C" w:rsidRPr="001869B0" w14:paraId="07458BF9" w14:textId="77777777" w:rsidTr="00A842D0">
        <w:trPr>
          <w:trHeight w:val="252"/>
        </w:trPr>
        <w:tc>
          <w:tcPr>
            <w:tcW w:w="425" w:type="dxa"/>
            <w:tcBorders>
              <w:top w:val="nil"/>
              <w:left w:val="single" w:sz="8" w:space="0" w:color="auto"/>
              <w:bottom w:val="nil"/>
              <w:right w:val="nil"/>
            </w:tcBorders>
            <w:shd w:val="clear" w:color="auto" w:fill="auto"/>
            <w:hideMark/>
          </w:tcPr>
          <w:p w14:paraId="2F6CC42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7AADE7CD"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R157.225 million from the Jobs Fund and R22.134 million from compensation of employees</w:t>
            </w:r>
          </w:p>
        </w:tc>
        <w:tc>
          <w:tcPr>
            <w:tcW w:w="1398" w:type="dxa"/>
            <w:tcBorders>
              <w:top w:val="nil"/>
              <w:left w:val="single" w:sz="4" w:space="0" w:color="auto"/>
              <w:bottom w:val="nil"/>
              <w:right w:val="single" w:sz="8" w:space="0" w:color="auto"/>
            </w:tcBorders>
            <w:shd w:val="clear" w:color="auto" w:fill="auto"/>
            <w:vAlign w:val="bottom"/>
            <w:hideMark/>
          </w:tcPr>
          <w:p w14:paraId="7CA2A94B"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233A2117" w14:textId="77777777" w:rsidTr="00A842D0">
        <w:trPr>
          <w:trHeight w:val="252"/>
        </w:trPr>
        <w:tc>
          <w:tcPr>
            <w:tcW w:w="425" w:type="dxa"/>
            <w:tcBorders>
              <w:top w:val="nil"/>
              <w:left w:val="single" w:sz="8" w:space="0" w:color="auto"/>
              <w:bottom w:val="nil"/>
              <w:right w:val="nil"/>
            </w:tcBorders>
            <w:shd w:val="clear" w:color="auto" w:fill="auto"/>
            <w:hideMark/>
          </w:tcPr>
          <w:p w14:paraId="12178E53"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9</w:t>
            </w:r>
          </w:p>
        </w:tc>
        <w:tc>
          <w:tcPr>
            <w:tcW w:w="7165" w:type="dxa"/>
            <w:tcBorders>
              <w:top w:val="nil"/>
              <w:left w:val="nil"/>
              <w:bottom w:val="nil"/>
              <w:right w:val="nil"/>
            </w:tcBorders>
            <w:shd w:val="clear" w:color="auto" w:fill="auto"/>
            <w:hideMark/>
          </w:tcPr>
          <w:p w14:paraId="2CBBC8D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Public Enterprises</w:t>
            </w:r>
          </w:p>
        </w:tc>
        <w:tc>
          <w:tcPr>
            <w:tcW w:w="1398" w:type="dxa"/>
            <w:tcBorders>
              <w:top w:val="nil"/>
              <w:left w:val="single" w:sz="4" w:space="0" w:color="auto"/>
              <w:bottom w:val="nil"/>
              <w:right w:val="single" w:sz="8" w:space="0" w:color="auto"/>
            </w:tcBorders>
            <w:shd w:val="clear" w:color="auto" w:fill="auto"/>
            <w:vAlign w:val="bottom"/>
            <w:hideMark/>
          </w:tcPr>
          <w:p w14:paraId="3B14ACE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10,000  </w:t>
            </w:r>
          </w:p>
        </w:tc>
      </w:tr>
      <w:tr w:rsidR="004A527C" w:rsidRPr="001869B0" w14:paraId="67145852" w14:textId="77777777" w:rsidTr="00A842D0">
        <w:trPr>
          <w:trHeight w:val="252"/>
        </w:trPr>
        <w:tc>
          <w:tcPr>
            <w:tcW w:w="425" w:type="dxa"/>
            <w:tcBorders>
              <w:top w:val="nil"/>
              <w:left w:val="single" w:sz="8" w:space="0" w:color="auto"/>
              <w:bottom w:val="nil"/>
              <w:right w:val="nil"/>
            </w:tcBorders>
            <w:shd w:val="clear" w:color="auto" w:fill="auto"/>
            <w:hideMark/>
          </w:tcPr>
          <w:p w14:paraId="08143CE9"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0B716A0D"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R10 million from compensation of employees</w:t>
            </w:r>
          </w:p>
        </w:tc>
        <w:tc>
          <w:tcPr>
            <w:tcW w:w="1398" w:type="dxa"/>
            <w:tcBorders>
              <w:top w:val="nil"/>
              <w:left w:val="single" w:sz="4" w:space="0" w:color="auto"/>
              <w:bottom w:val="nil"/>
              <w:right w:val="single" w:sz="8" w:space="0" w:color="auto"/>
            </w:tcBorders>
            <w:shd w:val="clear" w:color="auto" w:fill="auto"/>
            <w:vAlign w:val="bottom"/>
            <w:hideMark/>
          </w:tcPr>
          <w:p w14:paraId="18FE191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4B25D51E" w14:textId="77777777" w:rsidTr="00A842D0">
        <w:trPr>
          <w:trHeight w:val="252"/>
        </w:trPr>
        <w:tc>
          <w:tcPr>
            <w:tcW w:w="425" w:type="dxa"/>
            <w:tcBorders>
              <w:top w:val="nil"/>
              <w:left w:val="single" w:sz="8" w:space="0" w:color="auto"/>
              <w:bottom w:val="nil"/>
              <w:right w:val="nil"/>
            </w:tcBorders>
            <w:shd w:val="clear" w:color="auto" w:fill="auto"/>
            <w:hideMark/>
          </w:tcPr>
          <w:p w14:paraId="128D3602"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10</w:t>
            </w:r>
          </w:p>
        </w:tc>
        <w:tc>
          <w:tcPr>
            <w:tcW w:w="7165" w:type="dxa"/>
            <w:tcBorders>
              <w:top w:val="nil"/>
              <w:left w:val="nil"/>
              <w:bottom w:val="nil"/>
              <w:right w:val="nil"/>
            </w:tcBorders>
            <w:shd w:val="clear" w:color="auto" w:fill="auto"/>
            <w:hideMark/>
          </w:tcPr>
          <w:p w14:paraId="4E5D93A3"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Public Service and Administration</w:t>
            </w:r>
          </w:p>
        </w:tc>
        <w:tc>
          <w:tcPr>
            <w:tcW w:w="1398" w:type="dxa"/>
            <w:tcBorders>
              <w:top w:val="nil"/>
              <w:left w:val="single" w:sz="4" w:space="0" w:color="auto"/>
              <w:bottom w:val="nil"/>
              <w:right w:val="single" w:sz="8" w:space="0" w:color="auto"/>
            </w:tcBorders>
            <w:shd w:val="clear" w:color="auto" w:fill="auto"/>
            <w:vAlign w:val="bottom"/>
            <w:hideMark/>
          </w:tcPr>
          <w:p w14:paraId="76F5B4CB"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8,800  </w:t>
            </w:r>
          </w:p>
        </w:tc>
      </w:tr>
      <w:tr w:rsidR="004A527C" w:rsidRPr="001869B0" w14:paraId="3A17E58C" w14:textId="77777777" w:rsidTr="00A842D0">
        <w:trPr>
          <w:trHeight w:val="252"/>
        </w:trPr>
        <w:tc>
          <w:tcPr>
            <w:tcW w:w="425" w:type="dxa"/>
            <w:tcBorders>
              <w:top w:val="nil"/>
              <w:left w:val="single" w:sz="8" w:space="0" w:color="auto"/>
              <w:bottom w:val="nil"/>
              <w:right w:val="nil"/>
            </w:tcBorders>
            <w:shd w:val="clear" w:color="auto" w:fill="auto"/>
            <w:hideMark/>
          </w:tcPr>
          <w:p w14:paraId="056DC60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5F52C41F"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R6 million from compensation of employees, and R2.8 million from goods and services</w:t>
            </w:r>
          </w:p>
        </w:tc>
        <w:tc>
          <w:tcPr>
            <w:tcW w:w="1398" w:type="dxa"/>
            <w:tcBorders>
              <w:top w:val="nil"/>
              <w:left w:val="single" w:sz="4" w:space="0" w:color="auto"/>
              <w:bottom w:val="nil"/>
              <w:right w:val="single" w:sz="8" w:space="0" w:color="auto"/>
            </w:tcBorders>
            <w:shd w:val="clear" w:color="auto" w:fill="auto"/>
            <w:vAlign w:val="bottom"/>
            <w:hideMark/>
          </w:tcPr>
          <w:p w14:paraId="053AC15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61CC844C" w14:textId="77777777" w:rsidTr="00A842D0">
        <w:trPr>
          <w:trHeight w:val="252"/>
        </w:trPr>
        <w:tc>
          <w:tcPr>
            <w:tcW w:w="425" w:type="dxa"/>
            <w:tcBorders>
              <w:top w:val="nil"/>
              <w:left w:val="single" w:sz="8" w:space="0" w:color="auto"/>
              <w:bottom w:val="nil"/>
              <w:right w:val="nil"/>
            </w:tcBorders>
            <w:shd w:val="clear" w:color="auto" w:fill="auto"/>
            <w:hideMark/>
          </w:tcPr>
          <w:p w14:paraId="41CDF58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11</w:t>
            </w:r>
          </w:p>
        </w:tc>
        <w:tc>
          <w:tcPr>
            <w:tcW w:w="7165" w:type="dxa"/>
            <w:tcBorders>
              <w:top w:val="nil"/>
              <w:left w:val="nil"/>
              <w:bottom w:val="nil"/>
              <w:right w:val="nil"/>
            </w:tcBorders>
            <w:shd w:val="clear" w:color="auto" w:fill="auto"/>
            <w:hideMark/>
          </w:tcPr>
          <w:p w14:paraId="155091A3"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Public Works</w:t>
            </w:r>
          </w:p>
        </w:tc>
        <w:tc>
          <w:tcPr>
            <w:tcW w:w="1398" w:type="dxa"/>
            <w:tcBorders>
              <w:top w:val="nil"/>
              <w:left w:val="single" w:sz="4" w:space="0" w:color="auto"/>
              <w:bottom w:val="nil"/>
              <w:right w:val="single" w:sz="8" w:space="0" w:color="auto"/>
            </w:tcBorders>
            <w:shd w:val="clear" w:color="auto" w:fill="auto"/>
            <w:vAlign w:val="bottom"/>
            <w:hideMark/>
          </w:tcPr>
          <w:p w14:paraId="4EEFD50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1,943  </w:t>
            </w:r>
          </w:p>
        </w:tc>
      </w:tr>
      <w:tr w:rsidR="004A527C" w:rsidRPr="001869B0" w14:paraId="02E4BA72" w14:textId="77777777" w:rsidTr="00A842D0">
        <w:trPr>
          <w:trHeight w:val="252"/>
        </w:trPr>
        <w:tc>
          <w:tcPr>
            <w:tcW w:w="425" w:type="dxa"/>
            <w:tcBorders>
              <w:top w:val="nil"/>
              <w:left w:val="single" w:sz="8" w:space="0" w:color="auto"/>
              <w:bottom w:val="nil"/>
              <w:right w:val="nil"/>
            </w:tcBorders>
            <w:shd w:val="clear" w:color="auto" w:fill="auto"/>
            <w:hideMark/>
          </w:tcPr>
          <w:p w14:paraId="7DFC432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51A83BED"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R1.943 million from oganisations for the preservation of national memorials</w:t>
            </w:r>
          </w:p>
        </w:tc>
        <w:tc>
          <w:tcPr>
            <w:tcW w:w="1398" w:type="dxa"/>
            <w:tcBorders>
              <w:top w:val="nil"/>
              <w:left w:val="single" w:sz="4" w:space="0" w:color="auto"/>
              <w:bottom w:val="nil"/>
              <w:right w:val="single" w:sz="8" w:space="0" w:color="auto"/>
            </w:tcBorders>
            <w:shd w:val="clear" w:color="auto" w:fill="auto"/>
            <w:vAlign w:val="bottom"/>
            <w:hideMark/>
          </w:tcPr>
          <w:p w14:paraId="3E0FE583"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6E1520CD" w14:textId="77777777" w:rsidTr="00A842D0">
        <w:trPr>
          <w:trHeight w:val="252"/>
        </w:trPr>
        <w:tc>
          <w:tcPr>
            <w:tcW w:w="425" w:type="dxa"/>
            <w:tcBorders>
              <w:top w:val="nil"/>
              <w:left w:val="single" w:sz="8" w:space="0" w:color="auto"/>
              <w:bottom w:val="nil"/>
              <w:right w:val="nil"/>
            </w:tcBorders>
            <w:shd w:val="clear" w:color="auto" w:fill="auto"/>
            <w:hideMark/>
          </w:tcPr>
          <w:p w14:paraId="1BD1517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14</w:t>
            </w:r>
          </w:p>
        </w:tc>
        <w:tc>
          <w:tcPr>
            <w:tcW w:w="7165" w:type="dxa"/>
            <w:tcBorders>
              <w:top w:val="nil"/>
              <w:left w:val="nil"/>
              <w:bottom w:val="nil"/>
              <w:right w:val="nil"/>
            </w:tcBorders>
            <w:shd w:val="clear" w:color="auto" w:fill="auto"/>
            <w:hideMark/>
          </w:tcPr>
          <w:p w14:paraId="482E7ECC"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Basic Education</w:t>
            </w:r>
          </w:p>
        </w:tc>
        <w:tc>
          <w:tcPr>
            <w:tcW w:w="1398" w:type="dxa"/>
            <w:tcBorders>
              <w:top w:val="nil"/>
              <w:left w:val="single" w:sz="4" w:space="0" w:color="auto"/>
              <w:bottom w:val="nil"/>
              <w:right w:val="single" w:sz="8" w:space="0" w:color="auto"/>
            </w:tcBorders>
            <w:shd w:val="clear" w:color="auto" w:fill="auto"/>
            <w:vAlign w:val="bottom"/>
            <w:hideMark/>
          </w:tcPr>
          <w:p w14:paraId="3AC336AB"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40,000  </w:t>
            </w:r>
          </w:p>
        </w:tc>
      </w:tr>
      <w:tr w:rsidR="004A527C" w:rsidRPr="001869B0" w14:paraId="14141E14" w14:textId="77777777" w:rsidTr="00A842D0">
        <w:trPr>
          <w:trHeight w:val="267"/>
        </w:trPr>
        <w:tc>
          <w:tcPr>
            <w:tcW w:w="425" w:type="dxa"/>
            <w:tcBorders>
              <w:top w:val="nil"/>
              <w:left w:val="single" w:sz="8" w:space="0" w:color="auto"/>
              <w:bottom w:val="nil"/>
              <w:right w:val="nil"/>
            </w:tcBorders>
            <w:shd w:val="clear" w:color="auto" w:fill="auto"/>
            <w:hideMark/>
          </w:tcPr>
          <w:p w14:paraId="3B983AC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5A13CA1F"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R40 million from the school infrastructure backlogs grant</w:t>
            </w:r>
          </w:p>
        </w:tc>
        <w:tc>
          <w:tcPr>
            <w:tcW w:w="1398" w:type="dxa"/>
            <w:tcBorders>
              <w:top w:val="nil"/>
              <w:left w:val="single" w:sz="4" w:space="0" w:color="auto"/>
              <w:bottom w:val="nil"/>
              <w:right w:val="single" w:sz="8" w:space="0" w:color="auto"/>
            </w:tcBorders>
            <w:shd w:val="clear" w:color="auto" w:fill="auto"/>
            <w:vAlign w:val="bottom"/>
            <w:hideMark/>
          </w:tcPr>
          <w:p w14:paraId="443DDB55"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4EDE5247" w14:textId="77777777" w:rsidTr="00A842D0">
        <w:trPr>
          <w:trHeight w:val="252"/>
        </w:trPr>
        <w:tc>
          <w:tcPr>
            <w:tcW w:w="425" w:type="dxa"/>
            <w:tcBorders>
              <w:top w:val="nil"/>
              <w:left w:val="single" w:sz="8" w:space="0" w:color="auto"/>
              <w:bottom w:val="nil"/>
              <w:right w:val="nil"/>
            </w:tcBorders>
            <w:shd w:val="clear" w:color="auto" w:fill="auto"/>
            <w:hideMark/>
          </w:tcPr>
          <w:p w14:paraId="62D2A2B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15</w:t>
            </w:r>
          </w:p>
        </w:tc>
        <w:tc>
          <w:tcPr>
            <w:tcW w:w="7165" w:type="dxa"/>
            <w:tcBorders>
              <w:top w:val="nil"/>
              <w:left w:val="nil"/>
              <w:bottom w:val="nil"/>
              <w:right w:val="nil"/>
            </w:tcBorders>
            <w:shd w:val="clear" w:color="auto" w:fill="auto"/>
            <w:hideMark/>
          </w:tcPr>
          <w:p w14:paraId="45B8D17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Higher Education</w:t>
            </w:r>
          </w:p>
        </w:tc>
        <w:tc>
          <w:tcPr>
            <w:tcW w:w="1398" w:type="dxa"/>
            <w:tcBorders>
              <w:top w:val="nil"/>
              <w:left w:val="single" w:sz="4" w:space="0" w:color="auto"/>
              <w:bottom w:val="nil"/>
              <w:right w:val="single" w:sz="8" w:space="0" w:color="auto"/>
            </w:tcBorders>
            <w:shd w:val="clear" w:color="auto" w:fill="auto"/>
            <w:vAlign w:val="bottom"/>
            <w:hideMark/>
          </w:tcPr>
          <w:p w14:paraId="5E49C383"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897,100  </w:t>
            </w:r>
          </w:p>
        </w:tc>
      </w:tr>
      <w:tr w:rsidR="004A527C" w:rsidRPr="001869B0" w14:paraId="3E7E2DC4" w14:textId="77777777" w:rsidTr="00A842D0">
        <w:trPr>
          <w:trHeight w:val="551"/>
        </w:trPr>
        <w:tc>
          <w:tcPr>
            <w:tcW w:w="425" w:type="dxa"/>
            <w:tcBorders>
              <w:top w:val="nil"/>
              <w:left w:val="single" w:sz="8" w:space="0" w:color="auto"/>
              <w:bottom w:val="nil"/>
              <w:right w:val="nil"/>
            </w:tcBorders>
            <w:shd w:val="clear" w:color="auto" w:fill="auto"/>
            <w:hideMark/>
          </w:tcPr>
          <w:p w14:paraId="420757E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2EC3A776"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R400 million from the infrastructure efficiency grant, R350 million from higher education institutions, R145.4 million from compensation of employees, and R1.7 million from goods and services</w:t>
            </w:r>
          </w:p>
        </w:tc>
        <w:tc>
          <w:tcPr>
            <w:tcW w:w="1398" w:type="dxa"/>
            <w:tcBorders>
              <w:top w:val="nil"/>
              <w:left w:val="single" w:sz="4" w:space="0" w:color="auto"/>
              <w:bottom w:val="nil"/>
              <w:right w:val="single" w:sz="8" w:space="0" w:color="auto"/>
            </w:tcBorders>
            <w:shd w:val="clear" w:color="auto" w:fill="auto"/>
            <w:vAlign w:val="bottom"/>
            <w:hideMark/>
          </w:tcPr>
          <w:p w14:paraId="22FC275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66EDA002" w14:textId="77777777" w:rsidTr="00A842D0">
        <w:trPr>
          <w:trHeight w:val="252"/>
        </w:trPr>
        <w:tc>
          <w:tcPr>
            <w:tcW w:w="425" w:type="dxa"/>
            <w:tcBorders>
              <w:top w:val="nil"/>
              <w:left w:val="single" w:sz="8" w:space="0" w:color="auto"/>
              <w:bottom w:val="nil"/>
              <w:right w:val="nil"/>
            </w:tcBorders>
            <w:shd w:val="clear" w:color="auto" w:fill="auto"/>
            <w:hideMark/>
          </w:tcPr>
          <w:p w14:paraId="09AE870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16</w:t>
            </w:r>
          </w:p>
        </w:tc>
        <w:tc>
          <w:tcPr>
            <w:tcW w:w="7165" w:type="dxa"/>
            <w:tcBorders>
              <w:top w:val="nil"/>
              <w:left w:val="nil"/>
              <w:bottom w:val="nil"/>
              <w:right w:val="nil"/>
            </w:tcBorders>
            <w:shd w:val="clear" w:color="auto" w:fill="auto"/>
            <w:noWrap/>
            <w:hideMark/>
          </w:tcPr>
          <w:p w14:paraId="077EF4A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Health</w:t>
            </w:r>
          </w:p>
        </w:tc>
        <w:tc>
          <w:tcPr>
            <w:tcW w:w="1398" w:type="dxa"/>
            <w:tcBorders>
              <w:top w:val="nil"/>
              <w:left w:val="single" w:sz="4" w:space="0" w:color="auto"/>
              <w:bottom w:val="nil"/>
              <w:right w:val="single" w:sz="8" w:space="0" w:color="auto"/>
            </w:tcBorders>
            <w:shd w:val="clear" w:color="auto" w:fill="auto"/>
            <w:vAlign w:val="bottom"/>
            <w:hideMark/>
          </w:tcPr>
          <w:p w14:paraId="2C7D8896"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346,000  </w:t>
            </w:r>
          </w:p>
        </w:tc>
      </w:tr>
      <w:tr w:rsidR="004A527C" w:rsidRPr="001869B0" w14:paraId="32D3419E" w14:textId="77777777" w:rsidTr="00A842D0">
        <w:trPr>
          <w:trHeight w:val="1088"/>
        </w:trPr>
        <w:tc>
          <w:tcPr>
            <w:tcW w:w="425" w:type="dxa"/>
            <w:tcBorders>
              <w:top w:val="nil"/>
              <w:left w:val="single" w:sz="8" w:space="0" w:color="auto"/>
              <w:bottom w:val="nil"/>
              <w:right w:val="nil"/>
            </w:tcBorders>
            <w:shd w:val="clear" w:color="auto" w:fill="auto"/>
            <w:hideMark/>
          </w:tcPr>
          <w:p w14:paraId="45204B70"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lastRenderedPageBreak/>
              <w:t> </w:t>
            </w:r>
          </w:p>
        </w:tc>
        <w:tc>
          <w:tcPr>
            <w:tcW w:w="7165" w:type="dxa"/>
            <w:tcBorders>
              <w:top w:val="nil"/>
              <w:left w:val="nil"/>
              <w:bottom w:val="nil"/>
              <w:right w:val="nil"/>
            </w:tcBorders>
            <w:shd w:val="clear" w:color="auto" w:fill="auto"/>
            <w:hideMark/>
          </w:tcPr>
          <w:p w14:paraId="02FAD1F2"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R230 million from the national health insurance indirect grant: personal services component, R45 million from goods and services, R30 million from the national health insurance indirect grant: health facility revitalisation component , R20 million from compensation of employees, R11 million from the human papillomavirus vaccine grant, and R10 million from the national health insurance indirect grant: non-personal services component (goods and services)</w:t>
            </w:r>
          </w:p>
        </w:tc>
        <w:tc>
          <w:tcPr>
            <w:tcW w:w="1398" w:type="dxa"/>
            <w:tcBorders>
              <w:top w:val="nil"/>
              <w:left w:val="single" w:sz="4" w:space="0" w:color="auto"/>
              <w:bottom w:val="nil"/>
              <w:right w:val="single" w:sz="8" w:space="0" w:color="auto"/>
            </w:tcBorders>
            <w:shd w:val="clear" w:color="auto" w:fill="auto"/>
            <w:vAlign w:val="bottom"/>
            <w:hideMark/>
          </w:tcPr>
          <w:p w14:paraId="6B54E49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00618C4C" w14:textId="77777777" w:rsidTr="00A842D0">
        <w:trPr>
          <w:trHeight w:val="252"/>
        </w:trPr>
        <w:tc>
          <w:tcPr>
            <w:tcW w:w="425" w:type="dxa"/>
            <w:tcBorders>
              <w:top w:val="nil"/>
              <w:left w:val="single" w:sz="8" w:space="0" w:color="auto"/>
              <w:bottom w:val="nil"/>
              <w:right w:val="nil"/>
            </w:tcBorders>
            <w:shd w:val="clear" w:color="auto" w:fill="auto"/>
            <w:hideMark/>
          </w:tcPr>
          <w:p w14:paraId="6D890810"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17</w:t>
            </w:r>
          </w:p>
        </w:tc>
        <w:tc>
          <w:tcPr>
            <w:tcW w:w="7165" w:type="dxa"/>
            <w:tcBorders>
              <w:top w:val="nil"/>
              <w:left w:val="nil"/>
              <w:bottom w:val="nil"/>
              <w:right w:val="nil"/>
            </w:tcBorders>
            <w:shd w:val="clear" w:color="auto" w:fill="auto"/>
            <w:hideMark/>
          </w:tcPr>
          <w:p w14:paraId="3D073A76"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Social Development</w:t>
            </w:r>
          </w:p>
        </w:tc>
        <w:tc>
          <w:tcPr>
            <w:tcW w:w="1398" w:type="dxa"/>
            <w:tcBorders>
              <w:top w:val="nil"/>
              <w:left w:val="single" w:sz="4" w:space="0" w:color="auto"/>
              <w:bottom w:val="nil"/>
              <w:right w:val="single" w:sz="8" w:space="0" w:color="auto"/>
            </w:tcBorders>
            <w:shd w:val="clear" w:color="auto" w:fill="auto"/>
            <w:vAlign w:val="bottom"/>
            <w:hideMark/>
          </w:tcPr>
          <w:p w14:paraId="595A830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70,000  </w:t>
            </w:r>
          </w:p>
        </w:tc>
      </w:tr>
      <w:tr w:rsidR="004A527C" w:rsidRPr="001869B0" w14:paraId="5FCD6B4E" w14:textId="77777777" w:rsidTr="00A842D0">
        <w:trPr>
          <w:trHeight w:val="252"/>
        </w:trPr>
        <w:tc>
          <w:tcPr>
            <w:tcW w:w="425" w:type="dxa"/>
            <w:tcBorders>
              <w:top w:val="nil"/>
              <w:left w:val="single" w:sz="8" w:space="0" w:color="auto"/>
              <w:bottom w:val="nil"/>
              <w:right w:val="nil"/>
            </w:tcBorders>
            <w:shd w:val="clear" w:color="auto" w:fill="auto"/>
            <w:hideMark/>
          </w:tcPr>
          <w:p w14:paraId="394FF08A"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4ACBA910"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R70 million from the national student financial aid scheme: social worker scholarships</w:t>
            </w:r>
          </w:p>
        </w:tc>
        <w:tc>
          <w:tcPr>
            <w:tcW w:w="1398" w:type="dxa"/>
            <w:tcBorders>
              <w:top w:val="nil"/>
              <w:left w:val="single" w:sz="4" w:space="0" w:color="auto"/>
              <w:bottom w:val="nil"/>
              <w:right w:val="single" w:sz="8" w:space="0" w:color="auto"/>
            </w:tcBorders>
            <w:shd w:val="clear" w:color="auto" w:fill="auto"/>
            <w:vAlign w:val="bottom"/>
            <w:hideMark/>
          </w:tcPr>
          <w:p w14:paraId="0221A54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5D911B4B" w14:textId="77777777" w:rsidTr="00A842D0">
        <w:trPr>
          <w:trHeight w:val="252"/>
        </w:trPr>
        <w:tc>
          <w:tcPr>
            <w:tcW w:w="425" w:type="dxa"/>
            <w:tcBorders>
              <w:top w:val="nil"/>
              <w:left w:val="single" w:sz="8" w:space="0" w:color="auto"/>
              <w:bottom w:val="nil"/>
              <w:right w:val="nil"/>
            </w:tcBorders>
            <w:shd w:val="clear" w:color="auto" w:fill="auto"/>
            <w:hideMark/>
          </w:tcPr>
          <w:p w14:paraId="669A6E1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18</w:t>
            </w:r>
          </w:p>
        </w:tc>
        <w:tc>
          <w:tcPr>
            <w:tcW w:w="7165" w:type="dxa"/>
            <w:tcBorders>
              <w:top w:val="nil"/>
              <w:left w:val="nil"/>
              <w:bottom w:val="nil"/>
              <w:right w:val="nil"/>
            </w:tcBorders>
            <w:shd w:val="clear" w:color="auto" w:fill="auto"/>
            <w:hideMark/>
          </w:tcPr>
          <w:p w14:paraId="4D7F837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Correctional Services</w:t>
            </w:r>
          </w:p>
        </w:tc>
        <w:tc>
          <w:tcPr>
            <w:tcW w:w="1398" w:type="dxa"/>
            <w:tcBorders>
              <w:top w:val="nil"/>
              <w:left w:val="single" w:sz="4" w:space="0" w:color="auto"/>
              <w:bottom w:val="nil"/>
              <w:right w:val="single" w:sz="8" w:space="0" w:color="auto"/>
            </w:tcBorders>
            <w:shd w:val="clear" w:color="auto" w:fill="auto"/>
            <w:vAlign w:val="bottom"/>
            <w:hideMark/>
          </w:tcPr>
          <w:p w14:paraId="2FE41F4A"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100,000  </w:t>
            </w:r>
          </w:p>
        </w:tc>
      </w:tr>
      <w:tr w:rsidR="004A527C" w:rsidRPr="001869B0" w14:paraId="2A7CB571" w14:textId="77777777" w:rsidTr="00A842D0">
        <w:trPr>
          <w:trHeight w:val="252"/>
        </w:trPr>
        <w:tc>
          <w:tcPr>
            <w:tcW w:w="425" w:type="dxa"/>
            <w:tcBorders>
              <w:top w:val="nil"/>
              <w:left w:val="single" w:sz="8" w:space="0" w:color="auto"/>
              <w:bottom w:val="nil"/>
              <w:right w:val="nil"/>
            </w:tcBorders>
            <w:shd w:val="clear" w:color="auto" w:fill="auto"/>
            <w:hideMark/>
          </w:tcPr>
          <w:p w14:paraId="22D0FC0B"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4661E5C5"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R100 million from compensation of employees</w:t>
            </w:r>
          </w:p>
        </w:tc>
        <w:tc>
          <w:tcPr>
            <w:tcW w:w="1398" w:type="dxa"/>
            <w:tcBorders>
              <w:top w:val="nil"/>
              <w:left w:val="single" w:sz="4" w:space="0" w:color="auto"/>
              <w:bottom w:val="nil"/>
              <w:right w:val="single" w:sz="8" w:space="0" w:color="auto"/>
            </w:tcBorders>
            <w:shd w:val="clear" w:color="auto" w:fill="auto"/>
            <w:vAlign w:val="bottom"/>
            <w:hideMark/>
          </w:tcPr>
          <w:p w14:paraId="34B8A41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2604C1AF" w14:textId="77777777" w:rsidTr="00A842D0">
        <w:trPr>
          <w:trHeight w:val="252"/>
        </w:trPr>
        <w:tc>
          <w:tcPr>
            <w:tcW w:w="425" w:type="dxa"/>
            <w:tcBorders>
              <w:top w:val="nil"/>
              <w:left w:val="single" w:sz="8" w:space="0" w:color="auto"/>
              <w:bottom w:val="nil"/>
              <w:right w:val="nil"/>
            </w:tcBorders>
            <w:shd w:val="clear" w:color="auto" w:fill="auto"/>
            <w:hideMark/>
          </w:tcPr>
          <w:p w14:paraId="0D497FC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19</w:t>
            </w:r>
          </w:p>
        </w:tc>
        <w:tc>
          <w:tcPr>
            <w:tcW w:w="7165" w:type="dxa"/>
            <w:tcBorders>
              <w:top w:val="nil"/>
              <w:left w:val="nil"/>
              <w:bottom w:val="nil"/>
              <w:right w:val="nil"/>
            </w:tcBorders>
            <w:shd w:val="clear" w:color="auto" w:fill="auto"/>
            <w:hideMark/>
          </w:tcPr>
          <w:p w14:paraId="57B7B2F5"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Defence and Military Veterans</w:t>
            </w:r>
          </w:p>
        </w:tc>
        <w:tc>
          <w:tcPr>
            <w:tcW w:w="1398" w:type="dxa"/>
            <w:tcBorders>
              <w:top w:val="nil"/>
              <w:left w:val="single" w:sz="4" w:space="0" w:color="auto"/>
              <w:bottom w:val="nil"/>
              <w:right w:val="single" w:sz="8" w:space="0" w:color="auto"/>
            </w:tcBorders>
            <w:shd w:val="clear" w:color="auto" w:fill="auto"/>
            <w:vAlign w:val="bottom"/>
            <w:hideMark/>
          </w:tcPr>
          <w:p w14:paraId="3D594DA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10,000  </w:t>
            </w:r>
          </w:p>
        </w:tc>
      </w:tr>
      <w:tr w:rsidR="004A527C" w:rsidRPr="001869B0" w14:paraId="0341A87E" w14:textId="77777777" w:rsidTr="00A842D0">
        <w:trPr>
          <w:trHeight w:val="252"/>
        </w:trPr>
        <w:tc>
          <w:tcPr>
            <w:tcW w:w="425" w:type="dxa"/>
            <w:tcBorders>
              <w:top w:val="nil"/>
              <w:left w:val="single" w:sz="8" w:space="0" w:color="auto"/>
              <w:bottom w:val="nil"/>
              <w:right w:val="nil"/>
            </w:tcBorders>
            <w:shd w:val="clear" w:color="auto" w:fill="auto"/>
            <w:hideMark/>
          </w:tcPr>
          <w:p w14:paraId="1F870B0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1ABEC4B7"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R10 million from the Department of Military Veterans</w:t>
            </w:r>
          </w:p>
        </w:tc>
        <w:tc>
          <w:tcPr>
            <w:tcW w:w="1398" w:type="dxa"/>
            <w:tcBorders>
              <w:top w:val="nil"/>
              <w:left w:val="single" w:sz="4" w:space="0" w:color="auto"/>
              <w:bottom w:val="nil"/>
              <w:right w:val="single" w:sz="8" w:space="0" w:color="auto"/>
            </w:tcBorders>
            <w:shd w:val="clear" w:color="auto" w:fill="auto"/>
            <w:vAlign w:val="bottom"/>
            <w:hideMark/>
          </w:tcPr>
          <w:p w14:paraId="238D6AA9"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0ADBE7CA" w14:textId="77777777" w:rsidTr="00A842D0">
        <w:trPr>
          <w:trHeight w:val="252"/>
        </w:trPr>
        <w:tc>
          <w:tcPr>
            <w:tcW w:w="425" w:type="dxa"/>
            <w:tcBorders>
              <w:top w:val="nil"/>
              <w:left w:val="single" w:sz="8" w:space="0" w:color="auto"/>
              <w:bottom w:val="nil"/>
              <w:right w:val="nil"/>
            </w:tcBorders>
            <w:shd w:val="clear" w:color="auto" w:fill="auto"/>
            <w:hideMark/>
          </w:tcPr>
          <w:p w14:paraId="08E9AE1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23</w:t>
            </w:r>
          </w:p>
        </w:tc>
        <w:tc>
          <w:tcPr>
            <w:tcW w:w="7165" w:type="dxa"/>
            <w:tcBorders>
              <w:top w:val="nil"/>
              <w:left w:val="nil"/>
              <w:bottom w:val="nil"/>
              <w:right w:val="nil"/>
            </w:tcBorders>
            <w:shd w:val="clear" w:color="auto" w:fill="auto"/>
            <w:hideMark/>
          </w:tcPr>
          <w:p w14:paraId="07C934D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Police</w:t>
            </w:r>
          </w:p>
        </w:tc>
        <w:tc>
          <w:tcPr>
            <w:tcW w:w="1398" w:type="dxa"/>
            <w:tcBorders>
              <w:top w:val="nil"/>
              <w:left w:val="single" w:sz="4" w:space="0" w:color="auto"/>
              <w:bottom w:val="nil"/>
              <w:right w:val="single" w:sz="8" w:space="0" w:color="auto"/>
            </w:tcBorders>
            <w:shd w:val="clear" w:color="auto" w:fill="auto"/>
            <w:vAlign w:val="bottom"/>
            <w:hideMark/>
          </w:tcPr>
          <w:p w14:paraId="4CFC6C8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703,618  </w:t>
            </w:r>
          </w:p>
        </w:tc>
      </w:tr>
      <w:tr w:rsidR="004A527C" w:rsidRPr="001869B0" w14:paraId="7F66CD4A" w14:textId="77777777" w:rsidTr="00A842D0">
        <w:trPr>
          <w:trHeight w:val="506"/>
        </w:trPr>
        <w:tc>
          <w:tcPr>
            <w:tcW w:w="425" w:type="dxa"/>
            <w:tcBorders>
              <w:top w:val="nil"/>
              <w:left w:val="single" w:sz="8" w:space="0" w:color="auto"/>
              <w:bottom w:val="nil"/>
              <w:right w:val="nil"/>
            </w:tcBorders>
            <w:shd w:val="clear" w:color="auto" w:fill="auto"/>
            <w:hideMark/>
          </w:tcPr>
          <w:p w14:paraId="3157E92E"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1499576A"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xml:space="preserve">R700 million from the implementation of the criminal justice system seven-point plan and R3.618 million from compensation of employees for the Civilian Secretariat for the Police Service </w:t>
            </w:r>
          </w:p>
        </w:tc>
        <w:tc>
          <w:tcPr>
            <w:tcW w:w="1398" w:type="dxa"/>
            <w:tcBorders>
              <w:top w:val="nil"/>
              <w:left w:val="single" w:sz="4" w:space="0" w:color="auto"/>
              <w:bottom w:val="nil"/>
              <w:right w:val="single" w:sz="8" w:space="0" w:color="auto"/>
            </w:tcBorders>
            <w:shd w:val="clear" w:color="auto" w:fill="auto"/>
            <w:vAlign w:val="bottom"/>
            <w:hideMark/>
          </w:tcPr>
          <w:p w14:paraId="59BB3ED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5D5C8BC6" w14:textId="77777777" w:rsidTr="00A842D0">
        <w:trPr>
          <w:trHeight w:val="252"/>
        </w:trPr>
        <w:tc>
          <w:tcPr>
            <w:tcW w:w="425" w:type="dxa"/>
            <w:tcBorders>
              <w:top w:val="nil"/>
              <w:left w:val="single" w:sz="8" w:space="0" w:color="auto"/>
              <w:bottom w:val="nil"/>
              <w:right w:val="nil"/>
            </w:tcBorders>
            <w:shd w:val="clear" w:color="auto" w:fill="auto"/>
            <w:hideMark/>
          </w:tcPr>
          <w:p w14:paraId="25DE9482"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24</w:t>
            </w:r>
          </w:p>
        </w:tc>
        <w:tc>
          <w:tcPr>
            <w:tcW w:w="7165" w:type="dxa"/>
            <w:tcBorders>
              <w:top w:val="nil"/>
              <w:left w:val="nil"/>
              <w:bottom w:val="nil"/>
              <w:right w:val="nil"/>
            </w:tcBorders>
            <w:shd w:val="clear" w:color="auto" w:fill="auto"/>
            <w:hideMark/>
          </w:tcPr>
          <w:p w14:paraId="66F4062E"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Agriculture, Forestry and Fisheries</w:t>
            </w:r>
          </w:p>
        </w:tc>
        <w:tc>
          <w:tcPr>
            <w:tcW w:w="1398" w:type="dxa"/>
            <w:tcBorders>
              <w:top w:val="nil"/>
              <w:left w:val="single" w:sz="4" w:space="0" w:color="auto"/>
              <w:bottom w:val="nil"/>
              <w:right w:val="single" w:sz="8" w:space="0" w:color="auto"/>
            </w:tcBorders>
            <w:shd w:val="clear" w:color="auto" w:fill="auto"/>
            <w:vAlign w:val="bottom"/>
            <w:hideMark/>
          </w:tcPr>
          <w:p w14:paraId="3A9E1370"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57,700  </w:t>
            </w:r>
          </w:p>
        </w:tc>
      </w:tr>
      <w:tr w:rsidR="004A527C" w:rsidRPr="001869B0" w14:paraId="776F23FB" w14:textId="77777777" w:rsidTr="00A842D0">
        <w:trPr>
          <w:trHeight w:val="252"/>
        </w:trPr>
        <w:tc>
          <w:tcPr>
            <w:tcW w:w="425" w:type="dxa"/>
            <w:tcBorders>
              <w:top w:val="nil"/>
              <w:left w:val="single" w:sz="8" w:space="0" w:color="auto"/>
              <w:bottom w:val="nil"/>
              <w:right w:val="nil"/>
            </w:tcBorders>
            <w:shd w:val="clear" w:color="auto" w:fill="auto"/>
            <w:hideMark/>
          </w:tcPr>
          <w:p w14:paraId="426B0DD6"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1FFE9B98"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R57.7 million from the Land and Agricultural Development Bank of South Africa</w:t>
            </w:r>
          </w:p>
        </w:tc>
        <w:tc>
          <w:tcPr>
            <w:tcW w:w="1398" w:type="dxa"/>
            <w:tcBorders>
              <w:top w:val="nil"/>
              <w:left w:val="single" w:sz="4" w:space="0" w:color="auto"/>
              <w:bottom w:val="nil"/>
              <w:right w:val="single" w:sz="8" w:space="0" w:color="auto"/>
            </w:tcBorders>
            <w:shd w:val="clear" w:color="auto" w:fill="auto"/>
            <w:vAlign w:val="bottom"/>
            <w:hideMark/>
          </w:tcPr>
          <w:p w14:paraId="05A3C953"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3D1BF835" w14:textId="77777777" w:rsidTr="00A842D0">
        <w:trPr>
          <w:trHeight w:val="252"/>
        </w:trPr>
        <w:tc>
          <w:tcPr>
            <w:tcW w:w="425" w:type="dxa"/>
            <w:tcBorders>
              <w:top w:val="nil"/>
              <w:left w:val="single" w:sz="8" w:space="0" w:color="auto"/>
              <w:bottom w:val="nil"/>
              <w:right w:val="nil"/>
            </w:tcBorders>
            <w:shd w:val="clear" w:color="auto" w:fill="auto"/>
            <w:hideMark/>
          </w:tcPr>
          <w:p w14:paraId="7DC4422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25</w:t>
            </w:r>
          </w:p>
        </w:tc>
        <w:tc>
          <w:tcPr>
            <w:tcW w:w="7165" w:type="dxa"/>
            <w:tcBorders>
              <w:top w:val="nil"/>
              <w:left w:val="nil"/>
              <w:bottom w:val="nil"/>
              <w:right w:val="nil"/>
            </w:tcBorders>
            <w:shd w:val="clear" w:color="auto" w:fill="auto"/>
            <w:hideMark/>
          </w:tcPr>
          <w:p w14:paraId="6D2BAB0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Economic Development</w:t>
            </w:r>
          </w:p>
        </w:tc>
        <w:tc>
          <w:tcPr>
            <w:tcW w:w="1398" w:type="dxa"/>
            <w:tcBorders>
              <w:top w:val="nil"/>
              <w:left w:val="single" w:sz="4" w:space="0" w:color="auto"/>
              <w:bottom w:val="nil"/>
              <w:right w:val="single" w:sz="8" w:space="0" w:color="auto"/>
            </w:tcBorders>
            <w:shd w:val="clear" w:color="auto" w:fill="auto"/>
            <w:vAlign w:val="bottom"/>
            <w:hideMark/>
          </w:tcPr>
          <w:p w14:paraId="3F4E6240"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55,750  </w:t>
            </w:r>
          </w:p>
        </w:tc>
      </w:tr>
      <w:tr w:rsidR="004A527C" w:rsidRPr="001869B0" w14:paraId="5CBE7C5C" w14:textId="77777777" w:rsidTr="00A842D0">
        <w:trPr>
          <w:trHeight w:val="252"/>
        </w:trPr>
        <w:tc>
          <w:tcPr>
            <w:tcW w:w="425" w:type="dxa"/>
            <w:tcBorders>
              <w:top w:val="nil"/>
              <w:left w:val="single" w:sz="8" w:space="0" w:color="auto"/>
              <w:bottom w:val="nil"/>
              <w:right w:val="nil"/>
            </w:tcBorders>
            <w:shd w:val="clear" w:color="auto" w:fill="auto"/>
            <w:hideMark/>
          </w:tcPr>
          <w:p w14:paraId="750DE39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30E2007D"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 xml:space="preserve"> R54.250 million from the Tirisano Construction Fund Trusts and R1.5 million from compensation of employees</w:t>
            </w:r>
          </w:p>
        </w:tc>
        <w:tc>
          <w:tcPr>
            <w:tcW w:w="1398" w:type="dxa"/>
            <w:tcBorders>
              <w:top w:val="nil"/>
              <w:left w:val="single" w:sz="4" w:space="0" w:color="auto"/>
              <w:bottom w:val="nil"/>
              <w:right w:val="single" w:sz="8" w:space="0" w:color="auto"/>
            </w:tcBorders>
            <w:shd w:val="clear" w:color="auto" w:fill="auto"/>
            <w:vAlign w:val="bottom"/>
            <w:hideMark/>
          </w:tcPr>
          <w:p w14:paraId="69397806"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76FC33BD" w14:textId="77777777" w:rsidTr="00A842D0">
        <w:trPr>
          <w:trHeight w:val="252"/>
        </w:trPr>
        <w:tc>
          <w:tcPr>
            <w:tcW w:w="425" w:type="dxa"/>
            <w:tcBorders>
              <w:top w:val="nil"/>
              <w:left w:val="single" w:sz="8" w:space="0" w:color="auto"/>
              <w:bottom w:val="nil"/>
              <w:right w:val="nil"/>
            </w:tcBorders>
            <w:shd w:val="clear" w:color="auto" w:fill="auto"/>
            <w:hideMark/>
          </w:tcPr>
          <w:p w14:paraId="12B5AAC5"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26</w:t>
            </w:r>
          </w:p>
        </w:tc>
        <w:tc>
          <w:tcPr>
            <w:tcW w:w="7165" w:type="dxa"/>
            <w:tcBorders>
              <w:top w:val="nil"/>
              <w:left w:val="nil"/>
              <w:bottom w:val="nil"/>
              <w:right w:val="nil"/>
            </w:tcBorders>
            <w:shd w:val="clear" w:color="auto" w:fill="auto"/>
            <w:hideMark/>
          </w:tcPr>
          <w:p w14:paraId="5E64F6C5"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Energy</w:t>
            </w:r>
          </w:p>
        </w:tc>
        <w:tc>
          <w:tcPr>
            <w:tcW w:w="1398" w:type="dxa"/>
            <w:tcBorders>
              <w:top w:val="nil"/>
              <w:left w:val="single" w:sz="4" w:space="0" w:color="auto"/>
              <w:bottom w:val="nil"/>
              <w:right w:val="single" w:sz="8" w:space="0" w:color="auto"/>
            </w:tcBorders>
            <w:shd w:val="clear" w:color="auto" w:fill="auto"/>
            <w:vAlign w:val="bottom"/>
            <w:hideMark/>
          </w:tcPr>
          <w:p w14:paraId="625BCE0A"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256,464  </w:t>
            </w:r>
          </w:p>
        </w:tc>
      </w:tr>
      <w:tr w:rsidR="004A527C" w:rsidRPr="001869B0" w14:paraId="27071D69" w14:textId="77777777" w:rsidTr="00A842D0">
        <w:trPr>
          <w:trHeight w:val="506"/>
        </w:trPr>
        <w:tc>
          <w:tcPr>
            <w:tcW w:w="425" w:type="dxa"/>
            <w:tcBorders>
              <w:top w:val="nil"/>
              <w:left w:val="single" w:sz="8" w:space="0" w:color="auto"/>
              <w:bottom w:val="nil"/>
              <w:right w:val="nil"/>
            </w:tcBorders>
            <w:shd w:val="clear" w:color="auto" w:fill="auto"/>
            <w:hideMark/>
          </w:tcPr>
          <w:p w14:paraId="4459DF42"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46D6BBB8"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R250 million from the Eskom's integrated national electrification programme, R3.914 million from compensation of employees, R2.269 million from goods and services, and R281 000 from payments for capital assets</w:t>
            </w:r>
          </w:p>
        </w:tc>
        <w:tc>
          <w:tcPr>
            <w:tcW w:w="1398" w:type="dxa"/>
            <w:tcBorders>
              <w:top w:val="nil"/>
              <w:left w:val="single" w:sz="4" w:space="0" w:color="auto"/>
              <w:bottom w:val="nil"/>
              <w:right w:val="single" w:sz="8" w:space="0" w:color="auto"/>
            </w:tcBorders>
            <w:shd w:val="clear" w:color="auto" w:fill="auto"/>
            <w:vAlign w:val="bottom"/>
            <w:hideMark/>
          </w:tcPr>
          <w:p w14:paraId="36EC6C65"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1A87A228" w14:textId="77777777" w:rsidTr="00A842D0">
        <w:trPr>
          <w:trHeight w:val="252"/>
        </w:trPr>
        <w:tc>
          <w:tcPr>
            <w:tcW w:w="425" w:type="dxa"/>
            <w:tcBorders>
              <w:top w:val="nil"/>
              <w:left w:val="single" w:sz="8" w:space="0" w:color="auto"/>
              <w:bottom w:val="nil"/>
              <w:right w:val="nil"/>
            </w:tcBorders>
            <w:shd w:val="clear" w:color="auto" w:fill="auto"/>
            <w:hideMark/>
          </w:tcPr>
          <w:p w14:paraId="56FFF9E5"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27</w:t>
            </w:r>
          </w:p>
        </w:tc>
        <w:tc>
          <w:tcPr>
            <w:tcW w:w="7165" w:type="dxa"/>
            <w:tcBorders>
              <w:top w:val="nil"/>
              <w:left w:val="nil"/>
              <w:bottom w:val="nil"/>
              <w:right w:val="nil"/>
            </w:tcBorders>
            <w:shd w:val="clear" w:color="auto" w:fill="auto"/>
            <w:hideMark/>
          </w:tcPr>
          <w:p w14:paraId="35229B3C"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Environmental Affairs</w:t>
            </w:r>
          </w:p>
        </w:tc>
        <w:tc>
          <w:tcPr>
            <w:tcW w:w="1398" w:type="dxa"/>
            <w:tcBorders>
              <w:top w:val="nil"/>
              <w:left w:val="single" w:sz="4" w:space="0" w:color="auto"/>
              <w:bottom w:val="nil"/>
              <w:right w:val="single" w:sz="8" w:space="0" w:color="auto"/>
            </w:tcBorders>
            <w:shd w:val="clear" w:color="auto" w:fill="auto"/>
            <w:vAlign w:val="bottom"/>
            <w:hideMark/>
          </w:tcPr>
          <w:p w14:paraId="0BAA2CDC"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50,000  </w:t>
            </w:r>
          </w:p>
        </w:tc>
      </w:tr>
      <w:tr w:rsidR="004A527C" w:rsidRPr="001869B0" w14:paraId="3D331F24" w14:textId="77777777" w:rsidTr="00A842D0">
        <w:trPr>
          <w:trHeight w:val="252"/>
        </w:trPr>
        <w:tc>
          <w:tcPr>
            <w:tcW w:w="425" w:type="dxa"/>
            <w:tcBorders>
              <w:top w:val="nil"/>
              <w:left w:val="single" w:sz="8" w:space="0" w:color="auto"/>
              <w:bottom w:val="nil"/>
              <w:right w:val="nil"/>
            </w:tcBorders>
            <w:shd w:val="clear" w:color="auto" w:fill="auto"/>
            <w:hideMark/>
          </w:tcPr>
          <w:p w14:paraId="60648EC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0CC6559E"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R50 million from the Development Bank of Southern Africa's Green Fund</w:t>
            </w:r>
          </w:p>
        </w:tc>
        <w:tc>
          <w:tcPr>
            <w:tcW w:w="1398" w:type="dxa"/>
            <w:tcBorders>
              <w:top w:val="nil"/>
              <w:left w:val="single" w:sz="4" w:space="0" w:color="auto"/>
              <w:bottom w:val="nil"/>
              <w:right w:val="single" w:sz="8" w:space="0" w:color="auto"/>
            </w:tcBorders>
            <w:shd w:val="clear" w:color="auto" w:fill="auto"/>
            <w:vAlign w:val="bottom"/>
            <w:hideMark/>
          </w:tcPr>
          <w:p w14:paraId="2FCF4266"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75AB2598" w14:textId="77777777" w:rsidTr="00A842D0">
        <w:trPr>
          <w:trHeight w:val="252"/>
        </w:trPr>
        <w:tc>
          <w:tcPr>
            <w:tcW w:w="425" w:type="dxa"/>
            <w:tcBorders>
              <w:top w:val="nil"/>
              <w:left w:val="single" w:sz="8" w:space="0" w:color="auto"/>
              <w:bottom w:val="nil"/>
              <w:right w:val="nil"/>
            </w:tcBorders>
            <w:shd w:val="clear" w:color="auto" w:fill="auto"/>
            <w:hideMark/>
          </w:tcPr>
          <w:p w14:paraId="6D3E8AFB"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28</w:t>
            </w:r>
          </w:p>
        </w:tc>
        <w:tc>
          <w:tcPr>
            <w:tcW w:w="7165" w:type="dxa"/>
            <w:tcBorders>
              <w:top w:val="nil"/>
              <w:left w:val="nil"/>
              <w:bottom w:val="nil"/>
              <w:right w:val="nil"/>
            </w:tcBorders>
            <w:shd w:val="clear" w:color="auto" w:fill="auto"/>
            <w:hideMark/>
          </w:tcPr>
          <w:p w14:paraId="1366B666"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Labour</w:t>
            </w:r>
          </w:p>
        </w:tc>
        <w:tc>
          <w:tcPr>
            <w:tcW w:w="1398" w:type="dxa"/>
            <w:tcBorders>
              <w:top w:val="nil"/>
              <w:left w:val="single" w:sz="4" w:space="0" w:color="auto"/>
              <w:bottom w:val="nil"/>
              <w:right w:val="single" w:sz="8" w:space="0" w:color="auto"/>
            </w:tcBorders>
            <w:shd w:val="clear" w:color="auto" w:fill="auto"/>
            <w:vAlign w:val="bottom"/>
            <w:hideMark/>
          </w:tcPr>
          <w:p w14:paraId="66701A3B"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1,934  </w:t>
            </w:r>
          </w:p>
        </w:tc>
      </w:tr>
      <w:tr w:rsidR="004A527C" w:rsidRPr="001869B0" w14:paraId="63BDC32D" w14:textId="77777777" w:rsidTr="00A842D0">
        <w:trPr>
          <w:trHeight w:val="252"/>
        </w:trPr>
        <w:tc>
          <w:tcPr>
            <w:tcW w:w="425" w:type="dxa"/>
            <w:tcBorders>
              <w:top w:val="nil"/>
              <w:left w:val="single" w:sz="8" w:space="0" w:color="auto"/>
              <w:bottom w:val="nil"/>
              <w:right w:val="nil"/>
            </w:tcBorders>
            <w:shd w:val="clear" w:color="auto" w:fill="auto"/>
            <w:hideMark/>
          </w:tcPr>
          <w:p w14:paraId="41CE221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1BFEBF86"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R1.934 million from compensation of employees</w:t>
            </w:r>
          </w:p>
        </w:tc>
        <w:tc>
          <w:tcPr>
            <w:tcW w:w="1398" w:type="dxa"/>
            <w:tcBorders>
              <w:top w:val="nil"/>
              <w:left w:val="single" w:sz="4" w:space="0" w:color="auto"/>
              <w:bottom w:val="nil"/>
              <w:right w:val="single" w:sz="8" w:space="0" w:color="auto"/>
            </w:tcBorders>
            <w:shd w:val="clear" w:color="auto" w:fill="auto"/>
            <w:vAlign w:val="bottom"/>
            <w:hideMark/>
          </w:tcPr>
          <w:p w14:paraId="17063220"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0019AE58" w14:textId="77777777" w:rsidTr="00A842D0">
        <w:trPr>
          <w:trHeight w:val="252"/>
        </w:trPr>
        <w:tc>
          <w:tcPr>
            <w:tcW w:w="425" w:type="dxa"/>
            <w:tcBorders>
              <w:top w:val="nil"/>
              <w:left w:val="single" w:sz="8" w:space="0" w:color="auto"/>
              <w:bottom w:val="nil"/>
              <w:right w:val="nil"/>
            </w:tcBorders>
            <w:shd w:val="clear" w:color="auto" w:fill="auto"/>
            <w:hideMark/>
          </w:tcPr>
          <w:p w14:paraId="01F56F1E"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29</w:t>
            </w:r>
          </w:p>
        </w:tc>
        <w:tc>
          <w:tcPr>
            <w:tcW w:w="7165" w:type="dxa"/>
            <w:tcBorders>
              <w:top w:val="nil"/>
              <w:left w:val="nil"/>
              <w:bottom w:val="nil"/>
              <w:right w:val="nil"/>
            </w:tcBorders>
            <w:shd w:val="clear" w:color="auto" w:fill="auto"/>
            <w:hideMark/>
          </w:tcPr>
          <w:p w14:paraId="3FB4763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Mineral Resources</w:t>
            </w:r>
          </w:p>
        </w:tc>
        <w:tc>
          <w:tcPr>
            <w:tcW w:w="1398" w:type="dxa"/>
            <w:tcBorders>
              <w:top w:val="nil"/>
              <w:left w:val="single" w:sz="4" w:space="0" w:color="auto"/>
              <w:bottom w:val="nil"/>
              <w:right w:val="single" w:sz="8" w:space="0" w:color="auto"/>
            </w:tcBorders>
            <w:shd w:val="clear" w:color="auto" w:fill="auto"/>
            <w:vAlign w:val="bottom"/>
            <w:hideMark/>
          </w:tcPr>
          <w:p w14:paraId="0928DFA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3,000  </w:t>
            </w:r>
          </w:p>
        </w:tc>
      </w:tr>
      <w:tr w:rsidR="004A527C" w:rsidRPr="001869B0" w14:paraId="32459DE8" w14:textId="77777777" w:rsidTr="00A842D0">
        <w:trPr>
          <w:trHeight w:val="252"/>
        </w:trPr>
        <w:tc>
          <w:tcPr>
            <w:tcW w:w="425" w:type="dxa"/>
            <w:tcBorders>
              <w:top w:val="nil"/>
              <w:left w:val="single" w:sz="8" w:space="0" w:color="auto"/>
              <w:bottom w:val="nil"/>
              <w:right w:val="nil"/>
            </w:tcBorders>
            <w:shd w:val="clear" w:color="auto" w:fill="auto"/>
            <w:hideMark/>
          </w:tcPr>
          <w:p w14:paraId="744205C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23E5DDF9"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 3 million from the Industrial Development Corporation</w:t>
            </w:r>
          </w:p>
        </w:tc>
        <w:tc>
          <w:tcPr>
            <w:tcW w:w="1398" w:type="dxa"/>
            <w:tcBorders>
              <w:top w:val="nil"/>
              <w:left w:val="single" w:sz="4" w:space="0" w:color="auto"/>
              <w:bottom w:val="nil"/>
              <w:right w:val="single" w:sz="8" w:space="0" w:color="auto"/>
            </w:tcBorders>
            <w:shd w:val="clear" w:color="auto" w:fill="auto"/>
            <w:vAlign w:val="bottom"/>
            <w:hideMark/>
          </w:tcPr>
          <w:p w14:paraId="44815FD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7BAB8EB0" w14:textId="77777777" w:rsidTr="00A842D0">
        <w:trPr>
          <w:trHeight w:val="252"/>
        </w:trPr>
        <w:tc>
          <w:tcPr>
            <w:tcW w:w="425" w:type="dxa"/>
            <w:tcBorders>
              <w:top w:val="nil"/>
              <w:left w:val="single" w:sz="8" w:space="0" w:color="auto"/>
              <w:bottom w:val="nil"/>
              <w:right w:val="nil"/>
            </w:tcBorders>
            <w:shd w:val="clear" w:color="auto" w:fill="auto"/>
            <w:hideMark/>
          </w:tcPr>
          <w:p w14:paraId="33C7A3F9"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30</w:t>
            </w:r>
          </w:p>
        </w:tc>
        <w:tc>
          <w:tcPr>
            <w:tcW w:w="7165" w:type="dxa"/>
            <w:tcBorders>
              <w:top w:val="nil"/>
              <w:left w:val="nil"/>
              <w:bottom w:val="nil"/>
              <w:right w:val="nil"/>
            </w:tcBorders>
            <w:shd w:val="clear" w:color="auto" w:fill="auto"/>
            <w:hideMark/>
          </w:tcPr>
          <w:p w14:paraId="0CEA675E"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Science and Technology</w:t>
            </w:r>
          </w:p>
        </w:tc>
        <w:tc>
          <w:tcPr>
            <w:tcW w:w="1398" w:type="dxa"/>
            <w:tcBorders>
              <w:top w:val="nil"/>
              <w:left w:val="single" w:sz="4" w:space="0" w:color="auto"/>
              <w:bottom w:val="nil"/>
              <w:right w:val="single" w:sz="8" w:space="0" w:color="auto"/>
            </w:tcBorders>
            <w:shd w:val="clear" w:color="auto" w:fill="auto"/>
            <w:vAlign w:val="bottom"/>
            <w:hideMark/>
          </w:tcPr>
          <w:p w14:paraId="178C47C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4,793  </w:t>
            </w:r>
          </w:p>
        </w:tc>
      </w:tr>
      <w:tr w:rsidR="004A527C" w:rsidRPr="001869B0" w14:paraId="5A1A5EF1" w14:textId="77777777" w:rsidTr="00A842D0">
        <w:trPr>
          <w:trHeight w:val="252"/>
        </w:trPr>
        <w:tc>
          <w:tcPr>
            <w:tcW w:w="425" w:type="dxa"/>
            <w:tcBorders>
              <w:top w:val="nil"/>
              <w:left w:val="single" w:sz="8" w:space="0" w:color="auto"/>
              <w:bottom w:val="nil"/>
              <w:right w:val="nil"/>
            </w:tcBorders>
            <w:shd w:val="clear" w:color="auto" w:fill="auto"/>
            <w:hideMark/>
          </w:tcPr>
          <w:p w14:paraId="7F8DE28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013776B6"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R4.793 million from compensation of employees</w:t>
            </w:r>
          </w:p>
        </w:tc>
        <w:tc>
          <w:tcPr>
            <w:tcW w:w="1398" w:type="dxa"/>
            <w:tcBorders>
              <w:top w:val="nil"/>
              <w:left w:val="single" w:sz="4" w:space="0" w:color="auto"/>
              <w:bottom w:val="nil"/>
              <w:right w:val="single" w:sz="8" w:space="0" w:color="auto"/>
            </w:tcBorders>
            <w:shd w:val="clear" w:color="auto" w:fill="auto"/>
            <w:vAlign w:val="bottom"/>
            <w:hideMark/>
          </w:tcPr>
          <w:p w14:paraId="47D1E3BB"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5F967297" w14:textId="77777777" w:rsidTr="00A842D0">
        <w:trPr>
          <w:trHeight w:val="252"/>
        </w:trPr>
        <w:tc>
          <w:tcPr>
            <w:tcW w:w="425" w:type="dxa"/>
            <w:tcBorders>
              <w:top w:val="nil"/>
              <w:left w:val="single" w:sz="8" w:space="0" w:color="auto"/>
              <w:bottom w:val="nil"/>
              <w:right w:val="nil"/>
            </w:tcBorders>
            <w:shd w:val="clear" w:color="auto" w:fill="auto"/>
            <w:hideMark/>
          </w:tcPr>
          <w:p w14:paraId="40B918F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31</w:t>
            </w:r>
          </w:p>
        </w:tc>
        <w:tc>
          <w:tcPr>
            <w:tcW w:w="7165" w:type="dxa"/>
            <w:tcBorders>
              <w:top w:val="nil"/>
              <w:left w:val="nil"/>
              <w:bottom w:val="nil"/>
              <w:right w:val="nil"/>
            </w:tcBorders>
            <w:shd w:val="clear" w:color="auto" w:fill="auto"/>
            <w:hideMark/>
          </w:tcPr>
          <w:p w14:paraId="17FFBEA2"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Small Business development</w:t>
            </w:r>
          </w:p>
        </w:tc>
        <w:tc>
          <w:tcPr>
            <w:tcW w:w="1398" w:type="dxa"/>
            <w:tcBorders>
              <w:top w:val="nil"/>
              <w:left w:val="single" w:sz="4" w:space="0" w:color="auto"/>
              <w:bottom w:val="nil"/>
              <w:right w:val="single" w:sz="8" w:space="0" w:color="auto"/>
            </w:tcBorders>
            <w:shd w:val="clear" w:color="auto" w:fill="auto"/>
            <w:vAlign w:val="bottom"/>
            <w:hideMark/>
          </w:tcPr>
          <w:p w14:paraId="49410CD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300,000  </w:t>
            </w:r>
          </w:p>
        </w:tc>
      </w:tr>
      <w:tr w:rsidR="004A527C" w:rsidRPr="001869B0" w14:paraId="32949826" w14:textId="77777777" w:rsidTr="00A842D0">
        <w:trPr>
          <w:trHeight w:val="252"/>
        </w:trPr>
        <w:tc>
          <w:tcPr>
            <w:tcW w:w="425" w:type="dxa"/>
            <w:tcBorders>
              <w:top w:val="nil"/>
              <w:left w:val="single" w:sz="8" w:space="0" w:color="auto"/>
              <w:bottom w:val="nil"/>
              <w:right w:val="nil"/>
            </w:tcBorders>
            <w:shd w:val="clear" w:color="auto" w:fill="auto"/>
            <w:hideMark/>
          </w:tcPr>
          <w:p w14:paraId="29B6E692"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68B82F1A"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R300 million from the Small Enterprise Finance Agency's Small Business and Innovation Fund</w:t>
            </w:r>
          </w:p>
        </w:tc>
        <w:tc>
          <w:tcPr>
            <w:tcW w:w="1398" w:type="dxa"/>
            <w:tcBorders>
              <w:top w:val="nil"/>
              <w:left w:val="single" w:sz="4" w:space="0" w:color="auto"/>
              <w:bottom w:val="nil"/>
              <w:right w:val="single" w:sz="8" w:space="0" w:color="auto"/>
            </w:tcBorders>
            <w:shd w:val="clear" w:color="auto" w:fill="auto"/>
            <w:vAlign w:val="bottom"/>
            <w:hideMark/>
          </w:tcPr>
          <w:p w14:paraId="7CF3DDE5"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69581149" w14:textId="77777777" w:rsidTr="00A842D0">
        <w:trPr>
          <w:trHeight w:val="252"/>
        </w:trPr>
        <w:tc>
          <w:tcPr>
            <w:tcW w:w="425" w:type="dxa"/>
            <w:tcBorders>
              <w:top w:val="nil"/>
              <w:left w:val="single" w:sz="8" w:space="0" w:color="auto"/>
              <w:bottom w:val="nil"/>
              <w:right w:val="nil"/>
            </w:tcBorders>
            <w:shd w:val="clear" w:color="auto" w:fill="auto"/>
            <w:hideMark/>
          </w:tcPr>
          <w:p w14:paraId="099DAA52"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34</w:t>
            </w:r>
          </w:p>
        </w:tc>
        <w:tc>
          <w:tcPr>
            <w:tcW w:w="7165" w:type="dxa"/>
            <w:tcBorders>
              <w:top w:val="nil"/>
              <w:left w:val="nil"/>
              <w:bottom w:val="nil"/>
              <w:right w:val="nil"/>
            </w:tcBorders>
            <w:shd w:val="clear" w:color="auto" w:fill="auto"/>
            <w:hideMark/>
          </w:tcPr>
          <w:p w14:paraId="009BCE5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Trade and Industry</w:t>
            </w:r>
          </w:p>
        </w:tc>
        <w:tc>
          <w:tcPr>
            <w:tcW w:w="1398" w:type="dxa"/>
            <w:tcBorders>
              <w:top w:val="nil"/>
              <w:left w:val="single" w:sz="4" w:space="0" w:color="auto"/>
              <w:bottom w:val="nil"/>
              <w:right w:val="single" w:sz="8" w:space="0" w:color="auto"/>
            </w:tcBorders>
            <w:shd w:val="clear" w:color="auto" w:fill="auto"/>
            <w:vAlign w:val="bottom"/>
            <w:hideMark/>
          </w:tcPr>
          <w:p w14:paraId="74472B6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50,000  </w:t>
            </w:r>
          </w:p>
        </w:tc>
      </w:tr>
      <w:tr w:rsidR="004A527C" w:rsidRPr="001869B0" w14:paraId="73FCD3E6" w14:textId="77777777" w:rsidTr="00A842D0">
        <w:trPr>
          <w:trHeight w:val="252"/>
        </w:trPr>
        <w:tc>
          <w:tcPr>
            <w:tcW w:w="425" w:type="dxa"/>
            <w:tcBorders>
              <w:top w:val="nil"/>
              <w:left w:val="single" w:sz="8" w:space="0" w:color="auto"/>
              <w:bottom w:val="nil"/>
              <w:right w:val="nil"/>
            </w:tcBorders>
            <w:shd w:val="clear" w:color="auto" w:fill="auto"/>
            <w:hideMark/>
          </w:tcPr>
          <w:p w14:paraId="729C1C3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69F39677"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R50 million from manufacturing development incentives</w:t>
            </w:r>
          </w:p>
        </w:tc>
        <w:tc>
          <w:tcPr>
            <w:tcW w:w="1398" w:type="dxa"/>
            <w:tcBorders>
              <w:top w:val="nil"/>
              <w:left w:val="single" w:sz="4" w:space="0" w:color="auto"/>
              <w:bottom w:val="nil"/>
              <w:right w:val="single" w:sz="8" w:space="0" w:color="auto"/>
            </w:tcBorders>
            <w:shd w:val="clear" w:color="auto" w:fill="auto"/>
            <w:vAlign w:val="bottom"/>
            <w:hideMark/>
          </w:tcPr>
          <w:p w14:paraId="40E03277"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0D4421D4" w14:textId="77777777" w:rsidTr="00A842D0">
        <w:trPr>
          <w:trHeight w:val="252"/>
        </w:trPr>
        <w:tc>
          <w:tcPr>
            <w:tcW w:w="425" w:type="dxa"/>
            <w:tcBorders>
              <w:top w:val="nil"/>
              <w:left w:val="single" w:sz="8" w:space="0" w:color="auto"/>
              <w:bottom w:val="nil"/>
              <w:right w:val="nil"/>
            </w:tcBorders>
            <w:shd w:val="clear" w:color="auto" w:fill="auto"/>
            <w:hideMark/>
          </w:tcPr>
          <w:p w14:paraId="455A0222"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35</w:t>
            </w:r>
          </w:p>
        </w:tc>
        <w:tc>
          <w:tcPr>
            <w:tcW w:w="7165" w:type="dxa"/>
            <w:tcBorders>
              <w:top w:val="nil"/>
              <w:left w:val="nil"/>
              <w:bottom w:val="nil"/>
              <w:right w:val="nil"/>
            </w:tcBorders>
            <w:shd w:val="clear" w:color="auto" w:fill="auto"/>
            <w:noWrap/>
            <w:hideMark/>
          </w:tcPr>
          <w:p w14:paraId="2910BBA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Transport</w:t>
            </w:r>
          </w:p>
        </w:tc>
        <w:tc>
          <w:tcPr>
            <w:tcW w:w="1398" w:type="dxa"/>
            <w:tcBorders>
              <w:top w:val="nil"/>
              <w:left w:val="single" w:sz="4" w:space="0" w:color="auto"/>
              <w:bottom w:val="nil"/>
              <w:right w:val="single" w:sz="8" w:space="0" w:color="auto"/>
            </w:tcBorders>
            <w:shd w:val="clear" w:color="auto" w:fill="auto"/>
            <w:vAlign w:val="bottom"/>
            <w:hideMark/>
          </w:tcPr>
          <w:p w14:paraId="01FACAD6"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49,779  </w:t>
            </w:r>
          </w:p>
        </w:tc>
      </w:tr>
      <w:tr w:rsidR="004A527C" w:rsidRPr="001869B0" w14:paraId="772B780D" w14:textId="77777777" w:rsidTr="00A842D0">
        <w:trPr>
          <w:trHeight w:val="252"/>
        </w:trPr>
        <w:tc>
          <w:tcPr>
            <w:tcW w:w="425" w:type="dxa"/>
            <w:tcBorders>
              <w:top w:val="nil"/>
              <w:left w:val="single" w:sz="8" w:space="0" w:color="auto"/>
              <w:bottom w:val="nil"/>
              <w:right w:val="nil"/>
            </w:tcBorders>
            <w:shd w:val="clear" w:color="auto" w:fill="auto"/>
            <w:hideMark/>
          </w:tcPr>
          <w:p w14:paraId="09D26A55"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6845FEB5"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R29.779 million from compensation of employees and R20 million from other transfers to households</w:t>
            </w:r>
          </w:p>
        </w:tc>
        <w:tc>
          <w:tcPr>
            <w:tcW w:w="1398" w:type="dxa"/>
            <w:tcBorders>
              <w:top w:val="nil"/>
              <w:left w:val="single" w:sz="4" w:space="0" w:color="auto"/>
              <w:bottom w:val="nil"/>
              <w:right w:val="single" w:sz="8" w:space="0" w:color="auto"/>
            </w:tcBorders>
            <w:shd w:val="clear" w:color="auto" w:fill="auto"/>
            <w:vAlign w:val="bottom"/>
            <w:hideMark/>
          </w:tcPr>
          <w:p w14:paraId="60494D68"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02A9FF86" w14:textId="77777777" w:rsidTr="00A842D0">
        <w:trPr>
          <w:trHeight w:val="252"/>
        </w:trPr>
        <w:tc>
          <w:tcPr>
            <w:tcW w:w="425" w:type="dxa"/>
            <w:tcBorders>
              <w:top w:val="nil"/>
              <w:left w:val="single" w:sz="8" w:space="0" w:color="auto"/>
              <w:bottom w:val="nil"/>
              <w:right w:val="nil"/>
            </w:tcBorders>
            <w:shd w:val="clear" w:color="auto" w:fill="auto"/>
            <w:hideMark/>
          </w:tcPr>
          <w:p w14:paraId="59A992CB"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36</w:t>
            </w:r>
          </w:p>
        </w:tc>
        <w:tc>
          <w:tcPr>
            <w:tcW w:w="7165" w:type="dxa"/>
            <w:tcBorders>
              <w:top w:val="nil"/>
              <w:left w:val="nil"/>
              <w:bottom w:val="nil"/>
              <w:right w:val="nil"/>
            </w:tcBorders>
            <w:shd w:val="clear" w:color="auto" w:fill="auto"/>
            <w:noWrap/>
            <w:hideMark/>
          </w:tcPr>
          <w:p w14:paraId="59714A30"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Water and Sanitation</w:t>
            </w:r>
          </w:p>
        </w:tc>
        <w:tc>
          <w:tcPr>
            <w:tcW w:w="1398" w:type="dxa"/>
            <w:tcBorders>
              <w:top w:val="nil"/>
              <w:left w:val="single" w:sz="4" w:space="0" w:color="auto"/>
              <w:bottom w:val="nil"/>
              <w:right w:val="single" w:sz="8" w:space="0" w:color="auto"/>
            </w:tcBorders>
            <w:shd w:val="clear" w:color="auto" w:fill="auto"/>
            <w:vAlign w:val="bottom"/>
            <w:hideMark/>
          </w:tcPr>
          <w:p w14:paraId="6A380879"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215,000  </w:t>
            </w:r>
          </w:p>
        </w:tc>
      </w:tr>
      <w:tr w:rsidR="004A527C" w:rsidRPr="001869B0" w14:paraId="3F181B12" w14:textId="77777777" w:rsidTr="00A842D0">
        <w:trPr>
          <w:trHeight w:val="252"/>
        </w:trPr>
        <w:tc>
          <w:tcPr>
            <w:tcW w:w="425" w:type="dxa"/>
            <w:tcBorders>
              <w:top w:val="nil"/>
              <w:left w:val="single" w:sz="8" w:space="0" w:color="auto"/>
              <w:bottom w:val="nil"/>
              <w:right w:val="nil"/>
            </w:tcBorders>
            <w:shd w:val="clear" w:color="auto" w:fill="auto"/>
            <w:hideMark/>
          </w:tcPr>
          <w:p w14:paraId="4EBC6AEE"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2D5F0F98"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R30 million from compensation of employees and R185 million from the regional bulk infrastructure indirect grant</w:t>
            </w:r>
          </w:p>
        </w:tc>
        <w:tc>
          <w:tcPr>
            <w:tcW w:w="1398" w:type="dxa"/>
            <w:tcBorders>
              <w:top w:val="nil"/>
              <w:left w:val="single" w:sz="4" w:space="0" w:color="auto"/>
              <w:bottom w:val="nil"/>
              <w:right w:val="single" w:sz="8" w:space="0" w:color="auto"/>
            </w:tcBorders>
            <w:shd w:val="clear" w:color="auto" w:fill="auto"/>
            <w:vAlign w:val="bottom"/>
            <w:hideMark/>
          </w:tcPr>
          <w:p w14:paraId="32E6109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61E98531" w14:textId="77777777" w:rsidTr="00A842D0">
        <w:trPr>
          <w:trHeight w:val="252"/>
        </w:trPr>
        <w:tc>
          <w:tcPr>
            <w:tcW w:w="425" w:type="dxa"/>
            <w:tcBorders>
              <w:top w:val="nil"/>
              <w:left w:val="single" w:sz="8" w:space="0" w:color="auto"/>
              <w:bottom w:val="nil"/>
              <w:right w:val="nil"/>
            </w:tcBorders>
            <w:shd w:val="clear" w:color="auto" w:fill="auto"/>
            <w:hideMark/>
          </w:tcPr>
          <w:p w14:paraId="1AD358A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37</w:t>
            </w:r>
          </w:p>
        </w:tc>
        <w:tc>
          <w:tcPr>
            <w:tcW w:w="7165" w:type="dxa"/>
            <w:tcBorders>
              <w:top w:val="nil"/>
              <w:left w:val="nil"/>
              <w:bottom w:val="nil"/>
              <w:right w:val="nil"/>
            </w:tcBorders>
            <w:shd w:val="clear" w:color="auto" w:fill="auto"/>
            <w:noWrap/>
            <w:hideMark/>
          </w:tcPr>
          <w:p w14:paraId="38FDEE9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Arts and Culture</w:t>
            </w:r>
          </w:p>
        </w:tc>
        <w:tc>
          <w:tcPr>
            <w:tcW w:w="1398" w:type="dxa"/>
            <w:tcBorders>
              <w:top w:val="nil"/>
              <w:left w:val="single" w:sz="4" w:space="0" w:color="auto"/>
              <w:bottom w:val="nil"/>
              <w:right w:val="single" w:sz="8" w:space="0" w:color="auto"/>
            </w:tcBorders>
            <w:shd w:val="clear" w:color="auto" w:fill="auto"/>
            <w:vAlign w:val="bottom"/>
            <w:hideMark/>
          </w:tcPr>
          <w:p w14:paraId="00B604F9"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45,400  </w:t>
            </w:r>
          </w:p>
        </w:tc>
      </w:tr>
      <w:tr w:rsidR="004A527C" w:rsidRPr="001869B0" w14:paraId="59DA938D" w14:textId="77777777" w:rsidTr="00A842D0">
        <w:trPr>
          <w:trHeight w:val="252"/>
        </w:trPr>
        <w:tc>
          <w:tcPr>
            <w:tcW w:w="425" w:type="dxa"/>
            <w:tcBorders>
              <w:top w:val="nil"/>
              <w:left w:val="single" w:sz="8" w:space="0" w:color="auto"/>
              <w:bottom w:val="nil"/>
              <w:right w:val="nil"/>
            </w:tcBorders>
            <w:shd w:val="clear" w:color="auto" w:fill="auto"/>
            <w:hideMark/>
          </w:tcPr>
          <w:p w14:paraId="56A7A69B"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78AF6CA2"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R40 million from capital works projects and R5.4 million from compensation of employees</w:t>
            </w:r>
          </w:p>
        </w:tc>
        <w:tc>
          <w:tcPr>
            <w:tcW w:w="1398" w:type="dxa"/>
            <w:tcBorders>
              <w:top w:val="nil"/>
              <w:left w:val="single" w:sz="4" w:space="0" w:color="auto"/>
              <w:bottom w:val="nil"/>
              <w:right w:val="single" w:sz="8" w:space="0" w:color="auto"/>
            </w:tcBorders>
            <w:shd w:val="clear" w:color="auto" w:fill="auto"/>
            <w:vAlign w:val="bottom"/>
            <w:hideMark/>
          </w:tcPr>
          <w:p w14:paraId="7CE78B5E"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1A579286" w14:textId="77777777" w:rsidTr="00A842D0">
        <w:trPr>
          <w:trHeight w:val="252"/>
        </w:trPr>
        <w:tc>
          <w:tcPr>
            <w:tcW w:w="425" w:type="dxa"/>
            <w:tcBorders>
              <w:top w:val="nil"/>
              <w:left w:val="single" w:sz="8" w:space="0" w:color="auto"/>
              <w:bottom w:val="nil"/>
              <w:right w:val="nil"/>
            </w:tcBorders>
            <w:shd w:val="clear" w:color="auto" w:fill="auto"/>
            <w:hideMark/>
          </w:tcPr>
          <w:p w14:paraId="315B728C"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38</w:t>
            </w:r>
          </w:p>
        </w:tc>
        <w:tc>
          <w:tcPr>
            <w:tcW w:w="7165" w:type="dxa"/>
            <w:tcBorders>
              <w:top w:val="nil"/>
              <w:left w:val="nil"/>
              <w:bottom w:val="nil"/>
              <w:right w:val="nil"/>
            </w:tcBorders>
            <w:shd w:val="clear" w:color="auto" w:fill="auto"/>
            <w:noWrap/>
            <w:hideMark/>
          </w:tcPr>
          <w:p w14:paraId="1C463509"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Human Settlements</w:t>
            </w:r>
          </w:p>
        </w:tc>
        <w:tc>
          <w:tcPr>
            <w:tcW w:w="1398" w:type="dxa"/>
            <w:tcBorders>
              <w:top w:val="nil"/>
              <w:left w:val="single" w:sz="4" w:space="0" w:color="auto"/>
              <w:bottom w:val="nil"/>
              <w:right w:val="single" w:sz="8" w:space="0" w:color="auto"/>
            </w:tcBorders>
            <w:shd w:val="clear" w:color="auto" w:fill="auto"/>
            <w:vAlign w:val="bottom"/>
            <w:hideMark/>
          </w:tcPr>
          <w:p w14:paraId="4C6D5B62"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17,252  </w:t>
            </w:r>
          </w:p>
        </w:tc>
      </w:tr>
      <w:tr w:rsidR="004A527C" w:rsidRPr="001869B0" w14:paraId="332AC3CD" w14:textId="77777777" w:rsidTr="00A842D0">
        <w:trPr>
          <w:trHeight w:val="252"/>
        </w:trPr>
        <w:tc>
          <w:tcPr>
            <w:tcW w:w="425" w:type="dxa"/>
            <w:tcBorders>
              <w:top w:val="nil"/>
              <w:left w:val="single" w:sz="8" w:space="0" w:color="auto"/>
              <w:bottom w:val="nil"/>
              <w:right w:val="nil"/>
            </w:tcBorders>
            <w:shd w:val="clear" w:color="auto" w:fill="auto"/>
            <w:hideMark/>
          </w:tcPr>
          <w:p w14:paraId="2C9CE2F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lastRenderedPageBreak/>
              <w:t> </w:t>
            </w:r>
          </w:p>
        </w:tc>
        <w:tc>
          <w:tcPr>
            <w:tcW w:w="7165" w:type="dxa"/>
            <w:tcBorders>
              <w:top w:val="nil"/>
              <w:left w:val="nil"/>
              <w:bottom w:val="nil"/>
              <w:right w:val="nil"/>
            </w:tcBorders>
            <w:shd w:val="clear" w:color="auto" w:fill="auto"/>
            <w:hideMark/>
          </w:tcPr>
          <w:p w14:paraId="19BAFD3D"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R17.252 million from goods and services</w:t>
            </w:r>
          </w:p>
        </w:tc>
        <w:tc>
          <w:tcPr>
            <w:tcW w:w="1398" w:type="dxa"/>
            <w:tcBorders>
              <w:top w:val="nil"/>
              <w:left w:val="single" w:sz="4" w:space="0" w:color="auto"/>
              <w:bottom w:val="nil"/>
              <w:right w:val="single" w:sz="8" w:space="0" w:color="auto"/>
            </w:tcBorders>
            <w:shd w:val="clear" w:color="auto" w:fill="auto"/>
            <w:vAlign w:val="bottom"/>
            <w:hideMark/>
          </w:tcPr>
          <w:p w14:paraId="3591BDCA"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115F1177" w14:textId="77777777" w:rsidTr="00A842D0">
        <w:trPr>
          <w:trHeight w:val="252"/>
        </w:trPr>
        <w:tc>
          <w:tcPr>
            <w:tcW w:w="425" w:type="dxa"/>
            <w:tcBorders>
              <w:top w:val="nil"/>
              <w:left w:val="single" w:sz="8" w:space="0" w:color="auto"/>
              <w:bottom w:val="nil"/>
              <w:right w:val="nil"/>
            </w:tcBorders>
            <w:shd w:val="clear" w:color="auto" w:fill="auto"/>
            <w:hideMark/>
          </w:tcPr>
          <w:p w14:paraId="0AA66C03"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39</w:t>
            </w:r>
          </w:p>
        </w:tc>
        <w:tc>
          <w:tcPr>
            <w:tcW w:w="7165" w:type="dxa"/>
            <w:tcBorders>
              <w:top w:val="nil"/>
              <w:left w:val="nil"/>
              <w:bottom w:val="nil"/>
              <w:right w:val="nil"/>
            </w:tcBorders>
            <w:shd w:val="clear" w:color="auto" w:fill="auto"/>
            <w:noWrap/>
            <w:hideMark/>
          </w:tcPr>
          <w:p w14:paraId="2D8A6F1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Rural Development and Land Reform</w:t>
            </w:r>
          </w:p>
        </w:tc>
        <w:tc>
          <w:tcPr>
            <w:tcW w:w="1398" w:type="dxa"/>
            <w:tcBorders>
              <w:top w:val="nil"/>
              <w:left w:val="single" w:sz="4" w:space="0" w:color="auto"/>
              <w:bottom w:val="nil"/>
              <w:right w:val="single" w:sz="8" w:space="0" w:color="auto"/>
            </w:tcBorders>
            <w:shd w:val="clear" w:color="auto" w:fill="auto"/>
            <w:vAlign w:val="bottom"/>
            <w:hideMark/>
          </w:tcPr>
          <w:p w14:paraId="32D430C0"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117,294  </w:t>
            </w:r>
          </w:p>
        </w:tc>
      </w:tr>
      <w:tr w:rsidR="004A527C" w:rsidRPr="001869B0" w14:paraId="1A4AD234" w14:textId="77777777" w:rsidTr="00A842D0">
        <w:trPr>
          <w:trHeight w:val="252"/>
        </w:trPr>
        <w:tc>
          <w:tcPr>
            <w:tcW w:w="425" w:type="dxa"/>
            <w:tcBorders>
              <w:top w:val="nil"/>
              <w:left w:val="single" w:sz="8" w:space="0" w:color="auto"/>
              <w:bottom w:val="nil"/>
              <w:right w:val="nil"/>
            </w:tcBorders>
            <w:shd w:val="clear" w:color="auto" w:fill="auto"/>
            <w:hideMark/>
          </w:tcPr>
          <w:p w14:paraId="072DC24C"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01839CB4"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R74.212 million from compensation of employees, and R43.082 million from goods and services</w:t>
            </w:r>
          </w:p>
        </w:tc>
        <w:tc>
          <w:tcPr>
            <w:tcW w:w="1398" w:type="dxa"/>
            <w:tcBorders>
              <w:top w:val="nil"/>
              <w:left w:val="single" w:sz="4" w:space="0" w:color="auto"/>
              <w:bottom w:val="nil"/>
              <w:right w:val="single" w:sz="8" w:space="0" w:color="auto"/>
            </w:tcBorders>
            <w:shd w:val="clear" w:color="auto" w:fill="auto"/>
            <w:vAlign w:val="bottom"/>
            <w:hideMark/>
          </w:tcPr>
          <w:p w14:paraId="311F569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5FCD1286" w14:textId="77777777" w:rsidTr="00A842D0">
        <w:trPr>
          <w:trHeight w:val="252"/>
        </w:trPr>
        <w:tc>
          <w:tcPr>
            <w:tcW w:w="425" w:type="dxa"/>
            <w:tcBorders>
              <w:top w:val="nil"/>
              <w:left w:val="single" w:sz="8" w:space="0" w:color="auto"/>
              <w:bottom w:val="nil"/>
              <w:right w:val="nil"/>
            </w:tcBorders>
            <w:shd w:val="clear" w:color="auto" w:fill="auto"/>
            <w:hideMark/>
          </w:tcPr>
          <w:p w14:paraId="436EDBF6"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40</w:t>
            </w:r>
          </w:p>
        </w:tc>
        <w:tc>
          <w:tcPr>
            <w:tcW w:w="7165" w:type="dxa"/>
            <w:tcBorders>
              <w:top w:val="nil"/>
              <w:left w:val="nil"/>
              <w:bottom w:val="nil"/>
              <w:right w:val="nil"/>
            </w:tcBorders>
            <w:shd w:val="clear" w:color="auto" w:fill="auto"/>
            <w:hideMark/>
          </w:tcPr>
          <w:p w14:paraId="0EF93E0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Sport and Recreation South Africa</w:t>
            </w:r>
          </w:p>
        </w:tc>
        <w:tc>
          <w:tcPr>
            <w:tcW w:w="1398" w:type="dxa"/>
            <w:tcBorders>
              <w:top w:val="nil"/>
              <w:left w:val="single" w:sz="4" w:space="0" w:color="auto"/>
              <w:bottom w:val="nil"/>
              <w:right w:val="single" w:sz="8" w:space="0" w:color="auto"/>
            </w:tcBorders>
            <w:shd w:val="clear" w:color="auto" w:fill="auto"/>
            <w:vAlign w:val="bottom"/>
            <w:hideMark/>
          </w:tcPr>
          <w:p w14:paraId="0ACC6F0E"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2,600  </w:t>
            </w:r>
          </w:p>
        </w:tc>
      </w:tr>
      <w:tr w:rsidR="004A527C" w:rsidRPr="001869B0" w14:paraId="172BA10F" w14:textId="77777777" w:rsidTr="00A842D0">
        <w:trPr>
          <w:trHeight w:val="252"/>
        </w:trPr>
        <w:tc>
          <w:tcPr>
            <w:tcW w:w="425" w:type="dxa"/>
            <w:tcBorders>
              <w:top w:val="nil"/>
              <w:left w:val="single" w:sz="8" w:space="0" w:color="auto"/>
              <w:bottom w:val="nil"/>
              <w:right w:val="nil"/>
            </w:tcBorders>
            <w:shd w:val="clear" w:color="auto" w:fill="auto"/>
            <w:hideMark/>
          </w:tcPr>
          <w:p w14:paraId="594C7F7C"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66C3ABF5" w14:textId="77777777" w:rsidR="004A527C" w:rsidRPr="001869B0" w:rsidRDefault="004A527C" w:rsidP="004A527C">
            <w:pPr>
              <w:spacing w:line="240" w:lineRule="auto"/>
              <w:rPr>
                <w:rFonts w:ascii="Arial Narrow" w:hAnsi="Arial Narrow" w:cs="Calibri"/>
                <w:color w:val="auto"/>
                <w:spacing w:val="0"/>
                <w:sz w:val="20"/>
                <w:szCs w:val="20"/>
                <w:lang w:val="en-US" w:eastAsia="en-US"/>
              </w:rPr>
            </w:pPr>
            <w:r w:rsidRPr="001869B0">
              <w:rPr>
                <w:rFonts w:ascii="Arial Narrow" w:hAnsi="Arial Narrow" w:cs="Calibri"/>
                <w:color w:val="auto"/>
                <w:spacing w:val="0"/>
                <w:sz w:val="20"/>
                <w:szCs w:val="20"/>
                <w:lang w:val="en-US" w:eastAsia="en-US"/>
              </w:rPr>
              <w:t>R2.6 million from compensation of employees</w:t>
            </w:r>
          </w:p>
        </w:tc>
        <w:tc>
          <w:tcPr>
            <w:tcW w:w="1398" w:type="dxa"/>
            <w:tcBorders>
              <w:top w:val="nil"/>
              <w:left w:val="single" w:sz="4" w:space="0" w:color="auto"/>
              <w:bottom w:val="nil"/>
              <w:right w:val="single" w:sz="8" w:space="0" w:color="auto"/>
            </w:tcBorders>
            <w:shd w:val="clear" w:color="auto" w:fill="auto"/>
            <w:vAlign w:val="bottom"/>
            <w:hideMark/>
          </w:tcPr>
          <w:p w14:paraId="7BA8D62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1DE53D5F" w14:textId="77777777" w:rsidTr="00A842D0">
        <w:trPr>
          <w:trHeight w:val="252"/>
        </w:trPr>
        <w:tc>
          <w:tcPr>
            <w:tcW w:w="425" w:type="dxa"/>
            <w:tcBorders>
              <w:top w:val="nil"/>
              <w:left w:val="single" w:sz="8" w:space="0" w:color="auto"/>
              <w:bottom w:val="nil"/>
              <w:right w:val="nil"/>
            </w:tcBorders>
            <w:shd w:val="clear" w:color="auto" w:fill="auto"/>
            <w:noWrap/>
            <w:hideMark/>
          </w:tcPr>
          <w:p w14:paraId="7FCE73AB"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c>
          <w:tcPr>
            <w:tcW w:w="7165" w:type="dxa"/>
            <w:tcBorders>
              <w:top w:val="nil"/>
              <w:left w:val="nil"/>
              <w:bottom w:val="nil"/>
              <w:right w:val="nil"/>
            </w:tcBorders>
            <w:shd w:val="clear" w:color="auto" w:fill="auto"/>
            <w:hideMark/>
          </w:tcPr>
          <w:p w14:paraId="2E38624E"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p>
        </w:tc>
        <w:tc>
          <w:tcPr>
            <w:tcW w:w="1398" w:type="dxa"/>
            <w:tcBorders>
              <w:top w:val="nil"/>
              <w:left w:val="single" w:sz="4" w:space="0" w:color="auto"/>
              <w:bottom w:val="single" w:sz="4" w:space="0" w:color="auto"/>
              <w:right w:val="single" w:sz="8" w:space="0" w:color="auto"/>
            </w:tcBorders>
            <w:shd w:val="clear" w:color="auto" w:fill="auto"/>
            <w:hideMark/>
          </w:tcPr>
          <w:p w14:paraId="4420157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w:t>
            </w:r>
          </w:p>
        </w:tc>
      </w:tr>
      <w:tr w:rsidR="004A527C" w:rsidRPr="001869B0" w14:paraId="6E1B0E1C" w14:textId="77777777" w:rsidTr="00A842D0">
        <w:trPr>
          <w:trHeight w:val="252"/>
        </w:trPr>
        <w:tc>
          <w:tcPr>
            <w:tcW w:w="7590" w:type="dxa"/>
            <w:gridSpan w:val="2"/>
            <w:tcBorders>
              <w:top w:val="single" w:sz="4" w:space="0" w:color="auto"/>
              <w:left w:val="single" w:sz="8" w:space="0" w:color="auto"/>
              <w:bottom w:val="single" w:sz="4" w:space="0" w:color="auto"/>
              <w:right w:val="nil"/>
            </w:tcBorders>
            <w:shd w:val="clear" w:color="auto" w:fill="auto"/>
            <w:vAlign w:val="bottom"/>
            <w:hideMark/>
          </w:tcPr>
          <w:p w14:paraId="7E701AA2"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Total declared unspent funds</w:t>
            </w:r>
          </w:p>
        </w:tc>
        <w:tc>
          <w:tcPr>
            <w:tcW w:w="1398" w:type="dxa"/>
            <w:tcBorders>
              <w:top w:val="nil"/>
              <w:left w:val="single" w:sz="4" w:space="0" w:color="auto"/>
              <w:bottom w:val="single" w:sz="4" w:space="0" w:color="auto"/>
              <w:right w:val="single" w:sz="8" w:space="0" w:color="auto"/>
            </w:tcBorders>
            <w:shd w:val="clear" w:color="auto" w:fill="auto"/>
            <w:vAlign w:val="bottom"/>
            <w:hideMark/>
          </w:tcPr>
          <w:p w14:paraId="2DBAB0BD"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3,909,286 </w:t>
            </w:r>
          </w:p>
        </w:tc>
      </w:tr>
      <w:tr w:rsidR="004A527C" w:rsidRPr="001869B0" w14:paraId="2F4262E9" w14:textId="77777777" w:rsidTr="00A842D0">
        <w:trPr>
          <w:trHeight w:val="252"/>
        </w:trPr>
        <w:tc>
          <w:tcPr>
            <w:tcW w:w="7590" w:type="dxa"/>
            <w:gridSpan w:val="2"/>
            <w:tcBorders>
              <w:top w:val="single" w:sz="4" w:space="0" w:color="auto"/>
              <w:left w:val="single" w:sz="8" w:space="0" w:color="auto"/>
              <w:bottom w:val="single" w:sz="4" w:space="0" w:color="auto"/>
              <w:right w:val="nil"/>
            </w:tcBorders>
            <w:shd w:val="clear" w:color="auto" w:fill="auto"/>
            <w:vAlign w:val="bottom"/>
            <w:hideMark/>
          </w:tcPr>
          <w:p w14:paraId="1EF94501"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Projected underspending</w:t>
            </w:r>
          </w:p>
        </w:tc>
        <w:tc>
          <w:tcPr>
            <w:tcW w:w="1398" w:type="dxa"/>
            <w:tcBorders>
              <w:top w:val="nil"/>
              <w:left w:val="single" w:sz="4" w:space="0" w:color="auto"/>
              <w:bottom w:val="single" w:sz="4" w:space="0" w:color="auto"/>
              <w:right w:val="single" w:sz="8" w:space="0" w:color="auto"/>
            </w:tcBorders>
            <w:shd w:val="clear" w:color="auto" w:fill="auto"/>
            <w:vAlign w:val="bottom"/>
            <w:hideMark/>
          </w:tcPr>
          <w:p w14:paraId="5BD9028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1,183,766 </w:t>
            </w:r>
          </w:p>
        </w:tc>
      </w:tr>
      <w:tr w:rsidR="004A527C" w:rsidRPr="001869B0" w14:paraId="7FD261D3" w14:textId="77777777" w:rsidTr="00A842D0">
        <w:trPr>
          <w:trHeight w:val="252"/>
        </w:trPr>
        <w:tc>
          <w:tcPr>
            <w:tcW w:w="7590" w:type="dxa"/>
            <w:gridSpan w:val="2"/>
            <w:tcBorders>
              <w:top w:val="single" w:sz="4" w:space="0" w:color="auto"/>
              <w:left w:val="single" w:sz="8" w:space="0" w:color="auto"/>
              <w:bottom w:val="single" w:sz="4" w:space="0" w:color="auto"/>
              <w:right w:val="nil"/>
            </w:tcBorders>
            <w:shd w:val="clear" w:color="auto" w:fill="auto"/>
            <w:vAlign w:val="bottom"/>
            <w:hideMark/>
          </w:tcPr>
          <w:p w14:paraId="20D96022"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Local government repayment to the National Revenue Fund</w:t>
            </w:r>
          </w:p>
        </w:tc>
        <w:tc>
          <w:tcPr>
            <w:tcW w:w="1398" w:type="dxa"/>
            <w:tcBorders>
              <w:top w:val="nil"/>
              <w:left w:val="single" w:sz="4" w:space="0" w:color="auto"/>
              <w:bottom w:val="single" w:sz="4" w:space="0" w:color="auto"/>
              <w:right w:val="single" w:sz="8" w:space="0" w:color="auto"/>
            </w:tcBorders>
            <w:shd w:val="clear" w:color="auto" w:fill="auto"/>
            <w:vAlign w:val="bottom"/>
            <w:hideMark/>
          </w:tcPr>
          <w:p w14:paraId="4E49C9DF"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2,000,000 </w:t>
            </w:r>
          </w:p>
        </w:tc>
      </w:tr>
      <w:tr w:rsidR="004A527C" w:rsidRPr="001869B0" w14:paraId="5512FD7C" w14:textId="77777777" w:rsidTr="00F61CC0">
        <w:trPr>
          <w:trHeight w:val="188"/>
        </w:trPr>
        <w:tc>
          <w:tcPr>
            <w:tcW w:w="7590" w:type="dxa"/>
            <w:gridSpan w:val="2"/>
            <w:tcBorders>
              <w:top w:val="single" w:sz="4" w:space="0" w:color="auto"/>
              <w:left w:val="single" w:sz="8" w:space="0" w:color="auto"/>
              <w:bottom w:val="single" w:sz="8" w:space="0" w:color="auto"/>
              <w:right w:val="nil"/>
            </w:tcBorders>
            <w:shd w:val="clear" w:color="auto" w:fill="auto"/>
            <w:vAlign w:val="bottom"/>
            <w:hideMark/>
          </w:tcPr>
          <w:p w14:paraId="44FFD87C"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Total </w:t>
            </w:r>
          </w:p>
        </w:tc>
        <w:tc>
          <w:tcPr>
            <w:tcW w:w="1398"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2620D834" w14:textId="77777777" w:rsidR="004A527C" w:rsidRPr="001869B0" w:rsidRDefault="004A527C" w:rsidP="004A527C">
            <w:pPr>
              <w:spacing w:line="240" w:lineRule="auto"/>
              <w:rPr>
                <w:rFonts w:ascii="Arial Narrow" w:hAnsi="Arial Narrow" w:cs="Calibri"/>
                <w:b/>
                <w:bCs/>
                <w:color w:val="auto"/>
                <w:spacing w:val="0"/>
                <w:sz w:val="20"/>
                <w:szCs w:val="20"/>
                <w:lang w:val="en-US" w:eastAsia="en-US"/>
              </w:rPr>
            </w:pPr>
            <w:r w:rsidRPr="001869B0">
              <w:rPr>
                <w:rFonts w:ascii="Arial Narrow" w:hAnsi="Arial Narrow" w:cs="Calibri"/>
                <w:b/>
                <w:bCs/>
                <w:color w:val="auto"/>
                <w:spacing w:val="0"/>
                <w:sz w:val="20"/>
                <w:szCs w:val="20"/>
                <w:lang w:val="en-US" w:eastAsia="en-US"/>
              </w:rPr>
              <w:t xml:space="preserve">                  7,093,052 </w:t>
            </w:r>
          </w:p>
        </w:tc>
      </w:tr>
    </w:tbl>
    <w:p w14:paraId="16CBAEF3" w14:textId="69313CDB" w:rsidR="005E2332" w:rsidRPr="001869B0" w:rsidRDefault="004A527C" w:rsidP="005E2332">
      <w:pPr>
        <w:spacing w:line="360" w:lineRule="auto"/>
        <w:ind w:left="-810"/>
        <w:jc w:val="both"/>
        <w:rPr>
          <w:rFonts w:ascii="Times New Roman" w:hAnsi="Times New Roman"/>
          <w:i/>
          <w:color w:val="auto"/>
          <w:sz w:val="24"/>
          <w:szCs w:val="24"/>
          <w:lang w:val="en-ZA"/>
        </w:rPr>
      </w:pPr>
      <w:r w:rsidRPr="001869B0">
        <w:rPr>
          <w:rFonts w:ascii="Times New Roman" w:hAnsi="Times New Roman"/>
          <w:color w:val="auto"/>
          <w:sz w:val="24"/>
          <w:szCs w:val="24"/>
          <w:lang w:val="en-ZA"/>
        </w:rPr>
        <w:fldChar w:fldCharType="end"/>
      </w:r>
      <w:r w:rsidR="00A842D0" w:rsidRPr="001869B0">
        <w:rPr>
          <w:color w:val="auto"/>
        </w:rPr>
        <w:t xml:space="preserve"> </w:t>
      </w:r>
      <w:r w:rsidR="00A842D0" w:rsidRPr="001869B0">
        <w:rPr>
          <w:rFonts w:ascii="Times New Roman" w:hAnsi="Times New Roman"/>
          <w:i/>
          <w:color w:val="auto"/>
          <w:sz w:val="24"/>
          <w:szCs w:val="24"/>
          <w:lang w:val="en-ZA"/>
        </w:rPr>
        <w:t>Source: National Treasury (2019) Adjustment</w:t>
      </w:r>
      <w:r w:rsidR="000D21AE">
        <w:rPr>
          <w:rFonts w:ascii="Times New Roman" w:hAnsi="Times New Roman"/>
          <w:i/>
          <w:color w:val="auto"/>
          <w:sz w:val="24"/>
          <w:szCs w:val="24"/>
          <w:lang w:val="en-ZA"/>
        </w:rPr>
        <w:t>s</w:t>
      </w:r>
      <w:r w:rsidR="00A842D0" w:rsidRPr="001869B0">
        <w:rPr>
          <w:rFonts w:ascii="Times New Roman" w:hAnsi="Times New Roman"/>
          <w:i/>
          <w:color w:val="auto"/>
          <w:sz w:val="24"/>
          <w:szCs w:val="24"/>
          <w:lang w:val="en-ZA"/>
        </w:rPr>
        <w:t xml:space="preserve"> Appropriation Bill</w:t>
      </w:r>
    </w:p>
    <w:p w14:paraId="3C6726AC" w14:textId="50364980" w:rsidR="005E2332" w:rsidRDefault="005E2332" w:rsidP="005E2332">
      <w:pPr>
        <w:spacing w:line="360" w:lineRule="auto"/>
        <w:ind w:left="-810"/>
        <w:jc w:val="both"/>
        <w:rPr>
          <w:rFonts w:ascii="Times New Roman" w:hAnsi="Times New Roman"/>
          <w:i/>
          <w:color w:val="auto"/>
          <w:sz w:val="24"/>
          <w:szCs w:val="24"/>
          <w:lang w:val="en-ZA"/>
        </w:rPr>
      </w:pPr>
    </w:p>
    <w:p w14:paraId="4DAE9BCD" w14:textId="40D2D654" w:rsidR="00164843" w:rsidRPr="00D6593F" w:rsidRDefault="00164843" w:rsidP="005E2332">
      <w:pPr>
        <w:spacing w:line="360" w:lineRule="auto"/>
        <w:ind w:left="-810"/>
        <w:jc w:val="both"/>
        <w:rPr>
          <w:rFonts w:ascii="Times New Roman" w:hAnsi="Times New Roman"/>
          <w:color w:val="auto"/>
          <w:sz w:val="24"/>
          <w:szCs w:val="24"/>
          <w:lang w:val="en-ZA"/>
        </w:rPr>
      </w:pPr>
    </w:p>
    <w:p w14:paraId="0F92936B" w14:textId="77777777" w:rsidR="00145603" w:rsidRDefault="00145603" w:rsidP="005E2332">
      <w:pPr>
        <w:spacing w:line="360" w:lineRule="auto"/>
        <w:ind w:left="-810"/>
        <w:jc w:val="both"/>
        <w:rPr>
          <w:rFonts w:ascii="Times New Roman" w:hAnsi="Times New Roman"/>
          <w:color w:val="auto"/>
          <w:sz w:val="24"/>
          <w:szCs w:val="24"/>
          <w:lang w:val="en-ZA"/>
        </w:rPr>
      </w:pPr>
    </w:p>
    <w:p w14:paraId="73752CEE" w14:textId="66C0DAB1" w:rsidR="00164843" w:rsidRDefault="00D6593F" w:rsidP="005E2332">
      <w:pPr>
        <w:spacing w:line="360" w:lineRule="auto"/>
        <w:ind w:left="-810"/>
        <w:jc w:val="both"/>
        <w:rPr>
          <w:rFonts w:ascii="Times New Roman" w:hAnsi="Times New Roman"/>
          <w:color w:val="auto"/>
          <w:sz w:val="24"/>
          <w:szCs w:val="24"/>
          <w:lang w:val="en-ZA"/>
        </w:rPr>
      </w:pPr>
      <w:r>
        <w:rPr>
          <w:rFonts w:ascii="Times New Roman" w:hAnsi="Times New Roman"/>
          <w:color w:val="auto"/>
          <w:sz w:val="24"/>
          <w:szCs w:val="24"/>
          <w:lang w:val="en-ZA"/>
        </w:rPr>
        <w:t>National Treasury reported that the following departments had virements exceeding R100 million:</w:t>
      </w:r>
    </w:p>
    <w:p w14:paraId="792CBFDB" w14:textId="35539CD4" w:rsidR="00D6593F" w:rsidRDefault="00D6593F" w:rsidP="00D6593F">
      <w:pPr>
        <w:pStyle w:val="ListParagraph"/>
        <w:numPr>
          <w:ilvl w:val="0"/>
          <w:numId w:val="4"/>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Social Development – R250.9 million;</w:t>
      </w:r>
    </w:p>
    <w:p w14:paraId="3D7BD00C" w14:textId="1B124225" w:rsidR="000D21AE" w:rsidRDefault="000D21AE" w:rsidP="000D21AE">
      <w:pPr>
        <w:pStyle w:val="ListParagraph"/>
        <w:numPr>
          <w:ilvl w:val="0"/>
          <w:numId w:val="4"/>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 xml:space="preserve">Public Enterprise </w:t>
      </w:r>
      <w:r w:rsidRPr="000D21AE">
        <w:rPr>
          <w:rFonts w:ascii="Times New Roman" w:hAnsi="Times New Roman"/>
          <w:color w:val="auto"/>
          <w:sz w:val="24"/>
          <w:szCs w:val="24"/>
          <w:lang w:val="en-ZA"/>
        </w:rPr>
        <w:t>–</w:t>
      </w:r>
      <w:r>
        <w:rPr>
          <w:rFonts w:ascii="Times New Roman" w:hAnsi="Times New Roman"/>
          <w:color w:val="auto"/>
          <w:sz w:val="24"/>
          <w:szCs w:val="24"/>
          <w:lang w:val="en-ZA"/>
        </w:rPr>
        <w:t xml:space="preserve"> R17.652 billion</w:t>
      </w:r>
    </w:p>
    <w:p w14:paraId="26803CE4" w14:textId="4A8514B3" w:rsidR="000D21AE" w:rsidRPr="000D21AE" w:rsidRDefault="000D21AE" w:rsidP="000D21AE">
      <w:pPr>
        <w:pStyle w:val="ListParagraph"/>
        <w:numPr>
          <w:ilvl w:val="0"/>
          <w:numId w:val="4"/>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 xml:space="preserve">Health </w:t>
      </w:r>
      <w:r w:rsidRPr="000D21AE">
        <w:rPr>
          <w:rFonts w:ascii="Times New Roman" w:hAnsi="Times New Roman"/>
          <w:color w:val="auto"/>
          <w:sz w:val="24"/>
          <w:szCs w:val="24"/>
          <w:lang w:val="en-ZA"/>
        </w:rPr>
        <w:t>–</w:t>
      </w:r>
      <w:r>
        <w:rPr>
          <w:rFonts w:ascii="Times New Roman" w:hAnsi="Times New Roman"/>
          <w:color w:val="auto"/>
          <w:sz w:val="24"/>
          <w:szCs w:val="24"/>
          <w:lang w:val="en-ZA"/>
        </w:rPr>
        <w:t xml:space="preserve"> R444.288 million</w:t>
      </w:r>
    </w:p>
    <w:p w14:paraId="594E775C" w14:textId="63B44010" w:rsidR="00D6593F" w:rsidRDefault="00D6593F" w:rsidP="00D6593F">
      <w:pPr>
        <w:pStyle w:val="ListParagraph"/>
        <w:numPr>
          <w:ilvl w:val="0"/>
          <w:numId w:val="4"/>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Correctional Services – R432 million;</w:t>
      </w:r>
    </w:p>
    <w:p w14:paraId="30B9F125" w14:textId="150A97DB" w:rsidR="00D6593F" w:rsidRDefault="00D6593F" w:rsidP="00D6593F">
      <w:pPr>
        <w:pStyle w:val="ListParagraph"/>
        <w:numPr>
          <w:ilvl w:val="0"/>
          <w:numId w:val="4"/>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Justice and Constitutional Development – R365million;</w:t>
      </w:r>
    </w:p>
    <w:p w14:paraId="7498C82D" w14:textId="50AF0521" w:rsidR="00D6593F" w:rsidRDefault="00D6593F" w:rsidP="00D6593F">
      <w:pPr>
        <w:pStyle w:val="ListParagraph"/>
        <w:numPr>
          <w:ilvl w:val="0"/>
          <w:numId w:val="4"/>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Tourism – R243.756</w:t>
      </w:r>
      <w:r w:rsidR="000D21AE">
        <w:rPr>
          <w:rFonts w:ascii="Times New Roman" w:hAnsi="Times New Roman"/>
          <w:color w:val="auto"/>
          <w:sz w:val="24"/>
          <w:szCs w:val="24"/>
          <w:lang w:val="en-ZA"/>
        </w:rPr>
        <w:t xml:space="preserve"> million</w:t>
      </w:r>
      <w:r>
        <w:rPr>
          <w:rFonts w:ascii="Times New Roman" w:hAnsi="Times New Roman"/>
          <w:color w:val="auto"/>
          <w:sz w:val="24"/>
          <w:szCs w:val="24"/>
          <w:lang w:val="en-ZA"/>
        </w:rPr>
        <w:t>; and</w:t>
      </w:r>
    </w:p>
    <w:p w14:paraId="3518C33E" w14:textId="7492385F" w:rsidR="00D6593F" w:rsidRPr="00D6593F" w:rsidRDefault="00D6593F" w:rsidP="00D6593F">
      <w:pPr>
        <w:pStyle w:val="ListParagraph"/>
        <w:numPr>
          <w:ilvl w:val="0"/>
          <w:numId w:val="4"/>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 xml:space="preserve">Rural Development and Land Reform </w:t>
      </w:r>
      <w:r w:rsidR="00145603">
        <w:rPr>
          <w:rFonts w:ascii="Times New Roman" w:hAnsi="Times New Roman"/>
          <w:color w:val="auto"/>
          <w:sz w:val="24"/>
          <w:szCs w:val="24"/>
          <w:lang w:val="en-ZA"/>
        </w:rPr>
        <w:t>–</w:t>
      </w:r>
      <w:r>
        <w:rPr>
          <w:rFonts w:ascii="Times New Roman" w:hAnsi="Times New Roman"/>
          <w:color w:val="auto"/>
          <w:sz w:val="24"/>
          <w:szCs w:val="24"/>
          <w:lang w:val="en-ZA"/>
        </w:rPr>
        <w:t xml:space="preserve"> </w:t>
      </w:r>
      <w:r w:rsidR="00145603">
        <w:rPr>
          <w:rFonts w:ascii="Times New Roman" w:hAnsi="Times New Roman"/>
          <w:color w:val="auto"/>
          <w:sz w:val="24"/>
          <w:szCs w:val="24"/>
          <w:lang w:val="en-ZA"/>
        </w:rPr>
        <w:t xml:space="preserve">R762.506 million. </w:t>
      </w:r>
    </w:p>
    <w:p w14:paraId="2706DC5B" w14:textId="77777777" w:rsidR="00164843" w:rsidRPr="001869B0" w:rsidRDefault="00164843" w:rsidP="005E2332">
      <w:pPr>
        <w:spacing w:line="360" w:lineRule="auto"/>
        <w:ind w:left="-810"/>
        <w:jc w:val="both"/>
        <w:rPr>
          <w:rFonts w:ascii="Times New Roman" w:hAnsi="Times New Roman"/>
          <w:i/>
          <w:color w:val="auto"/>
          <w:sz w:val="24"/>
          <w:szCs w:val="24"/>
          <w:lang w:val="en-ZA"/>
        </w:rPr>
      </w:pPr>
    </w:p>
    <w:p w14:paraId="0D880583" w14:textId="1308469F" w:rsidR="005E2332" w:rsidRPr="001869B0" w:rsidRDefault="005E2332" w:rsidP="00164843">
      <w:pPr>
        <w:pStyle w:val="ListParagraph"/>
        <w:numPr>
          <w:ilvl w:val="0"/>
          <w:numId w:val="1"/>
        </w:numPr>
        <w:spacing w:line="360" w:lineRule="auto"/>
        <w:ind w:hanging="671"/>
        <w:jc w:val="both"/>
        <w:rPr>
          <w:rFonts w:ascii="Times New Roman" w:hAnsi="Times New Roman"/>
          <w:b/>
          <w:i/>
          <w:color w:val="auto"/>
          <w:sz w:val="24"/>
          <w:szCs w:val="24"/>
          <w:lang w:val="en-ZA"/>
        </w:rPr>
      </w:pPr>
      <w:r w:rsidRPr="001869B0">
        <w:rPr>
          <w:rFonts w:ascii="Times New Roman" w:hAnsi="Times New Roman"/>
          <w:b/>
          <w:color w:val="auto"/>
          <w:sz w:val="24"/>
          <w:szCs w:val="24"/>
          <w:lang w:val="en-ZA"/>
        </w:rPr>
        <w:t>Adjustments per identified departments</w:t>
      </w:r>
    </w:p>
    <w:p w14:paraId="36481ECC" w14:textId="77777777" w:rsidR="005E2332" w:rsidRPr="001869B0" w:rsidRDefault="005E2332" w:rsidP="00E60A02">
      <w:pPr>
        <w:spacing w:line="360" w:lineRule="auto"/>
        <w:ind w:left="-810"/>
        <w:jc w:val="both"/>
        <w:rPr>
          <w:rFonts w:ascii="Times New Roman" w:hAnsi="Times New Roman"/>
          <w:color w:val="auto"/>
          <w:sz w:val="24"/>
          <w:szCs w:val="24"/>
          <w:lang w:val="en-ZA"/>
        </w:rPr>
      </w:pPr>
    </w:p>
    <w:p w14:paraId="15ACB1C5" w14:textId="4A524BF5" w:rsidR="00D92E9D" w:rsidRDefault="005E2332" w:rsidP="00E60A02">
      <w:pPr>
        <w:spacing w:line="360" w:lineRule="auto"/>
        <w:ind w:left="-810"/>
        <w:jc w:val="both"/>
        <w:rPr>
          <w:rFonts w:ascii="Times New Roman" w:hAnsi="Times New Roman"/>
          <w:color w:val="auto"/>
          <w:sz w:val="24"/>
          <w:szCs w:val="24"/>
          <w:lang w:val="en-ZA"/>
        </w:rPr>
      </w:pPr>
      <w:r w:rsidRPr="001869B0">
        <w:rPr>
          <w:rFonts w:ascii="Times New Roman" w:hAnsi="Times New Roman"/>
          <w:color w:val="auto"/>
          <w:sz w:val="24"/>
          <w:szCs w:val="24"/>
          <w:lang w:val="en-ZA"/>
        </w:rPr>
        <w:t>The section below outlines the adjustments on budget allocations for the departments, which were identified by the Committee for briefings on the Bill.</w:t>
      </w:r>
    </w:p>
    <w:p w14:paraId="5238D90F" w14:textId="77777777" w:rsidR="00164843" w:rsidRPr="001869B0" w:rsidRDefault="00164843" w:rsidP="00E60A02">
      <w:pPr>
        <w:spacing w:line="360" w:lineRule="auto"/>
        <w:ind w:left="-810"/>
        <w:jc w:val="both"/>
        <w:rPr>
          <w:rFonts w:ascii="Times New Roman" w:hAnsi="Times New Roman"/>
          <w:color w:val="auto"/>
          <w:sz w:val="24"/>
          <w:szCs w:val="24"/>
          <w:lang w:val="en-ZA"/>
        </w:rPr>
      </w:pPr>
    </w:p>
    <w:p w14:paraId="4BD48795" w14:textId="677FD9A3" w:rsidR="00164843" w:rsidRDefault="00164843" w:rsidP="00164843">
      <w:pPr>
        <w:pStyle w:val="ListParagraph"/>
        <w:numPr>
          <w:ilvl w:val="1"/>
          <w:numId w:val="1"/>
        </w:numPr>
        <w:spacing w:line="360" w:lineRule="auto"/>
        <w:ind w:hanging="1031"/>
        <w:jc w:val="both"/>
        <w:rPr>
          <w:rFonts w:ascii="Times New Roman" w:hAnsi="Times New Roman"/>
          <w:b/>
          <w:color w:val="auto"/>
          <w:sz w:val="24"/>
          <w:szCs w:val="24"/>
          <w:lang w:val="en-ZA"/>
        </w:rPr>
      </w:pPr>
      <w:r>
        <w:rPr>
          <w:rFonts w:ascii="Times New Roman" w:hAnsi="Times New Roman"/>
          <w:b/>
          <w:color w:val="auto"/>
          <w:sz w:val="24"/>
          <w:szCs w:val="24"/>
          <w:lang w:val="en-ZA"/>
        </w:rPr>
        <w:t>Department of Transport</w:t>
      </w:r>
    </w:p>
    <w:p w14:paraId="2ECD2905" w14:textId="5BFAE6C0" w:rsidR="00164843" w:rsidRDefault="00164843" w:rsidP="00164843">
      <w:pPr>
        <w:spacing w:line="360" w:lineRule="auto"/>
        <w:ind w:left="-851"/>
        <w:jc w:val="both"/>
        <w:rPr>
          <w:rFonts w:ascii="Times New Roman" w:hAnsi="Times New Roman"/>
          <w:b/>
          <w:color w:val="auto"/>
          <w:sz w:val="24"/>
          <w:szCs w:val="24"/>
          <w:lang w:val="en-ZA"/>
        </w:rPr>
      </w:pPr>
    </w:p>
    <w:p w14:paraId="3F5BD856" w14:textId="3EC1ACAE" w:rsidR="00DE52BA" w:rsidRPr="00DE52BA" w:rsidRDefault="00DE52BA" w:rsidP="00DE52BA">
      <w:pPr>
        <w:spacing w:line="360" w:lineRule="auto"/>
        <w:ind w:left="-851"/>
        <w:jc w:val="both"/>
        <w:rPr>
          <w:rFonts w:ascii="Times New Roman" w:hAnsi="Times New Roman"/>
          <w:color w:val="auto"/>
          <w:sz w:val="24"/>
          <w:szCs w:val="24"/>
          <w:lang w:val="en-ZA"/>
        </w:rPr>
      </w:pPr>
      <w:r>
        <w:rPr>
          <w:rFonts w:ascii="Times New Roman" w:hAnsi="Times New Roman"/>
          <w:color w:val="auto"/>
          <w:sz w:val="24"/>
          <w:szCs w:val="24"/>
          <w:lang w:val="en-ZA"/>
        </w:rPr>
        <w:t>The Department of Transport’s</w:t>
      </w:r>
      <w:r w:rsidR="00F13DB5">
        <w:rPr>
          <w:rFonts w:ascii="Times New Roman" w:hAnsi="Times New Roman"/>
          <w:color w:val="auto"/>
          <w:sz w:val="24"/>
          <w:szCs w:val="24"/>
          <w:lang w:val="en-ZA"/>
        </w:rPr>
        <w:t xml:space="preserve"> main appropriation of R64.204</w:t>
      </w:r>
      <w:r w:rsidRPr="00DE52BA">
        <w:rPr>
          <w:rFonts w:ascii="Times New Roman" w:hAnsi="Times New Roman"/>
          <w:color w:val="auto"/>
          <w:sz w:val="24"/>
          <w:szCs w:val="24"/>
          <w:lang w:val="en-ZA"/>
        </w:rPr>
        <w:t xml:space="preserve"> billion has</w:t>
      </w:r>
      <w:r w:rsidR="00F13DB5">
        <w:rPr>
          <w:rFonts w:ascii="Times New Roman" w:hAnsi="Times New Roman"/>
          <w:color w:val="auto"/>
          <w:sz w:val="24"/>
          <w:szCs w:val="24"/>
          <w:lang w:val="en-ZA"/>
        </w:rPr>
        <w:t xml:space="preserve"> been adjusted upwards by R10.954 </w:t>
      </w:r>
      <w:r w:rsidR="00975DC4">
        <w:rPr>
          <w:rFonts w:ascii="Times New Roman" w:hAnsi="Times New Roman"/>
          <w:color w:val="auto"/>
          <w:sz w:val="24"/>
          <w:szCs w:val="24"/>
          <w:lang w:val="en-ZA"/>
        </w:rPr>
        <w:t xml:space="preserve">million </w:t>
      </w:r>
      <w:r w:rsidR="00F13DB5">
        <w:rPr>
          <w:rFonts w:ascii="Times New Roman" w:hAnsi="Times New Roman"/>
          <w:color w:val="auto"/>
          <w:sz w:val="24"/>
          <w:szCs w:val="24"/>
          <w:lang w:val="en-ZA"/>
        </w:rPr>
        <w:t xml:space="preserve"> to R64.215</w:t>
      </w:r>
      <w:r w:rsidRPr="00DE52BA">
        <w:rPr>
          <w:rFonts w:ascii="Times New Roman" w:hAnsi="Times New Roman"/>
          <w:color w:val="auto"/>
          <w:sz w:val="24"/>
          <w:szCs w:val="24"/>
          <w:lang w:val="en-ZA"/>
        </w:rPr>
        <w:t xml:space="preserve"> billion. The Department did not have virements exceeding 8 per </w:t>
      </w:r>
      <w:r w:rsidR="00767AB0" w:rsidRPr="00DE52BA">
        <w:rPr>
          <w:rFonts w:ascii="Times New Roman" w:hAnsi="Times New Roman"/>
          <w:color w:val="auto"/>
          <w:sz w:val="24"/>
          <w:szCs w:val="24"/>
          <w:lang w:val="en-ZA"/>
        </w:rPr>
        <w:t>cent</w:t>
      </w:r>
      <w:r w:rsidR="00767AB0">
        <w:rPr>
          <w:rFonts w:ascii="Times New Roman" w:hAnsi="Times New Roman"/>
          <w:color w:val="auto"/>
          <w:sz w:val="24"/>
          <w:szCs w:val="24"/>
          <w:lang w:val="en-ZA"/>
        </w:rPr>
        <w:t>;</w:t>
      </w:r>
      <w:r w:rsidR="00975DC4">
        <w:rPr>
          <w:rFonts w:ascii="Times New Roman" w:hAnsi="Times New Roman"/>
          <w:color w:val="auto"/>
          <w:sz w:val="24"/>
          <w:szCs w:val="24"/>
          <w:lang w:val="en-ZA"/>
        </w:rPr>
        <w:t xml:space="preserve"> </w:t>
      </w:r>
      <w:r w:rsidR="00767AB0">
        <w:rPr>
          <w:rFonts w:ascii="Times New Roman" w:hAnsi="Times New Roman"/>
          <w:color w:val="auto"/>
          <w:sz w:val="24"/>
          <w:szCs w:val="24"/>
          <w:lang w:val="en-ZA"/>
        </w:rPr>
        <w:t>however,</w:t>
      </w:r>
      <w:r w:rsidR="00975DC4">
        <w:rPr>
          <w:rFonts w:ascii="Times New Roman" w:hAnsi="Times New Roman"/>
          <w:color w:val="auto"/>
          <w:sz w:val="24"/>
          <w:szCs w:val="24"/>
          <w:lang w:val="en-ZA"/>
        </w:rPr>
        <w:t xml:space="preserve"> it was invited to the Committee because of the continued underspending of the Passenger Rail Agency of South Africa on its capital budget</w:t>
      </w:r>
      <w:r w:rsidRPr="00DE52BA">
        <w:rPr>
          <w:rFonts w:ascii="Times New Roman" w:hAnsi="Times New Roman"/>
          <w:color w:val="auto"/>
          <w:sz w:val="24"/>
          <w:szCs w:val="24"/>
          <w:lang w:val="en-ZA"/>
        </w:rPr>
        <w:t xml:space="preserve">. The </w:t>
      </w:r>
      <w:r w:rsidRPr="00DE52BA">
        <w:rPr>
          <w:rFonts w:ascii="Times New Roman" w:hAnsi="Times New Roman"/>
          <w:color w:val="auto"/>
          <w:sz w:val="24"/>
          <w:szCs w:val="24"/>
          <w:lang w:val="en-ZA"/>
        </w:rPr>
        <w:lastRenderedPageBreak/>
        <w:t>Department’s mid-year perform</w:t>
      </w:r>
      <w:r w:rsidR="002D75C3">
        <w:rPr>
          <w:rFonts w:ascii="Times New Roman" w:hAnsi="Times New Roman"/>
          <w:color w:val="auto"/>
          <w:sz w:val="24"/>
          <w:szCs w:val="24"/>
          <w:lang w:val="en-ZA"/>
        </w:rPr>
        <w:t>ance reflects spending of R30.072 billion or 46.8</w:t>
      </w:r>
      <w:r w:rsidRPr="00DE52BA">
        <w:rPr>
          <w:rFonts w:ascii="Times New Roman" w:hAnsi="Times New Roman"/>
          <w:color w:val="auto"/>
          <w:sz w:val="24"/>
          <w:szCs w:val="24"/>
          <w:lang w:val="en-ZA"/>
        </w:rPr>
        <w:t xml:space="preserve"> per cent against the </w:t>
      </w:r>
      <w:r w:rsidR="002D75C3">
        <w:rPr>
          <w:rFonts w:ascii="Times New Roman" w:hAnsi="Times New Roman"/>
          <w:color w:val="auto"/>
          <w:sz w:val="24"/>
          <w:szCs w:val="24"/>
          <w:lang w:val="en-ZA"/>
        </w:rPr>
        <w:t>adjusted appropriation of R64.215</w:t>
      </w:r>
      <w:r w:rsidRPr="00DE52BA">
        <w:rPr>
          <w:rFonts w:ascii="Times New Roman" w:hAnsi="Times New Roman"/>
          <w:color w:val="auto"/>
          <w:sz w:val="24"/>
          <w:szCs w:val="24"/>
          <w:lang w:val="en-ZA"/>
        </w:rPr>
        <w:t xml:space="preserve"> billion.</w:t>
      </w:r>
    </w:p>
    <w:p w14:paraId="0A6CDB8C" w14:textId="4F5436AB" w:rsidR="00164843" w:rsidRPr="00DE52BA" w:rsidRDefault="00164843" w:rsidP="002D75C3">
      <w:pPr>
        <w:spacing w:line="360" w:lineRule="auto"/>
        <w:jc w:val="both"/>
        <w:rPr>
          <w:rFonts w:ascii="Times New Roman" w:hAnsi="Times New Roman"/>
          <w:color w:val="C00000"/>
          <w:sz w:val="24"/>
          <w:szCs w:val="24"/>
          <w:lang w:val="en-ZA"/>
        </w:rPr>
      </w:pPr>
    </w:p>
    <w:p w14:paraId="0D2F2F41" w14:textId="112BA997" w:rsidR="00164843" w:rsidRPr="002D75C3" w:rsidRDefault="00164843" w:rsidP="00164843">
      <w:pPr>
        <w:spacing w:line="360" w:lineRule="auto"/>
        <w:ind w:left="-851"/>
        <w:jc w:val="both"/>
        <w:rPr>
          <w:rFonts w:ascii="Times New Roman" w:hAnsi="Times New Roman"/>
          <w:color w:val="auto"/>
          <w:sz w:val="24"/>
          <w:szCs w:val="24"/>
          <w:lang w:val="en-ZA"/>
        </w:rPr>
      </w:pPr>
      <w:r w:rsidRPr="002D75C3">
        <w:rPr>
          <w:rFonts w:ascii="Times New Roman" w:hAnsi="Times New Roman"/>
          <w:color w:val="auto"/>
          <w:sz w:val="24"/>
          <w:szCs w:val="24"/>
          <w:lang w:val="en-ZA"/>
        </w:rPr>
        <w:t>In terms of non-financial perform</w:t>
      </w:r>
      <w:r w:rsidR="002D75C3">
        <w:rPr>
          <w:rFonts w:ascii="Times New Roman" w:hAnsi="Times New Roman"/>
          <w:color w:val="auto"/>
          <w:sz w:val="24"/>
          <w:szCs w:val="24"/>
          <w:lang w:val="en-ZA"/>
        </w:rPr>
        <w:t>ance, the Department achieved 23 or 88 per cent of its 26</w:t>
      </w:r>
      <w:r w:rsidRPr="002D75C3">
        <w:rPr>
          <w:rFonts w:ascii="Times New Roman" w:hAnsi="Times New Roman"/>
          <w:color w:val="auto"/>
          <w:sz w:val="24"/>
          <w:szCs w:val="24"/>
          <w:lang w:val="en-ZA"/>
        </w:rPr>
        <w:t xml:space="preserve"> targets</w:t>
      </w:r>
      <w:r w:rsidR="002D75C3">
        <w:rPr>
          <w:rFonts w:ascii="Times New Roman" w:hAnsi="Times New Roman"/>
          <w:color w:val="auto"/>
          <w:sz w:val="24"/>
          <w:szCs w:val="24"/>
          <w:lang w:val="en-ZA"/>
        </w:rPr>
        <w:t xml:space="preserve"> as at the end of September 2019</w:t>
      </w:r>
      <w:r w:rsidRPr="002D75C3">
        <w:rPr>
          <w:rFonts w:ascii="Times New Roman" w:hAnsi="Times New Roman"/>
          <w:color w:val="auto"/>
          <w:sz w:val="24"/>
          <w:szCs w:val="24"/>
          <w:lang w:val="en-ZA"/>
        </w:rPr>
        <w:t xml:space="preserve">. This resulted in </w:t>
      </w:r>
      <w:r w:rsidR="002D75C3">
        <w:rPr>
          <w:rFonts w:ascii="Times New Roman" w:hAnsi="Times New Roman"/>
          <w:color w:val="auto"/>
          <w:sz w:val="24"/>
          <w:szCs w:val="24"/>
          <w:lang w:val="en-ZA"/>
        </w:rPr>
        <w:t>the non-achievement of 3</w:t>
      </w:r>
      <w:r w:rsidRPr="002D75C3">
        <w:rPr>
          <w:rFonts w:ascii="Times New Roman" w:hAnsi="Times New Roman"/>
          <w:color w:val="auto"/>
          <w:sz w:val="24"/>
          <w:szCs w:val="24"/>
          <w:lang w:val="en-ZA"/>
        </w:rPr>
        <w:t xml:space="preserve"> target</w:t>
      </w:r>
      <w:r w:rsidR="002D75C3">
        <w:rPr>
          <w:rFonts w:ascii="Times New Roman" w:hAnsi="Times New Roman"/>
          <w:color w:val="auto"/>
          <w:sz w:val="24"/>
          <w:szCs w:val="24"/>
          <w:lang w:val="en-ZA"/>
        </w:rPr>
        <w:t>s under Programme 5: Civil Aviation,</w:t>
      </w:r>
      <w:r w:rsidRPr="002D75C3">
        <w:rPr>
          <w:rFonts w:ascii="Times New Roman" w:hAnsi="Times New Roman"/>
          <w:color w:val="auto"/>
          <w:sz w:val="24"/>
          <w:szCs w:val="24"/>
          <w:lang w:val="en-ZA"/>
        </w:rPr>
        <w:t xml:space="preserve"> P</w:t>
      </w:r>
      <w:r w:rsidR="002D75C3">
        <w:rPr>
          <w:rFonts w:ascii="Times New Roman" w:hAnsi="Times New Roman"/>
          <w:color w:val="auto"/>
          <w:sz w:val="24"/>
          <w:szCs w:val="24"/>
          <w:lang w:val="en-ZA"/>
        </w:rPr>
        <w:t xml:space="preserve">rogramme 6: Maritime Transport, and Programme 7: Public Transport. </w:t>
      </w:r>
    </w:p>
    <w:p w14:paraId="43733A41" w14:textId="77777777" w:rsidR="00164843" w:rsidRPr="00164843" w:rsidRDefault="00164843" w:rsidP="00164843">
      <w:pPr>
        <w:spacing w:line="360" w:lineRule="auto"/>
        <w:ind w:left="-851"/>
        <w:jc w:val="both"/>
        <w:rPr>
          <w:rFonts w:ascii="Times New Roman" w:hAnsi="Times New Roman"/>
          <w:b/>
          <w:color w:val="auto"/>
          <w:sz w:val="24"/>
          <w:szCs w:val="24"/>
          <w:lang w:val="en-ZA"/>
        </w:rPr>
      </w:pPr>
    </w:p>
    <w:p w14:paraId="33D44BDB" w14:textId="067B861C" w:rsidR="005E2332" w:rsidRPr="001869B0" w:rsidRDefault="005E2332" w:rsidP="00164843">
      <w:pPr>
        <w:pStyle w:val="ListParagraph"/>
        <w:numPr>
          <w:ilvl w:val="1"/>
          <w:numId w:val="1"/>
        </w:numPr>
        <w:spacing w:line="360" w:lineRule="auto"/>
        <w:ind w:hanging="1031"/>
        <w:jc w:val="both"/>
        <w:rPr>
          <w:rFonts w:ascii="Times New Roman" w:hAnsi="Times New Roman"/>
          <w:b/>
          <w:color w:val="auto"/>
          <w:sz w:val="24"/>
          <w:szCs w:val="24"/>
          <w:lang w:val="en-ZA"/>
        </w:rPr>
      </w:pPr>
      <w:r w:rsidRPr="001869B0">
        <w:rPr>
          <w:rFonts w:ascii="Times New Roman" w:hAnsi="Times New Roman"/>
          <w:b/>
          <w:color w:val="auto"/>
          <w:sz w:val="24"/>
          <w:szCs w:val="24"/>
          <w:lang w:val="en-ZA"/>
        </w:rPr>
        <w:t xml:space="preserve">Department of Health </w:t>
      </w:r>
    </w:p>
    <w:p w14:paraId="6FA1E964" w14:textId="77777777" w:rsidR="007E51A3" w:rsidRDefault="007E51A3" w:rsidP="00F658C1">
      <w:pPr>
        <w:spacing w:line="360" w:lineRule="auto"/>
        <w:ind w:left="-810"/>
        <w:jc w:val="both"/>
        <w:rPr>
          <w:rFonts w:ascii="Times New Roman" w:hAnsi="Times New Roman"/>
          <w:color w:val="auto"/>
          <w:sz w:val="24"/>
          <w:szCs w:val="24"/>
          <w:lang w:val="en-ZA"/>
        </w:rPr>
      </w:pPr>
    </w:p>
    <w:p w14:paraId="2B12723B" w14:textId="5B0BD2C6" w:rsidR="00145603" w:rsidRDefault="00975EE7" w:rsidP="00F658C1">
      <w:pPr>
        <w:spacing w:line="360" w:lineRule="auto"/>
        <w:ind w:left="-810"/>
        <w:jc w:val="both"/>
        <w:rPr>
          <w:rFonts w:ascii="Times New Roman" w:hAnsi="Times New Roman"/>
          <w:color w:val="auto"/>
          <w:sz w:val="24"/>
          <w:szCs w:val="24"/>
          <w:lang w:val="en-ZA"/>
        </w:rPr>
      </w:pPr>
      <w:r>
        <w:rPr>
          <w:rFonts w:ascii="Times New Roman" w:hAnsi="Times New Roman"/>
          <w:color w:val="auto"/>
          <w:sz w:val="24"/>
          <w:szCs w:val="24"/>
          <w:lang w:val="en-ZA"/>
        </w:rPr>
        <w:t>The Department of Health’s</w:t>
      </w:r>
      <w:r w:rsidR="00145603">
        <w:rPr>
          <w:rFonts w:ascii="Times New Roman" w:hAnsi="Times New Roman"/>
          <w:color w:val="auto"/>
          <w:sz w:val="24"/>
          <w:szCs w:val="24"/>
          <w:lang w:val="en-ZA"/>
        </w:rPr>
        <w:t xml:space="preserve"> main appropriation of R51.460</w:t>
      </w:r>
      <w:r w:rsidRPr="00DE52BA">
        <w:rPr>
          <w:rFonts w:ascii="Times New Roman" w:hAnsi="Times New Roman"/>
          <w:color w:val="auto"/>
          <w:sz w:val="24"/>
          <w:szCs w:val="24"/>
          <w:lang w:val="en-ZA"/>
        </w:rPr>
        <w:t xml:space="preserve"> billion has</w:t>
      </w:r>
      <w:r w:rsidR="00145603">
        <w:rPr>
          <w:rFonts w:ascii="Times New Roman" w:hAnsi="Times New Roman"/>
          <w:color w:val="auto"/>
          <w:sz w:val="24"/>
          <w:szCs w:val="24"/>
          <w:lang w:val="en-ZA"/>
        </w:rPr>
        <w:t xml:space="preserve"> been adjusted downwards by R265.527</w:t>
      </w:r>
      <w:r>
        <w:rPr>
          <w:rFonts w:ascii="Times New Roman" w:hAnsi="Times New Roman"/>
          <w:color w:val="auto"/>
          <w:sz w:val="24"/>
          <w:szCs w:val="24"/>
          <w:lang w:val="en-ZA"/>
        </w:rPr>
        <w:t xml:space="preserve"> </w:t>
      </w:r>
      <w:r w:rsidR="00145603">
        <w:rPr>
          <w:rFonts w:ascii="Times New Roman" w:hAnsi="Times New Roman"/>
          <w:color w:val="auto"/>
          <w:sz w:val="24"/>
          <w:szCs w:val="24"/>
          <w:lang w:val="en-ZA"/>
        </w:rPr>
        <w:t>m</w:t>
      </w:r>
      <w:r>
        <w:rPr>
          <w:rFonts w:ascii="Times New Roman" w:hAnsi="Times New Roman"/>
          <w:color w:val="auto"/>
          <w:sz w:val="24"/>
          <w:szCs w:val="24"/>
          <w:lang w:val="en-ZA"/>
        </w:rPr>
        <w:t>illion to R</w:t>
      </w:r>
      <w:r w:rsidR="00145603">
        <w:rPr>
          <w:rFonts w:ascii="Times New Roman" w:hAnsi="Times New Roman"/>
          <w:color w:val="auto"/>
          <w:sz w:val="24"/>
          <w:szCs w:val="24"/>
          <w:lang w:val="en-ZA"/>
        </w:rPr>
        <w:t>51.195</w:t>
      </w:r>
      <w:r w:rsidRPr="00DE52BA">
        <w:rPr>
          <w:rFonts w:ascii="Times New Roman" w:hAnsi="Times New Roman"/>
          <w:color w:val="auto"/>
          <w:sz w:val="24"/>
          <w:szCs w:val="24"/>
          <w:lang w:val="en-ZA"/>
        </w:rPr>
        <w:t xml:space="preserve"> billion. </w:t>
      </w:r>
      <w:r w:rsidR="005E2332" w:rsidRPr="001869B0">
        <w:rPr>
          <w:rFonts w:ascii="Times New Roman" w:hAnsi="Times New Roman"/>
          <w:color w:val="auto"/>
          <w:sz w:val="24"/>
          <w:szCs w:val="24"/>
          <w:lang w:val="en-ZA"/>
        </w:rPr>
        <w:t xml:space="preserve">Total expenditure </w:t>
      </w:r>
      <w:r w:rsidR="00F658C1" w:rsidRPr="001869B0">
        <w:rPr>
          <w:rFonts w:ascii="Times New Roman" w:hAnsi="Times New Roman"/>
          <w:color w:val="auto"/>
          <w:sz w:val="24"/>
          <w:szCs w:val="24"/>
          <w:lang w:val="en-ZA"/>
        </w:rPr>
        <w:t xml:space="preserve">as at the end of the second quarter of the 2019/20 </w:t>
      </w:r>
      <w:r w:rsidR="00C97958" w:rsidRPr="001869B0">
        <w:rPr>
          <w:rFonts w:ascii="Times New Roman" w:hAnsi="Times New Roman"/>
          <w:color w:val="auto"/>
          <w:sz w:val="24"/>
          <w:szCs w:val="24"/>
          <w:lang w:val="en-ZA"/>
        </w:rPr>
        <w:t xml:space="preserve">financial year </w:t>
      </w:r>
      <w:r w:rsidR="00DE52BA">
        <w:rPr>
          <w:rFonts w:ascii="Times New Roman" w:hAnsi="Times New Roman"/>
          <w:color w:val="auto"/>
          <w:sz w:val="24"/>
          <w:szCs w:val="24"/>
          <w:lang w:val="en-ZA"/>
        </w:rPr>
        <w:t>was R24.</w:t>
      </w:r>
      <w:r w:rsidR="00F658C1" w:rsidRPr="001869B0">
        <w:rPr>
          <w:rFonts w:ascii="Times New Roman" w:hAnsi="Times New Roman"/>
          <w:color w:val="auto"/>
          <w:sz w:val="24"/>
          <w:szCs w:val="24"/>
          <w:lang w:val="en-ZA"/>
        </w:rPr>
        <w:t xml:space="preserve">997 billion or </w:t>
      </w:r>
      <w:r w:rsidR="005E2332" w:rsidRPr="001869B0">
        <w:rPr>
          <w:rFonts w:ascii="Times New Roman" w:hAnsi="Times New Roman"/>
          <w:color w:val="auto"/>
          <w:sz w:val="24"/>
          <w:szCs w:val="24"/>
          <w:lang w:val="en-ZA"/>
        </w:rPr>
        <w:t xml:space="preserve">48.8 per cent of the </w:t>
      </w:r>
      <w:r w:rsidR="00F658C1" w:rsidRPr="001869B0">
        <w:rPr>
          <w:rFonts w:ascii="Times New Roman" w:hAnsi="Times New Roman"/>
          <w:color w:val="auto"/>
          <w:sz w:val="24"/>
          <w:szCs w:val="24"/>
          <w:lang w:val="en-ZA"/>
        </w:rPr>
        <w:t xml:space="preserve">total </w:t>
      </w:r>
      <w:r w:rsidR="005E2332" w:rsidRPr="001869B0">
        <w:rPr>
          <w:rFonts w:ascii="Times New Roman" w:hAnsi="Times New Roman"/>
          <w:color w:val="auto"/>
          <w:sz w:val="24"/>
          <w:szCs w:val="24"/>
          <w:lang w:val="en-ZA"/>
        </w:rPr>
        <w:t>adjusted appropriation</w:t>
      </w:r>
      <w:r w:rsidR="00DE52BA">
        <w:rPr>
          <w:rFonts w:ascii="Times New Roman" w:hAnsi="Times New Roman"/>
          <w:color w:val="auto"/>
          <w:sz w:val="24"/>
          <w:szCs w:val="24"/>
          <w:lang w:val="en-ZA"/>
        </w:rPr>
        <w:t xml:space="preserve"> of R51.</w:t>
      </w:r>
      <w:r w:rsidR="00F658C1" w:rsidRPr="001869B0">
        <w:rPr>
          <w:rFonts w:ascii="Times New Roman" w:hAnsi="Times New Roman"/>
          <w:color w:val="auto"/>
          <w:sz w:val="24"/>
          <w:szCs w:val="24"/>
          <w:lang w:val="en-ZA"/>
        </w:rPr>
        <w:t xml:space="preserve">195 billion. </w:t>
      </w:r>
    </w:p>
    <w:p w14:paraId="454994AE" w14:textId="77777777" w:rsidR="00145603" w:rsidRDefault="00145603" w:rsidP="00F658C1">
      <w:pPr>
        <w:spacing w:line="360" w:lineRule="auto"/>
        <w:ind w:left="-810"/>
        <w:jc w:val="both"/>
        <w:rPr>
          <w:rFonts w:ascii="Times New Roman" w:hAnsi="Times New Roman"/>
          <w:color w:val="auto"/>
          <w:sz w:val="24"/>
          <w:szCs w:val="24"/>
          <w:lang w:val="en-ZA"/>
        </w:rPr>
      </w:pPr>
    </w:p>
    <w:p w14:paraId="4F226EF0" w14:textId="7C28D392" w:rsidR="00F658C1" w:rsidRPr="001869B0" w:rsidRDefault="00F658C1" w:rsidP="00F658C1">
      <w:pPr>
        <w:spacing w:line="360" w:lineRule="auto"/>
        <w:ind w:left="-810"/>
        <w:jc w:val="both"/>
        <w:rPr>
          <w:rFonts w:ascii="Times New Roman" w:hAnsi="Times New Roman"/>
          <w:color w:val="auto"/>
          <w:sz w:val="24"/>
          <w:szCs w:val="24"/>
          <w:lang w:val="en-ZA"/>
        </w:rPr>
      </w:pPr>
      <w:r w:rsidRPr="001869B0">
        <w:rPr>
          <w:rFonts w:ascii="Times New Roman" w:hAnsi="Times New Roman"/>
          <w:color w:val="auto"/>
          <w:sz w:val="24"/>
          <w:szCs w:val="24"/>
          <w:lang w:val="en-ZA"/>
        </w:rPr>
        <w:t xml:space="preserve">In terms of non-financial performance, as at the end of the second quarter of the 2019/20 financial year, the department was on track to exceed its target for mother-to-child transmission of HIV, which at the end of August 2019 was 0.68 per cent against the annual target of 0.9 per cent. However, the antiretroviral treatment programme was progressing somewhat slower than anticipated, with 4.8 million clients against a target of 5.8 million. The uptake is particularly slow among children and men, where the coverage is 60 per cent and 62 per cent respectively, compared to 72 per cent among females. </w:t>
      </w:r>
    </w:p>
    <w:p w14:paraId="3DF820AA" w14:textId="77777777" w:rsidR="00F658C1" w:rsidRPr="001869B0" w:rsidRDefault="00F658C1" w:rsidP="00F658C1">
      <w:pPr>
        <w:spacing w:line="360" w:lineRule="auto"/>
        <w:ind w:left="-810"/>
        <w:jc w:val="both"/>
        <w:rPr>
          <w:rFonts w:ascii="Times New Roman" w:hAnsi="Times New Roman"/>
          <w:color w:val="auto"/>
          <w:sz w:val="24"/>
          <w:szCs w:val="24"/>
          <w:lang w:val="en-ZA"/>
        </w:rPr>
      </w:pPr>
    </w:p>
    <w:p w14:paraId="4A0E1A67" w14:textId="6EE62C23" w:rsidR="00E6368C" w:rsidRPr="001869B0" w:rsidRDefault="00F658C1" w:rsidP="00164843">
      <w:pPr>
        <w:spacing w:line="360" w:lineRule="auto"/>
        <w:ind w:left="-810"/>
        <w:jc w:val="both"/>
        <w:rPr>
          <w:rFonts w:ascii="Times New Roman" w:hAnsi="Times New Roman"/>
          <w:color w:val="auto"/>
          <w:sz w:val="24"/>
          <w:szCs w:val="24"/>
          <w:lang w:val="en-ZA"/>
        </w:rPr>
      </w:pPr>
      <w:r w:rsidRPr="001869B0">
        <w:rPr>
          <w:rFonts w:ascii="Times New Roman" w:hAnsi="Times New Roman"/>
          <w:color w:val="auto"/>
          <w:sz w:val="24"/>
          <w:szCs w:val="24"/>
          <w:lang w:val="en-ZA"/>
        </w:rPr>
        <w:t>The department had already exceeded its annual target for the number of individuals registered on the national health insurance patient beneficiary registry. The implementation of the system in hospitals in Free State, Mpumalanga and Eastern Cape was expected to commence in the third quarter. However, protracted negotiations with Gauteng provincial facilities have caused delays in the implementation of the system in additional facilities.</w:t>
      </w:r>
      <w:r w:rsidR="006D05F4" w:rsidRPr="001869B0">
        <w:rPr>
          <w:rFonts w:ascii="Times New Roman" w:hAnsi="Times New Roman"/>
          <w:color w:val="auto"/>
          <w:sz w:val="24"/>
          <w:szCs w:val="24"/>
          <w:lang w:val="en-ZA"/>
        </w:rPr>
        <w:t xml:space="preserve"> The number of facilities reporting to the national surveillance centre on the availability of medicine has steadily increased. The de</w:t>
      </w:r>
      <w:r w:rsidR="00734F8E" w:rsidRPr="001869B0">
        <w:rPr>
          <w:rFonts w:ascii="Times New Roman" w:hAnsi="Times New Roman"/>
          <w:color w:val="auto"/>
          <w:sz w:val="24"/>
          <w:szCs w:val="24"/>
          <w:lang w:val="en-ZA"/>
        </w:rPr>
        <w:t xml:space="preserve">partment </w:t>
      </w:r>
      <w:r w:rsidR="00DE52BA">
        <w:rPr>
          <w:rFonts w:ascii="Times New Roman" w:hAnsi="Times New Roman"/>
          <w:color w:val="auto"/>
          <w:sz w:val="24"/>
          <w:szCs w:val="24"/>
          <w:lang w:val="en-ZA"/>
        </w:rPr>
        <w:t>has</w:t>
      </w:r>
      <w:r w:rsidR="00734F8E" w:rsidRPr="001869B0">
        <w:rPr>
          <w:rFonts w:ascii="Times New Roman" w:hAnsi="Times New Roman"/>
          <w:color w:val="auto"/>
          <w:sz w:val="24"/>
          <w:szCs w:val="24"/>
          <w:lang w:val="en-ZA"/>
        </w:rPr>
        <w:t xml:space="preserve"> achieved 3705 against the target of 3725 </w:t>
      </w:r>
      <w:r w:rsidR="006D05F4" w:rsidRPr="001869B0">
        <w:rPr>
          <w:rFonts w:ascii="Times New Roman" w:hAnsi="Times New Roman"/>
          <w:color w:val="auto"/>
          <w:sz w:val="24"/>
          <w:szCs w:val="24"/>
          <w:lang w:val="en-ZA"/>
        </w:rPr>
        <w:t>facili</w:t>
      </w:r>
      <w:r w:rsidR="00734F8E" w:rsidRPr="001869B0">
        <w:rPr>
          <w:rFonts w:ascii="Times New Roman" w:hAnsi="Times New Roman"/>
          <w:color w:val="auto"/>
          <w:sz w:val="24"/>
          <w:szCs w:val="24"/>
          <w:lang w:val="en-ZA"/>
        </w:rPr>
        <w:t xml:space="preserve">ties. </w:t>
      </w:r>
      <w:r w:rsidR="006D05F4" w:rsidRPr="001869B0">
        <w:rPr>
          <w:rFonts w:ascii="Times New Roman" w:hAnsi="Times New Roman"/>
          <w:color w:val="auto"/>
          <w:sz w:val="24"/>
          <w:szCs w:val="24"/>
          <w:lang w:val="en-ZA"/>
        </w:rPr>
        <w:t>Similarly, 1 920 public health care facilities qualify as ideal clinics against a target of 1 800, and the chronic medicines programme has already me</w:t>
      </w:r>
      <w:r w:rsidR="00734F8E" w:rsidRPr="001869B0">
        <w:rPr>
          <w:rFonts w:ascii="Times New Roman" w:hAnsi="Times New Roman"/>
          <w:color w:val="auto"/>
          <w:sz w:val="24"/>
          <w:szCs w:val="24"/>
          <w:lang w:val="en-ZA"/>
        </w:rPr>
        <w:t xml:space="preserve">t its annual target of 3 million patients enrolled. </w:t>
      </w:r>
      <w:r w:rsidR="006D05F4" w:rsidRPr="001869B0">
        <w:rPr>
          <w:rFonts w:ascii="Times New Roman" w:hAnsi="Times New Roman"/>
          <w:color w:val="auto"/>
          <w:sz w:val="24"/>
          <w:szCs w:val="24"/>
          <w:lang w:val="en-ZA"/>
        </w:rPr>
        <w:t xml:space="preserve">Although the department has completed repair, maintenance or refurbishment projects at only 7 health </w:t>
      </w:r>
      <w:r w:rsidR="006D05F4" w:rsidRPr="001869B0">
        <w:rPr>
          <w:rFonts w:ascii="Times New Roman" w:hAnsi="Times New Roman"/>
          <w:color w:val="auto"/>
          <w:sz w:val="24"/>
          <w:szCs w:val="24"/>
          <w:lang w:val="en-ZA"/>
        </w:rPr>
        <w:lastRenderedPageBreak/>
        <w:t>facilities in national health insurance districts against the annual target of 45, the remaining facilities are expected to reach completion stage in the second half of the financial year.</w:t>
      </w:r>
      <w:r w:rsidR="0017360B" w:rsidRPr="001869B0">
        <w:rPr>
          <w:rFonts w:ascii="Times New Roman" w:hAnsi="Times New Roman"/>
          <w:color w:val="auto"/>
          <w:sz w:val="24"/>
          <w:szCs w:val="24"/>
          <w:lang w:val="en-ZA"/>
        </w:rPr>
        <w:t xml:space="preserve"> </w:t>
      </w:r>
      <w:r w:rsidR="006D05F4" w:rsidRPr="001869B0">
        <w:rPr>
          <w:rFonts w:ascii="Times New Roman" w:hAnsi="Times New Roman"/>
          <w:color w:val="auto"/>
          <w:sz w:val="24"/>
          <w:szCs w:val="24"/>
          <w:lang w:val="en-ZA"/>
        </w:rPr>
        <w:t>During the first half of 2019/20, the department assessed 30 municipalities for adherence to environmental health norms and standards against an annual target of 31. This is in support of the department’s programme to emphasise environmental determinants of health, such as sanitation and food safety monitoring, as part of the delivery of environmental health services by municipalities.</w:t>
      </w:r>
    </w:p>
    <w:p w14:paraId="221134D0" w14:textId="77777777" w:rsidR="00E6368C" w:rsidRPr="001869B0" w:rsidRDefault="00E6368C" w:rsidP="006D05F4">
      <w:pPr>
        <w:spacing w:line="360" w:lineRule="auto"/>
        <w:ind w:left="-810"/>
        <w:jc w:val="both"/>
        <w:rPr>
          <w:rFonts w:ascii="Times New Roman" w:hAnsi="Times New Roman"/>
          <w:color w:val="auto"/>
          <w:sz w:val="24"/>
          <w:szCs w:val="24"/>
          <w:lang w:val="en-ZA"/>
        </w:rPr>
      </w:pPr>
    </w:p>
    <w:p w14:paraId="02DB868A" w14:textId="7AC69052" w:rsidR="0042206B" w:rsidRPr="001869B0" w:rsidRDefault="0042206B" w:rsidP="00164843">
      <w:pPr>
        <w:pStyle w:val="ListParagraph"/>
        <w:numPr>
          <w:ilvl w:val="2"/>
          <w:numId w:val="1"/>
        </w:numPr>
        <w:spacing w:line="360" w:lineRule="auto"/>
        <w:ind w:left="-142" w:hanging="709"/>
        <w:jc w:val="both"/>
        <w:rPr>
          <w:rFonts w:ascii="Times New Roman" w:hAnsi="Times New Roman"/>
          <w:b/>
          <w:color w:val="auto"/>
          <w:sz w:val="24"/>
          <w:szCs w:val="24"/>
          <w:lang w:val="en-ZA"/>
        </w:rPr>
      </w:pPr>
      <w:r w:rsidRPr="001869B0">
        <w:rPr>
          <w:rFonts w:ascii="Times New Roman" w:hAnsi="Times New Roman"/>
          <w:b/>
          <w:color w:val="auto"/>
          <w:sz w:val="24"/>
          <w:szCs w:val="24"/>
          <w:lang w:val="en-ZA"/>
        </w:rPr>
        <w:t>Virements and adjustments within the Department of Health</w:t>
      </w:r>
      <w:r w:rsidR="00E6368C" w:rsidRPr="001869B0">
        <w:rPr>
          <w:rFonts w:ascii="Times New Roman" w:hAnsi="Times New Roman"/>
          <w:b/>
          <w:color w:val="auto"/>
          <w:sz w:val="24"/>
          <w:szCs w:val="24"/>
          <w:lang w:val="en-ZA"/>
        </w:rPr>
        <w:t xml:space="preserve"> that require P</w:t>
      </w:r>
      <w:r w:rsidRPr="001869B0">
        <w:rPr>
          <w:rFonts w:ascii="Times New Roman" w:hAnsi="Times New Roman"/>
          <w:b/>
          <w:color w:val="auto"/>
          <w:sz w:val="24"/>
          <w:szCs w:val="24"/>
          <w:lang w:val="en-ZA"/>
        </w:rPr>
        <w:t>arliament</w:t>
      </w:r>
      <w:r w:rsidR="00E6368C" w:rsidRPr="001869B0">
        <w:rPr>
          <w:rFonts w:ascii="Times New Roman" w:hAnsi="Times New Roman"/>
          <w:b/>
          <w:color w:val="auto"/>
          <w:sz w:val="24"/>
          <w:szCs w:val="24"/>
          <w:lang w:val="en-ZA"/>
        </w:rPr>
        <w:t>’s</w:t>
      </w:r>
      <w:r w:rsidRPr="001869B0">
        <w:rPr>
          <w:rFonts w:ascii="Times New Roman" w:hAnsi="Times New Roman"/>
          <w:b/>
          <w:color w:val="auto"/>
          <w:sz w:val="24"/>
          <w:szCs w:val="24"/>
          <w:lang w:val="en-ZA"/>
        </w:rPr>
        <w:t xml:space="preserve"> approval</w:t>
      </w:r>
    </w:p>
    <w:p w14:paraId="7FE78397" w14:textId="692A0474" w:rsidR="00FC3CDB" w:rsidRPr="001869B0" w:rsidRDefault="00145603" w:rsidP="00164843">
      <w:pPr>
        <w:pStyle w:val="ListParagraph"/>
        <w:numPr>
          <w:ilvl w:val="0"/>
          <w:numId w:val="2"/>
        </w:numPr>
        <w:spacing w:line="360" w:lineRule="auto"/>
        <w:ind w:left="567" w:hanging="425"/>
        <w:jc w:val="both"/>
        <w:rPr>
          <w:rFonts w:ascii="Times New Roman" w:hAnsi="Times New Roman"/>
          <w:color w:val="auto"/>
          <w:sz w:val="24"/>
          <w:szCs w:val="24"/>
          <w:lang w:val="en-ZA"/>
        </w:rPr>
      </w:pPr>
      <w:r>
        <w:rPr>
          <w:rFonts w:ascii="Times New Roman" w:hAnsi="Times New Roman"/>
          <w:color w:val="auto"/>
          <w:sz w:val="24"/>
          <w:szCs w:val="24"/>
          <w:lang w:val="en-ZA"/>
        </w:rPr>
        <w:t>R155 million</w:t>
      </w:r>
      <w:r w:rsidR="003B5E66" w:rsidRPr="001869B0">
        <w:rPr>
          <w:rFonts w:ascii="Times New Roman" w:hAnsi="Times New Roman"/>
          <w:color w:val="auto"/>
          <w:sz w:val="24"/>
          <w:szCs w:val="24"/>
          <w:lang w:val="en-ZA"/>
        </w:rPr>
        <w:t xml:space="preserve"> shifted from the National Health In</w:t>
      </w:r>
      <w:r>
        <w:rPr>
          <w:rFonts w:ascii="Times New Roman" w:hAnsi="Times New Roman"/>
          <w:color w:val="auto"/>
          <w:sz w:val="24"/>
          <w:szCs w:val="24"/>
          <w:lang w:val="en-ZA"/>
        </w:rPr>
        <w:t xml:space="preserve">surance </w:t>
      </w:r>
      <w:r w:rsidR="007E51A3">
        <w:rPr>
          <w:rFonts w:ascii="Times New Roman" w:hAnsi="Times New Roman"/>
          <w:color w:val="auto"/>
          <w:sz w:val="24"/>
          <w:szCs w:val="24"/>
          <w:lang w:val="en-ZA"/>
        </w:rPr>
        <w:t xml:space="preserve">(NHI) </w:t>
      </w:r>
      <w:r>
        <w:rPr>
          <w:rFonts w:ascii="Times New Roman" w:hAnsi="Times New Roman"/>
          <w:color w:val="auto"/>
          <w:sz w:val="24"/>
          <w:szCs w:val="24"/>
          <w:lang w:val="en-ZA"/>
        </w:rPr>
        <w:t xml:space="preserve">Indirect Grant: </w:t>
      </w:r>
      <w:r w:rsidR="003B5E66" w:rsidRPr="001869B0">
        <w:rPr>
          <w:rFonts w:ascii="Times New Roman" w:hAnsi="Times New Roman"/>
          <w:color w:val="auto"/>
          <w:sz w:val="24"/>
          <w:szCs w:val="24"/>
          <w:lang w:val="en-ZA"/>
        </w:rPr>
        <w:t xml:space="preserve">personal and non-personal services component to the Human Resource Capacitation Grant in provinces to pay for health professional personnel </w:t>
      </w:r>
      <w:r w:rsidR="008C7A04" w:rsidRPr="001869B0">
        <w:rPr>
          <w:rFonts w:ascii="Times New Roman" w:hAnsi="Times New Roman"/>
          <w:color w:val="auto"/>
          <w:sz w:val="24"/>
          <w:szCs w:val="24"/>
          <w:lang w:val="en-ZA"/>
        </w:rPr>
        <w:t xml:space="preserve">carry through post in provinces and municipalities. </w:t>
      </w:r>
    </w:p>
    <w:p w14:paraId="0FEC9FC3" w14:textId="1A52D193" w:rsidR="008C7A04" w:rsidRPr="001869B0" w:rsidRDefault="008C7A04" w:rsidP="00164843">
      <w:pPr>
        <w:pStyle w:val="ListParagraph"/>
        <w:numPr>
          <w:ilvl w:val="0"/>
          <w:numId w:val="2"/>
        </w:numPr>
        <w:spacing w:line="360" w:lineRule="auto"/>
        <w:ind w:left="567" w:hanging="425"/>
        <w:jc w:val="both"/>
        <w:rPr>
          <w:rFonts w:ascii="Times New Roman" w:hAnsi="Times New Roman"/>
          <w:color w:val="auto"/>
          <w:sz w:val="24"/>
          <w:szCs w:val="24"/>
          <w:lang w:val="en-ZA"/>
        </w:rPr>
      </w:pPr>
      <w:r w:rsidRPr="001869B0">
        <w:rPr>
          <w:rFonts w:ascii="Times New Roman" w:hAnsi="Times New Roman"/>
          <w:color w:val="auto"/>
          <w:sz w:val="24"/>
          <w:szCs w:val="24"/>
          <w:lang w:val="en-ZA"/>
        </w:rPr>
        <w:t>R289.2</w:t>
      </w:r>
      <w:r w:rsidR="00460B7C">
        <w:rPr>
          <w:rFonts w:ascii="Times New Roman" w:hAnsi="Times New Roman"/>
          <w:color w:val="auto"/>
          <w:sz w:val="24"/>
          <w:szCs w:val="24"/>
          <w:lang w:val="en-ZA"/>
        </w:rPr>
        <w:t>88 shifted from the NHI</w:t>
      </w:r>
      <w:r w:rsidRPr="001869B0">
        <w:rPr>
          <w:rFonts w:ascii="Times New Roman" w:hAnsi="Times New Roman"/>
          <w:color w:val="auto"/>
          <w:sz w:val="24"/>
          <w:szCs w:val="24"/>
          <w:lang w:val="en-ZA"/>
        </w:rPr>
        <w:t xml:space="preserve"> Grant</w:t>
      </w:r>
      <w:r w:rsidR="00460B7C">
        <w:rPr>
          <w:rFonts w:ascii="Times New Roman" w:hAnsi="Times New Roman"/>
          <w:color w:val="auto"/>
          <w:sz w:val="24"/>
          <w:szCs w:val="24"/>
          <w:lang w:val="en-ZA"/>
        </w:rPr>
        <w:t>:</w:t>
      </w:r>
      <w:r w:rsidRPr="001869B0">
        <w:rPr>
          <w:rFonts w:ascii="Times New Roman" w:hAnsi="Times New Roman"/>
          <w:color w:val="auto"/>
          <w:sz w:val="24"/>
          <w:szCs w:val="24"/>
          <w:lang w:val="en-ZA"/>
        </w:rPr>
        <w:t xml:space="preserve"> personal and non-per</w:t>
      </w:r>
      <w:r w:rsidR="00460B7C">
        <w:rPr>
          <w:rFonts w:ascii="Times New Roman" w:hAnsi="Times New Roman"/>
          <w:color w:val="auto"/>
          <w:sz w:val="24"/>
          <w:szCs w:val="24"/>
          <w:lang w:val="en-ZA"/>
        </w:rPr>
        <w:t>sonal services component</w:t>
      </w:r>
      <w:r w:rsidRPr="001869B0">
        <w:rPr>
          <w:rFonts w:ascii="Times New Roman" w:hAnsi="Times New Roman"/>
          <w:color w:val="auto"/>
          <w:sz w:val="24"/>
          <w:szCs w:val="24"/>
          <w:lang w:val="en-ZA"/>
        </w:rPr>
        <w:t xml:space="preserve"> to</w:t>
      </w:r>
      <w:r w:rsidR="00460B7C">
        <w:rPr>
          <w:rFonts w:ascii="Times New Roman" w:hAnsi="Times New Roman"/>
          <w:color w:val="auto"/>
          <w:sz w:val="24"/>
          <w:szCs w:val="24"/>
          <w:lang w:val="en-ZA"/>
        </w:rPr>
        <w:t xml:space="preserve"> the </w:t>
      </w:r>
      <w:r w:rsidR="00460B7C" w:rsidRPr="003241CD">
        <w:rPr>
          <w:rFonts w:ascii="Times New Roman" w:hAnsi="Times New Roman"/>
          <w:color w:val="auto"/>
          <w:sz w:val="24"/>
          <w:szCs w:val="24"/>
          <w:lang w:val="en-ZA"/>
        </w:rPr>
        <w:t>NHI Direct</w:t>
      </w:r>
      <w:r w:rsidRPr="003241CD">
        <w:rPr>
          <w:rFonts w:ascii="Times New Roman" w:hAnsi="Times New Roman"/>
          <w:color w:val="auto"/>
          <w:sz w:val="24"/>
          <w:szCs w:val="24"/>
          <w:lang w:val="en-ZA"/>
        </w:rPr>
        <w:t xml:space="preserve"> Grant</w:t>
      </w:r>
      <w:r w:rsidRPr="001869B0">
        <w:rPr>
          <w:rFonts w:ascii="Times New Roman" w:hAnsi="Times New Roman"/>
          <w:color w:val="auto"/>
          <w:sz w:val="24"/>
          <w:szCs w:val="24"/>
          <w:lang w:val="en-ZA"/>
        </w:rPr>
        <w:t xml:space="preserve"> to pay for health professional personnel carry through post in provinces and municipalities.</w:t>
      </w:r>
    </w:p>
    <w:p w14:paraId="79AE5A9B" w14:textId="229D2489" w:rsidR="008C7A04" w:rsidRPr="003241CD" w:rsidRDefault="00460B7C" w:rsidP="00164843">
      <w:pPr>
        <w:pStyle w:val="ListParagraph"/>
        <w:numPr>
          <w:ilvl w:val="0"/>
          <w:numId w:val="2"/>
        </w:numPr>
        <w:spacing w:line="360" w:lineRule="auto"/>
        <w:ind w:left="567" w:hanging="425"/>
        <w:jc w:val="both"/>
        <w:rPr>
          <w:rFonts w:ascii="Times New Roman" w:hAnsi="Times New Roman"/>
          <w:color w:val="auto"/>
          <w:sz w:val="24"/>
          <w:szCs w:val="24"/>
          <w:lang w:val="en-ZA"/>
        </w:rPr>
      </w:pPr>
      <w:r w:rsidRPr="003241CD">
        <w:rPr>
          <w:rFonts w:ascii="Times New Roman" w:hAnsi="Times New Roman"/>
          <w:color w:val="auto"/>
          <w:sz w:val="24"/>
          <w:szCs w:val="24"/>
          <w:lang w:val="en-ZA"/>
        </w:rPr>
        <w:t>R100 million</w:t>
      </w:r>
      <w:r w:rsidR="008C7A04" w:rsidRPr="003241CD">
        <w:rPr>
          <w:rFonts w:ascii="Times New Roman" w:hAnsi="Times New Roman"/>
          <w:color w:val="auto"/>
          <w:sz w:val="24"/>
          <w:szCs w:val="24"/>
          <w:lang w:val="en-ZA"/>
        </w:rPr>
        <w:t xml:space="preserve"> shifted from the department’s communicable and non-communicable diseases programme (HIV prevention and Management) to the Human resources Capacitation Grant in provinces and municipalities.</w:t>
      </w:r>
    </w:p>
    <w:p w14:paraId="2861D1E1" w14:textId="5CB71BBB" w:rsidR="001563DD" w:rsidRPr="001869B0" w:rsidRDefault="008C7A04" w:rsidP="00164843">
      <w:pPr>
        <w:pStyle w:val="ListParagraph"/>
        <w:numPr>
          <w:ilvl w:val="0"/>
          <w:numId w:val="2"/>
        </w:numPr>
        <w:spacing w:line="360" w:lineRule="auto"/>
        <w:ind w:left="567" w:hanging="425"/>
        <w:jc w:val="both"/>
        <w:rPr>
          <w:rFonts w:ascii="Times New Roman" w:hAnsi="Times New Roman"/>
          <w:color w:val="auto"/>
          <w:sz w:val="24"/>
          <w:szCs w:val="24"/>
          <w:lang w:val="en-ZA"/>
        </w:rPr>
      </w:pPr>
      <w:r w:rsidRPr="001869B0">
        <w:rPr>
          <w:rFonts w:ascii="Times New Roman" w:hAnsi="Times New Roman"/>
          <w:color w:val="auto"/>
          <w:sz w:val="24"/>
          <w:szCs w:val="24"/>
          <w:lang w:val="en-ZA"/>
        </w:rPr>
        <w:t xml:space="preserve">R43 million shifted from </w:t>
      </w:r>
      <w:r w:rsidR="007E51A3">
        <w:rPr>
          <w:rFonts w:ascii="Times New Roman" w:hAnsi="Times New Roman"/>
          <w:color w:val="auto"/>
          <w:sz w:val="24"/>
          <w:szCs w:val="24"/>
          <w:lang w:val="en-ZA"/>
        </w:rPr>
        <w:t xml:space="preserve">the </w:t>
      </w:r>
      <w:r w:rsidR="001563DD" w:rsidRPr="001869B0">
        <w:rPr>
          <w:rFonts w:ascii="Times New Roman" w:hAnsi="Times New Roman"/>
          <w:color w:val="auto"/>
          <w:sz w:val="24"/>
          <w:szCs w:val="24"/>
          <w:lang w:val="en-ZA"/>
        </w:rPr>
        <w:t xml:space="preserve">Human Papillomavirus Grant to the HR Capacitation Grant in Province and Municipalities. </w:t>
      </w:r>
    </w:p>
    <w:p w14:paraId="1A8CE8D7" w14:textId="4DBAD299" w:rsidR="001563DD" w:rsidRPr="001869B0" w:rsidRDefault="001563DD" w:rsidP="00164843">
      <w:pPr>
        <w:pStyle w:val="ListParagraph"/>
        <w:numPr>
          <w:ilvl w:val="0"/>
          <w:numId w:val="2"/>
        </w:numPr>
        <w:spacing w:line="360" w:lineRule="auto"/>
        <w:ind w:left="567" w:hanging="425"/>
        <w:jc w:val="both"/>
        <w:rPr>
          <w:rFonts w:ascii="Times New Roman" w:hAnsi="Times New Roman"/>
          <w:color w:val="auto"/>
          <w:sz w:val="24"/>
          <w:szCs w:val="24"/>
          <w:lang w:val="en-ZA"/>
        </w:rPr>
      </w:pPr>
      <w:r w:rsidRPr="001869B0">
        <w:rPr>
          <w:rFonts w:ascii="Times New Roman" w:hAnsi="Times New Roman"/>
          <w:color w:val="auto"/>
          <w:sz w:val="24"/>
          <w:szCs w:val="24"/>
          <w:lang w:val="en-ZA"/>
        </w:rPr>
        <w:t>R</w:t>
      </w:r>
      <w:r w:rsidR="007E51A3">
        <w:rPr>
          <w:rFonts w:ascii="Times New Roman" w:hAnsi="Times New Roman"/>
          <w:color w:val="auto"/>
          <w:sz w:val="24"/>
          <w:szCs w:val="24"/>
          <w:lang w:val="en-ZA"/>
        </w:rPr>
        <w:t xml:space="preserve">75 million </w:t>
      </w:r>
      <w:r w:rsidRPr="001869B0">
        <w:rPr>
          <w:rFonts w:ascii="Times New Roman" w:hAnsi="Times New Roman"/>
          <w:color w:val="auto"/>
          <w:sz w:val="24"/>
          <w:szCs w:val="24"/>
          <w:lang w:val="en-ZA"/>
        </w:rPr>
        <w:t>shifted from the Hospital System</w:t>
      </w:r>
      <w:r w:rsidR="007E51A3">
        <w:rPr>
          <w:rFonts w:ascii="Times New Roman" w:hAnsi="Times New Roman"/>
          <w:color w:val="auto"/>
          <w:sz w:val="24"/>
          <w:szCs w:val="24"/>
          <w:lang w:val="en-ZA"/>
        </w:rPr>
        <w:t>s</w:t>
      </w:r>
      <w:r w:rsidRPr="001869B0">
        <w:rPr>
          <w:rFonts w:ascii="Times New Roman" w:hAnsi="Times New Roman"/>
          <w:color w:val="auto"/>
          <w:sz w:val="24"/>
          <w:szCs w:val="24"/>
          <w:lang w:val="en-ZA"/>
        </w:rPr>
        <w:t xml:space="preserve"> programme (refurbi</w:t>
      </w:r>
      <w:r w:rsidR="007E51A3">
        <w:rPr>
          <w:rFonts w:ascii="Times New Roman" w:hAnsi="Times New Roman"/>
          <w:color w:val="auto"/>
          <w:sz w:val="24"/>
          <w:szCs w:val="24"/>
          <w:lang w:val="en-ZA"/>
        </w:rPr>
        <w:t xml:space="preserve">shment of health facilities) to </w:t>
      </w:r>
      <w:r w:rsidRPr="001869B0">
        <w:rPr>
          <w:rFonts w:ascii="Times New Roman" w:hAnsi="Times New Roman"/>
          <w:color w:val="auto"/>
          <w:sz w:val="24"/>
          <w:szCs w:val="24"/>
          <w:lang w:val="en-ZA"/>
        </w:rPr>
        <w:t xml:space="preserve">good and services to pay for hospital beds and linen in Limpopo Province. </w:t>
      </w:r>
    </w:p>
    <w:p w14:paraId="6707F16F" w14:textId="3C336015" w:rsidR="008C7A04" w:rsidRDefault="007E51A3" w:rsidP="006153AD">
      <w:pPr>
        <w:pStyle w:val="ListParagraph"/>
        <w:numPr>
          <w:ilvl w:val="0"/>
          <w:numId w:val="2"/>
        </w:numPr>
        <w:spacing w:line="360" w:lineRule="auto"/>
        <w:ind w:left="567" w:hanging="425"/>
        <w:jc w:val="both"/>
        <w:rPr>
          <w:rFonts w:ascii="Times New Roman" w:hAnsi="Times New Roman"/>
          <w:color w:val="auto"/>
          <w:sz w:val="24"/>
          <w:szCs w:val="24"/>
          <w:lang w:val="en-ZA"/>
        </w:rPr>
      </w:pPr>
      <w:r>
        <w:rPr>
          <w:rFonts w:ascii="Times New Roman" w:hAnsi="Times New Roman"/>
          <w:color w:val="auto"/>
          <w:sz w:val="24"/>
          <w:szCs w:val="24"/>
          <w:lang w:val="en-ZA"/>
        </w:rPr>
        <w:t>R95 million</w:t>
      </w:r>
      <w:r w:rsidR="001563DD" w:rsidRPr="001869B0">
        <w:rPr>
          <w:rFonts w:ascii="Times New Roman" w:hAnsi="Times New Roman"/>
          <w:color w:val="auto"/>
          <w:sz w:val="24"/>
          <w:szCs w:val="24"/>
          <w:lang w:val="en-ZA"/>
        </w:rPr>
        <w:t xml:space="preserve"> shifted from the Hospital System</w:t>
      </w:r>
      <w:r>
        <w:rPr>
          <w:rFonts w:ascii="Times New Roman" w:hAnsi="Times New Roman"/>
          <w:color w:val="auto"/>
          <w:sz w:val="24"/>
          <w:szCs w:val="24"/>
          <w:lang w:val="en-ZA"/>
        </w:rPr>
        <w:t>s</w:t>
      </w:r>
      <w:r w:rsidR="001563DD" w:rsidRPr="001869B0">
        <w:rPr>
          <w:rFonts w:ascii="Times New Roman" w:hAnsi="Times New Roman"/>
          <w:color w:val="auto"/>
          <w:sz w:val="24"/>
          <w:szCs w:val="24"/>
          <w:lang w:val="en-ZA"/>
        </w:rPr>
        <w:t xml:space="preserve"> programme (refurbishment of health facilities) </w:t>
      </w:r>
      <w:r>
        <w:rPr>
          <w:rFonts w:ascii="Times New Roman" w:hAnsi="Times New Roman"/>
          <w:color w:val="auto"/>
          <w:sz w:val="24"/>
          <w:szCs w:val="24"/>
          <w:lang w:val="en-ZA"/>
        </w:rPr>
        <w:t xml:space="preserve">to </w:t>
      </w:r>
      <w:r w:rsidR="001563DD" w:rsidRPr="001869B0">
        <w:rPr>
          <w:rFonts w:ascii="Times New Roman" w:hAnsi="Times New Roman"/>
          <w:color w:val="auto"/>
          <w:sz w:val="24"/>
          <w:szCs w:val="24"/>
          <w:lang w:val="en-ZA"/>
        </w:rPr>
        <w:t xml:space="preserve">machinery and equipment to </w:t>
      </w:r>
      <w:r>
        <w:rPr>
          <w:rFonts w:ascii="Times New Roman" w:hAnsi="Times New Roman"/>
          <w:color w:val="auto"/>
          <w:sz w:val="24"/>
          <w:szCs w:val="24"/>
          <w:lang w:val="en-ZA"/>
        </w:rPr>
        <w:t xml:space="preserve">pay for hospital beds </w:t>
      </w:r>
      <w:r w:rsidR="001563DD" w:rsidRPr="001869B0">
        <w:rPr>
          <w:rFonts w:ascii="Times New Roman" w:hAnsi="Times New Roman"/>
          <w:color w:val="auto"/>
          <w:sz w:val="24"/>
          <w:szCs w:val="24"/>
          <w:lang w:val="en-ZA"/>
        </w:rPr>
        <w:t>in provinces.</w:t>
      </w:r>
    </w:p>
    <w:p w14:paraId="19F9DF2C" w14:textId="5265411F" w:rsidR="006153AD" w:rsidRPr="001869B0" w:rsidRDefault="006153AD" w:rsidP="006153AD">
      <w:pPr>
        <w:pStyle w:val="ListParagraph"/>
        <w:numPr>
          <w:ilvl w:val="0"/>
          <w:numId w:val="2"/>
        </w:numPr>
        <w:spacing w:line="360" w:lineRule="auto"/>
        <w:ind w:left="567" w:hanging="425"/>
        <w:jc w:val="both"/>
        <w:rPr>
          <w:rFonts w:ascii="Times New Roman" w:hAnsi="Times New Roman"/>
          <w:color w:val="auto"/>
          <w:sz w:val="24"/>
          <w:szCs w:val="24"/>
          <w:lang w:val="en-ZA"/>
        </w:rPr>
      </w:pPr>
      <w:r>
        <w:rPr>
          <w:rFonts w:ascii="Times New Roman" w:hAnsi="Times New Roman"/>
          <w:color w:val="auto"/>
          <w:sz w:val="24"/>
          <w:szCs w:val="24"/>
          <w:lang w:val="en-ZA"/>
        </w:rPr>
        <w:t xml:space="preserve">R2 million shifted from the National Health Insurance (Health technology assessment) to the HR capacitation grant. </w:t>
      </w:r>
    </w:p>
    <w:p w14:paraId="1DAA856F" w14:textId="77777777" w:rsidR="008C7A04" w:rsidRPr="001869B0" w:rsidRDefault="008C7A04" w:rsidP="006153AD">
      <w:pPr>
        <w:spacing w:line="360" w:lineRule="auto"/>
        <w:jc w:val="both"/>
        <w:rPr>
          <w:rFonts w:ascii="Times New Roman" w:hAnsi="Times New Roman"/>
          <w:color w:val="auto"/>
          <w:sz w:val="24"/>
          <w:szCs w:val="24"/>
          <w:lang w:val="en-ZA"/>
        </w:rPr>
      </w:pPr>
    </w:p>
    <w:p w14:paraId="29DDFFB0" w14:textId="77777777" w:rsidR="00E56C4D" w:rsidRPr="001869B0" w:rsidRDefault="00E215BA">
      <w:pPr>
        <w:pStyle w:val="ListParagraph"/>
        <w:numPr>
          <w:ilvl w:val="1"/>
          <w:numId w:val="1"/>
        </w:numPr>
        <w:spacing w:line="360" w:lineRule="auto"/>
        <w:ind w:left="-142" w:hanging="709"/>
        <w:jc w:val="both"/>
        <w:rPr>
          <w:rFonts w:ascii="Times New Roman" w:hAnsi="Times New Roman"/>
          <w:b/>
          <w:color w:val="auto"/>
          <w:sz w:val="24"/>
          <w:szCs w:val="24"/>
          <w:lang w:val="en-ZA"/>
        </w:rPr>
      </w:pPr>
      <w:r w:rsidRPr="001869B0">
        <w:rPr>
          <w:rFonts w:ascii="Times New Roman" w:hAnsi="Times New Roman"/>
          <w:b/>
          <w:color w:val="auto"/>
          <w:sz w:val="24"/>
          <w:szCs w:val="24"/>
          <w:lang w:val="en-ZA"/>
        </w:rPr>
        <w:t>Department of Water and Sanitation</w:t>
      </w:r>
    </w:p>
    <w:p w14:paraId="2393B618" w14:textId="77777777" w:rsidR="00E56C4D" w:rsidRPr="001869B0" w:rsidRDefault="00E56C4D">
      <w:pPr>
        <w:pStyle w:val="ListParagraph"/>
        <w:spacing w:line="360" w:lineRule="auto"/>
        <w:ind w:left="180"/>
        <w:jc w:val="both"/>
        <w:rPr>
          <w:rFonts w:ascii="Times New Roman" w:hAnsi="Times New Roman"/>
          <w:color w:val="auto"/>
          <w:sz w:val="24"/>
          <w:szCs w:val="24"/>
          <w:lang w:val="en-ZA"/>
        </w:rPr>
      </w:pPr>
    </w:p>
    <w:p w14:paraId="2B8D068C" w14:textId="54927339" w:rsidR="0044420A" w:rsidRDefault="007E51A3">
      <w:pPr>
        <w:pStyle w:val="ListParagraph"/>
        <w:spacing w:line="360" w:lineRule="auto"/>
        <w:ind w:left="-810"/>
        <w:jc w:val="both"/>
        <w:rPr>
          <w:rFonts w:ascii="Times New Roman" w:hAnsi="Times New Roman"/>
          <w:color w:val="auto"/>
          <w:sz w:val="24"/>
          <w:szCs w:val="24"/>
          <w:lang w:val="en-ZA"/>
        </w:rPr>
      </w:pPr>
      <w:r>
        <w:rPr>
          <w:rFonts w:ascii="Times New Roman" w:hAnsi="Times New Roman"/>
          <w:color w:val="auto"/>
          <w:sz w:val="24"/>
          <w:szCs w:val="24"/>
          <w:lang w:val="en-ZA"/>
        </w:rPr>
        <w:t xml:space="preserve">The Department of Water and Sanitation’s </w:t>
      </w:r>
      <w:r w:rsidR="000D2206">
        <w:rPr>
          <w:rFonts w:ascii="Times New Roman" w:hAnsi="Times New Roman"/>
          <w:color w:val="auto"/>
          <w:sz w:val="24"/>
          <w:szCs w:val="24"/>
          <w:lang w:val="en-ZA"/>
        </w:rPr>
        <w:t>main appropriation of R16.440</w:t>
      </w:r>
      <w:r w:rsidR="000D2206" w:rsidRPr="000D2206">
        <w:rPr>
          <w:rFonts w:ascii="Times New Roman" w:hAnsi="Times New Roman"/>
          <w:color w:val="auto"/>
          <w:sz w:val="24"/>
          <w:szCs w:val="24"/>
          <w:lang w:val="en-ZA"/>
        </w:rPr>
        <w:t xml:space="preserve"> billion has bee</w:t>
      </w:r>
      <w:r w:rsidR="000D2206">
        <w:rPr>
          <w:rFonts w:ascii="Times New Roman" w:hAnsi="Times New Roman"/>
          <w:color w:val="auto"/>
          <w:sz w:val="24"/>
          <w:szCs w:val="24"/>
          <w:lang w:val="en-ZA"/>
        </w:rPr>
        <w:t xml:space="preserve">n adjusted </w:t>
      </w:r>
      <w:r w:rsidR="006153AD">
        <w:rPr>
          <w:rFonts w:ascii="Times New Roman" w:hAnsi="Times New Roman"/>
          <w:color w:val="auto"/>
          <w:sz w:val="24"/>
          <w:szCs w:val="24"/>
          <w:lang w:val="en-ZA"/>
        </w:rPr>
        <w:t>upwards</w:t>
      </w:r>
      <w:r w:rsidR="000D2206">
        <w:rPr>
          <w:rFonts w:ascii="Times New Roman" w:hAnsi="Times New Roman"/>
          <w:color w:val="auto"/>
          <w:sz w:val="24"/>
          <w:szCs w:val="24"/>
          <w:lang w:val="en-ZA"/>
        </w:rPr>
        <w:t xml:space="preserve"> by R26.927</w:t>
      </w:r>
      <w:r w:rsidR="000D2206" w:rsidRPr="000D2206">
        <w:rPr>
          <w:rFonts w:ascii="Times New Roman" w:hAnsi="Times New Roman"/>
          <w:color w:val="auto"/>
          <w:sz w:val="24"/>
          <w:szCs w:val="24"/>
          <w:lang w:val="en-ZA"/>
        </w:rPr>
        <w:t xml:space="preserve"> million</w:t>
      </w:r>
      <w:r w:rsidR="006153AD">
        <w:rPr>
          <w:rFonts w:ascii="Times New Roman" w:hAnsi="Times New Roman"/>
          <w:color w:val="auto"/>
          <w:sz w:val="24"/>
          <w:szCs w:val="24"/>
          <w:lang w:val="en-ZA"/>
        </w:rPr>
        <w:t xml:space="preserve"> increase</w:t>
      </w:r>
      <w:r w:rsidR="000D2206" w:rsidRPr="000D2206">
        <w:rPr>
          <w:rFonts w:ascii="Times New Roman" w:hAnsi="Times New Roman"/>
          <w:color w:val="auto"/>
          <w:sz w:val="24"/>
          <w:szCs w:val="24"/>
          <w:lang w:val="en-ZA"/>
        </w:rPr>
        <w:t xml:space="preserve"> to R</w:t>
      </w:r>
      <w:r w:rsidR="000D2206">
        <w:rPr>
          <w:rFonts w:ascii="Times New Roman" w:hAnsi="Times New Roman"/>
          <w:color w:val="auto"/>
          <w:sz w:val="24"/>
          <w:szCs w:val="24"/>
          <w:lang w:val="en-ZA"/>
        </w:rPr>
        <w:t>16.467</w:t>
      </w:r>
      <w:r w:rsidR="000D2206" w:rsidRPr="000D2206">
        <w:rPr>
          <w:rFonts w:ascii="Times New Roman" w:hAnsi="Times New Roman"/>
          <w:color w:val="auto"/>
          <w:sz w:val="24"/>
          <w:szCs w:val="24"/>
          <w:lang w:val="en-ZA"/>
        </w:rPr>
        <w:t xml:space="preserve"> billion. </w:t>
      </w:r>
      <w:r w:rsidR="0044420A" w:rsidRPr="00DE52BA">
        <w:rPr>
          <w:rFonts w:ascii="Times New Roman" w:hAnsi="Times New Roman"/>
          <w:color w:val="auto"/>
          <w:sz w:val="24"/>
          <w:szCs w:val="24"/>
          <w:lang w:val="en-ZA"/>
        </w:rPr>
        <w:t xml:space="preserve">The Department </w:t>
      </w:r>
      <w:r w:rsidR="0044420A" w:rsidRPr="00DE52BA">
        <w:rPr>
          <w:rFonts w:ascii="Times New Roman" w:hAnsi="Times New Roman"/>
          <w:color w:val="auto"/>
          <w:sz w:val="24"/>
          <w:szCs w:val="24"/>
          <w:lang w:val="en-ZA"/>
        </w:rPr>
        <w:lastRenderedPageBreak/>
        <w:t>did not have virements exceeding 8 per cent.</w:t>
      </w:r>
      <w:r w:rsidR="0044420A">
        <w:rPr>
          <w:rFonts w:ascii="Times New Roman" w:hAnsi="Times New Roman"/>
          <w:color w:val="auto"/>
          <w:sz w:val="24"/>
          <w:szCs w:val="24"/>
          <w:lang w:val="en-ZA"/>
        </w:rPr>
        <w:t xml:space="preserve"> </w:t>
      </w:r>
      <w:r w:rsidR="00E56C4D" w:rsidRPr="001869B0">
        <w:rPr>
          <w:rFonts w:ascii="Times New Roman" w:hAnsi="Times New Roman"/>
          <w:color w:val="auto"/>
          <w:sz w:val="24"/>
          <w:szCs w:val="24"/>
          <w:lang w:val="en-ZA"/>
        </w:rPr>
        <w:t>Total expenditure as at the end of the second quarter of the 2019/20 financial year was R6.1</w:t>
      </w:r>
      <w:r w:rsidR="00BE1E69" w:rsidRPr="001869B0">
        <w:rPr>
          <w:rFonts w:ascii="Times New Roman" w:hAnsi="Times New Roman"/>
          <w:color w:val="auto"/>
          <w:sz w:val="24"/>
          <w:szCs w:val="24"/>
          <w:lang w:val="en-ZA"/>
        </w:rPr>
        <w:t>20</w:t>
      </w:r>
      <w:r w:rsidR="00E56C4D" w:rsidRPr="001869B0">
        <w:rPr>
          <w:rFonts w:ascii="Times New Roman" w:hAnsi="Times New Roman"/>
          <w:color w:val="auto"/>
          <w:sz w:val="24"/>
          <w:szCs w:val="24"/>
          <w:lang w:val="en-ZA"/>
        </w:rPr>
        <w:t xml:space="preserve"> billion or 37.2 per cent of the</w:t>
      </w:r>
      <w:r w:rsidR="00BE1E69" w:rsidRPr="001869B0">
        <w:rPr>
          <w:rFonts w:ascii="Times New Roman" w:hAnsi="Times New Roman"/>
          <w:color w:val="auto"/>
          <w:sz w:val="24"/>
          <w:szCs w:val="24"/>
          <w:lang w:val="en-ZA"/>
        </w:rPr>
        <w:t xml:space="preserve"> adjusted appropriation of R16.467 </w:t>
      </w:r>
      <w:r w:rsidR="00E56C4D" w:rsidRPr="001869B0">
        <w:rPr>
          <w:rFonts w:ascii="Times New Roman" w:hAnsi="Times New Roman"/>
          <w:color w:val="auto"/>
          <w:sz w:val="24"/>
          <w:szCs w:val="24"/>
          <w:lang w:val="en-ZA"/>
        </w:rPr>
        <w:t xml:space="preserve">billion for the year. </w:t>
      </w:r>
    </w:p>
    <w:p w14:paraId="5E039EBC" w14:textId="77777777" w:rsidR="0044420A" w:rsidRDefault="0044420A" w:rsidP="005C3A2F">
      <w:pPr>
        <w:pStyle w:val="ListParagraph"/>
        <w:spacing w:line="360" w:lineRule="auto"/>
        <w:ind w:left="-810"/>
        <w:jc w:val="both"/>
        <w:rPr>
          <w:rFonts w:ascii="Times New Roman" w:hAnsi="Times New Roman"/>
          <w:color w:val="auto"/>
          <w:sz w:val="24"/>
          <w:szCs w:val="24"/>
          <w:lang w:val="en-ZA"/>
        </w:rPr>
      </w:pPr>
    </w:p>
    <w:p w14:paraId="29747CED" w14:textId="15D262FA" w:rsidR="00153B82" w:rsidRPr="001869B0" w:rsidRDefault="00E56C4D" w:rsidP="005C3A2F">
      <w:pPr>
        <w:pStyle w:val="ListParagraph"/>
        <w:spacing w:line="360" w:lineRule="auto"/>
        <w:ind w:left="-810"/>
        <w:jc w:val="both"/>
        <w:rPr>
          <w:rFonts w:ascii="Times New Roman" w:hAnsi="Times New Roman"/>
          <w:color w:val="auto"/>
          <w:sz w:val="24"/>
          <w:szCs w:val="24"/>
          <w:lang w:val="en-ZA"/>
        </w:rPr>
      </w:pPr>
      <w:r w:rsidRPr="001869B0">
        <w:rPr>
          <w:rFonts w:ascii="Times New Roman" w:hAnsi="Times New Roman"/>
          <w:color w:val="auto"/>
          <w:sz w:val="24"/>
          <w:szCs w:val="24"/>
          <w:lang w:val="en-ZA"/>
        </w:rPr>
        <w:t xml:space="preserve">In terms of non-financial performance, as at the end of the second quarter of the 2019/20 financial year, </w:t>
      </w:r>
      <w:r w:rsidR="00E01800">
        <w:rPr>
          <w:rFonts w:ascii="Times New Roman" w:hAnsi="Times New Roman"/>
          <w:color w:val="auto"/>
          <w:sz w:val="24"/>
          <w:szCs w:val="24"/>
          <w:lang w:val="en-ZA"/>
        </w:rPr>
        <w:t>the Department managed to achieve only 58 per cent of its objectives while 19 per cent were partially achieved and 23 per cent were not achieved. N</w:t>
      </w:r>
      <w:r w:rsidRPr="001869B0">
        <w:rPr>
          <w:rFonts w:ascii="Times New Roman" w:hAnsi="Times New Roman"/>
          <w:color w:val="auto"/>
          <w:sz w:val="24"/>
          <w:szCs w:val="24"/>
          <w:lang w:val="en-ZA"/>
        </w:rPr>
        <w:t>o river systems with water resources classes and determined resource quality objectives were assessed. During the same period, the Jozini bulk water supply scheme was completed under mega regional bulk infrastructure projects; and 3 phases of large regional bulk infrastructure projects were completed, the first phase of the Polokwane bulk water supply scheme, and phases 3A and 4B of the Empuluzi bulk water supply scheme. In addition, the first phases of 2 small regional bulk infrastructure projects were completed, the Van Wyksvlei groundwater supply scheme and the Tswelopele bulk water supply scheme</w:t>
      </w:r>
      <w:r w:rsidR="00BE1E69" w:rsidRPr="001869B0">
        <w:rPr>
          <w:rFonts w:ascii="Times New Roman" w:hAnsi="Times New Roman"/>
          <w:color w:val="auto"/>
          <w:sz w:val="24"/>
          <w:szCs w:val="24"/>
          <w:lang w:val="en-ZA"/>
        </w:rPr>
        <w:t>. Furthermore, as at the end of the second quarter of the 2019/20 financial year, 23 small projects were completed through the water services infrastructure grant against an annual target of 104, while 97 existing bucket sanitation systems were replaced to complete the outstanding amount of 12 221 carried over from 2018/19. No wastewater systems were assessed for compliance with green drop regulatory standards against the annual target of 963.</w:t>
      </w:r>
    </w:p>
    <w:p w14:paraId="4D099FA5" w14:textId="3630FF68" w:rsidR="0044420A" w:rsidRPr="001153E6" w:rsidRDefault="0044420A" w:rsidP="001153E6">
      <w:pPr>
        <w:spacing w:line="360" w:lineRule="auto"/>
        <w:jc w:val="both"/>
        <w:rPr>
          <w:rFonts w:ascii="Times New Roman" w:hAnsi="Times New Roman"/>
          <w:color w:val="auto"/>
          <w:sz w:val="24"/>
          <w:szCs w:val="24"/>
          <w:lang w:val="en-ZA"/>
        </w:rPr>
      </w:pPr>
    </w:p>
    <w:p w14:paraId="114B403A" w14:textId="3A740374" w:rsidR="005C3A2F" w:rsidRPr="001869B0" w:rsidRDefault="001B1314" w:rsidP="00C03B45">
      <w:pPr>
        <w:pStyle w:val="ListParagraph"/>
        <w:numPr>
          <w:ilvl w:val="1"/>
          <w:numId w:val="1"/>
        </w:numPr>
        <w:spacing w:line="360" w:lineRule="auto"/>
        <w:ind w:left="-142" w:hanging="709"/>
        <w:jc w:val="both"/>
        <w:rPr>
          <w:rFonts w:ascii="Times New Roman" w:hAnsi="Times New Roman"/>
          <w:b/>
          <w:color w:val="auto"/>
          <w:sz w:val="24"/>
          <w:szCs w:val="24"/>
          <w:lang w:val="en-ZA"/>
        </w:rPr>
      </w:pPr>
      <w:r w:rsidRPr="001869B0">
        <w:rPr>
          <w:rFonts w:ascii="Times New Roman" w:hAnsi="Times New Roman"/>
          <w:b/>
          <w:color w:val="auto"/>
          <w:sz w:val="24"/>
          <w:szCs w:val="24"/>
          <w:lang w:val="en-ZA"/>
        </w:rPr>
        <w:t>Department of Cooperative Governance and Traditional Affairs</w:t>
      </w:r>
    </w:p>
    <w:p w14:paraId="0FB540B3" w14:textId="77777777" w:rsidR="00C97958" w:rsidRPr="001869B0" w:rsidRDefault="00C97958" w:rsidP="00C97958">
      <w:pPr>
        <w:pStyle w:val="ListParagraph"/>
        <w:spacing w:line="360" w:lineRule="auto"/>
        <w:ind w:left="180"/>
        <w:jc w:val="both"/>
        <w:rPr>
          <w:rFonts w:ascii="Times New Roman" w:hAnsi="Times New Roman"/>
          <w:b/>
          <w:color w:val="auto"/>
          <w:sz w:val="24"/>
          <w:szCs w:val="24"/>
          <w:lang w:val="en-ZA"/>
        </w:rPr>
      </w:pPr>
    </w:p>
    <w:p w14:paraId="6AEE05F2" w14:textId="77777777" w:rsidR="00B361A3" w:rsidRDefault="0044420A" w:rsidP="00E56C4D">
      <w:pPr>
        <w:pStyle w:val="ListParagraph"/>
        <w:spacing w:line="360" w:lineRule="auto"/>
        <w:ind w:left="-810"/>
        <w:jc w:val="both"/>
        <w:rPr>
          <w:rFonts w:ascii="Times New Roman" w:hAnsi="Times New Roman"/>
          <w:color w:val="auto"/>
          <w:sz w:val="24"/>
          <w:szCs w:val="24"/>
          <w:lang w:val="en-ZA"/>
        </w:rPr>
      </w:pPr>
      <w:r>
        <w:rPr>
          <w:rFonts w:ascii="Times New Roman" w:hAnsi="Times New Roman"/>
          <w:color w:val="auto"/>
          <w:sz w:val="24"/>
          <w:szCs w:val="24"/>
          <w:lang w:val="en-ZA"/>
        </w:rPr>
        <w:t>The</w:t>
      </w:r>
      <w:r w:rsidR="00E01800">
        <w:rPr>
          <w:rFonts w:ascii="Times New Roman" w:hAnsi="Times New Roman"/>
          <w:color w:val="auto"/>
          <w:sz w:val="24"/>
          <w:szCs w:val="24"/>
          <w:lang w:val="en-ZA"/>
        </w:rPr>
        <w:t xml:space="preserve"> main appropriation of R90.717</w:t>
      </w:r>
      <w:r w:rsidRPr="0044420A">
        <w:rPr>
          <w:rFonts w:ascii="Times New Roman" w:hAnsi="Times New Roman"/>
          <w:color w:val="auto"/>
          <w:sz w:val="24"/>
          <w:szCs w:val="24"/>
          <w:lang w:val="en-ZA"/>
        </w:rPr>
        <w:t xml:space="preserve"> billion </w:t>
      </w:r>
      <w:r>
        <w:rPr>
          <w:rFonts w:ascii="Times New Roman" w:hAnsi="Times New Roman"/>
          <w:color w:val="auto"/>
          <w:sz w:val="24"/>
          <w:szCs w:val="24"/>
          <w:lang w:val="en-ZA"/>
        </w:rPr>
        <w:t xml:space="preserve">for the Department of Cooperative Governance and Traditional Affairs </w:t>
      </w:r>
      <w:r w:rsidRPr="0044420A">
        <w:rPr>
          <w:rFonts w:ascii="Times New Roman" w:hAnsi="Times New Roman"/>
          <w:color w:val="auto"/>
          <w:sz w:val="24"/>
          <w:szCs w:val="24"/>
          <w:lang w:val="en-ZA"/>
        </w:rPr>
        <w:t>has bee</w:t>
      </w:r>
      <w:r w:rsidR="00A0519A">
        <w:rPr>
          <w:rFonts w:ascii="Times New Roman" w:hAnsi="Times New Roman"/>
          <w:color w:val="auto"/>
          <w:sz w:val="24"/>
          <w:szCs w:val="24"/>
          <w:lang w:val="en-ZA"/>
        </w:rPr>
        <w:t>n adjusted downwards by R371.233</w:t>
      </w:r>
      <w:r w:rsidRPr="0044420A">
        <w:rPr>
          <w:rFonts w:ascii="Times New Roman" w:hAnsi="Times New Roman"/>
          <w:color w:val="auto"/>
          <w:sz w:val="24"/>
          <w:szCs w:val="24"/>
          <w:lang w:val="en-ZA"/>
        </w:rPr>
        <w:t xml:space="preserve"> million to </w:t>
      </w:r>
      <w:r w:rsidRPr="00B361A3">
        <w:rPr>
          <w:rFonts w:ascii="Times New Roman" w:hAnsi="Times New Roman"/>
          <w:color w:val="auto"/>
          <w:sz w:val="24"/>
          <w:szCs w:val="24"/>
          <w:lang w:val="en-ZA"/>
        </w:rPr>
        <w:t>R</w:t>
      </w:r>
      <w:r w:rsidR="00A0519A" w:rsidRPr="00B361A3">
        <w:rPr>
          <w:rFonts w:ascii="Times New Roman" w:hAnsi="Times New Roman"/>
          <w:color w:val="auto"/>
          <w:sz w:val="24"/>
          <w:szCs w:val="24"/>
          <w:lang w:val="en-ZA"/>
        </w:rPr>
        <w:t>90.346</w:t>
      </w:r>
      <w:r w:rsidRPr="00B361A3">
        <w:rPr>
          <w:rFonts w:ascii="Times New Roman" w:hAnsi="Times New Roman"/>
          <w:color w:val="auto"/>
          <w:sz w:val="24"/>
          <w:szCs w:val="24"/>
          <w:lang w:val="en-ZA"/>
        </w:rPr>
        <w:t xml:space="preserve"> billion</w:t>
      </w:r>
      <w:r w:rsidRPr="0044420A">
        <w:rPr>
          <w:rFonts w:ascii="Times New Roman" w:hAnsi="Times New Roman"/>
          <w:color w:val="auto"/>
          <w:sz w:val="24"/>
          <w:szCs w:val="24"/>
          <w:lang w:val="en-ZA"/>
        </w:rPr>
        <w:t xml:space="preserve">. </w:t>
      </w:r>
      <w:r w:rsidR="00C97958" w:rsidRPr="001869B0">
        <w:rPr>
          <w:rFonts w:ascii="Times New Roman" w:hAnsi="Times New Roman"/>
          <w:color w:val="auto"/>
          <w:sz w:val="24"/>
          <w:szCs w:val="24"/>
          <w:lang w:val="en-ZA"/>
        </w:rPr>
        <w:t xml:space="preserve">Total expenditure as at the end of the second quarter of the 2019/20 financial year </w:t>
      </w:r>
      <w:r w:rsidR="00BA0582" w:rsidRPr="001869B0">
        <w:rPr>
          <w:rFonts w:ascii="Times New Roman" w:hAnsi="Times New Roman"/>
          <w:color w:val="auto"/>
          <w:sz w:val="24"/>
          <w:szCs w:val="24"/>
          <w:lang w:val="en-ZA"/>
        </w:rPr>
        <w:t xml:space="preserve">was R35.383 billion or </w:t>
      </w:r>
      <w:r w:rsidR="00A0519A">
        <w:rPr>
          <w:rFonts w:ascii="Times New Roman" w:hAnsi="Times New Roman"/>
          <w:color w:val="auto"/>
          <w:sz w:val="24"/>
          <w:szCs w:val="24"/>
          <w:lang w:val="en-ZA"/>
        </w:rPr>
        <w:t>39.1</w:t>
      </w:r>
      <w:r w:rsidR="00C97958" w:rsidRPr="001869B0">
        <w:rPr>
          <w:rFonts w:ascii="Times New Roman" w:hAnsi="Times New Roman"/>
          <w:color w:val="auto"/>
          <w:sz w:val="24"/>
          <w:szCs w:val="24"/>
          <w:lang w:val="en-ZA"/>
        </w:rPr>
        <w:t xml:space="preserve"> per cent of the adjusted appropriation for the year.</w:t>
      </w:r>
      <w:r w:rsidR="00BA0582" w:rsidRPr="001869B0">
        <w:rPr>
          <w:rFonts w:ascii="Times New Roman" w:hAnsi="Times New Roman"/>
          <w:color w:val="auto"/>
          <w:sz w:val="24"/>
          <w:szCs w:val="24"/>
          <w:lang w:val="en-ZA"/>
        </w:rPr>
        <w:t xml:space="preserve"> Total spending on muni</w:t>
      </w:r>
      <w:r w:rsidR="00A0519A">
        <w:rPr>
          <w:rFonts w:ascii="Times New Roman" w:hAnsi="Times New Roman"/>
          <w:color w:val="auto"/>
          <w:sz w:val="24"/>
          <w:szCs w:val="24"/>
          <w:lang w:val="en-ZA"/>
        </w:rPr>
        <w:t xml:space="preserve">cipal infrastructure grant was </w:t>
      </w:r>
      <w:r w:rsidR="00BA0582" w:rsidRPr="001869B0">
        <w:rPr>
          <w:rFonts w:ascii="Times New Roman" w:hAnsi="Times New Roman"/>
          <w:color w:val="auto"/>
          <w:sz w:val="24"/>
          <w:szCs w:val="24"/>
          <w:lang w:val="en-ZA"/>
        </w:rPr>
        <w:t xml:space="preserve">R4.7 </w:t>
      </w:r>
      <w:r w:rsidR="00B361A3" w:rsidRPr="001869B0">
        <w:rPr>
          <w:rFonts w:ascii="Times New Roman" w:hAnsi="Times New Roman"/>
          <w:color w:val="auto"/>
          <w:sz w:val="24"/>
          <w:szCs w:val="24"/>
          <w:lang w:val="en-ZA"/>
        </w:rPr>
        <w:t>billion as</w:t>
      </w:r>
      <w:r w:rsidR="00BA0582" w:rsidRPr="001869B0">
        <w:rPr>
          <w:rFonts w:ascii="Times New Roman" w:hAnsi="Times New Roman"/>
          <w:color w:val="auto"/>
          <w:sz w:val="24"/>
          <w:szCs w:val="24"/>
          <w:lang w:val="en-ZA"/>
        </w:rPr>
        <w:t xml:space="preserve"> at the end of the second quarter of the 2019/20 financial year and this was in line with projections and the department expects to meet its annual target of R15.7 billion by the end of 2019/20. </w:t>
      </w:r>
    </w:p>
    <w:p w14:paraId="07E22CB3" w14:textId="77777777" w:rsidR="00B361A3" w:rsidRDefault="00B361A3" w:rsidP="00E56C4D">
      <w:pPr>
        <w:pStyle w:val="ListParagraph"/>
        <w:spacing w:line="360" w:lineRule="auto"/>
        <w:ind w:left="-810"/>
        <w:jc w:val="both"/>
        <w:rPr>
          <w:rFonts w:ascii="Times New Roman" w:hAnsi="Times New Roman"/>
          <w:color w:val="auto"/>
          <w:sz w:val="24"/>
          <w:szCs w:val="24"/>
          <w:lang w:val="en-ZA"/>
        </w:rPr>
      </w:pPr>
    </w:p>
    <w:p w14:paraId="0FF1D782" w14:textId="115B3165" w:rsidR="00BE1E69" w:rsidRPr="001869B0" w:rsidRDefault="00BA0582" w:rsidP="00E56C4D">
      <w:pPr>
        <w:pStyle w:val="ListParagraph"/>
        <w:spacing w:line="360" w:lineRule="auto"/>
        <w:ind w:left="-810"/>
        <w:jc w:val="both"/>
        <w:rPr>
          <w:rFonts w:ascii="Times New Roman" w:hAnsi="Times New Roman"/>
          <w:color w:val="auto"/>
          <w:sz w:val="24"/>
          <w:szCs w:val="24"/>
          <w:lang w:val="en-ZA"/>
        </w:rPr>
      </w:pPr>
      <w:r w:rsidRPr="001869B0">
        <w:rPr>
          <w:rFonts w:ascii="Times New Roman" w:hAnsi="Times New Roman"/>
          <w:color w:val="auto"/>
          <w:sz w:val="24"/>
          <w:szCs w:val="24"/>
          <w:lang w:val="en-ZA"/>
        </w:rPr>
        <w:t xml:space="preserve">In terms of non-financial information, </w:t>
      </w:r>
      <w:r w:rsidR="00B361A3">
        <w:rPr>
          <w:rFonts w:ascii="Times New Roman" w:hAnsi="Times New Roman"/>
          <w:color w:val="auto"/>
          <w:sz w:val="24"/>
          <w:szCs w:val="24"/>
          <w:lang w:val="en-ZA"/>
        </w:rPr>
        <w:t>the Department achieved 10 or 67 per cent of the 15 targets resulting in 5 or 33 per cent of the targets not being achieved.  T</w:t>
      </w:r>
      <w:r w:rsidRPr="001869B0">
        <w:rPr>
          <w:rFonts w:ascii="Times New Roman" w:hAnsi="Times New Roman"/>
          <w:color w:val="auto"/>
          <w:sz w:val="24"/>
          <w:szCs w:val="24"/>
          <w:lang w:val="en-ZA"/>
        </w:rPr>
        <w:t xml:space="preserve">here were no secondary cities </w:t>
      </w:r>
      <w:r w:rsidR="00B361A3">
        <w:rPr>
          <w:rFonts w:ascii="Times New Roman" w:hAnsi="Times New Roman"/>
          <w:color w:val="auto"/>
          <w:sz w:val="24"/>
          <w:szCs w:val="24"/>
          <w:lang w:val="en-ZA"/>
        </w:rPr>
        <w:t xml:space="preserve">that </w:t>
      </w:r>
      <w:r w:rsidRPr="001869B0">
        <w:rPr>
          <w:rFonts w:ascii="Times New Roman" w:hAnsi="Times New Roman"/>
          <w:color w:val="auto"/>
          <w:sz w:val="24"/>
          <w:szCs w:val="24"/>
          <w:lang w:val="en-ZA"/>
        </w:rPr>
        <w:t xml:space="preserve">were supported in implementing the integrated development </w:t>
      </w:r>
      <w:r w:rsidRPr="001869B0">
        <w:rPr>
          <w:rFonts w:ascii="Times New Roman" w:hAnsi="Times New Roman"/>
          <w:color w:val="auto"/>
          <w:sz w:val="24"/>
          <w:szCs w:val="24"/>
          <w:lang w:val="en-ZA"/>
        </w:rPr>
        <w:lastRenderedPageBreak/>
        <w:t>framework against the annual target of 6, and no municipalities were guided to comply with the rating criteria of the Municipal Property Rates Act (2004) against the target of 71.</w:t>
      </w:r>
    </w:p>
    <w:p w14:paraId="7B51EDDE" w14:textId="77777777" w:rsidR="00C97958" w:rsidRPr="001869B0" w:rsidRDefault="00C97958" w:rsidP="00E56C4D">
      <w:pPr>
        <w:pStyle w:val="ListParagraph"/>
        <w:spacing w:line="360" w:lineRule="auto"/>
        <w:ind w:left="-810"/>
        <w:jc w:val="both"/>
        <w:rPr>
          <w:rFonts w:ascii="Times New Roman" w:hAnsi="Times New Roman"/>
          <w:color w:val="auto"/>
          <w:sz w:val="24"/>
          <w:szCs w:val="24"/>
          <w:lang w:val="en-ZA"/>
        </w:rPr>
      </w:pPr>
    </w:p>
    <w:p w14:paraId="17BC2B9B" w14:textId="3B0D96AD" w:rsidR="004D305D" w:rsidRPr="001869B0" w:rsidRDefault="004D305D" w:rsidP="00C03B45">
      <w:pPr>
        <w:pStyle w:val="ListParagraph"/>
        <w:numPr>
          <w:ilvl w:val="2"/>
          <w:numId w:val="1"/>
        </w:numPr>
        <w:ind w:left="-142" w:hanging="709"/>
        <w:jc w:val="both"/>
        <w:rPr>
          <w:rFonts w:ascii="Times New Roman" w:hAnsi="Times New Roman"/>
          <w:b/>
          <w:color w:val="auto"/>
          <w:sz w:val="24"/>
          <w:szCs w:val="24"/>
          <w:lang w:val="en-ZA"/>
        </w:rPr>
      </w:pPr>
      <w:r w:rsidRPr="001869B0">
        <w:rPr>
          <w:rFonts w:ascii="Times New Roman" w:hAnsi="Times New Roman"/>
          <w:b/>
          <w:color w:val="auto"/>
          <w:sz w:val="24"/>
          <w:szCs w:val="24"/>
          <w:lang w:val="en-ZA"/>
        </w:rPr>
        <w:t>Virement</w:t>
      </w:r>
      <w:r w:rsidR="00E6368C" w:rsidRPr="001869B0">
        <w:rPr>
          <w:rFonts w:ascii="Times New Roman" w:hAnsi="Times New Roman"/>
          <w:b/>
          <w:color w:val="auto"/>
          <w:sz w:val="24"/>
          <w:szCs w:val="24"/>
          <w:lang w:val="en-ZA"/>
        </w:rPr>
        <w:t>s and adjustments within the Department of Cooperative Governance and Traditional Affairs that require P</w:t>
      </w:r>
      <w:r w:rsidRPr="001869B0">
        <w:rPr>
          <w:rFonts w:ascii="Times New Roman" w:hAnsi="Times New Roman"/>
          <w:b/>
          <w:color w:val="auto"/>
          <w:sz w:val="24"/>
          <w:szCs w:val="24"/>
          <w:lang w:val="en-ZA"/>
        </w:rPr>
        <w:t>arliament</w:t>
      </w:r>
      <w:r w:rsidR="00E6368C" w:rsidRPr="001869B0">
        <w:rPr>
          <w:rFonts w:ascii="Times New Roman" w:hAnsi="Times New Roman"/>
          <w:b/>
          <w:color w:val="auto"/>
          <w:sz w:val="24"/>
          <w:szCs w:val="24"/>
          <w:lang w:val="en-ZA"/>
        </w:rPr>
        <w:t>’s approval</w:t>
      </w:r>
    </w:p>
    <w:p w14:paraId="5C582225" w14:textId="77777777" w:rsidR="004D305D" w:rsidRPr="001869B0" w:rsidRDefault="004D305D" w:rsidP="00C03B45">
      <w:pPr>
        <w:pStyle w:val="ListParagraph"/>
        <w:spacing w:line="360" w:lineRule="auto"/>
        <w:ind w:left="567"/>
        <w:jc w:val="both"/>
        <w:rPr>
          <w:rFonts w:ascii="Times New Roman" w:hAnsi="Times New Roman"/>
          <w:color w:val="auto"/>
          <w:sz w:val="24"/>
          <w:szCs w:val="24"/>
          <w:lang w:val="en-ZA"/>
        </w:rPr>
      </w:pPr>
    </w:p>
    <w:p w14:paraId="57EF6F44" w14:textId="3F0C4ABF" w:rsidR="00BE1E69" w:rsidRPr="001869B0" w:rsidRDefault="000851CF" w:rsidP="00C03B45">
      <w:pPr>
        <w:pStyle w:val="ListParagraph"/>
        <w:numPr>
          <w:ilvl w:val="0"/>
          <w:numId w:val="2"/>
        </w:numPr>
        <w:spacing w:line="360" w:lineRule="auto"/>
        <w:ind w:left="567" w:hanging="425"/>
        <w:jc w:val="both"/>
        <w:rPr>
          <w:rFonts w:ascii="Times New Roman" w:hAnsi="Times New Roman"/>
          <w:color w:val="auto"/>
          <w:sz w:val="24"/>
          <w:szCs w:val="24"/>
          <w:lang w:val="en-ZA"/>
        </w:rPr>
      </w:pPr>
      <w:r>
        <w:rPr>
          <w:rFonts w:ascii="Times New Roman" w:hAnsi="Times New Roman"/>
          <w:color w:val="auto"/>
          <w:sz w:val="24"/>
          <w:szCs w:val="24"/>
          <w:lang w:val="en-ZA"/>
        </w:rPr>
        <w:t>R8 million shifted from the A</w:t>
      </w:r>
      <w:r w:rsidR="00946307" w:rsidRPr="001869B0">
        <w:rPr>
          <w:rFonts w:ascii="Times New Roman" w:hAnsi="Times New Roman"/>
          <w:color w:val="auto"/>
          <w:sz w:val="24"/>
          <w:szCs w:val="24"/>
          <w:lang w:val="en-ZA"/>
        </w:rPr>
        <w:t xml:space="preserve">dministration </w:t>
      </w:r>
      <w:r>
        <w:rPr>
          <w:rFonts w:ascii="Times New Roman" w:hAnsi="Times New Roman"/>
          <w:color w:val="auto"/>
          <w:sz w:val="24"/>
          <w:szCs w:val="24"/>
          <w:lang w:val="en-ZA"/>
        </w:rPr>
        <w:t xml:space="preserve">programme </w:t>
      </w:r>
      <w:r w:rsidR="00946307" w:rsidRPr="001869B0">
        <w:rPr>
          <w:rFonts w:ascii="Times New Roman" w:hAnsi="Times New Roman"/>
          <w:color w:val="auto"/>
          <w:sz w:val="24"/>
          <w:szCs w:val="24"/>
          <w:lang w:val="en-ZA"/>
        </w:rPr>
        <w:t xml:space="preserve">(compensation of employees) to goods and services within the programme for office accommodation. </w:t>
      </w:r>
    </w:p>
    <w:p w14:paraId="16514648" w14:textId="5C2B0F42" w:rsidR="00946307" w:rsidRPr="001869B0" w:rsidRDefault="00946307" w:rsidP="00C03B45">
      <w:pPr>
        <w:pStyle w:val="ListParagraph"/>
        <w:numPr>
          <w:ilvl w:val="0"/>
          <w:numId w:val="2"/>
        </w:numPr>
        <w:spacing w:line="360" w:lineRule="auto"/>
        <w:ind w:left="567" w:hanging="425"/>
        <w:jc w:val="both"/>
        <w:rPr>
          <w:rFonts w:ascii="Times New Roman" w:hAnsi="Times New Roman"/>
          <w:color w:val="auto"/>
          <w:sz w:val="24"/>
          <w:szCs w:val="24"/>
          <w:lang w:val="en-ZA"/>
        </w:rPr>
      </w:pPr>
      <w:r w:rsidRPr="001869B0">
        <w:rPr>
          <w:rFonts w:ascii="Times New Roman" w:hAnsi="Times New Roman"/>
          <w:color w:val="auto"/>
          <w:sz w:val="24"/>
          <w:szCs w:val="24"/>
          <w:lang w:val="en-ZA"/>
        </w:rPr>
        <w:t>R4 millio</w:t>
      </w:r>
      <w:r w:rsidR="000851CF">
        <w:rPr>
          <w:rFonts w:ascii="Times New Roman" w:hAnsi="Times New Roman"/>
          <w:color w:val="auto"/>
          <w:sz w:val="24"/>
          <w:szCs w:val="24"/>
          <w:lang w:val="en-ZA"/>
        </w:rPr>
        <w:t>n shifted from the Regional and Urban Development and Legislative S</w:t>
      </w:r>
      <w:r w:rsidR="00954E06" w:rsidRPr="001869B0">
        <w:rPr>
          <w:rFonts w:ascii="Times New Roman" w:hAnsi="Times New Roman"/>
          <w:color w:val="auto"/>
          <w:sz w:val="24"/>
          <w:szCs w:val="24"/>
          <w:lang w:val="en-ZA"/>
        </w:rPr>
        <w:t xml:space="preserve">upport programme (compensation of employees) to departmental agencies (Municipal Demarcation Board). </w:t>
      </w:r>
    </w:p>
    <w:p w14:paraId="46463AA7" w14:textId="208BED25" w:rsidR="00954E06" w:rsidRPr="001869B0" w:rsidRDefault="000851CF" w:rsidP="00C03B45">
      <w:pPr>
        <w:pStyle w:val="ListParagraph"/>
        <w:numPr>
          <w:ilvl w:val="0"/>
          <w:numId w:val="2"/>
        </w:numPr>
        <w:spacing w:line="360" w:lineRule="auto"/>
        <w:ind w:left="567" w:hanging="425"/>
        <w:jc w:val="both"/>
        <w:rPr>
          <w:rFonts w:ascii="Times New Roman" w:hAnsi="Times New Roman"/>
          <w:color w:val="auto"/>
          <w:sz w:val="24"/>
          <w:szCs w:val="24"/>
          <w:lang w:val="en-ZA"/>
        </w:rPr>
      </w:pPr>
      <w:r>
        <w:rPr>
          <w:rFonts w:ascii="Times New Roman" w:hAnsi="Times New Roman"/>
          <w:color w:val="auto"/>
          <w:sz w:val="24"/>
          <w:szCs w:val="24"/>
          <w:lang w:val="en-ZA"/>
        </w:rPr>
        <w:t>R2 million shifted from the Institutional D</w:t>
      </w:r>
      <w:r w:rsidR="00954E06" w:rsidRPr="001869B0">
        <w:rPr>
          <w:rFonts w:ascii="Times New Roman" w:hAnsi="Times New Roman"/>
          <w:color w:val="auto"/>
          <w:sz w:val="24"/>
          <w:szCs w:val="24"/>
          <w:lang w:val="en-ZA"/>
        </w:rPr>
        <w:t xml:space="preserve">evelopment programme (compensation of employees) to goods and services within the programme to cater consultants for anti-corruption projects. </w:t>
      </w:r>
    </w:p>
    <w:p w14:paraId="1EF48CA1" w14:textId="1C9D229D" w:rsidR="00954E06" w:rsidRPr="001869B0" w:rsidRDefault="002A2C5B" w:rsidP="00C03B45">
      <w:pPr>
        <w:pStyle w:val="ListParagraph"/>
        <w:numPr>
          <w:ilvl w:val="0"/>
          <w:numId w:val="2"/>
        </w:numPr>
        <w:spacing w:line="360" w:lineRule="auto"/>
        <w:ind w:left="567" w:hanging="425"/>
        <w:jc w:val="both"/>
        <w:rPr>
          <w:rFonts w:ascii="Times New Roman" w:hAnsi="Times New Roman"/>
          <w:color w:val="auto"/>
          <w:sz w:val="24"/>
          <w:szCs w:val="24"/>
          <w:lang w:val="en-ZA"/>
        </w:rPr>
      </w:pPr>
      <w:r w:rsidRPr="001869B0">
        <w:rPr>
          <w:rFonts w:ascii="Times New Roman" w:hAnsi="Times New Roman"/>
          <w:color w:val="auto"/>
          <w:sz w:val="24"/>
          <w:szCs w:val="24"/>
          <w:lang w:val="en-ZA"/>
        </w:rPr>
        <w:t>R4</w:t>
      </w:r>
      <w:r w:rsidR="002B505D">
        <w:rPr>
          <w:rFonts w:ascii="Times New Roman" w:hAnsi="Times New Roman"/>
          <w:color w:val="auto"/>
          <w:sz w:val="24"/>
          <w:szCs w:val="24"/>
          <w:lang w:val="en-ZA"/>
        </w:rPr>
        <w:t xml:space="preserve">.2 million </w:t>
      </w:r>
      <w:r w:rsidRPr="001869B0">
        <w:rPr>
          <w:rFonts w:ascii="Times New Roman" w:hAnsi="Times New Roman"/>
          <w:color w:val="auto"/>
          <w:sz w:val="24"/>
          <w:szCs w:val="24"/>
          <w:lang w:val="en-ZA"/>
        </w:rPr>
        <w:t>sh</w:t>
      </w:r>
      <w:r w:rsidR="002B505D">
        <w:rPr>
          <w:rFonts w:ascii="Times New Roman" w:hAnsi="Times New Roman"/>
          <w:color w:val="auto"/>
          <w:sz w:val="24"/>
          <w:szCs w:val="24"/>
          <w:lang w:val="en-ZA"/>
        </w:rPr>
        <w:t xml:space="preserve">ifted from the National Disaster Management Centre programme </w:t>
      </w:r>
      <w:r w:rsidRPr="001869B0">
        <w:rPr>
          <w:rFonts w:ascii="Times New Roman" w:hAnsi="Times New Roman"/>
          <w:color w:val="auto"/>
          <w:sz w:val="24"/>
          <w:szCs w:val="24"/>
          <w:lang w:val="en-ZA"/>
        </w:rPr>
        <w:t>(com</w:t>
      </w:r>
      <w:r w:rsidR="002B505D">
        <w:rPr>
          <w:rFonts w:ascii="Times New Roman" w:hAnsi="Times New Roman"/>
          <w:color w:val="auto"/>
          <w:sz w:val="24"/>
          <w:szCs w:val="24"/>
          <w:lang w:val="en-ZA"/>
        </w:rPr>
        <w:t>pensation of employees) to the Institutional D</w:t>
      </w:r>
      <w:r w:rsidRPr="001869B0">
        <w:rPr>
          <w:rFonts w:ascii="Times New Roman" w:hAnsi="Times New Roman"/>
          <w:color w:val="auto"/>
          <w:sz w:val="24"/>
          <w:szCs w:val="24"/>
          <w:lang w:val="en-ZA"/>
        </w:rPr>
        <w:t xml:space="preserve">evelopment programme (departmental agencies) to pay the department of traditional affairs. </w:t>
      </w:r>
    </w:p>
    <w:p w14:paraId="4417F80E" w14:textId="1F6762D3" w:rsidR="00622C0B" w:rsidRPr="001869B0" w:rsidRDefault="002B505D" w:rsidP="00C03B45">
      <w:pPr>
        <w:pStyle w:val="ListParagraph"/>
        <w:numPr>
          <w:ilvl w:val="0"/>
          <w:numId w:val="2"/>
        </w:numPr>
        <w:spacing w:line="360" w:lineRule="auto"/>
        <w:ind w:left="567" w:hanging="425"/>
        <w:jc w:val="both"/>
        <w:rPr>
          <w:rFonts w:ascii="Times New Roman" w:hAnsi="Times New Roman"/>
          <w:color w:val="auto"/>
          <w:sz w:val="24"/>
          <w:szCs w:val="24"/>
          <w:lang w:val="en-ZA"/>
        </w:rPr>
      </w:pPr>
      <w:r>
        <w:rPr>
          <w:rFonts w:ascii="Times New Roman" w:hAnsi="Times New Roman"/>
          <w:color w:val="auto"/>
          <w:sz w:val="24"/>
          <w:szCs w:val="24"/>
          <w:lang w:val="en-ZA"/>
        </w:rPr>
        <w:t>R500 thousand shifted from the Local Government Support and Intervention M</w:t>
      </w:r>
      <w:r w:rsidR="000805DB" w:rsidRPr="001869B0">
        <w:rPr>
          <w:rFonts w:ascii="Times New Roman" w:hAnsi="Times New Roman"/>
          <w:color w:val="auto"/>
          <w:sz w:val="24"/>
          <w:szCs w:val="24"/>
          <w:lang w:val="en-ZA"/>
        </w:rPr>
        <w:t>anagement programme (compensation of employees)</w:t>
      </w:r>
      <w:r w:rsidR="001549E8" w:rsidRPr="001869B0">
        <w:rPr>
          <w:rFonts w:ascii="Times New Roman" w:hAnsi="Times New Roman"/>
          <w:color w:val="auto"/>
          <w:sz w:val="24"/>
          <w:szCs w:val="24"/>
          <w:lang w:val="en-ZA"/>
        </w:rPr>
        <w:t xml:space="preserve"> </w:t>
      </w:r>
      <w:r>
        <w:rPr>
          <w:rFonts w:ascii="Times New Roman" w:hAnsi="Times New Roman"/>
          <w:color w:val="auto"/>
          <w:sz w:val="24"/>
          <w:szCs w:val="24"/>
          <w:lang w:val="en-ZA"/>
        </w:rPr>
        <w:t>to the Institutional D</w:t>
      </w:r>
      <w:r w:rsidR="003A47F7" w:rsidRPr="001869B0">
        <w:rPr>
          <w:rFonts w:ascii="Times New Roman" w:hAnsi="Times New Roman"/>
          <w:color w:val="auto"/>
          <w:sz w:val="24"/>
          <w:szCs w:val="24"/>
          <w:lang w:val="en-ZA"/>
        </w:rPr>
        <w:t>evelopment programme (departmental agencies) to pay the department of traditional affairs.</w:t>
      </w:r>
    </w:p>
    <w:p w14:paraId="1133F481" w14:textId="4A5EA44B" w:rsidR="001549E8" w:rsidRPr="001869B0" w:rsidRDefault="00622C0B" w:rsidP="00C03B45">
      <w:pPr>
        <w:pStyle w:val="ListParagraph"/>
        <w:numPr>
          <w:ilvl w:val="0"/>
          <w:numId w:val="2"/>
        </w:numPr>
        <w:spacing w:line="360" w:lineRule="auto"/>
        <w:ind w:left="567" w:hanging="425"/>
        <w:jc w:val="both"/>
        <w:rPr>
          <w:rFonts w:ascii="Times New Roman" w:hAnsi="Times New Roman"/>
          <w:color w:val="auto"/>
          <w:sz w:val="24"/>
          <w:szCs w:val="24"/>
          <w:lang w:val="en-ZA"/>
        </w:rPr>
      </w:pPr>
      <w:r w:rsidRPr="001869B0">
        <w:rPr>
          <w:rFonts w:ascii="Times New Roman" w:hAnsi="Times New Roman"/>
          <w:color w:val="auto"/>
          <w:sz w:val="24"/>
          <w:szCs w:val="24"/>
          <w:lang w:val="en-ZA"/>
        </w:rPr>
        <w:t>R5 million</w:t>
      </w:r>
      <w:r w:rsidR="0078644B" w:rsidRPr="001869B0">
        <w:rPr>
          <w:rFonts w:ascii="Times New Roman" w:hAnsi="Times New Roman"/>
          <w:color w:val="auto"/>
          <w:sz w:val="24"/>
          <w:szCs w:val="24"/>
          <w:lang w:val="en-ZA"/>
        </w:rPr>
        <w:t xml:space="preserve"> </w:t>
      </w:r>
      <w:r w:rsidR="002B505D">
        <w:rPr>
          <w:rFonts w:ascii="Times New Roman" w:hAnsi="Times New Roman"/>
          <w:color w:val="auto"/>
          <w:sz w:val="24"/>
          <w:szCs w:val="24"/>
          <w:lang w:val="en-ZA"/>
        </w:rPr>
        <w:t>shifted from the Local Government Support and Intervention M</w:t>
      </w:r>
      <w:r w:rsidRPr="001869B0">
        <w:rPr>
          <w:rFonts w:ascii="Times New Roman" w:hAnsi="Times New Roman"/>
          <w:color w:val="auto"/>
          <w:sz w:val="24"/>
          <w:szCs w:val="24"/>
          <w:lang w:val="en-ZA"/>
        </w:rPr>
        <w:t>anagement programme (compensation of employees)</w:t>
      </w:r>
      <w:r w:rsidR="00156B05" w:rsidRPr="001869B0">
        <w:rPr>
          <w:rFonts w:ascii="Times New Roman" w:hAnsi="Times New Roman"/>
          <w:color w:val="auto"/>
          <w:sz w:val="24"/>
          <w:szCs w:val="24"/>
          <w:lang w:val="en-ZA"/>
        </w:rPr>
        <w:t xml:space="preserve"> to goods and the services within the same programme for </w:t>
      </w:r>
      <w:r w:rsidR="002B505D">
        <w:rPr>
          <w:rFonts w:ascii="Times New Roman" w:hAnsi="Times New Roman"/>
          <w:color w:val="auto"/>
          <w:sz w:val="24"/>
          <w:szCs w:val="24"/>
          <w:lang w:val="en-ZA"/>
        </w:rPr>
        <w:t>consultants for the New District M</w:t>
      </w:r>
      <w:r w:rsidR="00156B05" w:rsidRPr="001869B0">
        <w:rPr>
          <w:rFonts w:ascii="Times New Roman" w:hAnsi="Times New Roman"/>
          <w:color w:val="auto"/>
          <w:sz w:val="24"/>
          <w:szCs w:val="24"/>
          <w:lang w:val="en-ZA"/>
        </w:rPr>
        <w:t>odel.</w:t>
      </w:r>
    </w:p>
    <w:p w14:paraId="39E7A4C2" w14:textId="6B47A609" w:rsidR="0078644B" w:rsidRPr="001869B0" w:rsidRDefault="002B505D" w:rsidP="00C03B45">
      <w:pPr>
        <w:pStyle w:val="ListParagraph"/>
        <w:numPr>
          <w:ilvl w:val="0"/>
          <w:numId w:val="2"/>
        </w:numPr>
        <w:spacing w:line="360" w:lineRule="auto"/>
        <w:ind w:left="567" w:hanging="425"/>
        <w:jc w:val="both"/>
        <w:rPr>
          <w:rFonts w:ascii="Times New Roman" w:hAnsi="Times New Roman"/>
          <w:color w:val="auto"/>
          <w:sz w:val="24"/>
          <w:szCs w:val="24"/>
          <w:lang w:val="en-ZA"/>
        </w:rPr>
      </w:pPr>
      <w:r>
        <w:rPr>
          <w:rFonts w:ascii="Times New Roman" w:hAnsi="Times New Roman"/>
          <w:color w:val="auto"/>
          <w:sz w:val="24"/>
          <w:szCs w:val="24"/>
          <w:lang w:val="en-ZA"/>
        </w:rPr>
        <w:t>R3.7 million shifted from the Community W</w:t>
      </w:r>
      <w:r w:rsidR="0078644B" w:rsidRPr="001869B0">
        <w:rPr>
          <w:rFonts w:ascii="Times New Roman" w:hAnsi="Times New Roman"/>
          <w:color w:val="auto"/>
          <w:sz w:val="24"/>
          <w:szCs w:val="24"/>
          <w:lang w:val="en-ZA"/>
        </w:rPr>
        <w:t>orks programme (compensation of employees) to the departmental agencies account (Municipal</w:t>
      </w:r>
      <w:r>
        <w:rPr>
          <w:rFonts w:ascii="Times New Roman" w:hAnsi="Times New Roman"/>
          <w:color w:val="auto"/>
          <w:sz w:val="24"/>
          <w:szCs w:val="24"/>
          <w:lang w:val="en-ZA"/>
        </w:rPr>
        <w:t xml:space="preserve"> Demarcation Boards) under the Regional and Urban D</w:t>
      </w:r>
      <w:r w:rsidR="0078644B" w:rsidRPr="001869B0">
        <w:rPr>
          <w:rFonts w:ascii="Times New Roman" w:hAnsi="Times New Roman"/>
          <w:color w:val="auto"/>
          <w:sz w:val="24"/>
          <w:szCs w:val="24"/>
          <w:lang w:val="en-ZA"/>
        </w:rPr>
        <w:t>eve</w:t>
      </w:r>
      <w:r>
        <w:rPr>
          <w:rFonts w:ascii="Times New Roman" w:hAnsi="Times New Roman"/>
          <w:color w:val="auto"/>
          <w:sz w:val="24"/>
          <w:szCs w:val="24"/>
          <w:lang w:val="en-ZA"/>
        </w:rPr>
        <w:t>lopment and Legislative S</w:t>
      </w:r>
      <w:r w:rsidR="0078644B" w:rsidRPr="001869B0">
        <w:rPr>
          <w:rFonts w:ascii="Times New Roman" w:hAnsi="Times New Roman"/>
          <w:color w:val="auto"/>
          <w:sz w:val="24"/>
          <w:szCs w:val="24"/>
          <w:lang w:val="en-ZA"/>
        </w:rPr>
        <w:t xml:space="preserve">upport programme. </w:t>
      </w:r>
    </w:p>
    <w:p w14:paraId="2C0865EF" w14:textId="42D1F5B6" w:rsidR="0078644B" w:rsidRPr="001869B0" w:rsidRDefault="0078644B" w:rsidP="00C03B45">
      <w:pPr>
        <w:pStyle w:val="ListParagraph"/>
        <w:numPr>
          <w:ilvl w:val="0"/>
          <w:numId w:val="2"/>
        </w:numPr>
        <w:spacing w:line="360" w:lineRule="auto"/>
        <w:ind w:left="567" w:hanging="425"/>
        <w:jc w:val="both"/>
        <w:rPr>
          <w:rFonts w:ascii="Times New Roman" w:hAnsi="Times New Roman"/>
          <w:color w:val="auto"/>
          <w:sz w:val="24"/>
          <w:szCs w:val="24"/>
          <w:lang w:val="en-ZA"/>
        </w:rPr>
      </w:pPr>
      <w:r w:rsidRPr="001869B0">
        <w:rPr>
          <w:rFonts w:ascii="Times New Roman" w:hAnsi="Times New Roman"/>
          <w:color w:val="auto"/>
          <w:sz w:val="24"/>
          <w:szCs w:val="24"/>
          <w:lang w:val="en-ZA"/>
        </w:rPr>
        <w:t>R6</w:t>
      </w:r>
      <w:r w:rsidR="002B505D">
        <w:rPr>
          <w:rFonts w:ascii="Times New Roman" w:hAnsi="Times New Roman"/>
          <w:color w:val="auto"/>
          <w:sz w:val="24"/>
          <w:szCs w:val="24"/>
          <w:lang w:val="en-ZA"/>
        </w:rPr>
        <w:t xml:space="preserve"> million shifted from the Community W</w:t>
      </w:r>
      <w:r w:rsidRPr="001869B0">
        <w:rPr>
          <w:rFonts w:ascii="Times New Roman" w:hAnsi="Times New Roman"/>
          <w:color w:val="auto"/>
          <w:sz w:val="24"/>
          <w:szCs w:val="24"/>
          <w:lang w:val="en-ZA"/>
        </w:rPr>
        <w:t xml:space="preserve">orks programme (compensation of employees) </w:t>
      </w:r>
      <w:r w:rsidR="006E6075" w:rsidRPr="001869B0">
        <w:rPr>
          <w:rFonts w:ascii="Times New Roman" w:hAnsi="Times New Roman"/>
          <w:color w:val="auto"/>
          <w:sz w:val="24"/>
          <w:szCs w:val="24"/>
          <w:lang w:val="en-ZA"/>
        </w:rPr>
        <w:t>to goods</w:t>
      </w:r>
      <w:r w:rsidR="002B505D">
        <w:rPr>
          <w:rFonts w:ascii="Times New Roman" w:hAnsi="Times New Roman"/>
          <w:color w:val="auto"/>
          <w:sz w:val="24"/>
          <w:szCs w:val="24"/>
          <w:lang w:val="en-ZA"/>
        </w:rPr>
        <w:t xml:space="preserve"> and services under the Institutional D</w:t>
      </w:r>
      <w:r w:rsidRPr="001869B0">
        <w:rPr>
          <w:rFonts w:ascii="Times New Roman" w:hAnsi="Times New Roman"/>
          <w:color w:val="auto"/>
          <w:sz w:val="24"/>
          <w:szCs w:val="24"/>
          <w:lang w:val="en-ZA"/>
        </w:rPr>
        <w:t>evelopment pro</w:t>
      </w:r>
      <w:r w:rsidR="002B505D">
        <w:rPr>
          <w:rFonts w:ascii="Times New Roman" w:hAnsi="Times New Roman"/>
          <w:color w:val="auto"/>
          <w:sz w:val="24"/>
          <w:szCs w:val="24"/>
          <w:lang w:val="en-ZA"/>
        </w:rPr>
        <w:t>gramme for the Municipal Human Resources Management S</w:t>
      </w:r>
      <w:r w:rsidRPr="001869B0">
        <w:rPr>
          <w:rFonts w:ascii="Times New Roman" w:hAnsi="Times New Roman"/>
          <w:color w:val="auto"/>
          <w:sz w:val="24"/>
          <w:szCs w:val="24"/>
          <w:lang w:val="en-ZA"/>
        </w:rPr>
        <w:t xml:space="preserve">ystems. </w:t>
      </w:r>
    </w:p>
    <w:p w14:paraId="5344E3B4" w14:textId="097DA36A" w:rsidR="00E56C4D" w:rsidRPr="00C03B45" w:rsidRDefault="002B505D" w:rsidP="000551FA">
      <w:pPr>
        <w:pStyle w:val="ListParagraph"/>
        <w:numPr>
          <w:ilvl w:val="0"/>
          <w:numId w:val="2"/>
        </w:numPr>
        <w:spacing w:line="360" w:lineRule="auto"/>
        <w:ind w:left="567" w:hanging="425"/>
        <w:jc w:val="both"/>
        <w:rPr>
          <w:rFonts w:ascii="Times New Roman" w:hAnsi="Times New Roman"/>
          <w:color w:val="auto"/>
          <w:sz w:val="24"/>
          <w:szCs w:val="24"/>
          <w:lang w:val="en-ZA"/>
        </w:rPr>
      </w:pPr>
      <w:r>
        <w:rPr>
          <w:rFonts w:ascii="Times New Roman" w:hAnsi="Times New Roman"/>
          <w:color w:val="auto"/>
          <w:sz w:val="24"/>
          <w:szCs w:val="24"/>
          <w:lang w:val="en-ZA"/>
        </w:rPr>
        <w:lastRenderedPageBreak/>
        <w:t>R300 thousand shifted from Community W</w:t>
      </w:r>
      <w:r w:rsidR="006E6075" w:rsidRPr="001869B0">
        <w:rPr>
          <w:rFonts w:ascii="Times New Roman" w:hAnsi="Times New Roman"/>
          <w:color w:val="auto"/>
          <w:sz w:val="24"/>
          <w:szCs w:val="24"/>
          <w:lang w:val="en-ZA"/>
        </w:rPr>
        <w:t>orks programme (compensation of employees) to departmental a</w:t>
      </w:r>
      <w:r>
        <w:rPr>
          <w:rFonts w:ascii="Times New Roman" w:hAnsi="Times New Roman"/>
          <w:color w:val="auto"/>
          <w:sz w:val="24"/>
          <w:szCs w:val="24"/>
          <w:lang w:val="en-ZA"/>
        </w:rPr>
        <w:t>gencies and accounts under the I</w:t>
      </w:r>
      <w:r w:rsidR="006E6075" w:rsidRPr="001869B0">
        <w:rPr>
          <w:rFonts w:ascii="Times New Roman" w:hAnsi="Times New Roman"/>
          <w:color w:val="auto"/>
          <w:sz w:val="24"/>
          <w:szCs w:val="24"/>
          <w:lang w:val="en-ZA"/>
        </w:rPr>
        <w:t>nsti</w:t>
      </w:r>
      <w:r>
        <w:rPr>
          <w:rFonts w:ascii="Times New Roman" w:hAnsi="Times New Roman"/>
          <w:color w:val="auto"/>
          <w:sz w:val="24"/>
          <w:szCs w:val="24"/>
          <w:lang w:val="en-ZA"/>
        </w:rPr>
        <w:t>tutional Development p</w:t>
      </w:r>
      <w:r w:rsidR="002F44A3" w:rsidRPr="001869B0">
        <w:rPr>
          <w:rFonts w:ascii="Times New Roman" w:hAnsi="Times New Roman"/>
          <w:color w:val="auto"/>
          <w:sz w:val="24"/>
          <w:szCs w:val="24"/>
          <w:lang w:val="en-ZA"/>
        </w:rPr>
        <w:t xml:space="preserve">rogramme for a transfer to the Department of Traditional Affairs.  </w:t>
      </w:r>
      <w:r w:rsidR="006E6075" w:rsidRPr="001869B0">
        <w:rPr>
          <w:rFonts w:ascii="Times New Roman" w:hAnsi="Times New Roman"/>
          <w:color w:val="auto"/>
          <w:sz w:val="24"/>
          <w:szCs w:val="24"/>
          <w:lang w:val="en-ZA"/>
        </w:rPr>
        <w:t xml:space="preserve">   </w:t>
      </w:r>
    </w:p>
    <w:p w14:paraId="5431221A" w14:textId="7B563B00" w:rsidR="00F2540C" w:rsidRDefault="00F2540C">
      <w:pPr>
        <w:spacing w:line="360" w:lineRule="auto"/>
        <w:ind w:left="-810"/>
        <w:jc w:val="both"/>
        <w:rPr>
          <w:rFonts w:ascii="Times New Roman" w:hAnsi="Times New Roman"/>
          <w:color w:val="FF0000"/>
          <w:sz w:val="24"/>
          <w:szCs w:val="24"/>
          <w:lang w:val="en-ZA"/>
        </w:rPr>
      </w:pPr>
    </w:p>
    <w:p w14:paraId="0DEC76F5" w14:textId="504B9036" w:rsidR="001153E6" w:rsidRDefault="00DF14BB">
      <w:pPr>
        <w:pStyle w:val="ListParagraph"/>
        <w:numPr>
          <w:ilvl w:val="0"/>
          <w:numId w:val="1"/>
        </w:numPr>
        <w:spacing w:line="360" w:lineRule="auto"/>
        <w:ind w:hanging="671"/>
        <w:jc w:val="both"/>
        <w:rPr>
          <w:rFonts w:ascii="Times New Roman" w:hAnsi="Times New Roman"/>
          <w:b/>
          <w:color w:val="auto"/>
          <w:sz w:val="24"/>
          <w:szCs w:val="24"/>
          <w:lang w:val="en-ZA"/>
        </w:rPr>
      </w:pPr>
      <w:r>
        <w:rPr>
          <w:rFonts w:ascii="Times New Roman" w:hAnsi="Times New Roman"/>
          <w:b/>
          <w:color w:val="auto"/>
          <w:sz w:val="24"/>
          <w:szCs w:val="24"/>
          <w:lang w:val="en-ZA"/>
        </w:rPr>
        <w:t xml:space="preserve">Public </w:t>
      </w:r>
      <w:r w:rsidR="001153E6" w:rsidRPr="001153E6">
        <w:rPr>
          <w:rFonts w:ascii="Times New Roman" w:hAnsi="Times New Roman"/>
          <w:b/>
          <w:color w:val="auto"/>
          <w:sz w:val="24"/>
          <w:szCs w:val="24"/>
          <w:lang w:val="en-ZA"/>
        </w:rPr>
        <w:t>S</w:t>
      </w:r>
      <w:r w:rsidR="001153E6">
        <w:rPr>
          <w:rFonts w:ascii="Times New Roman" w:hAnsi="Times New Roman"/>
          <w:b/>
          <w:color w:val="auto"/>
          <w:sz w:val="24"/>
          <w:szCs w:val="24"/>
          <w:lang w:val="en-ZA"/>
        </w:rPr>
        <w:t>ubmissions on the Bill</w:t>
      </w:r>
    </w:p>
    <w:p w14:paraId="562740C1" w14:textId="77777777" w:rsidR="001153E6" w:rsidRPr="001153E6" w:rsidRDefault="001153E6">
      <w:pPr>
        <w:pStyle w:val="ListParagraph"/>
        <w:spacing w:line="360" w:lineRule="auto"/>
        <w:ind w:left="-180"/>
        <w:jc w:val="both"/>
        <w:rPr>
          <w:rFonts w:ascii="Times New Roman" w:hAnsi="Times New Roman"/>
          <w:b/>
          <w:color w:val="auto"/>
          <w:sz w:val="24"/>
          <w:szCs w:val="24"/>
          <w:lang w:val="en-ZA"/>
        </w:rPr>
      </w:pPr>
    </w:p>
    <w:p w14:paraId="4A970A63" w14:textId="54BCF160" w:rsidR="001153E6" w:rsidRPr="001153E6" w:rsidRDefault="001153E6">
      <w:pPr>
        <w:spacing w:line="360" w:lineRule="auto"/>
        <w:ind w:left="-142" w:hanging="709"/>
        <w:jc w:val="both"/>
        <w:rPr>
          <w:rFonts w:ascii="Times New Roman" w:hAnsi="Times New Roman"/>
          <w:b/>
          <w:color w:val="auto"/>
          <w:sz w:val="24"/>
          <w:szCs w:val="24"/>
          <w:lang w:val="en-ZA"/>
        </w:rPr>
      </w:pPr>
      <w:r w:rsidRPr="001153E6">
        <w:rPr>
          <w:rFonts w:ascii="Times New Roman" w:hAnsi="Times New Roman"/>
          <w:b/>
          <w:color w:val="auto"/>
          <w:sz w:val="24"/>
          <w:szCs w:val="24"/>
          <w:lang w:val="en-ZA"/>
        </w:rPr>
        <w:t>4.1</w:t>
      </w:r>
      <w:r w:rsidRPr="001153E6">
        <w:rPr>
          <w:rFonts w:ascii="Times New Roman" w:hAnsi="Times New Roman"/>
          <w:b/>
          <w:color w:val="auto"/>
          <w:sz w:val="24"/>
          <w:szCs w:val="24"/>
          <w:lang w:val="en-ZA"/>
        </w:rPr>
        <w:tab/>
        <w:t>Organisation Undoing Tax Abuse</w:t>
      </w:r>
    </w:p>
    <w:p w14:paraId="6F84CC8F" w14:textId="7E36D55F" w:rsidR="001153E6" w:rsidRDefault="001153E6">
      <w:pPr>
        <w:spacing w:line="360" w:lineRule="auto"/>
        <w:ind w:left="-142" w:hanging="709"/>
        <w:jc w:val="both"/>
        <w:rPr>
          <w:rFonts w:ascii="Times New Roman" w:hAnsi="Times New Roman"/>
          <w:color w:val="auto"/>
          <w:sz w:val="24"/>
          <w:szCs w:val="24"/>
          <w:lang w:val="en-ZA"/>
        </w:rPr>
      </w:pPr>
    </w:p>
    <w:p w14:paraId="1CE3214B" w14:textId="6AE31BF2" w:rsidR="00DF14BB" w:rsidRDefault="00DF14BB">
      <w:pPr>
        <w:spacing w:line="360" w:lineRule="auto"/>
        <w:ind w:left="-851"/>
        <w:jc w:val="both"/>
        <w:rPr>
          <w:rFonts w:ascii="Times New Roman" w:hAnsi="Times New Roman"/>
          <w:color w:val="auto"/>
          <w:sz w:val="24"/>
          <w:szCs w:val="24"/>
          <w:lang w:val="en-ZA"/>
        </w:rPr>
      </w:pPr>
      <w:r w:rsidRPr="00DF14BB">
        <w:rPr>
          <w:rFonts w:ascii="Times New Roman" w:hAnsi="Times New Roman"/>
          <w:color w:val="auto"/>
          <w:sz w:val="24"/>
          <w:szCs w:val="24"/>
          <w:lang w:val="en-ZA"/>
        </w:rPr>
        <w:t xml:space="preserve">OUTA reported that the lion’s share of the adjustments in the Bill went to state-owned entities (SOEs), who were facing serious challenges as a result of </w:t>
      </w:r>
      <w:r w:rsidRPr="00DF14BB">
        <w:rPr>
          <w:rFonts w:ascii="Times New Roman" w:hAnsi="Times New Roman"/>
          <w:iCs/>
          <w:color w:val="auto"/>
          <w:sz w:val="24"/>
          <w:szCs w:val="24"/>
          <w:lang w:val="en-ZA"/>
        </w:rPr>
        <w:t>poor leadership and governance, mismanagement</w:t>
      </w:r>
      <w:r w:rsidR="000551FA">
        <w:rPr>
          <w:rFonts w:ascii="Times New Roman" w:hAnsi="Times New Roman"/>
          <w:iCs/>
          <w:color w:val="auto"/>
          <w:sz w:val="24"/>
          <w:szCs w:val="24"/>
          <w:lang w:val="en-ZA"/>
        </w:rPr>
        <w:t xml:space="preserve"> of funds</w:t>
      </w:r>
      <w:r w:rsidRPr="00DF14BB">
        <w:rPr>
          <w:rFonts w:ascii="Times New Roman" w:hAnsi="Times New Roman"/>
          <w:iCs/>
          <w:color w:val="auto"/>
          <w:sz w:val="24"/>
          <w:szCs w:val="24"/>
          <w:lang w:val="en-ZA"/>
        </w:rPr>
        <w:t>, corruption and revenue deficits</w:t>
      </w:r>
      <w:r w:rsidRPr="00DF14BB">
        <w:rPr>
          <w:rFonts w:ascii="Times New Roman" w:hAnsi="Times New Roman"/>
          <w:i/>
          <w:iCs/>
          <w:color w:val="auto"/>
          <w:sz w:val="24"/>
          <w:szCs w:val="24"/>
          <w:lang w:val="en-ZA"/>
        </w:rPr>
        <w:t>.</w:t>
      </w:r>
      <w:r w:rsidRPr="00DF14BB">
        <w:rPr>
          <w:rFonts w:ascii="Times New Roman" w:hAnsi="Times New Roman"/>
          <w:iCs/>
          <w:color w:val="auto"/>
          <w:sz w:val="24"/>
          <w:szCs w:val="24"/>
          <w:lang w:val="en-ZA"/>
        </w:rPr>
        <w:t xml:space="preserve"> OUTA</w:t>
      </w:r>
      <w:r w:rsidRPr="00DF14BB">
        <w:rPr>
          <w:rFonts w:ascii="Times New Roman" w:hAnsi="Times New Roman"/>
          <w:i/>
          <w:iCs/>
          <w:color w:val="auto"/>
          <w:sz w:val="24"/>
          <w:szCs w:val="24"/>
          <w:lang w:val="en-ZA"/>
        </w:rPr>
        <w:t xml:space="preserve"> </w:t>
      </w:r>
      <w:r w:rsidRPr="00DF14BB">
        <w:rPr>
          <w:rFonts w:ascii="Times New Roman" w:hAnsi="Times New Roman"/>
          <w:color w:val="auto"/>
          <w:sz w:val="24"/>
          <w:szCs w:val="24"/>
          <w:lang w:val="en-ZA"/>
        </w:rPr>
        <w:t xml:space="preserve">largely rejected the Bill, due to the apparently unconditional injection into Denel, SA Express and SAA. </w:t>
      </w:r>
      <w:r w:rsidRPr="00DF14BB">
        <w:rPr>
          <w:rFonts w:ascii="Times New Roman" w:hAnsi="Times New Roman"/>
          <w:iCs/>
          <w:color w:val="auto"/>
          <w:sz w:val="24"/>
          <w:szCs w:val="24"/>
          <w:lang w:val="en-ZA"/>
        </w:rPr>
        <w:t>OUTA was of the view that t</w:t>
      </w:r>
      <w:r w:rsidRPr="00DF14BB">
        <w:rPr>
          <w:rFonts w:ascii="Times New Roman" w:hAnsi="Times New Roman"/>
          <w:color w:val="auto"/>
          <w:sz w:val="24"/>
          <w:szCs w:val="24"/>
          <w:lang w:val="en-ZA"/>
        </w:rPr>
        <w:t>hese entities had not undergone any significant change since their financial metrics started deteriorating rapidly, and that they were placing South Africa’s economic sovereignty in serious jeopardy. OUTA submitted that, if no extreme and immediate interventions were implemented, government ran the risk of losing control of its economic affairs to its international creditors. OUTA strongly recommended that the Standing and Select Committees on Appropriations demand that these allocations only be approved on the grounds of similar conditions as those attached to the Special Appropriations Bill</w:t>
      </w:r>
      <w:r w:rsidR="0057619D">
        <w:rPr>
          <w:rFonts w:ascii="Times New Roman" w:hAnsi="Times New Roman"/>
          <w:color w:val="auto"/>
          <w:sz w:val="24"/>
          <w:szCs w:val="24"/>
          <w:lang w:val="en-ZA"/>
        </w:rPr>
        <w:t xml:space="preserve"> on Eskom</w:t>
      </w:r>
      <w:r w:rsidRPr="00DF14BB">
        <w:rPr>
          <w:rFonts w:ascii="Times New Roman" w:hAnsi="Times New Roman"/>
          <w:color w:val="auto"/>
          <w:sz w:val="24"/>
          <w:szCs w:val="24"/>
          <w:lang w:val="en-ZA"/>
        </w:rPr>
        <w:t>. Furthermore, that the Committees, in cooperation with law enforcement agencies, civil society institutions, National Treasury and the Department of Public Enterprises, should enforce adherence to such conditions with harsh and explicit consequences for non-compliance.</w:t>
      </w:r>
    </w:p>
    <w:p w14:paraId="25B4136B" w14:textId="77777777" w:rsidR="0057619D" w:rsidRPr="00DF14BB" w:rsidRDefault="0057619D">
      <w:pPr>
        <w:spacing w:line="360" w:lineRule="auto"/>
        <w:ind w:left="-851"/>
        <w:jc w:val="both"/>
        <w:rPr>
          <w:rFonts w:ascii="Times New Roman" w:hAnsi="Times New Roman"/>
          <w:color w:val="auto"/>
          <w:sz w:val="24"/>
          <w:szCs w:val="24"/>
          <w:lang w:val="en-ZA"/>
        </w:rPr>
      </w:pPr>
    </w:p>
    <w:p w14:paraId="5080EB66" w14:textId="77777777" w:rsidR="00DF14BB" w:rsidRPr="00DF14BB" w:rsidRDefault="00DF14BB" w:rsidP="00DF14BB">
      <w:pPr>
        <w:spacing w:line="360" w:lineRule="auto"/>
        <w:ind w:left="-851"/>
        <w:jc w:val="both"/>
        <w:rPr>
          <w:rFonts w:ascii="Times New Roman" w:hAnsi="Times New Roman"/>
          <w:color w:val="auto"/>
          <w:sz w:val="24"/>
          <w:szCs w:val="24"/>
          <w:lang w:val="en-ZA"/>
        </w:rPr>
      </w:pPr>
      <w:r w:rsidRPr="00DF14BB">
        <w:rPr>
          <w:rFonts w:ascii="Times New Roman" w:hAnsi="Times New Roman"/>
          <w:color w:val="auto"/>
          <w:sz w:val="24"/>
          <w:szCs w:val="24"/>
          <w:lang w:val="en-ZA"/>
        </w:rPr>
        <w:t>OUTA further submitted that the Bill showed additions of R17.924 billion (mostly for the SOEs) and cuts of R3.056 billion, due to the SOE bailouts. OUTA requested explanations for the following cuts:</w:t>
      </w:r>
    </w:p>
    <w:p w14:paraId="7CD387E2"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R15 million from compensation of employees in the Department of Cooperative and Traditional Affair’s Community Work Programme.</w:t>
      </w:r>
    </w:p>
    <w:p w14:paraId="5A10F584"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Transfers of R157.225 million from National Treasury to the Government Technical Advisory Centre for job creation initiatives.</w:t>
      </w:r>
    </w:p>
    <w:p w14:paraId="57A7B214"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R140 million from the Department of Basic Education’s School Infrastructure Backlogs Grant; which OUTA regarded as inexcusable, given the urgent need in this sector.</w:t>
      </w:r>
    </w:p>
    <w:p w14:paraId="57677D09"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lastRenderedPageBreak/>
        <w:t>R350 million from the Department of Higher Education and Training’s university infrastructure grants and R400 million from its Infrastructure Efficiency Grant.</w:t>
      </w:r>
    </w:p>
    <w:p w14:paraId="38349EF5"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R250.9 million from the Department of Social Development’s child support grants.</w:t>
      </w:r>
    </w:p>
    <w:p w14:paraId="55C2EAEE"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R70 million from the Department of Social Development’s social worker scholarships, while the country urgently needs for social workers.</w:t>
      </w:r>
    </w:p>
    <w:p w14:paraId="31BB82B4"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R764.429 million from the South African Police Service’s Detective Services, while there is an urgent need to improve such services to fight crime and corruption.</w:t>
      </w:r>
    </w:p>
    <w:p w14:paraId="01920FDB"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R300 million from the Department of Small Business Development’s Small Business and Innovation Fund.</w:t>
      </w:r>
    </w:p>
    <w:p w14:paraId="5B76FD94"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R20 million from the Department of Transport’s Taxi Recapitalisation Programme.</w:t>
      </w:r>
    </w:p>
    <w:p w14:paraId="7EEAF95E"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R51.218 million from the Department of Water and Sanitation’s Water Planning and Information Management Programme, which OUTA deemed inexplicable, given the widespread drought crisis.</w:t>
      </w:r>
    </w:p>
    <w:p w14:paraId="176D9851"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R225.054 million from the Department of Rural Development and Land Reform’s stipends for the National Rural Youth Service Corps.</w:t>
      </w:r>
    </w:p>
    <w:p w14:paraId="094CB872" w14:textId="77777777" w:rsidR="0094395A" w:rsidRDefault="0094395A" w:rsidP="00DF14BB">
      <w:pPr>
        <w:spacing w:line="360" w:lineRule="auto"/>
        <w:ind w:left="-142" w:hanging="709"/>
        <w:jc w:val="both"/>
        <w:rPr>
          <w:rFonts w:ascii="Times New Roman" w:hAnsi="Times New Roman"/>
          <w:color w:val="auto"/>
          <w:sz w:val="24"/>
          <w:szCs w:val="24"/>
          <w:lang w:val="en-ZA"/>
        </w:rPr>
      </w:pPr>
    </w:p>
    <w:p w14:paraId="627916FE" w14:textId="6F116496" w:rsidR="00DF14BB" w:rsidRPr="00DF14BB" w:rsidRDefault="00DF14BB" w:rsidP="00DF14BB">
      <w:pPr>
        <w:spacing w:line="360" w:lineRule="auto"/>
        <w:ind w:left="-142" w:hanging="709"/>
        <w:jc w:val="both"/>
        <w:rPr>
          <w:rFonts w:ascii="Times New Roman" w:hAnsi="Times New Roman"/>
          <w:color w:val="auto"/>
          <w:sz w:val="24"/>
          <w:szCs w:val="24"/>
          <w:lang w:val="en-ZA"/>
        </w:rPr>
      </w:pPr>
      <w:r w:rsidRPr="00DF14BB">
        <w:rPr>
          <w:rFonts w:ascii="Times New Roman" w:hAnsi="Times New Roman"/>
          <w:color w:val="auto"/>
          <w:sz w:val="24"/>
          <w:szCs w:val="24"/>
          <w:lang w:val="en-ZA"/>
        </w:rPr>
        <w:t>OUTA further questioned the following additions:</w:t>
      </w:r>
    </w:p>
    <w:p w14:paraId="5A73F79F"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OUTA asked what the additional R4.5 million for the Department of Public Works’ Prestige Policy Programme would be used for; as this fund was used to repeatedly renovate ministers’ houses, seemingly flying in the face of the MTBPS statement that benefits received by political office bearers would be better managed.</w:t>
      </w:r>
    </w:p>
    <w:p w14:paraId="2DEF7770" w14:textId="75F56ABF" w:rsidR="00DF14BB" w:rsidRPr="00DF14BB" w:rsidRDefault="0059792E" w:rsidP="00DF14BB">
      <w:pPr>
        <w:numPr>
          <w:ilvl w:val="0"/>
          <w:numId w:val="5"/>
        </w:numPr>
        <w:spacing w:line="360" w:lineRule="auto"/>
        <w:ind w:left="142" w:hanging="426"/>
        <w:jc w:val="both"/>
        <w:rPr>
          <w:rFonts w:ascii="Times New Roman" w:hAnsi="Times New Roman"/>
          <w:color w:val="auto"/>
          <w:sz w:val="24"/>
          <w:szCs w:val="24"/>
          <w:lang w:val="en-ZA"/>
        </w:rPr>
      </w:pPr>
      <w:r>
        <w:rPr>
          <w:rFonts w:ascii="Times New Roman" w:hAnsi="Times New Roman"/>
          <w:color w:val="auto"/>
          <w:sz w:val="24"/>
          <w:szCs w:val="24"/>
          <w:lang w:val="en-ZA"/>
        </w:rPr>
        <w:t xml:space="preserve">OUTA </w:t>
      </w:r>
      <w:r w:rsidRPr="00DF14BB">
        <w:rPr>
          <w:rFonts w:ascii="Times New Roman" w:hAnsi="Times New Roman"/>
          <w:color w:val="auto"/>
          <w:sz w:val="24"/>
          <w:szCs w:val="24"/>
          <w:lang w:val="en-ZA"/>
        </w:rPr>
        <w:t>expressed</w:t>
      </w:r>
      <w:r w:rsidR="00DF14BB" w:rsidRPr="00DF14BB">
        <w:rPr>
          <w:rFonts w:ascii="Times New Roman" w:hAnsi="Times New Roman"/>
          <w:color w:val="auto"/>
          <w:sz w:val="24"/>
          <w:szCs w:val="24"/>
          <w:lang w:val="en-ZA"/>
        </w:rPr>
        <w:t xml:space="preserve"> </w:t>
      </w:r>
      <w:r w:rsidR="0057619D">
        <w:rPr>
          <w:rFonts w:ascii="Times New Roman" w:hAnsi="Times New Roman"/>
          <w:color w:val="auto"/>
          <w:sz w:val="24"/>
          <w:szCs w:val="24"/>
          <w:lang w:val="en-ZA"/>
        </w:rPr>
        <w:t xml:space="preserve">concerns </w:t>
      </w:r>
      <w:r w:rsidR="00DF14BB" w:rsidRPr="00DF14BB">
        <w:rPr>
          <w:rFonts w:ascii="Times New Roman" w:hAnsi="Times New Roman"/>
          <w:color w:val="auto"/>
          <w:sz w:val="24"/>
          <w:szCs w:val="24"/>
          <w:lang w:val="en-ZA"/>
        </w:rPr>
        <w:t>over the R385.140 million to the Department of Defence for weapons. The funds would go into the secret Special Defence Account, so that taxpayers had no idea how much was in the fund or whether the funds were really spent on the stated purpose.</w:t>
      </w:r>
    </w:p>
    <w:p w14:paraId="56C5D402"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 xml:space="preserve">It was noted that the Bill added just R102.429 million to the National Prosecuting Authority (NPA) for 2019/20 and nothing for South African Revenue Service (SARS); despite the MTBPS announcement of an additional R1.3 billion for the NPA and R1 billion for SARS between 2019/20 and </w:t>
      </w:r>
      <w:r w:rsidRPr="00DF14BB">
        <w:rPr>
          <w:rFonts w:ascii="Times New Roman" w:hAnsi="Times New Roman"/>
          <w:color w:val="auto"/>
          <w:sz w:val="24"/>
          <w:szCs w:val="24"/>
          <w:lang w:val="en-ZA"/>
        </w:rPr>
        <w:lastRenderedPageBreak/>
        <w:t>2022/23 to combat corruption and improve revenue collection. As these were urgent priorities, OUTA expressed the hope that these amounts would be seen in the 2020 Budget.</w:t>
      </w:r>
    </w:p>
    <w:p w14:paraId="7E634623"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The Department of Water and Sanitation received an extra R5.489 million for the Orange-Senqu River Commission. This Commission’s work appeared to be secret and it did not appear to have run any public consultation. OUTA also could not find this in the Department’s budget for 2019/20, and requested clarity on this.</w:t>
      </w:r>
    </w:p>
    <w:p w14:paraId="41869EC2" w14:textId="77777777" w:rsidR="00DF14BB" w:rsidRPr="00DF14BB" w:rsidRDefault="00DF14BB" w:rsidP="00DF14BB">
      <w:pPr>
        <w:spacing w:line="360" w:lineRule="auto"/>
        <w:ind w:left="-142" w:hanging="709"/>
        <w:jc w:val="both"/>
        <w:rPr>
          <w:rFonts w:ascii="Times New Roman" w:hAnsi="Times New Roman"/>
          <w:color w:val="auto"/>
          <w:sz w:val="24"/>
          <w:szCs w:val="24"/>
          <w:lang w:val="en-ZA"/>
        </w:rPr>
      </w:pPr>
    </w:p>
    <w:p w14:paraId="64853DA2" w14:textId="77777777" w:rsidR="00DF14BB" w:rsidRPr="00DF14BB" w:rsidRDefault="00DF14BB" w:rsidP="00DF14BB">
      <w:pPr>
        <w:spacing w:line="360" w:lineRule="auto"/>
        <w:ind w:left="-851"/>
        <w:jc w:val="both"/>
        <w:rPr>
          <w:rFonts w:ascii="Times New Roman" w:hAnsi="Times New Roman"/>
          <w:color w:val="auto"/>
          <w:sz w:val="24"/>
          <w:szCs w:val="24"/>
          <w:lang w:val="en-ZA"/>
        </w:rPr>
      </w:pPr>
      <w:r w:rsidRPr="00DF14BB">
        <w:rPr>
          <w:rFonts w:ascii="Times New Roman" w:hAnsi="Times New Roman"/>
          <w:color w:val="auto"/>
          <w:sz w:val="24"/>
          <w:szCs w:val="24"/>
          <w:lang w:val="en-ZA"/>
        </w:rPr>
        <w:t>While OUTA welcomed the additional R241.927 million for the Regional Bulk Infrastructure Grant for emergency work on the Vaal River System and an additional R65.373 million through the Sedibeng Water Board for the Sedibeng Bulk Regional Sewerage Scheme; it submitted that there had been a great deal of confusion over this funding. The SANDF had been deployed to the Vaal region in October 2018, following the Minister of Finance’s announcement of funding for this, but this funding had apparently failed to materialise and the one-year deployment had expired. The Division of Revenue Amendment Bill referred to R241.927 million for the emergency work being rolled over. OUTA question why the funds had not been spent, and requested the Committees to investigate the Vaal River System clean-up promises, the funding arrangements and the progress of the work.</w:t>
      </w:r>
    </w:p>
    <w:p w14:paraId="18A49447" w14:textId="77777777" w:rsidR="00DF14BB" w:rsidRDefault="00DF14BB" w:rsidP="001153E6">
      <w:pPr>
        <w:spacing w:line="360" w:lineRule="auto"/>
        <w:ind w:left="-142" w:hanging="709"/>
        <w:jc w:val="both"/>
        <w:rPr>
          <w:rFonts w:ascii="Times New Roman" w:hAnsi="Times New Roman"/>
          <w:color w:val="auto"/>
          <w:sz w:val="24"/>
          <w:szCs w:val="24"/>
          <w:lang w:val="en-ZA"/>
        </w:rPr>
      </w:pPr>
    </w:p>
    <w:p w14:paraId="4725DD0A" w14:textId="793A8C59" w:rsidR="001153E6" w:rsidRDefault="00DF14BB" w:rsidP="001153E6">
      <w:pPr>
        <w:spacing w:line="360" w:lineRule="auto"/>
        <w:ind w:left="-142" w:hanging="709"/>
        <w:jc w:val="both"/>
        <w:rPr>
          <w:rFonts w:ascii="Times New Roman" w:hAnsi="Times New Roman"/>
          <w:b/>
          <w:color w:val="auto"/>
          <w:sz w:val="24"/>
          <w:szCs w:val="24"/>
          <w:lang w:val="en-ZA"/>
        </w:rPr>
      </w:pPr>
      <w:r w:rsidRPr="00DF14BB">
        <w:rPr>
          <w:rFonts w:ascii="Times New Roman" w:hAnsi="Times New Roman"/>
          <w:b/>
          <w:color w:val="auto"/>
          <w:sz w:val="24"/>
          <w:szCs w:val="24"/>
          <w:lang w:val="en-ZA"/>
        </w:rPr>
        <w:t>4.2</w:t>
      </w:r>
      <w:r w:rsidRPr="00DF14BB">
        <w:rPr>
          <w:rFonts w:ascii="Times New Roman" w:hAnsi="Times New Roman"/>
          <w:b/>
          <w:color w:val="auto"/>
          <w:sz w:val="24"/>
          <w:szCs w:val="24"/>
          <w:lang w:val="en-ZA"/>
        </w:rPr>
        <w:tab/>
        <w:t>Congress of South African Trade Unions</w:t>
      </w:r>
    </w:p>
    <w:p w14:paraId="56272A24" w14:textId="77777777" w:rsidR="0057619D" w:rsidRPr="00DF14BB" w:rsidRDefault="0057619D" w:rsidP="001153E6">
      <w:pPr>
        <w:spacing w:line="360" w:lineRule="auto"/>
        <w:ind w:left="-142" w:hanging="709"/>
        <w:jc w:val="both"/>
        <w:rPr>
          <w:rFonts w:ascii="Times New Roman" w:hAnsi="Times New Roman"/>
          <w:b/>
          <w:color w:val="auto"/>
          <w:sz w:val="24"/>
          <w:szCs w:val="24"/>
          <w:lang w:val="en-ZA"/>
        </w:rPr>
      </w:pPr>
    </w:p>
    <w:p w14:paraId="31EFD6EF" w14:textId="77777777" w:rsidR="00DF14BB" w:rsidRPr="00DF14BB" w:rsidRDefault="00DF14BB" w:rsidP="00DF14BB">
      <w:pPr>
        <w:spacing w:line="360" w:lineRule="auto"/>
        <w:ind w:left="-851"/>
        <w:jc w:val="both"/>
        <w:rPr>
          <w:rFonts w:ascii="Times New Roman" w:hAnsi="Times New Roman"/>
          <w:color w:val="auto"/>
          <w:sz w:val="24"/>
          <w:szCs w:val="24"/>
          <w:lang w:val="en-US"/>
        </w:rPr>
      </w:pPr>
      <w:r w:rsidRPr="00DF14BB">
        <w:rPr>
          <w:rFonts w:ascii="Times New Roman" w:hAnsi="Times New Roman"/>
          <w:color w:val="auto"/>
          <w:sz w:val="24"/>
          <w:szCs w:val="24"/>
          <w:lang w:val="en-US"/>
        </w:rPr>
        <w:t>COSATU submitted that various departments had shown extremely worrying levels of under-expenditure and a failure to achieve key service delivery targets; and was of the view that there should be interventions by the President, Parliament and the Auditor-General to hold the relevant officials personally liable. These departments included Basic Education, Higher Education; Water and Sanitation; Human Settlements; Energy; Correctional Services; Transport; Environmental Affairs; Small Business Development; Health; Cooperative Governance and Traditional Affairs; National Treasury; the State Security Agency and the South African Police Service.</w:t>
      </w:r>
    </w:p>
    <w:p w14:paraId="59155661" w14:textId="77777777" w:rsidR="00DF14BB" w:rsidRPr="00DF14BB" w:rsidRDefault="00DF14BB" w:rsidP="00DF14BB">
      <w:pPr>
        <w:spacing w:line="360" w:lineRule="auto"/>
        <w:ind w:left="-142" w:hanging="709"/>
        <w:jc w:val="both"/>
        <w:rPr>
          <w:rFonts w:ascii="Times New Roman" w:hAnsi="Times New Roman"/>
          <w:color w:val="auto"/>
          <w:sz w:val="24"/>
          <w:szCs w:val="24"/>
          <w:lang w:val="en-US"/>
        </w:rPr>
      </w:pPr>
    </w:p>
    <w:p w14:paraId="229FB2FD" w14:textId="77777777" w:rsidR="00DF14BB" w:rsidRPr="00DF14BB" w:rsidRDefault="00DF14BB" w:rsidP="00DF14BB">
      <w:pPr>
        <w:spacing w:line="360" w:lineRule="auto"/>
        <w:ind w:left="-142" w:hanging="709"/>
        <w:jc w:val="both"/>
        <w:rPr>
          <w:rFonts w:ascii="Times New Roman" w:hAnsi="Times New Roman"/>
          <w:color w:val="auto"/>
          <w:sz w:val="24"/>
          <w:szCs w:val="24"/>
          <w:lang w:val="en-ZA"/>
        </w:rPr>
      </w:pPr>
      <w:r w:rsidRPr="00DF14BB">
        <w:rPr>
          <w:rFonts w:ascii="Times New Roman" w:hAnsi="Times New Roman"/>
          <w:color w:val="auto"/>
          <w:sz w:val="24"/>
          <w:szCs w:val="24"/>
          <w:lang w:val="en-US"/>
        </w:rPr>
        <w:t xml:space="preserve">COSATU made the following recommendations with respect to </w:t>
      </w:r>
      <w:r w:rsidRPr="00DF14BB">
        <w:rPr>
          <w:rFonts w:ascii="Times New Roman" w:hAnsi="Times New Roman"/>
          <w:color w:val="auto"/>
          <w:sz w:val="24"/>
          <w:szCs w:val="24"/>
          <w:lang w:val="en-ZA"/>
        </w:rPr>
        <w:t>sectoral votes:</w:t>
      </w:r>
    </w:p>
    <w:p w14:paraId="63A24F07" w14:textId="01838466" w:rsidR="00DF14BB" w:rsidRPr="00DF14BB" w:rsidRDefault="0059792E" w:rsidP="00DF14BB">
      <w:pPr>
        <w:numPr>
          <w:ilvl w:val="0"/>
          <w:numId w:val="5"/>
        </w:numPr>
        <w:spacing w:line="360" w:lineRule="auto"/>
        <w:ind w:left="142" w:hanging="426"/>
        <w:jc w:val="both"/>
        <w:rPr>
          <w:rFonts w:ascii="Times New Roman" w:hAnsi="Times New Roman"/>
          <w:color w:val="auto"/>
          <w:sz w:val="24"/>
          <w:szCs w:val="24"/>
          <w:lang w:val="en-ZA"/>
        </w:rPr>
      </w:pPr>
      <w:r>
        <w:rPr>
          <w:rFonts w:ascii="Times New Roman" w:hAnsi="Times New Roman"/>
          <w:color w:val="auto"/>
          <w:sz w:val="24"/>
          <w:szCs w:val="24"/>
          <w:lang w:val="en-ZA"/>
        </w:rPr>
        <w:t>Two thirds of South African Police Service</w:t>
      </w:r>
      <w:r w:rsidR="00DF14BB" w:rsidRPr="00DF14BB">
        <w:rPr>
          <w:rFonts w:ascii="Times New Roman" w:hAnsi="Times New Roman"/>
          <w:color w:val="auto"/>
          <w:sz w:val="24"/>
          <w:szCs w:val="24"/>
          <w:lang w:val="en-ZA"/>
        </w:rPr>
        <w:t xml:space="preserve"> members should be redeployed from head offices and desk jobs to specialised units, station level and </w:t>
      </w:r>
      <w:r w:rsidR="00DF14BB" w:rsidRPr="00DF14BB">
        <w:rPr>
          <w:rFonts w:ascii="Times New Roman" w:hAnsi="Times New Roman"/>
          <w:color w:val="auto"/>
          <w:sz w:val="24"/>
          <w:szCs w:val="24"/>
          <w:lang w:val="en-ZA"/>
        </w:rPr>
        <w:lastRenderedPageBreak/>
        <w:t>community policing; all outsourcing in the security cluster should be stopped; plans should be developed to deal with labour and other courts backlogs; and there must be a comprehensive forensic audit of State Security Agency expenditure.</w:t>
      </w:r>
    </w:p>
    <w:p w14:paraId="64BEA572"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Urgent interventions are needed to arrest the collapse of public hospitals and plans to build the National Health Insurance and the filling of public health care posts must be fast-tracked.</w:t>
      </w:r>
    </w:p>
    <w:p w14:paraId="00DDE175"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Urgent engagement with civil society on an alternative to e-Tolls is needed; plans to save Metrorail and to expand reliable, accessible and affordable public transport in communities, must be considered.</w:t>
      </w:r>
    </w:p>
    <w:p w14:paraId="5B1EED37"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There must be an intervention plan to turn the Department of Water Affairs around, as well as a plan to hold the guilty accountable for the Giyani water debacle; and national, provincial and local plans are needed to turn South Africa from a water scarce to a water wise nation.</w:t>
      </w:r>
    </w:p>
    <w:p w14:paraId="4C7F3B29" w14:textId="77777777" w:rsidR="00DF14BB" w:rsidRPr="00DF14BB" w:rsidRDefault="00DF14BB" w:rsidP="00DF14BB">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There must be clear targets and dates to eradicate mud schools and address sanitation and school infrastructure crises; as well as clear plans by Public Works to ensure all public buildings are safe.</w:t>
      </w:r>
    </w:p>
    <w:p w14:paraId="24A4BA1B" w14:textId="4E071DDB" w:rsidR="00DF14BB" w:rsidRDefault="00DF14BB" w:rsidP="007D4801">
      <w:pPr>
        <w:numPr>
          <w:ilvl w:val="0"/>
          <w:numId w:val="5"/>
        </w:numPr>
        <w:spacing w:line="360" w:lineRule="auto"/>
        <w:ind w:left="142" w:hanging="426"/>
        <w:jc w:val="both"/>
        <w:rPr>
          <w:rFonts w:ascii="Times New Roman" w:hAnsi="Times New Roman"/>
          <w:color w:val="auto"/>
          <w:sz w:val="24"/>
          <w:szCs w:val="24"/>
          <w:lang w:val="en-ZA"/>
        </w:rPr>
      </w:pPr>
      <w:r w:rsidRPr="00DF14BB">
        <w:rPr>
          <w:rFonts w:ascii="Times New Roman" w:hAnsi="Times New Roman"/>
          <w:color w:val="auto"/>
          <w:sz w:val="24"/>
          <w:szCs w:val="24"/>
          <w:lang w:val="en-ZA"/>
        </w:rPr>
        <w:t>There should be an end of outsourcing of municipal jobs to the Expanded Public Works Programme and Community Work Programme and insourcing these workers into permanent municipal posts should be considered; and there must be plans to stabilise distressed municipalities by integrating municipalities that are too small or lack a significant rates base with viable municipalities.</w:t>
      </w:r>
    </w:p>
    <w:p w14:paraId="021137A0" w14:textId="77777777" w:rsidR="007D4801" w:rsidRPr="00FD7CAC" w:rsidRDefault="007D4801" w:rsidP="008B46F5">
      <w:pPr>
        <w:spacing w:line="360" w:lineRule="auto"/>
        <w:ind w:left="142"/>
        <w:jc w:val="both"/>
        <w:rPr>
          <w:rFonts w:ascii="Times New Roman" w:hAnsi="Times New Roman"/>
          <w:color w:val="auto"/>
          <w:sz w:val="24"/>
          <w:szCs w:val="24"/>
          <w:lang w:val="en-ZA"/>
        </w:rPr>
      </w:pPr>
    </w:p>
    <w:p w14:paraId="195818F9" w14:textId="720F6DAD" w:rsidR="00DF14BB" w:rsidRPr="00DF14BB" w:rsidRDefault="00DF14BB" w:rsidP="007D4801">
      <w:pPr>
        <w:spacing w:line="360" w:lineRule="auto"/>
        <w:ind w:left="-142" w:hanging="709"/>
        <w:jc w:val="both"/>
        <w:rPr>
          <w:rFonts w:ascii="Times New Roman" w:hAnsi="Times New Roman"/>
          <w:b/>
          <w:color w:val="auto"/>
          <w:sz w:val="24"/>
          <w:szCs w:val="24"/>
          <w:lang w:val="en-ZA"/>
        </w:rPr>
      </w:pPr>
      <w:r w:rsidRPr="00DF14BB">
        <w:rPr>
          <w:rFonts w:ascii="Times New Roman" w:hAnsi="Times New Roman"/>
          <w:b/>
          <w:color w:val="auto"/>
          <w:sz w:val="24"/>
          <w:szCs w:val="24"/>
          <w:lang w:val="en-ZA"/>
        </w:rPr>
        <w:t>4.3</w:t>
      </w:r>
      <w:r w:rsidRPr="00DF14BB">
        <w:rPr>
          <w:rFonts w:ascii="Times New Roman" w:hAnsi="Times New Roman"/>
          <w:b/>
          <w:color w:val="auto"/>
          <w:sz w:val="24"/>
          <w:szCs w:val="24"/>
          <w:lang w:val="en-ZA"/>
        </w:rPr>
        <w:tab/>
        <w:t>Budget Justice Coalition</w:t>
      </w:r>
    </w:p>
    <w:p w14:paraId="54EF841A" w14:textId="3546543C" w:rsidR="00DF14BB" w:rsidRDefault="00DF14BB">
      <w:pPr>
        <w:spacing w:line="360" w:lineRule="auto"/>
        <w:ind w:left="-142" w:hanging="709"/>
        <w:jc w:val="both"/>
        <w:rPr>
          <w:rFonts w:ascii="Times New Roman" w:hAnsi="Times New Roman"/>
          <w:b/>
          <w:color w:val="auto"/>
          <w:sz w:val="24"/>
          <w:szCs w:val="24"/>
          <w:lang w:val="en-ZA"/>
        </w:rPr>
      </w:pPr>
    </w:p>
    <w:p w14:paraId="2AD6B8C9" w14:textId="77777777" w:rsidR="0097465B" w:rsidRDefault="0094395A">
      <w:pPr>
        <w:spacing w:line="360" w:lineRule="auto"/>
        <w:ind w:left="-851"/>
        <w:jc w:val="both"/>
        <w:rPr>
          <w:rFonts w:ascii="Times New Roman" w:hAnsi="Times New Roman"/>
          <w:color w:val="auto"/>
          <w:sz w:val="24"/>
          <w:szCs w:val="24"/>
          <w:lang w:val="en-ZA"/>
        </w:rPr>
      </w:pPr>
      <w:r w:rsidRPr="0094395A">
        <w:rPr>
          <w:rFonts w:ascii="Times New Roman" w:hAnsi="Times New Roman"/>
          <w:color w:val="auto"/>
          <w:sz w:val="24"/>
          <w:szCs w:val="24"/>
          <w:lang w:val="en-ZA"/>
        </w:rPr>
        <w:t xml:space="preserve">The </w:t>
      </w:r>
      <w:r>
        <w:rPr>
          <w:rFonts w:ascii="Times New Roman" w:hAnsi="Times New Roman"/>
          <w:color w:val="auto"/>
          <w:sz w:val="24"/>
          <w:szCs w:val="24"/>
          <w:lang w:val="en-ZA"/>
        </w:rPr>
        <w:t xml:space="preserve">Budget Justice Coalition (BJC) expressed concerns about the declared unspent funds by departments and submitted that it was imperative for this not to disadvantage social programmes. The BJC made reference to the Education Infrastructure Grant (EIG) and expressed concerns that over the five year period between 2014/15 and 2018/19, 94 per cent (R58.4 billion) of the budget has been spent and only 67 per cent of associated planned targets were achieved. More concerns were expressed about the potential impact of unspent funds </w:t>
      </w:r>
      <w:r w:rsidR="00694550">
        <w:rPr>
          <w:rFonts w:ascii="Times New Roman" w:hAnsi="Times New Roman"/>
          <w:color w:val="auto"/>
          <w:sz w:val="24"/>
          <w:szCs w:val="24"/>
          <w:lang w:val="en-ZA"/>
        </w:rPr>
        <w:t xml:space="preserve">(R215 million) </w:t>
      </w:r>
      <w:r>
        <w:rPr>
          <w:rFonts w:ascii="Times New Roman" w:hAnsi="Times New Roman"/>
          <w:color w:val="auto"/>
          <w:sz w:val="24"/>
          <w:szCs w:val="24"/>
          <w:lang w:val="en-ZA"/>
        </w:rPr>
        <w:t xml:space="preserve">on service delivery </w:t>
      </w:r>
      <w:r w:rsidR="00694550">
        <w:rPr>
          <w:rFonts w:ascii="Times New Roman" w:hAnsi="Times New Roman"/>
          <w:color w:val="auto"/>
          <w:sz w:val="24"/>
          <w:szCs w:val="24"/>
          <w:lang w:val="en-ZA"/>
        </w:rPr>
        <w:t xml:space="preserve">in water and sanitation particularly in light of the ageing municipal water infrastructure and the delays in the completion of the Bucket Eradication Programme. </w:t>
      </w:r>
    </w:p>
    <w:p w14:paraId="124FDF11" w14:textId="77777777" w:rsidR="0097465B" w:rsidRDefault="0097465B" w:rsidP="00694550">
      <w:pPr>
        <w:spacing w:line="360" w:lineRule="auto"/>
        <w:ind w:left="-851"/>
        <w:jc w:val="both"/>
        <w:rPr>
          <w:rFonts w:ascii="Times New Roman" w:hAnsi="Times New Roman"/>
          <w:color w:val="auto"/>
          <w:sz w:val="24"/>
          <w:szCs w:val="24"/>
          <w:lang w:val="en-ZA"/>
        </w:rPr>
      </w:pPr>
    </w:p>
    <w:p w14:paraId="0237924D" w14:textId="18785D45" w:rsidR="00C71BD1" w:rsidRDefault="00F20E09" w:rsidP="00694550">
      <w:pPr>
        <w:spacing w:line="360" w:lineRule="auto"/>
        <w:ind w:left="-851"/>
        <w:jc w:val="both"/>
        <w:rPr>
          <w:rFonts w:ascii="Times New Roman" w:hAnsi="Times New Roman"/>
          <w:color w:val="auto"/>
          <w:sz w:val="24"/>
          <w:szCs w:val="24"/>
          <w:lang w:val="en-ZA"/>
        </w:rPr>
      </w:pPr>
      <w:r>
        <w:rPr>
          <w:rFonts w:ascii="Times New Roman" w:hAnsi="Times New Roman"/>
          <w:color w:val="auto"/>
          <w:sz w:val="24"/>
          <w:szCs w:val="24"/>
          <w:lang w:val="en-ZA"/>
        </w:rPr>
        <w:t>Regarding</w:t>
      </w:r>
      <w:r w:rsidR="0097465B">
        <w:rPr>
          <w:rFonts w:ascii="Times New Roman" w:hAnsi="Times New Roman"/>
          <w:color w:val="auto"/>
          <w:sz w:val="24"/>
          <w:szCs w:val="24"/>
          <w:lang w:val="en-ZA"/>
        </w:rPr>
        <w:t xml:space="preserve"> job creation, the BJC also made reference to the declared unspent funds on the Employment Creation Facilitation Fund (R157.225 million) and Community Works Programme (R300 million) and submitted that this could have been used to stimulate employment especially for vulnerable groups. </w:t>
      </w:r>
    </w:p>
    <w:p w14:paraId="3803FFB8" w14:textId="3B3A59CE" w:rsidR="00C71BD1" w:rsidRDefault="00C71BD1" w:rsidP="00694550">
      <w:pPr>
        <w:spacing w:line="360" w:lineRule="auto"/>
        <w:ind w:left="-851"/>
        <w:jc w:val="both"/>
        <w:rPr>
          <w:rFonts w:ascii="Times New Roman" w:hAnsi="Times New Roman"/>
          <w:color w:val="auto"/>
          <w:sz w:val="24"/>
          <w:szCs w:val="24"/>
          <w:lang w:val="en-ZA"/>
        </w:rPr>
      </w:pPr>
    </w:p>
    <w:p w14:paraId="4893F865" w14:textId="56CCAEA5" w:rsidR="0097465B" w:rsidRDefault="00F20E09" w:rsidP="00694550">
      <w:pPr>
        <w:spacing w:line="360" w:lineRule="auto"/>
        <w:ind w:left="-851"/>
        <w:jc w:val="both"/>
        <w:rPr>
          <w:rFonts w:ascii="Times New Roman" w:hAnsi="Times New Roman"/>
          <w:color w:val="auto"/>
          <w:sz w:val="24"/>
          <w:szCs w:val="24"/>
          <w:lang w:val="en-ZA"/>
        </w:rPr>
      </w:pPr>
      <w:r>
        <w:rPr>
          <w:rFonts w:ascii="Times New Roman" w:hAnsi="Times New Roman"/>
          <w:color w:val="auto"/>
          <w:sz w:val="24"/>
          <w:szCs w:val="24"/>
          <w:lang w:val="en-ZA"/>
        </w:rPr>
        <w:t>Regarding</w:t>
      </w:r>
      <w:r w:rsidR="0097465B">
        <w:rPr>
          <w:rFonts w:ascii="Times New Roman" w:hAnsi="Times New Roman"/>
          <w:color w:val="auto"/>
          <w:sz w:val="24"/>
          <w:szCs w:val="24"/>
          <w:lang w:val="en-ZA"/>
        </w:rPr>
        <w:t xml:space="preserve"> the health sector, the BJC submitted that austerity budgeting was having a negative impact on especially wom</w:t>
      </w:r>
      <w:r>
        <w:rPr>
          <w:rFonts w:ascii="Times New Roman" w:hAnsi="Times New Roman"/>
          <w:color w:val="auto"/>
          <w:sz w:val="24"/>
          <w:szCs w:val="24"/>
          <w:lang w:val="en-ZA"/>
        </w:rPr>
        <w:t>e</w:t>
      </w:r>
      <w:r w:rsidR="0097465B">
        <w:rPr>
          <w:rFonts w:ascii="Times New Roman" w:hAnsi="Times New Roman"/>
          <w:color w:val="auto"/>
          <w:sz w:val="24"/>
          <w:szCs w:val="24"/>
          <w:lang w:val="en-ZA"/>
        </w:rPr>
        <w:t>n, transgender, gender diverse, and intersex people. Furthermore, these cuts also had an impact on employment conditions, often resulting in critical staff shortages and hampering the expansion of health professionals necessary to improve the levels of care and prepare for the transition to the NHI. The BJC also expressed concerns that neither the 2019 MTBPS</w:t>
      </w:r>
      <w:r w:rsidR="00EA526B">
        <w:rPr>
          <w:rFonts w:ascii="Times New Roman" w:hAnsi="Times New Roman"/>
          <w:color w:val="auto"/>
          <w:sz w:val="24"/>
          <w:szCs w:val="24"/>
          <w:lang w:val="en-ZA"/>
        </w:rPr>
        <w:t xml:space="preserve"> nor</w:t>
      </w:r>
      <w:r w:rsidR="0097465B">
        <w:rPr>
          <w:rFonts w:ascii="Times New Roman" w:hAnsi="Times New Roman"/>
          <w:color w:val="auto"/>
          <w:sz w:val="24"/>
          <w:szCs w:val="24"/>
          <w:lang w:val="en-ZA"/>
        </w:rPr>
        <w:t xml:space="preserve"> </w:t>
      </w:r>
      <w:r w:rsidR="00763EE9">
        <w:rPr>
          <w:rFonts w:ascii="Times New Roman" w:hAnsi="Times New Roman"/>
          <w:color w:val="auto"/>
          <w:sz w:val="24"/>
          <w:szCs w:val="24"/>
          <w:lang w:val="en-ZA"/>
        </w:rPr>
        <w:t xml:space="preserve">the Bill </w:t>
      </w:r>
      <w:r w:rsidR="0097465B">
        <w:rPr>
          <w:rFonts w:ascii="Times New Roman" w:hAnsi="Times New Roman"/>
          <w:color w:val="auto"/>
          <w:sz w:val="24"/>
          <w:szCs w:val="24"/>
          <w:lang w:val="en-ZA"/>
        </w:rPr>
        <w:t xml:space="preserve">made mention of the </w:t>
      </w:r>
      <w:r w:rsidR="00763EE9">
        <w:rPr>
          <w:rFonts w:ascii="Times New Roman" w:hAnsi="Times New Roman"/>
          <w:color w:val="auto"/>
          <w:sz w:val="24"/>
          <w:szCs w:val="24"/>
          <w:lang w:val="en-ZA"/>
        </w:rPr>
        <w:t xml:space="preserve">2019 budget commitment to spend R1 billion on the implementation of the minimum wage for Community Health Workers. </w:t>
      </w:r>
    </w:p>
    <w:p w14:paraId="3EC5CB1B" w14:textId="77777777" w:rsidR="0097465B" w:rsidRDefault="0097465B" w:rsidP="00694550">
      <w:pPr>
        <w:spacing w:line="360" w:lineRule="auto"/>
        <w:ind w:left="-851"/>
        <w:jc w:val="both"/>
        <w:rPr>
          <w:rFonts w:ascii="Times New Roman" w:hAnsi="Times New Roman"/>
          <w:color w:val="auto"/>
          <w:sz w:val="24"/>
          <w:szCs w:val="24"/>
          <w:lang w:val="en-ZA"/>
        </w:rPr>
      </w:pPr>
    </w:p>
    <w:p w14:paraId="2E531080" w14:textId="7F69D218" w:rsidR="0094395A" w:rsidRPr="00C71BD1" w:rsidRDefault="00694550" w:rsidP="00DD1DCE">
      <w:pPr>
        <w:spacing w:line="360" w:lineRule="auto"/>
        <w:ind w:left="-851"/>
        <w:jc w:val="both"/>
        <w:rPr>
          <w:rFonts w:ascii="Times New Roman" w:hAnsi="Times New Roman"/>
          <w:color w:val="auto"/>
          <w:sz w:val="24"/>
          <w:szCs w:val="24"/>
          <w:lang w:val="en-ZA"/>
        </w:rPr>
      </w:pPr>
      <w:r w:rsidRPr="00694550">
        <w:rPr>
          <w:rFonts w:ascii="Times New Roman" w:hAnsi="Times New Roman"/>
          <w:color w:val="auto"/>
          <w:sz w:val="24"/>
          <w:szCs w:val="24"/>
          <w:lang w:val="en-ZA"/>
        </w:rPr>
        <w:t>As an important measure to prevent regression in the realisation of socio-</w:t>
      </w:r>
      <w:r>
        <w:rPr>
          <w:rFonts w:ascii="Times New Roman" w:hAnsi="Times New Roman"/>
          <w:color w:val="auto"/>
          <w:sz w:val="24"/>
          <w:szCs w:val="24"/>
          <w:lang w:val="en-ZA"/>
        </w:rPr>
        <w:t>economic rights, the BJC asserted</w:t>
      </w:r>
      <w:r w:rsidRPr="00694550">
        <w:rPr>
          <w:rFonts w:ascii="Times New Roman" w:hAnsi="Times New Roman"/>
          <w:color w:val="auto"/>
          <w:sz w:val="24"/>
          <w:szCs w:val="24"/>
          <w:lang w:val="en-ZA"/>
        </w:rPr>
        <w:t xml:space="preserve"> the need to improve, across government, the efficiency and effectiveness for spending allocated budgets.</w:t>
      </w:r>
      <w:r w:rsidR="00C71BD1">
        <w:rPr>
          <w:rFonts w:ascii="Times New Roman" w:hAnsi="Times New Roman"/>
          <w:color w:val="auto"/>
          <w:sz w:val="24"/>
          <w:szCs w:val="24"/>
          <w:lang w:val="en-ZA"/>
        </w:rPr>
        <w:t xml:space="preserve"> The BJC</w:t>
      </w:r>
      <w:r w:rsidR="00C71BD1" w:rsidRPr="00C71BD1">
        <w:rPr>
          <w:rFonts w:ascii="Times New Roman" w:hAnsi="Times New Roman"/>
          <w:color w:val="auto"/>
          <w:sz w:val="24"/>
          <w:szCs w:val="24"/>
          <w:lang w:val="en-ZA"/>
        </w:rPr>
        <w:t xml:space="preserve"> propose</w:t>
      </w:r>
      <w:r w:rsidR="00C71BD1">
        <w:rPr>
          <w:rFonts w:ascii="Times New Roman" w:hAnsi="Times New Roman"/>
          <w:color w:val="auto"/>
          <w:sz w:val="24"/>
          <w:szCs w:val="24"/>
          <w:lang w:val="en-ZA"/>
        </w:rPr>
        <w:t>d</w:t>
      </w:r>
      <w:r w:rsidR="00C71BD1" w:rsidRPr="00C71BD1">
        <w:rPr>
          <w:rFonts w:ascii="Times New Roman" w:hAnsi="Times New Roman"/>
          <w:color w:val="auto"/>
          <w:sz w:val="24"/>
          <w:szCs w:val="24"/>
          <w:lang w:val="en-ZA"/>
        </w:rPr>
        <w:t xml:space="preserve"> that the Committee require national and provincial departments to provide clear ‘turnaround’ strategies, which themselves will require some budget allocations, for improved efficiency and effectiveness on spending budgets.</w:t>
      </w:r>
      <w:r w:rsidR="00C71BD1" w:rsidRPr="00C71BD1">
        <w:t xml:space="preserve"> </w:t>
      </w:r>
      <w:r w:rsidR="00C71BD1" w:rsidRPr="00C71BD1">
        <w:rPr>
          <w:rFonts w:ascii="Times New Roman" w:hAnsi="Times New Roman"/>
          <w:color w:val="auto"/>
          <w:sz w:val="24"/>
          <w:szCs w:val="24"/>
          <w:lang w:val="en-ZA"/>
        </w:rPr>
        <w:t>The r</w:t>
      </w:r>
      <w:r w:rsidR="00C71BD1">
        <w:rPr>
          <w:rFonts w:ascii="Times New Roman" w:hAnsi="Times New Roman"/>
          <w:color w:val="auto"/>
          <w:sz w:val="24"/>
          <w:szCs w:val="24"/>
          <w:lang w:val="en-ZA"/>
        </w:rPr>
        <w:t>ole of National and Provincial T</w:t>
      </w:r>
      <w:r w:rsidR="00C71BD1" w:rsidRPr="00C71BD1">
        <w:rPr>
          <w:rFonts w:ascii="Times New Roman" w:hAnsi="Times New Roman"/>
          <w:color w:val="auto"/>
          <w:sz w:val="24"/>
          <w:szCs w:val="24"/>
          <w:lang w:val="en-ZA"/>
        </w:rPr>
        <w:t>reasuries to support and monitor this in th</w:t>
      </w:r>
      <w:r w:rsidR="00C71BD1">
        <w:rPr>
          <w:rFonts w:ascii="Times New Roman" w:hAnsi="Times New Roman"/>
          <w:color w:val="auto"/>
          <w:sz w:val="24"/>
          <w:szCs w:val="24"/>
          <w:lang w:val="en-ZA"/>
        </w:rPr>
        <w:t>e departments most affected should</w:t>
      </w:r>
      <w:r w:rsidR="00C71BD1" w:rsidRPr="00C71BD1">
        <w:rPr>
          <w:rFonts w:ascii="Times New Roman" w:hAnsi="Times New Roman"/>
          <w:color w:val="auto"/>
          <w:sz w:val="24"/>
          <w:szCs w:val="24"/>
          <w:lang w:val="en-ZA"/>
        </w:rPr>
        <w:t xml:space="preserve"> be clearly set out.</w:t>
      </w:r>
      <w:r w:rsidR="00C71BD1">
        <w:rPr>
          <w:rFonts w:ascii="Times New Roman" w:hAnsi="Times New Roman"/>
          <w:color w:val="auto"/>
          <w:sz w:val="24"/>
          <w:szCs w:val="24"/>
          <w:lang w:val="en-ZA"/>
        </w:rPr>
        <w:t xml:space="preserve"> The BJC further submitted that to merely identify underspending and focusing on reallocations while failing to identify the specifics of the spending issues was ineffective. </w:t>
      </w:r>
    </w:p>
    <w:p w14:paraId="2EE9DFE6" w14:textId="7EF82D56" w:rsidR="0094395A" w:rsidRPr="00DF14BB" w:rsidRDefault="0094395A">
      <w:pPr>
        <w:spacing w:line="360" w:lineRule="auto"/>
        <w:jc w:val="both"/>
        <w:rPr>
          <w:rFonts w:ascii="Times New Roman" w:hAnsi="Times New Roman"/>
          <w:b/>
          <w:color w:val="auto"/>
          <w:sz w:val="24"/>
          <w:szCs w:val="24"/>
          <w:lang w:val="en-ZA"/>
        </w:rPr>
      </w:pPr>
    </w:p>
    <w:p w14:paraId="6E1AA226" w14:textId="5508DEF8" w:rsidR="00DF14BB" w:rsidRPr="00DF14BB" w:rsidRDefault="00DF14BB">
      <w:pPr>
        <w:spacing w:line="360" w:lineRule="auto"/>
        <w:ind w:left="-142" w:hanging="709"/>
        <w:jc w:val="both"/>
        <w:rPr>
          <w:rFonts w:ascii="Times New Roman" w:hAnsi="Times New Roman"/>
          <w:b/>
          <w:color w:val="auto"/>
          <w:sz w:val="24"/>
          <w:szCs w:val="24"/>
          <w:lang w:val="en-ZA"/>
        </w:rPr>
      </w:pPr>
      <w:r w:rsidRPr="00DF14BB">
        <w:rPr>
          <w:rFonts w:ascii="Times New Roman" w:hAnsi="Times New Roman"/>
          <w:b/>
          <w:color w:val="auto"/>
          <w:sz w:val="24"/>
          <w:szCs w:val="24"/>
          <w:lang w:val="en-ZA"/>
        </w:rPr>
        <w:t>4.4</w:t>
      </w:r>
      <w:r w:rsidRPr="00DF14BB">
        <w:rPr>
          <w:rFonts w:ascii="Times New Roman" w:hAnsi="Times New Roman"/>
          <w:b/>
          <w:color w:val="auto"/>
          <w:sz w:val="24"/>
          <w:szCs w:val="24"/>
          <w:lang w:val="en-ZA"/>
        </w:rPr>
        <w:tab/>
        <w:t>Fields of Green for All</w:t>
      </w:r>
    </w:p>
    <w:p w14:paraId="505EB28D" w14:textId="7F2CD981" w:rsidR="00DF14BB" w:rsidRPr="00DF14BB" w:rsidRDefault="00DF14BB">
      <w:pPr>
        <w:spacing w:line="360" w:lineRule="auto"/>
        <w:ind w:left="-142" w:hanging="709"/>
        <w:jc w:val="both"/>
        <w:rPr>
          <w:rFonts w:ascii="Times New Roman" w:hAnsi="Times New Roman"/>
          <w:b/>
          <w:color w:val="auto"/>
          <w:sz w:val="24"/>
          <w:szCs w:val="24"/>
          <w:lang w:val="en-ZA"/>
        </w:rPr>
      </w:pPr>
    </w:p>
    <w:p w14:paraId="7D6A19C0" w14:textId="00427B44" w:rsidR="001A4D5C" w:rsidRPr="001A4D5C" w:rsidRDefault="001A4D5C">
      <w:pPr>
        <w:spacing w:line="360" w:lineRule="auto"/>
        <w:ind w:left="-851"/>
        <w:jc w:val="both"/>
        <w:rPr>
          <w:rFonts w:ascii="Times New Roman" w:hAnsi="Times New Roman"/>
          <w:color w:val="auto"/>
          <w:sz w:val="24"/>
          <w:szCs w:val="24"/>
          <w:lang w:val="en-ZA"/>
        </w:rPr>
      </w:pPr>
      <w:r w:rsidRPr="001A4D5C">
        <w:rPr>
          <w:rFonts w:ascii="Times New Roman" w:hAnsi="Times New Roman"/>
          <w:color w:val="auto"/>
          <w:sz w:val="24"/>
          <w:szCs w:val="24"/>
          <w:lang w:val="en-ZA"/>
        </w:rPr>
        <w:t xml:space="preserve">In response to the call for submission of </w:t>
      </w:r>
      <w:r>
        <w:rPr>
          <w:rFonts w:ascii="Times New Roman" w:hAnsi="Times New Roman"/>
          <w:color w:val="auto"/>
          <w:sz w:val="24"/>
          <w:szCs w:val="24"/>
          <w:lang w:val="en-ZA"/>
        </w:rPr>
        <w:t>comments on the Bill</w:t>
      </w:r>
      <w:r w:rsidRPr="001A4D5C">
        <w:rPr>
          <w:rFonts w:ascii="Times New Roman" w:hAnsi="Times New Roman"/>
          <w:color w:val="auto"/>
          <w:sz w:val="24"/>
          <w:szCs w:val="24"/>
          <w:lang w:val="en-ZA"/>
        </w:rPr>
        <w:t xml:space="preserve">, Fields of Green for All submitted that after studying the figures contained within the Bill they realised that large sums of money had not been spent by government departments. Fields of Green for All argued that the unspent funds by government departments should be used to start the development of a legal Cannabis Industry in South Africa. Added to that, the Fields of Green for All argued that there was no coherent plan on the part of government to address the issue of how Cannabis was going to be legalised in South Africa. </w:t>
      </w:r>
      <w:r w:rsidR="00F20E09">
        <w:rPr>
          <w:rFonts w:ascii="Times New Roman" w:hAnsi="Times New Roman"/>
          <w:color w:val="auto"/>
          <w:sz w:val="24"/>
          <w:szCs w:val="24"/>
          <w:lang w:val="en-ZA"/>
        </w:rPr>
        <w:t xml:space="preserve">To that </w:t>
      </w:r>
      <w:r w:rsidR="00F20E09">
        <w:rPr>
          <w:rFonts w:ascii="Times New Roman" w:hAnsi="Times New Roman"/>
          <w:color w:val="auto"/>
          <w:sz w:val="24"/>
          <w:szCs w:val="24"/>
          <w:lang w:val="en-ZA"/>
        </w:rPr>
        <w:lastRenderedPageBreak/>
        <w:t>effect, the organisation felt that</w:t>
      </w:r>
      <w:r w:rsidRPr="001A4D5C">
        <w:rPr>
          <w:rFonts w:ascii="Times New Roman" w:hAnsi="Times New Roman"/>
          <w:color w:val="auto"/>
          <w:sz w:val="24"/>
          <w:szCs w:val="24"/>
          <w:lang w:val="en-ZA"/>
        </w:rPr>
        <w:t xml:space="preserve"> there are many government departments who could play a </w:t>
      </w:r>
      <w:r w:rsidR="00F20E09">
        <w:rPr>
          <w:rFonts w:ascii="Times New Roman" w:hAnsi="Times New Roman"/>
          <w:color w:val="auto"/>
          <w:sz w:val="24"/>
          <w:szCs w:val="24"/>
          <w:lang w:val="en-ZA"/>
        </w:rPr>
        <w:t xml:space="preserve">significant </w:t>
      </w:r>
      <w:r w:rsidRPr="001A4D5C">
        <w:rPr>
          <w:rFonts w:ascii="Times New Roman" w:hAnsi="Times New Roman"/>
          <w:color w:val="auto"/>
          <w:sz w:val="24"/>
          <w:szCs w:val="24"/>
          <w:lang w:val="en-ZA"/>
        </w:rPr>
        <w:t>role in legalising Cannabis</w:t>
      </w:r>
      <w:r w:rsidR="00F20E09">
        <w:rPr>
          <w:rFonts w:ascii="Times New Roman" w:hAnsi="Times New Roman"/>
          <w:color w:val="auto"/>
          <w:sz w:val="24"/>
          <w:szCs w:val="24"/>
          <w:lang w:val="en-ZA"/>
        </w:rPr>
        <w:t xml:space="preserve"> and</w:t>
      </w:r>
      <w:r w:rsidR="00F20E09" w:rsidRPr="001A4D5C">
        <w:rPr>
          <w:rFonts w:ascii="Times New Roman" w:hAnsi="Times New Roman"/>
          <w:color w:val="auto"/>
          <w:sz w:val="24"/>
          <w:szCs w:val="24"/>
          <w:lang w:val="en-ZA"/>
        </w:rPr>
        <w:t xml:space="preserve"> there</w:t>
      </w:r>
      <w:r w:rsidRPr="001A4D5C">
        <w:rPr>
          <w:rFonts w:ascii="Times New Roman" w:hAnsi="Times New Roman"/>
          <w:color w:val="auto"/>
          <w:sz w:val="24"/>
          <w:szCs w:val="24"/>
          <w:lang w:val="en-ZA"/>
        </w:rPr>
        <w:t xml:space="preserve"> was a need to coordinate the work across all these departments. Fields of Green for All went further to list departments who had returned unspent funds to National Treasury and argued that such funds could be used for developing Cannabis framework and benefit many citizens.</w:t>
      </w:r>
    </w:p>
    <w:p w14:paraId="6A6AD34F" w14:textId="77777777" w:rsidR="001A4D5C" w:rsidRPr="001A4D5C" w:rsidRDefault="001A4D5C" w:rsidP="001A4D5C">
      <w:pPr>
        <w:spacing w:line="360" w:lineRule="auto"/>
        <w:jc w:val="both"/>
        <w:rPr>
          <w:rFonts w:ascii="Times New Roman" w:hAnsi="Times New Roman"/>
          <w:color w:val="auto"/>
          <w:sz w:val="24"/>
          <w:szCs w:val="24"/>
          <w:lang w:val="en-ZA"/>
        </w:rPr>
      </w:pPr>
    </w:p>
    <w:p w14:paraId="1F396195" w14:textId="117F8E9D" w:rsidR="001A4D5C" w:rsidRPr="001A4D5C" w:rsidRDefault="001A4D5C" w:rsidP="001A4D5C">
      <w:pPr>
        <w:spacing w:line="360" w:lineRule="auto"/>
        <w:ind w:left="-851"/>
        <w:jc w:val="both"/>
        <w:rPr>
          <w:rFonts w:ascii="Times New Roman" w:hAnsi="Times New Roman"/>
          <w:color w:val="auto"/>
          <w:sz w:val="24"/>
          <w:szCs w:val="24"/>
          <w:lang w:val="en-ZA"/>
        </w:rPr>
      </w:pPr>
      <w:r w:rsidRPr="001A4D5C">
        <w:rPr>
          <w:rFonts w:ascii="Times New Roman" w:hAnsi="Times New Roman"/>
          <w:color w:val="auto"/>
          <w:sz w:val="24"/>
          <w:szCs w:val="24"/>
          <w:lang w:val="en-ZA"/>
        </w:rPr>
        <w:t>Fields of Green for All also submitted that the issue of Cannabis law reform in South Africa, also presented a unique and desperately needed opportunity to rightfully frame regulations as an issue of criminal justice reform, equity, racial justice, economic justice and empowerment, particularly for communities most targeted by excessive enforcement of Cannabis laws.</w:t>
      </w:r>
    </w:p>
    <w:p w14:paraId="77614979" w14:textId="77777777" w:rsidR="001A4D5C" w:rsidRPr="001A4D5C" w:rsidRDefault="001A4D5C" w:rsidP="001A4D5C">
      <w:pPr>
        <w:spacing w:line="360" w:lineRule="auto"/>
        <w:jc w:val="both"/>
        <w:rPr>
          <w:rFonts w:ascii="Times New Roman" w:hAnsi="Times New Roman"/>
          <w:color w:val="auto"/>
          <w:sz w:val="24"/>
          <w:szCs w:val="24"/>
          <w:lang w:val="en-ZA"/>
        </w:rPr>
      </w:pPr>
    </w:p>
    <w:p w14:paraId="6A4C9792" w14:textId="75BE6E64" w:rsidR="001A4D5C" w:rsidRPr="001A4D5C" w:rsidRDefault="00F20E09" w:rsidP="001A4D5C">
      <w:pPr>
        <w:spacing w:line="360" w:lineRule="auto"/>
        <w:ind w:left="-851"/>
        <w:jc w:val="both"/>
        <w:rPr>
          <w:rFonts w:ascii="Times New Roman" w:hAnsi="Times New Roman"/>
          <w:color w:val="auto"/>
          <w:sz w:val="24"/>
          <w:szCs w:val="24"/>
          <w:lang w:val="en-ZA"/>
        </w:rPr>
      </w:pPr>
      <w:r>
        <w:rPr>
          <w:rFonts w:ascii="Times New Roman" w:hAnsi="Times New Roman"/>
          <w:color w:val="auto"/>
          <w:sz w:val="24"/>
          <w:szCs w:val="24"/>
          <w:lang w:val="en-ZA"/>
        </w:rPr>
        <w:t xml:space="preserve">In suggesting </w:t>
      </w:r>
      <w:r w:rsidR="008B46F5">
        <w:rPr>
          <w:rFonts w:ascii="Times New Roman" w:hAnsi="Times New Roman"/>
          <w:color w:val="auto"/>
          <w:sz w:val="24"/>
          <w:szCs w:val="24"/>
          <w:lang w:val="en-ZA"/>
        </w:rPr>
        <w:t xml:space="preserve">a </w:t>
      </w:r>
      <w:r w:rsidR="008B46F5" w:rsidRPr="001A4D5C">
        <w:rPr>
          <w:rFonts w:ascii="Times New Roman" w:hAnsi="Times New Roman"/>
          <w:color w:val="auto"/>
          <w:sz w:val="24"/>
          <w:szCs w:val="24"/>
          <w:lang w:val="en-ZA"/>
        </w:rPr>
        <w:t>way</w:t>
      </w:r>
      <w:r w:rsidR="001A4D5C" w:rsidRPr="001A4D5C">
        <w:rPr>
          <w:rFonts w:ascii="Times New Roman" w:hAnsi="Times New Roman"/>
          <w:color w:val="auto"/>
          <w:sz w:val="24"/>
          <w:szCs w:val="24"/>
          <w:lang w:val="en-ZA"/>
        </w:rPr>
        <w:t xml:space="preserve"> forward, Fields of Green for All proposed an intergovernmental plan and that all stakeholders and interested parties should contribute to a national survey. FOGFA argued that they envisaged that the South African National Cannabis Survey would fill the gaps in the evidence needed to ensure that the most vulnerable in our society reap the social and economic benefits of Cannabis legislation. The produced evidence will further contribute to the development of policies that proactively promote poverty alleviation and help address structural inequality, social exclusion, injustice and discrimination. </w:t>
      </w:r>
    </w:p>
    <w:p w14:paraId="175FBC8B" w14:textId="77777777" w:rsidR="001A4D5C" w:rsidRPr="001A4D5C" w:rsidRDefault="001A4D5C" w:rsidP="001A4D5C">
      <w:pPr>
        <w:spacing w:line="360" w:lineRule="auto"/>
        <w:jc w:val="both"/>
        <w:rPr>
          <w:rFonts w:ascii="Times New Roman" w:hAnsi="Times New Roman"/>
          <w:color w:val="auto"/>
          <w:sz w:val="24"/>
          <w:szCs w:val="24"/>
          <w:lang w:val="en-ZA"/>
        </w:rPr>
      </w:pPr>
    </w:p>
    <w:p w14:paraId="4ED0E7AD" w14:textId="77777777" w:rsidR="001A4D5C" w:rsidRPr="001A4D5C" w:rsidRDefault="001A4D5C" w:rsidP="00F42ABD">
      <w:pPr>
        <w:spacing w:line="360" w:lineRule="auto"/>
        <w:ind w:left="-851"/>
        <w:jc w:val="both"/>
        <w:rPr>
          <w:rFonts w:ascii="Times New Roman" w:hAnsi="Times New Roman"/>
          <w:color w:val="auto"/>
          <w:sz w:val="24"/>
          <w:szCs w:val="24"/>
          <w:lang w:val="en-ZA"/>
        </w:rPr>
      </w:pPr>
      <w:r w:rsidRPr="001A4D5C">
        <w:rPr>
          <w:rFonts w:ascii="Times New Roman" w:hAnsi="Times New Roman"/>
          <w:color w:val="auto"/>
          <w:sz w:val="24"/>
          <w:szCs w:val="24"/>
          <w:lang w:val="en-ZA"/>
        </w:rPr>
        <w:t xml:space="preserve">In conclusion, Fields of Green for All submitted that serious and careful consideration should be given to the appropriation of excess funds from government departments and be used for the development of a fully inclusive, vibrant and internationally ground breaking Cannabis industry.  </w:t>
      </w:r>
    </w:p>
    <w:p w14:paraId="4B117253" w14:textId="75578223" w:rsidR="00694550" w:rsidRDefault="00694550" w:rsidP="00DC17E6">
      <w:pPr>
        <w:spacing w:line="360" w:lineRule="auto"/>
        <w:jc w:val="both"/>
        <w:rPr>
          <w:rFonts w:ascii="Times New Roman" w:hAnsi="Times New Roman"/>
          <w:color w:val="auto"/>
          <w:sz w:val="24"/>
          <w:szCs w:val="24"/>
          <w:lang w:val="en-ZA"/>
        </w:rPr>
      </w:pPr>
    </w:p>
    <w:p w14:paraId="5F2F6EB8" w14:textId="33F9410E" w:rsidR="00694550" w:rsidRPr="00694550" w:rsidRDefault="00DC17E6" w:rsidP="001153E6">
      <w:pPr>
        <w:spacing w:line="360" w:lineRule="auto"/>
        <w:ind w:left="-142" w:hanging="709"/>
        <w:jc w:val="both"/>
        <w:rPr>
          <w:rFonts w:ascii="Times New Roman" w:hAnsi="Times New Roman"/>
          <w:b/>
          <w:color w:val="auto"/>
          <w:sz w:val="24"/>
          <w:szCs w:val="24"/>
          <w:lang w:val="en-ZA"/>
        </w:rPr>
      </w:pPr>
      <w:r>
        <w:rPr>
          <w:rFonts w:ascii="Times New Roman" w:hAnsi="Times New Roman"/>
          <w:b/>
          <w:color w:val="auto"/>
          <w:sz w:val="24"/>
          <w:szCs w:val="24"/>
          <w:lang w:val="en-ZA"/>
        </w:rPr>
        <w:t>5</w:t>
      </w:r>
      <w:r>
        <w:rPr>
          <w:rFonts w:ascii="Times New Roman" w:hAnsi="Times New Roman"/>
          <w:b/>
          <w:color w:val="auto"/>
          <w:sz w:val="24"/>
          <w:szCs w:val="24"/>
          <w:lang w:val="en-ZA"/>
        </w:rPr>
        <w:tab/>
        <w:t xml:space="preserve">Committee Observations and </w:t>
      </w:r>
      <w:r w:rsidR="00694550" w:rsidRPr="00694550">
        <w:rPr>
          <w:rFonts w:ascii="Times New Roman" w:hAnsi="Times New Roman"/>
          <w:b/>
          <w:color w:val="auto"/>
          <w:sz w:val="24"/>
          <w:szCs w:val="24"/>
          <w:lang w:val="en-ZA"/>
        </w:rPr>
        <w:t>Findings</w:t>
      </w:r>
    </w:p>
    <w:p w14:paraId="4F446C35" w14:textId="77777777" w:rsidR="00694550" w:rsidRDefault="00694550" w:rsidP="00694550">
      <w:pPr>
        <w:spacing w:line="360" w:lineRule="auto"/>
        <w:ind w:left="-851"/>
        <w:jc w:val="both"/>
        <w:rPr>
          <w:rFonts w:ascii="Times New Roman" w:hAnsi="Times New Roman"/>
          <w:color w:val="auto"/>
          <w:sz w:val="24"/>
          <w:szCs w:val="24"/>
          <w:lang w:val="en-ZA"/>
        </w:rPr>
      </w:pPr>
    </w:p>
    <w:p w14:paraId="5C8E9228" w14:textId="65B4E33F" w:rsidR="00694550" w:rsidRPr="00694550" w:rsidRDefault="00694550" w:rsidP="00694550">
      <w:pPr>
        <w:spacing w:line="360" w:lineRule="auto"/>
        <w:ind w:left="-851"/>
        <w:jc w:val="both"/>
        <w:rPr>
          <w:rFonts w:ascii="Times New Roman" w:hAnsi="Times New Roman"/>
          <w:color w:val="auto"/>
          <w:sz w:val="24"/>
          <w:szCs w:val="24"/>
          <w:lang w:val="en-ZA"/>
        </w:rPr>
      </w:pPr>
      <w:r w:rsidRPr="00694550">
        <w:rPr>
          <w:rFonts w:ascii="Times New Roman" w:hAnsi="Times New Roman"/>
          <w:color w:val="auto"/>
          <w:sz w:val="24"/>
          <w:szCs w:val="24"/>
          <w:lang w:val="en-ZA"/>
        </w:rPr>
        <w:t>The Standing Committee on Appropriations, having considered the inputs from the</w:t>
      </w:r>
      <w:r>
        <w:rPr>
          <w:rFonts w:ascii="Times New Roman" w:hAnsi="Times New Roman"/>
          <w:color w:val="auto"/>
          <w:sz w:val="24"/>
          <w:szCs w:val="24"/>
          <w:lang w:val="en-ZA"/>
        </w:rPr>
        <w:t xml:space="preserve"> above stakeholders on the </w:t>
      </w:r>
      <w:r w:rsidRPr="00694550">
        <w:rPr>
          <w:rFonts w:ascii="Times New Roman" w:hAnsi="Times New Roman"/>
          <w:color w:val="auto"/>
          <w:sz w:val="24"/>
          <w:szCs w:val="24"/>
          <w:lang w:val="en-ZA"/>
        </w:rPr>
        <w:t xml:space="preserve">Adjustments Appropriation Bill </w:t>
      </w:r>
      <w:r>
        <w:rPr>
          <w:rFonts w:ascii="Times New Roman" w:hAnsi="Times New Roman"/>
          <w:color w:val="auto"/>
          <w:sz w:val="24"/>
          <w:szCs w:val="24"/>
          <w:lang w:val="en-ZA"/>
        </w:rPr>
        <w:t xml:space="preserve">[B16-2019], </w:t>
      </w:r>
      <w:r w:rsidRPr="00694550">
        <w:rPr>
          <w:rFonts w:ascii="Times New Roman" w:hAnsi="Times New Roman"/>
          <w:color w:val="auto"/>
          <w:sz w:val="24"/>
          <w:szCs w:val="24"/>
          <w:lang w:val="en-ZA"/>
        </w:rPr>
        <w:t>made the following findings:</w:t>
      </w:r>
    </w:p>
    <w:p w14:paraId="15A0226D" w14:textId="74528D6B" w:rsidR="00694550" w:rsidRDefault="00694550" w:rsidP="001153E6">
      <w:pPr>
        <w:spacing w:line="360" w:lineRule="auto"/>
        <w:ind w:left="-142" w:hanging="709"/>
        <w:jc w:val="both"/>
        <w:rPr>
          <w:rFonts w:ascii="Times New Roman" w:hAnsi="Times New Roman"/>
          <w:color w:val="auto"/>
          <w:sz w:val="24"/>
          <w:szCs w:val="24"/>
          <w:lang w:val="en-ZA"/>
        </w:rPr>
      </w:pPr>
    </w:p>
    <w:p w14:paraId="1ED0DEEB" w14:textId="1F138696" w:rsidR="00767AB0" w:rsidRDefault="00767AB0" w:rsidP="00EA1582">
      <w:pPr>
        <w:pStyle w:val="ListParagraph"/>
        <w:numPr>
          <w:ilvl w:val="1"/>
          <w:numId w:val="10"/>
        </w:numPr>
        <w:spacing w:line="360" w:lineRule="auto"/>
        <w:ind w:left="-142" w:hanging="709"/>
        <w:jc w:val="both"/>
        <w:rPr>
          <w:rFonts w:ascii="Times New Roman" w:hAnsi="Times New Roman"/>
          <w:color w:val="auto"/>
          <w:sz w:val="24"/>
          <w:szCs w:val="24"/>
          <w:lang w:val="en-ZA"/>
        </w:rPr>
      </w:pPr>
      <w:r>
        <w:rPr>
          <w:rFonts w:ascii="Times New Roman" w:hAnsi="Times New Roman"/>
          <w:color w:val="auto"/>
          <w:sz w:val="24"/>
          <w:szCs w:val="24"/>
          <w:lang w:val="en-ZA"/>
        </w:rPr>
        <w:t>The Committee is concerned by the R3.9 billion in declared unspent funds</w:t>
      </w:r>
      <w:r w:rsidR="008B46F5">
        <w:rPr>
          <w:rFonts w:ascii="Times New Roman" w:hAnsi="Times New Roman"/>
          <w:color w:val="auto"/>
          <w:sz w:val="24"/>
          <w:szCs w:val="24"/>
          <w:lang w:val="en-ZA"/>
        </w:rPr>
        <w:t xml:space="preserve"> </w:t>
      </w:r>
      <w:r w:rsidR="00F063EE">
        <w:rPr>
          <w:rFonts w:ascii="Times New Roman" w:hAnsi="Times New Roman"/>
          <w:color w:val="auto"/>
          <w:sz w:val="24"/>
          <w:szCs w:val="24"/>
          <w:lang w:val="en-ZA"/>
        </w:rPr>
        <w:t>given the</w:t>
      </w:r>
      <w:r>
        <w:rPr>
          <w:rFonts w:ascii="Times New Roman" w:hAnsi="Times New Roman"/>
          <w:color w:val="auto"/>
          <w:sz w:val="24"/>
          <w:szCs w:val="24"/>
          <w:lang w:val="en-ZA"/>
        </w:rPr>
        <w:t xml:space="preserve"> negative impact on the service delivery programmes where these funds were initially planned to be spent.</w:t>
      </w:r>
    </w:p>
    <w:p w14:paraId="00D2A31B" w14:textId="355C7BE8" w:rsidR="00CA3C75" w:rsidRDefault="00CA3C75" w:rsidP="00EA1582">
      <w:pPr>
        <w:pStyle w:val="ListParagraph"/>
        <w:numPr>
          <w:ilvl w:val="1"/>
          <w:numId w:val="10"/>
        </w:numPr>
        <w:spacing w:line="360" w:lineRule="auto"/>
        <w:ind w:left="-142" w:hanging="709"/>
        <w:jc w:val="both"/>
        <w:rPr>
          <w:rFonts w:ascii="Times New Roman" w:hAnsi="Times New Roman"/>
          <w:color w:val="auto"/>
          <w:sz w:val="24"/>
          <w:szCs w:val="24"/>
          <w:lang w:val="en-ZA"/>
        </w:rPr>
      </w:pPr>
      <w:r>
        <w:rPr>
          <w:rFonts w:ascii="Times New Roman" w:hAnsi="Times New Roman"/>
          <w:color w:val="auto"/>
          <w:sz w:val="24"/>
          <w:szCs w:val="24"/>
          <w:lang w:val="en-ZA"/>
        </w:rPr>
        <w:lastRenderedPageBreak/>
        <w:t xml:space="preserve">The Committee welcomes the roll-over funds of R344.9 million as this will ensure continuation of government </w:t>
      </w:r>
      <w:r w:rsidR="00346430">
        <w:rPr>
          <w:rFonts w:ascii="Times New Roman" w:hAnsi="Times New Roman"/>
          <w:color w:val="auto"/>
          <w:sz w:val="24"/>
          <w:szCs w:val="24"/>
          <w:lang w:val="en-ZA"/>
        </w:rPr>
        <w:t xml:space="preserve">programmes, particularly the funds rolled over for the procurement of public hospital beds and linen in Limpopo. </w:t>
      </w:r>
    </w:p>
    <w:p w14:paraId="481CA028" w14:textId="6FBD712C" w:rsidR="00176124" w:rsidRDefault="003E091B" w:rsidP="00EA1582">
      <w:pPr>
        <w:pStyle w:val="ListParagraph"/>
        <w:numPr>
          <w:ilvl w:val="1"/>
          <w:numId w:val="10"/>
        </w:numPr>
        <w:spacing w:line="360" w:lineRule="auto"/>
        <w:ind w:left="-142" w:hanging="709"/>
        <w:jc w:val="both"/>
        <w:rPr>
          <w:rFonts w:ascii="Times New Roman" w:hAnsi="Times New Roman"/>
          <w:color w:val="auto"/>
          <w:sz w:val="24"/>
          <w:szCs w:val="24"/>
          <w:lang w:val="en-ZA"/>
        </w:rPr>
      </w:pPr>
      <w:r w:rsidRPr="00176124">
        <w:rPr>
          <w:rFonts w:ascii="Times New Roman" w:hAnsi="Times New Roman"/>
          <w:color w:val="auto"/>
          <w:sz w:val="24"/>
          <w:szCs w:val="24"/>
          <w:lang w:val="en-ZA"/>
        </w:rPr>
        <w:t xml:space="preserve">The Committee notes that the following departments submitted virements and shifts exceeding R100 million, namely, the Departments of </w:t>
      </w:r>
      <w:r w:rsidR="00346430">
        <w:rPr>
          <w:rFonts w:ascii="Times New Roman" w:hAnsi="Times New Roman"/>
          <w:color w:val="auto"/>
          <w:sz w:val="24"/>
          <w:szCs w:val="24"/>
          <w:lang w:val="en-ZA"/>
        </w:rPr>
        <w:t xml:space="preserve">Public Enterprise, Health, </w:t>
      </w:r>
      <w:r w:rsidR="00176124" w:rsidRPr="00176124">
        <w:rPr>
          <w:rFonts w:ascii="Times New Roman" w:hAnsi="Times New Roman"/>
          <w:color w:val="auto"/>
          <w:sz w:val="24"/>
          <w:szCs w:val="24"/>
          <w:lang w:val="en-ZA"/>
        </w:rPr>
        <w:t xml:space="preserve">Correctional Services, Justice and Constitutional Development, Tourism, </w:t>
      </w:r>
      <w:r w:rsidRPr="00176124">
        <w:rPr>
          <w:rFonts w:ascii="Times New Roman" w:hAnsi="Times New Roman"/>
          <w:color w:val="auto"/>
          <w:sz w:val="24"/>
          <w:szCs w:val="24"/>
          <w:lang w:val="en-ZA"/>
        </w:rPr>
        <w:t>Rural Development and Land Reform</w:t>
      </w:r>
      <w:r w:rsidR="00176124" w:rsidRPr="00176124">
        <w:rPr>
          <w:rFonts w:ascii="Times New Roman" w:hAnsi="Times New Roman"/>
          <w:color w:val="auto"/>
          <w:sz w:val="24"/>
          <w:szCs w:val="24"/>
          <w:lang w:val="en-ZA"/>
        </w:rPr>
        <w:t xml:space="preserve"> and Social Development</w:t>
      </w:r>
      <w:r w:rsidRPr="00176124">
        <w:rPr>
          <w:rFonts w:ascii="Times New Roman" w:hAnsi="Times New Roman"/>
          <w:color w:val="auto"/>
          <w:sz w:val="24"/>
          <w:szCs w:val="24"/>
          <w:lang w:val="en-ZA"/>
        </w:rPr>
        <w:t>. The Committee views enhanced planning as critical to ensure ef</w:t>
      </w:r>
      <w:r w:rsidR="00176124" w:rsidRPr="00176124">
        <w:rPr>
          <w:rFonts w:ascii="Times New Roman" w:hAnsi="Times New Roman"/>
          <w:color w:val="auto"/>
          <w:sz w:val="24"/>
          <w:szCs w:val="24"/>
          <w:lang w:val="en-ZA"/>
        </w:rPr>
        <w:t>fective programme allocations.</w:t>
      </w:r>
    </w:p>
    <w:p w14:paraId="4C8A1FAE" w14:textId="4B1EF0A6" w:rsidR="00176124" w:rsidRPr="00176124" w:rsidRDefault="00D1659D" w:rsidP="00EA1582">
      <w:pPr>
        <w:pStyle w:val="ListParagraph"/>
        <w:numPr>
          <w:ilvl w:val="1"/>
          <w:numId w:val="10"/>
        </w:numPr>
        <w:spacing w:line="360" w:lineRule="auto"/>
        <w:ind w:left="-142" w:hanging="709"/>
        <w:jc w:val="both"/>
        <w:rPr>
          <w:rFonts w:ascii="Times New Roman" w:hAnsi="Times New Roman"/>
          <w:color w:val="auto"/>
          <w:sz w:val="24"/>
          <w:szCs w:val="24"/>
          <w:lang w:val="en-ZA"/>
        </w:rPr>
      </w:pPr>
      <w:r w:rsidRPr="00176124">
        <w:rPr>
          <w:rFonts w:ascii="Times New Roman" w:hAnsi="Times New Roman"/>
          <w:color w:val="auto"/>
          <w:sz w:val="24"/>
          <w:szCs w:val="24"/>
          <w:lang w:val="en-ZA"/>
        </w:rPr>
        <w:t>The Committee notes with concern the under expenditure of infrastructure budgets by especially the Departments of Water and Sanitation, Health, and Basic Education. The Committee is of the view that continued under-expenditure on CAPEX pointed to lack of proper planning, poor budgeting and inadequate project management skills within the Department</w:t>
      </w:r>
      <w:r w:rsidR="00346430">
        <w:rPr>
          <w:rFonts w:ascii="Times New Roman" w:hAnsi="Times New Roman"/>
          <w:color w:val="auto"/>
          <w:sz w:val="24"/>
          <w:szCs w:val="24"/>
          <w:lang w:val="en-ZA"/>
        </w:rPr>
        <w:t>s</w:t>
      </w:r>
      <w:r w:rsidRPr="00176124">
        <w:rPr>
          <w:rFonts w:ascii="Times New Roman" w:hAnsi="Times New Roman"/>
          <w:color w:val="auto"/>
          <w:sz w:val="24"/>
          <w:szCs w:val="24"/>
          <w:lang w:val="en-ZA"/>
        </w:rPr>
        <w:t xml:space="preserve">. </w:t>
      </w:r>
      <w:r w:rsidR="00C3516E" w:rsidRPr="00EA1582">
        <w:rPr>
          <w:rFonts w:ascii="Times New Roman" w:hAnsi="Times New Roman"/>
          <w:color w:val="auto"/>
          <w:sz w:val="24"/>
          <w:szCs w:val="24"/>
          <w:lang w:val="en-ZA"/>
        </w:rPr>
        <w:t>The Committee asserts that the under expenditure especially on infrastructure impacted negatively on service delivery as well as other macroeconomic factors effecting South Africa such as the debt-to-GDP ratio and interest payments.</w:t>
      </w:r>
    </w:p>
    <w:p w14:paraId="1978A158" w14:textId="4FA44338" w:rsidR="00176124" w:rsidRDefault="00176124" w:rsidP="00EA1582">
      <w:pPr>
        <w:pStyle w:val="ListParagraph"/>
        <w:numPr>
          <w:ilvl w:val="1"/>
          <w:numId w:val="10"/>
        </w:numPr>
        <w:spacing w:line="360" w:lineRule="auto"/>
        <w:ind w:left="-142" w:hanging="709"/>
        <w:jc w:val="both"/>
        <w:rPr>
          <w:rFonts w:ascii="Times New Roman" w:hAnsi="Times New Roman"/>
          <w:color w:val="auto"/>
          <w:sz w:val="24"/>
          <w:szCs w:val="24"/>
          <w:lang w:val="en-ZA"/>
        </w:rPr>
      </w:pPr>
      <w:r w:rsidRPr="00176124">
        <w:rPr>
          <w:rFonts w:ascii="Times New Roman" w:hAnsi="Times New Roman"/>
          <w:color w:val="auto"/>
          <w:sz w:val="24"/>
          <w:szCs w:val="24"/>
          <w:lang w:val="en-ZA"/>
        </w:rPr>
        <w:t>The Committee is seriously concerned about the amount of virement requests by departments from Compensation of Employees to other economic classifications due to vacancies not being filled. The Committee is of the view that the use of shifts and virements should be closely monitored and measures taken to ensure these do not compromise service delivery and the integrity of tabled annual performance plans</w:t>
      </w:r>
      <w:r w:rsidR="0011618D">
        <w:rPr>
          <w:rFonts w:ascii="Times New Roman" w:hAnsi="Times New Roman"/>
          <w:color w:val="auto"/>
          <w:sz w:val="24"/>
          <w:szCs w:val="24"/>
          <w:lang w:val="en-ZA"/>
        </w:rPr>
        <w:t xml:space="preserve"> and consequently, the entire government budgeting processes</w:t>
      </w:r>
      <w:r w:rsidRPr="00176124">
        <w:rPr>
          <w:rFonts w:ascii="Times New Roman" w:hAnsi="Times New Roman"/>
          <w:color w:val="auto"/>
          <w:sz w:val="24"/>
          <w:szCs w:val="24"/>
          <w:lang w:val="en-ZA"/>
        </w:rPr>
        <w:t xml:space="preserve">. The Committee is of the view that implementing punitive measures as prescribed for by the PFMA will curb trends in non-compliance that results in irregular expenditure, fruitless and wasteful expenditure and the non-payment of suppliers within 30 days. </w:t>
      </w:r>
    </w:p>
    <w:p w14:paraId="03908162" w14:textId="70A28A5B" w:rsidR="00176124" w:rsidRPr="00DC17E6" w:rsidRDefault="00763EE9" w:rsidP="00EA1582">
      <w:pPr>
        <w:pStyle w:val="ListParagraph"/>
        <w:numPr>
          <w:ilvl w:val="1"/>
          <w:numId w:val="10"/>
        </w:numPr>
        <w:spacing w:line="360" w:lineRule="auto"/>
        <w:ind w:left="-142" w:hanging="709"/>
        <w:jc w:val="both"/>
        <w:rPr>
          <w:rFonts w:ascii="Times New Roman" w:hAnsi="Times New Roman"/>
          <w:color w:val="auto"/>
          <w:sz w:val="24"/>
          <w:szCs w:val="24"/>
          <w:lang w:val="en-ZA"/>
        </w:rPr>
      </w:pPr>
      <w:r w:rsidRPr="00176124">
        <w:rPr>
          <w:rFonts w:ascii="Times New Roman" w:hAnsi="Times New Roman"/>
          <w:color w:val="auto"/>
          <w:sz w:val="24"/>
          <w:szCs w:val="24"/>
          <w:lang w:val="en-ZA"/>
        </w:rPr>
        <w:t>The Committee is concerned about the substa</w:t>
      </w:r>
      <w:r w:rsidR="0059792E">
        <w:rPr>
          <w:rFonts w:ascii="Times New Roman" w:hAnsi="Times New Roman"/>
          <w:color w:val="auto"/>
          <w:sz w:val="24"/>
          <w:szCs w:val="24"/>
          <w:lang w:val="en-ZA"/>
        </w:rPr>
        <w:t>ntial amounts of funding (R3.909</w:t>
      </w:r>
      <w:r w:rsidRPr="00176124">
        <w:rPr>
          <w:rFonts w:ascii="Times New Roman" w:hAnsi="Times New Roman"/>
          <w:color w:val="auto"/>
          <w:sz w:val="24"/>
          <w:szCs w:val="24"/>
          <w:lang w:val="en-ZA"/>
        </w:rPr>
        <w:t xml:space="preserve"> billion) declared as unspent by </w:t>
      </w:r>
      <w:r w:rsidR="007B0D38">
        <w:rPr>
          <w:rFonts w:ascii="Times New Roman" w:hAnsi="Times New Roman"/>
          <w:color w:val="auto"/>
          <w:sz w:val="24"/>
          <w:szCs w:val="24"/>
          <w:lang w:val="en-ZA"/>
        </w:rPr>
        <w:t>government</w:t>
      </w:r>
      <w:r w:rsidR="007B0D38" w:rsidRPr="00176124">
        <w:rPr>
          <w:rFonts w:ascii="Times New Roman" w:hAnsi="Times New Roman"/>
          <w:color w:val="auto"/>
          <w:sz w:val="24"/>
          <w:szCs w:val="24"/>
          <w:lang w:val="en-ZA"/>
        </w:rPr>
        <w:t xml:space="preserve"> </w:t>
      </w:r>
      <w:r w:rsidRPr="00176124">
        <w:rPr>
          <w:rFonts w:ascii="Times New Roman" w:hAnsi="Times New Roman"/>
          <w:color w:val="auto"/>
          <w:sz w:val="24"/>
          <w:szCs w:val="24"/>
          <w:lang w:val="en-ZA"/>
        </w:rPr>
        <w:t xml:space="preserve">during the 2019 adjustments budget. </w:t>
      </w:r>
      <w:r w:rsidR="00694550" w:rsidRPr="00176124">
        <w:rPr>
          <w:rFonts w:ascii="Times New Roman" w:hAnsi="Times New Roman"/>
          <w:color w:val="auto"/>
          <w:sz w:val="24"/>
          <w:szCs w:val="24"/>
          <w:lang w:val="en-ZA"/>
        </w:rPr>
        <w:t>As an important measure to prevent regression in the realisation of socio-economic rights</w:t>
      </w:r>
      <w:r w:rsidRPr="00176124">
        <w:rPr>
          <w:rFonts w:ascii="Times New Roman" w:hAnsi="Times New Roman"/>
          <w:color w:val="auto"/>
          <w:sz w:val="24"/>
          <w:szCs w:val="24"/>
          <w:lang w:val="en-ZA"/>
        </w:rPr>
        <w:t xml:space="preserve"> enshrined in the Constitution of the Republic of South Africa</w:t>
      </w:r>
      <w:r w:rsidR="00694550" w:rsidRPr="00176124">
        <w:rPr>
          <w:rFonts w:ascii="Times New Roman" w:hAnsi="Times New Roman"/>
          <w:color w:val="auto"/>
          <w:sz w:val="24"/>
          <w:szCs w:val="24"/>
          <w:lang w:val="en-ZA"/>
        </w:rPr>
        <w:t xml:space="preserve">, the Committee </w:t>
      </w:r>
      <w:r w:rsidR="007B0D38">
        <w:rPr>
          <w:rFonts w:ascii="Times New Roman" w:hAnsi="Times New Roman"/>
          <w:color w:val="auto"/>
          <w:sz w:val="24"/>
          <w:szCs w:val="24"/>
          <w:lang w:val="en-ZA"/>
        </w:rPr>
        <w:t>implores on the Executive</w:t>
      </w:r>
      <w:r w:rsidR="007B0D38" w:rsidRPr="00176124">
        <w:rPr>
          <w:rFonts w:ascii="Times New Roman" w:hAnsi="Times New Roman"/>
          <w:color w:val="auto"/>
          <w:sz w:val="24"/>
          <w:szCs w:val="24"/>
          <w:lang w:val="en-ZA"/>
        </w:rPr>
        <w:t xml:space="preserve"> </w:t>
      </w:r>
      <w:r w:rsidR="00694550" w:rsidRPr="00176124">
        <w:rPr>
          <w:rFonts w:ascii="Times New Roman" w:hAnsi="Times New Roman"/>
          <w:color w:val="auto"/>
          <w:sz w:val="24"/>
          <w:szCs w:val="24"/>
          <w:lang w:val="en-ZA"/>
        </w:rPr>
        <w:t xml:space="preserve">the need to improve the efficiency and effectiveness for spending allocated budgets across government. </w:t>
      </w:r>
    </w:p>
    <w:p w14:paraId="3345A235" w14:textId="0534E109" w:rsidR="003B201C" w:rsidRPr="00DC17E6" w:rsidRDefault="008D44DE" w:rsidP="00EA1582">
      <w:pPr>
        <w:pStyle w:val="ListParagraph"/>
        <w:numPr>
          <w:ilvl w:val="1"/>
          <w:numId w:val="10"/>
        </w:numPr>
        <w:spacing w:line="360" w:lineRule="auto"/>
        <w:ind w:left="-142" w:hanging="709"/>
        <w:jc w:val="both"/>
        <w:rPr>
          <w:rFonts w:ascii="Times New Roman" w:hAnsi="Times New Roman"/>
          <w:color w:val="auto"/>
          <w:sz w:val="24"/>
          <w:szCs w:val="24"/>
          <w:lang w:val="en-ZA"/>
        </w:rPr>
      </w:pPr>
      <w:r w:rsidRPr="00176124">
        <w:rPr>
          <w:rFonts w:ascii="Times New Roman" w:hAnsi="Times New Roman"/>
          <w:color w:val="auto"/>
          <w:sz w:val="24"/>
          <w:szCs w:val="24"/>
          <w:lang w:val="en-ZA"/>
        </w:rPr>
        <w:t xml:space="preserve">The Committee notes with concern the under expenditure on </w:t>
      </w:r>
      <w:r w:rsidR="00810D7D" w:rsidRPr="00176124">
        <w:rPr>
          <w:rFonts w:ascii="Times New Roman" w:hAnsi="Times New Roman"/>
          <w:color w:val="auto"/>
          <w:sz w:val="24"/>
          <w:szCs w:val="24"/>
          <w:lang w:val="en-ZA"/>
        </w:rPr>
        <w:t xml:space="preserve">the NHI Grants  especially on </w:t>
      </w:r>
      <w:r w:rsidRPr="00176124">
        <w:rPr>
          <w:rFonts w:ascii="Times New Roman" w:hAnsi="Times New Roman"/>
          <w:color w:val="auto"/>
          <w:sz w:val="24"/>
          <w:szCs w:val="24"/>
          <w:lang w:val="en-ZA"/>
        </w:rPr>
        <w:t xml:space="preserve">infrastructure projects as well as the Human Resource Capacitation Grant and </w:t>
      </w:r>
      <w:r w:rsidR="00810D7D" w:rsidRPr="00176124">
        <w:rPr>
          <w:rFonts w:ascii="Times New Roman" w:hAnsi="Times New Roman"/>
          <w:color w:val="auto"/>
          <w:sz w:val="24"/>
          <w:szCs w:val="24"/>
          <w:lang w:val="en-ZA"/>
        </w:rPr>
        <w:t>is of the view that this</w:t>
      </w:r>
      <w:r w:rsidRPr="00176124">
        <w:rPr>
          <w:rFonts w:ascii="Times New Roman" w:hAnsi="Times New Roman"/>
          <w:color w:val="auto"/>
          <w:sz w:val="24"/>
          <w:szCs w:val="24"/>
          <w:lang w:val="en-ZA"/>
        </w:rPr>
        <w:t xml:space="preserve"> would </w:t>
      </w:r>
      <w:r w:rsidR="007B0D38">
        <w:rPr>
          <w:rFonts w:ascii="Times New Roman" w:hAnsi="Times New Roman"/>
          <w:color w:val="auto"/>
          <w:sz w:val="24"/>
          <w:szCs w:val="24"/>
          <w:lang w:val="en-ZA"/>
        </w:rPr>
        <w:t xml:space="preserve">have a negative </w:t>
      </w:r>
      <w:r w:rsidRPr="00176124">
        <w:rPr>
          <w:rFonts w:ascii="Times New Roman" w:hAnsi="Times New Roman"/>
          <w:color w:val="auto"/>
          <w:sz w:val="24"/>
          <w:szCs w:val="24"/>
          <w:lang w:val="en-ZA"/>
        </w:rPr>
        <w:t xml:space="preserve">impact on </w:t>
      </w:r>
      <w:r w:rsidR="007B0D38">
        <w:rPr>
          <w:rFonts w:ascii="Times New Roman" w:hAnsi="Times New Roman"/>
          <w:color w:val="auto"/>
          <w:sz w:val="24"/>
          <w:szCs w:val="24"/>
          <w:lang w:val="en-ZA"/>
        </w:rPr>
        <w:t xml:space="preserve">government’s </w:t>
      </w:r>
      <w:r w:rsidR="007B0D38" w:rsidRPr="00176124">
        <w:rPr>
          <w:rFonts w:ascii="Times New Roman" w:hAnsi="Times New Roman"/>
          <w:color w:val="auto"/>
          <w:sz w:val="24"/>
          <w:szCs w:val="24"/>
          <w:lang w:val="en-ZA"/>
        </w:rPr>
        <w:t xml:space="preserve"> </w:t>
      </w:r>
      <w:r w:rsidRPr="00176124">
        <w:rPr>
          <w:rFonts w:ascii="Times New Roman" w:hAnsi="Times New Roman"/>
          <w:color w:val="auto"/>
          <w:sz w:val="24"/>
          <w:szCs w:val="24"/>
          <w:lang w:val="en-ZA"/>
        </w:rPr>
        <w:lastRenderedPageBreak/>
        <w:t>readiness to fully roll-out the NHI</w:t>
      </w:r>
      <w:r w:rsidR="007B0D38">
        <w:rPr>
          <w:rFonts w:ascii="Times New Roman" w:hAnsi="Times New Roman"/>
          <w:color w:val="auto"/>
          <w:sz w:val="24"/>
          <w:szCs w:val="24"/>
          <w:lang w:val="en-ZA"/>
        </w:rPr>
        <w:t xml:space="preserve"> programme</w:t>
      </w:r>
      <w:r w:rsidRPr="00176124">
        <w:rPr>
          <w:rFonts w:ascii="Times New Roman" w:hAnsi="Times New Roman"/>
          <w:color w:val="auto"/>
          <w:sz w:val="24"/>
          <w:szCs w:val="24"/>
          <w:lang w:val="en-ZA"/>
        </w:rPr>
        <w:t>. Furthermore, t</w:t>
      </w:r>
      <w:r w:rsidR="00810D7D" w:rsidRPr="00176124">
        <w:rPr>
          <w:rFonts w:ascii="Times New Roman" w:hAnsi="Times New Roman"/>
          <w:color w:val="auto"/>
          <w:sz w:val="24"/>
          <w:szCs w:val="24"/>
          <w:lang w:val="en-ZA"/>
        </w:rPr>
        <w:t xml:space="preserve">he Committees’ concerns emanates from the fact that </w:t>
      </w:r>
      <w:r w:rsidRPr="00176124">
        <w:rPr>
          <w:rFonts w:ascii="Times New Roman" w:hAnsi="Times New Roman"/>
          <w:color w:val="auto"/>
          <w:sz w:val="24"/>
          <w:szCs w:val="24"/>
          <w:lang w:val="en-ZA"/>
        </w:rPr>
        <w:t xml:space="preserve">the Portfolio Committee on Health was in the process of conducting public hearings on </w:t>
      </w:r>
      <w:r w:rsidR="00810D7D" w:rsidRPr="00176124">
        <w:rPr>
          <w:rFonts w:ascii="Times New Roman" w:hAnsi="Times New Roman"/>
          <w:color w:val="auto"/>
          <w:sz w:val="24"/>
          <w:szCs w:val="24"/>
          <w:lang w:val="en-ZA"/>
        </w:rPr>
        <w:t xml:space="preserve">the NHI Bill yet there is </w:t>
      </w:r>
      <w:r w:rsidR="007B0D38">
        <w:rPr>
          <w:rFonts w:ascii="Times New Roman" w:hAnsi="Times New Roman"/>
          <w:color w:val="auto"/>
          <w:sz w:val="24"/>
          <w:szCs w:val="24"/>
          <w:lang w:val="en-ZA"/>
        </w:rPr>
        <w:t xml:space="preserve">evidence of slow </w:t>
      </w:r>
      <w:r w:rsidR="00810D7D" w:rsidRPr="00176124">
        <w:rPr>
          <w:rFonts w:ascii="Times New Roman" w:hAnsi="Times New Roman"/>
          <w:color w:val="auto"/>
          <w:sz w:val="24"/>
          <w:szCs w:val="24"/>
          <w:lang w:val="en-ZA"/>
        </w:rPr>
        <w:t>expenditure and non-financial performance</w:t>
      </w:r>
      <w:r w:rsidR="007B0D38">
        <w:rPr>
          <w:rFonts w:ascii="Times New Roman" w:hAnsi="Times New Roman"/>
          <w:color w:val="auto"/>
          <w:sz w:val="24"/>
          <w:szCs w:val="24"/>
          <w:lang w:val="en-ZA"/>
        </w:rPr>
        <w:t xml:space="preserve"> related</w:t>
      </w:r>
      <w:r w:rsidR="00810D7D" w:rsidRPr="00176124">
        <w:rPr>
          <w:rFonts w:ascii="Times New Roman" w:hAnsi="Times New Roman"/>
          <w:color w:val="auto"/>
          <w:sz w:val="24"/>
          <w:szCs w:val="24"/>
          <w:lang w:val="en-ZA"/>
        </w:rPr>
        <w:t xml:space="preserve"> challenges in respect of </w:t>
      </w:r>
      <w:r w:rsidRPr="00176124">
        <w:rPr>
          <w:rFonts w:ascii="Times New Roman" w:hAnsi="Times New Roman"/>
          <w:color w:val="auto"/>
          <w:sz w:val="24"/>
          <w:szCs w:val="24"/>
          <w:lang w:val="en-ZA"/>
        </w:rPr>
        <w:t>NHI relate</w:t>
      </w:r>
      <w:r w:rsidR="00810D7D" w:rsidRPr="00176124">
        <w:rPr>
          <w:rFonts w:ascii="Times New Roman" w:hAnsi="Times New Roman"/>
          <w:color w:val="auto"/>
          <w:sz w:val="24"/>
          <w:szCs w:val="24"/>
          <w:lang w:val="en-ZA"/>
        </w:rPr>
        <w:t>d grants. The Committee is</w:t>
      </w:r>
      <w:r w:rsidRPr="00176124">
        <w:rPr>
          <w:rFonts w:ascii="Times New Roman" w:hAnsi="Times New Roman"/>
          <w:color w:val="auto"/>
          <w:sz w:val="24"/>
          <w:szCs w:val="24"/>
          <w:lang w:val="en-ZA"/>
        </w:rPr>
        <w:t xml:space="preserve"> concerned due to the role that NHI is anticipated to play in providing universal access to </w:t>
      </w:r>
      <w:r w:rsidR="00810D7D" w:rsidRPr="00176124">
        <w:rPr>
          <w:rFonts w:ascii="Times New Roman" w:hAnsi="Times New Roman"/>
          <w:color w:val="auto"/>
          <w:sz w:val="24"/>
          <w:szCs w:val="24"/>
          <w:lang w:val="en-ZA"/>
        </w:rPr>
        <w:t xml:space="preserve">health services in South Africa. </w:t>
      </w:r>
    </w:p>
    <w:p w14:paraId="26A1F40D" w14:textId="7367846A" w:rsidR="003B201C" w:rsidRPr="00DC17E6" w:rsidRDefault="003B201C" w:rsidP="00EA1582">
      <w:pPr>
        <w:pStyle w:val="ListParagraph"/>
        <w:numPr>
          <w:ilvl w:val="1"/>
          <w:numId w:val="10"/>
        </w:numPr>
        <w:spacing w:line="360" w:lineRule="auto"/>
        <w:ind w:left="-142" w:hanging="709"/>
        <w:jc w:val="both"/>
        <w:rPr>
          <w:rFonts w:ascii="Times New Roman" w:hAnsi="Times New Roman"/>
          <w:color w:val="auto"/>
          <w:sz w:val="24"/>
          <w:szCs w:val="24"/>
          <w:lang w:val="en-ZA"/>
        </w:rPr>
      </w:pPr>
      <w:r w:rsidRPr="003B201C">
        <w:rPr>
          <w:rFonts w:ascii="Times New Roman" w:hAnsi="Times New Roman"/>
          <w:color w:val="auto"/>
          <w:sz w:val="24"/>
          <w:szCs w:val="24"/>
          <w:lang w:val="en-ZA"/>
        </w:rPr>
        <w:t xml:space="preserve">Whist the Committee welcomes </w:t>
      </w:r>
      <w:r w:rsidR="007B0D38" w:rsidRPr="003B201C">
        <w:rPr>
          <w:rFonts w:ascii="Times New Roman" w:hAnsi="Times New Roman"/>
          <w:color w:val="auto"/>
          <w:sz w:val="24"/>
          <w:szCs w:val="24"/>
          <w:lang w:val="en-ZA"/>
        </w:rPr>
        <w:t>the roll</w:t>
      </w:r>
      <w:r w:rsidRPr="003B201C">
        <w:rPr>
          <w:rFonts w:ascii="Times New Roman" w:hAnsi="Times New Roman"/>
          <w:color w:val="auto"/>
          <w:sz w:val="24"/>
          <w:szCs w:val="24"/>
          <w:lang w:val="en-ZA"/>
        </w:rPr>
        <w:t xml:space="preserve">-over of R241.927 million </w:t>
      </w:r>
      <w:r w:rsidR="00DC17E6">
        <w:rPr>
          <w:rFonts w:ascii="Times New Roman" w:hAnsi="Times New Roman"/>
          <w:color w:val="auto"/>
          <w:sz w:val="24"/>
          <w:szCs w:val="24"/>
          <w:lang w:val="en-ZA"/>
        </w:rPr>
        <w:t xml:space="preserve">for the Department of Water and Sanitation </w:t>
      </w:r>
      <w:r w:rsidRPr="003B201C">
        <w:rPr>
          <w:rFonts w:ascii="Times New Roman" w:hAnsi="Times New Roman"/>
          <w:color w:val="auto"/>
          <w:sz w:val="24"/>
          <w:szCs w:val="24"/>
          <w:lang w:val="en-ZA"/>
        </w:rPr>
        <w:t>for the emergency Vaal River system pollution remediation intervention project in the Emfuleni municipality</w:t>
      </w:r>
      <w:r w:rsidR="007B0D38">
        <w:rPr>
          <w:rFonts w:ascii="Times New Roman" w:hAnsi="Times New Roman"/>
          <w:color w:val="auto"/>
          <w:sz w:val="24"/>
          <w:szCs w:val="24"/>
          <w:lang w:val="en-ZA"/>
        </w:rPr>
        <w:t xml:space="preserve"> </w:t>
      </w:r>
      <w:r w:rsidR="00F063EE">
        <w:rPr>
          <w:rFonts w:ascii="Times New Roman" w:hAnsi="Times New Roman"/>
          <w:color w:val="auto"/>
          <w:sz w:val="24"/>
          <w:szCs w:val="24"/>
          <w:lang w:val="en-ZA"/>
        </w:rPr>
        <w:t xml:space="preserve">in </w:t>
      </w:r>
      <w:r w:rsidR="00F063EE" w:rsidRPr="003B201C">
        <w:rPr>
          <w:rFonts w:ascii="Times New Roman" w:hAnsi="Times New Roman"/>
          <w:color w:val="auto"/>
          <w:sz w:val="24"/>
          <w:szCs w:val="24"/>
          <w:lang w:val="en-ZA"/>
        </w:rPr>
        <w:t>Gauteng</w:t>
      </w:r>
      <w:r w:rsidRPr="003B201C">
        <w:rPr>
          <w:rFonts w:ascii="Times New Roman" w:hAnsi="Times New Roman"/>
          <w:color w:val="auto"/>
          <w:sz w:val="24"/>
          <w:szCs w:val="24"/>
          <w:lang w:val="en-ZA"/>
        </w:rPr>
        <w:t xml:space="preserve">, </w:t>
      </w:r>
      <w:r w:rsidR="00176124" w:rsidRPr="003B201C">
        <w:rPr>
          <w:rFonts w:ascii="Times New Roman" w:hAnsi="Times New Roman"/>
          <w:color w:val="auto"/>
          <w:sz w:val="24"/>
          <w:szCs w:val="24"/>
          <w:lang w:val="en-ZA"/>
        </w:rPr>
        <w:t xml:space="preserve">the Committee </w:t>
      </w:r>
      <w:r w:rsidRPr="003B201C">
        <w:rPr>
          <w:rFonts w:ascii="Times New Roman" w:hAnsi="Times New Roman"/>
          <w:color w:val="auto"/>
          <w:sz w:val="24"/>
          <w:szCs w:val="24"/>
          <w:lang w:val="en-ZA"/>
        </w:rPr>
        <w:t>emphasised the need for</w:t>
      </w:r>
      <w:r w:rsidR="00176124" w:rsidRPr="003B201C">
        <w:rPr>
          <w:rFonts w:ascii="Times New Roman" w:hAnsi="Times New Roman"/>
          <w:color w:val="auto"/>
          <w:sz w:val="24"/>
          <w:szCs w:val="24"/>
          <w:lang w:val="en-ZA"/>
        </w:rPr>
        <w:t xml:space="preserve"> consequences </w:t>
      </w:r>
      <w:r w:rsidRPr="003B201C">
        <w:rPr>
          <w:rFonts w:ascii="Times New Roman" w:hAnsi="Times New Roman"/>
          <w:color w:val="auto"/>
          <w:sz w:val="24"/>
          <w:szCs w:val="24"/>
          <w:lang w:val="en-ZA"/>
        </w:rPr>
        <w:t>to be applied to those</w:t>
      </w:r>
      <w:r w:rsidR="00176124" w:rsidRPr="003B201C">
        <w:rPr>
          <w:rFonts w:ascii="Times New Roman" w:hAnsi="Times New Roman"/>
          <w:color w:val="auto"/>
          <w:sz w:val="24"/>
          <w:szCs w:val="24"/>
          <w:lang w:val="en-ZA"/>
        </w:rPr>
        <w:t xml:space="preserve"> responsible for polluting the river system</w:t>
      </w:r>
      <w:r w:rsidRPr="003B201C">
        <w:rPr>
          <w:rFonts w:ascii="Times New Roman" w:hAnsi="Times New Roman"/>
          <w:color w:val="auto"/>
          <w:sz w:val="24"/>
          <w:szCs w:val="24"/>
          <w:lang w:val="en-ZA"/>
        </w:rPr>
        <w:t xml:space="preserve">. </w:t>
      </w:r>
    </w:p>
    <w:p w14:paraId="4218B5E0" w14:textId="63914816" w:rsidR="00E45376" w:rsidRDefault="00E45376" w:rsidP="008B46F5">
      <w:pPr>
        <w:pStyle w:val="ListParagraph"/>
        <w:spacing w:line="360" w:lineRule="auto"/>
        <w:ind w:left="-142"/>
        <w:jc w:val="both"/>
        <w:rPr>
          <w:rFonts w:ascii="Times New Roman" w:hAnsi="Times New Roman"/>
          <w:color w:val="auto"/>
          <w:sz w:val="24"/>
          <w:szCs w:val="24"/>
          <w:lang w:val="en-ZA"/>
        </w:rPr>
      </w:pPr>
      <w:r>
        <w:rPr>
          <w:rFonts w:ascii="Times New Roman" w:hAnsi="Times New Roman"/>
          <w:color w:val="auto"/>
          <w:sz w:val="24"/>
          <w:szCs w:val="24"/>
          <w:lang w:val="en-ZA"/>
        </w:rPr>
        <w:t xml:space="preserve">5.9    </w:t>
      </w:r>
      <w:r w:rsidR="003B201C" w:rsidRPr="008B46F5">
        <w:rPr>
          <w:rFonts w:ascii="Times New Roman" w:hAnsi="Times New Roman"/>
          <w:color w:val="auto"/>
          <w:sz w:val="24"/>
          <w:szCs w:val="24"/>
          <w:lang w:val="en-ZA"/>
        </w:rPr>
        <w:t>The Committee is concerned about persistent delays in completion of the Bucket Eradication Programme for formal settlements</w:t>
      </w:r>
      <w:r w:rsidR="00DC17E6" w:rsidRPr="008B46F5">
        <w:rPr>
          <w:rFonts w:ascii="Times New Roman" w:hAnsi="Times New Roman"/>
          <w:color w:val="auto"/>
          <w:sz w:val="24"/>
          <w:szCs w:val="24"/>
          <w:lang w:val="en-ZA"/>
        </w:rPr>
        <w:t xml:space="preserve"> as well as the </w:t>
      </w:r>
      <w:r w:rsidR="007B0D38" w:rsidRPr="008B46F5">
        <w:rPr>
          <w:rFonts w:ascii="Times New Roman" w:hAnsi="Times New Roman"/>
          <w:color w:val="auto"/>
          <w:sz w:val="24"/>
          <w:szCs w:val="24"/>
          <w:lang w:val="en-ZA"/>
        </w:rPr>
        <w:t xml:space="preserve">poor management of the </w:t>
      </w:r>
      <w:r w:rsidR="00DC17E6" w:rsidRPr="008B46F5">
        <w:rPr>
          <w:rFonts w:ascii="Times New Roman" w:hAnsi="Times New Roman"/>
          <w:color w:val="auto"/>
          <w:sz w:val="24"/>
          <w:szCs w:val="24"/>
          <w:lang w:val="en-ZA"/>
        </w:rPr>
        <w:t>War on Leaks programme</w:t>
      </w:r>
      <w:r w:rsidR="003B201C" w:rsidRPr="008B46F5">
        <w:rPr>
          <w:rFonts w:ascii="Times New Roman" w:hAnsi="Times New Roman"/>
          <w:color w:val="auto"/>
          <w:sz w:val="24"/>
          <w:szCs w:val="24"/>
          <w:lang w:val="en-ZA"/>
        </w:rPr>
        <w:t xml:space="preserve">. </w:t>
      </w:r>
      <w:r w:rsidR="00DC17E6" w:rsidRPr="008B46F5">
        <w:rPr>
          <w:rFonts w:ascii="Times New Roman" w:hAnsi="Times New Roman"/>
          <w:color w:val="auto"/>
          <w:sz w:val="24"/>
          <w:szCs w:val="24"/>
          <w:lang w:val="en-ZA"/>
        </w:rPr>
        <w:t xml:space="preserve">The Committee notes the assurance from the Department of Water and Sanitation that all </w:t>
      </w:r>
      <w:r w:rsidR="003B201C" w:rsidRPr="008B46F5">
        <w:rPr>
          <w:rFonts w:ascii="Times New Roman" w:hAnsi="Times New Roman"/>
          <w:color w:val="auto"/>
          <w:sz w:val="24"/>
          <w:szCs w:val="24"/>
          <w:lang w:val="en-ZA"/>
        </w:rPr>
        <w:t>bucket systems in formal settlements would be eradicated before the end of the 2019</w:t>
      </w:r>
      <w:r w:rsidR="00DC17E6" w:rsidRPr="008B46F5">
        <w:rPr>
          <w:rFonts w:ascii="Times New Roman" w:hAnsi="Times New Roman"/>
          <w:color w:val="auto"/>
          <w:sz w:val="24"/>
          <w:szCs w:val="24"/>
          <w:lang w:val="en-ZA"/>
        </w:rPr>
        <w:t>/20 financial year. The</w:t>
      </w:r>
      <w:r w:rsidR="007758F3" w:rsidRPr="008B46F5">
        <w:rPr>
          <w:rFonts w:ascii="Times New Roman" w:hAnsi="Times New Roman"/>
          <w:color w:val="auto"/>
          <w:sz w:val="24"/>
          <w:szCs w:val="24"/>
          <w:lang w:val="en-ZA"/>
        </w:rPr>
        <w:t xml:space="preserve"> Committee will closely monitor this assurance.</w:t>
      </w:r>
    </w:p>
    <w:p w14:paraId="36233CAE" w14:textId="49230444" w:rsidR="00D50450" w:rsidRDefault="00D50450" w:rsidP="008B46F5">
      <w:pPr>
        <w:pStyle w:val="ListParagraph"/>
        <w:numPr>
          <w:ilvl w:val="1"/>
          <w:numId w:val="10"/>
        </w:numPr>
        <w:spacing w:line="360" w:lineRule="auto"/>
        <w:ind w:left="-142" w:hanging="709"/>
        <w:jc w:val="both"/>
        <w:rPr>
          <w:rFonts w:ascii="Times New Roman" w:hAnsi="Times New Roman"/>
          <w:sz w:val="24"/>
          <w:szCs w:val="24"/>
        </w:rPr>
      </w:pPr>
      <w:r w:rsidRPr="008B46F5">
        <w:rPr>
          <w:rFonts w:ascii="Times New Roman" w:hAnsi="Times New Roman"/>
          <w:sz w:val="24"/>
          <w:szCs w:val="24"/>
        </w:rPr>
        <w:t xml:space="preserve">The Committee is seriously concerned about the underperformance in respect </w:t>
      </w:r>
      <w:r w:rsidR="005B0D6D" w:rsidRPr="008B46F5">
        <w:rPr>
          <w:rFonts w:ascii="Times New Roman" w:hAnsi="Times New Roman"/>
          <w:sz w:val="24"/>
          <w:szCs w:val="24"/>
        </w:rPr>
        <w:t>of the</w:t>
      </w:r>
      <w:r w:rsidR="008A2587" w:rsidRPr="008B46F5">
        <w:rPr>
          <w:rFonts w:ascii="Times New Roman" w:hAnsi="Times New Roman"/>
          <w:sz w:val="24"/>
          <w:szCs w:val="24"/>
        </w:rPr>
        <w:t xml:space="preserve"> </w:t>
      </w:r>
      <w:r w:rsidRPr="008B46F5">
        <w:rPr>
          <w:rFonts w:ascii="Times New Roman" w:hAnsi="Times New Roman"/>
          <w:sz w:val="24"/>
          <w:szCs w:val="24"/>
        </w:rPr>
        <w:t>Community Works Programme (CWP)</w:t>
      </w:r>
      <w:r w:rsidR="00E45376">
        <w:rPr>
          <w:rFonts w:ascii="Times New Roman" w:hAnsi="Times New Roman"/>
          <w:sz w:val="24"/>
          <w:szCs w:val="24"/>
        </w:rPr>
        <w:t>,</w:t>
      </w:r>
      <w:r w:rsidRPr="008B46F5">
        <w:rPr>
          <w:rFonts w:ascii="Times New Roman" w:hAnsi="Times New Roman"/>
          <w:sz w:val="24"/>
          <w:szCs w:val="24"/>
        </w:rPr>
        <w:t xml:space="preserve"> which led to R300 million be</w:t>
      </w:r>
      <w:r w:rsidR="008A2587" w:rsidRPr="008B46F5">
        <w:rPr>
          <w:rFonts w:ascii="Times New Roman" w:hAnsi="Times New Roman"/>
          <w:sz w:val="24"/>
          <w:szCs w:val="24"/>
        </w:rPr>
        <w:t>ing declared as unspent. The Committee views</w:t>
      </w:r>
      <w:r w:rsidRPr="008B46F5">
        <w:rPr>
          <w:rFonts w:ascii="Times New Roman" w:hAnsi="Times New Roman"/>
          <w:sz w:val="24"/>
          <w:szCs w:val="24"/>
        </w:rPr>
        <w:t xml:space="preserve"> the CWP as an important </w:t>
      </w:r>
      <w:r w:rsidR="008A2587" w:rsidRPr="008B46F5">
        <w:rPr>
          <w:rFonts w:ascii="Times New Roman" w:hAnsi="Times New Roman"/>
          <w:sz w:val="24"/>
          <w:szCs w:val="24"/>
        </w:rPr>
        <w:t xml:space="preserve">initiative </w:t>
      </w:r>
      <w:r w:rsidRPr="008B46F5">
        <w:rPr>
          <w:rFonts w:ascii="Times New Roman" w:hAnsi="Times New Roman"/>
          <w:sz w:val="24"/>
          <w:szCs w:val="24"/>
        </w:rPr>
        <w:t>for the alleviation of poverty and inequality within South Africa as well as job creation</w:t>
      </w:r>
      <w:r w:rsidR="008A2587" w:rsidRPr="008B46F5">
        <w:rPr>
          <w:rFonts w:ascii="Times New Roman" w:hAnsi="Times New Roman"/>
          <w:sz w:val="24"/>
          <w:szCs w:val="24"/>
        </w:rPr>
        <w:t xml:space="preserve">. </w:t>
      </w:r>
    </w:p>
    <w:p w14:paraId="585622B8" w14:textId="5010ACA7" w:rsidR="00DD1DCE" w:rsidRDefault="00A010D3" w:rsidP="008B46F5">
      <w:pPr>
        <w:pStyle w:val="ListParagraph"/>
        <w:numPr>
          <w:ilvl w:val="1"/>
          <w:numId w:val="10"/>
        </w:numPr>
        <w:spacing w:line="360" w:lineRule="auto"/>
        <w:ind w:left="-142" w:hanging="709"/>
        <w:jc w:val="both"/>
        <w:rPr>
          <w:rFonts w:ascii="Times New Roman" w:hAnsi="Times New Roman"/>
          <w:sz w:val="24"/>
          <w:szCs w:val="24"/>
        </w:rPr>
      </w:pPr>
      <w:r>
        <w:rPr>
          <w:rFonts w:ascii="Times New Roman" w:hAnsi="Times New Roman"/>
          <w:sz w:val="24"/>
          <w:szCs w:val="24"/>
        </w:rPr>
        <w:t xml:space="preserve">The Committee is concerned about the R157 million declared unspent funds by the National Treasury on the Jobs fund considering the high levels of unemployment in South Africa and the mandate of the Jobs Fund. The Committee is equally concerned about the R300 million declared unspent funds from the Small Enterprise Finance Agency’s Small Business and </w:t>
      </w:r>
      <w:r w:rsidR="0037087D">
        <w:rPr>
          <w:rFonts w:ascii="Times New Roman" w:hAnsi="Times New Roman"/>
          <w:sz w:val="24"/>
          <w:szCs w:val="24"/>
        </w:rPr>
        <w:t xml:space="preserve">Innovation Fund. </w:t>
      </w:r>
    </w:p>
    <w:p w14:paraId="2ABC6BB8" w14:textId="0B54FA0C" w:rsidR="008B46F5" w:rsidRDefault="008B46F5" w:rsidP="008B46F5">
      <w:pPr>
        <w:pStyle w:val="ListParagraph"/>
        <w:numPr>
          <w:ilvl w:val="1"/>
          <w:numId w:val="10"/>
        </w:numPr>
        <w:spacing w:line="360" w:lineRule="auto"/>
        <w:ind w:left="-142" w:hanging="709"/>
        <w:jc w:val="both"/>
        <w:rPr>
          <w:rFonts w:ascii="Times New Roman" w:hAnsi="Times New Roman"/>
          <w:sz w:val="24"/>
          <w:szCs w:val="24"/>
        </w:rPr>
      </w:pPr>
      <w:r>
        <w:rPr>
          <w:rFonts w:ascii="Times New Roman" w:hAnsi="Times New Roman"/>
          <w:sz w:val="24"/>
          <w:szCs w:val="24"/>
        </w:rPr>
        <w:t xml:space="preserve">The Committee notes with concern the delays </w:t>
      </w:r>
      <w:r w:rsidRPr="00DD1DCE">
        <w:rPr>
          <w:rFonts w:ascii="Times New Roman" w:hAnsi="Times New Roman"/>
          <w:sz w:val="24"/>
          <w:szCs w:val="24"/>
        </w:rPr>
        <w:t>in t</w:t>
      </w:r>
      <w:r>
        <w:rPr>
          <w:rFonts w:ascii="Times New Roman" w:hAnsi="Times New Roman"/>
          <w:sz w:val="24"/>
          <w:szCs w:val="24"/>
        </w:rPr>
        <w:t xml:space="preserve">he Gauteng Province regarding </w:t>
      </w:r>
      <w:r w:rsidRPr="00DD1DCE">
        <w:rPr>
          <w:rFonts w:ascii="Times New Roman" w:hAnsi="Times New Roman"/>
          <w:sz w:val="24"/>
          <w:szCs w:val="24"/>
        </w:rPr>
        <w:t>in the registration of</w:t>
      </w:r>
      <w:r w:rsidRPr="009461BE">
        <w:rPr>
          <w:rFonts w:ascii="Times New Roman" w:hAnsi="Times New Roman"/>
          <w:sz w:val="24"/>
          <w:szCs w:val="24"/>
        </w:rPr>
        <w:t xml:space="preserve"> individuals on the </w:t>
      </w:r>
      <w:r>
        <w:rPr>
          <w:rFonts w:ascii="Times New Roman" w:hAnsi="Times New Roman"/>
          <w:sz w:val="24"/>
          <w:szCs w:val="24"/>
        </w:rPr>
        <w:t>NHI</w:t>
      </w:r>
      <w:r w:rsidRPr="009461BE">
        <w:rPr>
          <w:rFonts w:ascii="Times New Roman" w:hAnsi="Times New Roman"/>
          <w:sz w:val="24"/>
          <w:szCs w:val="24"/>
        </w:rPr>
        <w:t xml:space="preserve"> patient beneficiary registry</w:t>
      </w:r>
      <w:r w:rsidRPr="00DD1DCE">
        <w:rPr>
          <w:rFonts w:ascii="Times New Roman" w:hAnsi="Times New Roman"/>
          <w:sz w:val="24"/>
          <w:szCs w:val="24"/>
        </w:rPr>
        <w:t xml:space="preserve"> </w:t>
      </w:r>
      <w:r>
        <w:rPr>
          <w:rFonts w:ascii="Times New Roman" w:hAnsi="Times New Roman"/>
          <w:sz w:val="24"/>
          <w:szCs w:val="24"/>
        </w:rPr>
        <w:t>due to</w:t>
      </w:r>
      <w:r w:rsidRPr="009461BE">
        <w:rPr>
          <w:rFonts w:ascii="Times New Roman" w:hAnsi="Times New Roman"/>
          <w:sz w:val="24"/>
          <w:szCs w:val="24"/>
        </w:rPr>
        <w:t xml:space="preserve"> protracted negotiations with Gauteng provincial facilities</w:t>
      </w:r>
      <w:r>
        <w:rPr>
          <w:rFonts w:ascii="Times New Roman" w:hAnsi="Times New Roman"/>
          <w:sz w:val="24"/>
          <w:szCs w:val="24"/>
        </w:rPr>
        <w:t xml:space="preserve">. </w:t>
      </w:r>
    </w:p>
    <w:p w14:paraId="09D63735" w14:textId="77777777" w:rsidR="00DC17E6" w:rsidRDefault="00DC17E6" w:rsidP="00057264">
      <w:pPr>
        <w:spacing w:line="360" w:lineRule="auto"/>
        <w:jc w:val="both"/>
        <w:rPr>
          <w:rFonts w:ascii="Times New Roman" w:hAnsi="Times New Roman"/>
          <w:color w:val="auto"/>
          <w:sz w:val="24"/>
          <w:szCs w:val="24"/>
          <w:lang w:val="en-ZA"/>
        </w:rPr>
      </w:pPr>
    </w:p>
    <w:p w14:paraId="17A65B97" w14:textId="285F831E" w:rsidR="00DC17E6" w:rsidRPr="00DC17E6" w:rsidRDefault="00DC17E6" w:rsidP="00DD1DCE">
      <w:pPr>
        <w:pStyle w:val="ListParagraph"/>
        <w:numPr>
          <w:ilvl w:val="0"/>
          <w:numId w:val="10"/>
        </w:numPr>
        <w:spacing w:line="360" w:lineRule="auto"/>
        <w:ind w:left="-426" w:hanging="425"/>
        <w:jc w:val="both"/>
        <w:rPr>
          <w:rFonts w:ascii="Times New Roman" w:hAnsi="Times New Roman"/>
          <w:b/>
          <w:sz w:val="24"/>
          <w:szCs w:val="24"/>
          <w:lang w:val="en-ZA"/>
        </w:rPr>
      </w:pPr>
      <w:r w:rsidRPr="00DC17E6">
        <w:rPr>
          <w:rFonts w:ascii="Times New Roman" w:hAnsi="Times New Roman"/>
          <w:b/>
          <w:sz w:val="24"/>
          <w:szCs w:val="24"/>
          <w:lang w:val="en-ZA"/>
        </w:rPr>
        <w:t>Committee Recommendations</w:t>
      </w:r>
    </w:p>
    <w:p w14:paraId="64146FEB" w14:textId="77777777" w:rsidR="00DC17E6" w:rsidRPr="00DC17E6" w:rsidRDefault="00DC17E6">
      <w:pPr>
        <w:tabs>
          <w:tab w:val="num" w:pos="1440"/>
        </w:tabs>
        <w:spacing w:line="360" w:lineRule="auto"/>
        <w:jc w:val="both"/>
        <w:rPr>
          <w:rFonts w:ascii="Times New Roman" w:hAnsi="Times New Roman"/>
          <w:b/>
          <w:sz w:val="24"/>
          <w:szCs w:val="24"/>
          <w:lang w:val="en-ZA"/>
        </w:rPr>
      </w:pPr>
    </w:p>
    <w:p w14:paraId="1F46D244" w14:textId="581C9FB6" w:rsidR="00DC17E6" w:rsidRDefault="00DC17E6">
      <w:pPr>
        <w:tabs>
          <w:tab w:val="num" w:pos="1440"/>
        </w:tabs>
        <w:spacing w:line="360" w:lineRule="auto"/>
        <w:ind w:left="-851"/>
        <w:jc w:val="both"/>
        <w:rPr>
          <w:rFonts w:ascii="Times New Roman" w:hAnsi="Times New Roman"/>
          <w:sz w:val="24"/>
          <w:szCs w:val="24"/>
          <w:lang w:val="en-ZA"/>
        </w:rPr>
      </w:pPr>
      <w:r w:rsidRPr="00DC17E6">
        <w:rPr>
          <w:rFonts w:ascii="Times New Roman" w:hAnsi="Times New Roman"/>
          <w:sz w:val="24"/>
          <w:szCs w:val="24"/>
          <w:lang w:val="en-ZA"/>
        </w:rPr>
        <w:lastRenderedPageBreak/>
        <w:t>The Standing Committee on Appropriations having engaged with t</w:t>
      </w:r>
      <w:r>
        <w:rPr>
          <w:rFonts w:ascii="Times New Roman" w:hAnsi="Times New Roman"/>
          <w:sz w:val="24"/>
          <w:szCs w:val="24"/>
          <w:lang w:val="en-ZA"/>
        </w:rPr>
        <w:t xml:space="preserve">he above stakeholders on the </w:t>
      </w:r>
      <w:r w:rsidRPr="00DC17E6">
        <w:rPr>
          <w:rFonts w:ascii="Times New Roman" w:hAnsi="Times New Roman"/>
          <w:sz w:val="24"/>
          <w:szCs w:val="24"/>
          <w:lang w:val="en-ZA"/>
        </w:rPr>
        <w:t xml:space="preserve">Adjustments Appropriation Bill </w:t>
      </w:r>
      <w:r>
        <w:rPr>
          <w:rFonts w:ascii="Times New Roman" w:hAnsi="Times New Roman"/>
          <w:sz w:val="24"/>
          <w:szCs w:val="24"/>
          <w:lang w:val="en-ZA"/>
        </w:rPr>
        <w:t xml:space="preserve">[B16-2019], </w:t>
      </w:r>
      <w:r w:rsidRPr="00DC17E6">
        <w:rPr>
          <w:rFonts w:ascii="Times New Roman" w:hAnsi="Times New Roman"/>
          <w:sz w:val="24"/>
          <w:szCs w:val="24"/>
          <w:lang w:val="en-ZA"/>
        </w:rPr>
        <w:t>recommends as follows:</w:t>
      </w:r>
    </w:p>
    <w:p w14:paraId="5D27DFA8" w14:textId="58453718" w:rsidR="00DC17E6" w:rsidRDefault="00DC17E6" w:rsidP="00DC17E6">
      <w:pPr>
        <w:tabs>
          <w:tab w:val="num" w:pos="1440"/>
        </w:tabs>
        <w:spacing w:line="360" w:lineRule="auto"/>
        <w:ind w:left="-851"/>
        <w:jc w:val="both"/>
        <w:rPr>
          <w:rFonts w:ascii="Times New Roman" w:hAnsi="Times New Roman"/>
          <w:sz w:val="24"/>
          <w:szCs w:val="24"/>
          <w:lang w:val="en-ZA"/>
        </w:rPr>
      </w:pPr>
    </w:p>
    <w:p w14:paraId="6EBBD642" w14:textId="3F71BDF5" w:rsidR="00EA1582" w:rsidRDefault="00DC17E6" w:rsidP="00957461">
      <w:pPr>
        <w:pStyle w:val="ListParagraph"/>
        <w:numPr>
          <w:ilvl w:val="1"/>
          <w:numId w:val="10"/>
        </w:numPr>
        <w:tabs>
          <w:tab w:val="num" w:pos="1440"/>
        </w:tabs>
        <w:spacing w:line="360" w:lineRule="auto"/>
        <w:ind w:left="-142" w:hanging="709"/>
        <w:jc w:val="both"/>
        <w:rPr>
          <w:rFonts w:ascii="Times New Roman" w:hAnsi="Times New Roman"/>
          <w:sz w:val="24"/>
          <w:szCs w:val="24"/>
        </w:rPr>
      </w:pPr>
      <w:r w:rsidRPr="00DC17E6">
        <w:rPr>
          <w:rFonts w:ascii="Times New Roman" w:hAnsi="Times New Roman"/>
          <w:sz w:val="24"/>
          <w:szCs w:val="24"/>
          <w:lang w:val="en-ZA"/>
        </w:rPr>
        <w:t>That the Minister of Water and Sanitation</w:t>
      </w:r>
      <w:r>
        <w:rPr>
          <w:rFonts w:ascii="Times New Roman" w:hAnsi="Times New Roman"/>
          <w:sz w:val="24"/>
          <w:szCs w:val="24"/>
          <w:lang w:val="en-ZA"/>
        </w:rPr>
        <w:t xml:space="preserve"> should ensure </w:t>
      </w:r>
      <w:r w:rsidR="00EA1582">
        <w:rPr>
          <w:rFonts w:ascii="Times New Roman" w:hAnsi="Times New Roman"/>
          <w:sz w:val="24"/>
          <w:szCs w:val="24"/>
          <w:lang w:val="en-ZA"/>
        </w:rPr>
        <w:t xml:space="preserve">that mechanisms </w:t>
      </w:r>
      <w:r w:rsidR="00F063EE">
        <w:rPr>
          <w:rFonts w:ascii="Times New Roman" w:hAnsi="Times New Roman"/>
          <w:sz w:val="24"/>
          <w:szCs w:val="24"/>
          <w:lang w:val="en-ZA"/>
        </w:rPr>
        <w:t xml:space="preserve">are </w:t>
      </w:r>
      <w:r w:rsidR="00EA1582">
        <w:rPr>
          <w:rFonts w:ascii="Times New Roman" w:hAnsi="Times New Roman"/>
          <w:sz w:val="24"/>
          <w:szCs w:val="24"/>
          <w:lang w:val="en-ZA"/>
        </w:rPr>
        <w:t xml:space="preserve">put in place </w:t>
      </w:r>
      <w:r w:rsidR="00F063EE">
        <w:rPr>
          <w:rFonts w:ascii="Times New Roman" w:hAnsi="Times New Roman"/>
          <w:sz w:val="24"/>
          <w:szCs w:val="24"/>
          <w:lang w:val="en-ZA"/>
        </w:rPr>
        <w:t>so that</w:t>
      </w:r>
      <w:r w:rsidR="00EA1582">
        <w:rPr>
          <w:rFonts w:ascii="Times New Roman" w:hAnsi="Times New Roman"/>
          <w:sz w:val="24"/>
          <w:szCs w:val="24"/>
          <w:lang w:val="en-ZA"/>
        </w:rPr>
        <w:t xml:space="preserve"> there are consequences</w:t>
      </w:r>
      <w:r w:rsidR="00EA1582" w:rsidRPr="00EA1582">
        <w:rPr>
          <w:rFonts w:ascii="Times New Roman" w:hAnsi="Times New Roman"/>
          <w:sz w:val="24"/>
          <w:szCs w:val="24"/>
        </w:rPr>
        <w:t xml:space="preserve"> for </w:t>
      </w:r>
      <w:r w:rsidR="00EA1582">
        <w:rPr>
          <w:rFonts w:ascii="Times New Roman" w:hAnsi="Times New Roman"/>
          <w:sz w:val="24"/>
          <w:szCs w:val="24"/>
        </w:rPr>
        <w:t>those</w:t>
      </w:r>
      <w:r w:rsidR="00EA1582" w:rsidRPr="00EA1582">
        <w:rPr>
          <w:rFonts w:ascii="Times New Roman" w:hAnsi="Times New Roman"/>
          <w:sz w:val="24"/>
          <w:szCs w:val="24"/>
        </w:rPr>
        <w:t xml:space="preserve"> responsible for polluting </w:t>
      </w:r>
      <w:r w:rsidR="00EA1582">
        <w:rPr>
          <w:rFonts w:ascii="Times New Roman" w:hAnsi="Times New Roman"/>
          <w:sz w:val="24"/>
          <w:szCs w:val="24"/>
        </w:rPr>
        <w:t>Vaal r</w:t>
      </w:r>
      <w:r w:rsidR="00EA1582" w:rsidRPr="00EA1582">
        <w:rPr>
          <w:rFonts w:ascii="Times New Roman" w:hAnsi="Times New Roman"/>
          <w:sz w:val="24"/>
          <w:szCs w:val="24"/>
        </w:rPr>
        <w:t>iver system</w:t>
      </w:r>
      <w:r w:rsidR="00EA1582">
        <w:rPr>
          <w:rFonts w:ascii="Times New Roman" w:hAnsi="Times New Roman"/>
          <w:sz w:val="24"/>
          <w:szCs w:val="24"/>
        </w:rPr>
        <w:t xml:space="preserve">. </w:t>
      </w:r>
    </w:p>
    <w:p w14:paraId="17A7CAE6" w14:textId="342D5719" w:rsidR="00057264" w:rsidRDefault="00F063EE" w:rsidP="00957461">
      <w:pPr>
        <w:pStyle w:val="ListParagraph"/>
        <w:numPr>
          <w:ilvl w:val="1"/>
          <w:numId w:val="10"/>
        </w:numPr>
        <w:tabs>
          <w:tab w:val="num" w:pos="1440"/>
        </w:tabs>
        <w:spacing w:line="360" w:lineRule="auto"/>
        <w:ind w:left="-142" w:hanging="709"/>
        <w:jc w:val="both"/>
        <w:rPr>
          <w:rFonts w:ascii="Times New Roman" w:hAnsi="Times New Roman"/>
          <w:sz w:val="24"/>
          <w:szCs w:val="24"/>
        </w:rPr>
      </w:pPr>
      <w:r>
        <w:rPr>
          <w:rFonts w:ascii="Times New Roman" w:hAnsi="Times New Roman"/>
          <w:sz w:val="24"/>
          <w:szCs w:val="24"/>
        </w:rPr>
        <w:t>That the Minister of Finance</w:t>
      </w:r>
      <w:r w:rsidR="0000784D">
        <w:rPr>
          <w:rFonts w:ascii="Times New Roman" w:hAnsi="Times New Roman"/>
          <w:sz w:val="24"/>
          <w:szCs w:val="24"/>
        </w:rPr>
        <w:t xml:space="preserve"> should </w:t>
      </w:r>
      <w:r>
        <w:rPr>
          <w:rFonts w:ascii="Times New Roman" w:hAnsi="Times New Roman"/>
          <w:sz w:val="24"/>
          <w:szCs w:val="24"/>
        </w:rPr>
        <w:t xml:space="preserve">ensure that National Treasury </w:t>
      </w:r>
      <w:r w:rsidR="0000784D">
        <w:rPr>
          <w:rFonts w:ascii="Times New Roman" w:hAnsi="Times New Roman"/>
          <w:sz w:val="24"/>
          <w:szCs w:val="24"/>
        </w:rPr>
        <w:t>carefully scrutinise government departments</w:t>
      </w:r>
      <w:r>
        <w:rPr>
          <w:rFonts w:ascii="Times New Roman" w:hAnsi="Times New Roman"/>
          <w:sz w:val="24"/>
          <w:szCs w:val="24"/>
        </w:rPr>
        <w:t>’</w:t>
      </w:r>
      <w:r w:rsidR="0000784D">
        <w:rPr>
          <w:rFonts w:ascii="Times New Roman" w:hAnsi="Times New Roman"/>
          <w:sz w:val="24"/>
          <w:szCs w:val="24"/>
        </w:rPr>
        <w:t xml:space="preserve"> ability to spend allocated funds before submitting budget proposals </w:t>
      </w:r>
      <w:r w:rsidR="00A7084E">
        <w:rPr>
          <w:rFonts w:ascii="Times New Roman" w:hAnsi="Times New Roman"/>
          <w:sz w:val="24"/>
          <w:szCs w:val="24"/>
        </w:rPr>
        <w:t xml:space="preserve">to Parliament in order to prevent continued underspending on allocated funds as it has implications on government debt and the interest payments. </w:t>
      </w:r>
    </w:p>
    <w:p w14:paraId="0A41CF60" w14:textId="40E6730B" w:rsidR="00A7084E" w:rsidRDefault="00A7084E" w:rsidP="00957461">
      <w:pPr>
        <w:pStyle w:val="ListParagraph"/>
        <w:numPr>
          <w:ilvl w:val="1"/>
          <w:numId w:val="10"/>
        </w:numPr>
        <w:tabs>
          <w:tab w:val="num" w:pos="1440"/>
        </w:tabs>
        <w:spacing w:line="360" w:lineRule="auto"/>
        <w:ind w:left="-142" w:hanging="709"/>
        <w:jc w:val="both"/>
        <w:rPr>
          <w:rFonts w:ascii="Times New Roman" w:hAnsi="Times New Roman"/>
          <w:sz w:val="24"/>
          <w:szCs w:val="24"/>
        </w:rPr>
      </w:pPr>
      <w:r>
        <w:rPr>
          <w:rFonts w:ascii="Times New Roman" w:hAnsi="Times New Roman"/>
          <w:sz w:val="24"/>
          <w:szCs w:val="24"/>
        </w:rPr>
        <w:t>The Department of Higher Education and Training, Police, Small Business Development, National Treasury and Corporative Governance must furnish the Committee with a plan on ho</w:t>
      </w:r>
      <w:r w:rsidR="00F063EE">
        <w:rPr>
          <w:rFonts w:ascii="Times New Roman" w:hAnsi="Times New Roman"/>
          <w:sz w:val="24"/>
          <w:szCs w:val="24"/>
        </w:rPr>
        <w:t>w</w:t>
      </w:r>
      <w:r>
        <w:rPr>
          <w:rFonts w:ascii="Times New Roman" w:hAnsi="Times New Roman"/>
          <w:sz w:val="24"/>
          <w:szCs w:val="24"/>
        </w:rPr>
        <w:t xml:space="preserve"> they plan to improve spending on conditional grants allocation and report to the Committee within </w:t>
      </w:r>
      <w:r w:rsidR="00F063EE">
        <w:rPr>
          <w:rFonts w:ascii="Times New Roman" w:hAnsi="Times New Roman"/>
          <w:sz w:val="24"/>
          <w:szCs w:val="24"/>
        </w:rPr>
        <w:t>9</w:t>
      </w:r>
      <w:r>
        <w:rPr>
          <w:rFonts w:ascii="Times New Roman" w:hAnsi="Times New Roman"/>
          <w:sz w:val="24"/>
          <w:szCs w:val="24"/>
        </w:rPr>
        <w:t xml:space="preserve">0 day after this report has been adopted. </w:t>
      </w:r>
    </w:p>
    <w:p w14:paraId="7F9D8A5B" w14:textId="021B85F8" w:rsidR="00A7084E" w:rsidRDefault="00A7084E" w:rsidP="00957461">
      <w:pPr>
        <w:pStyle w:val="ListParagraph"/>
        <w:numPr>
          <w:ilvl w:val="1"/>
          <w:numId w:val="10"/>
        </w:numPr>
        <w:tabs>
          <w:tab w:val="num" w:pos="1440"/>
        </w:tabs>
        <w:spacing w:line="360" w:lineRule="auto"/>
        <w:ind w:left="-142" w:hanging="709"/>
        <w:jc w:val="both"/>
        <w:rPr>
          <w:rFonts w:ascii="Times New Roman" w:hAnsi="Times New Roman"/>
          <w:sz w:val="24"/>
          <w:szCs w:val="24"/>
        </w:rPr>
      </w:pPr>
      <w:r>
        <w:rPr>
          <w:rFonts w:ascii="Times New Roman" w:hAnsi="Times New Roman"/>
          <w:sz w:val="24"/>
          <w:szCs w:val="24"/>
        </w:rPr>
        <w:t>The Minist</w:t>
      </w:r>
      <w:r w:rsidR="00F063EE">
        <w:rPr>
          <w:rFonts w:ascii="Times New Roman" w:hAnsi="Times New Roman"/>
          <w:sz w:val="24"/>
          <w:szCs w:val="24"/>
        </w:rPr>
        <w:t>er</w:t>
      </w:r>
      <w:r>
        <w:rPr>
          <w:rFonts w:ascii="Times New Roman" w:hAnsi="Times New Roman"/>
          <w:sz w:val="24"/>
          <w:szCs w:val="24"/>
        </w:rPr>
        <w:t xml:space="preserve"> of Public Enterprises </w:t>
      </w:r>
      <w:r w:rsidR="00F063EE">
        <w:rPr>
          <w:rFonts w:ascii="Times New Roman" w:hAnsi="Times New Roman"/>
          <w:sz w:val="24"/>
          <w:szCs w:val="24"/>
        </w:rPr>
        <w:t>should</w:t>
      </w:r>
      <w:r>
        <w:rPr>
          <w:rFonts w:ascii="Times New Roman" w:hAnsi="Times New Roman"/>
          <w:sz w:val="24"/>
          <w:szCs w:val="24"/>
        </w:rPr>
        <w:t xml:space="preserve"> within </w:t>
      </w:r>
      <w:r w:rsidR="00F063EE">
        <w:rPr>
          <w:rFonts w:ascii="Times New Roman" w:hAnsi="Times New Roman"/>
          <w:sz w:val="24"/>
          <w:szCs w:val="24"/>
        </w:rPr>
        <w:t>9</w:t>
      </w:r>
      <w:r>
        <w:rPr>
          <w:rFonts w:ascii="Times New Roman" w:hAnsi="Times New Roman"/>
          <w:sz w:val="24"/>
          <w:szCs w:val="24"/>
        </w:rPr>
        <w:t xml:space="preserve">0 days after the adoption of this </w:t>
      </w:r>
      <w:r w:rsidR="00F063EE">
        <w:rPr>
          <w:rFonts w:ascii="Times New Roman" w:hAnsi="Times New Roman"/>
          <w:sz w:val="24"/>
          <w:szCs w:val="24"/>
        </w:rPr>
        <w:t xml:space="preserve">report </w:t>
      </w:r>
      <w:r>
        <w:rPr>
          <w:rFonts w:ascii="Times New Roman" w:hAnsi="Times New Roman"/>
          <w:sz w:val="24"/>
          <w:szCs w:val="24"/>
        </w:rPr>
        <w:t xml:space="preserve">present the overall strategic plans on how government plans to turn around the government state owned companies, particularly DENEL, SAA, and SA Express.  </w:t>
      </w:r>
    </w:p>
    <w:p w14:paraId="10CC8EB4" w14:textId="14FD3E2F" w:rsidR="00A7084E" w:rsidRDefault="00A7084E" w:rsidP="00957461">
      <w:pPr>
        <w:pStyle w:val="ListParagraph"/>
        <w:numPr>
          <w:ilvl w:val="1"/>
          <w:numId w:val="10"/>
        </w:numPr>
        <w:tabs>
          <w:tab w:val="num" w:pos="1440"/>
        </w:tabs>
        <w:spacing w:line="360" w:lineRule="auto"/>
        <w:ind w:left="-142" w:hanging="709"/>
        <w:jc w:val="both"/>
        <w:rPr>
          <w:rFonts w:ascii="Times New Roman" w:hAnsi="Times New Roman"/>
          <w:sz w:val="24"/>
          <w:szCs w:val="24"/>
        </w:rPr>
      </w:pPr>
      <w:r>
        <w:rPr>
          <w:rFonts w:ascii="Times New Roman" w:hAnsi="Times New Roman"/>
          <w:sz w:val="24"/>
          <w:szCs w:val="24"/>
        </w:rPr>
        <w:t xml:space="preserve">The </w:t>
      </w:r>
      <w:r w:rsidR="0052626D">
        <w:rPr>
          <w:rFonts w:ascii="Times New Roman" w:hAnsi="Times New Roman"/>
          <w:sz w:val="24"/>
          <w:szCs w:val="24"/>
        </w:rPr>
        <w:t xml:space="preserve">Minister of Public Enterprises should </w:t>
      </w:r>
      <w:r w:rsidR="006B041C">
        <w:rPr>
          <w:rFonts w:ascii="Times New Roman" w:hAnsi="Times New Roman"/>
          <w:sz w:val="24"/>
          <w:szCs w:val="24"/>
        </w:rPr>
        <w:t>report to</w:t>
      </w:r>
      <w:r w:rsidR="00F063EE">
        <w:rPr>
          <w:rFonts w:ascii="Times New Roman" w:hAnsi="Times New Roman"/>
          <w:sz w:val="24"/>
          <w:szCs w:val="24"/>
        </w:rPr>
        <w:t xml:space="preserve"> the</w:t>
      </w:r>
      <w:r w:rsidR="006B041C">
        <w:rPr>
          <w:rFonts w:ascii="Times New Roman" w:hAnsi="Times New Roman"/>
          <w:sz w:val="24"/>
          <w:szCs w:val="24"/>
        </w:rPr>
        <w:t xml:space="preserve"> Committee within </w:t>
      </w:r>
      <w:r w:rsidR="0052626D">
        <w:rPr>
          <w:rFonts w:ascii="Times New Roman" w:hAnsi="Times New Roman"/>
          <w:sz w:val="24"/>
          <w:szCs w:val="24"/>
        </w:rPr>
        <w:t>9</w:t>
      </w:r>
      <w:r w:rsidR="006B041C">
        <w:rPr>
          <w:rFonts w:ascii="Times New Roman" w:hAnsi="Times New Roman"/>
          <w:sz w:val="24"/>
          <w:szCs w:val="24"/>
        </w:rPr>
        <w:t>0 day</w:t>
      </w:r>
      <w:r w:rsidR="0052626D">
        <w:rPr>
          <w:rFonts w:ascii="Times New Roman" w:hAnsi="Times New Roman"/>
          <w:sz w:val="24"/>
          <w:szCs w:val="24"/>
        </w:rPr>
        <w:t>s</w:t>
      </w:r>
      <w:r w:rsidR="006B041C">
        <w:rPr>
          <w:rFonts w:ascii="Times New Roman" w:hAnsi="Times New Roman"/>
          <w:sz w:val="24"/>
          <w:szCs w:val="24"/>
        </w:rPr>
        <w:t xml:space="preserve"> after this report has been adopted progress made thus far in Eskom restructuring exercise. This is in consideration of the fact that the Eskom three separate entities (Generation, Transmission and Distribution) are expected to </w:t>
      </w:r>
      <w:r w:rsidR="00DD1DCE">
        <w:rPr>
          <w:rFonts w:ascii="Times New Roman" w:hAnsi="Times New Roman"/>
          <w:sz w:val="24"/>
          <w:szCs w:val="24"/>
        </w:rPr>
        <w:t xml:space="preserve">report separately as the end of the 2019/30 financial year. </w:t>
      </w:r>
    </w:p>
    <w:p w14:paraId="19FD2348" w14:textId="524754BC" w:rsidR="0052649B" w:rsidRDefault="0052649B" w:rsidP="00957461">
      <w:pPr>
        <w:pStyle w:val="ListParagraph"/>
        <w:numPr>
          <w:ilvl w:val="1"/>
          <w:numId w:val="10"/>
        </w:numPr>
        <w:tabs>
          <w:tab w:val="num" w:pos="1440"/>
        </w:tabs>
        <w:spacing w:line="360" w:lineRule="auto"/>
        <w:ind w:left="-142" w:hanging="709"/>
        <w:jc w:val="both"/>
        <w:rPr>
          <w:rFonts w:ascii="Times New Roman" w:hAnsi="Times New Roman"/>
          <w:sz w:val="24"/>
          <w:szCs w:val="24"/>
        </w:rPr>
      </w:pPr>
      <w:r>
        <w:rPr>
          <w:rFonts w:ascii="Times New Roman" w:hAnsi="Times New Roman"/>
          <w:sz w:val="24"/>
          <w:szCs w:val="24"/>
        </w:rPr>
        <w:t xml:space="preserve">The Minister of Finance </w:t>
      </w:r>
      <w:r w:rsidR="00F063EE">
        <w:rPr>
          <w:rFonts w:ascii="Times New Roman" w:hAnsi="Times New Roman"/>
          <w:sz w:val="24"/>
          <w:szCs w:val="24"/>
        </w:rPr>
        <w:t xml:space="preserve">should </w:t>
      </w:r>
      <w:r>
        <w:rPr>
          <w:rFonts w:ascii="Times New Roman" w:hAnsi="Times New Roman"/>
          <w:sz w:val="24"/>
          <w:szCs w:val="24"/>
        </w:rPr>
        <w:t xml:space="preserve">ensure that </w:t>
      </w:r>
      <w:r w:rsidR="00A76165">
        <w:rPr>
          <w:rFonts w:ascii="Times New Roman" w:hAnsi="Times New Roman"/>
          <w:sz w:val="24"/>
          <w:szCs w:val="24"/>
        </w:rPr>
        <w:t xml:space="preserve">conditions on the 2020/21 budget allocation to Eskom be included on the primary legislation. </w:t>
      </w:r>
    </w:p>
    <w:p w14:paraId="36A5755E" w14:textId="158A8AF7" w:rsidR="00DD1DCE" w:rsidRDefault="00DD1DCE" w:rsidP="007C1641">
      <w:pPr>
        <w:pStyle w:val="ListParagraph"/>
        <w:numPr>
          <w:ilvl w:val="1"/>
          <w:numId w:val="10"/>
        </w:numPr>
        <w:tabs>
          <w:tab w:val="num" w:pos="1440"/>
        </w:tabs>
        <w:spacing w:line="360" w:lineRule="auto"/>
        <w:ind w:left="-142" w:hanging="709"/>
        <w:jc w:val="both"/>
        <w:rPr>
          <w:rFonts w:ascii="Times New Roman" w:hAnsi="Times New Roman"/>
          <w:sz w:val="24"/>
          <w:szCs w:val="24"/>
        </w:rPr>
      </w:pPr>
      <w:r>
        <w:rPr>
          <w:rFonts w:ascii="Times New Roman" w:hAnsi="Times New Roman"/>
          <w:sz w:val="24"/>
          <w:szCs w:val="24"/>
        </w:rPr>
        <w:t xml:space="preserve">The Minister of Justice and Constitutional Development </w:t>
      </w:r>
      <w:r w:rsidR="0036579A">
        <w:rPr>
          <w:rFonts w:ascii="Times New Roman" w:hAnsi="Times New Roman"/>
          <w:sz w:val="24"/>
          <w:szCs w:val="24"/>
        </w:rPr>
        <w:t xml:space="preserve">finalise the legislation and regulations relating to </w:t>
      </w:r>
      <w:r>
        <w:rPr>
          <w:rFonts w:ascii="Times New Roman" w:hAnsi="Times New Roman"/>
          <w:sz w:val="24"/>
          <w:szCs w:val="24"/>
        </w:rPr>
        <w:t xml:space="preserve">Cannabis </w:t>
      </w:r>
      <w:r w:rsidR="0036579A">
        <w:rPr>
          <w:rFonts w:ascii="Times New Roman" w:hAnsi="Times New Roman"/>
          <w:sz w:val="24"/>
          <w:szCs w:val="24"/>
        </w:rPr>
        <w:t xml:space="preserve">in South Africa. </w:t>
      </w:r>
    </w:p>
    <w:p w14:paraId="2E7FCFB4" w14:textId="7F01D0F6" w:rsidR="008B46F5" w:rsidRDefault="008B46F5" w:rsidP="008B46F5">
      <w:pPr>
        <w:pStyle w:val="ListParagraph"/>
        <w:numPr>
          <w:ilvl w:val="1"/>
          <w:numId w:val="10"/>
        </w:numPr>
        <w:tabs>
          <w:tab w:val="num" w:pos="1440"/>
        </w:tabs>
        <w:spacing w:line="360" w:lineRule="auto"/>
        <w:ind w:left="-142" w:hanging="709"/>
        <w:jc w:val="both"/>
        <w:rPr>
          <w:rFonts w:ascii="Times New Roman" w:hAnsi="Times New Roman"/>
          <w:sz w:val="24"/>
          <w:szCs w:val="24"/>
        </w:rPr>
      </w:pPr>
      <w:r w:rsidRPr="00DD1DCE">
        <w:rPr>
          <w:rFonts w:ascii="Times New Roman" w:hAnsi="Times New Roman"/>
          <w:sz w:val="24"/>
          <w:szCs w:val="24"/>
        </w:rPr>
        <w:t>Th</w:t>
      </w:r>
      <w:r>
        <w:rPr>
          <w:rFonts w:ascii="Times New Roman" w:hAnsi="Times New Roman"/>
          <w:sz w:val="24"/>
          <w:szCs w:val="24"/>
        </w:rPr>
        <w:t xml:space="preserve">at the </w:t>
      </w:r>
      <w:r w:rsidRPr="00DD1DCE">
        <w:rPr>
          <w:rFonts w:ascii="Times New Roman" w:hAnsi="Times New Roman"/>
          <w:sz w:val="24"/>
          <w:szCs w:val="24"/>
        </w:rPr>
        <w:t>Minister of Health urgently intervene</w:t>
      </w:r>
      <w:r>
        <w:rPr>
          <w:rFonts w:ascii="Times New Roman" w:hAnsi="Times New Roman"/>
          <w:sz w:val="24"/>
          <w:szCs w:val="24"/>
        </w:rPr>
        <w:t>s</w:t>
      </w:r>
      <w:r w:rsidRPr="00DD1DCE">
        <w:rPr>
          <w:rFonts w:ascii="Times New Roman" w:hAnsi="Times New Roman"/>
          <w:sz w:val="24"/>
          <w:szCs w:val="24"/>
        </w:rPr>
        <w:t xml:space="preserve"> in the Gauteng Province where there are delays in the registration of</w:t>
      </w:r>
      <w:r w:rsidRPr="009461BE">
        <w:rPr>
          <w:rFonts w:ascii="Times New Roman" w:hAnsi="Times New Roman"/>
          <w:sz w:val="24"/>
          <w:szCs w:val="24"/>
        </w:rPr>
        <w:t xml:space="preserve"> individuals on the national health insurance patient beneficiary registry</w:t>
      </w:r>
      <w:r w:rsidRPr="00DD1DCE">
        <w:rPr>
          <w:rFonts w:ascii="Times New Roman" w:hAnsi="Times New Roman"/>
          <w:sz w:val="24"/>
          <w:szCs w:val="24"/>
        </w:rPr>
        <w:t xml:space="preserve"> because of</w:t>
      </w:r>
      <w:r w:rsidRPr="009461BE">
        <w:rPr>
          <w:rFonts w:ascii="Times New Roman" w:hAnsi="Times New Roman"/>
          <w:sz w:val="24"/>
          <w:szCs w:val="24"/>
        </w:rPr>
        <w:t xml:space="preserve">, protracted negotiations with Gauteng provincial facilities </w:t>
      </w:r>
      <w:r>
        <w:rPr>
          <w:rFonts w:ascii="Times New Roman" w:hAnsi="Times New Roman"/>
          <w:sz w:val="24"/>
          <w:szCs w:val="24"/>
        </w:rPr>
        <w:t xml:space="preserve">and report to Parliament within </w:t>
      </w:r>
      <w:r w:rsidR="0036579A">
        <w:rPr>
          <w:rFonts w:ascii="Times New Roman" w:hAnsi="Times New Roman"/>
          <w:sz w:val="24"/>
          <w:szCs w:val="24"/>
        </w:rPr>
        <w:t>9</w:t>
      </w:r>
      <w:r>
        <w:rPr>
          <w:rFonts w:ascii="Times New Roman" w:hAnsi="Times New Roman"/>
          <w:sz w:val="24"/>
          <w:szCs w:val="24"/>
        </w:rPr>
        <w:t xml:space="preserve">0 days after the adoption of this report. </w:t>
      </w:r>
    </w:p>
    <w:p w14:paraId="2690AAB1" w14:textId="64372555" w:rsidR="0036579A" w:rsidRPr="009461BE" w:rsidRDefault="0036579A" w:rsidP="008B46F5">
      <w:pPr>
        <w:pStyle w:val="ListParagraph"/>
        <w:numPr>
          <w:ilvl w:val="1"/>
          <w:numId w:val="10"/>
        </w:numPr>
        <w:tabs>
          <w:tab w:val="num" w:pos="1440"/>
        </w:tabs>
        <w:spacing w:line="360" w:lineRule="auto"/>
        <w:ind w:left="-142" w:hanging="709"/>
        <w:jc w:val="both"/>
        <w:rPr>
          <w:rFonts w:ascii="Times New Roman" w:hAnsi="Times New Roman"/>
          <w:sz w:val="24"/>
          <w:szCs w:val="24"/>
        </w:rPr>
      </w:pPr>
      <w:r>
        <w:rPr>
          <w:rFonts w:ascii="Times New Roman" w:hAnsi="Times New Roman"/>
          <w:sz w:val="24"/>
          <w:szCs w:val="24"/>
        </w:rPr>
        <w:lastRenderedPageBreak/>
        <w:t xml:space="preserve">That </w:t>
      </w:r>
      <w:r w:rsidRPr="0036579A">
        <w:rPr>
          <w:rFonts w:ascii="Times New Roman" w:hAnsi="Times New Roman"/>
          <w:sz w:val="24"/>
          <w:szCs w:val="24"/>
        </w:rPr>
        <w:t>Parliam</w:t>
      </w:r>
      <w:r w:rsidR="002243B7">
        <w:rPr>
          <w:rFonts w:ascii="Times New Roman" w:hAnsi="Times New Roman"/>
          <w:sz w:val="24"/>
          <w:szCs w:val="24"/>
        </w:rPr>
        <w:t>ent should</w:t>
      </w:r>
      <w:r w:rsidRPr="0036579A">
        <w:rPr>
          <w:rFonts w:ascii="Times New Roman" w:hAnsi="Times New Roman"/>
          <w:sz w:val="24"/>
          <w:szCs w:val="24"/>
        </w:rPr>
        <w:t xml:space="preserve"> ensure effective </w:t>
      </w:r>
      <w:r>
        <w:rPr>
          <w:rFonts w:ascii="Times New Roman" w:hAnsi="Times New Roman"/>
          <w:sz w:val="24"/>
          <w:szCs w:val="24"/>
        </w:rPr>
        <w:t xml:space="preserve">budget and performance </w:t>
      </w:r>
      <w:r w:rsidRPr="0036579A">
        <w:rPr>
          <w:rFonts w:ascii="Times New Roman" w:hAnsi="Times New Roman"/>
          <w:sz w:val="24"/>
          <w:szCs w:val="24"/>
        </w:rPr>
        <w:t xml:space="preserve">oversight over the Executive </w:t>
      </w:r>
      <w:r>
        <w:rPr>
          <w:rFonts w:ascii="Times New Roman" w:hAnsi="Times New Roman"/>
          <w:sz w:val="24"/>
          <w:szCs w:val="24"/>
        </w:rPr>
        <w:t>to ensure</w:t>
      </w:r>
      <w:r w:rsidRPr="0036579A">
        <w:rPr>
          <w:rFonts w:ascii="Times New Roman" w:hAnsi="Times New Roman"/>
          <w:sz w:val="24"/>
          <w:szCs w:val="24"/>
        </w:rPr>
        <w:t xml:space="preserve"> timeous interventions</w:t>
      </w:r>
      <w:r>
        <w:rPr>
          <w:rFonts w:ascii="Times New Roman" w:hAnsi="Times New Roman"/>
          <w:sz w:val="24"/>
          <w:szCs w:val="24"/>
        </w:rPr>
        <w:t xml:space="preserve"> where there is evidence of </w:t>
      </w:r>
      <w:r w:rsidR="003F23D9">
        <w:rPr>
          <w:rFonts w:ascii="Times New Roman" w:hAnsi="Times New Roman"/>
          <w:sz w:val="24"/>
          <w:szCs w:val="24"/>
        </w:rPr>
        <w:t xml:space="preserve">underperformance </w:t>
      </w:r>
      <w:r w:rsidR="0072224A">
        <w:rPr>
          <w:rFonts w:ascii="Times New Roman" w:hAnsi="Times New Roman"/>
          <w:sz w:val="24"/>
          <w:szCs w:val="24"/>
        </w:rPr>
        <w:t xml:space="preserve">on </w:t>
      </w:r>
      <w:r w:rsidR="003F23D9">
        <w:rPr>
          <w:rFonts w:ascii="Times New Roman" w:hAnsi="Times New Roman"/>
          <w:sz w:val="24"/>
          <w:szCs w:val="24"/>
        </w:rPr>
        <w:t>non-</w:t>
      </w:r>
      <w:r>
        <w:rPr>
          <w:rFonts w:ascii="Times New Roman" w:hAnsi="Times New Roman"/>
          <w:sz w:val="24"/>
          <w:szCs w:val="24"/>
        </w:rPr>
        <w:t xml:space="preserve">financial and financial </w:t>
      </w:r>
      <w:r w:rsidR="003F23D9">
        <w:rPr>
          <w:rFonts w:ascii="Times New Roman" w:hAnsi="Times New Roman"/>
          <w:sz w:val="24"/>
          <w:szCs w:val="24"/>
        </w:rPr>
        <w:t>information.</w:t>
      </w:r>
      <w:r>
        <w:rPr>
          <w:rFonts w:ascii="Times New Roman" w:hAnsi="Times New Roman"/>
          <w:sz w:val="24"/>
          <w:szCs w:val="24"/>
        </w:rPr>
        <w:t xml:space="preserve"> </w:t>
      </w:r>
      <w:r w:rsidRPr="0036579A">
        <w:rPr>
          <w:rFonts w:ascii="Times New Roman" w:hAnsi="Times New Roman"/>
          <w:sz w:val="24"/>
          <w:szCs w:val="24"/>
        </w:rPr>
        <w:t xml:space="preserve"> </w:t>
      </w:r>
    </w:p>
    <w:p w14:paraId="7AD57899" w14:textId="77777777" w:rsidR="008B46F5" w:rsidRPr="008B46F5" w:rsidRDefault="008B46F5" w:rsidP="008B46F5">
      <w:pPr>
        <w:spacing w:line="360" w:lineRule="auto"/>
        <w:ind w:left="-851"/>
        <w:jc w:val="both"/>
        <w:rPr>
          <w:rFonts w:ascii="Times New Roman" w:hAnsi="Times New Roman"/>
          <w:sz w:val="24"/>
          <w:szCs w:val="24"/>
        </w:rPr>
      </w:pPr>
    </w:p>
    <w:p w14:paraId="2B4A76FD" w14:textId="218465E3" w:rsidR="00EA1582" w:rsidRDefault="00EA1582">
      <w:pPr>
        <w:pStyle w:val="ListParagraph"/>
        <w:tabs>
          <w:tab w:val="num" w:pos="1440"/>
        </w:tabs>
        <w:spacing w:line="360" w:lineRule="auto"/>
        <w:ind w:left="-491"/>
        <w:jc w:val="both"/>
        <w:rPr>
          <w:rFonts w:ascii="Times New Roman" w:hAnsi="Times New Roman"/>
          <w:sz w:val="24"/>
          <w:szCs w:val="24"/>
          <w:lang w:val="en-ZA"/>
        </w:rPr>
      </w:pPr>
    </w:p>
    <w:p w14:paraId="04C8F9AD" w14:textId="422026D6" w:rsidR="00DC17E6" w:rsidRPr="00EA1582" w:rsidRDefault="00DC17E6">
      <w:pPr>
        <w:spacing w:line="360" w:lineRule="auto"/>
        <w:ind w:left="-142" w:hanging="709"/>
        <w:jc w:val="both"/>
        <w:rPr>
          <w:rFonts w:ascii="Times New Roman" w:hAnsi="Times New Roman"/>
          <w:b/>
          <w:color w:val="auto"/>
          <w:sz w:val="24"/>
          <w:szCs w:val="24"/>
          <w:lang w:val="en-ZA"/>
        </w:rPr>
      </w:pPr>
      <w:r w:rsidRPr="00EA1582">
        <w:rPr>
          <w:rFonts w:ascii="Times New Roman" w:hAnsi="Times New Roman"/>
          <w:b/>
          <w:color w:val="auto"/>
          <w:sz w:val="24"/>
          <w:szCs w:val="24"/>
          <w:lang w:val="en-ZA"/>
        </w:rPr>
        <w:t>7.</w:t>
      </w:r>
      <w:r w:rsidRPr="00EA1582">
        <w:rPr>
          <w:rFonts w:ascii="Times New Roman" w:hAnsi="Times New Roman"/>
          <w:b/>
          <w:color w:val="auto"/>
          <w:sz w:val="24"/>
          <w:szCs w:val="24"/>
          <w:lang w:val="en-ZA"/>
        </w:rPr>
        <w:tab/>
        <w:t>Committee’s Recommendation on the Bill</w:t>
      </w:r>
    </w:p>
    <w:p w14:paraId="2D1F0BE2" w14:textId="77777777" w:rsidR="00DC17E6" w:rsidRPr="00DC17E6" w:rsidRDefault="00DC17E6">
      <w:pPr>
        <w:spacing w:line="360" w:lineRule="auto"/>
        <w:ind w:left="-142" w:hanging="709"/>
        <w:jc w:val="both"/>
        <w:rPr>
          <w:rFonts w:ascii="Times New Roman" w:hAnsi="Times New Roman"/>
          <w:color w:val="auto"/>
          <w:sz w:val="24"/>
          <w:szCs w:val="24"/>
          <w:lang w:val="en-ZA"/>
        </w:rPr>
      </w:pPr>
    </w:p>
    <w:p w14:paraId="55BA40F3" w14:textId="2E87CA35" w:rsidR="00EA1582" w:rsidRDefault="00DC17E6">
      <w:pPr>
        <w:spacing w:line="360" w:lineRule="auto"/>
        <w:ind w:left="-851"/>
        <w:jc w:val="both"/>
        <w:rPr>
          <w:rFonts w:ascii="Times New Roman" w:hAnsi="Times New Roman"/>
          <w:color w:val="auto"/>
          <w:sz w:val="24"/>
          <w:szCs w:val="24"/>
          <w:lang w:val="en-ZA"/>
        </w:rPr>
      </w:pPr>
      <w:r w:rsidRPr="00DC17E6">
        <w:rPr>
          <w:rFonts w:ascii="Times New Roman" w:hAnsi="Times New Roman"/>
          <w:color w:val="auto"/>
          <w:sz w:val="24"/>
          <w:szCs w:val="24"/>
          <w:lang w:val="en-ZA"/>
        </w:rPr>
        <w:t>The Standing Committee on Appropriations, having considered the Adjustments Approp</w:t>
      </w:r>
      <w:r>
        <w:rPr>
          <w:rFonts w:ascii="Times New Roman" w:hAnsi="Times New Roman"/>
          <w:color w:val="auto"/>
          <w:sz w:val="24"/>
          <w:szCs w:val="24"/>
          <w:lang w:val="en-ZA"/>
        </w:rPr>
        <w:t>riation Bill [B16 – 2019</w:t>
      </w:r>
      <w:r w:rsidRPr="00DC17E6">
        <w:rPr>
          <w:rFonts w:ascii="Times New Roman" w:hAnsi="Times New Roman"/>
          <w:color w:val="auto"/>
          <w:sz w:val="24"/>
          <w:szCs w:val="24"/>
          <w:lang w:val="en-ZA"/>
        </w:rPr>
        <w:t>] (National Assembly: Section 77) referred to it and classified by the Joint Tagging Mecha</w:t>
      </w:r>
      <w:r>
        <w:rPr>
          <w:rFonts w:ascii="Times New Roman" w:hAnsi="Times New Roman"/>
          <w:color w:val="auto"/>
          <w:sz w:val="24"/>
          <w:szCs w:val="24"/>
          <w:lang w:val="en-ZA"/>
        </w:rPr>
        <w:t>nism; reports that it has agree</w:t>
      </w:r>
      <w:r w:rsidR="00F20E09">
        <w:rPr>
          <w:rFonts w:ascii="Times New Roman" w:hAnsi="Times New Roman"/>
          <w:color w:val="auto"/>
          <w:sz w:val="24"/>
          <w:szCs w:val="24"/>
          <w:lang w:val="en-ZA"/>
        </w:rPr>
        <w:t xml:space="preserve">d to </w:t>
      </w:r>
      <w:r w:rsidR="008B46F5">
        <w:rPr>
          <w:rFonts w:ascii="Times New Roman" w:hAnsi="Times New Roman"/>
          <w:color w:val="auto"/>
          <w:sz w:val="24"/>
          <w:szCs w:val="24"/>
          <w:lang w:val="en-ZA"/>
        </w:rPr>
        <w:t xml:space="preserve">the </w:t>
      </w:r>
      <w:r w:rsidRPr="00DC17E6">
        <w:rPr>
          <w:rFonts w:ascii="Times New Roman" w:hAnsi="Times New Roman"/>
          <w:color w:val="auto"/>
          <w:sz w:val="24"/>
          <w:szCs w:val="24"/>
          <w:lang w:val="en-ZA"/>
        </w:rPr>
        <w:t xml:space="preserve">Bill, without amendments. </w:t>
      </w:r>
    </w:p>
    <w:p w14:paraId="1DEC4684" w14:textId="77777777" w:rsidR="00EA1582" w:rsidRDefault="00EA1582" w:rsidP="00EA1582">
      <w:pPr>
        <w:spacing w:line="360" w:lineRule="auto"/>
        <w:ind w:left="-851"/>
        <w:jc w:val="both"/>
        <w:rPr>
          <w:rFonts w:ascii="Times New Roman" w:hAnsi="Times New Roman"/>
          <w:color w:val="auto"/>
          <w:sz w:val="24"/>
          <w:szCs w:val="24"/>
          <w:lang w:val="en-ZA"/>
        </w:rPr>
      </w:pPr>
    </w:p>
    <w:p w14:paraId="73EE6A3B" w14:textId="0C52F36D" w:rsidR="00EA1582" w:rsidRPr="00EA1582" w:rsidRDefault="00EA1582" w:rsidP="00EA1582">
      <w:pPr>
        <w:spacing w:line="360" w:lineRule="auto"/>
        <w:ind w:left="-851"/>
        <w:jc w:val="both"/>
        <w:rPr>
          <w:rFonts w:ascii="Times New Roman" w:hAnsi="Times New Roman"/>
          <w:b/>
          <w:color w:val="auto"/>
          <w:sz w:val="24"/>
          <w:szCs w:val="24"/>
          <w:lang w:val="en-ZA"/>
        </w:rPr>
      </w:pPr>
      <w:r w:rsidRPr="00EA1582">
        <w:rPr>
          <w:rFonts w:ascii="Times New Roman" w:hAnsi="Times New Roman"/>
          <w:b/>
          <w:color w:val="auto"/>
          <w:sz w:val="24"/>
          <w:szCs w:val="24"/>
          <w:lang w:val="en-ZA"/>
        </w:rPr>
        <w:t>8.</w:t>
      </w:r>
      <w:r w:rsidRPr="00EA1582">
        <w:rPr>
          <w:rFonts w:ascii="Times New Roman" w:hAnsi="Times New Roman"/>
          <w:b/>
          <w:color w:val="auto"/>
          <w:sz w:val="24"/>
          <w:szCs w:val="24"/>
          <w:lang w:val="en-ZA"/>
        </w:rPr>
        <w:tab/>
      </w:r>
      <w:r w:rsidRPr="00EA1582">
        <w:rPr>
          <w:rFonts w:ascii="Times New Roman" w:hAnsi="Times New Roman"/>
          <w:b/>
          <w:color w:val="auto"/>
          <w:spacing w:val="0"/>
          <w:sz w:val="24"/>
          <w:szCs w:val="24"/>
          <w:lang w:eastAsia="en-US"/>
        </w:rPr>
        <w:t>Conclusion</w:t>
      </w:r>
    </w:p>
    <w:p w14:paraId="1C6E5D16" w14:textId="77777777" w:rsidR="00EA1582" w:rsidRPr="00EA1582" w:rsidRDefault="00EA1582" w:rsidP="00EA1582">
      <w:pPr>
        <w:autoSpaceDE w:val="0"/>
        <w:autoSpaceDN w:val="0"/>
        <w:adjustRightInd w:val="0"/>
        <w:spacing w:line="360" w:lineRule="auto"/>
        <w:ind w:hanging="142"/>
        <w:jc w:val="both"/>
        <w:rPr>
          <w:rFonts w:ascii="Times New Roman" w:hAnsi="Times New Roman"/>
          <w:color w:val="auto"/>
          <w:sz w:val="24"/>
          <w:szCs w:val="24"/>
        </w:rPr>
      </w:pPr>
    </w:p>
    <w:p w14:paraId="50F5CE03" w14:textId="2774EDEE" w:rsidR="00EA1582" w:rsidRPr="00EA1582" w:rsidRDefault="00EA1582" w:rsidP="00EA1582">
      <w:pPr>
        <w:autoSpaceDE w:val="0"/>
        <w:autoSpaceDN w:val="0"/>
        <w:adjustRightInd w:val="0"/>
        <w:spacing w:line="360" w:lineRule="auto"/>
        <w:ind w:left="-851"/>
        <w:jc w:val="both"/>
        <w:rPr>
          <w:rFonts w:ascii="Times New Roman" w:hAnsi="Times New Roman"/>
          <w:color w:val="auto"/>
          <w:sz w:val="24"/>
          <w:szCs w:val="24"/>
        </w:rPr>
      </w:pPr>
      <w:r w:rsidRPr="00EA1582">
        <w:rPr>
          <w:rFonts w:ascii="Times New Roman" w:hAnsi="Times New Roman"/>
          <w:color w:val="auto"/>
          <w:sz w:val="24"/>
          <w:szCs w:val="24"/>
        </w:rPr>
        <w:t>The responses and implementation plans to the recomme</w:t>
      </w:r>
      <w:r w:rsidR="000443EA">
        <w:rPr>
          <w:rFonts w:ascii="Times New Roman" w:hAnsi="Times New Roman"/>
          <w:color w:val="auto"/>
          <w:sz w:val="24"/>
          <w:szCs w:val="24"/>
        </w:rPr>
        <w:t xml:space="preserve">ndations as set out in section 6 </w:t>
      </w:r>
      <w:r w:rsidRPr="00EA1582">
        <w:rPr>
          <w:rFonts w:ascii="Times New Roman" w:hAnsi="Times New Roman"/>
          <w:color w:val="auto"/>
          <w:sz w:val="24"/>
          <w:szCs w:val="24"/>
        </w:rPr>
        <w:t>above by the relevant Executive Authorities must be sent to Parliament within 60 days of the adoption of this report by the National Assembly.</w:t>
      </w:r>
    </w:p>
    <w:p w14:paraId="00ED2BB3" w14:textId="77777777" w:rsidR="00EA1582" w:rsidRPr="00EA1582" w:rsidRDefault="00EA1582" w:rsidP="00EA1582">
      <w:pPr>
        <w:spacing w:line="360" w:lineRule="auto"/>
        <w:jc w:val="both"/>
        <w:rPr>
          <w:rFonts w:ascii="Times New Roman" w:eastAsiaTheme="minorHAnsi" w:hAnsi="Times New Roman"/>
          <w:color w:val="auto"/>
          <w:spacing w:val="0"/>
          <w:sz w:val="24"/>
          <w:szCs w:val="24"/>
          <w:lang w:val="en-ZA" w:eastAsia="en-US"/>
        </w:rPr>
      </w:pPr>
    </w:p>
    <w:p w14:paraId="25B22701" w14:textId="77777777" w:rsidR="00EA1582" w:rsidRPr="00EA1582" w:rsidRDefault="00EA1582" w:rsidP="00EA1582">
      <w:pPr>
        <w:spacing w:line="360" w:lineRule="auto"/>
        <w:rPr>
          <w:rFonts w:ascii="Times New Roman" w:hAnsi="Times New Roman"/>
          <w:sz w:val="24"/>
          <w:szCs w:val="24"/>
        </w:rPr>
      </w:pPr>
    </w:p>
    <w:p w14:paraId="3E8F14F3" w14:textId="77777777" w:rsidR="00EA1582" w:rsidRPr="00EA1582" w:rsidRDefault="00EA1582" w:rsidP="00957461">
      <w:pPr>
        <w:spacing w:line="360" w:lineRule="auto"/>
        <w:ind w:hanging="851"/>
        <w:jc w:val="both"/>
        <w:rPr>
          <w:rFonts w:ascii="Times New Roman" w:hAnsi="Times New Roman"/>
          <w:sz w:val="24"/>
          <w:szCs w:val="24"/>
        </w:rPr>
      </w:pPr>
      <w:r w:rsidRPr="00EA1582">
        <w:rPr>
          <w:rFonts w:ascii="Times New Roman" w:hAnsi="Times New Roman"/>
          <w:sz w:val="24"/>
          <w:szCs w:val="24"/>
        </w:rPr>
        <w:t>Report to be considered.</w:t>
      </w:r>
    </w:p>
    <w:p w14:paraId="6D4A2FA4" w14:textId="5E47D2A2" w:rsidR="00EA1582" w:rsidRDefault="00EA1582" w:rsidP="00EA1582">
      <w:pPr>
        <w:spacing w:line="360" w:lineRule="auto"/>
        <w:ind w:left="-851"/>
        <w:jc w:val="both"/>
        <w:rPr>
          <w:rFonts w:ascii="Times New Roman" w:hAnsi="Times New Roman"/>
          <w:color w:val="auto"/>
          <w:sz w:val="24"/>
          <w:szCs w:val="24"/>
          <w:lang w:val="en-ZA"/>
        </w:rPr>
      </w:pPr>
    </w:p>
    <w:p w14:paraId="0468867E" w14:textId="6A99E6F9" w:rsidR="00F74462" w:rsidRDefault="00F74462" w:rsidP="00EA1582">
      <w:pPr>
        <w:spacing w:line="360" w:lineRule="auto"/>
        <w:ind w:left="-851"/>
        <w:jc w:val="both"/>
        <w:rPr>
          <w:rFonts w:ascii="Times New Roman" w:hAnsi="Times New Roman"/>
          <w:color w:val="auto"/>
          <w:sz w:val="24"/>
          <w:szCs w:val="24"/>
          <w:lang w:val="en-ZA"/>
        </w:rPr>
      </w:pPr>
    </w:p>
    <w:bookmarkEnd w:id="0"/>
    <w:p w14:paraId="4D6A8A60" w14:textId="77777777" w:rsidR="00F74462" w:rsidRPr="00F74462" w:rsidRDefault="00F74462" w:rsidP="00F74462">
      <w:pPr>
        <w:spacing w:line="360" w:lineRule="auto"/>
        <w:ind w:left="-851"/>
        <w:jc w:val="both"/>
        <w:rPr>
          <w:rFonts w:ascii="Times New Roman" w:hAnsi="Times New Roman"/>
          <w:b/>
          <w:color w:val="auto"/>
          <w:sz w:val="24"/>
          <w:szCs w:val="24"/>
          <w:lang w:val="en-US"/>
        </w:rPr>
      </w:pPr>
    </w:p>
    <w:sectPr w:rsidR="00F74462" w:rsidRPr="00F74462" w:rsidSect="00EA1582">
      <w:footerReference w:type="default" r:id="rId9"/>
      <w:footerReference w:type="first" r:id="rId10"/>
      <w:endnotePr>
        <w:numFmt w:val="decimal"/>
      </w:endnotePr>
      <w:pgSz w:w="11906" w:h="16838" w:code="9"/>
      <w:pgMar w:top="1134" w:right="1826" w:bottom="964" w:left="1843"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66777" w14:textId="77777777" w:rsidR="00F063EE" w:rsidRDefault="00F063EE">
      <w:pPr>
        <w:spacing w:line="240" w:lineRule="auto"/>
      </w:pPr>
      <w:r>
        <w:separator/>
      </w:r>
    </w:p>
  </w:endnote>
  <w:endnote w:type="continuationSeparator" w:id="0">
    <w:p w14:paraId="2F140BFF" w14:textId="77777777" w:rsidR="00F063EE" w:rsidRDefault="00F06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414B" w14:textId="78BB235E" w:rsidR="00F063EE" w:rsidRDefault="00F063EE">
    <w:pPr>
      <w:pStyle w:val="Footer"/>
      <w:jc w:val="right"/>
    </w:pPr>
    <w:r>
      <w:fldChar w:fldCharType="begin"/>
    </w:r>
    <w:r>
      <w:instrText xml:space="preserve"> PAGE   \* MERGEFORMAT </w:instrText>
    </w:r>
    <w:r>
      <w:fldChar w:fldCharType="separate"/>
    </w:r>
    <w:r w:rsidR="000E5E25">
      <w:rPr>
        <w:noProof/>
      </w:rPr>
      <w:t>20</w:t>
    </w:r>
    <w:r>
      <w:fldChar w:fldCharType="end"/>
    </w:r>
  </w:p>
  <w:p w14:paraId="4020C40C" w14:textId="77777777" w:rsidR="00F063EE" w:rsidRPr="00A311FD" w:rsidRDefault="00F063EE">
    <w:pPr>
      <w:pStyle w:val="Footer"/>
      <w:spacing w:line="240" w:lineRule="auto"/>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4ADB" w14:textId="325C1CC2" w:rsidR="00F063EE" w:rsidRDefault="00F063EE">
    <w:pPr>
      <w:pStyle w:val="Footer"/>
      <w:jc w:val="right"/>
    </w:pPr>
    <w:r>
      <w:fldChar w:fldCharType="begin"/>
    </w:r>
    <w:r>
      <w:instrText xml:space="preserve"> PAGE   \* MERGEFORMAT </w:instrText>
    </w:r>
    <w:r>
      <w:fldChar w:fldCharType="separate"/>
    </w:r>
    <w:r w:rsidR="000E5E25">
      <w:rPr>
        <w:noProof/>
      </w:rPr>
      <w:t>1</w:t>
    </w:r>
    <w:r>
      <w:fldChar w:fldCharType="end"/>
    </w:r>
  </w:p>
  <w:p w14:paraId="5822AB38" w14:textId="77777777" w:rsidR="00F063EE" w:rsidRPr="005B5650" w:rsidRDefault="00F063EE">
    <w:pPr>
      <w:pStyle w:val="Footer"/>
      <w:spacing w:line="240" w:lineRule="auto"/>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E7761" w14:textId="77777777" w:rsidR="00F063EE" w:rsidRDefault="00F063EE">
      <w:pPr>
        <w:spacing w:line="240" w:lineRule="auto"/>
      </w:pPr>
      <w:r>
        <w:separator/>
      </w:r>
    </w:p>
  </w:footnote>
  <w:footnote w:type="continuationSeparator" w:id="0">
    <w:p w14:paraId="5658D372" w14:textId="77777777" w:rsidR="00F063EE" w:rsidRDefault="00F063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2C9"/>
    <w:multiLevelType w:val="multilevel"/>
    <w:tmpl w:val="8020C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C4E749B"/>
    <w:multiLevelType w:val="hybridMultilevel"/>
    <w:tmpl w:val="82580A54"/>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31276DF3"/>
    <w:multiLevelType w:val="multilevel"/>
    <w:tmpl w:val="684A7DCA"/>
    <w:lvl w:ilvl="0">
      <w:start w:val="1"/>
      <w:numFmt w:val="decimal"/>
      <w:lvlText w:val="%1."/>
      <w:lvlJc w:val="left"/>
      <w:pPr>
        <w:ind w:left="-180" w:hanging="360"/>
      </w:pPr>
      <w:rPr>
        <w:rFonts w:hint="default"/>
        <w:b/>
        <w:i w:val="0"/>
      </w:rPr>
    </w:lvl>
    <w:lvl w:ilvl="1">
      <w:start w:val="1"/>
      <w:numFmt w:val="decimal"/>
      <w:isLgl/>
      <w:lvlText w:val="%1.%2."/>
      <w:lvlJc w:val="left"/>
      <w:pPr>
        <w:ind w:left="180" w:hanging="720"/>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540" w:hanging="108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900" w:hanging="144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1260" w:hanging="1800"/>
      </w:pPr>
      <w:rPr>
        <w:rFonts w:hint="default"/>
      </w:rPr>
    </w:lvl>
    <w:lvl w:ilvl="8">
      <w:start w:val="1"/>
      <w:numFmt w:val="decimal"/>
      <w:isLgl/>
      <w:lvlText w:val="%1.%2.%3.%4.%5.%6.%7.%8.%9."/>
      <w:lvlJc w:val="left"/>
      <w:pPr>
        <w:ind w:left="1260" w:hanging="1800"/>
      </w:pPr>
      <w:rPr>
        <w:rFonts w:hint="default"/>
      </w:rPr>
    </w:lvl>
  </w:abstractNum>
  <w:abstractNum w:abstractNumId="3">
    <w:nsid w:val="4C0760CD"/>
    <w:multiLevelType w:val="hybridMultilevel"/>
    <w:tmpl w:val="A252BA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C5802F5"/>
    <w:multiLevelType w:val="hybridMultilevel"/>
    <w:tmpl w:val="4344F362"/>
    <w:lvl w:ilvl="0" w:tplc="1C090001">
      <w:start w:val="1"/>
      <w:numFmt w:val="bullet"/>
      <w:lvlText w:val=""/>
      <w:lvlJc w:val="left"/>
      <w:pPr>
        <w:ind w:left="-90" w:hanging="360"/>
      </w:pPr>
      <w:rPr>
        <w:rFonts w:ascii="Symbol" w:hAnsi="Symbol" w:hint="default"/>
      </w:rPr>
    </w:lvl>
    <w:lvl w:ilvl="1" w:tplc="1C090003" w:tentative="1">
      <w:start w:val="1"/>
      <w:numFmt w:val="bullet"/>
      <w:lvlText w:val="o"/>
      <w:lvlJc w:val="left"/>
      <w:pPr>
        <w:ind w:left="630" w:hanging="360"/>
      </w:pPr>
      <w:rPr>
        <w:rFonts w:ascii="Courier New" w:hAnsi="Courier New" w:cs="Courier New" w:hint="default"/>
      </w:rPr>
    </w:lvl>
    <w:lvl w:ilvl="2" w:tplc="1C090005" w:tentative="1">
      <w:start w:val="1"/>
      <w:numFmt w:val="bullet"/>
      <w:lvlText w:val=""/>
      <w:lvlJc w:val="left"/>
      <w:pPr>
        <w:ind w:left="1350" w:hanging="360"/>
      </w:pPr>
      <w:rPr>
        <w:rFonts w:ascii="Wingdings" w:hAnsi="Wingdings" w:hint="default"/>
      </w:rPr>
    </w:lvl>
    <w:lvl w:ilvl="3" w:tplc="1C090001" w:tentative="1">
      <w:start w:val="1"/>
      <w:numFmt w:val="bullet"/>
      <w:lvlText w:val=""/>
      <w:lvlJc w:val="left"/>
      <w:pPr>
        <w:ind w:left="2070" w:hanging="360"/>
      </w:pPr>
      <w:rPr>
        <w:rFonts w:ascii="Symbol" w:hAnsi="Symbol" w:hint="default"/>
      </w:rPr>
    </w:lvl>
    <w:lvl w:ilvl="4" w:tplc="1C090003" w:tentative="1">
      <w:start w:val="1"/>
      <w:numFmt w:val="bullet"/>
      <w:lvlText w:val="o"/>
      <w:lvlJc w:val="left"/>
      <w:pPr>
        <w:ind w:left="2790" w:hanging="360"/>
      </w:pPr>
      <w:rPr>
        <w:rFonts w:ascii="Courier New" w:hAnsi="Courier New" w:cs="Courier New" w:hint="default"/>
      </w:rPr>
    </w:lvl>
    <w:lvl w:ilvl="5" w:tplc="1C090005" w:tentative="1">
      <w:start w:val="1"/>
      <w:numFmt w:val="bullet"/>
      <w:lvlText w:val=""/>
      <w:lvlJc w:val="left"/>
      <w:pPr>
        <w:ind w:left="3510" w:hanging="360"/>
      </w:pPr>
      <w:rPr>
        <w:rFonts w:ascii="Wingdings" w:hAnsi="Wingdings" w:hint="default"/>
      </w:rPr>
    </w:lvl>
    <w:lvl w:ilvl="6" w:tplc="1C090001" w:tentative="1">
      <w:start w:val="1"/>
      <w:numFmt w:val="bullet"/>
      <w:lvlText w:val=""/>
      <w:lvlJc w:val="left"/>
      <w:pPr>
        <w:ind w:left="4230" w:hanging="360"/>
      </w:pPr>
      <w:rPr>
        <w:rFonts w:ascii="Symbol" w:hAnsi="Symbol" w:hint="default"/>
      </w:rPr>
    </w:lvl>
    <w:lvl w:ilvl="7" w:tplc="1C090003" w:tentative="1">
      <w:start w:val="1"/>
      <w:numFmt w:val="bullet"/>
      <w:lvlText w:val="o"/>
      <w:lvlJc w:val="left"/>
      <w:pPr>
        <w:ind w:left="4950" w:hanging="360"/>
      </w:pPr>
      <w:rPr>
        <w:rFonts w:ascii="Courier New" w:hAnsi="Courier New" w:cs="Courier New" w:hint="default"/>
      </w:rPr>
    </w:lvl>
    <w:lvl w:ilvl="8" w:tplc="1C090005" w:tentative="1">
      <w:start w:val="1"/>
      <w:numFmt w:val="bullet"/>
      <w:lvlText w:val=""/>
      <w:lvlJc w:val="left"/>
      <w:pPr>
        <w:ind w:left="5670" w:hanging="360"/>
      </w:pPr>
      <w:rPr>
        <w:rFonts w:ascii="Wingdings" w:hAnsi="Wingdings" w:hint="default"/>
      </w:rPr>
    </w:lvl>
  </w:abstractNum>
  <w:abstractNum w:abstractNumId="5">
    <w:nsid w:val="528322EA"/>
    <w:multiLevelType w:val="multilevel"/>
    <w:tmpl w:val="4E428C86"/>
    <w:lvl w:ilvl="0">
      <w:start w:val="5"/>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6">
    <w:nsid w:val="598F05C8"/>
    <w:multiLevelType w:val="hybridMultilevel"/>
    <w:tmpl w:val="E4C61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787C4B"/>
    <w:multiLevelType w:val="multilevel"/>
    <w:tmpl w:val="24ECFB28"/>
    <w:lvl w:ilvl="0">
      <w:start w:val="5"/>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8">
    <w:nsid w:val="60446C1C"/>
    <w:multiLevelType w:val="hybridMultilevel"/>
    <w:tmpl w:val="6E206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1B225FA"/>
    <w:multiLevelType w:val="hybridMultilevel"/>
    <w:tmpl w:val="365A9D98"/>
    <w:lvl w:ilvl="0" w:tplc="1C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7C726CFD"/>
    <w:multiLevelType w:val="hybridMultilevel"/>
    <w:tmpl w:val="FB964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10"/>
  </w:num>
  <w:num w:numId="6">
    <w:abstractNumId w:val="6"/>
  </w:num>
  <w:num w:numId="7">
    <w:abstractNumId w:val="3"/>
  </w:num>
  <w:num w:numId="8">
    <w:abstractNumId w:val="0"/>
  </w:num>
  <w:num w:numId="9">
    <w:abstractNumId w:val="7"/>
  </w:num>
  <w:num w:numId="10">
    <w:abstractNumId w:val="5"/>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51"/>
    <w:rsid w:val="00000DE1"/>
    <w:rsid w:val="00002AFF"/>
    <w:rsid w:val="00004CA2"/>
    <w:rsid w:val="0000784D"/>
    <w:rsid w:val="0000788C"/>
    <w:rsid w:val="000118CA"/>
    <w:rsid w:val="00012547"/>
    <w:rsid w:val="000234F9"/>
    <w:rsid w:val="000244D2"/>
    <w:rsid w:val="00025243"/>
    <w:rsid w:val="00025D28"/>
    <w:rsid w:val="000314D4"/>
    <w:rsid w:val="00031E95"/>
    <w:rsid w:val="000342A0"/>
    <w:rsid w:val="00036107"/>
    <w:rsid w:val="000364E1"/>
    <w:rsid w:val="0004389C"/>
    <w:rsid w:val="000443EA"/>
    <w:rsid w:val="0004521C"/>
    <w:rsid w:val="00047E9E"/>
    <w:rsid w:val="00050B2E"/>
    <w:rsid w:val="0005346F"/>
    <w:rsid w:val="00054193"/>
    <w:rsid w:val="00054919"/>
    <w:rsid w:val="000551FA"/>
    <w:rsid w:val="00057264"/>
    <w:rsid w:val="000573CD"/>
    <w:rsid w:val="00060BE4"/>
    <w:rsid w:val="00061136"/>
    <w:rsid w:val="00062017"/>
    <w:rsid w:val="000738D2"/>
    <w:rsid w:val="000756BF"/>
    <w:rsid w:val="000805DB"/>
    <w:rsid w:val="00081357"/>
    <w:rsid w:val="00082879"/>
    <w:rsid w:val="000851CF"/>
    <w:rsid w:val="00087806"/>
    <w:rsid w:val="00091F6A"/>
    <w:rsid w:val="000940D7"/>
    <w:rsid w:val="000A42DF"/>
    <w:rsid w:val="000A5000"/>
    <w:rsid w:val="000B1122"/>
    <w:rsid w:val="000B4F93"/>
    <w:rsid w:val="000C06AC"/>
    <w:rsid w:val="000C1CCA"/>
    <w:rsid w:val="000C5D1D"/>
    <w:rsid w:val="000D0155"/>
    <w:rsid w:val="000D21AE"/>
    <w:rsid w:val="000D2206"/>
    <w:rsid w:val="000D3F5F"/>
    <w:rsid w:val="000D710B"/>
    <w:rsid w:val="000D7841"/>
    <w:rsid w:val="000E32CC"/>
    <w:rsid w:val="000E3E80"/>
    <w:rsid w:val="000E5E25"/>
    <w:rsid w:val="000F1B9D"/>
    <w:rsid w:val="000F5B5C"/>
    <w:rsid w:val="000F6E29"/>
    <w:rsid w:val="000F7660"/>
    <w:rsid w:val="00102300"/>
    <w:rsid w:val="00112192"/>
    <w:rsid w:val="001132B5"/>
    <w:rsid w:val="0011428D"/>
    <w:rsid w:val="001153E6"/>
    <w:rsid w:val="0011618D"/>
    <w:rsid w:val="0012018D"/>
    <w:rsid w:val="00120B6B"/>
    <w:rsid w:val="00123DB2"/>
    <w:rsid w:val="0012452A"/>
    <w:rsid w:val="00124E07"/>
    <w:rsid w:val="0012570A"/>
    <w:rsid w:val="00125A9E"/>
    <w:rsid w:val="0012782F"/>
    <w:rsid w:val="001310E4"/>
    <w:rsid w:val="00131874"/>
    <w:rsid w:val="0013314F"/>
    <w:rsid w:val="001354B3"/>
    <w:rsid w:val="001378E2"/>
    <w:rsid w:val="001439DA"/>
    <w:rsid w:val="00145603"/>
    <w:rsid w:val="001457B5"/>
    <w:rsid w:val="0014706D"/>
    <w:rsid w:val="00147AB5"/>
    <w:rsid w:val="00153B82"/>
    <w:rsid w:val="00153C21"/>
    <w:rsid w:val="001549E8"/>
    <w:rsid w:val="0015543F"/>
    <w:rsid w:val="001563DD"/>
    <w:rsid w:val="00156B05"/>
    <w:rsid w:val="00162869"/>
    <w:rsid w:val="00162927"/>
    <w:rsid w:val="00164843"/>
    <w:rsid w:val="00165B53"/>
    <w:rsid w:val="00167621"/>
    <w:rsid w:val="0016766E"/>
    <w:rsid w:val="001677BA"/>
    <w:rsid w:val="00170107"/>
    <w:rsid w:val="001704AA"/>
    <w:rsid w:val="00171A4F"/>
    <w:rsid w:val="0017360B"/>
    <w:rsid w:val="00174087"/>
    <w:rsid w:val="0017491D"/>
    <w:rsid w:val="00176124"/>
    <w:rsid w:val="001869B0"/>
    <w:rsid w:val="00186FEC"/>
    <w:rsid w:val="001905AF"/>
    <w:rsid w:val="00194560"/>
    <w:rsid w:val="001A4373"/>
    <w:rsid w:val="001A4D5C"/>
    <w:rsid w:val="001A5CFD"/>
    <w:rsid w:val="001A7588"/>
    <w:rsid w:val="001B0159"/>
    <w:rsid w:val="001B1314"/>
    <w:rsid w:val="001B29C1"/>
    <w:rsid w:val="001B2F11"/>
    <w:rsid w:val="001B7BE9"/>
    <w:rsid w:val="001C01BB"/>
    <w:rsid w:val="001C3BBB"/>
    <w:rsid w:val="001C4C59"/>
    <w:rsid w:val="001C713D"/>
    <w:rsid w:val="001D48EC"/>
    <w:rsid w:val="001D7AA7"/>
    <w:rsid w:val="001E2F3E"/>
    <w:rsid w:val="001E3A90"/>
    <w:rsid w:val="001E6ABE"/>
    <w:rsid w:val="001F03EE"/>
    <w:rsid w:val="001F08A9"/>
    <w:rsid w:val="001F0975"/>
    <w:rsid w:val="001F22A1"/>
    <w:rsid w:val="001F7C39"/>
    <w:rsid w:val="00200240"/>
    <w:rsid w:val="00201619"/>
    <w:rsid w:val="00201E66"/>
    <w:rsid w:val="00201FBB"/>
    <w:rsid w:val="00202DEC"/>
    <w:rsid w:val="0020564B"/>
    <w:rsid w:val="002066A3"/>
    <w:rsid w:val="002079E9"/>
    <w:rsid w:val="00220DF4"/>
    <w:rsid w:val="00222BB0"/>
    <w:rsid w:val="00222F0F"/>
    <w:rsid w:val="00222F6B"/>
    <w:rsid w:val="00223C48"/>
    <w:rsid w:val="002243B7"/>
    <w:rsid w:val="00226762"/>
    <w:rsid w:val="002275DF"/>
    <w:rsid w:val="002312AD"/>
    <w:rsid w:val="0023597A"/>
    <w:rsid w:val="00235DA1"/>
    <w:rsid w:val="00236352"/>
    <w:rsid w:val="00236F9A"/>
    <w:rsid w:val="002400BA"/>
    <w:rsid w:val="002406E0"/>
    <w:rsid w:val="00241340"/>
    <w:rsid w:val="00252103"/>
    <w:rsid w:val="0026657D"/>
    <w:rsid w:val="0026720A"/>
    <w:rsid w:val="002752AC"/>
    <w:rsid w:val="00282A34"/>
    <w:rsid w:val="00282E18"/>
    <w:rsid w:val="00284573"/>
    <w:rsid w:val="002921E9"/>
    <w:rsid w:val="0029367D"/>
    <w:rsid w:val="00294A7A"/>
    <w:rsid w:val="00296EB4"/>
    <w:rsid w:val="00297A47"/>
    <w:rsid w:val="002A108B"/>
    <w:rsid w:val="002A2C5B"/>
    <w:rsid w:val="002B03CE"/>
    <w:rsid w:val="002B3AD7"/>
    <w:rsid w:val="002B3CA1"/>
    <w:rsid w:val="002B46A3"/>
    <w:rsid w:val="002B505D"/>
    <w:rsid w:val="002B5344"/>
    <w:rsid w:val="002B7DCB"/>
    <w:rsid w:val="002C2BD8"/>
    <w:rsid w:val="002C51A4"/>
    <w:rsid w:val="002C7160"/>
    <w:rsid w:val="002C7D4F"/>
    <w:rsid w:val="002D2746"/>
    <w:rsid w:val="002D34F8"/>
    <w:rsid w:val="002D4CDC"/>
    <w:rsid w:val="002D72BF"/>
    <w:rsid w:val="002D73F6"/>
    <w:rsid w:val="002D75C3"/>
    <w:rsid w:val="002E055B"/>
    <w:rsid w:val="002E12E5"/>
    <w:rsid w:val="002E4E1A"/>
    <w:rsid w:val="002E6A30"/>
    <w:rsid w:val="002F16A3"/>
    <w:rsid w:val="002F36DC"/>
    <w:rsid w:val="002F3E39"/>
    <w:rsid w:val="002F44A3"/>
    <w:rsid w:val="003001F8"/>
    <w:rsid w:val="00302BA0"/>
    <w:rsid w:val="003071DB"/>
    <w:rsid w:val="00307950"/>
    <w:rsid w:val="00312263"/>
    <w:rsid w:val="00316621"/>
    <w:rsid w:val="003178AC"/>
    <w:rsid w:val="003204F3"/>
    <w:rsid w:val="003218FF"/>
    <w:rsid w:val="00321C71"/>
    <w:rsid w:val="00322FA9"/>
    <w:rsid w:val="00323B56"/>
    <w:rsid w:val="003241CD"/>
    <w:rsid w:val="003249BB"/>
    <w:rsid w:val="00325168"/>
    <w:rsid w:val="0032595B"/>
    <w:rsid w:val="003266D7"/>
    <w:rsid w:val="003267DE"/>
    <w:rsid w:val="00326F3D"/>
    <w:rsid w:val="00327EFC"/>
    <w:rsid w:val="00331E7A"/>
    <w:rsid w:val="003346C5"/>
    <w:rsid w:val="00337E22"/>
    <w:rsid w:val="00340599"/>
    <w:rsid w:val="003429A5"/>
    <w:rsid w:val="003441E6"/>
    <w:rsid w:val="00346430"/>
    <w:rsid w:val="003528A5"/>
    <w:rsid w:val="003538AC"/>
    <w:rsid w:val="003540DB"/>
    <w:rsid w:val="00354C00"/>
    <w:rsid w:val="00361BB0"/>
    <w:rsid w:val="00361DEC"/>
    <w:rsid w:val="0036579A"/>
    <w:rsid w:val="00365918"/>
    <w:rsid w:val="003679AE"/>
    <w:rsid w:val="0037087D"/>
    <w:rsid w:val="00372B81"/>
    <w:rsid w:val="00377080"/>
    <w:rsid w:val="00381071"/>
    <w:rsid w:val="003812C6"/>
    <w:rsid w:val="00387A2C"/>
    <w:rsid w:val="003906FB"/>
    <w:rsid w:val="00393AA5"/>
    <w:rsid w:val="003947FD"/>
    <w:rsid w:val="003A1E5F"/>
    <w:rsid w:val="003A47F7"/>
    <w:rsid w:val="003A5ACC"/>
    <w:rsid w:val="003A5F81"/>
    <w:rsid w:val="003A6265"/>
    <w:rsid w:val="003A7C2B"/>
    <w:rsid w:val="003B0D97"/>
    <w:rsid w:val="003B0FDC"/>
    <w:rsid w:val="003B18ED"/>
    <w:rsid w:val="003B201C"/>
    <w:rsid w:val="003B38A9"/>
    <w:rsid w:val="003B4C32"/>
    <w:rsid w:val="003B50CD"/>
    <w:rsid w:val="003B59D6"/>
    <w:rsid w:val="003B5E66"/>
    <w:rsid w:val="003B6FBF"/>
    <w:rsid w:val="003C1498"/>
    <w:rsid w:val="003C3DB4"/>
    <w:rsid w:val="003C6403"/>
    <w:rsid w:val="003C7769"/>
    <w:rsid w:val="003D06E9"/>
    <w:rsid w:val="003D3271"/>
    <w:rsid w:val="003D3FCE"/>
    <w:rsid w:val="003D431C"/>
    <w:rsid w:val="003D4F0E"/>
    <w:rsid w:val="003D5646"/>
    <w:rsid w:val="003E091B"/>
    <w:rsid w:val="003E18CB"/>
    <w:rsid w:val="003E3F1E"/>
    <w:rsid w:val="003E6DA4"/>
    <w:rsid w:val="003E74DA"/>
    <w:rsid w:val="003F23D9"/>
    <w:rsid w:val="003F51A0"/>
    <w:rsid w:val="003F561D"/>
    <w:rsid w:val="003F64AE"/>
    <w:rsid w:val="00402E8F"/>
    <w:rsid w:val="004075ED"/>
    <w:rsid w:val="00411877"/>
    <w:rsid w:val="00411FC7"/>
    <w:rsid w:val="0041406C"/>
    <w:rsid w:val="0041499D"/>
    <w:rsid w:val="00414D94"/>
    <w:rsid w:val="00415C1D"/>
    <w:rsid w:val="0041652F"/>
    <w:rsid w:val="00417D98"/>
    <w:rsid w:val="0042206B"/>
    <w:rsid w:val="004220A8"/>
    <w:rsid w:val="004243CC"/>
    <w:rsid w:val="00427C45"/>
    <w:rsid w:val="004331D6"/>
    <w:rsid w:val="0043654B"/>
    <w:rsid w:val="00436707"/>
    <w:rsid w:val="00437FF0"/>
    <w:rsid w:val="0044038E"/>
    <w:rsid w:val="0044094F"/>
    <w:rsid w:val="00442CB8"/>
    <w:rsid w:val="004436D1"/>
    <w:rsid w:val="0044420A"/>
    <w:rsid w:val="00444A0B"/>
    <w:rsid w:val="00445D15"/>
    <w:rsid w:val="004477FB"/>
    <w:rsid w:val="00451896"/>
    <w:rsid w:val="004522AE"/>
    <w:rsid w:val="004556F1"/>
    <w:rsid w:val="00455D3B"/>
    <w:rsid w:val="004577BB"/>
    <w:rsid w:val="00460B7C"/>
    <w:rsid w:val="00461B8C"/>
    <w:rsid w:val="004636E0"/>
    <w:rsid w:val="00465576"/>
    <w:rsid w:val="004667E7"/>
    <w:rsid w:val="00466C07"/>
    <w:rsid w:val="00470E43"/>
    <w:rsid w:val="004753F1"/>
    <w:rsid w:val="00481E51"/>
    <w:rsid w:val="004826FF"/>
    <w:rsid w:val="00483084"/>
    <w:rsid w:val="0049120C"/>
    <w:rsid w:val="0049487A"/>
    <w:rsid w:val="0049566E"/>
    <w:rsid w:val="00495E14"/>
    <w:rsid w:val="00495E5A"/>
    <w:rsid w:val="004969FC"/>
    <w:rsid w:val="004A4E37"/>
    <w:rsid w:val="004A527C"/>
    <w:rsid w:val="004A56BC"/>
    <w:rsid w:val="004B08E9"/>
    <w:rsid w:val="004B4029"/>
    <w:rsid w:val="004B6340"/>
    <w:rsid w:val="004C1BD4"/>
    <w:rsid w:val="004C3206"/>
    <w:rsid w:val="004C5A82"/>
    <w:rsid w:val="004C703A"/>
    <w:rsid w:val="004D076B"/>
    <w:rsid w:val="004D305D"/>
    <w:rsid w:val="004D4576"/>
    <w:rsid w:val="004D514D"/>
    <w:rsid w:val="004D5580"/>
    <w:rsid w:val="004D569F"/>
    <w:rsid w:val="004D77ED"/>
    <w:rsid w:val="004E0163"/>
    <w:rsid w:val="004E0B55"/>
    <w:rsid w:val="004E2601"/>
    <w:rsid w:val="004E4632"/>
    <w:rsid w:val="004E4F6C"/>
    <w:rsid w:val="004E7B2F"/>
    <w:rsid w:val="004F5EAF"/>
    <w:rsid w:val="004F6C10"/>
    <w:rsid w:val="0050187A"/>
    <w:rsid w:val="00503D17"/>
    <w:rsid w:val="00504587"/>
    <w:rsid w:val="0050521C"/>
    <w:rsid w:val="00507EFE"/>
    <w:rsid w:val="005103AD"/>
    <w:rsid w:val="00511D7B"/>
    <w:rsid w:val="00513509"/>
    <w:rsid w:val="0051373E"/>
    <w:rsid w:val="00514558"/>
    <w:rsid w:val="00516334"/>
    <w:rsid w:val="005169BD"/>
    <w:rsid w:val="005170E0"/>
    <w:rsid w:val="00517444"/>
    <w:rsid w:val="00517D45"/>
    <w:rsid w:val="00526091"/>
    <w:rsid w:val="0052626D"/>
    <w:rsid w:val="0052649B"/>
    <w:rsid w:val="005317C3"/>
    <w:rsid w:val="00531B3D"/>
    <w:rsid w:val="00532A77"/>
    <w:rsid w:val="00533796"/>
    <w:rsid w:val="00534890"/>
    <w:rsid w:val="005358CE"/>
    <w:rsid w:val="00536A8A"/>
    <w:rsid w:val="00540D96"/>
    <w:rsid w:val="005431AE"/>
    <w:rsid w:val="00545CD9"/>
    <w:rsid w:val="005515E4"/>
    <w:rsid w:val="00551978"/>
    <w:rsid w:val="00554E5C"/>
    <w:rsid w:val="00555B39"/>
    <w:rsid w:val="00555CAD"/>
    <w:rsid w:val="005602F5"/>
    <w:rsid w:val="0056068B"/>
    <w:rsid w:val="005638B3"/>
    <w:rsid w:val="005638E8"/>
    <w:rsid w:val="00565BB2"/>
    <w:rsid w:val="00565F91"/>
    <w:rsid w:val="005661BA"/>
    <w:rsid w:val="005663D0"/>
    <w:rsid w:val="005673FE"/>
    <w:rsid w:val="0057153E"/>
    <w:rsid w:val="00571969"/>
    <w:rsid w:val="005730CF"/>
    <w:rsid w:val="00574574"/>
    <w:rsid w:val="00575CD4"/>
    <w:rsid w:val="0057619D"/>
    <w:rsid w:val="00577BE3"/>
    <w:rsid w:val="00582F16"/>
    <w:rsid w:val="0058674B"/>
    <w:rsid w:val="0059792E"/>
    <w:rsid w:val="005A0B81"/>
    <w:rsid w:val="005A0EFD"/>
    <w:rsid w:val="005A1F4C"/>
    <w:rsid w:val="005A30BB"/>
    <w:rsid w:val="005A417F"/>
    <w:rsid w:val="005A56BE"/>
    <w:rsid w:val="005B0D6D"/>
    <w:rsid w:val="005B1600"/>
    <w:rsid w:val="005B436A"/>
    <w:rsid w:val="005B522D"/>
    <w:rsid w:val="005C1250"/>
    <w:rsid w:val="005C21FC"/>
    <w:rsid w:val="005C3A2F"/>
    <w:rsid w:val="005C44BE"/>
    <w:rsid w:val="005C4F9D"/>
    <w:rsid w:val="005C6F23"/>
    <w:rsid w:val="005D43A0"/>
    <w:rsid w:val="005D4FF8"/>
    <w:rsid w:val="005D6982"/>
    <w:rsid w:val="005D7474"/>
    <w:rsid w:val="005E2332"/>
    <w:rsid w:val="005E2811"/>
    <w:rsid w:val="005E3C47"/>
    <w:rsid w:val="005F3EF1"/>
    <w:rsid w:val="005F6ABB"/>
    <w:rsid w:val="005F74C4"/>
    <w:rsid w:val="005F7E6A"/>
    <w:rsid w:val="0060178A"/>
    <w:rsid w:val="00605924"/>
    <w:rsid w:val="0060669E"/>
    <w:rsid w:val="00606902"/>
    <w:rsid w:val="00607B00"/>
    <w:rsid w:val="006111C0"/>
    <w:rsid w:val="00611BA8"/>
    <w:rsid w:val="00612C02"/>
    <w:rsid w:val="00612C8C"/>
    <w:rsid w:val="006134F2"/>
    <w:rsid w:val="00615037"/>
    <w:rsid w:val="006150D1"/>
    <w:rsid w:val="006153AD"/>
    <w:rsid w:val="006208C6"/>
    <w:rsid w:val="00620E71"/>
    <w:rsid w:val="00621A3E"/>
    <w:rsid w:val="00622C0B"/>
    <w:rsid w:val="00632558"/>
    <w:rsid w:val="006328D2"/>
    <w:rsid w:val="00635549"/>
    <w:rsid w:val="00635E08"/>
    <w:rsid w:val="00636258"/>
    <w:rsid w:val="00640793"/>
    <w:rsid w:val="00641393"/>
    <w:rsid w:val="00642162"/>
    <w:rsid w:val="00645117"/>
    <w:rsid w:val="006512C0"/>
    <w:rsid w:val="006515E5"/>
    <w:rsid w:val="00652E47"/>
    <w:rsid w:val="00655A3F"/>
    <w:rsid w:val="006578EB"/>
    <w:rsid w:val="00657FBA"/>
    <w:rsid w:val="006613EA"/>
    <w:rsid w:val="006678A1"/>
    <w:rsid w:val="00674296"/>
    <w:rsid w:val="006756F2"/>
    <w:rsid w:val="00676D48"/>
    <w:rsid w:val="00682179"/>
    <w:rsid w:val="00683873"/>
    <w:rsid w:val="0068796B"/>
    <w:rsid w:val="00687CFF"/>
    <w:rsid w:val="00694321"/>
    <w:rsid w:val="00694550"/>
    <w:rsid w:val="006956D5"/>
    <w:rsid w:val="006A393E"/>
    <w:rsid w:val="006B041C"/>
    <w:rsid w:val="006B5388"/>
    <w:rsid w:val="006B7325"/>
    <w:rsid w:val="006B7671"/>
    <w:rsid w:val="006C2525"/>
    <w:rsid w:val="006C26D7"/>
    <w:rsid w:val="006C3424"/>
    <w:rsid w:val="006C4747"/>
    <w:rsid w:val="006C4FB7"/>
    <w:rsid w:val="006C6575"/>
    <w:rsid w:val="006C744D"/>
    <w:rsid w:val="006D05F4"/>
    <w:rsid w:val="006D0934"/>
    <w:rsid w:val="006D093B"/>
    <w:rsid w:val="006D2698"/>
    <w:rsid w:val="006D34BC"/>
    <w:rsid w:val="006D3E3A"/>
    <w:rsid w:val="006E00CA"/>
    <w:rsid w:val="006E0A7B"/>
    <w:rsid w:val="006E2353"/>
    <w:rsid w:val="006E4E1E"/>
    <w:rsid w:val="006E6075"/>
    <w:rsid w:val="006F1BE7"/>
    <w:rsid w:val="006F4520"/>
    <w:rsid w:val="006F6A14"/>
    <w:rsid w:val="006F7504"/>
    <w:rsid w:val="00711912"/>
    <w:rsid w:val="0071364F"/>
    <w:rsid w:val="00717CDA"/>
    <w:rsid w:val="007218BA"/>
    <w:rsid w:val="0072224A"/>
    <w:rsid w:val="00725088"/>
    <w:rsid w:val="00725A2A"/>
    <w:rsid w:val="007260A6"/>
    <w:rsid w:val="00727698"/>
    <w:rsid w:val="00727BF9"/>
    <w:rsid w:val="007303D0"/>
    <w:rsid w:val="007307B7"/>
    <w:rsid w:val="007310AC"/>
    <w:rsid w:val="00731F26"/>
    <w:rsid w:val="00734064"/>
    <w:rsid w:val="00734F8E"/>
    <w:rsid w:val="007354C5"/>
    <w:rsid w:val="0074281C"/>
    <w:rsid w:val="00744A40"/>
    <w:rsid w:val="00751BC8"/>
    <w:rsid w:val="00752133"/>
    <w:rsid w:val="0075226E"/>
    <w:rsid w:val="00752D4C"/>
    <w:rsid w:val="007544C7"/>
    <w:rsid w:val="00757665"/>
    <w:rsid w:val="00757D05"/>
    <w:rsid w:val="00757E19"/>
    <w:rsid w:val="007614B6"/>
    <w:rsid w:val="00763986"/>
    <w:rsid w:val="00763EE9"/>
    <w:rsid w:val="00764369"/>
    <w:rsid w:val="00765CDA"/>
    <w:rsid w:val="00767537"/>
    <w:rsid w:val="00767AB0"/>
    <w:rsid w:val="00767B43"/>
    <w:rsid w:val="00767DCC"/>
    <w:rsid w:val="00770B1A"/>
    <w:rsid w:val="007742D4"/>
    <w:rsid w:val="00774EEB"/>
    <w:rsid w:val="007758F3"/>
    <w:rsid w:val="00776507"/>
    <w:rsid w:val="00776602"/>
    <w:rsid w:val="007768B6"/>
    <w:rsid w:val="00776CB5"/>
    <w:rsid w:val="00777250"/>
    <w:rsid w:val="0078067D"/>
    <w:rsid w:val="00781202"/>
    <w:rsid w:val="0078644B"/>
    <w:rsid w:val="007879DC"/>
    <w:rsid w:val="0079255E"/>
    <w:rsid w:val="00793652"/>
    <w:rsid w:val="00794222"/>
    <w:rsid w:val="00794F16"/>
    <w:rsid w:val="0079799E"/>
    <w:rsid w:val="007A7A2C"/>
    <w:rsid w:val="007B0D38"/>
    <w:rsid w:val="007B28E5"/>
    <w:rsid w:val="007C02BF"/>
    <w:rsid w:val="007C1641"/>
    <w:rsid w:val="007C1D0A"/>
    <w:rsid w:val="007C1E62"/>
    <w:rsid w:val="007C2E4B"/>
    <w:rsid w:val="007C3699"/>
    <w:rsid w:val="007C5675"/>
    <w:rsid w:val="007C7E75"/>
    <w:rsid w:val="007D0788"/>
    <w:rsid w:val="007D3682"/>
    <w:rsid w:val="007D4801"/>
    <w:rsid w:val="007D5E44"/>
    <w:rsid w:val="007D6E09"/>
    <w:rsid w:val="007E0CCD"/>
    <w:rsid w:val="007E51A3"/>
    <w:rsid w:val="007E7096"/>
    <w:rsid w:val="007F24F3"/>
    <w:rsid w:val="007F4851"/>
    <w:rsid w:val="008042DE"/>
    <w:rsid w:val="00804E91"/>
    <w:rsid w:val="00806592"/>
    <w:rsid w:val="00810074"/>
    <w:rsid w:val="00810D7D"/>
    <w:rsid w:val="0081221F"/>
    <w:rsid w:val="00814D13"/>
    <w:rsid w:val="0082219D"/>
    <w:rsid w:val="00823249"/>
    <w:rsid w:val="00823D56"/>
    <w:rsid w:val="00826865"/>
    <w:rsid w:val="00826B1C"/>
    <w:rsid w:val="00833093"/>
    <w:rsid w:val="00833813"/>
    <w:rsid w:val="00833DB1"/>
    <w:rsid w:val="008406CA"/>
    <w:rsid w:val="0084334B"/>
    <w:rsid w:val="00846320"/>
    <w:rsid w:val="00846439"/>
    <w:rsid w:val="00851A6B"/>
    <w:rsid w:val="008521E9"/>
    <w:rsid w:val="00857830"/>
    <w:rsid w:val="008664DB"/>
    <w:rsid w:val="008668EA"/>
    <w:rsid w:val="00872B69"/>
    <w:rsid w:val="00872D4D"/>
    <w:rsid w:val="008747C4"/>
    <w:rsid w:val="0087523F"/>
    <w:rsid w:val="00880BE6"/>
    <w:rsid w:val="00881CBA"/>
    <w:rsid w:val="00881CF7"/>
    <w:rsid w:val="008844C6"/>
    <w:rsid w:val="008856DC"/>
    <w:rsid w:val="0088600D"/>
    <w:rsid w:val="00886D2F"/>
    <w:rsid w:val="00891CD5"/>
    <w:rsid w:val="008922F0"/>
    <w:rsid w:val="00896295"/>
    <w:rsid w:val="00897AFF"/>
    <w:rsid w:val="008A1B70"/>
    <w:rsid w:val="008A2587"/>
    <w:rsid w:val="008A4EBB"/>
    <w:rsid w:val="008A6E26"/>
    <w:rsid w:val="008B03A6"/>
    <w:rsid w:val="008B07F3"/>
    <w:rsid w:val="008B3575"/>
    <w:rsid w:val="008B46F5"/>
    <w:rsid w:val="008B486A"/>
    <w:rsid w:val="008C0CD0"/>
    <w:rsid w:val="008C1D24"/>
    <w:rsid w:val="008C3ACE"/>
    <w:rsid w:val="008C426B"/>
    <w:rsid w:val="008C4AE5"/>
    <w:rsid w:val="008C6733"/>
    <w:rsid w:val="008C7A04"/>
    <w:rsid w:val="008D061E"/>
    <w:rsid w:val="008D1583"/>
    <w:rsid w:val="008D44DE"/>
    <w:rsid w:val="008D6286"/>
    <w:rsid w:val="008D673F"/>
    <w:rsid w:val="008D75C3"/>
    <w:rsid w:val="008D76FE"/>
    <w:rsid w:val="008E26CC"/>
    <w:rsid w:val="008E33DA"/>
    <w:rsid w:val="008E4067"/>
    <w:rsid w:val="008F4EBD"/>
    <w:rsid w:val="008F7500"/>
    <w:rsid w:val="008F7C32"/>
    <w:rsid w:val="008F7E6D"/>
    <w:rsid w:val="00902171"/>
    <w:rsid w:val="00902463"/>
    <w:rsid w:val="009050D7"/>
    <w:rsid w:val="00905CB0"/>
    <w:rsid w:val="0091015D"/>
    <w:rsid w:val="0091352F"/>
    <w:rsid w:val="00915261"/>
    <w:rsid w:val="00915F7C"/>
    <w:rsid w:val="00916D85"/>
    <w:rsid w:val="009171A5"/>
    <w:rsid w:val="00920BCB"/>
    <w:rsid w:val="00921F27"/>
    <w:rsid w:val="00925E80"/>
    <w:rsid w:val="0092608A"/>
    <w:rsid w:val="00927940"/>
    <w:rsid w:val="0093374D"/>
    <w:rsid w:val="0093526C"/>
    <w:rsid w:val="00935E17"/>
    <w:rsid w:val="0094395A"/>
    <w:rsid w:val="00943DBB"/>
    <w:rsid w:val="00945A02"/>
    <w:rsid w:val="00946307"/>
    <w:rsid w:val="00954660"/>
    <w:rsid w:val="00954E06"/>
    <w:rsid w:val="00954E28"/>
    <w:rsid w:val="00956502"/>
    <w:rsid w:val="00956910"/>
    <w:rsid w:val="00957461"/>
    <w:rsid w:val="00960D2C"/>
    <w:rsid w:val="00962F19"/>
    <w:rsid w:val="00963486"/>
    <w:rsid w:val="00964861"/>
    <w:rsid w:val="00964B20"/>
    <w:rsid w:val="00965845"/>
    <w:rsid w:val="00965C97"/>
    <w:rsid w:val="0096639B"/>
    <w:rsid w:val="0097397D"/>
    <w:rsid w:val="0097465B"/>
    <w:rsid w:val="00974F67"/>
    <w:rsid w:val="00975DC4"/>
    <w:rsid w:val="00975EE7"/>
    <w:rsid w:val="00977679"/>
    <w:rsid w:val="0098068F"/>
    <w:rsid w:val="009827A8"/>
    <w:rsid w:val="00983817"/>
    <w:rsid w:val="00984566"/>
    <w:rsid w:val="009875A5"/>
    <w:rsid w:val="00987C02"/>
    <w:rsid w:val="00990BB5"/>
    <w:rsid w:val="009957A8"/>
    <w:rsid w:val="00995B5A"/>
    <w:rsid w:val="009A0200"/>
    <w:rsid w:val="009A0499"/>
    <w:rsid w:val="009A1F3E"/>
    <w:rsid w:val="009A44C6"/>
    <w:rsid w:val="009A4F04"/>
    <w:rsid w:val="009A6B44"/>
    <w:rsid w:val="009B5138"/>
    <w:rsid w:val="009B5997"/>
    <w:rsid w:val="009B62E0"/>
    <w:rsid w:val="009B73C7"/>
    <w:rsid w:val="009C697C"/>
    <w:rsid w:val="009C7133"/>
    <w:rsid w:val="009C76A0"/>
    <w:rsid w:val="009D13EE"/>
    <w:rsid w:val="009D3363"/>
    <w:rsid w:val="009D3D0E"/>
    <w:rsid w:val="009D7DF1"/>
    <w:rsid w:val="009E049B"/>
    <w:rsid w:val="009E20B9"/>
    <w:rsid w:val="009E3358"/>
    <w:rsid w:val="009E3A0A"/>
    <w:rsid w:val="009E4F18"/>
    <w:rsid w:val="009E51B1"/>
    <w:rsid w:val="009E5D05"/>
    <w:rsid w:val="009E6097"/>
    <w:rsid w:val="009F2BFD"/>
    <w:rsid w:val="009F3BD2"/>
    <w:rsid w:val="009F50C4"/>
    <w:rsid w:val="00A003DE"/>
    <w:rsid w:val="00A00E53"/>
    <w:rsid w:val="00A00EB2"/>
    <w:rsid w:val="00A010D3"/>
    <w:rsid w:val="00A0345C"/>
    <w:rsid w:val="00A0519A"/>
    <w:rsid w:val="00A1691B"/>
    <w:rsid w:val="00A21BD2"/>
    <w:rsid w:val="00A238E6"/>
    <w:rsid w:val="00A25FA6"/>
    <w:rsid w:val="00A27F8E"/>
    <w:rsid w:val="00A334FD"/>
    <w:rsid w:val="00A33FFC"/>
    <w:rsid w:val="00A349EE"/>
    <w:rsid w:val="00A35963"/>
    <w:rsid w:val="00A371FE"/>
    <w:rsid w:val="00A41D33"/>
    <w:rsid w:val="00A43F53"/>
    <w:rsid w:val="00A45C3E"/>
    <w:rsid w:val="00A46784"/>
    <w:rsid w:val="00A52E56"/>
    <w:rsid w:val="00A61C27"/>
    <w:rsid w:val="00A625BF"/>
    <w:rsid w:val="00A6365E"/>
    <w:rsid w:val="00A64676"/>
    <w:rsid w:val="00A6514A"/>
    <w:rsid w:val="00A66375"/>
    <w:rsid w:val="00A66502"/>
    <w:rsid w:val="00A7084E"/>
    <w:rsid w:val="00A76165"/>
    <w:rsid w:val="00A76276"/>
    <w:rsid w:val="00A76492"/>
    <w:rsid w:val="00A842D0"/>
    <w:rsid w:val="00A8797C"/>
    <w:rsid w:val="00A909EB"/>
    <w:rsid w:val="00A91948"/>
    <w:rsid w:val="00A91C45"/>
    <w:rsid w:val="00A92A41"/>
    <w:rsid w:val="00A97C08"/>
    <w:rsid w:val="00AA2288"/>
    <w:rsid w:val="00AB0B26"/>
    <w:rsid w:val="00AB69A9"/>
    <w:rsid w:val="00AB7718"/>
    <w:rsid w:val="00AC3FEE"/>
    <w:rsid w:val="00AC4972"/>
    <w:rsid w:val="00AC7A9B"/>
    <w:rsid w:val="00AC7D4D"/>
    <w:rsid w:val="00AD367E"/>
    <w:rsid w:val="00AE287B"/>
    <w:rsid w:val="00AE3303"/>
    <w:rsid w:val="00AE5803"/>
    <w:rsid w:val="00AE64D9"/>
    <w:rsid w:val="00AF1D05"/>
    <w:rsid w:val="00AF51F4"/>
    <w:rsid w:val="00AF63B9"/>
    <w:rsid w:val="00B00DE8"/>
    <w:rsid w:val="00B02A9D"/>
    <w:rsid w:val="00B04506"/>
    <w:rsid w:val="00B0701C"/>
    <w:rsid w:val="00B07C21"/>
    <w:rsid w:val="00B10142"/>
    <w:rsid w:val="00B15DD2"/>
    <w:rsid w:val="00B16E33"/>
    <w:rsid w:val="00B21080"/>
    <w:rsid w:val="00B24570"/>
    <w:rsid w:val="00B24D8A"/>
    <w:rsid w:val="00B25645"/>
    <w:rsid w:val="00B3159C"/>
    <w:rsid w:val="00B361A3"/>
    <w:rsid w:val="00B370A3"/>
    <w:rsid w:val="00B40889"/>
    <w:rsid w:val="00B41483"/>
    <w:rsid w:val="00B42C01"/>
    <w:rsid w:val="00B43E1F"/>
    <w:rsid w:val="00B474F9"/>
    <w:rsid w:val="00B5013E"/>
    <w:rsid w:val="00B514F6"/>
    <w:rsid w:val="00B5284B"/>
    <w:rsid w:val="00B53B2A"/>
    <w:rsid w:val="00B53B9E"/>
    <w:rsid w:val="00B55E86"/>
    <w:rsid w:val="00B63763"/>
    <w:rsid w:val="00B64229"/>
    <w:rsid w:val="00B672A0"/>
    <w:rsid w:val="00B70B17"/>
    <w:rsid w:val="00B73171"/>
    <w:rsid w:val="00B767E7"/>
    <w:rsid w:val="00B76B40"/>
    <w:rsid w:val="00B77142"/>
    <w:rsid w:val="00B863A7"/>
    <w:rsid w:val="00B869E6"/>
    <w:rsid w:val="00B91BF1"/>
    <w:rsid w:val="00B963D9"/>
    <w:rsid w:val="00BA0582"/>
    <w:rsid w:val="00BA41CC"/>
    <w:rsid w:val="00BA4BA9"/>
    <w:rsid w:val="00BA75CB"/>
    <w:rsid w:val="00BB01AF"/>
    <w:rsid w:val="00BB4896"/>
    <w:rsid w:val="00BB72FD"/>
    <w:rsid w:val="00BC0F47"/>
    <w:rsid w:val="00BC2E41"/>
    <w:rsid w:val="00BC7BD1"/>
    <w:rsid w:val="00BD083B"/>
    <w:rsid w:val="00BD330E"/>
    <w:rsid w:val="00BE1E69"/>
    <w:rsid w:val="00BE631B"/>
    <w:rsid w:val="00BE7FA7"/>
    <w:rsid w:val="00BF0D87"/>
    <w:rsid w:val="00BF0FE4"/>
    <w:rsid w:val="00BF10F1"/>
    <w:rsid w:val="00BF1EBF"/>
    <w:rsid w:val="00BF6B59"/>
    <w:rsid w:val="00BF715F"/>
    <w:rsid w:val="00C02C5E"/>
    <w:rsid w:val="00C03B45"/>
    <w:rsid w:val="00C043AC"/>
    <w:rsid w:val="00C04A85"/>
    <w:rsid w:val="00C0637A"/>
    <w:rsid w:val="00C07EA9"/>
    <w:rsid w:val="00C11D79"/>
    <w:rsid w:val="00C16BAB"/>
    <w:rsid w:val="00C176F7"/>
    <w:rsid w:val="00C226C6"/>
    <w:rsid w:val="00C22FDD"/>
    <w:rsid w:val="00C2434B"/>
    <w:rsid w:val="00C2488A"/>
    <w:rsid w:val="00C25CB0"/>
    <w:rsid w:val="00C309BE"/>
    <w:rsid w:val="00C32576"/>
    <w:rsid w:val="00C32DFF"/>
    <w:rsid w:val="00C33B8C"/>
    <w:rsid w:val="00C3516E"/>
    <w:rsid w:val="00C40133"/>
    <w:rsid w:val="00C40A70"/>
    <w:rsid w:val="00C42B7D"/>
    <w:rsid w:val="00C43A0B"/>
    <w:rsid w:val="00C46765"/>
    <w:rsid w:val="00C51EDC"/>
    <w:rsid w:val="00C556C0"/>
    <w:rsid w:val="00C566D8"/>
    <w:rsid w:val="00C6265D"/>
    <w:rsid w:val="00C626DF"/>
    <w:rsid w:val="00C630CB"/>
    <w:rsid w:val="00C6646D"/>
    <w:rsid w:val="00C6756F"/>
    <w:rsid w:val="00C67874"/>
    <w:rsid w:val="00C67D36"/>
    <w:rsid w:val="00C71BD1"/>
    <w:rsid w:val="00C71E21"/>
    <w:rsid w:val="00C72127"/>
    <w:rsid w:val="00C72EE5"/>
    <w:rsid w:val="00C74174"/>
    <w:rsid w:val="00C76379"/>
    <w:rsid w:val="00C76E93"/>
    <w:rsid w:val="00C8114C"/>
    <w:rsid w:val="00C8205C"/>
    <w:rsid w:val="00C8489A"/>
    <w:rsid w:val="00C85586"/>
    <w:rsid w:val="00C90FD8"/>
    <w:rsid w:val="00C913AD"/>
    <w:rsid w:val="00C9280A"/>
    <w:rsid w:val="00C93968"/>
    <w:rsid w:val="00C93A2D"/>
    <w:rsid w:val="00C93C77"/>
    <w:rsid w:val="00C93D99"/>
    <w:rsid w:val="00C96BC0"/>
    <w:rsid w:val="00C96DB8"/>
    <w:rsid w:val="00C9741A"/>
    <w:rsid w:val="00C97958"/>
    <w:rsid w:val="00CA166A"/>
    <w:rsid w:val="00CA3C75"/>
    <w:rsid w:val="00CA46F6"/>
    <w:rsid w:val="00CA51B3"/>
    <w:rsid w:val="00CB1088"/>
    <w:rsid w:val="00CB1405"/>
    <w:rsid w:val="00CB400A"/>
    <w:rsid w:val="00CB51C9"/>
    <w:rsid w:val="00CB597D"/>
    <w:rsid w:val="00CC51F3"/>
    <w:rsid w:val="00CC5798"/>
    <w:rsid w:val="00CC6594"/>
    <w:rsid w:val="00CD323B"/>
    <w:rsid w:val="00CD505A"/>
    <w:rsid w:val="00CD66FB"/>
    <w:rsid w:val="00CD780F"/>
    <w:rsid w:val="00CE051B"/>
    <w:rsid w:val="00CE124F"/>
    <w:rsid w:val="00CE2A23"/>
    <w:rsid w:val="00CE2E0D"/>
    <w:rsid w:val="00CE3683"/>
    <w:rsid w:val="00CE3DAD"/>
    <w:rsid w:val="00CE538E"/>
    <w:rsid w:val="00CE66C8"/>
    <w:rsid w:val="00CF4CFF"/>
    <w:rsid w:val="00CF52EB"/>
    <w:rsid w:val="00CF5E53"/>
    <w:rsid w:val="00CF6AAD"/>
    <w:rsid w:val="00D03C3F"/>
    <w:rsid w:val="00D03E36"/>
    <w:rsid w:val="00D05572"/>
    <w:rsid w:val="00D06AA0"/>
    <w:rsid w:val="00D06EBD"/>
    <w:rsid w:val="00D13246"/>
    <w:rsid w:val="00D1659D"/>
    <w:rsid w:val="00D17A45"/>
    <w:rsid w:val="00D17A9F"/>
    <w:rsid w:val="00D20A33"/>
    <w:rsid w:val="00D23EE4"/>
    <w:rsid w:val="00D25CD2"/>
    <w:rsid w:val="00D2642C"/>
    <w:rsid w:val="00D31132"/>
    <w:rsid w:val="00D31C83"/>
    <w:rsid w:val="00D355CB"/>
    <w:rsid w:val="00D36093"/>
    <w:rsid w:val="00D36BD5"/>
    <w:rsid w:val="00D37DE9"/>
    <w:rsid w:val="00D4178A"/>
    <w:rsid w:val="00D4320A"/>
    <w:rsid w:val="00D456CF"/>
    <w:rsid w:val="00D474BC"/>
    <w:rsid w:val="00D50450"/>
    <w:rsid w:val="00D5103A"/>
    <w:rsid w:val="00D5253D"/>
    <w:rsid w:val="00D563D5"/>
    <w:rsid w:val="00D61B34"/>
    <w:rsid w:val="00D62353"/>
    <w:rsid w:val="00D62F10"/>
    <w:rsid w:val="00D6435D"/>
    <w:rsid w:val="00D6593F"/>
    <w:rsid w:val="00D67C2C"/>
    <w:rsid w:val="00D67F12"/>
    <w:rsid w:val="00D709DA"/>
    <w:rsid w:val="00D76F3B"/>
    <w:rsid w:val="00D77B08"/>
    <w:rsid w:val="00D82A63"/>
    <w:rsid w:val="00D84368"/>
    <w:rsid w:val="00D84A74"/>
    <w:rsid w:val="00D852AA"/>
    <w:rsid w:val="00D85438"/>
    <w:rsid w:val="00D86BDE"/>
    <w:rsid w:val="00D86C7D"/>
    <w:rsid w:val="00D87892"/>
    <w:rsid w:val="00D91557"/>
    <w:rsid w:val="00D92E9D"/>
    <w:rsid w:val="00D9606F"/>
    <w:rsid w:val="00DA0679"/>
    <w:rsid w:val="00DA33DE"/>
    <w:rsid w:val="00DA36E3"/>
    <w:rsid w:val="00DA471F"/>
    <w:rsid w:val="00DA4E94"/>
    <w:rsid w:val="00DB1893"/>
    <w:rsid w:val="00DC17E6"/>
    <w:rsid w:val="00DC28E8"/>
    <w:rsid w:val="00DC3A74"/>
    <w:rsid w:val="00DC622C"/>
    <w:rsid w:val="00DC7292"/>
    <w:rsid w:val="00DC73AA"/>
    <w:rsid w:val="00DC7685"/>
    <w:rsid w:val="00DC78B5"/>
    <w:rsid w:val="00DD1DCE"/>
    <w:rsid w:val="00DD2CEE"/>
    <w:rsid w:val="00DD4915"/>
    <w:rsid w:val="00DD541E"/>
    <w:rsid w:val="00DD5F43"/>
    <w:rsid w:val="00DD675A"/>
    <w:rsid w:val="00DD68BB"/>
    <w:rsid w:val="00DE09E9"/>
    <w:rsid w:val="00DE52BA"/>
    <w:rsid w:val="00DE58C9"/>
    <w:rsid w:val="00DF14BB"/>
    <w:rsid w:val="00DF3220"/>
    <w:rsid w:val="00DF4FEA"/>
    <w:rsid w:val="00DF52CE"/>
    <w:rsid w:val="00DF68A4"/>
    <w:rsid w:val="00E0082E"/>
    <w:rsid w:val="00E0120E"/>
    <w:rsid w:val="00E01800"/>
    <w:rsid w:val="00E06613"/>
    <w:rsid w:val="00E073D3"/>
    <w:rsid w:val="00E07A75"/>
    <w:rsid w:val="00E07FDA"/>
    <w:rsid w:val="00E1037E"/>
    <w:rsid w:val="00E215BA"/>
    <w:rsid w:val="00E225CB"/>
    <w:rsid w:val="00E23AF5"/>
    <w:rsid w:val="00E257C7"/>
    <w:rsid w:val="00E25E61"/>
    <w:rsid w:val="00E3035F"/>
    <w:rsid w:val="00E33888"/>
    <w:rsid w:val="00E40FFE"/>
    <w:rsid w:val="00E44819"/>
    <w:rsid w:val="00E45376"/>
    <w:rsid w:val="00E463A2"/>
    <w:rsid w:val="00E4660B"/>
    <w:rsid w:val="00E47021"/>
    <w:rsid w:val="00E47D71"/>
    <w:rsid w:val="00E544C2"/>
    <w:rsid w:val="00E56C4D"/>
    <w:rsid w:val="00E602AF"/>
    <w:rsid w:val="00E60A02"/>
    <w:rsid w:val="00E60DA1"/>
    <w:rsid w:val="00E623E3"/>
    <w:rsid w:val="00E6267F"/>
    <w:rsid w:val="00E6368C"/>
    <w:rsid w:val="00E63709"/>
    <w:rsid w:val="00E67861"/>
    <w:rsid w:val="00E67A1B"/>
    <w:rsid w:val="00E76A29"/>
    <w:rsid w:val="00E76E53"/>
    <w:rsid w:val="00E77EB9"/>
    <w:rsid w:val="00E82DC8"/>
    <w:rsid w:val="00E83305"/>
    <w:rsid w:val="00E8409C"/>
    <w:rsid w:val="00E85AE7"/>
    <w:rsid w:val="00E86702"/>
    <w:rsid w:val="00E9341F"/>
    <w:rsid w:val="00E965D5"/>
    <w:rsid w:val="00E97C0A"/>
    <w:rsid w:val="00EA1582"/>
    <w:rsid w:val="00EA526B"/>
    <w:rsid w:val="00EB2552"/>
    <w:rsid w:val="00EB25F6"/>
    <w:rsid w:val="00EB5634"/>
    <w:rsid w:val="00EB6F99"/>
    <w:rsid w:val="00EC002D"/>
    <w:rsid w:val="00EC1012"/>
    <w:rsid w:val="00EC1337"/>
    <w:rsid w:val="00ED2138"/>
    <w:rsid w:val="00ED28F4"/>
    <w:rsid w:val="00EE4E81"/>
    <w:rsid w:val="00EE5D0F"/>
    <w:rsid w:val="00EF090D"/>
    <w:rsid w:val="00EF20EB"/>
    <w:rsid w:val="00EF2EA2"/>
    <w:rsid w:val="00EF3F6D"/>
    <w:rsid w:val="00EF50AD"/>
    <w:rsid w:val="00F0437C"/>
    <w:rsid w:val="00F05114"/>
    <w:rsid w:val="00F063EE"/>
    <w:rsid w:val="00F06D2A"/>
    <w:rsid w:val="00F1154A"/>
    <w:rsid w:val="00F129C8"/>
    <w:rsid w:val="00F134FA"/>
    <w:rsid w:val="00F13DB5"/>
    <w:rsid w:val="00F14624"/>
    <w:rsid w:val="00F20CFE"/>
    <w:rsid w:val="00F20E09"/>
    <w:rsid w:val="00F2170F"/>
    <w:rsid w:val="00F22325"/>
    <w:rsid w:val="00F224D3"/>
    <w:rsid w:val="00F228C9"/>
    <w:rsid w:val="00F23964"/>
    <w:rsid w:val="00F2540C"/>
    <w:rsid w:val="00F26E60"/>
    <w:rsid w:val="00F2743F"/>
    <w:rsid w:val="00F31037"/>
    <w:rsid w:val="00F31782"/>
    <w:rsid w:val="00F32D0D"/>
    <w:rsid w:val="00F345B2"/>
    <w:rsid w:val="00F371F8"/>
    <w:rsid w:val="00F40625"/>
    <w:rsid w:val="00F40D0D"/>
    <w:rsid w:val="00F42ABD"/>
    <w:rsid w:val="00F434E0"/>
    <w:rsid w:val="00F47D69"/>
    <w:rsid w:val="00F538F6"/>
    <w:rsid w:val="00F55A43"/>
    <w:rsid w:val="00F605C9"/>
    <w:rsid w:val="00F61CC0"/>
    <w:rsid w:val="00F650AB"/>
    <w:rsid w:val="00F658C1"/>
    <w:rsid w:val="00F67DA0"/>
    <w:rsid w:val="00F736E5"/>
    <w:rsid w:val="00F74462"/>
    <w:rsid w:val="00F74592"/>
    <w:rsid w:val="00F81C63"/>
    <w:rsid w:val="00F86543"/>
    <w:rsid w:val="00F86936"/>
    <w:rsid w:val="00F86F57"/>
    <w:rsid w:val="00F8751C"/>
    <w:rsid w:val="00F94877"/>
    <w:rsid w:val="00F978F4"/>
    <w:rsid w:val="00F97D4A"/>
    <w:rsid w:val="00FA1703"/>
    <w:rsid w:val="00FA49C1"/>
    <w:rsid w:val="00FA526A"/>
    <w:rsid w:val="00FA6176"/>
    <w:rsid w:val="00FB11B9"/>
    <w:rsid w:val="00FB1A9E"/>
    <w:rsid w:val="00FB2E37"/>
    <w:rsid w:val="00FB5B17"/>
    <w:rsid w:val="00FB61AA"/>
    <w:rsid w:val="00FB6CE8"/>
    <w:rsid w:val="00FB758B"/>
    <w:rsid w:val="00FB7812"/>
    <w:rsid w:val="00FB7816"/>
    <w:rsid w:val="00FC3CDB"/>
    <w:rsid w:val="00FC5241"/>
    <w:rsid w:val="00FC5C59"/>
    <w:rsid w:val="00FD247C"/>
    <w:rsid w:val="00FD438D"/>
    <w:rsid w:val="00FD5AA3"/>
    <w:rsid w:val="00FD73C0"/>
    <w:rsid w:val="00FD7CAC"/>
    <w:rsid w:val="00FE172F"/>
    <w:rsid w:val="00FE1AE2"/>
    <w:rsid w:val="00FE29D8"/>
    <w:rsid w:val="00FE40CD"/>
    <w:rsid w:val="00FE51EE"/>
    <w:rsid w:val="00FE7F79"/>
    <w:rsid w:val="00FF5D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C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51"/>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1E51"/>
    <w:rPr>
      <w:color w:val="auto"/>
      <w:sz w:val="14"/>
      <w:szCs w:val="14"/>
    </w:rPr>
  </w:style>
  <w:style w:type="character" w:customStyle="1" w:styleId="FooterChar">
    <w:name w:val="Footer Char"/>
    <w:basedOn w:val="DefaultParagraphFont"/>
    <w:link w:val="Footer"/>
    <w:uiPriority w:val="99"/>
    <w:rsid w:val="00481E51"/>
    <w:rPr>
      <w:rFonts w:ascii="Arial" w:eastAsia="Times New Roman" w:hAnsi="Arial" w:cs="Times New Roman"/>
      <w:spacing w:val="6"/>
      <w:sz w:val="14"/>
      <w:szCs w:val="14"/>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481E51"/>
    <w:pPr>
      <w:ind w:left="720"/>
    </w:pPr>
  </w:style>
  <w:style w:type="character" w:styleId="CommentReference">
    <w:name w:val="annotation reference"/>
    <w:basedOn w:val="DefaultParagraphFont"/>
    <w:uiPriority w:val="99"/>
    <w:semiHidden/>
    <w:unhideWhenUsed/>
    <w:rsid w:val="00776CB5"/>
    <w:rPr>
      <w:sz w:val="16"/>
      <w:szCs w:val="16"/>
    </w:rPr>
  </w:style>
  <w:style w:type="paragraph" w:styleId="CommentText">
    <w:name w:val="annotation text"/>
    <w:basedOn w:val="Normal"/>
    <w:link w:val="CommentTextChar"/>
    <w:uiPriority w:val="99"/>
    <w:semiHidden/>
    <w:unhideWhenUsed/>
    <w:rsid w:val="00776CB5"/>
    <w:pPr>
      <w:spacing w:line="240" w:lineRule="auto"/>
    </w:pPr>
    <w:rPr>
      <w:sz w:val="20"/>
      <w:szCs w:val="20"/>
    </w:rPr>
  </w:style>
  <w:style w:type="character" w:customStyle="1" w:styleId="CommentTextChar">
    <w:name w:val="Comment Text Char"/>
    <w:basedOn w:val="DefaultParagraphFont"/>
    <w:link w:val="CommentText"/>
    <w:uiPriority w:val="99"/>
    <w:semiHidden/>
    <w:rsid w:val="00776CB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776CB5"/>
    <w:rPr>
      <w:b/>
      <w:bCs/>
    </w:rPr>
  </w:style>
  <w:style w:type="character" w:customStyle="1" w:styleId="CommentSubjectChar">
    <w:name w:val="Comment Subject Char"/>
    <w:basedOn w:val="CommentTextChar"/>
    <w:link w:val="CommentSubject"/>
    <w:uiPriority w:val="99"/>
    <w:semiHidden/>
    <w:rsid w:val="00776CB5"/>
    <w:rPr>
      <w:rFonts w:ascii="Arial" w:eastAsia="Times New Roman" w:hAnsi="Arial" w:cs="Times New Roman"/>
      <w:b/>
      <w:bCs/>
      <w:color w:val="000000"/>
      <w:spacing w:val="6"/>
      <w:sz w:val="20"/>
      <w:szCs w:val="20"/>
      <w:lang w:val="en-GB" w:eastAsia="en-GB"/>
    </w:rPr>
  </w:style>
  <w:style w:type="paragraph" w:styleId="BalloonText">
    <w:name w:val="Balloon Text"/>
    <w:basedOn w:val="Normal"/>
    <w:link w:val="BalloonTextChar"/>
    <w:uiPriority w:val="99"/>
    <w:semiHidden/>
    <w:unhideWhenUsed/>
    <w:rsid w:val="00776CB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76CB5"/>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rsid w:val="008922F0"/>
    <w:pPr>
      <w:spacing w:line="240" w:lineRule="auto"/>
    </w:pPr>
    <w:rPr>
      <w:color w:val="001F00"/>
      <w:sz w:val="20"/>
      <w:szCs w:val="20"/>
    </w:rPr>
  </w:style>
  <w:style w:type="character" w:customStyle="1" w:styleId="FootnoteTextChar">
    <w:name w:val="Footnote Text Char"/>
    <w:basedOn w:val="DefaultParagraphFont"/>
    <w:link w:val="FootnoteText"/>
    <w:rsid w:val="008922F0"/>
    <w:rPr>
      <w:rFonts w:ascii="Arial" w:eastAsia="Times New Roman" w:hAnsi="Arial" w:cs="Times New Roman"/>
      <w:color w:val="001F00"/>
      <w:spacing w:val="6"/>
      <w:sz w:val="20"/>
      <w:szCs w:val="20"/>
      <w:lang w:val="en-GB" w:eastAsia="en-GB"/>
    </w:rPr>
  </w:style>
  <w:style w:type="character" w:styleId="FootnoteReference">
    <w:name w:val="footnote reference"/>
    <w:rsid w:val="008922F0"/>
    <w:rPr>
      <w:vertAlign w:val="superscript"/>
    </w:rPr>
  </w:style>
  <w:style w:type="table" w:styleId="TableGrid">
    <w:name w:val="Table Grid"/>
    <w:basedOn w:val="TableNormal"/>
    <w:uiPriority w:val="39"/>
    <w:rsid w:val="001C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4D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46320"/>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ListParagraphChar">
    <w:name w:val="List Paragraph Char"/>
    <w:aliases w:val="List Paragraph 1 Char,Table of contents numbered Char,Bullets Char,footer text Char,List Paragraph1 Char,Recommendation Char,Bullet List Char"/>
    <w:basedOn w:val="DefaultParagraphFont"/>
    <w:link w:val="ListParagraph"/>
    <w:uiPriority w:val="34"/>
    <w:locked/>
    <w:rsid w:val="00794222"/>
    <w:rPr>
      <w:rFonts w:ascii="Arial" w:eastAsia="Times New Roman" w:hAnsi="Arial" w:cs="Times New Roman"/>
      <w:color w:val="000000"/>
      <w:spacing w:val="6"/>
      <w:sz w:val="18"/>
      <w:szCs w:val="18"/>
      <w:lang w:val="en-GB" w:eastAsia="en-GB"/>
    </w:rPr>
  </w:style>
  <w:style w:type="paragraph" w:styleId="Header">
    <w:name w:val="header"/>
    <w:basedOn w:val="Normal"/>
    <w:link w:val="HeaderChar"/>
    <w:uiPriority w:val="99"/>
    <w:unhideWhenUsed/>
    <w:rsid w:val="008F7E6D"/>
    <w:pPr>
      <w:tabs>
        <w:tab w:val="center" w:pos="4513"/>
        <w:tab w:val="right" w:pos="9026"/>
      </w:tabs>
      <w:spacing w:line="240" w:lineRule="auto"/>
    </w:pPr>
    <w:rPr>
      <w:rFonts w:asciiTheme="minorHAnsi" w:eastAsiaTheme="minorHAnsi" w:hAnsiTheme="minorHAnsi" w:cstheme="minorBidi"/>
      <w:color w:val="auto"/>
      <w:spacing w:val="0"/>
      <w:sz w:val="22"/>
      <w:szCs w:val="22"/>
      <w:lang w:val="en-ZA" w:eastAsia="en-US"/>
    </w:rPr>
  </w:style>
  <w:style w:type="character" w:customStyle="1" w:styleId="HeaderChar">
    <w:name w:val="Header Char"/>
    <w:basedOn w:val="DefaultParagraphFont"/>
    <w:link w:val="Header"/>
    <w:uiPriority w:val="99"/>
    <w:rsid w:val="008F7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51"/>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1E51"/>
    <w:rPr>
      <w:color w:val="auto"/>
      <w:sz w:val="14"/>
      <w:szCs w:val="14"/>
    </w:rPr>
  </w:style>
  <w:style w:type="character" w:customStyle="1" w:styleId="FooterChar">
    <w:name w:val="Footer Char"/>
    <w:basedOn w:val="DefaultParagraphFont"/>
    <w:link w:val="Footer"/>
    <w:uiPriority w:val="99"/>
    <w:rsid w:val="00481E51"/>
    <w:rPr>
      <w:rFonts w:ascii="Arial" w:eastAsia="Times New Roman" w:hAnsi="Arial" w:cs="Times New Roman"/>
      <w:spacing w:val="6"/>
      <w:sz w:val="14"/>
      <w:szCs w:val="14"/>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481E51"/>
    <w:pPr>
      <w:ind w:left="720"/>
    </w:pPr>
  </w:style>
  <w:style w:type="character" w:styleId="CommentReference">
    <w:name w:val="annotation reference"/>
    <w:basedOn w:val="DefaultParagraphFont"/>
    <w:uiPriority w:val="99"/>
    <w:semiHidden/>
    <w:unhideWhenUsed/>
    <w:rsid w:val="00776CB5"/>
    <w:rPr>
      <w:sz w:val="16"/>
      <w:szCs w:val="16"/>
    </w:rPr>
  </w:style>
  <w:style w:type="paragraph" w:styleId="CommentText">
    <w:name w:val="annotation text"/>
    <w:basedOn w:val="Normal"/>
    <w:link w:val="CommentTextChar"/>
    <w:uiPriority w:val="99"/>
    <w:semiHidden/>
    <w:unhideWhenUsed/>
    <w:rsid w:val="00776CB5"/>
    <w:pPr>
      <w:spacing w:line="240" w:lineRule="auto"/>
    </w:pPr>
    <w:rPr>
      <w:sz w:val="20"/>
      <w:szCs w:val="20"/>
    </w:rPr>
  </w:style>
  <w:style w:type="character" w:customStyle="1" w:styleId="CommentTextChar">
    <w:name w:val="Comment Text Char"/>
    <w:basedOn w:val="DefaultParagraphFont"/>
    <w:link w:val="CommentText"/>
    <w:uiPriority w:val="99"/>
    <w:semiHidden/>
    <w:rsid w:val="00776CB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776CB5"/>
    <w:rPr>
      <w:b/>
      <w:bCs/>
    </w:rPr>
  </w:style>
  <w:style w:type="character" w:customStyle="1" w:styleId="CommentSubjectChar">
    <w:name w:val="Comment Subject Char"/>
    <w:basedOn w:val="CommentTextChar"/>
    <w:link w:val="CommentSubject"/>
    <w:uiPriority w:val="99"/>
    <w:semiHidden/>
    <w:rsid w:val="00776CB5"/>
    <w:rPr>
      <w:rFonts w:ascii="Arial" w:eastAsia="Times New Roman" w:hAnsi="Arial" w:cs="Times New Roman"/>
      <w:b/>
      <w:bCs/>
      <w:color w:val="000000"/>
      <w:spacing w:val="6"/>
      <w:sz w:val="20"/>
      <w:szCs w:val="20"/>
      <w:lang w:val="en-GB" w:eastAsia="en-GB"/>
    </w:rPr>
  </w:style>
  <w:style w:type="paragraph" w:styleId="BalloonText">
    <w:name w:val="Balloon Text"/>
    <w:basedOn w:val="Normal"/>
    <w:link w:val="BalloonTextChar"/>
    <w:uiPriority w:val="99"/>
    <w:semiHidden/>
    <w:unhideWhenUsed/>
    <w:rsid w:val="00776CB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76CB5"/>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rsid w:val="008922F0"/>
    <w:pPr>
      <w:spacing w:line="240" w:lineRule="auto"/>
    </w:pPr>
    <w:rPr>
      <w:color w:val="001F00"/>
      <w:sz w:val="20"/>
      <w:szCs w:val="20"/>
    </w:rPr>
  </w:style>
  <w:style w:type="character" w:customStyle="1" w:styleId="FootnoteTextChar">
    <w:name w:val="Footnote Text Char"/>
    <w:basedOn w:val="DefaultParagraphFont"/>
    <w:link w:val="FootnoteText"/>
    <w:rsid w:val="008922F0"/>
    <w:rPr>
      <w:rFonts w:ascii="Arial" w:eastAsia="Times New Roman" w:hAnsi="Arial" w:cs="Times New Roman"/>
      <w:color w:val="001F00"/>
      <w:spacing w:val="6"/>
      <w:sz w:val="20"/>
      <w:szCs w:val="20"/>
      <w:lang w:val="en-GB" w:eastAsia="en-GB"/>
    </w:rPr>
  </w:style>
  <w:style w:type="character" w:styleId="FootnoteReference">
    <w:name w:val="footnote reference"/>
    <w:rsid w:val="008922F0"/>
    <w:rPr>
      <w:vertAlign w:val="superscript"/>
    </w:rPr>
  </w:style>
  <w:style w:type="table" w:styleId="TableGrid">
    <w:name w:val="Table Grid"/>
    <w:basedOn w:val="TableNormal"/>
    <w:uiPriority w:val="39"/>
    <w:rsid w:val="001C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4D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46320"/>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ListParagraphChar">
    <w:name w:val="List Paragraph Char"/>
    <w:aliases w:val="List Paragraph 1 Char,Table of contents numbered Char,Bullets Char,footer text Char,List Paragraph1 Char,Recommendation Char,Bullet List Char"/>
    <w:basedOn w:val="DefaultParagraphFont"/>
    <w:link w:val="ListParagraph"/>
    <w:uiPriority w:val="34"/>
    <w:locked/>
    <w:rsid w:val="00794222"/>
    <w:rPr>
      <w:rFonts w:ascii="Arial" w:eastAsia="Times New Roman" w:hAnsi="Arial" w:cs="Times New Roman"/>
      <w:color w:val="000000"/>
      <w:spacing w:val="6"/>
      <w:sz w:val="18"/>
      <w:szCs w:val="18"/>
      <w:lang w:val="en-GB" w:eastAsia="en-GB"/>
    </w:rPr>
  </w:style>
  <w:style w:type="paragraph" w:styleId="Header">
    <w:name w:val="header"/>
    <w:basedOn w:val="Normal"/>
    <w:link w:val="HeaderChar"/>
    <w:uiPriority w:val="99"/>
    <w:unhideWhenUsed/>
    <w:rsid w:val="008F7E6D"/>
    <w:pPr>
      <w:tabs>
        <w:tab w:val="center" w:pos="4513"/>
        <w:tab w:val="right" w:pos="9026"/>
      </w:tabs>
      <w:spacing w:line="240" w:lineRule="auto"/>
    </w:pPr>
    <w:rPr>
      <w:rFonts w:asciiTheme="minorHAnsi" w:eastAsiaTheme="minorHAnsi" w:hAnsiTheme="minorHAnsi" w:cstheme="minorBidi"/>
      <w:color w:val="auto"/>
      <w:spacing w:val="0"/>
      <w:sz w:val="22"/>
      <w:szCs w:val="22"/>
      <w:lang w:val="en-ZA" w:eastAsia="en-US"/>
    </w:rPr>
  </w:style>
  <w:style w:type="character" w:customStyle="1" w:styleId="HeaderChar">
    <w:name w:val="Header Char"/>
    <w:basedOn w:val="DefaultParagraphFont"/>
    <w:link w:val="Header"/>
    <w:uiPriority w:val="99"/>
    <w:rsid w:val="008F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619">
      <w:bodyDiv w:val="1"/>
      <w:marLeft w:val="0"/>
      <w:marRight w:val="0"/>
      <w:marTop w:val="0"/>
      <w:marBottom w:val="0"/>
      <w:divBdr>
        <w:top w:val="none" w:sz="0" w:space="0" w:color="auto"/>
        <w:left w:val="none" w:sz="0" w:space="0" w:color="auto"/>
        <w:bottom w:val="none" w:sz="0" w:space="0" w:color="auto"/>
        <w:right w:val="none" w:sz="0" w:space="0" w:color="auto"/>
      </w:divBdr>
    </w:div>
    <w:div w:id="75710685">
      <w:bodyDiv w:val="1"/>
      <w:marLeft w:val="0"/>
      <w:marRight w:val="0"/>
      <w:marTop w:val="0"/>
      <w:marBottom w:val="0"/>
      <w:divBdr>
        <w:top w:val="none" w:sz="0" w:space="0" w:color="auto"/>
        <w:left w:val="none" w:sz="0" w:space="0" w:color="auto"/>
        <w:bottom w:val="none" w:sz="0" w:space="0" w:color="auto"/>
        <w:right w:val="none" w:sz="0" w:space="0" w:color="auto"/>
      </w:divBdr>
    </w:div>
    <w:div w:id="119887694">
      <w:bodyDiv w:val="1"/>
      <w:marLeft w:val="0"/>
      <w:marRight w:val="0"/>
      <w:marTop w:val="0"/>
      <w:marBottom w:val="0"/>
      <w:divBdr>
        <w:top w:val="none" w:sz="0" w:space="0" w:color="auto"/>
        <w:left w:val="none" w:sz="0" w:space="0" w:color="auto"/>
        <w:bottom w:val="none" w:sz="0" w:space="0" w:color="auto"/>
        <w:right w:val="none" w:sz="0" w:space="0" w:color="auto"/>
      </w:divBdr>
      <w:divsChild>
        <w:div w:id="1291015958">
          <w:marLeft w:val="446"/>
          <w:marRight w:val="0"/>
          <w:marTop w:val="0"/>
          <w:marBottom w:val="0"/>
          <w:divBdr>
            <w:top w:val="none" w:sz="0" w:space="0" w:color="auto"/>
            <w:left w:val="none" w:sz="0" w:space="0" w:color="auto"/>
            <w:bottom w:val="none" w:sz="0" w:space="0" w:color="auto"/>
            <w:right w:val="none" w:sz="0" w:space="0" w:color="auto"/>
          </w:divBdr>
        </w:div>
      </w:divsChild>
    </w:div>
    <w:div w:id="121190279">
      <w:bodyDiv w:val="1"/>
      <w:marLeft w:val="0"/>
      <w:marRight w:val="0"/>
      <w:marTop w:val="0"/>
      <w:marBottom w:val="0"/>
      <w:divBdr>
        <w:top w:val="none" w:sz="0" w:space="0" w:color="auto"/>
        <w:left w:val="none" w:sz="0" w:space="0" w:color="auto"/>
        <w:bottom w:val="none" w:sz="0" w:space="0" w:color="auto"/>
        <w:right w:val="none" w:sz="0" w:space="0" w:color="auto"/>
      </w:divBdr>
    </w:div>
    <w:div w:id="134567235">
      <w:bodyDiv w:val="1"/>
      <w:marLeft w:val="0"/>
      <w:marRight w:val="0"/>
      <w:marTop w:val="0"/>
      <w:marBottom w:val="0"/>
      <w:divBdr>
        <w:top w:val="none" w:sz="0" w:space="0" w:color="auto"/>
        <w:left w:val="none" w:sz="0" w:space="0" w:color="auto"/>
        <w:bottom w:val="none" w:sz="0" w:space="0" w:color="auto"/>
        <w:right w:val="none" w:sz="0" w:space="0" w:color="auto"/>
      </w:divBdr>
    </w:div>
    <w:div w:id="137189432">
      <w:bodyDiv w:val="1"/>
      <w:marLeft w:val="0"/>
      <w:marRight w:val="0"/>
      <w:marTop w:val="0"/>
      <w:marBottom w:val="0"/>
      <w:divBdr>
        <w:top w:val="none" w:sz="0" w:space="0" w:color="auto"/>
        <w:left w:val="none" w:sz="0" w:space="0" w:color="auto"/>
        <w:bottom w:val="none" w:sz="0" w:space="0" w:color="auto"/>
        <w:right w:val="none" w:sz="0" w:space="0" w:color="auto"/>
      </w:divBdr>
    </w:div>
    <w:div w:id="158271890">
      <w:bodyDiv w:val="1"/>
      <w:marLeft w:val="0"/>
      <w:marRight w:val="0"/>
      <w:marTop w:val="0"/>
      <w:marBottom w:val="0"/>
      <w:divBdr>
        <w:top w:val="none" w:sz="0" w:space="0" w:color="auto"/>
        <w:left w:val="none" w:sz="0" w:space="0" w:color="auto"/>
        <w:bottom w:val="none" w:sz="0" w:space="0" w:color="auto"/>
        <w:right w:val="none" w:sz="0" w:space="0" w:color="auto"/>
      </w:divBdr>
    </w:div>
    <w:div w:id="163517858">
      <w:bodyDiv w:val="1"/>
      <w:marLeft w:val="0"/>
      <w:marRight w:val="0"/>
      <w:marTop w:val="0"/>
      <w:marBottom w:val="0"/>
      <w:divBdr>
        <w:top w:val="none" w:sz="0" w:space="0" w:color="auto"/>
        <w:left w:val="none" w:sz="0" w:space="0" w:color="auto"/>
        <w:bottom w:val="none" w:sz="0" w:space="0" w:color="auto"/>
        <w:right w:val="none" w:sz="0" w:space="0" w:color="auto"/>
      </w:divBdr>
    </w:div>
    <w:div w:id="186213847">
      <w:bodyDiv w:val="1"/>
      <w:marLeft w:val="0"/>
      <w:marRight w:val="0"/>
      <w:marTop w:val="0"/>
      <w:marBottom w:val="0"/>
      <w:divBdr>
        <w:top w:val="none" w:sz="0" w:space="0" w:color="auto"/>
        <w:left w:val="none" w:sz="0" w:space="0" w:color="auto"/>
        <w:bottom w:val="none" w:sz="0" w:space="0" w:color="auto"/>
        <w:right w:val="none" w:sz="0" w:space="0" w:color="auto"/>
      </w:divBdr>
    </w:div>
    <w:div w:id="254486248">
      <w:bodyDiv w:val="1"/>
      <w:marLeft w:val="0"/>
      <w:marRight w:val="0"/>
      <w:marTop w:val="0"/>
      <w:marBottom w:val="0"/>
      <w:divBdr>
        <w:top w:val="none" w:sz="0" w:space="0" w:color="auto"/>
        <w:left w:val="none" w:sz="0" w:space="0" w:color="auto"/>
        <w:bottom w:val="none" w:sz="0" w:space="0" w:color="auto"/>
        <w:right w:val="none" w:sz="0" w:space="0" w:color="auto"/>
      </w:divBdr>
      <w:divsChild>
        <w:div w:id="201141482">
          <w:marLeft w:val="446"/>
          <w:marRight w:val="0"/>
          <w:marTop w:val="0"/>
          <w:marBottom w:val="0"/>
          <w:divBdr>
            <w:top w:val="none" w:sz="0" w:space="0" w:color="auto"/>
            <w:left w:val="none" w:sz="0" w:space="0" w:color="auto"/>
            <w:bottom w:val="none" w:sz="0" w:space="0" w:color="auto"/>
            <w:right w:val="none" w:sz="0" w:space="0" w:color="auto"/>
          </w:divBdr>
        </w:div>
      </w:divsChild>
    </w:div>
    <w:div w:id="336425974">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8">
          <w:marLeft w:val="547"/>
          <w:marRight w:val="0"/>
          <w:marTop w:val="140"/>
          <w:marBottom w:val="0"/>
          <w:divBdr>
            <w:top w:val="none" w:sz="0" w:space="0" w:color="auto"/>
            <w:left w:val="none" w:sz="0" w:space="0" w:color="auto"/>
            <w:bottom w:val="none" w:sz="0" w:space="0" w:color="auto"/>
            <w:right w:val="none" w:sz="0" w:space="0" w:color="auto"/>
          </w:divBdr>
        </w:div>
      </w:divsChild>
    </w:div>
    <w:div w:id="366368359">
      <w:bodyDiv w:val="1"/>
      <w:marLeft w:val="0"/>
      <w:marRight w:val="0"/>
      <w:marTop w:val="0"/>
      <w:marBottom w:val="0"/>
      <w:divBdr>
        <w:top w:val="none" w:sz="0" w:space="0" w:color="auto"/>
        <w:left w:val="none" w:sz="0" w:space="0" w:color="auto"/>
        <w:bottom w:val="none" w:sz="0" w:space="0" w:color="auto"/>
        <w:right w:val="none" w:sz="0" w:space="0" w:color="auto"/>
      </w:divBdr>
      <w:divsChild>
        <w:div w:id="432939529">
          <w:marLeft w:val="547"/>
          <w:marRight w:val="0"/>
          <w:marTop w:val="140"/>
          <w:marBottom w:val="0"/>
          <w:divBdr>
            <w:top w:val="none" w:sz="0" w:space="0" w:color="auto"/>
            <w:left w:val="none" w:sz="0" w:space="0" w:color="auto"/>
            <w:bottom w:val="none" w:sz="0" w:space="0" w:color="auto"/>
            <w:right w:val="none" w:sz="0" w:space="0" w:color="auto"/>
          </w:divBdr>
        </w:div>
        <w:div w:id="1710297346">
          <w:marLeft w:val="547"/>
          <w:marRight w:val="0"/>
          <w:marTop w:val="140"/>
          <w:marBottom w:val="0"/>
          <w:divBdr>
            <w:top w:val="none" w:sz="0" w:space="0" w:color="auto"/>
            <w:left w:val="none" w:sz="0" w:space="0" w:color="auto"/>
            <w:bottom w:val="none" w:sz="0" w:space="0" w:color="auto"/>
            <w:right w:val="none" w:sz="0" w:space="0" w:color="auto"/>
          </w:divBdr>
        </w:div>
      </w:divsChild>
    </w:div>
    <w:div w:id="370615216">
      <w:bodyDiv w:val="1"/>
      <w:marLeft w:val="0"/>
      <w:marRight w:val="0"/>
      <w:marTop w:val="0"/>
      <w:marBottom w:val="0"/>
      <w:divBdr>
        <w:top w:val="none" w:sz="0" w:space="0" w:color="auto"/>
        <w:left w:val="none" w:sz="0" w:space="0" w:color="auto"/>
        <w:bottom w:val="none" w:sz="0" w:space="0" w:color="auto"/>
        <w:right w:val="none" w:sz="0" w:space="0" w:color="auto"/>
      </w:divBdr>
      <w:divsChild>
        <w:div w:id="22026603">
          <w:marLeft w:val="806"/>
          <w:marRight w:val="0"/>
          <w:marTop w:val="200"/>
          <w:marBottom w:val="0"/>
          <w:divBdr>
            <w:top w:val="none" w:sz="0" w:space="0" w:color="auto"/>
            <w:left w:val="none" w:sz="0" w:space="0" w:color="auto"/>
            <w:bottom w:val="none" w:sz="0" w:space="0" w:color="auto"/>
            <w:right w:val="none" w:sz="0" w:space="0" w:color="auto"/>
          </w:divBdr>
        </w:div>
        <w:div w:id="269943839">
          <w:marLeft w:val="806"/>
          <w:marRight w:val="0"/>
          <w:marTop w:val="200"/>
          <w:marBottom w:val="0"/>
          <w:divBdr>
            <w:top w:val="none" w:sz="0" w:space="0" w:color="auto"/>
            <w:left w:val="none" w:sz="0" w:space="0" w:color="auto"/>
            <w:bottom w:val="none" w:sz="0" w:space="0" w:color="auto"/>
            <w:right w:val="none" w:sz="0" w:space="0" w:color="auto"/>
          </w:divBdr>
        </w:div>
        <w:div w:id="828248579">
          <w:marLeft w:val="806"/>
          <w:marRight w:val="0"/>
          <w:marTop w:val="200"/>
          <w:marBottom w:val="0"/>
          <w:divBdr>
            <w:top w:val="none" w:sz="0" w:space="0" w:color="auto"/>
            <w:left w:val="none" w:sz="0" w:space="0" w:color="auto"/>
            <w:bottom w:val="none" w:sz="0" w:space="0" w:color="auto"/>
            <w:right w:val="none" w:sz="0" w:space="0" w:color="auto"/>
          </w:divBdr>
        </w:div>
        <w:div w:id="1730570641">
          <w:marLeft w:val="806"/>
          <w:marRight w:val="0"/>
          <w:marTop w:val="200"/>
          <w:marBottom w:val="0"/>
          <w:divBdr>
            <w:top w:val="none" w:sz="0" w:space="0" w:color="auto"/>
            <w:left w:val="none" w:sz="0" w:space="0" w:color="auto"/>
            <w:bottom w:val="none" w:sz="0" w:space="0" w:color="auto"/>
            <w:right w:val="none" w:sz="0" w:space="0" w:color="auto"/>
          </w:divBdr>
        </w:div>
        <w:div w:id="1914270026">
          <w:marLeft w:val="806"/>
          <w:marRight w:val="0"/>
          <w:marTop w:val="200"/>
          <w:marBottom w:val="0"/>
          <w:divBdr>
            <w:top w:val="none" w:sz="0" w:space="0" w:color="auto"/>
            <w:left w:val="none" w:sz="0" w:space="0" w:color="auto"/>
            <w:bottom w:val="none" w:sz="0" w:space="0" w:color="auto"/>
            <w:right w:val="none" w:sz="0" w:space="0" w:color="auto"/>
          </w:divBdr>
        </w:div>
        <w:div w:id="2067416413">
          <w:marLeft w:val="806"/>
          <w:marRight w:val="0"/>
          <w:marTop w:val="200"/>
          <w:marBottom w:val="0"/>
          <w:divBdr>
            <w:top w:val="none" w:sz="0" w:space="0" w:color="auto"/>
            <w:left w:val="none" w:sz="0" w:space="0" w:color="auto"/>
            <w:bottom w:val="none" w:sz="0" w:space="0" w:color="auto"/>
            <w:right w:val="none" w:sz="0" w:space="0" w:color="auto"/>
          </w:divBdr>
        </w:div>
      </w:divsChild>
    </w:div>
    <w:div w:id="371539096">
      <w:bodyDiv w:val="1"/>
      <w:marLeft w:val="0"/>
      <w:marRight w:val="0"/>
      <w:marTop w:val="0"/>
      <w:marBottom w:val="0"/>
      <w:divBdr>
        <w:top w:val="none" w:sz="0" w:space="0" w:color="auto"/>
        <w:left w:val="none" w:sz="0" w:space="0" w:color="auto"/>
        <w:bottom w:val="none" w:sz="0" w:space="0" w:color="auto"/>
        <w:right w:val="none" w:sz="0" w:space="0" w:color="auto"/>
      </w:divBdr>
    </w:div>
    <w:div w:id="401683080">
      <w:bodyDiv w:val="1"/>
      <w:marLeft w:val="0"/>
      <w:marRight w:val="0"/>
      <w:marTop w:val="0"/>
      <w:marBottom w:val="0"/>
      <w:divBdr>
        <w:top w:val="none" w:sz="0" w:space="0" w:color="auto"/>
        <w:left w:val="none" w:sz="0" w:space="0" w:color="auto"/>
        <w:bottom w:val="none" w:sz="0" w:space="0" w:color="auto"/>
        <w:right w:val="none" w:sz="0" w:space="0" w:color="auto"/>
      </w:divBdr>
      <w:divsChild>
        <w:div w:id="152529319">
          <w:marLeft w:val="1238"/>
          <w:marRight w:val="0"/>
          <w:marTop w:val="140"/>
          <w:marBottom w:val="0"/>
          <w:divBdr>
            <w:top w:val="none" w:sz="0" w:space="0" w:color="auto"/>
            <w:left w:val="none" w:sz="0" w:space="0" w:color="auto"/>
            <w:bottom w:val="none" w:sz="0" w:space="0" w:color="auto"/>
            <w:right w:val="none" w:sz="0" w:space="0" w:color="auto"/>
          </w:divBdr>
        </w:div>
        <w:div w:id="168760818">
          <w:marLeft w:val="1238"/>
          <w:marRight w:val="0"/>
          <w:marTop w:val="140"/>
          <w:marBottom w:val="0"/>
          <w:divBdr>
            <w:top w:val="none" w:sz="0" w:space="0" w:color="auto"/>
            <w:left w:val="none" w:sz="0" w:space="0" w:color="auto"/>
            <w:bottom w:val="none" w:sz="0" w:space="0" w:color="auto"/>
            <w:right w:val="none" w:sz="0" w:space="0" w:color="auto"/>
          </w:divBdr>
        </w:div>
        <w:div w:id="426585048">
          <w:marLeft w:val="1915"/>
          <w:marRight w:val="0"/>
          <w:marTop w:val="140"/>
          <w:marBottom w:val="0"/>
          <w:divBdr>
            <w:top w:val="none" w:sz="0" w:space="0" w:color="auto"/>
            <w:left w:val="none" w:sz="0" w:space="0" w:color="auto"/>
            <w:bottom w:val="none" w:sz="0" w:space="0" w:color="auto"/>
            <w:right w:val="none" w:sz="0" w:space="0" w:color="auto"/>
          </w:divBdr>
        </w:div>
        <w:div w:id="828789546">
          <w:marLeft w:val="1238"/>
          <w:marRight w:val="0"/>
          <w:marTop w:val="140"/>
          <w:marBottom w:val="0"/>
          <w:divBdr>
            <w:top w:val="none" w:sz="0" w:space="0" w:color="auto"/>
            <w:left w:val="none" w:sz="0" w:space="0" w:color="auto"/>
            <w:bottom w:val="none" w:sz="0" w:space="0" w:color="auto"/>
            <w:right w:val="none" w:sz="0" w:space="0" w:color="auto"/>
          </w:divBdr>
        </w:div>
        <w:div w:id="1040978273">
          <w:marLeft w:val="1238"/>
          <w:marRight w:val="0"/>
          <w:marTop w:val="140"/>
          <w:marBottom w:val="0"/>
          <w:divBdr>
            <w:top w:val="none" w:sz="0" w:space="0" w:color="auto"/>
            <w:left w:val="none" w:sz="0" w:space="0" w:color="auto"/>
            <w:bottom w:val="none" w:sz="0" w:space="0" w:color="auto"/>
            <w:right w:val="none" w:sz="0" w:space="0" w:color="auto"/>
          </w:divBdr>
        </w:div>
        <w:div w:id="1201165536">
          <w:marLeft w:val="1238"/>
          <w:marRight w:val="0"/>
          <w:marTop w:val="140"/>
          <w:marBottom w:val="0"/>
          <w:divBdr>
            <w:top w:val="none" w:sz="0" w:space="0" w:color="auto"/>
            <w:left w:val="none" w:sz="0" w:space="0" w:color="auto"/>
            <w:bottom w:val="none" w:sz="0" w:space="0" w:color="auto"/>
            <w:right w:val="none" w:sz="0" w:space="0" w:color="auto"/>
          </w:divBdr>
        </w:div>
      </w:divsChild>
    </w:div>
    <w:div w:id="420833893">
      <w:bodyDiv w:val="1"/>
      <w:marLeft w:val="0"/>
      <w:marRight w:val="0"/>
      <w:marTop w:val="0"/>
      <w:marBottom w:val="0"/>
      <w:divBdr>
        <w:top w:val="none" w:sz="0" w:space="0" w:color="auto"/>
        <w:left w:val="none" w:sz="0" w:space="0" w:color="auto"/>
        <w:bottom w:val="none" w:sz="0" w:space="0" w:color="auto"/>
        <w:right w:val="none" w:sz="0" w:space="0" w:color="auto"/>
      </w:divBdr>
    </w:div>
    <w:div w:id="433474404">
      <w:bodyDiv w:val="1"/>
      <w:marLeft w:val="0"/>
      <w:marRight w:val="0"/>
      <w:marTop w:val="0"/>
      <w:marBottom w:val="0"/>
      <w:divBdr>
        <w:top w:val="none" w:sz="0" w:space="0" w:color="auto"/>
        <w:left w:val="none" w:sz="0" w:space="0" w:color="auto"/>
        <w:bottom w:val="none" w:sz="0" w:space="0" w:color="auto"/>
        <w:right w:val="none" w:sz="0" w:space="0" w:color="auto"/>
      </w:divBdr>
      <w:divsChild>
        <w:div w:id="1520003050">
          <w:marLeft w:val="446"/>
          <w:marRight w:val="0"/>
          <w:marTop w:val="0"/>
          <w:marBottom w:val="0"/>
          <w:divBdr>
            <w:top w:val="none" w:sz="0" w:space="0" w:color="auto"/>
            <w:left w:val="none" w:sz="0" w:space="0" w:color="auto"/>
            <w:bottom w:val="none" w:sz="0" w:space="0" w:color="auto"/>
            <w:right w:val="none" w:sz="0" w:space="0" w:color="auto"/>
          </w:divBdr>
        </w:div>
      </w:divsChild>
    </w:div>
    <w:div w:id="497575469">
      <w:bodyDiv w:val="1"/>
      <w:marLeft w:val="0"/>
      <w:marRight w:val="0"/>
      <w:marTop w:val="0"/>
      <w:marBottom w:val="0"/>
      <w:divBdr>
        <w:top w:val="none" w:sz="0" w:space="0" w:color="auto"/>
        <w:left w:val="none" w:sz="0" w:space="0" w:color="auto"/>
        <w:bottom w:val="none" w:sz="0" w:space="0" w:color="auto"/>
        <w:right w:val="none" w:sz="0" w:space="0" w:color="auto"/>
      </w:divBdr>
    </w:div>
    <w:div w:id="501700980">
      <w:bodyDiv w:val="1"/>
      <w:marLeft w:val="0"/>
      <w:marRight w:val="0"/>
      <w:marTop w:val="0"/>
      <w:marBottom w:val="0"/>
      <w:divBdr>
        <w:top w:val="none" w:sz="0" w:space="0" w:color="auto"/>
        <w:left w:val="none" w:sz="0" w:space="0" w:color="auto"/>
        <w:bottom w:val="none" w:sz="0" w:space="0" w:color="auto"/>
        <w:right w:val="none" w:sz="0" w:space="0" w:color="auto"/>
      </w:divBdr>
      <w:divsChild>
        <w:div w:id="493377692">
          <w:marLeft w:val="1238"/>
          <w:marRight w:val="0"/>
          <w:marTop w:val="140"/>
          <w:marBottom w:val="0"/>
          <w:divBdr>
            <w:top w:val="none" w:sz="0" w:space="0" w:color="auto"/>
            <w:left w:val="none" w:sz="0" w:space="0" w:color="auto"/>
            <w:bottom w:val="none" w:sz="0" w:space="0" w:color="auto"/>
            <w:right w:val="none" w:sz="0" w:space="0" w:color="auto"/>
          </w:divBdr>
        </w:div>
        <w:div w:id="924729506">
          <w:marLeft w:val="1238"/>
          <w:marRight w:val="0"/>
          <w:marTop w:val="140"/>
          <w:marBottom w:val="0"/>
          <w:divBdr>
            <w:top w:val="none" w:sz="0" w:space="0" w:color="auto"/>
            <w:left w:val="none" w:sz="0" w:space="0" w:color="auto"/>
            <w:bottom w:val="none" w:sz="0" w:space="0" w:color="auto"/>
            <w:right w:val="none" w:sz="0" w:space="0" w:color="auto"/>
          </w:divBdr>
        </w:div>
        <w:div w:id="1051271405">
          <w:marLeft w:val="1238"/>
          <w:marRight w:val="0"/>
          <w:marTop w:val="140"/>
          <w:marBottom w:val="0"/>
          <w:divBdr>
            <w:top w:val="none" w:sz="0" w:space="0" w:color="auto"/>
            <w:left w:val="none" w:sz="0" w:space="0" w:color="auto"/>
            <w:bottom w:val="none" w:sz="0" w:space="0" w:color="auto"/>
            <w:right w:val="none" w:sz="0" w:space="0" w:color="auto"/>
          </w:divBdr>
        </w:div>
        <w:div w:id="1847280180">
          <w:marLeft w:val="1238"/>
          <w:marRight w:val="0"/>
          <w:marTop w:val="140"/>
          <w:marBottom w:val="0"/>
          <w:divBdr>
            <w:top w:val="none" w:sz="0" w:space="0" w:color="auto"/>
            <w:left w:val="none" w:sz="0" w:space="0" w:color="auto"/>
            <w:bottom w:val="none" w:sz="0" w:space="0" w:color="auto"/>
            <w:right w:val="none" w:sz="0" w:space="0" w:color="auto"/>
          </w:divBdr>
        </w:div>
      </w:divsChild>
    </w:div>
    <w:div w:id="519243926">
      <w:bodyDiv w:val="1"/>
      <w:marLeft w:val="0"/>
      <w:marRight w:val="0"/>
      <w:marTop w:val="0"/>
      <w:marBottom w:val="0"/>
      <w:divBdr>
        <w:top w:val="none" w:sz="0" w:space="0" w:color="auto"/>
        <w:left w:val="none" w:sz="0" w:space="0" w:color="auto"/>
        <w:bottom w:val="none" w:sz="0" w:space="0" w:color="auto"/>
        <w:right w:val="none" w:sz="0" w:space="0" w:color="auto"/>
      </w:divBdr>
      <w:divsChild>
        <w:div w:id="1643656160">
          <w:marLeft w:val="288"/>
          <w:marRight w:val="0"/>
          <w:marTop w:val="0"/>
          <w:marBottom w:val="0"/>
          <w:divBdr>
            <w:top w:val="none" w:sz="0" w:space="0" w:color="auto"/>
            <w:left w:val="none" w:sz="0" w:space="0" w:color="auto"/>
            <w:bottom w:val="none" w:sz="0" w:space="0" w:color="auto"/>
            <w:right w:val="none" w:sz="0" w:space="0" w:color="auto"/>
          </w:divBdr>
        </w:div>
      </w:divsChild>
    </w:div>
    <w:div w:id="543905902">
      <w:bodyDiv w:val="1"/>
      <w:marLeft w:val="0"/>
      <w:marRight w:val="0"/>
      <w:marTop w:val="0"/>
      <w:marBottom w:val="0"/>
      <w:divBdr>
        <w:top w:val="none" w:sz="0" w:space="0" w:color="auto"/>
        <w:left w:val="none" w:sz="0" w:space="0" w:color="auto"/>
        <w:bottom w:val="none" w:sz="0" w:space="0" w:color="auto"/>
        <w:right w:val="none" w:sz="0" w:space="0" w:color="auto"/>
      </w:divBdr>
    </w:div>
    <w:div w:id="558632220">
      <w:bodyDiv w:val="1"/>
      <w:marLeft w:val="0"/>
      <w:marRight w:val="0"/>
      <w:marTop w:val="0"/>
      <w:marBottom w:val="0"/>
      <w:divBdr>
        <w:top w:val="none" w:sz="0" w:space="0" w:color="auto"/>
        <w:left w:val="none" w:sz="0" w:space="0" w:color="auto"/>
        <w:bottom w:val="none" w:sz="0" w:space="0" w:color="auto"/>
        <w:right w:val="none" w:sz="0" w:space="0" w:color="auto"/>
      </w:divBdr>
    </w:div>
    <w:div w:id="595090259">
      <w:bodyDiv w:val="1"/>
      <w:marLeft w:val="0"/>
      <w:marRight w:val="0"/>
      <w:marTop w:val="0"/>
      <w:marBottom w:val="0"/>
      <w:divBdr>
        <w:top w:val="none" w:sz="0" w:space="0" w:color="auto"/>
        <w:left w:val="none" w:sz="0" w:space="0" w:color="auto"/>
        <w:bottom w:val="none" w:sz="0" w:space="0" w:color="auto"/>
        <w:right w:val="none" w:sz="0" w:space="0" w:color="auto"/>
      </w:divBdr>
      <w:divsChild>
        <w:div w:id="1306352267">
          <w:marLeft w:val="547"/>
          <w:marRight w:val="0"/>
          <w:marTop w:val="140"/>
          <w:marBottom w:val="0"/>
          <w:divBdr>
            <w:top w:val="none" w:sz="0" w:space="0" w:color="auto"/>
            <w:left w:val="none" w:sz="0" w:space="0" w:color="auto"/>
            <w:bottom w:val="none" w:sz="0" w:space="0" w:color="auto"/>
            <w:right w:val="none" w:sz="0" w:space="0" w:color="auto"/>
          </w:divBdr>
        </w:div>
      </w:divsChild>
    </w:div>
    <w:div w:id="633558904">
      <w:bodyDiv w:val="1"/>
      <w:marLeft w:val="0"/>
      <w:marRight w:val="0"/>
      <w:marTop w:val="0"/>
      <w:marBottom w:val="0"/>
      <w:divBdr>
        <w:top w:val="none" w:sz="0" w:space="0" w:color="auto"/>
        <w:left w:val="none" w:sz="0" w:space="0" w:color="auto"/>
        <w:bottom w:val="none" w:sz="0" w:space="0" w:color="auto"/>
        <w:right w:val="none" w:sz="0" w:space="0" w:color="auto"/>
      </w:divBdr>
      <w:divsChild>
        <w:div w:id="311369546">
          <w:marLeft w:val="1282"/>
          <w:marRight w:val="0"/>
          <w:marTop w:val="0"/>
          <w:marBottom w:val="0"/>
          <w:divBdr>
            <w:top w:val="none" w:sz="0" w:space="0" w:color="auto"/>
            <w:left w:val="none" w:sz="0" w:space="0" w:color="auto"/>
            <w:bottom w:val="none" w:sz="0" w:space="0" w:color="auto"/>
            <w:right w:val="none" w:sz="0" w:space="0" w:color="auto"/>
          </w:divBdr>
        </w:div>
        <w:div w:id="345329814">
          <w:marLeft w:val="1282"/>
          <w:marRight w:val="0"/>
          <w:marTop w:val="0"/>
          <w:marBottom w:val="0"/>
          <w:divBdr>
            <w:top w:val="none" w:sz="0" w:space="0" w:color="auto"/>
            <w:left w:val="none" w:sz="0" w:space="0" w:color="auto"/>
            <w:bottom w:val="none" w:sz="0" w:space="0" w:color="auto"/>
            <w:right w:val="none" w:sz="0" w:space="0" w:color="auto"/>
          </w:divBdr>
        </w:div>
        <w:div w:id="579676156">
          <w:marLeft w:val="1282"/>
          <w:marRight w:val="0"/>
          <w:marTop w:val="0"/>
          <w:marBottom w:val="0"/>
          <w:divBdr>
            <w:top w:val="none" w:sz="0" w:space="0" w:color="auto"/>
            <w:left w:val="none" w:sz="0" w:space="0" w:color="auto"/>
            <w:bottom w:val="none" w:sz="0" w:space="0" w:color="auto"/>
            <w:right w:val="none" w:sz="0" w:space="0" w:color="auto"/>
          </w:divBdr>
        </w:div>
        <w:div w:id="781458407">
          <w:marLeft w:val="1282"/>
          <w:marRight w:val="0"/>
          <w:marTop w:val="0"/>
          <w:marBottom w:val="0"/>
          <w:divBdr>
            <w:top w:val="none" w:sz="0" w:space="0" w:color="auto"/>
            <w:left w:val="none" w:sz="0" w:space="0" w:color="auto"/>
            <w:bottom w:val="none" w:sz="0" w:space="0" w:color="auto"/>
            <w:right w:val="none" w:sz="0" w:space="0" w:color="auto"/>
          </w:divBdr>
        </w:div>
        <w:div w:id="951473422">
          <w:marLeft w:val="1282"/>
          <w:marRight w:val="0"/>
          <w:marTop w:val="0"/>
          <w:marBottom w:val="0"/>
          <w:divBdr>
            <w:top w:val="none" w:sz="0" w:space="0" w:color="auto"/>
            <w:left w:val="none" w:sz="0" w:space="0" w:color="auto"/>
            <w:bottom w:val="none" w:sz="0" w:space="0" w:color="auto"/>
            <w:right w:val="none" w:sz="0" w:space="0" w:color="auto"/>
          </w:divBdr>
        </w:div>
        <w:div w:id="987516286">
          <w:marLeft w:val="562"/>
          <w:marRight w:val="0"/>
          <w:marTop w:val="0"/>
          <w:marBottom w:val="0"/>
          <w:divBdr>
            <w:top w:val="none" w:sz="0" w:space="0" w:color="auto"/>
            <w:left w:val="none" w:sz="0" w:space="0" w:color="auto"/>
            <w:bottom w:val="none" w:sz="0" w:space="0" w:color="auto"/>
            <w:right w:val="none" w:sz="0" w:space="0" w:color="auto"/>
          </w:divBdr>
        </w:div>
        <w:div w:id="1235429146">
          <w:marLeft w:val="1282"/>
          <w:marRight w:val="0"/>
          <w:marTop w:val="0"/>
          <w:marBottom w:val="0"/>
          <w:divBdr>
            <w:top w:val="none" w:sz="0" w:space="0" w:color="auto"/>
            <w:left w:val="none" w:sz="0" w:space="0" w:color="auto"/>
            <w:bottom w:val="none" w:sz="0" w:space="0" w:color="auto"/>
            <w:right w:val="none" w:sz="0" w:space="0" w:color="auto"/>
          </w:divBdr>
        </w:div>
      </w:divsChild>
    </w:div>
    <w:div w:id="636573362">
      <w:bodyDiv w:val="1"/>
      <w:marLeft w:val="0"/>
      <w:marRight w:val="0"/>
      <w:marTop w:val="0"/>
      <w:marBottom w:val="0"/>
      <w:divBdr>
        <w:top w:val="none" w:sz="0" w:space="0" w:color="auto"/>
        <w:left w:val="none" w:sz="0" w:space="0" w:color="auto"/>
        <w:bottom w:val="none" w:sz="0" w:space="0" w:color="auto"/>
        <w:right w:val="none" w:sz="0" w:space="0" w:color="auto"/>
      </w:divBdr>
      <w:divsChild>
        <w:div w:id="166478395">
          <w:marLeft w:val="547"/>
          <w:marRight w:val="0"/>
          <w:marTop w:val="140"/>
          <w:marBottom w:val="0"/>
          <w:divBdr>
            <w:top w:val="none" w:sz="0" w:space="0" w:color="auto"/>
            <w:left w:val="none" w:sz="0" w:space="0" w:color="auto"/>
            <w:bottom w:val="none" w:sz="0" w:space="0" w:color="auto"/>
            <w:right w:val="none" w:sz="0" w:space="0" w:color="auto"/>
          </w:divBdr>
        </w:div>
        <w:div w:id="1212881653">
          <w:marLeft w:val="1238"/>
          <w:marRight w:val="0"/>
          <w:marTop w:val="140"/>
          <w:marBottom w:val="0"/>
          <w:divBdr>
            <w:top w:val="none" w:sz="0" w:space="0" w:color="auto"/>
            <w:left w:val="none" w:sz="0" w:space="0" w:color="auto"/>
            <w:bottom w:val="none" w:sz="0" w:space="0" w:color="auto"/>
            <w:right w:val="none" w:sz="0" w:space="0" w:color="auto"/>
          </w:divBdr>
        </w:div>
        <w:div w:id="1665861249">
          <w:marLeft w:val="1238"/>
          <w:marRight w:val="0"/>
          <w:marTop w:val="140"/>
          <w:marBottom w:val="0"/>
          <w:divBdr>
            <w:top w:val="none" w:sz="0" w:space="0" w:color="auto"/>
            <w:left w:val="none" w:sz="0" w:space="0" w:color="auto"/>
            <w:bottom w:val="none" w:sz="0" w:space="0" w:color="auto"/>
            <w:right w:val="none" w:sz="0" w:space="0" w:color="auto"/>
          </w:divBdr>
        </w:div>
        <w:div w:id="1814592445">
          <w:marLeft w:val="547"/>
          <w:marRight w:val="0"/>
          <w:marTop w:val="140"/>
          <w:marBottom w:val="0"/>
          <w:divBdr>
            <w:top w:val="none" w:sz="0" w:space="0" w:color="auto"/>
            <w:left w:val="none" w:sz="0" w:space="0" w:color="auto"/>
            <w:bottom w:val="none" w:sz="0" w:space="0" w:color="auto"/>
            <w:right w:val="none" w:sz="0" w:space="0" w:color="auto"/>
          </w:divBdr>
        </w:div>
      </w:divsChild>
    </w:div>
    <w:div w:id="657539282">
      <w:bodyDiv w:val="1"/>
      <w:marLeft w:val="0"/>
      <w:marRight w:val="0"/>
      <w:marTop w:val="0"/>
      <w:marBottom w:val="0"/>
      <w:divBdr>
        <w:top w:val="none" w:sz="0" w:space="0" w:color="auto"/>
        <w:left w:val="none" w:sz="0" w:space="0" w:color="auto"/>
        <w:bottom w:val="none" w:sz="0" w:space="0" w:color="auto"/>
        <w:right w:val="none" w:sz="0" w:space="0" w:color="auto"/>
      </w:divBdr>
      <w:divsChild>
        <w:div w:id="858280226">
          <w:marLeft w:val="547"/>
          <w:marRight w:val="0"/>
          <w:marTop w:val="53"/>
          <w:marBottom w:val="0"/>
          <w:divBdr>
            <w:top w:val="none" w:sz="0" w:space="0" w:color="auto"/>
            <w:left w:val="none" w:sz="0" w:space="0" w:color="auto"/>
            <w:bottom w:val="none" w:sz="0" w:space="0" w:color="auto"/>
            <w:right w:val="none" w:sz="0" w:space="0" w:color="auto"/>
          </w:divBdr>
        </w:div>
      </w:divsChild>
    </w:div>
    <w:div w:id="732243257">
      <w:bodyDiv w:val="1"/>
      <w:marLeft w:val="0"/>
      <w:marRight w:val="0"/>
      <w:marTop w:val="0"/>
      <w:marBottom w:val="0"/>
      <w:divBdr>
        <w:top w:val="none" w:sz="0" w:space="0" w:color="auto"/>
        <w:left w:val="none" w:sz="0" w:space="0" w:color="auto"/>
        <w:bottom w:val="none" w:sz="0" w:space="0" w:color="auto"/>
        <w:right w:val="none" w:sz="0" w:space="0" w:color="auto"/>
      </w:divBdr>
      <w:divsChild>
        <w:div w:id="676810136">
          <w:marLeft w:val="288"/>
          <w:marRight w:val="0"/>
          <w:marTop w:val="0"/>
          <w:marBottom w:val="0"/>
          <w:divBdr>
            <w:top w:val="none" w:sz="0" w:space="0" w:color="auto"/>
            <w:left w:val="none" w:sz="0" w:space="0" w:color="auto"/>
            <w:bottom w:val="none" w:sz="0" w:space="0" w:color="auto"/>
            <w:right w:val="none" w:sz="0" w:space="0" w:color="auto"/>
          </w:divBdr>
        </w:div>
        <w:div w:id="1095399181">
          <w:marLeft w:val="288"/>
          <w:marRight w:val="0"/>
          <w:marTop w:val="0"/>
          <w:marBottom w:val="0"/>
          <w:divBdr>
            <w:top w:val="none" w:sz="0" w:space="0" w:color="auto"/>
            <w:left w:val="none" w:sz="0" w:space="0" w:color="auto"/>
            <w:bottom w:val="none" w:sz="0" w:space="0" w:color="auto"/>
            <w:right w:val="none" w:sz="0" w:space="0" w:color="auto"/>
          </w:divBdr>
        </w:div>
        <w:div w:id="1712804928">
          <w:marLeft w:val="288"/>
          <w:marRight w:val="0"/>
          <w:marTop w:val="0"/>
          <w:marBottom w:val="0"/>
          <w:divBdr>
            <w:top w:val="none" w:sz="0" w:space="0" w:color="auto"/>
            <w:left w:val="none" w:sz="0" w:space="0" w:color="auto"/>
            <w:bottom w:val="none" w:sz="0" w:space="0" w:color="auto"/>
            <w:right w:val="none" w:sz="0" w:space="0" w:color="auto"/>
          </w:divBdr>
        </w:div>
      </w:divsChild>
    </w:div>
    <w:div w:id="739210158">
      <w:bodyDiv w:val="1"/>
      <w:marLeft w:val="0"/>
      <w:marRight w:val="0"/>
      <w:marTop w:val="0"/>
      <w:marBottom w:val="0"/>
      <w:divBdr>
        <w:top w:val="none" w:sz="0" w:space="0" w:color="auto"/>
        <w:left w:val="none" w:sz="0" w:space="0" w:color="auto"/>
        <w:bottom w:val="none" w:sz="0" w:space="0" w:color="auto"/>
        <w:right w:val="none" w:sz="0" w:space="0" w:color="auto"/>
      </w:divBdr>
    </w:div>
    <w:div w:id="766921097">
      <w:bodyDiv w:val="1"/>
      <w:marLeft w:val="0"/>
      <w:marRight w:val="0"/>
      <w:marTop w:val="0"/>
      <w:marBottom w:val="0"/>
      <w:divBdr>
        <w:top w:val="none" w:sz="0" w:space="0" w:color="auto"/>
        <w:left w:val="none" w:sz="0" w:space="0" w:color="auto"/>
        <w:bottom w:val="none" w:sz="0" w:space="0" w:color="auto"/>
        <w:right w:val="none" w:sz="0" w:space="0" w:color="auto"/>
      </w:divBdr>
    </w:div>
    <w:div w:id="785738891">
      <w:bodyDiv w:val="1"/>
      <w:marLeft w:val="0"/>
      <w:marRight w:val="0"/>
      <w:marTop w:val="0"/>
      <w:marBottom w:val="0"/>
      <w:divBdr>
        <w:top w:val="none" w:sz="0" w:space="0" w:color="auto"/>
        <w:left w:val="none" w:sz="0" w:space="0" w:color="auto"/>
        <w:bottom w:val="none" w:sz="0" w:space="0" w:color="auto"/>
        <w:right w:val="none" w:sz="0" w:space="0" w:color="auto"/>
      </w:divBdr>
      <w:divsChild>
        <w:div w:id="1612936078">
          <w:marLeft w:val="1238"/>
          <w:marRight w:val="0"/>
          <w:marTop w:val="140"/>
          <w:marBottom w:val="0"/>
          <w:divBdr>
            <w:top w:val="none" w:sz="0" w:space="0" w:color="auto"/>
            <w:left w:val="none" w:sz="0" w:space="0" w:color="auto"/>
            <w:bottom w:val="none" w:sz="0" w:space="0" w:color="auto"/>
            <w:right w:val="none" w:sz="0" w:space="0" w:color="auto"/>
          </w:divBdr>
        </w:div>
      </w:divsChild>
    </w:div>
    <w:div w:id="828405132">
      <w:bodyDiv w:val="1"/>
      <w:marLeft w:val="0"/>
      <w:marRight w:val="0"/>
      <w:marTop w:val="0"/>
      <w:marBottom w:val="0"/>
      <w:divBdr>
        <w:top w:val="none" w:sz="0" w:space="0" w:color="auto"/>
        <w:left w:val="none" w:sz="0" w:space="0" w:color="auto"/>
        <w:bottom w:val="none" w:sz="0" w:space="0" w:color="auto"/>
        <w:right w:val="none" w:sz="0" w:space="0" w:color="auto"/>
      </w:divBdr>
      <w:divsChild>
        <w:div w:id="271933741">
          <w:marLeft w:val="0"/>
          <w:marRight w:val="0"/>
          <w:marTop w:val="0"/>
          <w:marBottom w:val="0"/>
          <w:divBdr>
            <w:top w:val="none" w:sz="0" w:space="0" w:color="auto"/>
            <w:left w:val="none" w:sz="0" w:space="0" w:color="auto"/>
            <w:bottom w:val="none" w:sz="0" w:space="0" w:color="auto"/>
            <w:right w:val="none" w:sz="0" w:space="0" w:color="auto"/>
          </w:divBdr>
        </w:div>
        <w:div w:id="422075279">
          <w:marLeft w:val="0"/>
          <w:marRight w:val="0"/>
          <w:marTop w:val="0"/>
          <w:marBottom w:val="0"/>
          <w:divBdr>
            <w:top w:val="none" w:sz="0" w:space="0" w:color="auto"/>
            <w:left w:val="none" w:sz="0" w:space="0" w:color="auto"/>
            <w:bottom w:val="none" w:sz="0" w:space="0" w:color="auto"/>
            <w:right w:val="none" w:sz="0" w:space="0" w:color="auto"/>
          </w:divBdr>
        </w:div>
        <w:div w:id="686441197">
          <w:marLeft w:val="0"/>
          <w:marRight w:val="0"/>
          <w:marTop w:val="0"/>
          <w:marBottom w:val="0"/>
          <w:divBdr>
            <w:top w:val="none" w:sz="0" w:space="0" w:color="auto"/>
            <w:left w:val="none" w:sz="0" w:space="0" w:color="auto"/>
            <w:bottom w:val="none" w:sz="0" w:space="0" w:color="auto"/>
            <w:right w:val="none" w:sz="0" w:space="0" w:color="auto"/>
          </w:divBdr>
        </w:div>
        <w:div w:id="1585140222">
          <w:marLeft w:val="0"/>
          <w:marRight w:val="0"/>
          <w:marTop w:val="0"/>
          <w:marBottom w:val="0"/>
          <w:divBdr>
            <w:top w:val="none" w:sz="0" w:space="0" w:color="auto"/>
            <w:left w:val="none" w:sz="0" w:space="0" w:color="auto"/>
            <w:bottom w:val="none" w:sz="0" w:space="0" w:color="auto"/>
            <w:right w:val="none" w:sz="0" w:space="0" w:color="auto"/>
          </w:divBdr>
        </w:div>
      </w:divsChild>
    </w:div>
    <w:div w:id="850603903">
      <w:bodyDiv w:val="1"/>
      <w:marLeft w:val="0"/>
      <w:marRight w:val="0"/>
      <w:marTop w:val="0"/>
      <w:marBottom w:val="0"/>
      <w:divBdr>
        <w:top w:val="none" w:sz="0" w:space="0" w:color="auto"/>
        <w:left w:val="none" w:sz="0" w:space="0" w:color="auto"/>
        <w:bottom w:val="none" w:sz="0" w:space="0" w:color="auto"/>
        <w:right w:val="none" w:sz="0" w:space="0" w:color="auto"/>
      </w:divBdr>
      <w:divsChild>
        <w:div w:id="465514901">
          <w:marLeft w:val="547"/>
          <w:marRight w:val="0"/>
          <w:marTop w:val="53"/>
          <w:marBottom w:val="0"/>
          <w:divBdr>
            <w:top w:val="none" w:sz="0" w:space="0" w:color="auto"/>
            <w:left w:val="none" w:sz="0" w:space="0" w:color="auto"/>
            <w:bottom w:val="none" w:sz="0" w:space="0" w:color="auto"/>
            <w:right w:val="none" w:sz="0" w:space="0" w:color="auto"/>
          </w:divBdr>
        </w:div>
      </w:divsChild>
    </w:div>
    <w:div w:id="900482801">
      <w:bodyDiv w:val="1"/>
      <w:marLeft w:val="0"/>
      <w:marRight w:val="0"/>
      <w:marTop w:val="0"/>
      <w:marBottom w:val="0"/>
      <w:divBdr>
        <w:top w:val="none" w:sz="0" w:space="0" w:color="auto"/>
        <w:left w:val="none" w:sz="0" w:space="0" w:color="auto"/>
        <w:bottom w:val="none" w:sz="0" w:space="0" w:color="auto"/>
        <w:right w:val="none" w:sz="0" w:space="0" w:color="auto"/>
      </w:divBdr>
    </w:div>
    <w:div w:id="955061028">
      <w:bodyDiv w:val="1"/>
      <w:marLeft w:val="0"/>
      <w:marRight w:val="0"/>
      <w:marTop w:val="0"/>
      <w:marBottom w:val="0"/>
      <w:divBdr>
        <w:top w:val="none" w:sz="0" w:space="0" w:color="auto"/>
        <w:left w:val="none" w:sz="0" w:space="0" w:color="auto"/>
        <w:bottom w:val="none" w:sz="0" w:space="0" w:color="auto"/>
        <w:right w:val="none" w:sz="0" w:space="0" w:color="auto"/>
      </w:divBdr>
    </w:div>
    <w:div w:id="955061674">
      <w:bodyDiv w:val="1"/>
      <w:marLeft w:val="0"/>
      <w:marRight w:val="0"/>
      <w:marTop w:val="0"/>
      <w:marBottom w:val="0"/>
      <w:divBdr>
        <w:top w:val="none" w:sz="0" w:space="0" w:color="auto"/>
        <w:left w:val="none" w:sz="0" w:space="0" w:color="auto"/>
        <w:bottom w:val="none" w:sz="0" w:space="0" w:color="auto"/>
        <w:right w:val="none" w:sz="0" w:space="0" w:color="auto"/>
      </w:divBdr>
      <w:divsChild>
        <w:div w:id="44767285">
          <w:marLeft w:val="1915"/>
          <w:marRight w:val="0"/>
          <w:marTop w:val="140"/>
          <w:marBottom w:val="0"/>
          <w:divBdr>
            <w:top w:val="none" w:sz="0" w:space="0" w:color="auto"/>
            <w:left w:val="none" w:sz="0" w:space="0" w:color="auto"/>
            <w:bottom w:val="none" w:sz="0" w:space="0" w:color="auto"/>
            <w:right w:val="none" w:sz="0" w:space="0" w:color="auto"/>
          </w:divBdr>
        </w:div>
        <w:div w:id="158353458">
          <w:marLeft w:val="1915"/>
          <w:marRight w:val="0"/>
          <w:marTop w:val="140"/>
          <w:marBottom w:val="0"/>
          <w:divBdr>
            <w:top w:val="none" w:sz="0" w:space="0" w:color="auto"/>
            <w:left w:val="none" w:sz="0" w:space="0" w:color="auto"/>
            <w:bottom w:val="none" w:sz="0" w:space="0" w:color="auto"/>
            <w:right w:val="none" w:sz="0" w:space="0" w:color="auto"/>
          </w:divBdr>
        </w:div>
        <w:div w:id="474296342">
          <w:marLeft w:val="1238"/>
          <w:marRight w:val="0"/>
          <w:marTop w:val="140"/>
          <w:marBottom w:val="0"/>
          <w:divBdr>
            <w:top w:val="none" w:sz="0" w:space="0" w:color="auto"/>
            <w:left w:val="none" w:sz="0" w:space="0" w:color="auto"/>
            <w:bottom w:val="none" w:sz="0" w:space="0" w:color="auto"/>
            <w:right w:val="none" w:sz="0" w:space="0" w:color="auto"/>
          </w:divBdr>
        </w:div>
        <w:div w:id="490367747">
          <w:marLeft w:val="1915"/>
          <w:marRight w:val="0"/>
          <w:marTop w:val="140"/>
          <w:marBottom w:val="0"/>
          <w:divBdr>
            <w:top w:val="none" w:sz="0" w:space="0" w:color="auto"/>
            <w:left w:val="none" w:sz="0" w:space="0" w:color="auto"/>
            <w:bottom w:val="none" w:sz="0" w:space="0" w:color="auto"/>
            <w:right w:val="none" w:sz="0" w:space="0" w:color="auto"/>
          </w:divBdr>
        </w:div>
        <w:div w:id="564486596">
          <w:marLeft w:val="1238"/>
          <w:marRight w:val="0"/>
          <w:marTop w:val="140"/>
          <w:marBottom w:val="0"/>
          <w:divBdr>
            <w:top w:val="none" w:sz="0" w:space="0" w:color="auto"/>
            <w:left w:val="none" w:sz="0" w:space="0" w:color="auto"/>
            <w:bottom w:val="none" w:sz="0" w:space="0" w:color="auto"/>
            <w:right w:val="none" w:sz="0" w:space="0" w:color="auto"/>
          </w:divBdr>
        </w:div>
        <w:div w:id="601380708">
          <w:marLeft w:val="1915"/>
          <w:marRight w:val="0"/>
          <w:marTop w:val="140"/>
          <w:marBottom w:val="0"/>
          <w:divBdr>
            <w:top w:val="none" w:sz="0" w:space="0" w:color="auto"/>
            <w:left w:val="none" w:sz="0" w:space="0" w:color="auto"/>
            <w:bottom w:val="none" w:sz="0" w:space="0" w:color="auto"/>
            <w:right w:val="none" w:sz="0" w:space="0" w:color="auto"/>
          </w:divBdr>
        </w:div>
        <w:div w:id="1013459606">
          <w:marLeft w:val="1238"/>
          <w:marRight w:val="0"/>
          <w:marTop w:val="140"/>
          <w:marBottom w:val="0"/>
          <w:divBdr>
            <w:top w:val="none" w:sz="0" w:space="0" w:color="auto"/>
            <w:left w:val="none" w:sz="0" w:space="0" w:color="auto"/>
            <w:bottom w:val="none" w:sz="0" w:space="0" w:color="auto"/>
            <w:right w:val="none" w:sz="0" w:space="0" w:color="auto"/>
          </w:divBdr>
        </w:div>
        <w:div w:id="1039552602">
          <w:marLeft w:val="1915"/>
          <w:marRight w:val="0"/>
          <w:marTop w:val="140"/>
          <w:marBottom w:val="0"/>
          <w:divBdr>
            <w:top w:val="none" w:sz="0" w:space="0" w:color="auto"/>
            <w:left w:val="none" w:sz="0" w:space="0" w:color="auto"/>
            <w:bottom w:val="none" w:sz="0" w:space="0" w:color="auto"/>
            <w:right w:val="none" w:sz="0" w:space="0" w:color="auto"/>
          </w:divBdr>
        </w:div>
        <w:div w:id="1180317335">
          <w:marLeft w:val="1238"/>
          <w:marRight w:val="0"/>
          <w:marTop w:val="140"/>
          <w:marBottom w:val="0"/>
          <w:divBdr>
            <w:top w:val="none" w:sz="0" w:space="0" w:color="auto"/>
            <w:left w:val="none" w:sz="0" w:space="0" w:color="auto"/>
            <w:bottom w:val="none" w:sz="0" w:space="0" w:color="auto"/>
            <w:right w:val="none" w:sz="0" w:space="0" w:color="auto"/>
          </w:divBdr>
        </w:div>
        <w:div w:id="1337997949">
          <w:marLeft w:val="1238"/>
          <w:marRight w:val="0"/>
          <w:marTop w:val="140"/>
          <w:marBottom w:val="0"/>
          <w:divBdr>
            <w:top w:val="none" w:sz="0" w:space="0" w:color="auto"/>
            <w:left w:val="none" w:sz="0" w:space="0" w:color="auto"/>
            <w:bottom w:val="none" w:sz="0" w:space="0" w:color="auto"/>
            <w:right w:val="none" w:sz="0" w:space="0" w:color="auto"/>
          </w:divBdr>
        </w:div>
        <w:div w:id="1399744822">
          <w:marLeft w:val="1915"/>
          <w:marRight w:val="0"/>
          <w:marTop w:val="140"/>
          <w:marBottom w:val="0"/>
          <w:divBdr>
            <w:top w:val="none" w:sz="0" w:space="0" w:color="auto"/>
            <w:left w:val="none" w:sz="0" w:space="0" w:color="auto"/>
            <w:bottom w:val="none" w:sz="0" w:space="0" w:color="auto"/>
            <w:right w:val="none" w:sz="0" w:space="0" w:color="auto"/>
          </w:divBdr>
        </w:div>
        <w:div w:id="1565485631">
          <w:marLeft w:val="1238"/>
          <w:marRight w:val="0"/>
          <w:marTop w:val="140"/>
          <w:marBottom w:val="0"/>
          <w:divBdr>
            <w:top w:val="none" w:sz="0" w:space="0" w:color="auto"/>
            <w:left w:val="none" w:sz="0" w:space="0" w:color="auto"/>
            <w:bottom w:val="none" w:sz="0" w:space="0" w:color="auto"/>
            <w:right w:val="none" w:sz="0" w:space="0" w:color="auto"/>
          </w:divBdr>
        </w:div>
        <w:div w:id="2050058705">
          <w:marLeft w:val="1915"/>
          <w:marRight w:val="0"/>
          <w:marTop w:val="140"/>
          <w:marBottom w:val="0"/>
          <w:divBdr>
            <w:top w:val="none" w:sz="0" w:space="0" w:color="auto"/>
            <w:left w:val="none" w:sz="0" w:space="0" w:color="auto"/>
            <w:bottom w:val="none" w:sz="0" w:space="0" w:color="auto"/>
            <w:right w:val="none" w:sz="0" w:space="0" w:color="auto"/>
          </w:divBdr>
        </w:div>
      </w:divsChild>
    </w:div>
    <w:div w:id="980764855">
      <w:bodyDiv w:val="1"/>
      <w:marLeft w:val="0"/>
      <w:marRight w:val="0"/>
      <w:marTop w:val="0"/>
      <w:marBottom w:val="0"/>
      <w:divBdr>
        <w:top w:val="none" w:sz="0" w:space="0" w:color="auto"/>
        <w:left w:val="none" w:sz="0" w:space="0" w:color="auto"/>
        <w:bottom w:val="none" w:sz="0" w:space="0" w:color="auto"/>
        <w:right w:val="none" w:sz="0" w:space="0" w:color="auto"/>
      </w:divBdr>
    </w:div>
    <w:div w:id="1022824341">
      <w:bodyDiv w:val="1"/>
      <w:marLeft w:val="0"/>
      <w:marRight w:val="0"/>
      <w:marTop w:val="0"/>
      <w:marBottom w:val="0"/>
      <w:divBdr>
        <w:top w:val="none" w:sz="0" w:space="0" w:color="auto"/>
        <w:left w:val="none" w:sz="0" w:space="0" w:color="auto"/>
        <w:bottom w:val="none" w:sz="0" w:space="0" w:color="auto"/>
        <w:right w:val="none" w:sz="0" w:space="0" w:color="auto"/>
      </w:divBdr>
      <w:divsChild>
        <w:div w:id="1991446667">
          <w:marLeft w:val="547"/>
          <w:marRight w:val="0"/>
          <w:marTop w:val="140"/>
          <w:marBottom w:val="0"/>
          <w:divBdr>
            <w:top w:val="none" w:sz="0" w:space="0" w:color="auto"/>
            <w:left w:val="none" w:sz="0" w:space="0" w:color="auto"/>
            <w:bottom w:val="none" w:sz="0" w:space="0" w:color="auto"/>
            <w:right w:val="none" w:sz="0" w:space="0" w:color="auto"/>
          </w:divBdr>
        </w:div>
      </w:divsChild>
    </w:div>
    <w:div w:id="1036076715">
      <w:bodyDiv w:val="1"/>
      <w:marLeft w:val="0"/>
      <w:marRight w:val="0"/>
      <w:marTop w:val="0"/>
      <w:marBottom w:val="0"/>
      <w:divBdr>
        <w:top w:val="none" w:sz="0" w:space="0" w:color="auto"/>
        <w:left w:val="none" w:sz="0" w:space="0" w:color="auto"/>
        <w:bottom w:val="none" w:sz="0" w:space="0" w:color="auto"/>
        <w:right w:val="none" w:sz="0" w:space="0" w:color="auto"/>
      </w:divBdr>
      <w:divsChild>
        <w:div w:id="74714362">
          <w:marLeft w:val="0"/>
          <w:marRight w:val="0"/>
          <w:marTop w:val="0"/>
          <w:marBottom w:val="0"/>
          <w:divBdr>
            <w:top w:val="none" w:sz="0" w:space="0" w:color="auto"/>
            <w:left w:val="none" w:sz="0" w:space="0" w:color="auto"/>
            <w:bottom w:val="none" w:sz="0" w:space="0" w:color="auto"/>
            <w:right w:val="none" w:sz="0" w:space="0" w:color="auto"/>
          </w:divBdr>
        </w:div>
        <w:div w:id="218902622">
          <w:marLeft w:val="0"/>
          <w:marRight w:val="0"/>
          <w:marTop w:val="0"/>
          <w:marBottom w:val="0"/>
          <w:divBdr>
            <w:top w:val="none" w:sz="0" w:space="0" w:color="auto"/>
            <w:left w:val="none" w:sz="0" w:space="0" w:color="auto"/>
            <w:bottom w:val="none" w:sz="0" w:space="0" w:color="auto"/>
            <w:right w:val="none" w:sz="0" w:space="0" w:color="auto"/>
          </w:divBdr>
        </w:div>
        <w:div w:id="540630125">
          <w:marLeft w:val="0"/>
          <w:marRight w:val="0"/>
          <w:marTop w:val="0"/>
          <w:marBottom w:val="0"/>
          <w:divBdr>
            <w:top w:val="none" w:sz="0" w:space="0" w:color="auto"/>
            <w:left w:val="none" w:sz="0" w:space="0" w:color="auto"/>
            <w:bottom w:val="none" w:sz="0" w:space="0" w:color="auto"/>
            <w:right w:val="none" w:sz="0" w:space="0" w:color="auto"/>
          </w:divBdr>
        </w:div>
        <w:div w:id="1401244165">
          <w:marLeft w:val="0"/>
          <w:marRight w:val="0"/>
          <w:marTop w:val="0"/>
          <w:marBottom w:val="0"/>
          <w:divBdr>
            <w:top w:val="none" w:sz="0" w:space="0" w:color="auto"/>
            <w:left w:val="none" w:sz="0" w:space="0" w:color="auto"/>
            <w:bottom w:val="none" w:sz="0" w:space="0" w:color="auto"/>
            <w:right w:val="none" w:sz="0" w:space="0" w:color="auto"/>
          </w:divBdr>
        </w:div>
        <w:div w:id="1426875509">
          <w:marLeft w:val="0"/>
          <w:marRight w:val="0"/>
          <w:marTop w:val="0"/>
          <w:marBottom w:val="0"/>
          <w:divBdr>
            <w:top w:val="none" w:sz="0" w:space="0" w:color="auto"/>
            <w:left w:val="none" w:sz="0" w:space="0" w:color="auto"/>
            <w:bottom w:val="none" w:sz="0" w:space="0" w:color="auto"/>
            <w:right w:val="none" w:sz="0" w:space="0" w:color="auto"/>
          </w:divBdr>
        </w:div>
        <w:div w:id="1452554514">
          <w:marLeft w:val="0"/>
          <w:marRight w:val="0"/>
          <w:marTop w:val="0"/>
          <w:marBottom w:val="0"/>
          <w:divBdr>
            <w:top w:val="none" w:sz="0" w:space="0" w:color="auto"/>
            <w:left w:val="none" w:sz="0" w:space="0" w:color="auto"/>
            <w:bottom w:val="none" w:sz="0" w:space="0" w:color="auto"/>
            <w:right w:val="none" w:sz="0" w:space="0" w:color="auto"/>
          </w:divBdr>
        </w:div>
        <w:div w:id="1717198213">
          <w:marLeft w:val="0"/>
          <w:marRight w:val="0"/>
          <w:marTop w:val="0"/>
          <w:marBottom w:val="0"/>
          <w:divBdr>
            <w:top w:val="none" w:sz="0" w:space="0" w:color="auto"/>
            <w:left w:val="none" w:sz="0" w:space="0" w:color="auto"/>
            <w:bottom w:val="none" w:sz="0" w:space="0" w:color="auto"/>
            <w:right w:val="none" w:sz="0" w:space="0" w:color="auto"/>
          </w:divBdr>
        </w:div>
        <w:div w:id="1969167916">
          <w:marLeft w:val="0"/>
          <w:marRight w:val="0"/>
          <w:marTop w:val="0"/>
          <w:marBottom w:val="0"/>
          <w:divBdr>
            <w:top w:val="none" w:sz="0" w:space="0" w:color="auto"/>
            <w:left w:val="none" w:sz="0" w:space="0" w:color="auto"/>
            <w:bottom w:val="none" w:sz="0" w:space="0" w:color="auto"/>
            <w:right w:val="none" w:sz="0" w:space="0" w:color="auto"/>
          </w:divBdr>
        </w:div>
      </w:divsChild>
    </w:div>
    <w:div w:id="1130712253">
      <w:bodyDiv w:val="1"/>
      <w:marLeft w:val="0"/>
      <w:marRight w:val="0"/>
      <w:marTop w:val="0"/>
      <w:marBottom w:val="0"/>
      <w:divBdr>
        <w:top w:val="none" w:sz="0" w:space="0" w:color="auto"/>
        <w:left w:val="none" w:sz="0" w:space="0" w:color="auto"/>
        <w:bottom w:val="none" w:sz="0" w:space="0" w:color="auto"/>
        <w:right w:val="none" w:sz="0" w:space="0" w:color="auto"/>
      </w:divBdr>
      <w:divsChild>
        <w:div w:id="90200804">
          <w:marLeft w:val="547"/>
          <w:marRight w:val="0"/>
          <w:marTop w:val="53"/>
          <w:marBottom w:val="0"/>
          <w:divBdr>
            <w:top w:val="none" w:sz="0" w:space="0" w:color="auto"/>
            <w:left w:val="none" w:sz="0" w:space="0" w:color="auto"/>
            <w:bottom w:val="none" w:sz="0" w:space="0" w:color="auto"/>
            <w:right w:val="none" w:sz="0" w:space="0" w:color="auto"/>
          </w:divBdr>
        </w:div>
        <w:div w:id="480076503">
          <w:marLeft w:val="547"/>
          <w:marRight w:val="0"/>
          <w:marTop w:val="53"/>
          <w:marBottom w:val="0"/>
          <w:divBdr>
            <w:top w:val="none" w:sz="0" w:space="0" w:color="auto"/>
            <w:left w:val="none" w:sz="0" w:space="0" w:color="auto"/>
            <w:bottom w:val="none" w:sz="0" w:space="0" w:color="auto"/>
            <w:right w:val="none" w:sz="0" w:space="0" w:color="auto"/>
          </w:divBdr>
        </w:div>
        <w:div w:id="647172657">
          <w:marLeft w:val="547"/>
          <w:marRight w:val="0"/>
          <w:marTop w:val="53"/>
          <w:marBottom w:val="0"/>
          <w:divBdr>
            <w:top w:val="none" w:sz="0" w:space="0" w:color="auto"/>
            <w:left w:val="none" w:sz="0" w:space="0" w:color="auto"/>
            <w:bottom w:val="none" w:sz="0" w:space="0" w:color="auto"/>
            <w:right w:val="none" w:sz="0" w:space="0" w:color="auto"/>
          </w:divBdr>
        </w:div>
        <w:div w:id="819466063">
          <w:marLeft w:val="547"/>
          <w:marRight w:val="0"/>
          <w:marTop w:val="53"/>
          <w:marBottom w:val="0"/>
          <w:divBdr>
            <w:top w:val="none" w:sz="0" w:space="0" w:color="auto"/>
            <w:left w:val="none" w:sz="0" w:space="0" w:color="auto"/>
            <w:bottom w:val="none" w:sz="0" w:space="0" w:color="auto"/>
            <w:right w:val="none" w:sz="0" w:space="0" w:color="auto"/>
          </w:divBdr>
        </w:div>
        <w:div w:id="1199316701">
          <w:marLeft w:val="547"/>
          <w:marRight w:val="0"/>
          <w:marTop w:val="53"/>
          <w:marBottom w:val="0"/>
          <w:divBdr>
            <w:top w:val="none" w:sz="0" w:space="0" w:color="auto"/>
            <w:left w:val="none" w:sz="0" w:space="0" w:color="auto"/>
            <w:bottom w:val="none" w:sz="0" w:space="0" w:color="auto"/>
            <w:right w:val="none" w:sz="0" w:space="0" w:color="auto"/>
          </w:divBdr>
        </w:div>
        <w:div w:id="1221289981">
          <w:marLeft w:val="547"/>
          <w:marRight w:val="0"/>
          <w:marTop w:val="53"/>
          <w:marBottom w:val="0"/>
          <w:divBdr>
            <w:top w:val="none" w:sz="0" w:space="0" w:color="auto"/>
            <w:left w:val="none" w:sz="0" w:space="0" w:color="auto"/>
            <w:bottom w:val="none" w:sz="0" w:space="0" w:color="auto"/>
            <w:right w:val="none" w:sz="0" w:space="0" w:color="auto"/>
          </w:divBdr>
        </w:div>
        <w:div w:id="1576358043">
          <w:marLeft w:val="547"/>
          <w:marRight w:val="0"/>
          <w:marTop w:val="53"/>
          <w:marBottom w:val="0"/>
          <w:divBdr>
            <w:top w:val="none" w:sz="0" w:space="0" w:color="auto"/>
            <w:left w:val="none" w:sz="0" w:space="0" w:color="auto"/>
            <w:bottom w:val="none" w:sz="0" w:space="0" w:color="auto"/>
            <w:right w:val="none" w:sz="0" w:space="0" w:color="auto"/>
          </w:divBdr>
        </w:div>
        <w:div w:id="1633100498">
          <w:marLeft w:val="547"/>
          <w:marRight w:val="0"/>
          <w:marTop w:val="53"/>
          <w:marBottom w:val="0"/>
          <w:divBdr>
            <w:top w:val="none" w:sz="0" w:space="0" w:color="auto"/>
            <w:left w:val="none" w:sz="0" w:space="0" w:color="auto"/>
            <w:bottom w:val="none" w:sz="0" w:space="0" w:color="auto"/>
            <w:right w:val="none" w:sz="0" w:space="0" w:color="auto"/>
          </w:divBdr>
        </w:div>
      </w:divsChild>
    </w:div>
    <w:div w:id="1142427819">
      <w:bodyDiv w:val="1"/>
      <w:marLeft w:val="0"/>
      <w:marRight w:val="0"/>
      <w:marTop w:val="0"/>
      <w:marBottom w:val="0"/>
      <w:divBdr>
        <w:top w:val="none" w:sz="0" w:space="0" w:color="auto"/>
        <w:left w:val="none" w:sz="0" w:space="0" w:color="auto"/>
        <w:bottom w:val="none" w:sz="0" w:space="0" w:color="auto"/>
        <w:right w:val="none" w:sz="0" w:space="0" w:color="auto"/>
      </w:divBdr>
    </w:div>
    <w:div w:id="1180244013">
      <w:bodyDiv w:val="1"/>
      <w:marLeft w:val="0"/>
      <w:marRight w:val="0"/>
      <w:marTop w:val="0"/>
      <w:marBottom w:val="0"/>
      <w:divBdr>
        <w:top w:val="none" w:sz="0" w:space="0" w:color="auto"/>
        <w:left w:val="none" w:sz="0" w:space="0" w:color="auto"/>
        <w:bottom w:val="none" w:sz="0" w:space="0" w:color="auto"/>
        <w:right w:val="none" w:sz="0" w:space="0" w:color="auto"/>
      </w:divBdr>
    </w:div>
    <w:div w:id="1264803052">
      <w:bodyDiv w:val="1"/>
      <w:marLeft w:val="0"/>
      <w:marRight w:val="0"/>
      <w:marTop w:val="0"/>
      <w:marBottom w:val="0"/>
      <w:divBdr>
        <w:top w:val="none" w:sz="0" w:space="0" w:color="auto"/>
        <w:left w:val="none" w:sz="0" w:space="0" w:color="auto"/>
        <w:bottom w:val="none" w:sz="0" w:space="0" w:color="auto"/>
        <w:right w:val="none" w:sz="0" w:space="0" w:color="auto"/>
      </w:divBdr>
    </w:div>
    <w:div w:id="1296175787">
      <w:bodyDiv w:val="1"/>
      <w:marLeft w:val="0"/>
      <w:marRight w:val="0"/>
      <w:marTop w:val="0"/>
      <w:marBottom w:val="0"/>
      <w:divBdr>
        <w:top w:val="none" w:sz="0" w:space="0" w:color="auto"/>
        <w:left w:val="none" w:sz="0" w:space="0" w:color="auto"/>
        <w:bottom w:val="none" w:sz="0" w:space="0" w:color="auto"/>
        <w:right w:val="none" w:sz="0" w:space="0" w:color="auto"/>
      </w:divBdr>
      <w:divsChild>
        <w:div w:id="990913517">
          <w:marLeft w:val="547"/>
          <w:marRight w:val="0"/>
          <w:marTop w:val="140"/>
          <w:marBottom w:val="0"/>
          <w:divBdr>
            <w:top w:val="none" w:sz="0" w:space="0" w:color="auto"/>
            <w:left w:val="none" w:sz="0" w:space="0" w:color="auto"/>
            <w:bottom w:val="none" w:sz="0" w:space="0" w:color="auto"/>
            <w:right w:val="none" w:sz="0" w:space="0" w:color="auto"/>
          </w:divBdr>
        </w:div>
        <w:div w:id="1672641653">
          <w:marLeft w:val="547"/>
          <w:marRight w:val="0"/>
          <w:marTop w:val="140"/>
          <w:marBottom w:val="0"/>
          <w:divBdr>
            <w:top w:val="none" w:sz="0" w:space="0" w:color="auto"/>
            <w:left w:val="none" w:sz="0" w:space="0" w:color="auto"/>
            <w:bottom w:val="none" w:sz="0" w:space="0" w:color="auto"/>
            <w:right w:val="none" w:sz="0" w:space="0" w:color="auto"/>
          </w:divBdr>
        </w:div>
      </w:divsChild>
    </w:div>
    <w:div w:id="1369643525">
      <w:bodyDiv w:val="1"/>
      <w:marLeft w:val="0"/>
      <w:marRight w:val="0"/>
      <w:marTop w:val="0"/>
      <w:marBottom w:val="0"/>
      <w:divBdr>
        <w:top w:val="none" w:sz="0" w:space="0" w:color="auto"/>
        <w:left w:val="none" w:sz="0" w:space="0" w:color="auto"/>
        <w:bottom w:val="none" w:sz="0" w:space="0" w:color="auto"/>
        <w:right w:val="none" w:sz="0" w:space="0" w:color="auto"/>
      </w:divBdr>
    </w:div>
    <w:div w:id="1511067105">
      <w:bodyDiv w:val="1"/>
      <w:marLeft w:val="0"/>
      <w:marRight w:val="0"/>
      <w:marTop w:val="0"/>
      <w:marBottom w:val="0"/>
      <w:divBdr>
        <w:top w:val="none" w:sz="0" w:space="0" w:color="auto"/>
        <w:left w:val="none" w:sz="0" w:space="0" w:color="auto"/>
        <w:bottom w:val="none" w:sz="0" w:space="0" w:color="auto"/>
        <w:right w:val="none" w:sz="0" w:space="0" w:color="auto"/>
      </w:divBdr>
    </w:div>
    <w:div w:id="1511875229">
      <w:bodyDiv w:val="1"/>
      <w:marLeft w:val="0"/>
      <w:marRight w:val="0"/>
      <w:marTop w:val="0"/>
      <w:marBottom w:val="0"/>
      <w:divBdr>
        <w:top w:val="none" w:sz="0" w:space="0" w:color="auto"/>
        <w:left w:val="none" w:sz="0" w:space="0" w:color="auto"/>
        <w:bottom w:val="none" w:sz="0" w:space="0" w:color="auto"/>
        <w:right w:val="none" w:sz="0" w:space="0" w:color="auto"/>
      </w:divBdr>
      <w:divsChild>
        <w:div w:id="97412564">
          <w:marLeft w:val="446"/>
          <w:marRight w:val="0"/>
          <w:marTop w:val="0"/>
          <w:marBottom w:val="0"/>
          <w:divBdr>
            <w:top w:val="none" w:sz="0" w:space="0" w:color="auto"/>
            <w:left w:val="none" w:sz="0" w:space="0" w:color="auto"/>
            <w:bottom w:val="none" w:sz="0" w:space="0" w:color="auto"/>
            <w:right w:val="none" w:sz="0" w:space="0" w:color="auto"/>
          </w:divBdr>
        </w:div>
        <w:div w:id="767039600">
          <w:marLeft w:val="446"/>
          <w:marRight w:val="0"/>
          <w:marTop w:val="0"/>
          <w:marBottom w:val="0"/>
          <w:divBdr>
            <w:top w:val="none" w:sz="0" w:space="0" w:color="auto"/>
            <w:left w:val="none" w:sz="0" w:space="0" w:color="auto"/>
            <w:bottom w:val="none" w:sz="0" w:space="0" w:color="auto"/>
            <w:right w:val="none" w:sz="0" w:space="0" w:color="auto"/>
          </w:divBdr>
        </w:div>
        <w:div w:id="1086153710">
          <w:marLeft w:val="446"/>
          <w:marRight w:val="0"/>
          <w:marTop w:val="0"/>
          <w:marBottom w:val="0"/>
          <w:divBdr>
            <w:top w:val="none" w:sz="0" w:space="0" w:color="auto"/>
            <w:left w:val="none" w:sz="0" w:space="0" w:color="auto"/>
            <w:bottom w:val="none" w:sz="0" w:space="0" w:color="auto"/>
            <w:right w:val="none" w:sz="0" w:space="0" w:color="auto"/>
          </w:divBdr>
        </w:div>
      </w:divsChild>
    </w:div>
    <w:div w:id="1522012671">
      <w:bodyDiv w:val="1"/>
      <w:marLeft w:val="0"/>
      <w:marRight w:val="0"/>
      <w:marTop w:val="0"/>
      <w:marBottom w:val="0"/>
      <w:divBdr>
        <w:top w:val="none" w:sz="0" w:space="0" w:color="auto"/>
        <w:left w:val="none" w:sz="0" w:space="0" w:color="auto"/>
        <w:bottom w:val="none" w:sz="0" w:space="0" w:color="auto"/>
        <w:right w:val="none" w:sz="0" w:space="0" w:color="auto"/>
      </w:divBdr>
    </w:div>
    <w:div w:id="1556547259">
      <w:bodyDiv w:val="1"/>
      <w:marLeft w:val="0"/>
      <w:marRight w:val="0"/>
      <w:marTop w:val="0"/>
      <w:marBottom w:val="0"/>
      <w:divBdr>
        <w:top w:val="none" w:sz="0" w:space="0" w:color="auto"/>
        <w:left w:val="none" w:sz="0" w:space="0" w:color="auto"/>
        <w:bottom w:val="none" w:sz="0" w:space="0" w:color="auto"/>
        <w:right w:val="none" w:sz="0" w:space="0" w:color="auto"/>
      </w:divBdr>
      <w:divsChild>
        <w:div w:id="494105853">
          <w:marLeft w:val="547"/>
          <w:marRight w:val="0"/>
          <w:marTop w:val="140"/>
          <w:marBottom w:val="0"/>
          <w:divBdr>
            <w:top w:val="none" w:sz="0" w:space="0" w:color="auto"/>
            <w:left w:val="none" w:sz="0" w:space="0" w:color="auto"/>
            <w:bottom w:val="none" w:sz="0" w:space="0" w:color="auto"/>
            <w:right w:val="none" w:sz="0" w:space="0" w:color="auto"/>
          </w:divBdr>
        </w:div>
        <w:div w:id="503595262">
          <w:marLeft w:val="1238"/>
          <w:marRight w:val="0"/>
          <w:marTop w:val="140"/>
          <w:marBottom w:val="0"/>
          <w:divBdr>
            <w:top w:val="none" w:sz="0" w:space="0" w:color="auto"/>
            <w:left w:val="none" w:sz="0" w:space="0" w:color="auto"/>
            <w:bottom w:val="none" w:sz="0" w:space="0" w:color="auto"/>
            <w:right w:val="none" w:sz="0" w:space="0" w:color="auto"/>
          </w:divBdr>
        </w:div>
        <w:div w:id="1597518551">
          <w:marLeft w:val="1238"/>
          <w:marRight w:val="0"/>
          <w:marTop w:val="140"/>
          <w:marBottom w:val="0"/>
          <w:divBdr>
            <w:top w:val="none" w:sz="0" w:space="0" w:color="auto"/>
            <w:left w:val="none" w:sz="0" w:space="0" w:color="auto"/>
            <w:bottom w:val="none" w:sz="0" w:space="0" w:color="auto"/>
            <w:right w:val="none" w:sz="0" w:space="0" w:color="auto"/>
          </w:divBdr>
        </w:div>
        <w:div w:id="1862548193">
          <w:marLeft w:val="1238"/>
          <w:marRight w:val="0"/>
          <w:marTop w:val="140"/>
          <w:marBottom w:val="0"/>
          <w:divBdr>
            <w:top w:val="none" w:sz="0" w:space="0" w:color="auto"/>
            <w:left w:val="none" w:sz="0" w:space="0" w:color="auto"/>
            <w:bottom w:val="none" w:sz="0" w:space="0" w:color="auto"/>
            <w:right w:val="none" w:sz="0" w:space="0" w:color="auto"/>
          </w:divBdr>
        </w:div>
      </w:divsChild>
    </w:div>
    <w:div w:id="1608198266">
      <w:bodyDiv w:val="1"/>
      <w:marLeft w:val="0"/>
      <w:marRight w:val="0"/>
      <w:marTop w:val="0"/>
      <w:marBottom w:val="0"/>
      <w:divBdr>
        <w:top w:val="none" w:sz="0" w:space="0" w:color="auto"/>
        <w:left w:val="none" w:sz="0" w:space="0" w:color="auto"/>
        <w:bottom w:val="none" w:sz="0" w:space="0" w:color="auto"/>
        <w:right w:val="none" w:sz="0" w:space="0" w:color="auto"/>
      </w:divBdr>
    </w:div>
    <w:div w:id="1655794432">
      <w:bodyDiv w:val="1"/>
      <w:marLeft w:val="0"/>
      <w:marRight w:val="0"/>
      <w:marTop w:val="0"/>
      <w:marBottom w:val="0"/>
      <w:divBdr>
        <w:top w:val="none" w:sz="0" w:space="0" w:color="auto"/>
        <w:left w:val="none" w:sz="0" w:space="0" w:color="auto"/>
        <w:bottom w:val="none" w:sz="0" w:space="0" w:color="auto"/>
        <w:right w:val="none" w:sz="0" w:space="0" w:color="auto"/>
      </w:divBdr>
      <w:divsChild>
        <w:div w:id="429159411">
          <w:marLeft w:val="547"/>
          <w:marRight w:val="0"/>
          <w:marTop w:val="53"/>
          <w:marBottom w:val="0"/>
          <w:divBdr>
            <w:top w:val="none" w:sz="0" w:space="0" w:color="auto"/>
            <w:left w:val="none" w:sz="0" w:space="0" w:color="auto"/>
            <w:bottom w:val="none" w:sz="0" w:space="0" w:color="auto"/>
            <w:right w:val="none" w:sz="0" w:space="0" w:color="auto"/>
          </w:divBdr>
        </w:div>
      </w:divsChild>
    </w:div>
    <w:div w:id="1770154114">
      <w:bodyDiv w:val="1"/>
      <w:marLeft w:val="0"/>
      <w:marRight w:val="0"/>
      <w:marTop w:val="0"/>
      <w:marBottom w:val="0"/>
      <w:divBdr>
        <w:top w:val="none" w:sz="0" w:space="0" w:color="auto"/>
        <w:left w:val="none" w:sz="0" w:space="0" w:color="auto"/>
        <w:bottom w:val="none" w:sz="0" w:space="0" w:color="auto"/>
        <w:right w:val="none" w:sz="0" w:space="0" w:color="auto"/>
      </w:divBdr>
    </w:div>
    <w:div w:id="1776898777">
      <w:bodyDiv w:val="1"/>
      <w:marLeft w:val="0"/>
      <w:marRight w:val="0"/>
      <w:marTop w:val="0"/>
      <w:marBottom w:val="0"/>
      <w:divBdr>
        <w:top w:val="none" w:sz="0" w:space="0" w:color="auto"/>
        <w:left w:val="none" w:sz="0" w:space="0" w:color="auto"/>
        <w:bottom w:val="none" w:sz="0" w:space="0" w:color="auto"/>
        <w:right w:val="none" w:sz="0" w:space="0" w:color="auto"/>
      </w:divBdr>
    </w:div>
    <w:div w:id="1814911978">
      <w:bodyDiv w:val="1"/>
      <w:marLeft w:val="0"/>
      <w:marRight w:val="0"/>
      <w:marTop w:val="0"/>
      <w:marBottom w:val="0"/>
      <w:divBdr>
        <w:top w:val="none" w:sz="0" w:space="0" w:color="auto"/>
        <w:left w:val="none" w:sz="0" w:space="0" w:color="auto"/>
        <w:bottom w:val="none" w:sz="0" w:space="0" w:color="auto"/>
        <w:right w:val="none" w:sz="0" w:space="0" w:color="auto"/>
      </w:divBdr>
    </w:div>
    <w:div w:id="1957364268">
      <w:bodyDiv w:val="1"/>
      <w:marLeft w:val="0"/>
      <w:marRight w:val="0"/>
      <w:marTop w:val="0"/>
      <w:marBottom w:val="0"/>
      <w:divBdr>
        <w:top w:val="none" w:sz="0" w:space="0" w:color="auto"/>
        <w:left w:val="none" w:sz="0" w:space="0" w:color="auto"/>
        <w:bottom w:val="none" w:sz="0" w:space="0" w:color="auto"/>
        <w:right w:val="none" w:sz="0" w:space="0" w:color="auto"/>
      </w:divBdr>
    </w:div>
    <w:div w:id="1966811161">
      <w:bodyDiv w:val="1"/>
      <w:marLeft w:val="0"/>
      <w:marRight w:val="0"/>
      <w:marTop w:val="0"/>
      <w:marBottom w:val="0"/>
      <w:divBdr>
        <w:top w:val="none" w:sz="0" w:space="0" w:color="auto"/>
        <w:left w:val="none" w:sz="0" w:space="0" w:color="auto"/>
        <w:bottom w:val="none" w:sz="0" w:space="0" w:color="auto"/>
        <w:right w:val="none" w:sz="0" w:space="0" w:color="auto"/>
      </w:divBdr>
      <w:divsChild>
        <w:div w:id="76175984">
          <w:marLeft w:val="547"/>
          <w:marRight w:val="0"/>
          <w:marTop w:val="53"/>
          <w:marBottom w:val="0"/>
          <w:divBdr>
            <w:top w:val="none" w:sz="0" w:space="0" w:color="auto"/>
            <w:left w:val="none" w:sz="0" w:space="0" w:color="auto"/>
            <w:bottom w:val="none" w:sz="0" w:space="0" w:color="auto"/>
            <w:right w:val="none" w:sz="0" w:space="0" w:color="auto"/>
          </w:divBdr>
        </w:div>
        <w:div w:id="871891066">
          <w:marLeft w:val="547"/>
          <w:marRight w:val="0"/>
          <w:marTop w:val="53"/>
          <w:marBottom w:val="0"/>
          <w:divBdr>
            <w:top w:val="none" w:sz="0" w:space="0" w:color="auto"/>
            <w:left w:val="none" w:sz="0" w:space="0" w:color="auto"/>
            <w:bottom w:val="none" w:sz="0" w:space="0" w:color="auto"/>
            <w:right w:val="none" w:sz="0" w:space="0" w:color="auto"/>
          </w:divBdr>
        </w:div>
        <w:div w:id="1077746212">
          <w:marLeft w:val="547"/>
          <w:marRight w:val="0"/>
          <w:marTop w:val="53"/>
          <w:marBottom w:val="0"/>
          <w:divBdr>
            <w:top w:val="none" w:sz="0" w:space="0" w:color="auto"/>
            <w:left w:val="none" w:sz="0" w:space="0" w:color="auto"/>
            <w:bottom w:val="none" w:sz="0" w:space="0" w:color="auto"/>
            <w:right w:val="none" w:sz="0" w:space="0" w:color="auto"/>
          </w:divBdr>
        </w:div>
        <w:div w:id="1165365081">
          <w:marLeft w:val="547"/>
          <w:marRight w:val="0"/>
          <w:marTop w:val="53"/>
          <w:marBottom w:val="0"/>
          <w:divBdr>
            <w:top w:val="none" w:sz="0" w:space="0" w:color="auto"/>
            <w:left w:val="none" w:sz="0" w:space="0" w:color="auto"/>
            <w:bottom w:val="none" w:sz="0" w:space="0" w:color="auto"/>
            <w:right w:val="none" w:sz="0" w:space="0" w:color="auto"/>
          </w:divBdr>
        </w:div>
        <w:div w:id="2123452601">
          <w:marLeft w:val="547"/>
          <w:marRight w:val="0"/>
          <w:marTop w:val="53"/>
          <w:marBottom w:val="0"/>
          <w:divBdr>
            <w:top w:val="none" w:sz="0" w:space="0" w:color="auto"/>
            <w:left w:val="none" w:sz="0" w:space="0" w:color="auto"/>
            <w:bottom w:val="none" w:sz="0" w:space="0" w:color="auto"/>
            <w:right w:val="none" w:sz="0" w:space="0" w:color="auto"/>
          </w:divBdr>
        </w:div>
        <w:div w:id="2127114763">
          <w:marLeft w:val="547"/>
          <w:marRight w:val="0"/>
          <w:marTop w:val="53"/>
          <w:marBottom w:val="0"/>
          <w:divBdr>
            <w:top w:val="none" w:sz="0" w:space="0" w:color="auto"/>
            <w:left w:val="none" w:sz="0" w:space="0" w:color="auto"/>
            <w:bottom w:val="none" w:sz="0" w:space="0" w:color="auto"/>
            <w:right w:val="none" w:sz="0" w:space="0" w:color="auto"/>
          </w:divBdr>
        </w:div>
      </w:divsChild>
    </w:div>
    <w:div w:id="2031954309">
      <w:bodyDiv w:val="1"/>
      <w:marLeft w:val="0"/>
      <w:marRight w:val="0"/>
      <w:marTop w:val="0"/>
      <w:marBottom w:val="0"/>
      <w:divBdr>
        <w:top w:val="none" w:sz="0" w:space="0" w:color="auto"/>
        <w:left w:val="none" w:sz="0" w:space="0" w:color="auto"/>
        <w:bottom w:val="none" w:sz="0" w:space="0" w:color="auto"/>
        <w:right w:val="none" w:sz="0" w:space="0" w:color="auto"/>
      </w:divBdr>
      <w:divsChild>
        <w:div w:id="1150364512">
          <w:marLeft w:val="547"/>
          <w:marRight w:val="0"/>
          <w:marTop w:val="140"/>
          <w:marBottom w:val="0"/>
          <w:divBdr>
            <w:top w:val="none" w:sz="0" w:space="0" w:color="auto"/>
            <w:left w:val="none" w:sz="0" w:space="0" w:color="auto"/>
            <w:bottom w:val="none" w:sz="0" w:space="0" w:color="auto"/>
            <w:right w:val="none" w:sz="0" w:space="0" w:color="auto"/>
          </w:divBdr>
        </w:div>
        <w:div w:id="1227030539">
          <w:marLeft w:val="547"/>
          <w:marRight w:val="0"/>
          <w:marTop w:val="140"/>
          <w:marBottom w:val="0"/>
          <w:divBdr>
            <w:top w:val="none" w:sz="0" w:space="0" w:color="auto"/>
            <w:left w:val="none" w:sz="0" w:space="0" w:color="auto"/>
            <w:bottom w:val="none" w:sz="0" w:space="0" w:color="auto"/>
            <w:right w:val="none" w:sz="0" w:space="0" w:color="auto"/>
          </w:divBdr>
        </w:div>
        <w:div w:id="1615595013">
          <w:marLeft w:val="547"/>
          <w:marRight w:val="0"/>
          <w:marTop w:val="140"/>
          <w:marBottom w:val="0"/>
          <w:divBdr>
            <w:top w:val="none" w:sz="0" w:space="0" w:color="auto"/>
            <w:left w:val="none" w:sz="0" w:space="0" w:color="auto"/>
            <w:bottom w:val="none" w:sz="0" w:space="0" w:color="auto"/>
            <w:right w:val="none" w:sz="0" w:space="0" w:color="auto"/>
          </w:divBdr>
        </w:div>
      </w:divsChild>
    </w:div>
    <w:div w:id="2078478663">
      <w:bodyDiv w:val="1"/>
      <w:marLeft w:val="0"/>
      <w:marRight w:val="0"/>
      <w:marTop w:val="0"/>
      <w:marBottom w:val="0"/>
      <w:divBdr>
        <w:top w:val="none" w:sz="0" w:space="0" w:color="auto"/>
        <w:left w:val="none" w:sz="0" w:space="0" w:color="auto"/>
        <w:bottom w:val="none" w:sz="0" w:space="0" w:color="auto"/>
        <w:right w:val="none" w:sz="0" w:space="0" w:color="auto"/>
      </w:divBdr>
    </w:div>
    <w:div w:id="2113233734">
      <w:bodyDiv w:val="1"/>
      <w:marLeft w:val="0"/>
      <w:marRight w:val="0"/>
      <w:marTop w:val="0"/>
      <w:marBottom w:val="0"/>
      <w:divBdr>
        <w:top w:val="none" w:sz="0" w:space="0" w:color="auto"/>
        <w:left w:val="none" w:sz="0" w:space="0" w:color="auto"/>
        <w:bottom w:val="none" w:sz="0" w:space="0" w:color="auto"/>
        <w:right w:val="none" w:sz="0" w:space="0" w:color="auto"/>
      </w:divBdr>
      <w:divsChild>
        <w:div w:id="194663875">
          <w:marLeft w:val="0"/>
          <w:marRight w:val="0"/>
          <w:marTop w:val="0"/>
          <w:marBottom w:val="0"/>
          <w:divBdr>
            <w:top w:val="none" w:sz="0" w:space="0" w:color="auto"/>
            <w:left w:val="none" w:sz="0" w:space="0" w:color="auto"/>
            <w:bottom w:val="none" w:sz="0" w:space="0" w:color="auto"/>
            <w:right w:val="none" w:sz="0" w:space="0" w:color="auto"/>
          </w:divBdr>
        </w:div>
        <w:div w:id="299461362">
          <w:marLeft w:val="0"/>
          <w:marRight w:val="0"/>
          <w:marTop w:val="0"/>
          <w:marBottom w:val="0"/>
          <w:divBdr>
            <w:top w:val="none" w:sz="0" w:space="0" w:color="auto"/>
            <w:left w:val="none" w:sz="0" w:space="0" w:color="auto"/>
            <w:bottom w:val="none" w:sz="0" w:space="0" w:color="auto"/>
            <w:right w:val="none" w:sz="0" w:space="0" w:color="auto"/>
          </w:divBdr>
        </w:div>
        <w:div w:id="808785618">
          <w:marLeft w:val="0"/>
          <w:marRight w:val="0"/>
          <w:marTop w:val="0"/>
          <w:marBottom w:val="0"/>
          <w:divBdr>
            <w:top w:val="none" w:sz="0" w:space="0" w:color="auto"/>
            <w:left w:val="none" w:sz="0" w:space="0" w:color="auto"/>
            <w:bottom w:val="none" w:sz="0" w:space="0" w:color="auto"/>
            <w:right w:val="none" w:sz="0" w:space="0" w:color="auto"/>
          </w:divBdr>
        </w:div>
        <w:div w:id="1277328315">
          <w:marLeft w:val="0"/>
          <w:marRight w:val="0"/>
          <w:marTop w:val="0"/>
          <w:marBottom w:val="0"/>
          <w:divBdr>
            <w:top w:val="none" w:sz="0" w:space="0" w:color="auto"/>
            <w:left w:val="none" w:sz="0" w:space="0" w:color="auto"/>
            <w:bottom w:val="none" w:sz="0" w:space="0" w:color="auto"/>
            <w:right w:val="none" w:sz="0" w:space="0" w:color="auto"/>
          </w:divBdr>
        </w:div>
        <w:div w:id="1590625346">
          <w:marLeft w:val="0"/>
          <w:marRight w:val="0"/>
          <w:marTop w:val="0"/>
          <w:marBottom w:val="0"/>
          <w:divBdr>
            <w:top w:val="none" w:sz="0" w:space="0" w:color="auto"/>
            <w:left w:val="none" w:sz="0" w:space="0" w:color="auto"/>
            <w:bottom w:val="none" w:sz="0" w:space="0" w:color="auto"/>
            <w:right w:val="none" w:sz="0" w:space="0" w:color="auto"/>
          </w:divBdr>
        </w:div>
        <w:div w:id="1879077709">
          <w:marLeft w:val="0"/>
          <w:marRight w:val="0"/>
          <w:marTop w:val="0"/>
          <w:marBottom w:val="0"/>
          <w:divBdr>
            <w:top w:val="none" w:sz="0" w:space="0" w:color="auto"/>
            <w:left w:val="none" w:sz="0" w:space="0" w:color="auto"/>
            <w:bottom w:val="none" w:sz="0" w:space="0" w:color="auto"/>
            <w:right w:val="none" w:sz="0" w:space="0" w:color="auto"/>
          </w:divBdr>
        </w:div>
      </w:divsChild>
    </w:div>
    <w:div w:id="21446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A775-BB39-4F6A-9383-C08F4D75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6400</Words>
  <Characters>36483</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2019-12-03T10:30:00Z</cp:lastPrinted>
  <dcterms:created xsi:type="dcterms:W3CDTF">2019-12-04T09:16:00Z</dcterms:created>
  <dcterms:modified xsi:type="dcterms:W3CDTF">2019-12-04T09:16:00Z</dcterms:modified>
</cp:coreProperties>
</file>